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FAB1" w14:textId="77777777" w:rsidR="007B474E" w:rsidRPr="00704FF8" w:rsidRDefault="007B474E" w:rsidP="00704FF8">
      <w:pPr>
        <w:pStyle w:val="OrdersTopLine"/>
      </w:pPr>
      <w:r w:rsidRPr="00704FF8">
        <w:t>HIGH COURT OF AUSTRALIA</w:t>
      </w:r>
    </w:p>
    <w:p w14:paraId="139F4374" w14:textId="77777777" w:rsidR="007B474E" w:rsidRPr="00704FF8" w:rsidRDefault="007B474E" w:rsidP="00704FF8">
      <w:pPr>
        <w:pStyle w:val="OrderCentre"/>
      </w:pPr>
    </w:p>
    <w:p w14:paraId="5FEB62E0" w14:textId="77777777" w:rsidR="007B474E" w:rsidRPr="00C46004" w:rsidRDefault="007B474E" w:rsidP="00704FF8">
      <w:pPr>
        <w:pStyle w:val="OrderCentre"/>
        <w:rPr>
          <w:spacing w:val="-4"/>
          <w:sz w:val="24"/>
          <w:szCs w:val="24"/>
        </w:rPr>
      </w:pPr>
      <w:r w:rsidRPr="00C46004">
        <w:rPr>
          <w:spacing w:val="-4"/>
          <w:sz w:val="24"/>
          <w:szCs w:val="24"/>
        </w:rPr>
        <w:t>GAGELER CJ,</w:t>
      </w:r>
    </w:p>
    <w:p w14:paraId="643D0BE1" w14:textId="77777777" w:rsidR="007B474E" w:rsidRPr="00704FF8" w:rsidRDefault="007B474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14FDB525" w14:textId="77777777" w:rsidR="007B474E" w:rsidRPr="00427F3A" w:rsidRDefault="007B474E" w:rsidP="00EE5374">
      <w:pPr>
        <w:pStyle w:val="Centre"/>
        <w:rPr>
          <w:lang w:val="en-AU"/>
        </w:rPr>
      </w:pPr>
    </w:p>
    <w:p w14:paraId="641B1053" w14:textId="77777777" w:rsidR="007B474E" w:rsidRPr="00704FF8" w:rsidRDefault="007B474E" w:rsidP="00704FF8">
      <w:pPr>
        <w:pStyle w:val="OrdersCenteredBorder"/>
      </w:pPr>
    </w:p>
    <w:p w14:paraId="7D4E2FB8" w14:textId="77777777" w:rsidR="007B474E" w:rsidRPr="00704FF8" w:rsidRDefault="007B474E" w:rsidP="0032341F">
      <w:pPr>
        <w:pStyle w:val="OrdersBodyHeading"/>
      </w:pPr>
    </w:p>
    <w:p w14:paraId="3B899171" w14:textId="77777777" w:rsidR="007B474E" w:rsidRPr="0032341F" w:rsidRDefault="007B474E" w:rsidP="009362E8">
      <w:pPr>
        <w:pStyle w:val="OrdersPartyName"/>
        <w:ind w:right="-1"/>
      </w:pPr>
      <w:r w:rsidRPr="00A84C8E">
        <w:t>THE KING</w:t>
      </w:r>
      <w:r w:rsidRPr="0032341F">
        <w:tab/>
        <w:t>APPELLANT</w:t>
      </w:r>
    </w:p>
    <w:p w14:paraId="279D6F99" w14:textId="77777777" w:rsidR="007B474E" w:rsidRPr="0032341F" w:rsidRDefault="007B474E" w:rsidP="009362E8">
      <w:pPr>
        <w:pStyle w:val="OrdersPartyName"/>
        <w:ind w:right="-1"/>
      </w:pPr>
    </w:p>
    <w:p w14:paraId="5DCF085D" w14:textId="77777777" w:rsidR="007B474E" w:rsidRPr="0032341F" w:rsidRDefault="007B474E" w:rsidP="009362E8">
      <w:pPr>
        <w:pStyle w:val="OrdersPartyName"/>
        <w:ind w:right="-1"/>
      </w:pPr>
      <w:r w:rsidRPr="0032341F">
        <w:t>AND</w:t>
      </w:r>
    </w:p>
    <w:p w14:paraId="6A80B212" w14:textId="77777777" w:rsidR="007B474E" w:rsidRPr="0032341F" w:rsidRDefault="007B474E" w:rsidP="009362E8">
      <w:pPr>
        <w:pStyle w:val="OrdersPartyName"/>
        <w:ind w:right="-1"/>
      </w:pPr>
    </w:p>
    <w:p w14:paraId="663C5805" w14:textId="77777777" w:rsidR="007B474E" w:rsidRPr="0032341F" w:rsidRDefault="007B474E" w:rsidP="009362E8">
      <w:pPr>
        <w:pStyle w:val="OrdersPartyName"/>
        <w:ind w:right="-1"/>
      </w:pPr>
      <w:r w:rsidRPr="00A84C8E">
        <w:t>CEM</w:t>
      </w:r>
      <w:r>
        <w:t xml:space="preserve"> </w:t>
      </w:r>
      <w:r w:rsidRPr="00A84C8E">
        <w:t>BATAK</w:t>
      </w:r>
      <w:r w:rsidRPr="0032341F">
        <w:tab/>
        <w:t>RESPONDENT</w:t>
      </w:r>
    </w:p>
    <w:p w14:paraId="34099ED8" w14:textId="77777777" w:rsidR="007B474E" w:rsidRPr="00427F3A" w:rsidRDefault="007B474E" w:rsidP="00AF0A5E">
      <w:pPr>
        <w:pStyle w:val="BodyHeading"/>
      </w:pPr>
    </w:p>
    <w:p w14:paraId="701F94F0" w14:textId="77777777" w:rsidR="007B474E" w:rsidRPr="00427F3A" w:rsidRDefault="007B474E" w:rsidP="00BE0A6C">
      <w:pPr>
        <w:pStyle w:val="BodyHeading"/>
      </w:pPr>
    </w:p>
    <w:p w14:paraId="06A1BE8A" w14:textId="77777777" w:rsidR="007B474E" w:rsidRPr="00427F3A" w:rsidRDefault="007B474E" w:rsidP="00EE5374">
      <w:pPr>
        <w:pStyle w:val="CentreItalics"/>
      </w:pPr>
      <w:r w:rsidRPr="00A84C8E">
        <w:t>The King v Batak</w:t>
      </w:r>
    </w:p>
    <w:p w14:paraId="061777A6" w14:textId="77777777" w:rsidR="007B474E" w:rsidRPr="00427F3A" w:rsidRDefault="007B474E" w:rsidP="00E90E4F">
      <w:pPr>
        <w:pStyle w:val="OrdersCentre"/>
      </w:pPr>
      <w:r>
        <w:t>[2025</w:t>
      </w:r>
      <w:r w:rsidRPr="00427F3A">
        <w:t xml:space="preserve">] HCA </w:t>
      </w:r>
      <w:r>
        <w:t>18</w:t>
      </w:r>
    </w:p>
    <w:p w14:paraId="4D55C1AB" w14:textId="77777777" w:rsidR="007B474E" w:rsidRDefault="007B474E" w:rsidP="00A84C8E">
      <w:pPr>
        <w:pStyle w:val="OrdersCentreItalics"/>
      </w:pPr>
      <w:r>
        <w:t>Date of Hearing: 8 April 2025</w:t>
      </w:r>
    </w:p>
    <w:p w14:paraId="6DF396F5" w14:textId="77777777" w:rsidR="007B474E" w:rsidRDefault="007B474E" w:rsidP="00E90E4F">
      <w:pPr>
        <w:pStyle w:val="OrdersCentreItalics"/>
      </w:pPr>
      <w:r>
        <w:t>Date of Order: 8 April 2025</w:t>
      </w:r>
    </w:p>
    <w:p w14:paraId="34F32D0A" w14:textId="77777777" w:rsidR="007B474E" w:rsidRPr="00427F3A" w:rsidRDefault="007B474E" w:rsidP="00E90E4F">
      <w:pPr>
        <w:pStyle w:val="OrdersCentreItalics"/>
      </w:pPr>
      <w:r>
        <w:t>Date of Publication of Reasons: 7 May 2025</w:t>
      </w:r>
    </w:p>
    <w:p w14:paraId="7013B22B" w14:textId="77777777" w:rsidR="007B474E" w:rsidRDefault="007B474E" w:rsidP="00E90E4F">
      <w:pPr>
        <w:pStyle w:val="OrdersCentre"/>
      </w:pPr>
      <w:r w:rsidRPr="00A84C8E">
        <w:t>S148/2024</w:t>
      </w:r>
    </w:p>
    <w:p w14:paraId="3EA71E26" w14:textId="77777777" w:rsidR="007B474E" w:rsidRPr="00427F3A" w:rsidRDefault="007B474E" w:rsidP="00E90E4F">
      <w:pPr>
        <w:pStyle w:val="OrdersCentre"/>
      </w:pPr>
    </w:p>
    <w:p w14:paraId="2C3C5B77" w14:textId="77777777" w:rsidR="007B474E" w:rsidRPr="00BE0A6C" w:rsidRDefault="007B474E" w:rsidP="00E90E4F">
      <w:pPr>
        <w:pStyle w:val="OrderCentreBold"/>
      </w:pPr>
      <w:r w:rsidRPr="00BE0A6C">
        <w:t>ORDER</w:t>
      </w:r>
    </w:p>
    <w:p w14:paraId="228DBEE5" w14:textId="77777777" w:rsidR="007B474E" w:rsidRPr="00427F3A" w:rsidRDefault="007B474E" w:rsidP="00736C52">
      <w:pPr>
        <w:pStyle w:val="Centre"/>
        <w:rPr>
          <w:lang w:val="en-AU"/>
        </w:rPr>
      </w:pPr>
    </w:p>
    <w:p w14:paraId="32E128CA" w14:textId="77777777" w:rsidR="007B474E" w:rsidRDefault="007B474E" w:rsidP="00DC66A3">
      <w:pPr>
        <w:pStyle w:val="OrdersText"/>
      </w:pPr>
      <w:r>
        <w:t>1.</w:t>
      </w:r>
      <w:r>
        <w:tab/>
        <w:t>Leave to file the proposed amended notice of appeal is refused.</w:t>
      </w:r>
    </w:p>
    <w:p w14:paraId="02E69FCF" w14:textId="77777777" w:rsidR="007B474E" w:rsidRDefault="007B474E" w:rsidP="00DC66A3">
      <w:pPr>
        <w:pStyle w:val="OrdersText"/>
      </w:pPr>
    </w:p>
    <w:p w14:paraId="648D742E" w14:textId="77777777" w:rsidR="007B474E" w:rsidRPr="008E1013" w:rsidRDefault="007B474E" w:rsidP="00DC66A3">
      <w:pPr>
        <w:pStyle w:val="OrdersText"/>
      </w:pPr>
      <w:r>
        <w:t>2.</w:t>
      </w:r>
      <w:r>
        <w:tab/>
        <w:t>Special leave to appeal is revoked.</w:t>
      </w:r>
    </w:p>
    <w:p w14:paraId="21AEFA75" w14:textId="77777777" w:rsidR="007B474E" w:rsidRDefault="007B474E" w:rsidP="00EE5374">
      <w:pPr>
        <w:pStyle w:val="Body"/>
      </w:pPr>
    </w:p>
    <w:p w14:paraId="50CB1AA4" w14:textId="77777777" w:rsidR="007B474E" w:rsidRPr="00427F3A" w:rsidRDefault="007B474E" w:rsidP="00EE5374">
      <w:pPr>
        <w:pStyle w:val="Body"/>
      </w:pPr>
    </w:p>
    <w:p w14:paraId="1AC9F201" w14:textId="77777777" w:rsidR="007B474E" w:rsidRPr="00427F3A" w:rsidRDefault="007B474E" w:rsidP="0032341F">
      <w:pPr>
        <w:pStyle w:val="OrdersBody"/>
      </w:pPr>
      <w:r w:rsidRPr="00427F3A">
        <w:t xml:space="preserve">On appeal from the </w:t>
      </w:r>
      <w:r w:rsidRPr="00A84C8E">
        <w:t>Supreme Court of New South Wales</w:t>
      </w:r>
    </w:p>
    <w:p w14:paraId="5055BD78" w14:textId="77777777" w:rsidR="007B474E" w:rsidRDefault="007B474E" w:rsidP="00EE5374">
      <w:pPr>
        <w:pStyle w:val="Body"/>
      </w:pPr>
    </w:p>
    <w:p w14:paraId="04528BC6" w14:textId="77777777" w:rsidR="007B474E" w:rsidRPr="00427F3A" w:rsidRDefault="007B474E" w:rsidP="00EE5374">
      <w:pPr>
        <w:pStyle w:val="Body"/>
      </w:pPr>
    </w:p>
    <w:p w14:paraId="6DC8E2F9" w14:textId="77777777" w:rsidR="007B474E" w:rsidRPr="00427F3A" w:rsidRDefault="007B474E" w:rsidP="00E90E4F">
      <w:pPr>
        <w:pStyle w:val="OrdersBodyHeading"/>
      </w:pPr>
      <w:r w:rsidRPr="00427F3A">
        <w:t>Representation</w:t>
      </w:r>
    </w:p>
    <w:p w14:paraId="4EB86590" w14:textId="77777777" w:rsidR="007B474E" w:rsidRDefault="007B474E" w:rsidP="00EE5374">
      <w:pPr>
        <w:pStyle w:val="Body"/>
      </w:pPr>
    </w:p>
    <w:p w14:paraId="131D2FF0" w14:textId="77777777" w:rsidR="007B474E" w:rsidRPr="00F840E1" w:rsidRDefault="007B474E" w:rsidP="00E90E4F">
      <w:pPr>
        <w:pStyle w:val="OrdersBody"/>
      </w:pPr>
      <w:r w:rsidRPr="00F840E1">
        <w:t>S C Dowling SC with A L Bonnor and M L Millward for the appellant (instructed by Solicitor for Public Prosecutions (NSW))</w:t>
      </w:r>
    </w:p>
    <w:p w14:paraId="61C4CFDE" w14:textId="77777777" w:rsidR="007B474E" w:rsidRPr="00F840E1" w:rsidRDefault="007B474E" w:rsidP="001B3C97">
      <w:pPr>
        <w:pStyle w:val="Body"/>
      </w:pPr>
    </w:p>
    <w:p w14:paraId="56677501" w14:textId="77777777" w:rsidR="007B474E" w:rsidRPr="00F840E1" w:rsidRDefault="007B474E" w:rsidP="00E90E4F">
      <w:pPr>
        <w:pStyle w:val="OrdersBody"/>
      </w:pPr>
      <w:r w:rsidRPr="00F840E1">
        <w:t>G A Bashir SC with C Parkin and J R Murphy for the respondent (instructed by Fahmy Lawyers)</w:t>
      </w:r>
    </w:p>
    <w:p w14:paraId="5A007CC8" w14:textId="77777777" w:rsidR="007B474E" w:rsidRDefault="007B474E" w:rsidP="00A01277">
      <w:pPr>
        <w:pStyle w:val="Body"/>
      </w:pPr>
    </w:p>
    <w:p w14:paraId="5FBFE131" w14:textId="77777777" w:rsidR="007B474E" w:rsidRPr="00427F3A" w:rsidRDefault="007B474E" w:rsidP="00EE5374">
      <w:pPr>
        <w:pStyle w:val="Body"/>
      </w:pPr>
    </w:p>
    <w:p w14:paraId="5F2EFB27" w14:textId="77777777" w:rsidR="007B474E" w:rsidRPr="00427F3A" w:rsidRDefault="007B474E" w:rsidP="00F9713B">
      <w:pPr>
        <w:pStyle w:val="Notice"/>
        <w:rPr>
          <w:lang w:val="en-AU"/>
        </w:rPr>
      </w:pPr>
      <w:r w:rsidRPr="00427F3A">
        <w:rPr>
          <w:lang w:val="en-AU"/>
        </w:rPr>
        <w:t>Notice:  This copy of the Court's Reasons for Judgment is subject to formal revision prior to publication in the Commonwealth Law Reports.</w:t>
      </w:r>
    </w:p>
    <w:p w14:paraId="43FD2066" w14:textId="51EA3556" w:rsidR="007B474E" w:rsidRDefault="007B47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3533DD9" w14:textId="77777777" w:rsidR="00C42F70" w:rsidRDefault="007B47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42F70" w:rsidSect="007B474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5D0C686" w14:textId="77777777" w:rsidR="00C42F70" w:rsidRDefault="00C42F70" w:rsidP="00C42F70">
      <w:pPr>
        <w:pStyle w:val="CatchwordsBold"/>
      </w:pPr>
      <w:r w:rsidRPr="00B9489E">
        <w:lastRenderedPageBreak/>
        <w:t>CATCHWORDS</w:t>
      </w:r>
    </w:p>
    <w:p w14:paraId="055CCAB1" w14:textId="77777777" w:rsidR="00C42F70" w:rsidRDefault="00C42F70" w:rsidP="00C42F70">
      <w:pPr>
        <w:pStyle w:val="CatchwordsBold"/>
      </w:pPr>
    </w:p>
    <w:p w14:paraId="53D88AC4" w14:textId="77777777" w:rsidR="00C42F70" w:rsidRDefault="00C42F70" w:rsidP="00C42F70">
      <w:pPr>
        <w:pStyle w:val="CatchwordsBold"/>
      </w:pPr>
      <w:r w:rsidRPr="00E64D91">
        <w:t>The King v Batak</w:t>
      </w:r>
    </w:p>
    <w:p w14:paraId="713D9951" w14:textId="77777777" w:rsidR="00C42F70" w:rsidRDefault="00C42F70" w:rsidP="00C42F70">
      <w:pPr>
        <w:pStyle w:val="CatchwordsBold"/>
      </w:pPr>
    </w:p>
    <w:p w14:paraId="35507053" w14:textId="77777777" w:rsidR="00C42F70" w:rsidRDefault="00C42F70" w:rsidP="00C42F70">
      <w:pPr>
        <w:pStyle w:val="CatchwordsText"/>
      </w:pPr>
      <w:r>
        <w:t>Criminal practice – Particular offences – A</w:t>
      </w:r>
      <w:r w:rsidRPr="00EE08AA">
        <w:t>ccessory before the fact to constructive murder</w:t>
      </w:r>
      <w:r w:rsidRPr="00C9305B">
        <w:t xml:space="preserve"> –</w:t>
      </w:r>
      <w:r>
        <w:t xml:space="preserve"> Where foundational offence was attempted robbery armed with dangerous weapon</w:t>
      </w:r>
      <w:r w:rsidRPr="00233235">
        <w:t xml:space="preserve"> –</w:t>
      </w:r>
      <w:r>
        <w:t xml:space="preserve"> Whether a</w:t>
      </w:r>
      <w:r w:rsidRPr="00605856">
        <w:t>ccessory before the fact to constructive murder</w:t>
      </w:r>
      <w:r>
        <w:t xml:space="preserve"> is an offence known to law.</w:t>
      </w:r>
    </w:p>
    <w:p w14:paraId="5184E084" w14:textId="77777777" w:rsidR="00C42F70" w:rsidRDefault="00C42F70" w:rsidP="00C42F70">
      <w:pPr>
        <w:pStyle w:val="CatchwordsText"/>
      </w:pPr>
    </w:p>
    <w:p w14:paraId="69F1E1F0" w14:textId="77777777" w:rsidR="00C42F70" w:rsidRDefault="00C42F70" w:rsidP="00C42F70">
      <w:pPr>
        <w:pStyle w:val="CatchwordsText"/>
      </w:pPr>
      <w:r w:rsidRPr="007217FA">
        <w:t xml:space="preserve">High Court – Special leave to appeal – </w:t>
      </w:r>
      <w:r>
        <w:t xml:space="preserve">Where New South Wales Court of Criminal Appeal ("CCA") ordered new trial </w:t>
      </w:r>
      <w:r w:rsidRPr="007217FA">
        <w:t>–</w:t>
      </w:r>
      <w:r>
        <w:t xml:space="preserve"> </w:t>
      </w:r>
      <w:r w:rsidRPr="007217FA">
        <w:t xml:space="preserve">Where </w:t>
      </w:r>
      <w:r>
        <w:t xml:space="preserve">Crown sought orders setting aside orders of CCA and dismissing respondent's appeal against conviction </w:t>
      </w:r>
      <w:r w:rsidRPr="00666C66">
        <w:t>–</w:t>
      </w:r>
      <w:r>
        <w:t xml:space="preserve"> Where Crown argued </w:t>
      </w:r>
      <w:r w:rsidRPr="00955EF6">
        <w:t>accessory before the fact to constructive murder is an offence known to law –</w:t>
      </w:r>
      <w:r>
        <w:t xml:space="preserve"> Where Crown argued different formulation of mental element in CCA and High Court </w:t>
      </w:r>
      <w:r w:rsidRPr="008F2FFF">
        <w:t>–</w:t>
      </w:r>
      <w:r>
        <w:t xml:space="preserve"> Where Crown conceded acceptance of its argument required CCA's order for new trial to be affirmed</w:t>
      </w:r>
      <w:r w:rsidRPr="00BB0470">
        <w:t xml:space="preserve"> –</w:t>
      </w:r>
      <w:r>
        <w:t xml:space="preserve"> </w:t>
      </w:r>
      <w:r w:rsidRPr="00B84199">
        <w:t>Whether special leave</w:t>
      </w:r>
      <w:r>
        <w:t xml:space="preserve"> to appeal</w:t>
      </w:r>
      <w:r w:rsidRPr="00B84199">
        <w:t xml:space="preserve"> should be revoked</w:t>
      </w:r>
      <w:r>
        <w:t xml:space="preserve"> </w:t>
      </w:r>
      <w:r w:rsidRPr="00B84199">
        <w:t>–</w:t>
      </w:r>
      <w:r>
        <w:t xml:space="preserve"> Whether </w:t>
      </w:r>
      <w:r w:rsidRPr="004B2410">
        <w:t>interests of justice warranted revocation of special leave</w:t>
      </w:r>
      <w:r w:rsidRPr="004B2410">
        <w:rPr>
          <w:lang w:eastAsia="en-US"/>
        </w:rPr>
        <w:t xml:space="preserve"> </w:t>
      </w:r>
      <w:r w:rsidRPr="004B2410">
        <w:t>to appeal</w:t>
      </w:r>
      <w:r w:rsidRPr="003215F6">
        <w:t xml:space="preserve"> –</w:t>
      </w:r>
      <w:r>
        <w:t xml:space="preserve"> Whether Crown in substance seeking guidance as to scope of retrial</w:t>
      </w:r>
      <w:r w:rsidRPr="00CB4240">
        <w:t xml:space="preserve"> –</w:t>
      </w:r>
      <w:r>
        <w:t xml:space="preserve"> Whether case ceased to be appropriate vehicle.</w:t>
      </w:r>
    </w:p>
    <w:p w14:paraId="368E84A5" w14:textId="77777777" w:rsidR="00C42F70" w:rsidRDefault="00C42F70" w:rsidP="00C42F70">
      <w:pPr>
        <w:pStyle w:val="CatchwordsText"/>
      </w:pPr>
    </w:p>
    <w:p w14:paraId="7F75A075" w14:textId="77777777" w:rsidR="00C42F70" w:rsidRDefault="00C42F70" w:rsidP="00C42F70">
      <w:pPr>
        <w:pStyle w:val="CatchwordsText"/>
      </w:pPr>
      <w:r w:rsidRPr="00AD18D4">
        <w:t>Words and phrases</w:t>
      </w:r>
      <w:r>
        <w:t xml:space="preserve"> </w:t>
      </w:r>
      <w:bookmarkStart w:id="0" w:name="_Hlk161737022"/>
      <w:r>
        <w:t xml:space="preserve">– </w:t>
      </w:r>
      <w:bookmarkEnd w:id="0"/>
      <w:r>
        <w:t>"accessorial liability", "</w:t>
      </w:r>
      <w:r>
        <w:rPr>
          <w:lang w:eastAsia="en-US"/>
        </w:rPr>
        <w:t>a</w:t>
      </w:r>
      <w:r w:rsidRPr="001B7C6E">
        <w:t>ccessory before the fact</w:t>
      </w:r>
      <w:r>
        <w:t>", "accessory before the fact to constructive murder", "appeal against reasons", "appropriate vehicle", "armed robbery", "</w:t>
      </w:r>
      <w:r w:rsidRPr="001B7C6E">
        <w:t>constructive murder</w:t>
      </w:r>
      <w:r>
        <w:t xml:space="preserve">", "derivative liability", "extended joint criminal enterprise", "foundational offence", "ground of appeal", "guidance", "gun", "high vis shirt", "interests of justice", "joint criminal enterprise", "jury", "jury direction", "knowledge of the act causing death", "mental element", "new trial", "no real dispute", "offence known to law", "primary liability", "revocation of special leave to appeal", "special leave to appeal", "state of mind", "trial judge's direction", "variation of orders". </w:t>
      </w:r>
    </w:p>
    <w:p w14:paraId="6EE679F8" w14:textId="77777777" w:rsidR="00C42F70" w:rsidRPr="00C42F70" w:rsidRDefault="00C42F70" w:rsidP="00C42F70">
      <w:pPr>
        <w:pStyle w:val="CatchwordsText"/>
      </w:pPr>
    </w:p>
    <w:p w14:paraId="210CF491" w14:textId="58F9C5D1" w:rsidR="007B474E" w:rsidRDefault="00C42F70" w:rsidP="00C42F70">
      <w:pPr>
        <w:pStyle w:val="CatchwordsText"/>
      </w:pPr>
      <w:r w:rsidRPr="00C42F70">
        <w:rPr>
          <w:i/>
          <w:iCs/>
        </w:rPr>
        <w:t>Crimes Act 1900</w:t>
      </w:r>
      <w:r>
        <w:t> </w:t>
      </w:r>
      <w:r w:rsidRPr="00B3515F">
        <w:t>(NSW)</w:t>
      </w:r>
      <w:r>
        <w:t>, s</w:t>
      </w:r>
      <w:r w:rsidR="006D05E2">
        <w:t>s</w:t>
      </w:r>
      <w:r>
        <w:t> 18</w:t>
      </w:r>
      <w:r w:rsidR="006A2FBB">
        <w:t>, 346</w:t>
      </w:r>
      <w:r>
        <w:t>.</w:t>
      </w:r>
    </w:p>
    <w:p w14:paraId="265A0440" w14:textId="3DD6381A" w:rsidR="00C42F70" w:rsidRDefault="00C42F7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E331F3A" w14:textId="6A41CF7B" w:rsidR="00C42F70" w:rsidRDefault="00C42F7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9C19299" w14:textId="77777777" w:rsidR="007B474E" w:rsidRDefault="007B474E" w:rsidP="00D0513A">
      <w:pPr>
        <w:pStyle w:val="FixListStyle"/>
        <w:tabs>
          <w:tab w:val="clear" w:pos="720"/>
          <w:tab w:val="left" w:pos="0"/>
        </w:tabs>
        <w:spacing w:after="260" w:line="280" w:lineRule="exact"/>
        <w:ind w:right="0"/>
        <w:jc w:val="both"/>
        <w:rPr>
          <w:rFonts w:ascii="Times New Roman" w:hAnsi="Times New Roman"/>
        </w:rPr>
        <w:sectPr w:rsidR="007B474E" w:rsidSect="00C42F70">
          <w:pgSz w:w="11907" w:h="16839" w:code="9"/>
          <w:pgMar w:top="1440" w:right="1701" w:bottom="1984" w:left="1701" w:header="720" w:footer="720" w:gutter="0"/>
          <w:pgNumType w:start="1"/>
          <w:cols w:space="720"/>
          <w:titlePg/>
          <w:docGrid w:linePitch="354"/>
        </w:sectPr>
      </w:pPr>
    </w:p>
    <w:p w14:paraId="5E0AE20D" w14:textId="3DBD96F3" w:rsidR="00305C9F" w:rsidRPr="00D0513A" w:rsidRDefault="00D0513A" w:rsidP="00D0513A">
      <w:pPr>
        <w:pStyle w:val="FixListStyle"/>
        <w:tabs>
          <w:tab w:val="clear" w:pos="720"/>
          <w:tab w:val="left" w:pos="0"/>
        </w:tabs>
        <w:spacing w:after="260" w:line="280" w:lineRule="exact"/>
        <w:ind w:right="0"/>
        <w:jc w:val="both"/>
        <w:rPr>
          <w:rFonts w:ascii="Times New Roman" w:hAnsi="Times New Roman"/>
        </w:rPr>
      </w:pPr>
      <w:r w:rsidRPr="00D0513A">
        <w:rPr>
          <w:rFonts w:ascii="Times New Roman" w:hAnsi="Times New Roman"/>
        </w:rPr>
        <w:lastRenderedPageBreak/>
        <w:t xml:space="preserve">GAGELER CJ, GORDON, STEWARD, GLEESON AND BEECH-JONES JJ.   </w:t>
      </w:r>
      <w:r w:rsidR="00ED582B" w:rsidRPr="00D0513A">
        <w:rPr>
          <w:rFonts w:ascii="Times New Roman" w:hAnsi="Times New Roman"/>
        </w:rPr>
        <w:t>Pursuant to a prior grant of special leave to appeal,</w:t>
      </w:r>
      <w:r w:rsidR="00781CBF" w:rsidRPr="00D0513A">
        <w:rPr>
          <w:rFonts w:ascii="Times New Roman" w:hAnsi="Times New Roman"/>
        </w:rPr>
        <w:t xml:space="preserve"> </w:t>
      </w:r>
      <w:r w:rsidR="00C97DB7" w:rsidRPr="00D0513A">
        <w:rPr>
          <w:rFonts w:ascii="Times New Roman" w:hAnsi="Times New Roman"/>
        </w:rPr>
        <w:t xml:space="preserve">the Crown </w:t>
      </w:r>
      <w:r w:rsidR="00C80DEE" w:rsidRPr="00D0513A">
        <w:rPr>
          <w:rFonts w:ascii="Times New Roman" w:hAnsi="Times New Roman"/>
        </w:rPr>
        <w:t xml:space="preserve">appealed to this Court </w:t>
      </w:r>
      <w:r w:rsidR="00652B0F" w:rsidRPr="00D0513A">
        <w:rPr>
          <w:rFonts w:ascii="Times New Roman" w:hAnsi="Times New Roman"/>
        </w:rPr>
        <w:t xml:space="preserve">from </w:t>
      </w:r>
      <w:r w:rsidR="008B33B2" w:rsidRPr="00D0513A">
        <w:rPr>
          <w:rFonts w:ascii="Times New Roman" w:hAnsi="Times New Roman"/>
        </w:rPr>
        <w:t xml:space="preserve">part of </w:t>
      </w:r>
      <w:r w:rsidR="00CE1809" w:rsidRPr="00D0513A">
        <w:rPr>
          <w:rFonts w:ascii="Times New Roman" w:hAnsi="Times New Roman"/>
        </w:rPr>
        <w:t>the</w:t>
      </w:r>
      <w:r w:rsidR="00652B0F" w:rsidRPr="00D0513A">
        <w:rPr>
          <w:rFonts w:ascii="Times New Roman" w:hAnsi="Times New Roman"/>
        </w:rPr>
        <w:t xml:space="preserve"> </w:t>
      </w:r>
      <w:r w:rsidR="00CE1809" w:rsidRPr="00D0513A">
        <w:rPr>
          <w:rFonts w:ascii="Times New Roman" w:hAnsi="Times New Roman"/>
        </w:rPr>
        <w:t>judgment</w:t>
      </w:r>
      <w:r w:rsidR="00652B0F" w:rsidRPr="00D0513A">
        <w:rPr>
          <w:rFonts w:ascii="Times New Roman" w:hAnsi="Times New Roman"/>
        </w:rPr>
        <w:t xml:space="preserve"> of the </w:t>
      </w:r>
      <w:r w:rsidR="001E7C05" w:rsidRPr="00D0513A">
        <w:rPr>
          <w:rFonts w:ascii="Times New Roman" w:hAnsi="Times New Roman"/>
        </w:rPr>
        <w:t xml:space="preserve">New South Wales </w:t>
      </w:r>
      <w:r w:rsidR="00CE1809" w:rsidRPr="00D0513A">
        <w:rPr>
          <w:rFonts w:ascii="Times New Roman" w:hAnsi="Times New Roman"/>
        </w:rPr>
        <w:t xml:space="preserve">Court of Criminal Appeal in </w:t>
      </w:r>
      <w:r w:rsidR="00CE1809" w:rsidRPr="00D0513A">
        <w:rPr>
          <w:rFonts w:ascii="Times New Roman" w:hAnsi="Times New Roman"/>
          <w:i/>
          <w:iCs/>
        </w:rPr>
        <w:t xml:space="preserve">Batak v </w:t>
      </w:r>
      <w:r w:rsidR="00614047" w:rsidRPr="00D0513A">
        <w:rPr>
          <w:rFonts w:ascii="Times New Roman" w:hAnsi="Times New Roman"/>
          <w:i/>
          <w:iCs/>
        </w:rPr>
        <w:t>The King</w:t>
      </w:r>
      <w:r w:rsidR="007C1B48" w:rsidRPr="00D0513A">
        <w:rPr>
          <w:rFonts w:ascii="Times New Roman" w:hAnsi="Times New Roman"/>
        </w:rPr>
        <w:t>.</w:t>
      </w:r>
      <w:r w:rsidR="007C0962" w:rsidRPr="00D0513A">
        <w:rPr>
          <w:rStyle w:val="FootnoteReference"/>
          <w:rFonts w:ascii="Times New Roman" w:hAnsi="Times New Roman"/>
          <w:sz w:val="24"/>
        </w:rPr>
        <w:footnoteReference w:id="2"/>
      </w:r>
      <w:r w:rsidR="00565A1A" w:rsidRPr="00D0513A">
        <w:rPr>
          <w:rFonts w:ascii="Times New Roman" w:hAnsi="Times New Roman"/>
        </w:rPr>
        <w:t xml:space="preserve"> T</w:t>
      </w:r>
      <w:r w:rsidR="00077009" w:rsidRPr="00D0513A">
        <w:rPr>
          <w:rFonts w:ascii="Times New Roman" w:hAnsi="Times New Roman"/>
        </w:rPr>
        <w:t>he</w:t>
      </w:r>
      <w:r w:rsidR="007D0A73" w:rsidRPr="00D0513A">
        <w:rPr>
          <w:rFonts w:ascii="Times New Roman" w:hAnsi="Times New Roman"/>
        </w:rPr>
        <w:t xml:space="preserve"> sole ground </w:t>
      </w:r>
      <w:r w:rsidR="00565A1A" w:rsidRPr="00D0513A">
        <w:rPr>
          <w:rFonts w:ascii="Times New Roman" w:hAnsi="Times New Roman"/>
        </w:rPr>
        <w:t xml:space="preserve">of the appeal </w:t>
      </w:r>
      <w:r w:rsidR="00781CBF" w:rsidRPr="00D0513A">
        <w:rPr>
          <w:rFonts w:ascii="Times New Roman" w:hAnsi="Times New Roman"/>
        </w:rPr>
        <w:t>was</w:t>
      </w:r>
      <w:r w:rsidR="00565A1A" w:rsidRPr="00D0513A">
        <w:rPr>
          <w:rFonts w:ascii="Times New Roman" w:hAnsi="Times New Roman"/>
        </w:rPr>
        <w:t xml:space="preserve"> </w:t>
      </w:r>
      <w:r w:rsidR="00BF116F" w:rsidRPr="00D0513A">
        <w:rPr>
          <w:rFonts w:ascii="Times New Roman" w:hAnsi="Times New Roman"/>
        </w:rPr>
        <w:t xml:space="preserve">that the Court of Criminal Appeal </w:t>
      </w:r>
      <w:r w:rsidR="00B11218" w:rsidRPr="00D0513A">
        <w:rPr>
          <w:rFonts w:ascii="Times New Roman" w:hAnsi="Times New Roman"/>
        </w:rPr>
        <w:t>erred in concluding that it was an error of law to permit constructive murder to be left to the jury on the basis of accessorial liability.</w:t>
      </w:r>
      <w:r w:rsidR="00DE7509" w:rsidRPr="00D0513A">
        <w:rPr>
          <w:rFonts w:ascii="Times New Roman" w:hAnsi="Times New Roman"/>
        </w:rPr>
        <w:t xml:space="preserve"> </w:t>
      </w:r>
    </w:p>
    <w:p w14:paraId="0A5D5DDD" w14:textId="42255820" w:rsidR="008E7EAE" w:rsidRPr="00D0513A" w:rsidRDefault="00AB7DFE"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B53F6C" w:rsidRPr="00D0513A">
        <w:rPr>
          <w:rFonts w:ascii="Times New Roman" w:hAnsi="Times New Roman"/>
        </w:rPr>
        <w:t>On 8</w:t>
      </w:r>
      <w:r w:rsidR="0020347A" w:rsidRPr="00D0513A">
        <w:rPr>
          <w:rFonts w:ascii="Times New Roman" w:hAnsi="Times New Roman"/>
        </w:rPr>
        <w:t> </w:t>
      </w:r>
      <w:r w:rsidR="00B53F6C" w:rsidRPr="00D0513A">
        <w:rPr>
          <w:rFonts w:ascii="Times New Roman" w:hAnsi="Times New Roman"/>
        </w:rPr>
        <w:t>April 2025</w:t>
      </w:r>
      <w:r w:rsidR="001E7C05" w:rsidRPr="00D0513A">
        <w:rPr>
          <w:rFonts w:ascii="Times New Roman" w:hAnsi="Times New Roman"/>
        </w:rPr>
        <w:t>,</w:t>
      </w:r>
      <w:r w:rsidR="00B53F6C" w:rsidRPr="00D0513A">
        <w:rPr>
          <w:rFonts w:ascii="Times New Roman" w:hAnsi="Times New Roman"/>
        </w:rPr>
        <w:t xml:space="preserve"> this Court ordered by a majority that</w:t>
      </w:r>
      <w:r w:rsidR="008E7EAE" w:rsidRPr="00D0513A">
        <w:rPr>
          <w:rFonts w:ascii="Times New Roman" w:hAnsi="Times New Roman"/>
        </w:rPr>
        <w:t xml:space="preserve">: </w:t>
      </w:r>
    </w:p>
    <w:p w14:paraId="036DA719" w14:textId="247357AF" w:rsidR="00E65DAB" w:rsidRPr="00D0513A" w:rsidRDefault="00C83942" w:rsidP="00C83942">
      <w:pPr>
        <w:pStyle w:val="FixListStyle"/>
        <w:numPr>
          <w:ilvl w:val="0"/>
          <w:numId w:val="0"/>
        </w:numPr>
        <w:spacing w:after="260" w:line="280" w:lineRule="exact"/>
        <w:ind w:left="-720" w:right="0"/>
        <w:jc w:val="both"/>
        <w:rPr>
          <w:rFonts w:ascii="Times New Roman" w:hAnsi="Times New Roman"/>
        </w:rPr>
      </w:pPr>
      <w:r>
        <w:rPr>
          <w:rFonts w:ascii="Times New Roman" w:hAnsi="Times New Roman"/>
        </w:rPr>
        <w:tab/>
      </w:r>
      <w:r w:rsidR="008E7EAE" w:rsidRPr="00D0513A">
        <w:rPr>
          <w:rFonts w:ascii="Times New Roman" w:hAnsi="Times New Roman"/>
        </w:rPr>
        <w:t>(1)</w:t>
      </w:r>
      <w:r w:rsidR="008E7EAE" w:rsidRPr="00D0513A">
        <w:rPr>
          <w:rFonts w:ascii="Times New Roman" w:hAnsi="Times New Roman"/>
        </w:rPr>
        <w:tab/>
        <w:t>Leave to file the proposed Amended Notice of Appeal is refused.</w:t>
      </w:r>
    </w:p>
    <w:p w14:paraId="3C81145D" w14:textId="68807E1F" w:rsidR="008E7EAE" w:rsidRPr="00D0513A" w:rsidRDefault="00C83942" w:rsidP="00C83942">
      <w:pPr>
        <w:pStyle w:val="FixListStyle"/>
        <w:numPr>
          <w:ilvl w:val="0"/>
          <w:numId w:val="0"/>
        </w:numPr>
        <w:spacing w:after="260" w:line="280" w:lineRule="exact"/>
        <w:ind w:left="-720" w:right="0"/>
        <w:jc w:val="both"/>
        <w:rPr>
          <w:rFonts w:ascii="Times New Roman" w:hAnsi="Times New Roman"/>
        </w:rPr>
      </w:pPr>
      <w:r>
        <w:rPr>
          <w:rFonts w:ascii="Times New Roman" w:hAnsi="Times New Roman"/>
        </w:rPr>
        <w:tab/>
      </w:r>
      <w:r w:rsidR="008E7EAE" w:rsidRPr="00D0513A">
        <w:rPr>
          <w:rFonts w:ascii="Times New Roman" w:hAnsi="Times New Roman"/>
        </w:rPr>
        <w:t>(2)</w:t>
      </w:r>
      <w:r w:rsidR="008E7EAE" w:rsidRPr="00D0513A">
        <w:rPr>
          <w:rFonts w:ascii="Times New Roman" w:hAnsi="Times New Roman"/>
        </w:rPr>
        <w:tab/>
        <w:t>Special leave to appeal is revoked.</w:t>
      </w:r>
    </w:p>
    <w:p w14:paraId="5153706E" w14:textId="484999F2" w:rsidR="008A2C87" w:rsidRPr="00D0513A" w:rsidRDefault="00377376"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112223" w:rsidRPr="00D0513A">
        <w:rPr>
          <w:rFonts w:ascii="Times New Roman" w:hAnsi="Times New Roman"/>
        </w:rPr>
        <w:t>These are our reasons for making th</w:t>
      </w:r>
      <w:r w:rsidR="00815538" w:rsidRPr="00D0513A">
        <w:rPr>
          <w:rFonts w:ascii="Times New Roman" w:hAnsi="Times New Roman"/>
        </w:rPr>
        <w:t>o</w:t>
      </w:r>
      <w:r w:rsidR="00112223" w:rsidRPr="00D0513A">
        <w:rPr>
          <w:rFonts w:ascii="Times New Roman" w:hAnsi="Times New Roman"/>
        </w:rPr>
        <w:t>se orders.</w:t>
      </w:r>
    </w:p>
    <w:p w14:paraId="674A3298" w14:textId="4AA3BA2C" w:rsidR="00112223" w:rsidRPr="00D0513A" w:rsidRDefault="00112223" w:rsidP="00D0513A">
      <w:pPr>
        <w:pStyle w:val="HeadingL1"/>
        <w:spacing w:after="260" w:line="280" w:lineRule="exact"/>
        <w:ind w:right="0"/>
        <w:jc w:val="both"/>
        <w:rPr>
          <w:rFonts w:ascii="Times New Roman" w:hAnsi="Times New Roman"/>
        </w:rPr>
      </w:pPr>
      <w:r w:rsidRPr="00D0513A">
        <w:rPr>
          <w:rFonts w:ascii="Times New Roman" w:hAnsi="Times New Roman"/>
        </w:rPr>
        <w:t>Proceedings in the Court of Criminal Appeal</w:t>
      </w:r>
    </w:p>
    <w:p w14:paraId="0E2B71DF" w14:textId="50DF56E1" w:rsidR="00634DA1" w:rsidRPr="00D0513A" w:rsidRDefault="00377376"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C2004C" w:rsidRPr="00D0513A">
        <w:rPr>
          <w:rFonts w:ascii="Times New Roman" w:hAnsi="Times New Roman"/>
        </w:rPr>
        <w:t xml:space="preserve">The </w:t>
      </w:r>
      <w:r w:rsidR="00AD359E" w:rsidRPr="00D0513A">
        <w:rPr>
          <w:rFonts w:ascii="Times New Roman" w:hAnsi="Times New Roman"/>
        </w:rPr>
        <w:t xml:space="preserve">appeal to the Court </w:t>
      </w:r>
      <w:r w:rsidR="000B10C6" w:rsidRPr="00D0513A">
        <w:rPr>
          <w:rFonts w:ascii="Times New Roman" w:hAnsi="Times New Roman"/>
        </w:rPr>
        <w:t xml:space="preserve">of </w:t>
      </w:r>
      <w:r w:rsidR="00CD7894" w:rsidRPr="00D0513A">
        <w:rPr>
          <w:rFonts w:ascii="Times New Roman" w:hAnsi="Times New Roman"/>
        </w:rPr>
        <w:t>Criminal A</w:t>
      </w:r>
      <w:r w:rsidR="000B10C6" w:rsidRPr="00D0513A">
        <w:rPr>
          <w:rFonts w:ascii="Times New Roman" w:hAnsi="Times New Roman"/>
        </w:rPr>
        <w:t xml:space="preserve">ppeal was from the conviction of the respondent </w:t>
      </w:r>
      <w:r w:rsidR="00E15EDD" w:rsidRPr="00D0513A">
        <w:rPr>
          <w:rFonts w:ascii="Times New Roman" w:hAnsi="Times New Roman"/>
        </w:rPr>
        <w:t>on two counts in a trial by jury in the Supreme Court of New South Wales. Count</w:t>
      </w:r>
      <w:r w:rsidRPr="00D0513A">
        <w:rPr>
          <w:rFonts w:ascii="Times New Roman" w:hAnsi="Times New Roman"/>
        </w:rPr>
        <w:t> </w:t>
      </w:r>
      <w:r w:rsidR="00E15EDD" w:rsidRPr="00D0513A">
        <w:rPr>
          <w:rFonts w:ascii="Times New Roman" w:hAnsi="Times New Roman"/>
        </w:rPr>
        <w:t xml:space="preserve">2 </w:t>
      </w:r>
      <w:r w:rsidR="00EB272B" w:rsidRPr="00D0513A">
        <w:rPr>
          <w:rFonts w:ascii="Times New Roman" w:hAnsi="Times New Roman"/>
        </w:rPr>
        <w:t xml:space="preserve">was </w:t>
      </w:r>
      <w:r w:rsidR="00B63850" w:rsidRPr="00D0513A">
        <w:rPr>
          <w:rFonts w:ascii="Times New Roman" w:hAnsi="Times New Roman"/>
        </w:rPr>
        <w:t>attempted robbery</w:t>
      </w:r>
      <w:r w:rsidR="00205EE1" w:rsidRPr="00D0513A">
        <w:rPr>
          <w:rFonts w:ascii="Times New Roman" w:hAnsi="Times New Roman"/>
        </w:rPr>
        <w:t xml:space="preserve"> whilst armed with a dangerous weapon</w:t>
      </w:r>
      <w:r w:rsidR="00476DBA" w:rsidRPr="00D0513A">
        <w:rPr>
          <w:rFonts w:ascii="Times New Roman" w:hAnsi="Times New Roman"/>
        </w:rPr>
        <w:t xml:space="preserve">. </w:t>
      </w:r>
      <w:r w:rsidR="000D66F9" w:rsidRPr="00D0513A">
        <w:rPr>
          <w:rFonts w:ascii="Times New Roman" w:hAnsi="Times New Roman"/>
        </w:rPr>
        <w:t>Count</w:t>
      </w:r>
      <w:r w:rsidRPr="00D0513A">
        <w:rPr>
          <w:rFonts w:ascii="Times New Roman" w:hAnsi="Times New Roman"/>
        </w:rPr>
        <w:t> </w:t>
      </w:r>
      <w:r w:rsidR="000D66F9" w:rsidRPr="00D0513A">
        <w:rPr>
          <w:rFonts w:ascii="Times New Roman" w:hAnsi="Times New Roman"/>
        </w:rPr>
        <w:t xml:space="preserve">2 was argued by the Crown and left to the jury on the basis of the respondent being an accessory before the fact to the offence. </w:t>
      </w:r>
      <w:r w:rsidR="002D0C43" w:rsidRPr="00D0513A">
        <w:rPr>
          <w:rFonts w:ascii="Times New Roman" w:hAnsi="Times New Roman"/>
        </w:rPr>
        <w:t>Count</w:t>
      </w:r>
      <w:r w:rsidRPr="00D0513A">
        <w:rPr>
          <w:rFonts w:ascii="Times New Roman" w:hAnsi="Times New Roman"/>
        </w:rPr>
        <w:t> </w:t>
      </w:r>
      <w:r w:rsidR="002D0C43" w:rsidRPr="00D0513A">
        <w:rPr>
          <w:rFonts w:ascii="Times New Roman" w:hAnsi="Times New Roman"/>
        </w:rPr>
        <w:t xml:space="preserve">1 </w:t>
      </w:r>
      <w:r w:rsidR="0006296E" w:rsidRPr="00D0513A">
        <w:rPr>
          <w:rFonts w:ascii="Times New Roman" w:hAnsi="Times New Roman"/>
        </w:rPr>
        <w:t>was murder</w:t>
      </w:r>
      <w:r w:rsidR="00804148" w:rsidRPr="00D0513A">
        <w:rPr>
          <w:rFonts w:ascii="Times New Roman" w:hAnsi="Times New Roman"/>
        </w:rPr>
        <w:t>. Count</w:t>
      </w:r>
      <w:r w:rsidRPr="00D0513A">
        <w:rPr>
          <w:rFonts w:ascii="Times New Roman" w:hAnsi="Times New Roman"/>
        </w:rPr>
        <w:t> </w:t>
      </w:r>
      <w:r w:rsidR="00804148" w:rsidRPr="00D0513A">
        <w:rPr>
          <w:rFonts w:ascii="Times New Roman" w:hAnsi="Times New Roman"/>
        </w:rPr>
        <w:t>1</w:t>
      </w:r>
      <w:r w:rsidR="00192C77" w:rsidRPr="00D0513A">
        <w:rPr>
          <w:rFonts w:ascii="Times New Roman" w:hAnsi="Times New Roman"/>
        </w:rPr>
        <w:t xml:space="preserve"> </w:t>
      </w:r>
      <w:r w:rsidR="002D0C43" w:rsidRPr="00D0513A">
        <w:rPr>
          <w:rFonts w:ascii="Times New Roman" w:hAnsi="Times New Roman"/>
        </w:rPr>
        <w:t xml:space="preserve">was </w:t>
      </w:r>
      <w:r w:rsidR="00BA06C0" w:rsidRPr="00D0513A">
        <w:rPr>
          <w:rFonts w:ascii="Times New Roman" w:hAnsi="Times New Roman"/>
        </w:rPr>
        <w:t>argued by the Crown</w:t>
      </w:r>
      <w:r w:rsidR="00192C77" w:rsidRPr="00D0513A">
        <w:rPr>
          <w:rFonts w:ascii="Times New Roman" w:hAnsi="Times New Roman"/>
        </w:rPr>
        <w:t xml:space="preserve"> </w:t>
      </w:r>
      <w:r w:rsidR="009476FF" w:rsidRPr="00D0513A">
        <w:rPr>
          <w:rFonts w:ascii="Times New Roman" w:hAnsi="Times New Roman"/>
        </w:rPr>
        <w:t xml:space="preserve">and left to the jury </w:t>
      </w:r>
      <w:r w:rsidR="002D0C43" w:rsidRPr="00D0513A">
        <w:rPr>
          <w:rFonts w:ascii="Times New Roman" w:hAnsi="Times New Roman"/>
        </w:rPr>
        <w:t xml:space="preserve">as </w:t>
      </w:r>
      <w:r w:rsidR="00A26750" w:rsidRPr="00D0513A">
        <w:rPr>
          <w:rFonts w:ascii="Times New Roman" w:hAnsi="Times New Roman"/>
        </w:rPr>
        <w:t>a charge of constructive murder</w:t>
      </w:r>
      <w:r w:rsidR="00734EE7" w:rsidRPr="00D0513A">
        <w:rPr>
          <w:rFonts w:ascii="Times New Roman" w:hAnsi="Times New Roman"/>
        </w:rPr>
        <w:t xml:space="preserve"> on the basis of the respondent</w:t>
      </w:r>
      <w:r w:rsidR="00CC3427" w:rsidRPr="00D0513A">
        <w:rPr>
          <w:rFonts w:ascii="Times New Roman" w:hAnsi="Times New Roman"/>
        </w:rPr>
        <w:t xml:space="preserve"> being</w:t>
      </w:r>
      <w:r w:rsidR="002D0C43" w:rsidRPr="00D0513A">
        <w:rPr>
          <w:rFonts w:ascii="Times New Roman" w:hAnsi="Times New Roman"/>
        </w:rPr>
        <w:t xml:space="preserve"> an accessory before the fact to</w:t>
      </w:r>
      <w:r w:rsidR="00A246B6" w:rsidRPr="00D0513A">
        <w:rPr>
          <w:rFonts w:ascii="Times New Roman" w:hAnsi="Times New Roman"/>
        </w:rPr>
        <w:t xml:space="preserve"> the foundational offence charged </w:t>
      </w:r>
      <w:r w:rsidR="004E2E87" w:rsidRPr="00D0513A">
        <w:rPr>
          <w:rFonts w:ascii="Times New Roman" w:hAnsi="Times New Roman"/>
        </w:rPr>
        <w:t xml:space="preserve">in </w:t>
      </w:r>
      <w:r w:rsidRPr="00D0513A">
        <w:rPr>
          <w:rFonts w:ascii="Times New Roman" w:hAnsi="Times New Roman"/>
        </w:rPr>
        <w:t>C</w:t>
      </w:r>
      <w:r w:rsidR="004E2E87" w:rsidRPr="00D0513A">
        <w:rPr>
          <w:rFonts w:ascii="Times New Roman" w:hAnsi="Times New Roman"/>
        </w:rPr>
        <w:t>ount</w:t>
      </w:r>
      <w:r w:rsidRPr="00D0513A">
        <w:rPr>
          <w:rFonts w:ascii="Times New Roman" w:hAnsi="Times New Roman"/>
        </w:rPr>
        <w:t> </w:t>
      </w:r>
      <w:r w:rsidR="004E2E87" w:rsidRPr="00D0513A">
        <w:rPr>
          <w:rFonts w:ascii="Times New Roman" w:hAnsi="Times New Roman"/>
        </w:rPr>
        <w:t>2</w:t>
      </w:r>
      <w:r w:rsidR="002D0C43" w:rsidRPr="00D0513A">
        <w:rPr>
          <w:rFonts w:ascii="Times New Roman" w:hAnsi="Times New Roman"/>
        </w:rPr>
        <w:t>.</w:t>
      </w:r>
    </w:p>
    <w:p w14:paraId="1E23FF0E" w14:textId="27C95EF8" w:rsidR="00656C74" w:rsidRPr="00D0513A" w:rsidRDefault="00804148"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E319F" w:rsidRPr="00D0513A">
        <w:rPr>
          <w:rFonts w:ascii="Times New Roman" w:hAnsi="Times New Roman"/>
        </w:rPr>
        <w:t>The</w:t>
      </w:r>
      <w:r w:rsidR="001116F9" w:rsidRPr="00D0513A">
        <w:rPr>
          <w:rFonts w:ascii="Times New Roman" w:hAnsi="Times New Roman"/>
        </w:rPr>
        <w:t xml:space="preserve"> </w:t>
      </w:r>
      <w:r w:rsidR="00656C74" w:rsidRPr="00D0513A">
        <w:rPr>
          <w:rFonts w:ascii="Times New Roman" w:hAnsi="Times New Roman"/>
        </w:rPr>
        <w:t xml:space="preserve">appeal </w:t>
      </w:r>
      <w:r w:rsidR="002275E8" w:rsidRPr="00D0513A">
        <w:rPr>
          <w:rFonts w:ascii="Times New Roman" w:hAnsi="Times New Roman"/>
        </w:rPr>
        <w:t xml:space="preserve">to the Court of Criminal Appeal </w:t>
      </w:r>
      <w:r w:rsidR="00CF0661" w:rsidRPr="00D0513A">
        <w:rPr>
          <w:rFonts w:ascii="Times New Roman" w:hAnsi="Times New Roman"/>
        </w:rPr>
        <w:t>was on four grounds</w:t>
      </w:r>
      <w:r w:rsidR="00600B6C" w:rsidRPr="00D0513A">
        <w:rPr>
          <w:rFonts w:ascii="Times New Roman" w:hAnsi="Times New Roman"/>
        </w:rPr>
        <w:t>.</w:t>
      </w:r>
      <w:r w:rsidR="00774D99" w:rsidRPr="00D0513A">
        <w:rPr>
          <w:rFonts w:ascii="Times New Roman" w:hAnsi="Times New Roman"/>
        </w:rPr>
        <w:t xml:space="preserve"> </w:t>
      </w:r>
      <w:r w:rsidR="00A41C66" w:rsidRPr="00D0513A">
        <w:rPr>
          <w:rFonts w:ascii="Times New Roman" w:hAnsi="Times New Roman"/>
        </w:rPr>
        <w:t>Ground</w:t>
      </w:r>
      <w:r w:rsidR="0012507A" w:rsidRPr="00D0513A">
        <w:rPr>
          <w:rFonts w:ascii="Times New Roman" w:hAnsi="Times New Roman"/>
        </w:rPr>
        <w:t> </w:t>
      </w:r>
      <w:r w:rsidR="00A41C66" w:rsidRPr="00D0513A">
        <w:rPr>
          <w:rFonts w:ascii="Times New Roman" w:hAnsi="Times New Roman"/>
        </w:rPr>
        <w:t xml:space="preserve">1 </w:t>
      </w:r>
      <w:r w:rsidR="0038603F" w:rsidRPr="00D0513A">
        <w:rPr>
          <w:rFonts w:ascii="Times New Roman" w:hAnsi="Times New Roman"/>
        </w:rPr>
        <w:t>was that it was an error of law to permit constructive murder to be left to the jury on the basis of accessorial liability</w:t>
      </w:r>
      <w:r w:rsidR="00175B03" w:rsidRPr="00D0513A">
        <w:rPr>
          <w:rFonts w:ascii="Times New Roman" w:hAnsi="Times New Roman"/>
        </w:rPr>
        <w:t>. Ground</w:t>
      </w:r>
      <w:r w:rsidR="0012507A" w:rsidRPr="00D0513A">
        <w:rPr>
          <w:rFonts w:ascii="Times New Roman" w:hAnsi="Times New Roman"/>
        </w:rPr>
        <w:t> </w:t>
      </w:r>
      <w:r w:rsidR="00175B03" w:rsidRPr="00D0513A">
        <w:rPr>
          <w:rFonts w:ascii="Times New Roman" w:hAnsi="Times New Roman"/>
        </w:rPr>
        <w:t>2</w:t>
      </w:r>
      <w:r w:rsidR="002271D3" w:rsidRPr="00D0513A">
        <w:rPr>
          <w:rFonts w:ascii="Times New Roman" w:hAnsi="Times New Roman"/>
        </w:rPr>
        <w:t xml:space="preserve"> w</w:t>
      </w:r>
      <w:r w:rsidR="00DC1903" w:rsidRPr="00D0513A">
        <w:rPr>
          <w:rFonts w:ascii="Times New Roman" w:hAnsi="Times New Roman"/>
        </w:rPr>
        <w:t xml:space="preserve">as </w:t>
      </w:r>
      <w:r w:rsidR="00D03527" w:rsidRPr="00D0513A">
        <w:rPr>
          <w:rFonts w:ascii="Times New Roman" w:hAnsi="Times New Roman"/>
        </w:rPr>
        <w:t xml:space="preserve">expressed to be </w:t>
      </w:r>
      <w:r w:rsidR="002271D3" w:rsidRPr="00D0513A">
        <w:rPr>
          <w:rFonts w:ascii="Times New Roman" w:hAnsi="Times New Roman"/>
        </w:rPr>
        <w:t xml:space="preserve">in the alternative to </w:t>
      </w:r>
      <w:r w:rsidR="0012507A" w:rsidRPr="00D0513A">
        <w:rPr>
          <w:rFonts w:ascii="Times New Roman" w:hAnsi="Times New Roman"/>
        </w:rPr>
        <w:t>G</w:t>
      </w:r>
      <w:r w:rsidR="002271D3" w:rsidRPr="00D0513A">
        <w:rPr>
          <w:rFonts w:ascii="Times New Roman" w:hAnsi="Times New Roman"/>
        </w:rPr>
        <w:t>round</w:t>
      </w:r>
      <w:r w:rsidR="0012507A" w:rsidRPr="00D0513A">
        <w:rPr>
          <w:rFonts w:ascii="Times New Roman" w:hAnsi="Times New Roman"/>
        </w:rPr>
        <w:t> </w:t>
      </w:r>
      <w:r w:rsidR="000D32D2" w:rsidRPr="00D0513A">
        <w:rPr>
          <w:rFonts w:ascii="Times New Roman" w:hAnsi="Times New Roman"/>
        </w:rPr>
        <w:t>1</w:t>
      </w:r>
      <w:r w:rsidR="00ED4967" w:rsidRPr="00D0513A">
        <w:rPr>
          <w:rFonts w:ascii="Times New Roman" w:hAnsi="Times New Roman"/>
        </w:rPr>
        <w:t xml:space="preserve"> and</w:t>
      </w:r>
      <w:r w:rsidR="00FE5139" w:rsidRPr="00D0513A">
        <w:rPr>
          <w:rFonts w:ascii="Times New Roman" w:hAnsi="Times New Roman"/>
        </w:rPr>
        <w:t xml:space="preserve"> was in two parts</w:t>
      </w:r>
      <w:r w:rsidR="0012507A" w:rsidRPr="00D0513A">
        <w:rPr>
          <w:rFonts w:ascii="Times New Roman" w:hAnsi="Times New Roman"/>
        </w:rPr>
        <w:t>, being</w:t>
      </w:r>
      <w:r w:rsidR="000A1123" w:rsidRPr="00D0513A">
        <w:rPr>
          <w:rFonts w:ascii="Times New Roman" w:hAnsi="Times New Roman"/>
        </w:rPr>
        <w:t xml:space="preserve"> that the trial judge misdirected the jury as to </w:t>
      </w:r>
      <w:r w:rsidR="00226692" w:rsidRPr="00D0513A">
        <w:rPr>
          <w:rFonts w:ascii="Times New Roman" w:hAnsi="Times New Roman"/>
        </w:rPr>
        <w:t>either or both</w:t>
      </w:r>
      <w:r w:rsidR="0012507A" w:rsidRPr="00D0513A">
        <w:rPr>
          <w:rFonts w:ascii="Times New Roman" w:hAnsi="Times New Roman"/>
        </w:rPr>
        <w:t xml:space="preserve"> of:</w:t>
      </w:r>
      <w:r w:rsidR="00226692" w:rsidRPr="00D0513A">
        <w:rPr>
          <w:rFonts w:ascii="Times New Roman" w:hAnsi="Times New Roman"/>
        </w:rPr>
        <w:t xml:space="preserve"> (a) </w:t>
      </w:r>
      <w:r w:rsidR="000A1123" w:rsidRPr="00D0513A">
        <w:rPr>
          <w:rFonts w:ascii="Times New Roman" w:hAnsi="Times New Roman"/>
        </w:rPr>
        <w:t>the elements o</w:t>
      </w:r>
      <w:r w:rsidR="00ED680F" w:rsidRPr="00D0513A">
        <w:rPr>
          <w:rFonts w:ascii="Times New Roman" w:hAnsi="Times New Roman"/>
        </w:rPr>
        <w:t>f</w:t>
      </w:r>
      <w:r w:rsidR="000A1123" w:rsidRPr="00D0513A">
        <w:rPr>
          <w:rFonts w:ascii="Times New Roman" w:hAnsi="Times New Roman"/>
        </w:rPr>
        <w:t xml:space="preserve"> access</w:t>
      </w:r>
      <w:r w:rsidR="00822341" w:rsidRPr="00D0513A">
        <w:rPr>
          <w:rFonts w:ascii="Times New Roman" w:hAnsi="Times New Roman"/>
        </w:rPr>
        <w:t>o</w:t>
      </w:r>
      <w:r w:rsidR="000A1123" w:rsidRPr="00D0513A">
        <w:rPr>
          <w:rFonts w:ascii="Times New Roman" w:hAnsi="Times New Roman"/>
        </w:rPr>
        <w:t>ry before the fact to constructive murder</w:t>
      </w:r>
      <w:r w:rsidR="00EA47EF" w:rsidRPr="00D0513A">
        <w:rPr>
          <w:rFonts w:ascii="Times New Roman" w:hAnsi="Times New Roman"/>
        </w:rPr>
        <w:t xml:space="preserve">; </w:t>
      </w:r>
      <w:r w:rsidR="009D3B3D" w:rsidRPr="00D0513A">
        <w:rPr>
          <w:rFonts w:ascii="Times New Roman" w:hAnsi="Times New Roman"/>
        </w:rPr>
        <w:t xml:space="preserve">or </w:t>
      </w:r>
      <w:r w:rsidR="00EA47EF" w:rsidRPr="00D0513A">
        <w:rPr>
          <w:rFonts w:ascii="Times New Roman" w:hAnsi="Times New Roman"/>
        </w:rPr>
        <w:t>(b)</w:t>
      </w:r>
      <w:r w:rsidR="000A1123" w:rsidRPr="00D0513A">
        <w:rPr>
          <w:rFonts w:ascii="Times New Roman" w:hAnsi="Times New Roman"/>
        </w:rPr>
        <w:t xml:space="preserve"> the elements of</w:t>
      </w:r>
      <w:r w:rsidR="007F1F48" w:rsidRPr="00D0513A">
        <w:rPr>
          <w:rFonts w:ascii="Times New Roman" w:hAnsi="Times New Roman"/>
        </w:rPr>
        <w:t xml:space="preserve"> accessory before the fact to</w:t>
      </w:r>
      <w:r w:rsidR="00E75A24" w:rsidRPr="00D0513A">
        <w:rPr>
          <w:rFonts w:ascii="Times New Roman" w:hAnsi="Times New Roman"/>
        </w:rPr>
        <w:t xml:space="preserve"> </w:t>
      </w:r>
      <w:r w:rsidR="007F1F48" w:rsidRPr="00D0513A">
        <w:rPr>
          <w:rFonts w:ascii="Times New Roman" w:hAnsi="Times New Roman"/>
        </w:rPr>
        <w:t>aggravated armed robbery</w:t>
      </w:r>
      <w:r w:rsidR="00CA0162" w:rsidRPr="00D0513A">
        <w:rPr>
          <w:rFonts w:ascii="Times New Roman" w:hAnsi="Times New Roman"/>
        </w:rPr>
        <w:t xml:space="preserve">. </w:t>
      </w:r>
      <w:r w:rsidR="0053312B" w:rsidRPr="00D0513A">
        <w:rPr>
          <w:rFonts w:ascii="Times New Roman" w:hAnsi="Times New Roman"/>
        </w:rPr>
        <w:t>Ground</w:t>
      </w:r>
      <w:r w:rsidR="009D3B3D" w:rsidRPr="00D0513A">
        <w:rPr>
          <w:rFonts w:ascii="Times New Roman" w:hAnsi="Times New Roman"/>
        </w:rPr>
        <w:t> </w:t>
      </w:r>
      <w:r w:rsidR="00E0363D" w:rsidRPr="00D0513A">
        <w:rPr>
          <w:rFonts w:ascii="Times New Roman" w:hAnsi="Times New Roman"/>
        </w:rPr>
        <w:t xml:space="preserve">3 </w:t>
      </w:r>
      <w:r w:rsidR="003304B7" w:rsidRPr="00D0513A">
        <w:rPr>
          <w:rFonts w:ascii="Times New Roman" w:hAnsi="Times New Roman"/>
        </w:rPr>
        <w:t>was that</w:t>
      </w:r>
      <w:r w:rsidR="00006137" w:rsidRPr="00D0513A">
        <w:rPr>
          <w:rFonts w:ascii="Times New Roman" w:hAnsi="Times New Roman"/>
        </w:rPr>
        <w:t xml:space="preserve"> the trial judge </w:t>
      </w:r>
      <w:r w:rsidR="003304B7" w:rsidRPr="00D0513A">
        <w:rPr>
          <w:rFonts w:ascii="Times New Roman" w:hAnsi="Times New Roman"/>
        </w:rPr>
        <w:t xml:space="preserve">erred in failing </w:t>
      </w:r>
      <w:r w:rsidR="00006137" w:rsidRPr="00D0513A">
        <w:rPr>
          <w:rFonts w:ascii="Times New Roman" w:hAnsi="Times New Roman"/>
        </w:rPr>
        <w:t xml:space="preserve">to </w:t>
      </w:r>
      <w:r w:rsidR="00EF4C4B" w:rsidRPr="00D0513A">
        <w:rPr>
          <w:rFonts w:ascii="Times New Roman" w:hAnsi="Times New Roman"/>
        </w:rPr>
        <w:t xml:space="preserve">direct the </w:t>
      </w:r>
      <w:r w:rsidR="00492A2A" w:rsidRPr="00D0513A">
        <w:rPr>
          <w:rFonts w:ascii="Times New Roman" w:hAnsi="Times New Roman"/>
        </w:rPr>
        <w:t xml:space="preserve">jury concerning </w:t>
      </w:r>
      <w:r w:rsidR="002516B4" w:rsidRPr="00D0513A">
        <w:rPr>
          <w:rFonts w:ascii="Times New Roman" w:hAnsi="Times New Roman"/>
        </w:rPr>
        <w:t xml:space="preserve">the respondent's </w:t>
      </w:r>
      <w:r w:rsidR="000C3DE2" w:rsidRPr="00D0513A">
        <w:rPr>
          <w:rFonts w:ascii="Times New Roman" w:hAnsi="Times New Roman"/>
        </w:rPr>
        <w:t xml:space="preserve">lack of prior convictions. </w:t>
      </w:r>
      <w:r w:rsidR="00444E15" w:rsidRPr="00D0513A">
        <w:rPr>
          <w:rFonts w:ascii="Times New Roman" w:hAnsi="Times New Roman"/>
        </w:rPr>
        <w:t>Ground</w:t>
      </w:r>
      <w:r w:rsidR="009D3B3D" w:rsidRPr="00D0513A">
        <w:rPr>
          <w:rFonts w:ascii="Times New Roman" w:hAnsi="Times New Roman"/>
        </w:rPr>
        <w:t> </w:t>
      </w:r>
      <w:r w:rsidR="00444E15" w:rsidRPr="00D0513A">
        <w:rPr>
          <w:rFonts w:ascii="Times New Roman" w:hAnsi="Times New Roman"/>
        </w:rPr>
        <w:t xml:space="preserve">4 was </w:t>
      </w:r>
      <w:r w:rsidR="000D125F" w:rsidRPr="00D0513A">
        <w:rPr>
          <w:rFonts w:ascii="Times New Roman" w:hAnsi="Times New Roman"/>
        </w:rPr>
        <w:t>that the verdict was unreasonable.</w:t>
      </w:r>
    </w:p>
    <w:p w14:paraId="0DC20F35" w14:textId="6C23ACDE" w:rsidR="00DC7B8B" w:rsidRPr="00D0513A" w:rsidRDefault="000D125F"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0D32D2" w:rsidRPr="00D0513A">
        <w:rPr>
          <w:rFonts w:ascii="Times New Roman" w:hAnsi="Times New Roman"/>
        </w:rPr>
        <w:t xml:space="preserve">The Court of Criminal Appeal upheld </w:t>
      </w:r>
      <w:r w:rsidR="009D3B3D" w:rsidRPr="00D0513A">
        <w:rPr>
          <w:rFonts w:ascii="Times New Roman" w:hAnsi="Times New Roman"/>
        </w:rPr>
        <w:t>G</w:t>
      </w:r>
      <w:r w:rsidR="000D32D2" w:rsidRPr="00D0513A">
        <w:rPr>
          <w:rFonts w:ascii="Times New Roman" w:hAnsi="Times New Roman"/>
        </w:rPr>
        <w:t>round</w:t>
      </w:r>
      <w:r w:rsidR="009D3B3D" w:rsidRPr="00D0513A">
        <w:rPr>
          <w:rFonts w:ascii="Times New Roman" w:hAnsi="Times New Roman"/>
        </w:rPr>
        <w:t> </w:t>
      </w:r>
      <w:r w:rsidR="000D32D2" w:rsidRPr="00D0513A">
        <w:rPr>
          <w:rFonts w:ascii="Times New Roman" w:hAnsi="Times New Roman"/>
        </w:rPr>
        <w:t>1</w:t>
      </w:r>
      <w:r w:rsidR="00CC08F6" w:rsidRPr="00D0513A">
        <w:rPr>
          <w:rFonts w:ascii="Times New Roman" w:hAnsi="Times New Roman"/>
        </w:rPr>
        <w:t xml:space="preserve"> </w:t>
      </w:r>
      <w:r w:rsidR="009E227A" w:rsidRPr="00D0513A">
        <w:rPr>
          <w:rFonts w:ascii="Times New Roman" w:hAnsi="Times New Roman"/>
        </w:rPr>
        <w:t>of the appeal</w:t>
      </w:r>
      <w:r w:rsidR="00660D0F" w:rsidRPr="00D0513A">
        <w:rPr>
          <w:rFonts w:ascii="Times New Roman" w:hAnsi="Times New Roman"/>
        </w:rPr>
        <w:t xml:space="preserve">, holding that </w:t>
      </w:r>
      <w:r w:rsidR="00560246" w:rsidRPr="00D0513A">
        <w:rPr>
          <w:rFonts w:ascii="Times New Roman" w:hAnsi="Times New Roman"/>
        </w:rPr>
        <w:t xml:space="preserve">being an accessory before the fact to constructive murder </w:t>
      </w:r>
      <w:r w:rsidR="00D25354" w:rsidRPr="00D0513A">
        <w:rPr>
          <w:rFonts w:ascii="Times New Roman" w:hAnsi="Times New Roman"/>
        </w:rPr>
        <w:t xml:space="preserve">is not an offence known </w:t>
      </w:r>
      <w:r w:rsidR="00D25354" w:rsidRPr="00D0513A">
        <w:rPr>
          <w:rFonts w:ascii="Times New Roman" w:hAnsi="Times New Roman"/>
        </w:rPr>
        <w:lastRenderedPageBreak/>
        <w:t>to law.</w:t>
      </w:r>
      <w:r w:rsidR="00C41CF4" w:rsidRPr="00D0513A">
        <w:rPr>
          <w:rStyle w:val="FootnoteReference"/>
          <w:rFonts w:ascii="Times New Roman" w:hAnsi="Times New Roman"/>
          <w:sz w:val="24"/>
        </w:rPr>
        <w:footnoteReference w:id="3"/>
      </w:r>
      <w:r w:rsidR="00D25354" w:rsidRPr="00D0513A">
        <w:rPr>
          <w:rFonts w:ascii="Times New Roman" w:hAnsi="Times New Roman"/>
        </w:rPr>
        <w:t xml:space="preserve"> The Court </w:t>
      </w:r>
      <w:r w:rsidR="00460B31" w:rsidRPr="00D0513A">
        <w:rPr>
          <w:rFonts w:ascii="Times New Roman" w:hAnsi="Times New Roman"/>
        </w:rPr>
        <w:t xml:space="preserve">of Criminal Appeal </w:t>
      </w:r>
      <w:r w:rsidR="00B6585B" w:rsidRPr="00D0513A">
        <w:rPr>
          <w:rFonts w:ascii="Times New Roman" w:hAnsi="Times New Roman"/>
        </w:rPr>
        <w:t>also considered the arguments advanced by the respondent on</w:t>
      </w:r>
      <w:r w:rsidR="00CC08F6" w:rsidRPr="00D0513A">
        <w:rPr>
          <w:rFonts w:ascii="Times New Roman" w:hAnsi="Times New Roman"/>
        </w:rPr>
        <w:t xml:space="preserve"> </w:t>
      </w:r>
      <w:r w:rsidR="009D3B3D" w:rsidRPr="00D0513A">
        <w:rPr>
          <w:rFonts w:ascii="Times New Roman" w:hAnsi="Times New Roman"/>
        </w:rPr>
        <w:t>G</w:t>
      </w:r>
      <w:r w:rsidR="00CC08F6" w:rsidRPr="00D0513A">
        <w:rPr>
          <w:rFonts w:ascii="Times New Roman" w:hAnsi="Times New Roman"/>
        </w:rPr>
        <w:t>round</w:t>
      </w:r>
      <w:r w:rsidR="009D3B3D" w:rsidRPr="00D0513A">
        <w:rPr>
          <w:rFonts w:ascii="Times New Roman" w:hAnsi="Times New Roman"/>
        </w:rPr>
        <w:t> </w:t>
      </w:r>
      <w:r w:rsidR="00CC08F6" w:rsidRPr="00D0513A">
        <w:rPr>
          <w:rFonts w:ascii="Times New Roman" w:hAnsi="Times New Roman"/>
        </w:rPr>
        <w:t>2</w:t>
      </w:r>
      <w:r w:rsidR="00B6585B" w:rsidRPr="00D0513A">
        <w:rPr>
          <w:rFonts w:ascii="Times New Roman" w:hAnsi="Times New Roman"/>
        </w:rPr>
        <w:t xml:space="preserve"> and concluded that </w:t>
      </w:r>
      <w:r w:rsidR="009D3B3D" w:rsidRPr="00D0513A">
        <w:rPr>
          <w:rFonts w:ascii="Times New Roman" w:hAnsi="Times New Roman"/>
        </w:rPr>
        <w:t>G</w:t>
      </w:r>
      <w:r w:rsidR="00B6585B" w:rsidRPr="00D0513A">
        <w:rPr>
          <w:rFonts w:ascii="Times New Roman" w:hAnsi="Times New Roman"/>
        </w:rPr>
        <w:t>round</w:t>
      </w:r>
      <w:r w:rsidR="009D3B3D" w:rsidRPr="00D0513A">
        <w:rPr>
          <w:rFonts w:ascii="Times New Roman" w:hAnsi="Times New Roman"/>
        </w:rPr>
        <w:t> </w:t>
      </w:r>
      <w:r w:rsidR="00B6585B" w:rsidRPr="00D0513A">
        <w:rPr>
          <w:rFonts w:ascii="Times New Roman" w:hAnsi="Times New Roman"/>
        </w:rPr>
        <w:t>2 was not made out</w:t>
      </w:r>
      <w:r w:rsidR="005D2003" w:rsidRPr="00D0513A">
        <w:rPr>
          <w:rFonts w:ascii="Times New Roman" w:hAnsi="Times New Roman"/>
        </w:rPr>
        <w:t>.</w:t>
      </w:r>
      <w:r w:rsidR="00C41CF4" w:rsidRPr="00D0513A">
        <w:rPr>
          <w:rStyle w:val="FootnoteReference"/>
          <w:rFonts w:ascii="Times New Roman" w:hAnsi="Times New Roman"/>
          <w:sz w:val="24"/>
        </w:rPr>
        <w:footnoteReference w:id="4"/>
      </w:r>
      <w:r w:rsidR="005D2003" w:rsidRPr="00D0513A">
        <w:rPr>
          <w:rFonts w:ascii="Times New Roman" w:hAnsi="Times New Roman"/>
        </w:rPr>
        <w:t xml:space="preserve"> </w:t>
      </w:r>
      <w:r w:rsidR="00400D93" w:rsidRPr="00D0513A">
        <w:rPr>
          <w:rFonts w:ascii="Times New Roman" w:hAnsi="Times New Roman"/>
        </w:rPr>
        <w:t xml:space="preserve">It </w:t>
      </w:r>
      <w:r w:rsidR="00D922E8" w:rsidRPr="00D0513A">
        <w:rPr>
          <w:rFonts w:ascii="Times New Roman" w:hAnsi="Times New Roman"/>
        </w:rPr>
        <w:t xml:space="preserve">considered and </w:t>
      </w:r>
      <w:r w:rsidR="00400D93" w:rsidRPr="00D0513A">
        <w:rPr>
          <w:rFonts w:ascii="Times New Roman" w:hAnsi="Times New Roman"/>
        </w:rPr>
        <w:t xml:space="preserve">rejected </w:t>
      </w:r>
      <w:r w:rsidR="009D3B3D" w:rsidRPr="00D0513A">
        <w:rPr>
          <w:rFonts w:ascii="Times New Roman" w:hAnsi="Times New Roman"/>
        </w:rPr>
        <w:t>G</w:t>
      </w:r>
      <w:r w:rsidR="00400D93" w:rsidRPr="00D0513A">
        <w:rPr>
          <w:rFonts w:ascii="Times New Roman" w:hAnsi="Times New Roman"/>
        </w:rPr>
        <w:t>rounds</w:t>
      </w:r>
      <w:r w:rsidR="009D3B3D" w:rsidRPr="00D0513A">
        <w:rPr>
          <w:rFonts w:ascii="Times New Roman" w:hAnsi="Times New Roman"/>
        </w:rPr>
        <w:t> </w:t>
      </w:r>
      <w:r w:rsidR="008F60D1" w:rsidRPr="00D0513A">
        <w:rPr>
          <w:rFonts w:ascii="Times New Roman" w:hAnsi="Times New Roman"/>
        </w:rPr>
        <w:t>3 and 4.</w:t>
      </w:r>
      <w:r w:rsidR="00C41CF4" w:rsidRPr="00D0513A">
        <w:rPr>
          <w:rStyle w:val="FootnoteReference"/>
          <w:rFonts w:ascii="Times New Roman" w:hAnsi="Times New Roman"/>
          <w:sz w:val="24"/>
        </w:rPr>
        <w:footnoteReference w:id="5"/>
      </w:r>
    </w:p>
    <w:p w14:paraId="07704471" w14:textId="2403997C" w:rsidR="00ED731D" w:rsidRPr="00D0513A" w:rsidRDefault="00DC7B8B"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5D2003" w:rsidRPr="00D0513A">
        <w:rPr>
          <w:rFonts w:ascii="Times New Roman" w:hAnsi="Times New Roman"/>
        </w:rPr>
        <w:t xml:space="preserve">The Court of Criminal Appeal </w:t>
      </w:r>
      <w:r w:rsidR="008016F3" w:rsidRPr="00D0513A">
        <w:rPr>
          <w:rFonts w:ascii="Times New Roman" w:hAnsi="Times New Roman"/>
        </w:rPr>
        <w:t xml:space="preserve">noted that </w:t>
      </w:r>
      <w:r w:rsidR="00C069FE" w:rsidRPr="00D0513A">
        <w:rPr>
          <w:rFonts w:ascii="Times New Roman" w:hAnsi="Times New Roman"/>
        </w:rPr>
        <w:t xml:space="preserve">the consequence </w:t>
      </w:r>
      <w:r w:rsidR="00CC75C3" w:rsidRPr="00D0513A">
        <w:rPr>
          <w:rFonts w:ascii="Times New Roman" w:hAnsi="Times New Roman"/>
        </w:rPr>
        <w:t xml:space="preserve">of upholding </w:t>
      </w:r>
      <w:r w:rsidR="009D3B3D" w:rsidRPr="00D0513A">
        <w:rPr>
          <w:rFonts w:ascii="Times New Roman" w:hAnsi="Times New Roman"/>
        </w:rPr>
        <w:t>G</w:t>
      </w:r>
      <w:r w:rsidR="00CC75C3" w:rsidRPr="00D0513A">
        <w:rPr>
          <w:rFonts w:ascii="Times New Roman" w:hAnsi="Times New Roman"/>
        </w:rPr>
        <w:t>round</w:t>
      </w:r>
      <w:r w:rsidR="009D3B3D" w:rsidRPr="00D0513A">
        <w:rPr>
          <w:rFonts w:ascii="Times New Roman" w:hAnsi="Times New Roman"/>
        </w:rPr>
        <w:t> </w:t>
      </w:r>
      <w:r w:rsidR="00CC75C3" w:rsidRPr="00D0513A">
        <w:rPr>
          <w:rFonts w:ascii="Times New Roman" w:hAnsi="Times New Roman"/>
        </w:rPr>
        <w:t xml:space="preserve">1 of the appeal was </w:t>
      </w:r>
      <w:r w:rsidR="00C069FE" w:rsidRPr="00D0513A">
        <w:rPr>
          <w:rFonts w:ascii="Times New Roman" w:hAnsi="Times New Roman"/>
        </w:rPr>
        <w:t xml:space="preserve">that the </w:t>
      </w:r>
      <w:r w:rsidR="00252B39" w:rsidRPr="00D0513A">
        <w:rPr>
          <w:rFonts w:ascii="Times New Roman" w:hAnsi="Times New Roman"/>
        </w:rPr>
        <w:t xml:space="preserve">respondent's </w:t>
      </w:r>
      <w:r w:rsidR="00C069FE" w:rsidRPr="00D0513A">
        <w:rPr>
          <w:rFonts w:ascii="Times New Roman" w:hAnsi="Times New Roman"/>
        </w:rPr>
        <w:t xml:space="preserve">conviction on </w:t>
      </w:r>
      <w:r w:rsidR="009D3B3D" w:rsidRPr="00D0513A">
        <w:rPr>
          <w:rFonts w:ascii="Times New Roman" w:hAnsi="Times New Roman"/>
        </w:rPr>
        <w:t>C</w:t>
      </w:r>
      <w:r w:rsidR="00C069FE" w:rsidRPr="00D0513A">
        <w:rPr>
          <w:rFonts w:ascii="Times New Roman" w:hAnsi="Times New Roman"/>
        </w:rPr>
        <w:t>ount</w:t>
      </w:r>
      <w:r w:rsidR="009D3B3D" w:rsidRPr="00D0513A">
        <w:rPr>
          <w:rFonts w:ascii="Times New Roman" w:hAnsi="Times New Roman"/>
        </w:rPr>
        <w:t> </w:t>
      </w:r>
      <w:r w:rsidR="00C069FE" w:rsidRPr="00D0513A">
        <w:rPr>
          <w:rFonts w:ascii="Times New Roman" w:hAnsi="Times New Roman"/>
        </w:rPr>
        <w:t>1</w:t>
      </w:r>
      <w:r w:rsidR="00A71037" w:rsidRPr="00D0513A">
        <w:rPr>
          <w:rFonts w:ascii="Times New Roman" w:hAnsi="Times New Roman"/>
        </w:rPr>
        <w:t xml:space="preserve"> </w:t>
      </w:r>
      <w:r w:rsidR="00963202" w:rsidRPr="00D0513A">
        <w:rPr>
          <w:rFonts w:ascii="Times New Roman" w:hAnsi="Times New Roman"/>
        </w:rPr>
        <w:t>could not stand</w:t>
      </w:r>
      <w:r w:rsidR="005D2003" w:rsidRPr="00D0513A">
        <w:rPr>
          <w:rFonts w:ascii="Times New Roman" w:hAnsi="Times New Roman"/>
        </w:rPr>
        <w:t>.</w:t>
      </w:r>
      <w:r w:rsidR="00B621BF" w:rsidRPr="00D0513A">
        <w:rPr>
          <w:rStyle w:val="FootnoteReference"/>
          <w:rFonts w:ascii="Times New Roman" w:hAnsi="Times New Roman"/>
          <w:sz w:val="24"/>
        </w:rPr>
        <w:footnoteReference w:id="6"/>
      </w:r>
      <w:r w:rsidR="00226607" w:rsidRPr="00D0513A">
        <w:rPr>
          <w:rFonts w:ascii="Times New Roman" w:hAnsi="Times New Roman"/>
        </w:rPr>
        <w:t xml:space="preserve"> </w:t>
      </w:r>
      <w:r w:rsidR="002E5F92" w:rsidRPr="00D0513A">
        <w:rPr>
          <w:rFonts w:ascii="Times New Roman" w:hAnsi="Times New Roman"/>
        </w:rPr>
        <w:t>However, t</w:t>
      </w:r>
      <w:r w:rsidR="00957F76" w:rsidRPr="00D0513A">
        <w:rPr>
          <w:rFonts w:ascii="Times New Roman" w:hAnsi="Times New Roman"/>
        </w:rPr>
        <w:t xml:space="preserve">aking the view that there appeared to be </w:t>
      </w:r>
      <w:r w:rsidR="00BD2604" w:rsidRPr="00D0513A">
        <w:rPr>
          <w:rFonts w:ascii="Times New Roman" w:hAnsi="Times New Roman"/>
        </w:rPr>
        <w:t xml:space="preserve">a "strong potential case" </w:t>
      </w:r>
      <w:r w:rsidR="00DE67CC" w:rsidRPr="00D0513A">
        <w:rPr>
          <w:rFonts w:ascii="Times New Roman" w:hAnsi="Times New Roman"/>
        </w:rPr>
        <w:t xml:space="preserve">against the respondent of murder </w:t>
      </w:r>
      <w:r w:rsidR="00AD23AC" w:rsidRPr="00D0513A">
        <w:rPr>
          <w:rFonts w:ascii="Times New Roman" w:hAnsi="Times New Roman"/>
        </w:rPr>
        <w:t>b</w:t>
      </w:r>
      <w:r w:rsidR="00FE270E" w:rsidRPr="00D0513A">
        <w:rPr>
          <w:rFonts w:ascii="Times New Roman" w:hAnsi="Times New Roman"/>
        </w:rPr>
        <w:t>ased on</w:t>
      </w:r>
      <w:r w:rsidR="00AD23AC" w:rsidRPr="00D0513A">
        <w:rPr>
          <w:rFonts w:ascii="Times New Roman" w:hAnsi="Times New Roman"/>
        </w:rPr>
        <w:t xml:space="preserve"> joint criminal enterprise,</w:t>
      </w:r>
      <w:r w:rsidR="00FE270E" w:rsidRPr="00D0513A">
        <w:rPr>
          <w:rStyle w:val="FootnoteReference"/>
          <w:rFonts w:ascii="Times New Roman" w:hAnsi="Times New Roman"/>
          <w:sz w:val="24"/>
        </w:rPr>
        <w:footnoteReference w:id="7"/>
      </w:r>
      <w:r w:rsidR="00AD23AC" w:rsidRPr="00D0513A">
        <w:rPr>
          <w:rFonts w:ascii="Times New Roman" w:hAnsi="Times New Roman"/>
        </w:rPr>
        <w:t xml:space="preserve"> </w:t>
      </w:r>
      <w:r w:rsidR="004B63F5" w:rsidRPr="00D0513A">
        <w:rPr>
          <w:rFonts w:ascii="Times New Roman" w:hAnsi="Times New Roman"/>
        </w:rPr>
        <w:t xml:space="preserve">the Court of Criminal Appeal </w:t>
      </w:r>
      <w:r w:rsidR="002137B9" w:rsidRPr="00D0513A">
        <w:rPr>
          <w:rFonts w:ascii="Times New Roman" w:hAnsi="Times New Roman"/>
        </w:rPr>
        <w:t xml:space="preserve">determined to </w:t>
      </w:r>
      <w:r w:rsidR="00961FFC" w:rsidRPr="00D0513A">
        <w:rPr>
          <w:rFonts w:ascii="Times New Roman" w:hAnsi="Times New Roman"/>
        </w:rPr>
        <w:t xml:space="preserve">order a retrial on </w:t>
      </w:r>
      <w:r w:rsidR="009D3B3D" w:rsidRPr="00D0513A">
        <w:rPr>
          <w:rFonts w:ascii="Times New Roman" w:hAnsi="Times New Roman"/>
        </w:rPr>
        <w:t>C</w:t>
      </w:r>
      <w:r w:rsidR="00B962F8" w:rsidRPr="00D0513A">
        <w:rPr>
          <w:rFonts w:ascii="Times New Roman" w:hAnsi="Times New Roman"/>
        </w:rPr>
        <w:t>ount</w:t>
      </w:r>
      <w:r w:rsidR="009D3B3D" w:rsidRPr="00D0513A">
        <w:rPr>
          <w:rFonts w:ascii="Times New Roman" w:hAnsi="Times New Roman"/>
        </w:rPr>
        <w:t> </w:t>
      </w:r>
      <w:r w:rsidR="00B962F8" w:rsidRPr="00D0513A">
        <w:rPr>
          <w:rFonts w:ascii="Times New Roman" w:hAnsi="Times New Roman"/>
        </w:rPr>
        <w:t xml:space="preserve">1. </w:t>
      </w:r>
      <w:r w:rsidR="00AE550B" w:rsidRPr="00D0513A">
        <w:rPr>
          <w:rFonts w:ascii="Times New Roman" w:hAnsi="Times New Roman"/>
        </w:rPr>
        <w:t xml:space="preserve">Accordingly, </w:t>
      </w:r>
      <w:r w:rsidR="000159B4" w:rsidRPr="00D0513A">
        <w:rPr>
          <w:rFonts w:ascii="Times New Roman" w:hAnsi="Times New Roman"/>
        </w:rPr>
        <w:t>o</w:t>
      </w:r>
      <w:r w:rsidR="00476DBA" w:rsidRPr="00D0513A">
        <w:rPr>
          <w:rFonts w:ascii="Times New Roman" w:hAnsi="Times New Roman"/>
        </w:rPr>
        <w:t>rders</w:t>
      </w:r>
      <w:r w:rsidR="00BE369E" w:rsidRPr="00D0513A">
        <w:rPr>
          <w:rFonts w:ascii="Times New Roman" w:hAnsi="Times New Roman"/>
        </w:rPr>
        <w:t> </w:t>
      </w:r>
      <w:r w:rsidR="00476DBA" w:rsidRPr="00D0513A">
        <w:rPr>
          <w:rFonts w:ascii="Times New Roman" w:hAnsi="Times New Roman"/>
        </w:rPr>
        <w:t xml:space="preserve">3, 4 and 5 made by the Court of Criminal Appeal were </w:t>
      </w:r>
      <w:r w:rsidR="007A6488" w:rsidRPr="00D0513A">
        <w:rPr>
          <w:rFonts w:ascii="Times New Roman" w:hAnsi="Times New Roman"/>
        </w:rPr>
        <w:t xml:space="preserve">(3) </w:t>
      </w:r>
      <w:r w:rsidR="0076325E" w:rsidRPr="00D0513A">
        <w:rPr>
          <w:rFonts w:ascii="Times New Roman" w:hAnsi="Times New Roman"/>
        </w:rPr>
        <w:t>"</w:t>
      </w:r>
      <w:r w:rsidR="00540B39" w:rsidRPr="00D0513A">
        <w:rPr>
          <w:rFonts w:ascii="Times New Roman" w:hAnsi="Times New Roman"/>
        </w:rPr>
        <w:t>[</w:t>
      </w:r>
      <w:r w:rsidR="00C403B1" w:rsidRPr="00D0513A">
        <w:rPr>
          <w:rFonts w:ascii="Times New Roman" w:hAnsi="Times New Roman"/>
        </w:rPr>
        <w:t>u</w:t>
      </w:r>
      <w:r w:rsidR="00540B39" w:rsidRPr="00D0513A">
        <w:rPr>
          <w:rFonts w:ascii="Times New Roman" w:hAnsi="Times New Roman"/>
        </w:rPr>
        <w:t>]</w:t>
      </w:r>
      <w:r w:rsidR="00C403B1" w:rsidRPr="00D0513A">
        <w:rPr>
          <w:rFonts w:ascii="Times New Roman" w:hAnsi="Times New Roman"/>
        </w:rPr>
        <w:t xml:space="preserve">phold </w:t>
      </w:r>
      <w:r w:rsidR="00F662D5" w:rsidRPr="00D0513A">
        <w:rPr>
          <w:rFonts w:ascii="Times New Roman" w:hAnsi="Times New Roman"/>
        </w:rPr>
        <w:t xml:space="preserve">the appeal with respect to </w:t>
      </w:r>
      <w:r w:rsidR="00540B39" w:rsidRPr="00D0513A">
        <w:rPr>
          <w:rFonts w:ascii="Times New Roman" w:hAnsi="Times New Roman"/>
        </w:rPr>
        <w:t>c</w:t>
      </w:r>
      <w:r w:rsidR="00F662D5" w:rsidRPr="00D0513A">
        <w:rPr>
          <w:rFonts w:ascii="Times New Roman" w:hAnsi="Times New Roman"/>
        </w:rPr>
        <w:t>ount</w:t>
      </w:r>
      <w:r w:rsidR="00BE369E" w:rsidRPr="00D0513A">
        <w:rPr>
          <w:rFonts w:ascii="Times New Roman" w:hAnsi="Times New Roman"/>
        </w:rPr>
        <w:t> </w:t>
      </w:r>
      <w:r w:rsidR="00F662D5" w:rsidRPr="00D0513A">
        <w:rPr>
          <w:rFonts w:ascii="Times New Roman" w:hAnsi="Times New Roman"/>
        </w:rPr>
        <w:t xml:space="preserve">1 </w:t>
      </w:r>
      <w:r w:rsidR="00FC6D11" w:rsidRPr="00D0513A">
        <w:rPr>
          <w:rFonts w:ascii="Times New Roman" w:hAnsi="Times New Roman"/>
        </w:rPr>
        <w:t>o</w:t>
      </w:r>
      <w:r w:rsidR="0076325E" w:rsidRPr="00D0513A">
        <w:rPr>
          <w:rFonts w:ascii="Times New Roman" w:hAnsi="Times New Roman"/>
        </w:rPr>
        <w:t>n</w:t>
      </w:r>
      <w:r w:rsidR="00FC6D11" w:rsidRPr="00D0513A">
        <w:rPr>
          <w:rFonts w:ascii="Times New Roman" w:hAnsi="Times New Roman"/>
        </w:rPr>
        <w:t xml:space="preserve"> the indictment</w:t>
      </w:r>
      <w:r w:rsidR="0076325E" w:rsidRPr="00D0513A">
        <w:rPr>
          <w:rFonts w:ascii="Times New Roman" w:hAnsi="Times New Roman"/>
        </w:rPr>
        <w:t>"</w:t>
      </w:r>
      <w:r w:rsidR="00DD3AE4" w:rsidRPr="00D0513A">
        <w:rPr>
          <w:rFonts w:ascii="Times New Roman" w:hAnsi="Times New Roman"/>
        </w:rPr>
        <w:t xml:space="preserve">, </w:t>
      </w:r>
      <w:r w:rsidR="0076325E" w:rsidRPr="00D0513A">
        <w:rPr>
          <w:rFonts w:ascii="Times New Roman" w:hAnsi="Times New Roman"/>
        </w:rPr>
        <w:t>(4)</w:t>
      </w:r>
      <w:r w:rsidR="00036951" w:rsidRPr="00D0513A">
        <w:rPr>
          <w:rFonts w:ascii="Times New Roman" w:hAnsi="Times New Roman"/>
          <w:sz w:val="24"/>
          <w:szCs w:val="24"/>
        </w:rPr>
        <w:t> </w:t>
      </w:r>
      <w:r w:rsidR="008A3341" w:rsidRPr="00D0513A">
        <w:rPr>
          <w:rFonts w:ascii="Times New Roman" w:hAnsi="Times New Roman"/>
          <w:sz w:val="24"/>
          <w:szCs w:val="24"/>
        </w:rPr>
        <w:t>"</w:t>
      </w:r>
      <w:r w:rsidR="00540B39" w:rsidRPr="00D0513A">
        <w:rPr>
          <w:rFonts w:ascii="Times New Roman" w:hAnsi="Times New Roman"/>
          <w:sz w:val="24"/>
          <w:szCs w:val="24"/>
        </w:rPr>
        <w:t>[</w:t>
      </w:r>
      <w:r w:rsidR="0076325E" w:rsidRPr="00D0513A">
        <w:rPr>
          <w:rFonts w:ascii="Times New Roman" w:hAnsi="Times New Roman"/>
        </w:rPr>
        <w:t>q</w:t>
      </w:r>
      <w:r w:rsidR="00540B39" w:rsidRPr="00D0513A">
        <w:rPr>
          <w:rFonts w:ascii="Times New Roman" w:hAnsi="Times New Roman"/>
        </w:rPr>
        <w:t>]</w:t>
      </w:r>
      <w:r w:rsidR="0076325E" w:rsidRPr="00D0513A">
        <w:rPr>
          <w:rFonts w:ascii="Times New Roman" w:hAnsi="Times New Roman"/>
        </w:rPr>
        <w:t xml:space="preserve">uash </w:t>
      </w:r>
      <w:r w:rsidR="00DD3AE4" w:rsidRPr="00D0513A">
        <w:rPr>
          <w:rFonts w:ascii="Times New Roman" w:hAnsi="Times New Roman"/>
        </w:rPr>
        <w:t xml:space="preserve">the </w:t>
      </w:r>
      <w:r w:rsidR="00A669C1" w:rsidRPr="00D0513A">
        <w:rPr>
          <w:rFonts w:ascii="Times New Roman" w:hAnsi="Times New Roman"/>
        </w:rPr>
        <w:t xml:space="preserve">[respondent's] </w:t>
      </w:r>
      <w:r w:rsidR="00DD3AE4" w:rsidRPr="00D0513A">
        <w:rPr>
          <w:rFonts w:ascii="Times New Roman" w:hAnsi="Times New Roman"/>
        </w:rPr>
        <w:t xml:space="preserve">conviction </w:t>
      </w:r>
      <w:r w:rsidR="00BF5EF3" w:rsidRPr="00D0513A">
        <w:rPr>
          <w:rFonts w:ascii="Times New Roman" w:hAnsi="Times New Roman"/>
        </w:rPr>
        <w:t xml:space="preserve">on </w:t>
      </w:r>
      <w:r w:rsidR="00540B39" w:rsidRPr="00D0513A">
        <w:rPr>
          <w:rFonts w:ascii="Times New Roman" w:hAnsi="Times New Roman"/>
        </w:rPr>
        <w:t>c</w:t>
      </w:r>
      <w:r w:rsidR="00BF5EF3" w:rsidRPr="00D0513A">
        <w:rPr>
          <w:rFonts w:ascii="Times New Roman" w:hAnsi="Times New Roman"/>
        </w:rPr>
        <w:t>ount</w:t>
      </w:r>
      <w:r w:rsidR="00BE369E" w:rsidRPr="00D0513A">
        <w:rPr>
          <w:rFonts w:ascii="Times New Roman" w:hAnsi="Times New Roman"/>
        </w:rPr>
        <w:t> </w:t>
      </w:r>
      <w:r w:rsidR="00BF5EF3" w:rsidRPr="00D0513A">
        <w:rPr>
          <w:rFonts w:ascii="Times New Roman" w:hAnsi="Times New Roman"/>
        </w:rPr>
        <w:t>1</w:t>
      </w:r>
      <w:r w:rsidR="00A669C1" w:rsidRPr="00D0513A">
        <w:rPr>
          <w:rFonts w:ascii="Times New Roman" w:hAnsi="Times New Roman"/>
        </w:rPr>
        <w:t>"</w:t>
      </w:r>
      <w:r w:rsidR="00BF5EF3" w:rsidRPr="00D0513A">
        <w:rPr>
          <w:rFonts w:ascii="Times New Roman" w:hAnsi="Times New Roman"/>
        </w:rPr>
        <w:t xml:space="preserve"> and </w:t>
      </w:r>
      <w:r w:rsidR="002F7F85" w:rsidRPr="00D0513A">
        <w:rPr>
          <w:rFonts w:ascii="Times New Roman" w:hAnsi="Times New Roman"/>
        </w:rPr>
        <w:t>(5) "</w:t>
      </w:r>
      <w:r w:rsidR="00540B39" w:rsidRPr="00D0513A">
        <w:rPr>
          <w:rFonts w:ascii="Times New Roman" w:hAnsi="Times New Roman"/>
        </w:rPr>
        <w:t>[</w:t>
      </w:r>
      <w:r w:rsidR="00BF5EF3" w:rsidRPr="00D0513A">
        <w:rPr>
          <w:rFonts w:ascii="Times New Roman" w:hAnsi="Times New Roman"/>
        </w:rPr>
        <w:t>a</w:t>
      </w:r>
      <w:r w:rsidR="00540B39" w:rsidRPr="00D0513A">
        <w:rPr>
          <w:rFonts w:ascii="Times New Roman" w:hAnsi="Times New Roman"/>
        </w:rPr>
        <w:t>]</w:t>
      </w:r>
      <w:r w:rsidR="00BF5EF3" w:rsidRPr="00D0513A">
        <w:rPr>
          <w:rFonts w:ascii="Times New Roman" w:hAnsi="Times New Roman"/>
        </w:rPr>
        <w:t xml:space="preserve"> retrial </w:t>
      </w:r>
      <w:r w:rsidR="00EE6B93" w:rsidRPr="00D0513A">
        <w:rPr>
          <w:rFonts w:ascii="Times New Roman" w:hAnsi="Times New Roman"/>
        </w:rPr>
        <w:t>.</w:t>
      </w:r>
      <w:r w:rsidR="007A6488" w:rsidRPr="00D0513A">
        <w:rPr>
          <w:rFonts w:ascii="Times New Roman" w:hAnsi="Times New Roman"/>
        </w:rPr>
        <w:t>.</w:t>
      </w:r>
      <w:r w:rsidR="00EE6B93" w:rsidRPr="00D0513A">
        <w:rPr>
          <w:rFonts w:ascii="Times New Roman" w:hAnsi="Times New Roman"/>
        </w:rPr>
        <w:t xml:space="preserve">. </w:t>
      </w:r>
      <w:r w:rsidR="00BF5EF3" w:rsidRPr="00D0513A">
        <w:rPr>
          <w:rFonts w:ascii="Times New Roman" w:hAnsi="Times New Roman"/>
        </w:rPr>
        <w:t xml:space="preserve">on </w:t>
      </w:r>
      <w:r w:rsidR="00540B39" w:rsidRPr="00D0513A">
        <w:rPr>
          <w:rFonts w:ascii="Times New Roman" w:hAnsi="Times New Roman"/>
        </w:rPr>
        <w:t>c</w:t>
      </w:r>
      <w:r w:rsidR="00BF5EF3" w:rsidRPr="00D0513A">
        <w:rPr>
          <w:rFonts w:ascii="Times New Roman" w:hAnsi="Times New Roman"/>
        </w:rPr>
        <w:t>ount</w:t>
      </w:r>
      <w:r w:rsidR="00BE369E" w:rsidRPr="00D0513A">
        <w:rPr>
          <w:rFonts w:ascii="Times New Roman" w:hAnsi="Times New Roman"/>
        </w:rPr>
        <w:t> </w:t>
      </w:r>
      <w:r w:rsidR="00BF5EF3" w:rsidRPr="00D0513A">
        <w:rPr>
          <w:rFonts w:ascii="Times New Roman" w:hAnsi="Times New Roman"/>
        </w:rPr>
        <w:t xml:space="preserve">1 </w:t>
      </w:r>
      <w:r w:rsidR="007A6488" w:rsidRPr="00D0513A">
        <w:rPr>
          <w:rFonts w:ascii="Times New Roman" w:hAnsi="Times New Roman"/>
        </w:rPr>
        <w:t xml:space="preserve">is to </w:t>
      </w:r>
      <w:r w:rsidR="00BF5EF3" w:rsidRPr="00D0513A">
        <w:rPr>
          <w:rFonts w:ascii="Times New Roman" w:hAnsi="Times New Roman"/>
        </w:rPr>
        <w:t>be had</w:t>
      </w:r>
      <w:r w:rsidR="002F7F85" w:rsidRPr="00D0513A">
        <w:rPr>
          <w:rFonts w:ascii="Times New Roman" w:hAnsi="Times New Roman"/>
        </w:rPr>
        <w:t>"</w:t>
      </w:r>
      <w:r w:rsidR="00BF5EF3" w:rsidRPr="00D0513A">
        <w:rPr>
          <w:rFonts w:ascii="Times New Roman" w:hAnsi="Times New Roman"/>
        </w:rPr>
        <w:t>.</w:t>
      </w:r>
      <w:r w:rsidR="003918B8" w:rsidRPr="00D0513A">
        <w:rPr>
          <w:rStyle w:val="FootnoteReference"/>
          <w:rFonts w:ascii="Times New Roman" w:hAnsi="Times New Roman"/>
          <w:sz w:val="24"/>
        </w:rPr>
        <w:footnoteReference w:id="8"/>
      </w:r>
      <w:r w:rsidR="00BF5EF3" w:rsidRPr="00D0513A">
        <w:rPr>
          <w:rFonts w:ascii="Times New Roman" w:hAnsi="Times New Roman"/>
        </w:rPr>
        <w:t xml:space="preserve"> </w:t>
      </w:r>
    </w:p>
    <w:p w14:paraId="7CD7A44B" w14:textId="59FCE7F1" w:rsidR="008F6705" w:rsidRPr="00D0513A" w:rsidRDefault="006C7523" w:rsidP="00D0513A">
      <w:pPr>
        <w:pStyle w:val="HeadingL1"/>
        <w:spacing w:after="260" w:line="280" w:lineRule="exact"/>
        <w:ind w:right="0"/>
        <w:jc w:val="both"/>
        <w:rPr>
          <w:rFonts w:ascii="Times New Roman" w:hAnsi="Times New Roman"/>
        </w:rPr>
      </w:pPr>
      <w:r w:rsidRPr="00D0513A">
        <w:rPr>
          <w:rFonts w:ascii="Times New Roman" w:hAnsi="Times New Roman"/>
        </w:rPr>
        <w:t xml:space="preserve">The </w:t>
      </w:r>
      <w:r w:rsidR="00BE369E" w:rsidRPr="00D0513A">
        <w:rPr>
          <w:rFonts w:ascii="Times New Roman" w:hAnsi="Times New Roman"/>
        </w:rPr>
        <w:t>o</w:t>
      </w:r>
      <w:r w:rsidRPr="00D0513A">
        <w:rPr>
          <w:rFonts w:ascii="Times New Roman" w:hAnsi="Times New Roman"/>
        </w:rPr>
        <w:t xml:space="preserve">rders </w:t>
      </w:r>
      <w:r w:rsidR="00BE369E" w:rsidRPr="00D0513A">
        <w:rPr>
          <w:rFonts w:ascii="Times New Roman" w:hAnsi="Times New Roman"/>
        </w:rPr>
        <w:t>s</w:t>
      </w:r>
      <w:r w:rsidRPr="00D0513A">
        <w:rPr>
          <w:rFonts w:ascii="Times New Roman" w:hAnsi="Times New Roman"/>
        </w:rPr>
        <w:t xml:space="preserve">ought by the </w:t>
      </w:r>
      <w:r w:rsidR="00BE369E" w:rsidRPr="00D0513A">
        <w:rPr>
          <w:rFonts w:ascii="Times New Roman" w:hAnsi="Times New Roman"/>
        </w:rPr>
        <w:t>a</w:t>
      </w:r>
      <w:r w:rsidR="00174EDC" w:rsidRPr="00D0513A">
        <w:rPr>
          <w:rFonts w:ascii="Times New Roman" w:hAnsi="Times New Roman"/>
        </w:rPr>
        <w:t>ppellant</w:t>
      </w:r>
    </w:p>
    <w:p w14:paraId="2D92E160" w14:textId="23CFB6CF" w:rsidR="00246613" w:rsidRPr="00D0513A" w:rsidRDefault="00ED731D"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B94E6A" w:rsidRPr="00D0513A">
        <w:rPr>
          <w:rFonts w:ascii="Times New Roman" w:hAnsi="Times New Roman"/>
        </w:rPr>
        <w:t>By</w:t>
      </w:r>
      <w:r w:rsidR="00305C9F" w:rsidRPr="00D0513A">
        <w:rPr>
          <w:rFonts w:ascii="Times New Roman" w:hAnsi="Times New Roman"/>
        </w:rPr>
        <w:t xml:space="preserve"> </w:t>
      </w:r>
      <w:r w:rsidRPr="00D0513A">
        <w:rPr>
          <w:rFonts w:ascii="Times New Roman" w:hAnsi="Times New Roman"/>
        </w:rPr>
        <w:t>its</w:t>
      </w:r>
      <w:r w:rsidR="00305C9F" w:rsidRPr="00D0513A">
        <w:rPr>
          <w:rFonts w:ascii="Times New Roman" w:hAnsi="Times New Roman"/>
        </w:rPr>
        <w:t xml:space="preserve"> Notice of Appeal </w:t>
      </w:r>
      <w:r w:rsidRPr="00D0513A">
        <w:rPr>
          <w:rFonts w:ascii="Times New Roman" w:hAnsi="Times New Roman"/>
        </w:rPr>
        <w:t>to this Court</w:t>
      </w:r>
      <w:r w:rsidR="00476FA7" w:rsidRPr="00D0513A">
        <w:rPr>
          <w:rFonts w:ascii="Times New Roman" w:hAnsi="Times New Roman"/>
        </w:rPr>
        <w:t xml:space="preserve">, the </w:t>
      </w:r>
      <w:r w:rsidR="00B94E6A" w:rsidRPr="00D0513A">
        <w:rPr>
          <w:rFonts w:ascii="Times New Roman" w:hAnsi="Times New Roman"/>
        </w:rPr>
        <w:t>Crown</w:t>
      </w:r>
      <w:r w:rsidR="00476FA7" w:rsidRPr="00D0513A">
        <w:rPr>
          <w:rFonts w:ascii="Times New Roman" w:hAnsi="Times New Roman"/>
        </w:rPr>
        <w:t xml:space="preserve"> </w:t>
      </w:r>
      <w:r w:rsidR="00A40371" w:rsidRPr="00D0513A">
        <w:rPr>
          <w:rFonts w:ascii="Times New Roman" w:hAnsi="Times New Roman"/>
        </w:rPr>
        <w:t xml:space="preserve">originally </w:t>
      </w:r>
      <w:r w:rsidR="00476FA7" w:rsidRPr="00D0513A">
        <w:rPr>
          <w:rFonts w:ascii="Times New Roman" w:hAnsi="Times New Roman"/>
        </w:rPr>
        <w:t xml:space="preserve">sought </w:t>
      </w:r>
      <w:r w:rsidR="00DB6C2C" w:rsidRPr="00D0513A">
        <w:rPr>
          <w:rFonts w:ascii="Times New Roman" w:hAnsi="Times New Roman"/>
        </w:rPr>
        <w:t xml:space="preserve">orders </w:t>
      </w:r>
      <w:r w:rsidR="00370A24" w:rsidRPr="00D0513A">
        <w:rPr>
          <w:rFonts w:ascii="Times New Roman" w:hAnsi="Times New Roman"/>
        </w:rPr>
        <w:t>that orders 3, 4 and 5</w:t>
      </w:r>
      <w:r w:rsidR="00CD373D" w:rsidRPr="00D0513A">
        <w:rPr>
          <w:rFonts w:ascii="Times New Roman" w:hAnsi="Times New Roman"/>
        </w:rPr>
        <w:t xml:space="preserve"> made by the Court of Criminal Appeal</w:t>
      </w:r>
      <w:r w:rsidRPr="00D0513A">
        <w:rPr>
          <w:rFonts w:ascii="Times New Roman" w:hAnsi="Times New Roman"/>
        </w:rPr>
        <w:t xml:space="preserve"> be set aside</w:t>
      </w:r>
      <w:r w:rsidR="00203DC9" w:rsidRPr="00D0513A">
        <w:rPr>
          <w:rFonts w:ascii="Times New Roman" w:hAnsi="Times New Roman"/>
        </w:rPr>
        <w:t xml:space="preserve"> and</w:t>
      </w:r>
      <w:r w:rsidR="00C11C59" w:rsidRPr="00D0513A">
        <w:rPr>
          <w:rFonts w:ascii="Times New Roman" w:hAnsi="Times New Roman"/>
        </w:rPr>
        <w:t xml:space="preserve"> that</w:t>
      </w:r>
      <w:r w:rsidR="00203DC9" w:rsidRPr="00D0513A">
        <w:rPr>
          <w:rFonts w:ascii="Times New Roman" w:hAnsi="Times New Roman"/>
        </w:rPr>
        <w:t>, in place</w:t>
      </w:r>
      <w:r w:rsidR="00E54EC5" w:rsidRPr="00D0513A">
        <w:rPr>
          <w:rFonts w:ascii="Times New Roman" w:hAnsi="Times New Roman"/>
        </w:rPr>
        <w:t xml:space="preserve"> of those orders</w:t>
      </w:r>
      <w:r w:rsidR="00203DC9" w:rsidRPr="00D0513A">
        <w:rPr>
          <w:rFonts w:ascii="Times New Roman" w:hAnsi="Times New Roman"/>
        </w:rPr>
        <w:t xml:space="preserve">, </w:t>
      </w:r>
      <w:r w:rsidR="00647F09" w:rsidRPr="00D0513A">
        <w:rPr>
          <w:rFonts w:ascii="Times New Roman" w:hAnsi="Times New Roman"/>
        </w:rPr>
        <w:t>the appeal against conviction be dismissed</w:t>
      </w:r>
      <w:r w:rsidR="00E02C51" w:rsidRPr="00D0513A">
        <w:rPr>
          <w:rFonts w:ascii="Times New Roman" w:hAnsi="Times New Roman"/>
        </w:rPr>
        <w:t>.</w:t>
      </w:r>
    </w:p>
    <w:p w14:paraId="218E8A86" w14:textId="447F5535" w:rsidR="000F007D" w:rsidRPr="00D0513A" w:rsidRDefault="000F007D" w:rsidP="00D0513A">
      <w:pPr>
        <w:pStyle w:val="FixListStyle"/>
        <w:spacing w:after="260" w:line="280" w:lineRule="exact"/>
        <w:ind w:right="0"/>
        <w:jc w:val="both"/>
        <w:rPr>
          <w:rFonts w:ascii="Times New Roman" w:hAnsi="Times New Roman"/>
        </w:rPr>
      </w:pPr>
      <w:r w:rsidRPr="00D0513A">
        <w:rPr>
          <w:rFonts w:ascii="Times New Roman" w:hAnsi="Times New Roman"/>
        </w:rPr>
        <w:tab/>
        <w:t xml:space="preserve">In written submissions in chief </w:t>
      </w:r>
      <w:r w:rsidR="00F724C4" w:rsidRPr="00D0513A">
        <w:rPr>
          <w:rFonts w:ascii="Times New Roman" w:hAnsi="Times New Roman"/>
        </w:rPr>
        <w:t>o</w:t>
      </w:r>
      <w:r w:rsidRPr="00D0513A">
        <w:rPr>
          <w:rFonts w:ascii="Times New Roman" w:hAnsi="Times New Roman"/>
        </w:rPr>
        <w:t xml:space="preserve">n the appeal to this Court, the Crown argued </w:t>
      </w:r>
      <w:r w:rsidR="00931196" w:rsidRPr="00D0513A">
        <w:rPr>
          <w:rFonts w:ascii="Times New Roman" w:hAnsi="Times New Roman"/>
        </w:rPr>
        <w:t xml:space="preserve">that </w:t>
      </w:r>
      <w:r w:rsidR="00560246" w:rsidRPr="00D0513A">
        <w:rPr>
          <w:rFonts w:ascii="Times New Roman" w:hAnsi="Times New Roman"/>
        </w:rPr>
        <w:t xml:space="preserve">being an accessory before the fact to constructive murder </w:t>
      </w:r>
      <w:r w:rsidR="00931196" w:rsidRPr="00D0513A">
        <w:rPr>
          <w:rFonts w:ascii="Times New Roman" w:hAnsi="Times New Roman"/>
        </w:rPr>
        <w:t>is an offence known to law</w:t>
      </w:r>
      <w:r w:rsidR="00FE34EC" w:rsidRPr="00D0513A">
        <w:rPr>
          <w:rFonts w:ascii="Times New Roman" w:hAnsi="Times New Roman"/>
        </w:rPr>
        <w:t xml:space="preserve">. The Crown argued </w:t>
      </w:r>
      <w:r w:rsidR="00502212" w:rsidRPr="00D0513A">
        <w:rPr>
          <w:rFonts w:ascii="Times New Roman" w:hAnsi="Times New Roman"/>
        </w:rPr>
        <w:t>the</w:t>
      </w:r>
      <w:r w:rsidR="00FE34EC" w:rsidRPr="00D0513A">
        <w:rPr>
          <w:rFonts w:ascii="Times New Roman" w:hAnsi="Times New Roman"/>
        </w:rPr>
        <w:t xml:space="preserve"> mental element of th</w:t>
      </w:r>
      <w:r w:rsidR="00511A93" w:rsidRPr="00D0513A">
        <w:rPr>
          <w:rFonts w:ascii="Times New Roman" w:hAnsi="Times New Roman"/>
        </w:rPr>
        <w:t>at</w:t>
      </w:r>
      <w:r w:rsidR="00FE34EC" w:rsidRPr="00D0513A">
        <w:rPr>
          <w:rFonts w:ascii="Times New Roman" w:hAnsi="Times New Roman"/>
        </w:rPr>
        <w:t xml:space="preserve"> offence</w:t>
      </w:r>
      <w:r w:rsidR="004D2EE7" w:rsidRPr="00D0513A">
        <w:rPr>
          <w:rFonts w:ascii="Times New Roman" w:hAnsi="Times New Roman"/>
        </w:rPr>
        <w:t xml:space="preserve"> </w:t>
      </w:r>
      <w:r w:rsidR="00502212" w:rsidRPr="00D0513A">
        <w:rPr>
          <w:rFonts w:ascii="Times New Roman" w:hAnsi="Times New Roman"/>
        </w:rPr>
        <w:t xml:space="preserve">to be </w:t>
      </w:r>
      <w:r w:rsidR="00F30F30" w:rsidRPr="00D0513A">
        <w:rPr>
          <w:rFonts w:ascii="Times New Roman" w:hAnsi="Times New Roman"/>
        </w:rPr>
        <w:t xml:space="preserve">that </w:t>
      </w:r>
      <w:r w:rsidR="00C2788A" w:rsidRPr="00D0513A">
        <w:rPr>
          <w:rFonts w:ascii="Times New Roman" w:hAnsi="Times New Roman"/>
        </w:rPr>
        <w:t>"the accessory must know or believe at the time of giving assistance or encouragement ..</w:t>
      </w:r>
      <w:r w:rsidR="00313CF9" w:rsidRPr="00D0513A">
        <w:rPr>
          <w:rFonts w:ascii="Times New Roman" w:hAnsi="Times New Roman"/>
        </w:rPr>
        <w:t xml:space="preserve">. </w:t>
      </w:r>
      <w:r w:rsidR="00A300AB" w:rsidRPr="00D0513A">
        <w:rPr>
          <w:rFonts w:ascii="Times New Roman" w:hAnsi="Times New Roman"/>
        </w:rPr>
        <w:t>t</w:t>
      </w:r>
      <w:r w:rsidR="00313CF9" w:rsidRPr="00D0513A">
        <w:rPr>
          <w:rFonts w:ascii="Times New Roman" w:hAnsi="Times New Roman"/>
        </w:rPr>
        <w:t xml:space="preserve">hat the principal </w:t>
      </w:r>
      <w:r w:rsidR="00313CF9" w:rsidRPr="00D0513A">
        <w:rPr>
          <w:rFonts w:ascii="Times New Roman" w:hAnsi="Times New Roman"/>
          <w:i/>
          <w:iCs/>
        </w:rPr>
        <w:t>would do</w:t>
      </w:r>
      <w:r w:rsidR="00313CF9" w:rsidRPr="00D0513A">
        <w:rPr>
          <w:rFonts w:ascii="Times New Roman" w:hAnsi="Times New Roman"/>
        </w:rPr>
        <w:t xml:space="preserve"> the act causing death, as a means of effecting the venture, should the occasion arise, and with this knowledge</w:t>
      </w:r>
      <w:r w:rsidR="00A300AB" w:rsidRPr="00D0513A">
        <w:rPr>
          <w:rFonts w:ascii="Times New Roman" w:hAnsi="Times New Roman"/>
        </w:rPr>
        <w:t xml:space="preserve"> the accessory must intentionally assist or encourage the principal"</w:t>
      </w:r>
      <w:r w:rsidR="00BE797F" w:rsidRPr="00D0513A">
        <w:rPr>
          <w:rFonts w:ascii="Times New Roman" w:hAnsi="Times New Roman"/>
        </w:rPr>
        <w:t xml:space="preserve"> </w:t>
      </w:r>
      <w:r w:rsidR="00540B39" w:rsidRPr="00D0513A">
        <w:rPr>
          <w:rFonts w:ascii="Times New Roman" w:hAnsi="Times New Roman"/>
        </w:rPr>
        <w:t>(emphasis added)</w:t>
      </w:r>
      <w:r w:rsidR="00A300AB" w:rsidRPr="00D0513A">
        <w:rPr>
          <w:rFonts w:ascii="Times New Roman" w:hAnsi="Times New Roman"/>
        </w:rPr>
        <w:t>.</w:t>
      </w:r>
      <w:r w:rsidR="00174EDC" w:rsidRPr="00D0513A">
        <w:rPr>
          <w:rFonts w:ascii="Times New Roman" w:hAnsi="Times New Roman"/>
        </w:rPr>
        <w:t xml:space="preserve"> As explained below, this was a significantly different formulation to that relied on by the Crown before the Court of Criminal Appeal.</w:t>
      </w:r>
    </w:p>
    <w:p w14:paraId="3DADA31C" w14:textId="3CD00C70" w:rsidR="00AE791E" w:rsidRPr="00D0513A" w:rsidRDefault="00AE791E" w:rsidP="00D0513A">
      <w:pPr>
        <w:pStyle w:val="FixListStyle"/>
        <w:spacing w:after="260" w:line="280" w:lineRule="exact"/>
        <w:ind w:right="0"/>
        <w:jc w:val="both"/>
        <w:rPr>
          <w:rFonts w:ascii="Times New Roman" w:hAnsi="Times New Roman"/>
        </w:rPr>
      </w:pPr>
      <w:r w:rsidRPr="00D0513A">
        <w:rPr>
          <w:rFonts w:ascii="Times New Roman" w:hAnsi="Times New Roman"/>
        </w:rPr>
        <w:lastRenderedPageBreak/>
        <w:tab/>
      </w:r>
      <w:r w:rsidR="00511A93" w:rsidRPr="00D0513A">
        <w:rPr>
          <w:rFonts w:ascii="Times New Roman" w:hAnsi="Times New Roman"/>
        </w:rPr>
        <w:t>I</w:t>
      </w:r>
      <w:r w:rsidR="00895E27" w:rsidRPr="00D0513A">
        <w:rPr>
          <w:rFonts w:ascii="Times New Roman" w:hAnsi="Times New Roman"/>
        </w:rPr>
        <w:t xml:space="preserve">n written submissions in response, </w:t>
      </w:r>
      <w:r w:rsidR="003B5BC2" w:rsidRPr="00D0513A">
        <w:rPr>
          <w:rFonts w:ascii="Times New Roman" w:hAnsi="Times New Roman"/>
        </w:rPr>
        <w:t xml:space="preserve">the respondent </w:t>
      </w:r>
      <w:r w:rsidR="00FD32E2" w:rsidRPr="00D0513A">
        <w:rPr>
          <w:rFonts w:ascii="Times New Roman" w:hAnsi="Times New Roman"/>
        </w:rPr>
        <w:t xml:space="preserve">raised an issue </w:t>
      </w:r>
      <w:r w:rsidR="003741FE" w:rsidRPr="00D0513A">
        <w:rPr>
          <w:rFonts w:ascii="Times New Roman" w:hAnsi="Times New Roman"/>
        </w:rPr>
        <w:t>as to</w:t>
      </w:r>
      <w:r w:rsidR="002C1F72" w:rsidRPr="00D0513A">
        <w:rPr>
          <w:rFonts w:ascii="Times New Roman" w:hAnsi="Times New Roman"/>
        </w:rPr>
        <w:t xml:space="preserve"> </w:t>
      </w:r>
      <w:r w:rsidR="003741FE" w:rsidRPr="00D0513A">
        <w:rPr>
          <w:rFonts w:ascii="Times New Roman" w:hAnsi="Times New Roman"/>
        </w:rPr>
        <w:t xml:space="preserve">the </w:t>
      </w:r>
      <w:r w:rsidR="00AD1291" w:rsidRPr="00D0513A">
        <w:rPr>
          <w:rFonts w:ascii="Times New Roman" w:hAnsi="Times New Roman"/>
        </w:rPr>
        <w:t xml:space="preserve">order </w:t>
      </w:r>
      <w:r w:rsidR="003741FE" w:rsidRPr="00D0513A">
        <w:rPr>
          <w:rFonts w:ascii="Times New Roman" w:hAnsi="Times New Roman"/>
        </w:rPr>
        <w:t>appropriate</w:t>
      </w:r>
      <w:r w:rsidR="00016A06" w:rsidRPr="00D0513A">
        <w:rPr>
          <w:rFonts w:ascii="Times New Roman" w:hAnsi="Times New Roman"/>
        </w:rPr>
        <w:t xml:space="preserve"> to be made by this Court</w:t>
      </w:r>
      <w:r w:rsidR="00684361" w:rsidRPr="00D0513A">
        <w:rPr>
          <w:rFonts w:ascii="Times New Roman" w:hAnsi="Times New Roman"/>
        </w:rPr>
        <w:t xml:space="preserve"> </w:t>
      </w:r>
      <w:r w:rsidR="002C1F72" w:rsidRPr="00D0513A">
        <w:rPr>
          <w:rFonts w:ascii="Times New Roman" w:hAnsi="Times New Roman"/>
        </w:rPr>
        <w:t xml:space="preserve">were </w:t>
      </w:r>
      <w:r w:rsidR="00684361" w:rsidRPr="00D0513A">
        <w:rPr>
          <w:rFonts w:ascii="Times New Roman" w:hAnsi="Times New Roman"/>
        </w:rPr>
        <w:t>this Court</w:t>
      </w:r>
      <w:r w:rsidR="008C2A1F" w:rsidRPr="00D0513A">
        <w:rPr>
          <w:rFonts w:ascii="Times New Roman" w:hAnsi="Times New Roman"/>
        </w:rPr>
        <w:t xml:space="preserve"> to accept </w:t>
      </w:r>
      <w:r w:rsidR="002C1F72" w:rsidRPr="00D0513A">
        <w:rPr>
          <w:rFonts w:ascii="Times New Roman" w:hAnsi="Times New Roman"/>
        </w:rPr>
        <w:t xml:space="preserve">the </w:t>
      </w:r>
      <w:r w:rsidR="00AD1291" w:rsidRPr="00D0513A">
        <w:rPr>
          <w:rFonts w:ascii="Times New Roman" w:hAnsi="Times New Roman"/>
        </w:rPr>
        <w:t xml:space="preserve">substantive </w:t>
      </w:r>
      <w:r w:rsidR="002C1F72" w:rsidRPr="00D0513A">
        <w:rPr>
          <w:rFonts w:ascii="Times New Roman" w:hAnsi="Times New Roman"/>
        </w:rPr>
        <w:t xml:space="preserve">argument of the Crown </w:t>
      </w:r>
      <w:r w:rsidR="005E015C" w:rsidRPr="00D0513A">
        <w:rPr>
          <w:rFonts w:ascii="Times New Roman" w:hAnsi="Times New Roman"/>
        </w:rPr>
        <w:t xml:space="preserve">on the ground of appeal </w:t>
      </w:r>
      <w:r w:rsidR="002C1F72" w:rsidRPr="00D0513A">
        <w:rPr>
          <w:rFonts w:ascii="Times New Roman" w:hAnsi="Times New Roman"/>
        </w:rPr>
        <w:t xml:space="preserve">to </w:t>
      </w:r>
      <w:r w:rsidR="008C2A1F" w:rsidRPr="00D0513A">
        <w:rPr>
          <w:rFonts w:ascii="Times New Roman" w:hAnsi="Times New Roman"/>
        </w:rPr>
        <w:t>this Court</w:t>
      </w:r>
      <w:r w:rsidR="00F33200" w:rsidRPr="00D0513A">
        <w:rPr>
          <w:rFonts w:ascii="Times New Roman" w:hAnsi="Times New Roman"/>
        </w:rPr>
        <w:t xml:space="preserve">. </w:t>
      </w:r>
      <w:r w:rsidR="000A2BA4" w:rsidRPr="00D0513A">
        <w:rPr>
          <w:rFonts w:ascii="Times New Roman" w:hAnsi="Times New Roman"/>
        </w:rPr>
        <w:t xml:space="preserve">The issue was whether </w:t>
      </w:r>
      <w:r w:rsidR="00550170" w:rsidRPr="00D0513A">
        <w:rPr>
          <w:rFonts w:ascii="Times New Roman" w:hAnsi="Times New Roman"/>
        </w:rPr>
        <w:t xml:space="preserve">the appropriate order </w:t>
      </w:r>
      <w:r w:rsidR="002C1F72" w:rsidRPr="00D0513A">
        <w:rPr>
          <w:rFonts w:ascii="Times New Roman" w:hAnsi="Times New Roman"/>
        </w:rPr>
        <w:t xml:space="preserve">would be </w:t>
      </w:r>
      <w:r w:rsidR="00D91309" w:rsidRPr="00D0513A">
        <w:rPr>
          <w:rFonts w:ascii="Times New Roman" w:hAnsi="Times New Roman"/>
        </w:rPr>
        <w:t>t</w:t>
      </w:r>
      <w:r w:rsidR="004A6881" w:rsidRPr="00D0513A">
        <w:rPr>
          <w:rFonts w:ascii="Times New Roman" w:hAnsi="Times New Roman"/>
        </w:rPr>
        <w:t>o set aside orders 3, 4 and 5 made by the Court of Criminal</w:t>
      </w:r>
      <w:r w:rsidR="00130A58" w:rsidRPr="00D0513A">
        <w:rPr>
          <w:rFonts w:ascii="Times New Roman" w:hAnsi="Times New Roman"/>
        </w:rPr>
        <w:t xml:space="preserve"> Appeal</w:t>
      </w:r>
      <w:r w:rsidR="004A6881" w:rsidRPr="00D0513A">
        <w:rPr>
          <w:rFonts w:ascii="Times New Roman" w:hAnsi="Times New Roman"/>
        </w:rPr>
        <w:t xml:space="preserve"> and in their place </w:t>
      </w:r>
      <w:r w:rsidR="00016A06" w:rsidRPr="00D0513A">
        <w:rPr>
          <w:rFonts w:ascii="Times New Roman" w:hAnsi="Times New Roman"/>
        </w:rPr>
        <w:t>dismiss the appeal against conviction</w:t>
      </w:r>
      <w:r w:rsidR="00AD1291" w:rsidRPr="00D0513A">
        <w:rPr>
          <w:rFonts w:ascii="Times New Roman" w:hAnsi="Times New Roman"/>
        </w:rPr>
        <w:t>,</w:t>
      </w:r>
      <w:r w:rsidR="00016A06" w:rsidRPr="00D0513A">
        <w:rPr>
          <w:rFonts w:ascii="Times New Roman" w:hAnsi="Times New Roman"/>
        </w:rPr>
        <w:t xml:space="preserve"> as </w:t>
      </w:r>
      <w:r w:rsidR="003017CD" w:rsidRPr="00D0513A">
        <w:rPr>
          <w:rFonts w:ascii="Times New Roman" w:hAnsi="Times New Roman"/>
        </w:rPr>
        <w:t xml:space="preserve">then </w:t>
      </w:r>
      <w:r w:rsidR="00016A06" w:rsidRPr="00D0513A">
        <w:rPr>
          <w:rFonts w:ascii="Times New Roman" w:hAnsi="Times New Roman"/>
        </w:rPr>
        <w:t>sought in the Notice of Appeal</w:t>
      </w:r>
      <w:r w:rsidR="00AD1291" w:rsidRPr="00D0513A">
        <w:rPr>
          <w:rFonts w:ascii="Times New Roman" w:hAnsi="Times New Roman"/>
        </w:rPr>
        <w:t xml:space="preserve">, </w:t>
      </w:r>
      <w:r w:rsidR="00016A06" w:rsidRPr="00D0513A">
        <w:rPr>
          <w:rFonts w:ascii="Times New Roman" w:hAnsi="Times New Roman"/>
        </w:rPr>
        <w:t xml:space="preserve">or </w:t>
      </w:r>
      <w:r w:rsidR="0096293A" w:rsidRPr="00D0513A">
        <w:rPr>
          <w:rFonts w:ascii="Times New Roman" w:hAnsi="Times New Roman"/>
        </w:rPr>
        <w:t xml:space="preserve">instead </w:t>
      </w:r>
      <w:r w:rsidR="00016A06" w:rsidRPr="00D0513A">
        <w:rPr>
          <w:rFonts w:ascii="Times New Roman" w:hAnsi="Times New Roman"/>
        </w:rPr>
        <w:t>to affirm the order for a</w:t>
      </w:r>
      <w:r w:rsidR="0096293A" w:rsidRPr="00D0513A">
        <w:rPr>
          <w:rFonts w:ascii="Times New Roman" w:hAnsi="Times New Roman"/>
        </w:rPr>
        <w:t xml:space="preserve"> </w:t>
      </w:r>
      <w:r w:rsidR="00016A06" w:rsidRPr="00D0513A">
        <w:rPr>
          <w:rFonts w:ascii="Times New Roman" w:hAnsi="Times New Roman"/>
        </w:rPr>
        <w:t>new trial</w:t>
      </w:r>
      <w:r w:rsidR="0096293A" w:rsidRPr="00D0513A">
        <w:rPr>
          <w:rFonts w:ascii="Times New Roman" w:hAnsi="Times New Roman"/>
        </w:rPr>
        <w:t xml:space="preserve"> made by the Court of Criminal Appeal</w:t>
      </w:r>
      <w:r w:rsidR="00016A06" w:rsidRPr="00D0513A">
        <w:rPr>
          <w:rFonts w:ascii="Times New Roman" w:hAnsi="Times New Roman"/>
        </w:rPr>
        <w:t xml:space="preserve">. </w:t>
      </w:r>
      <w:r w:rsidR="00464FEB" w:rsidRPr="00D0513A">
        <w:rPr>
          <w:rFonts w:ascii="Times New Roman" w:hAnsi="Times New Roman"/>
        </w:rPr>
        <w:t xml:space="preserve">The </w:t>
      </w:r>
      <w:r w:rsidR="0020421D" w:rsidRPr="00D0513A">
        <w:rPr>
          <w:rFonts w:ascii="Times New Roman" w:hAnsi="Times New Roman"/>
        </w:rPr>
        <w:t>respondent identified the issue as</w:t>
      </w:r>
      <w:r w:rsidR="00464FEB" w:rsidRPr="00D0513A">
        <w:rPr>
          <w:rFonts w:ascii="Times New Roman" w:hAnsi="Times New Roman"/>
        </w:rPr>
        <w:t xml:space="preserve"> concern</w:t>
      </w:r>
      <w:r w:rsidR="0020421D" w:rsidRPr="00D0513A">
        <w:rPr>
          <w:rFonts w:ascii="Times New Roman" w:hAnsi="Times New Roman"/>
        </w:rPr>
        <w:t>ing</w:t>
      </w:r>
      <w:r w:rsidR="000C2E1B" w:rsidRPr="00D0513A">
        <w:rPr>
          <w:rFonts w:ascii="Times New Roman" w:hAnsi="Times New Roman"/>
        </w:rPr>
        <w:t xml:space="preserve"> "whether </w:t>
      </w:r>
      <w:r w:rsidR="00FD32E2" w:rsidRPr="00D0513A">
        <w:rPr>
          <w:rFonts w:ascii="Times New Roman" w:hAnsi="Times New Roman"/>
        </w:rPr>
        <w:t>the trial conducted actually incorporated the necessary state of mind direction to the jury"</w:t>
      </w:r>
      <w:r w:rsidR="0020421D" w:rsidRPr="00D0513A">
        <w:rPr>
          <w:rFonts w:ascii="Times New Roman" w:hAnsi="Times New Roman"/>
        </w:rPr>
        <w:t xml:space="preserve"> and </w:t>
      </w:r>
      <w:r w:rsidR="00F94D4E" w:rsidRPr="00D0513A">
        <w:rPr>
          <w:rFonts w:ascii="Times New Roman" w:hAnsi="Times New Roman"/>
        </w:rPr>
        <w:t xml:space="preserve">sought leave to raise </w:t>
      </w:r>
      <w:r w:rsidR="00C27728" w:rsidRPr="00D0513A">
        <w:rPr>
          <w:rFonts w:ascii="Times New Roman" w:hAnsi="Times New Roman"/>
        </w:rPr>
        <w:t xml:space="preserve">by </w:t>
      </w:r>
      <w:r w:rsidR="006F1097" w:rsidRPr="00D0513A">
        <w:rPr>
          <w:rFonts w:ascii="Times New Roman" w:hAnsi="Times New Roman"/>
        </w:rPr>
        <w:t>N</w:t>
      </w:r>
      <w:r w:rsidR="00C27728" w:rsidRPr="00D0513A">
        <w:rPr>
          <w:rFonts w:ascii="Times New Roman" w:hAnsi="Times New Roman"/>
        </w:rPr>
        <w:t xml:space="preserve">otice of </w:t>
      </w:r>
      <w:r w:rsidR="006F1097" w:rsidRPr="00D0513A">
        <w:rPr>
          <w:rFonts w:ascii="Times New Roman" w:hAnsi="Times New Roman"/>
        </w:rPr>
        <w:t>C</w:t>
      </w:r>
      <w:r w:rsidR="00C27728" w:rsidRPr="00D0513A">
        <w:rPr>
          <w:rFonts w:ascii="Times New Roman" w:hAnsi="Times New Roman"/>
        </w:rPr>
        <w:t>ontention "</w:t>
      </w:r>
      <w:r w:rsidR="00B71B00" w:rsidRPr="00D0513A">
        <w:rPr>
          <w:rFonts w:ascii="Times New Roman" w:hAnsi="Times New Roman"/>
        </w:rPr>
        <w:t>whether the trial judge directed the jury in accordance with the requisite state of mind".</w:t>
      </w:r>
      <w:r w:rsidR="00F94D4E" w:rsidRPr="00D0513A">
        <w:rPr>
          <w:rFonts w:ascii="Times New Roman" w:hAnsi="Times New Roman"/>
        </w:rPr>
        <w:t xml:space="preserve"> </w:t>
      </w:r>
    </w:p>
    <w:p w14:paraId="30662FC9" w14:textId="7D7CA066" w:rsidR="00A73989" w:rsidRPr="00D0513A" w:rsidRDefault="009004DA"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B71B00" w:rsidRPr="00D0513A">
        <w:rPr>
          <w:rFonts w:ascii="Times New Roman" w:hAnsi="Times New Roman"/>
        </w:rPr>
        <w:t>I</w:t>
      </w:r>
      <w:r w:rsidR="005E26ED" w:rsidRPr="00D0513A">
        <w:rPr>
          <w:rFonts w:ascii="Times New Roman" w:hAnsi="Times New Roman"/>
        </w:rPr>
        <w:t xml:space="preserve">n </w:t>
      </w:r>
      <w:r w:rsidR="00E665F4" w:rsidRPr="00D0513A">
        <w:rPr>
          <w:rFonts w:ascii="Times New Roman" w:hAnsi="Times New Roman"/>
        </w:rPr>
        <w:t xml:space="preserve">its </w:t>
      </w:r>
      <w:r w:rsidR="005E26ED" w:rsidRPr="00D0513A">
        <w:rPr>
          <w:rFonts w:ascii="Times New Roman" w:hAnsi="Times New Roman"/>
        </w:rPr>
        <w:t>written submissions in reply</w:t>
      </w:r>
      <w:r w:rsidR="001B362F" w:rsidRPr="00D0513A">
        <w:rPr>
          <w:rFonts w:ascii="Times New Roman" w:hAnsi="Times New Roman"/>
        </w:rPr>
        <w:t>,</w:t>
      </w:r>
      <w:r w:rsidR="00191FCE" w:rsidRPr="00D0513A">
        <w:rPr>
          <w:rFonts w:ascii="Times New Roman" w:hAnsi="Times New Roman"/>
        </w:rPr>
        <w:t xml:space="preserve"> </w:t>
      </w:r>
      <w:r w:rsidR="00FE50FA" w:rsidRPr="00D0513A">
        <w:rPr>
          <w:rFonts w:ascii="Times New Roman" w:hAnsi="Times New Roman"/>
        </w:rPr>
        <w:t xml:space="preserve">the Crown </w:t>
      </w:r>
      <w:r w:rsidR="006D1881" w:rsidRPr="00D0513A">
        <w:rPr>
          <w:rFonts w:ascii="Times New Roman" w:hAnsi="Times New Roman"/>
        </w:rPr>
        <w:t>conceded</w:t>
      </w:r>
      <w:r w:rsidR="00BB1D1F" w:rsidRPr="00D0513A">
        <w:rPr>
          <w:rFonts w:ascii="Times New Roman" w:hAnsi="Times New Roman"/>
        </w:rPr>
        <w:t xml:space="preserve"> that the trial judge did not direct the jury </w:t>
      </w:r>
      <w:r w:rsidR="00E15583" w:rsidRPr="00D0513A">
        <w:rPr>
          <w:rFonts w:ascii="Times New Roman" w:hAnsi="Times New Roman"/>
        </w:rPr>
        <w:t>in accordance with what it</w:t>
      </w:r>
      <w:r w:rsidR="008A4D69" w:rsidRPr="00D0513A">
        <w:rPr>
          <w:rFonts w:ascii="Times New Roman" w:hAnsi="Times New Roman"/>
        </w:rPr>
        <w:t xml:space="preserve"> </w:t>
      </w:r>
      <w:r w:rsidR="00124D26" w:rsidRPr="00D0513A">
        <w:rPr>
          <w:rFonts w:ascii="Times New Roman" w:hAnsi="Times New Roman"/>
        </w:rPr>
        <w:t xml:space="preserve">sought </w:t>
      </w:r>
      <w:r w:rsidR="00AE50E0" w:rsidRPr="00D0513A">
        <w:rPr>
          <w:rFonts w:ascii="Times New Roman" w:hAnsi="Times New Roman"/>
        </w:rPr>
        <w:t>t</w:t>
      </w:r>
      <w:r w:rsidR="0028679A" w:rsidRPr="00D0513A">
        <w:rPr>
          <w:rFonts w:ascii="Times New Roman" w:hAnsi="Times New Roman"/>
        </w:rPr>
        <w:t xml:space="preserve">o </w:t>
      </w:r>
      <w:r w:rsidR="008A4D69" w:rsidRPr="00D0513A">
        <w:rPr>
          <w:rFonts w:ascii="Times New Roman" w:hAnsi="Times New Roman"/>
        </w:rPr>
        <w:t>argue</w:t>
      </w:r>
      <w:r w:rsidR="0028679A" w:rsidRPr="00D0513A">
        <w:rPr>
          <w:rFonts w:ascii="Times New Roman" w:hAnsi="Times New Roman"/>
        </w:rPr>
        <w:t xml:space="preserve"> in the appeal</w:t>
      </w:r>
      <w:r w:rsidR="00560246" w:rsidRPr="00D0513A">
        <w:rPr>
          <w:rFonts w:ascii="Times New Roman" w:hAnsi="Times New Roman"/>
        </w:rPr>
        <w:t xml:space="preserve"> </w:t>
      </w:r>
      <w:r w:rsidR="00141030" w:rsidRPr="00D0513A">
        <w:rPr>
          <w:rFonts w:ascii="Times New Roman" w:hAnsi="Times New Roman"/>
        </w:rPr>
        <w:t xml:space="preserve">to this Court </w:t>
      </w:r>
      <w:r w:rsidR="00064087" w:rsidRPr="00D0513A">
        <w:rPr>
          <w:rFonts w:ascii="Times New Roman" w:hAnsi="Times New Roman"/>
        </w:rPr>
        <w:t xml:space="preserve">was </w:t>
      </w:r>
      <w:r w:rsidR="00F31757" w:rsidRPr="00D0513A">
        <w:rPr>
          <w:rFonts w:ascii="Times New Roman" w:hAnsi="Times New Roman"/>
        </w:rPr>
        <w:t xml:space="preserve">the </w:t>
      </w:r>
      <w:r w:rsidR="00560246" w:rsidRPr="00D0513A">
        <w:rPr>
          <w:rFonts w:ascii="Times New Roman" w:hAnsi="Times New Roman"/>
        </w:rPr>
        <w:t>requisite</w:t>
      </w:r>
      <w:r w:rsidR="00F31757" w:rsidRPr="00D0513A">
        <w:rPr>
          <w:rFonts w:ascii="Times New Roman" w:hAnsi="Times New Roman"/>
        </w:rPr>
        <w:t xml:space="preserve"> state of mind for </w:t>
      </w:r>
      <w:r w:rsidR="00042F55" w:rsidRPr="00D0513A">
        <w:rPr>
          <w:rFonts w:ascii="Times New Roman" w:hAnsi="Times New Roman"/>
        </w:rPr>
        <w:t>the</w:t>
      </w:r>
      <w:r w:rsidR="00F31757" w:rsidRPr="00D0513A">
        <w:rPr>
          <w:rFonts w:ascii="Times New Roman" w:hAnsi="Times New Roman"/>
        </w:rPr>
        <w:t xml:space="preserve"> offence of being an accessory before the fact to constructive murder</w:t>
      </w:r>
      <w:r w:rsidR="00A245C6" w:rsidRPr="00D0513A">
        <w:rPr>
          <w:rFonts w:ascii="Times New Roman" w:hAnsi="Times New Roman"/>
        </w:rPr>
        <w:t>. Th</w:t>
      </w:r>
      <w:r w:rsidR="008E5022" w:rsidRPr="00D0513A">
        <w:rPr>
          <w:rFonts w:ascii="Times New Roman" w:hAnsi="Times New Roman"/>
        </w:rPr>
        <w:t xml:space="preserve">is </w:t>
      </w:r>
      <w:r w:rsidR="00085813" w:rsidRPr="00D0513A">
        <w:rPr>
          <w:rFonts w:ascii="Times New Roman" w:hAnsi="Times New Roman"/>
        </w:rPr>
        <w:t>concession</w:t>
      </w:r>
      <w:r w:rsidR="00A23D16" w:rsidRPr="00D0513A">
        <w:rPr>
          <w:rFonts w:ascii="Times New Roman" w:hAnsi="Times New Roman"/>
        </w:rPr>
        <w:t xml:space="preserve"> </w:t>
      </w:r>
      <w:r w:rsidR="008E5022" w:rsidRPr="00D0513A">
        <w:rPr>
          <w:rFonts w:ascii="Times New Roman" w:hAnsi="Times New Roman"/>
        </w:rPr>
        <w:t>led</w:t>
      </w:r>
      <w:r w:rsidR="00A23D16" w:rsidRPr="00D0513A">
        <w:rPr>
          <w:rFonts w:ascii="Times New Roman" w:hAnsi="Times New Roman"/>
        </w:rPr>
        <w:t xml:space="preserve"> </w:t>
      </w:r>
      <w:r w:rsidR="008E5022" w:rsidRPr="00D0513A">
        <w:rPr>
          <w:rFonts w:ascii="Times New Roman" w:hAnsi="Times New Roman"/>
        </w:rPr>
        <w:t>the</w:t>
      </w:r>
      <w:r w:rsidR="00A245C6" w:rsidRPr="00D0513A">
        <w:rPr>
          <w:rFonts w:ascii="Times New Roman" w:hAnsi="Times New Roman"/>
        </w:rPr>
        <w:t xml:space="preserve"> Crown</w:t>
      </w:r>
      <w:r w:rsidR="008E5022" w:rsidRPr="00D0513A">
        <w:rPr>
          <w:rFonts w:ascii="Times New Roman" w:hAnsi="Times New Roman"/>
        </w:rPr>
        <w:t xml:space="preserve"> </w:t>
      </w:r>
      <w:r w:rsidR="00085813" w:rsidRPr="00D0513A">
        <w:rPr>
          <w:rFonts w:ascii="Times New Roman" w:hAnsi="Times New Roman"/>
        </w:rPr>
        <w:t>further to concede</w:t>
      </w:r>
      <w:r w:rsidR="005C7918" w:rsidRPr="00D0513A">
        <w:rPr>
          <w:rFonts w:ascii="Times New Roman" w:hAnsi="Times New Roman"/>
        </w:rPr>
        <w:t xml:space="preserve"> </w:t>
      </w:r>
      <w:r w:rsidR="0094179A" w:rsidRPr="00D0513A">
        <w:rPr>
          <w:rFonts w:ascii="Times New Roman" w:hAnsi="Times New Roman"/>
        </w:rPr>
        <w:t>that</w:t>
      </w:r>
      <w:r w:rsidR="00E64548" w:rsidRPr="00D0513A">
        <w:rPr>
          <w:rFonts w:ascii="Times New Roman" w:hAnsi="Times New Roman"/>
        </w:rPr>
        <w:t>,</w:t>
      </w:r>
      <w:r w:rsidR="0094179A" w:rsidRPr="00D0513A">
        <w:rPr>
          <w:rFonts w:ascii="Times New Roman" w:hAnsi="Times New Roman"/>
        </w:rPr>
        <w:t xml:space="preserve"> </w:t>
      </w:r>
      <w:r w:rsidR="00CF007C" w:rsidRPr="00D0513A">
        <w:rPr>
          <w:rFonts w:ascii="Times New Roman" w:hAnsi="Times New Roman"/>
        </w:rPr>
        <w:t xml:space="preserve">were </w:t>
      </w:r>
      <w:r w:rsidR="00E64548" w:rsidRPr="00D0513A">
        <w:rPr>
          <w:rFonts w:ascii="Times New Roman" w:hAnsi="Times New Roman"/>
        </w:rPr>
        <w:t>its</w:t>
      </w:r>
      <w:r w:rsidR="00CF007C" w:rsidRPr="00D0513A">
        <w:rPr>
          <w:rFonts w:ascii="Times New Roman" w:hAnsi="Times New Roman"/>
        </w:rPr>
        <w:t xml:space="preserve"> </w:t>
      </w:r>
      <w:r w:rsidR="00042F55" w:rsidRPr="00D0513A">
        <w:rPr>
          <w:rFonts w:ascii="Times New Roman" w:hAnsi="Times New Roman"/>
        </w:rPr>
        <w:t>argument on its sole ground of</w:t>
      </w:r>
      <w:r w:rsidR="00F10EFC" w:rsidRPr="00D0513A">
        <w:rPr>
          <w:rFonts w:ascii="Times New Roman" w:hAnsi="Times New Roman"/>
        </w:rPr>
        <w:t xml:space="preserve"> appeal</w:t>
      </w:r>
      <w:r w:rsidR="00CF007C" w:rsidRPr="00D0513A">
        <w:rPr>
          <w:rFonts w:ascii="Times New Roman" w:hAnsi="Times New Roman"/>
        </w:rPr>
        <w:t xml:space="preserve"> to be accepted</w:t>
      </w:r>
      <w:r w:rsidR="007942D7" w:rsidRPr="00D0513A">
        <w:rPr>
          <w:rFonts w:ascii="Times New Roman" w:hAnsi="Times New Roman"/>
        </w:rPr>
        <w:t xml:space="preserve"> by this Court</w:t>
      </w:r>
      <w:r w:rsidR="00F26E1A" w:rsidRPr="00D0513A">
        <w:rPr>
          <w:rFonts w:ascii="Times New Roman" w:hAnsi="Times New Roman"/>
        </w:rPr>
        <w:t xml:space="preserve">, </w:t>
      </w:r>
      <w:r w:rsidR="008414B9" w:rsidRPr="00D0513A">
        <w:rPr>
          <w:rFonts w:ascii="Times New Roman" w:hAnsi="Times New Roman"/>
        </w:rPr>
        <w:t xml:space="preserve">"the order for a new trial should be </w:t>
      </w:r>
      <w:r w:rsidR="00191FCE" w:rsidRPr="00D0513A">
        <w:rPr>
          <w:rFonts w:ascii="Times New Roman" w:hAnsi="Times New Roman"/>
        </w:rPr>
        <w:t>affirmed</w:t>
      </w:r>
      <w:r w:rsidR="008414B9" w:rsidRPr="00D0513A">
        <w:rPr>
          <w:rFonts w:ascii="Times New Roman" w:hAnsi="Times New Roman"/>
        </w:rPr>
        <w:t>"</w:t>
      </w:r>
      <w:r w:rsidR="009F4CB6" w:rsidRPr="00D0513A">
        <w:rPr>
          <w:rFonts w:ascii="Times New Roman" w:hAnsi="Times New Roman"/>
        </w:rPr>
        <w:t xml:space="preserve"> ("the second concession</w:t>
      </w:r>
      <w:r w:rsidR="001A2DE5" w:rsidRPr="00D0513A">
        <w:rPr>
          <w:rFonts w:ascii="Times New Roman" w:hAnsi="Times New Roman"/>
        </w:rPr>
        <w:t>")</w:t>
      </w:r>
      <w:r w:rsidR="008414B9" w:rsidRPr="00D0513A">
        <w:rPr>
          <w:rFonts w:ascii="Times New Roman" w:hAnsi="Times New Roman"/>
        </w:rPr>
        <w:t>.</w:t>
      </w:r>
    </w:p>
    <w:p w14:paraId="11786DA0" w14:textId="69F51DFE" w:rsidR="00776C01" w:rsidRPr="00D0513A" w:rsidRDefault="00706C4A"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11867" w:rsidRPr="00D0513A">
        <w:rPr>
          <w:rFonts w:ascii="Times New Roman" w:hAnsi="Times New Roman"/>
        </w:rPr>
        <w:t>By letter from the Senior Registrar</w:t>
      </w:r>
      <w:r w:rsidR="002539BB" w:rsidRPr="00D0513A">
        <w:rPr>
          <w:rFonts w:ascii="Times New Roman" w:hAnsi="Times New Roman"/>
        </w:rPr>
        <w:t xml:space="preserve"> of this Court</w:t>
      </w:r>
      <w:r w:rsidR="009F3F21" w:rsidRPr="00D0513A">
        <w:rPr>
          <w:rFonts w:ascii="Times New Roman" w:hAnsi="Times New Roman"/>
        </w:rPr>
        <w:t>, the Crown was</w:t>
      </w:r>
      <w:r w:rsidR="000D072A" w:rsidRPr="00D0513A">
        <w:rPr>
          <w:rFonts w:ascii="Times New Roman" w:hAnsi="Times New Roman"/>
        </w:rPr>
        <w:t xml:space="preserve"> </w:t>
      </w:r>
      <w:r w:rsidR="003A7B37" w:rsidRPr="00D0513A">
        <w:rPr>
          <w:rFonts w:ascii="Times New Roman" w:hAnsi="Times New Roman"/>
        </w:rPr>
        <w:t xml:space="preserve">invited </w:t>
      </w:r>
      <w:r w:rsidR="00E9741E" w:rsidRPr="00D0513A">
        <w:rPr>
          <w:rFonts w:ascii="Times New Roman" w:hAnsi="Times New Roman"/>
        </w:rPr>
        <w:t xml:space="preserve">to clarify </w:t>
      </w:r>
      <w:r w:rsidR="003F281B" w:rsidRPr="00D0513A">
        <w:rPr>
          <w:rFonts w:ascii="Times New Roman" w:hAnsi="Times New Roman"/>
        </w:rPr>
        <w:t xml:space="preserve">the orders </w:t>
      </w:r>
      <w:r w:rsidR="00DA4C9C" w:rsidRPr="00D0513A">
        <w:rPr>
          <w:rFonts w:ascii="Times New Roman" w:hAnsi="Times New Roman"/>
        </w:rPr>
        <w:t xml:space="preserve">it </w:t>
      </w:r>
      <w:r w:rsidR="003F281B" w:rsidRPr="00D0513A">
        <w:rPr>
          <w:rFonts w:ascii="Times New Roman" w:hAnsi="Times New Roman"/>
        </w:rPr>
        <w:t>sought in the appeal</w:t>
      </w:r>
      <w:r w:rsidR="003A7B37" w:rsidRPr="00D0513A">
        <w:rPr>
          <w:rFonts w:ascii="Times New Roman" w:hAnsi="Times New Roman"/>
        </w:rPr>
        <w:t xml:space="preserve">. In response to that invitation, </w:t>
      </w:r>
      <w:r w:rsidR="00042F55" w:rsidRPr="00D0513A">
        <w:rPr>
          <w:rFonts w:ascii="Times New Roman" w:hAnsi="Times New Roman"/>
        </w:rPr>
        <w:t>the Crown</w:t>
      </w:r>
      <w:r w:rsidR="00783359" w:rsidRPr="00D0513A">
        <w:rPr>
          <w:rFonts w:ascii="Times New Roman" w:hAnsi="Times New Roman"/>
        </w:rPr>
        <w:t xml:space="preserve"> </w:t>
      </w:r>
      <w:r w:rsidR="00D6652C" w:rsidRPr="00D0513A">
        <w:rPr>
          <w:rFonts w:ascii="Times New Roman" w:hAnsi="Times New Roman"/>
        </w:rPr>
        <w:t>filed supplementary submissions</w:t>
      </w:r>
      <w:r w:rsidR="00C87E34" w:rsidRPr="00D0513A">
        <w:rPr>
          <w:rFonts w:ascii="Times New Roman" w:hAnsi="Times New Roman"/>
        </w:rPr>
        <w:t xml:space="preserve"> in which it</w:t>
      </w:r>
      <w:r w:rsidR="00776C01" w:rsidRPr="00D0513A">
        <w:rPr>
          <w:rFonts w:ascii="Times New Roman" w:hAnsi="Times New Roman"/>
        </w:rPr>
        <w:t xml:space="preserve"> </w:t>
      </w:r>
      <w:r w:rsidR="001019EF" w:rsidRPr="00D0513A">
        <w:rPr>
          <w:rFonts w:ascii="Times New Roman" w:hAnsi="Times New Roman"/>
        </w:rPr>
        <w:t>resiled from</w:t>
      </w:r>
      <w:r w:rsidR="00085813" w:rsidRPr="00D0513A">
        <w:rPr>
          <w:rFonts w:ascii="Times New Roman" w:hAnsi="Times New Roman"/>
        </w:rPr>
        <w:t xml:space="preserve"> the </w:t>
      </w:r>
      <w:r w:rsidR="00B920AE" w:rsidRPr="00D0513A">
        <w:rPr>
          <w:rFonts w:ascii="Times New Roman" w:hAnsi="Times New Roman"/>
        </w:rPr>
        <w:t xml:space="preserve">second </w:t>
      </w:r>
      <w:r w:rsidR="00085813" w:rsidRPr="00D0513A">
        <w:rPr>
          <w:rFonts w:ascii="Times New Roman" w:hAnsi="Times New Roman"/>
        </w:rPr>
        <w:t>concession</w:t>
      </w:r>
      <w:r w:rsidR="006F0894" w:rsidRPr="00D0513A">
        <w:rPr>
          <w:rFonts w:ascii="Times New Roman" w:hAnsi="Times New Roman"/>
        </w:rPr>
        <w:t>. The Crown</w:t>
      </w:r>
      <w:r w:rsidR="00C31F00" w:rsidRPr="00D0513A">
        <w:rPr>
          <w:rFonts w:ascii="Times New Roman" w:hAnsi="Times New Roman"/>
        </w:rPr>
        <w:t xml:space="preserve"> </w:t>
      </w:r>
      <w:r w:rsidR="006F0894" w:rsidRPr="00D0513A">
        <w:rPr>
          <w:rFonts w:ascii="Times New Roman" w:hAnsi="Times New Roman"/>
        </w:rPr>
        <w:t xml:space="preserve">indicated its position </w:t>
      </w:r>
      <w:r w:rsidR="008708FF" w:rsidRPr="00D0513A">
        <w:rPr>
          <w:rFonts w:ascii="Times New Roman" w:hAnsi="Times New Roman"/>
        </w:rPr>
        <w:t xml:space="preserve">then </w:t>
      </w:r>
      <w:r w:rsidR="006F0894" w:rsidRPr="00D0513A">
        <w:rPr>
          <w:rFonts w:ascii="Times New Roman" w:hAnsi="Times New Roman"/>
        </w:rPr>
        <w:t xml:space="preserve">to be that </w:t>
      </w:r>
      <w:r w:rsidR="00AD0C28" w:rsidRPr="00D0513A">
        <w:rPr>
          <w:rFonts w:ascii="Times New Roman" w:hAnsi="Times New Roman"/>
        </w:rPr>
        <w:t>its success on the ground of its appeal to this Court would re</w:t>
      </w:r>
      <w:r w:rsidR="00F90BE0" w:rsidRPr="00D0513A">
        <w:rPr>
          <w:rFonts w:ascii="Times New Roman" w:hAnsi="Times New Roman"/>
        </w:rPr>
        <w:t xml:space="preserve">-enliven </w:t>
      </w:r>
      <w:r w:rsidR="00B14593" w:rsidRPr="00D0513A">
        <w:rPr>
          <w:rFonts w:ascii="Times New Roman" w:hAnsi="Times New Roman"/>
        </w:rPr>
        <w:t xml:space="preserve">the question raised by </w:t>
      </w:r>
      <w:r w:rsidR="0046637F" w:rsidRPr="00D0513A">
        <w:rPr>
          <w:rFonts w:ascii="Times New Roman" w:hAnsi="Times New Roman"/>
        </w:rPr>
        <w:t>G</w:t>
      </w:r>
      <w:r w:rsidR="00B14593" w:rsidRPr="00D0513A">
        <w:rPr>
          <w:rFonts w:ascii="Times New Roman" w:hAnsi="Times New Roman"/>
        </w:rPr>
        <w:t>round</w:t>
      </w:r>
      <w:r w:rsidR="0046637F" w:rsidRPr="00D0513A">
        <w:rPr>
          <w:rFonts w:ascii="Times New Roman" w:hAnsi="Times New Roman"/>
        </w:rPr>
        <w:t> </w:t>
      </w:r>
      <w:r w:rsidR="00B14593" w:rsidRPr="00D0513A">
        <w:rPr>
          <w:rFonts w:ascii="Times New Roman" w:hAnsi="Times New Roman"/>
        </w:rPr>
        <w:t xml:space="preserve">2(a) of </w:t>
      </w:r>
      <w:r w:rsidR="00C5655F" w:rsidRPr="00D0513A">
        <w:rPr>
          <w:rFonts w:ascii="Times New Roman" w:hAnsi="Times New Roman"/>
        </w:rPr>
        <w:t xml:space="preserve">the </w:t>
      </w:r>
      <w:r w:rsidR="00C87D9C" w:rsidRPr="00D0513A">
        <w:rPr>
          <w:rFonts w:ascii="Times New Roman" w:hAnsi="Times New Roman"/>
        </w:rPr>
        <w:t>respondent's appeal to the Court of Criminal Appeal</w:t>
      </w:r>
      <w:r w:rsidR="00C96A21" w:rsidRPr="00D0513A">
        <w:rPr>
          <w:rFonts w:ascii="Times New Roman" w:hAnsi="Times New Roman"/>
        </w:rPr>
        <w:t>,</w:t>
      </w:r>
      <w:r w:rsidR="00C87D9C" w:rsidRPr="00D0513A">
        <w:rPr>
          <w:rFonts w:ascii="Times New Roman" w:hAnsi="Times New Roman"/>
        </w:rPr>
        <w:t xml:space="preserve"> </w:t>
      </w:r>
      <w:r w:rsidR="000249DA" w:rsidRPr="00D0513A">
        <w:rPr>
          <w:rFonts w:ascii="Times New Roman" w:hAnsi="Times New Roman"/>
        </w:rPr>
        <w:t xml:space="preserve">concerning whether </w:t>
      </w:r>
      <w:r w:rsidR="00AD0C28" w:rsidRPr="00D0513A">
        <w:rPr>
          <w:rFonts w:ascii="Times New Roman" w:hAnsi="Times New Roman"/>
        </w:rPr>
        <w:t>the trial judge misdirected the jury as to the elements of access</w:t>
      </w:r>
      <w:r w:rsidR="00C5655F" w:rsidRPr="00D0513A">
        <w:rPr>
          <w:rFonts w:ascii="Times New Roman" w:hAnsi="Times New Roman"/>
        </w:rPr>
        <w:t>o</w:t>
      </w:r>
      <w:r w:rsidR="00AD0C28" w:rsidRPr="00D0513A">
        <w:rPr>
          <w:rFonts w:ascii="Times New Roman" w:hAnsi="Times New Roman"/>
        </w:rPr>
        <w:t>ry before the fact to constructive murder</w:t>
      </w:r>
      <w:r w:rsidR="00C96A21" w:rsidRPr="00D0513A">
        <w:rPr>
          <w:rFonts w:ascii="Times New Roman" w:hAnsi="Times New Roman"/>
        </w:rPr>
        <w:t xml:space="preserve">, and that </w:t>
      </w:r>
      <w:r w:rsidR="003D25B4" w:rsidRPr="00D0513A">
        <w:rPr>
          <w:rFonts w:ascii="Times New Roman" w:hAnsi="Times New Roman"/>
        </w:rPr>
        <w:t>remittal to the Court of Criminal Appeal to determine that question</w:t>
      </w:r>
      <w:r w:rsidR="003F30B4" w:rsidRPr="00D0513A">
        <w:rPr>
          <w:rFonts w:ascii="Times New Roman" w:hAnsi="Times New Roman"/>
        </w:rPr>
        <w:t xml:space="preserve"> would be appropriate.</w:t>
      </w:r>
      <w:r w:rsidR="000249DA" w:rsidRPr="00D0513A">
        <w:rPr>
          <w:rFonts w:ascii="Times New Roman" w:hAnsi="Times New Roman"/>
        </w:rPr>
        <w:t xml:space="preserve"> </w:t>
      </w:r>
      <w:r w:rsidR="006D313F" w:rsidRPr="00D0513A">
        <w:rPr>
          <w:rFonts w:ascii="Times New Roman" w:hAnsi="Times New Roman"/>
        </w:rPr>
        <w:t xml:space="preserve">Presumably, in that event, the Crown would </w:t>
      </w:r>
      <w:r w:rsidR="0048003D" w:rsidRPr="00D0513A">
        <w:rPr>
          <w:rFonts w:ascii="Times New Roman" w:hAnsi="Times New Roman"/>
        </w:rPr>
        <w:t>also concede before the Court of Criminal Appeal</w:t>
      </w:r>
      <w:r w:rsidR="006D313F" w:rsidRPr="00D0513A">
        <w:rPr>
          <w:rFonts w:ascii="Times New Roman" w:hAnsi="Times New Roman"/>
        </w:rPr>
        <w:t xml:space="preserve"> that the jury had been misdirected. </w:t>
      </w:r>
      <w:r w:rsidR="00B843F5" w:rsidRPr="00D0513A">
        <w:rPr>
          <w:rFonts w:ascii="Times New Roman" w:hAnsi="Times New Roman"/>
        </w:rPr>
        <w:t>T</w:t>
      </w:r>
      <w:r w:rsidR="002870BD" w:rsidRPr="00D0513A">
        <w:rPr>
          <w:rFonts w:ascii="Times New Roman" w:hAnsi="Times New Roman"/>
        </w:rPr>
        <w:t xml:space="preserve">he Crown foreshadowed seeking leave to </w:t>
      </w:r>
      <w:r w:rsidR="009A0224" w:rsidRPr="00D0513A">
        <w:rPr>
          <w:rFonts w:ascii="Times New Roman" w:hAnsi="Times New Roman"/>
        </w:rPr>
        <w:t>amend its Notice of Appeal</w:t>
      </w:r>
      <w:r w:rsidR="00B843F5" w:rsidRPr="00D0513A">
        <w:rPr>
          <w:rFonts w:ascii="Times New Roman" w:hAnsi="Times New Roman"/>
        </w:rPr>
        <w:t xml:space="preserve"> to reflect that position.</w:t>
      </w:r>
    </w:p>
    <w:p w14:paraId="0829B0EC" w14:textId="618A7505" w:rsidR="00623415" w:rsidRPr="00D0513A" w:rsidRDefault="00C67AF7"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217056" w:rsidRPr="00D0513A">
        <w:rPr>
          <w:rFonts w:ascii="Times New Roman" w:hAnsi="Times New Roman"/>
        </w:rPr>
        <w:t>By</w:t>
      </w:r>
      <w:r w:rsidR="00D71173" w:rsidRPr="00D0513A">
        <w:rPr>
          <w:rFonts w:ascii="Times New Roman" w:hAnsi="Times New Roman"/>
        </w:rPr>
        <w:t xml:space="preserve"> a</w:t>
      </w:r>
      <w:r w:rsidR="00654BAC" w:rsidRPr="00D0513A">
        <w:rPr>
          <w:rFonts w:ascii="Times New Roman" w:hAnsi="Times New Roman"/>
        </w:rPr>
        <w:t xml:space="preserve"> proposed</w:t>
      </w:r>
      <w:r w:rsidR="00B230BE" w:rsidRPr="00D0513A">
        <w:rPr>
          <w:rFonts w:ascii="Times New Roman" w:hAnsi="Times New Roman"/>
        </w:rPr>
        <w:t xml:space="preserve"> Amended Notice of Appeal</w:t>
      </w:r>
      <w:r w:rsidRPr="00D0513A">
        <w:rPr>
          <w:rFonts w:ascii="Times New Roman" w:hAnsi="Times New Roman"/>
        </w:rPr>
        <w:t xml:space="preserve"> accompan</w:t>
      </w:r>
      <w:r w:rsidR="006F0894" w:rsidRPr="00D0513A">
        <w:rPr>
          <w:rFonts w:ascii="Times New Roman" w:hAnsi="Times New Roman"/>
        </w:rPr>
        <w:t>ying</w:t>
      </w:r>
      <w:r w:rsidR="00D71173" w:rsidRPr="00D0513A">
        <w:rPr>
          <w:rFonts w:ascii="Times New Roman" w:hAnsi="Times New Roman"/>
        </w:rPr>
        <w:t xml:space="preserve"> its</w:t>
      </w:r>
      <w:r w:rsidRPr="00D0513A">
        <w:rPr>
          <w:rFonts w:ascii="Times New Roman" w:hAnsi="Times New Roman"/>
        </w:rPr>
        <w:t xml:space="preserve"> supplementary submissions</w:t>
      </w:r>
      <w:r w:rsidR="00BE548E" w:rsidRPr="00D0513A">
        <w:rPr>
          <w:rFonts w:ascii="Times New Roman" w:hAnsi="Times New Roman"/>
        </w:rPr>
        <w:t>, the Crown</w:t>
      </w:r>
      <w:r w:rsidR="000E35D9" w:rsidRPr="00D0513A">
        <w:rPr>
          <w:rFonts w:ascii="Times New Roman" w:hAnsi="Times New Roman"/>
        </w:rPr>
        <w:t xml:space="preserve"> </w:t>
      </w:r>
      <w:r w:rsidR="00D162B6" w:rsidRPr="00D0513A">
        <w:rPr>
          <w:rFonts w:ascii="Times New Roman" w:hAnsi="Times New Roman"/>
        </w:rPr>
        <w:t xml:space="preserve">accordingly </w:t>
      </w:r>
      <w:r w:rsidRPr="00D0513A">
        <w:rPr>
          <w:rFonts w:ascii="Times New Roman" w:hAnsi="Times New Roman"/>
        </w:rPr>
        <w:t>proposed to</w:t>
      </w:r>
      <w:r w:rsidR="00BE548E" w:rsidRPr="00D0513A">
        <w:rPr>
          <w:rFonts w:ascii="Times New Roman" w:hAnsi="Times New Roman"/>
        </w:rPr>
        <w:t xml:space="preserve"> </w:t>
      </w:r>
      <w:r w:rsidR="008A2F26" w:rsidRPr="00D0513A">
        <w:rPr>
          <w:rFonts w:ascii="Times New Roman" w:hAnsi="Times New Roman"/>
        </w:rPr>
        <w:t xml:space="preserve">continue to </w:t>
      </w:r>
      <w:r w:rsidR="00BE548E" w:rsidRPr="00D0513A">
        <w:rPr>
          <w:rFonts w:ascii="Times New Roman" w:hAnsi="Times New Roman"/>
        </w:rPr>
        <w:t xml:space="preserve">seek orders </w:t>
      </w:r>
      <w:r w:rsidR="00D731C6" w:rsidRPr="00D0513A">
        <w:rPr>
          <w:rFonts w:ascii="Times New Roman" w:hAnsi="Times New Roman"/>
        </w:rPr>
        <w:t>setting aside</w:t>
      </w:r>
      <w:r w:rsidR="00BE548E" w:rsidRPr="00D0513A">
        <w:rPr>
          <w:rFonts w:ascii="Times New Roman" w:hAnsi="Times New Roman"/>
        </w:rPr>
        <w:t xml:space="preserve"> </w:t>
      </w:r>
      <w:r w:rsidR="001A01CE" w:rsidRPr="00D0513A">
        <w:rPr>
          <w:rFonts w:ascii="Times New Roman" w:hAnsi="Times New Roman"/>
        </w:rPr>
        <w:t>orders 3, 4 and 5 made by the Court of Criminal Appeal</w:t>
      </w:r>
      <w:r w:rsidR="00B21264" w:rsidRPr="00D0513A">
        <w:rPr>
          <w:rFonts w:ascii="Times New Roman" w:hAnsi="Times New Roman"/>
        </w:rPr>
        <w:t xml:space="preserve">. </w:t>
      </w:r>
      <w:r w:rsidR="006D313F" w:rsidRPr="00D0513A">
        <w:rPr>
          <w:rFonts w:ascii="Times New Roman" w:hAnsi="Times New Roman"/>
        </w:rPr>
        <w:t>I</w:t>
      </w:r>
      <w:r w:rsidR="008C798D" w:rsidRPr="00D0513A">
        <w:rPr>
          <w:rFonts w:ascii="Times New Roman" w:hAnsi="Times New Roman"/>
        </w:rPr>
        <w:t xml:space="preserve">nstead of seeking </w:t>
      </w:r>
      <w:r w:rsidR="00B8677C" w:rsidRPr="00D0513A">
        <w:rPr>
          <w:rFonts w:ascii="Times New Roman" w:hAnsi="Times New Roman"/>
        </w:rPr>
        <w:t>an order that</w:t>
      </w:r>
      <w:r w:rsidR="001A01CE" w:rsidRPr="00D0513A">
        <w:rPr>
          <w:rFonts w:ascii="Times New Roman" w:hAnsi="Times New Roman"/>
        </w:rPr>
        <w:t xml:space="preserve"> the appeal against conviction be dismissed</w:t>
      </w:r>
      <w:r w:rsidR="00746311" w:rsidRPr="00D0513A">
        <w:rPr>
          <w:rFonts w:ascii="Times New Roman" w:hAnsi="Times New Roman"/>
        </w:rPr>
        <w:t xml:space="preserve">, </w:t>
      </w:r>
      <w:r w:rsidR="00C65A36" w:rsidRPr="00D0513A">
        <w:rPr>
          <w:rFonts w:ascii="Times New Roman" w:hAnsi="Times New Roman"/>
        </w:rPr>
        <w:t>the Crown</w:t>
      </w:r>
      <w:r w:rsidR="00746311" w:rsidRPr="00D0513A">
        <w:rPr>
          <w:rFonts w:ascii="Times New Roman" w:hAnsi="Times New Roman"/>
        </w:rPr>
        <w:t xml:space="preserve"> </w:t>
      </w:r>
      <w:r w:rsidR="00C65A36" w:rsidRPr="00D0513A">
        <w:rPr>
          <w:rFonts w:ascii="Times New Roman" w:hAnsi="Times New Roman"/>
        </w:rPr>
        <w:t xml:space="preserve">proposed to </w:t>
      </w:r>
      <w:r w:rsidR="00D94BEF" w:rsidRPr="00D0513A">
        <w:rPr>
          <w:rFonts w:ascii="Times New Roman" w:hAnsi="Times New Roman"/>
        </w:rPr>
        <w:t xml:space="preserve">seek </w:t>
      </w:r>
      <w:r w:rsidR="00801DDB" w:rsidRPr="00D0513A">
        <w:rPr>
          <w:rFonts w:ascii="Times New Roman" w:hAnsi="Times New Roman"/>
        </w:rPr>
        <w:t>"</w:t>
      </w:r>
      <w:r w:rsidR="00203912" w:rsidRPr="00D0513A">
        <w:rPr>
          <w:rFonts w:ascii="Times New Roman" w:hAnsi="Times New Roman"/>
        </w:rPr>
        <w:t>[</w:t>
      </w:r>
      <w:r w:rsidR="007D6D51" w:rsidRPr="00D0513A">
        <w:rPr>
          <w:rFonts w:ascii="Times New Roman" w:hAnsi="Times New Roman"/>
        </w:rPr>
        <w:t>i</w:t>
      </w:r>
      <w:r w:rsidR="00203912" w:rsidRPr="00D0513A">
        <w:rPr>
          <w:rFonts w:ascii="Times New Roman" w:hAnsi="Times New Roman"/>
        </w:rPr>
        <w:t>]</w:t>
      </w:r>
      <w:r w:rsidR="007D6D51" w:rsidRPr="00D0513A">
        <w:rPr>
          <w:rFonts w:ascii="Times New Roman" w:hAnsi="Times New Roman"/>
        </w:rPr>
        <w:t xml:space="preserve">n place of </w:t>
      </w:r>
      <w:r w:rsidR="006E5938" w:rsidRPr="00D0513A">
        <w:rPr>
          <w:rFonts w:ascii="Times New Roman" w:hAnsi="Times New Roman"/>
        </w:rPr>
        <w:t>order 3</w:t>
      </w:r>
      <w:r w:rsidR="00801DDB" w:rsidRPr="00D0513A">
        <w:rPr>
          <w:rFonts w:ascii="Times New Roman" w:hAnsi="Times New Roman"/>
        </w:rPr>
        <w:t>"</w:t>
      </w:r>
      <w:r w:rsidR="006E5938" w:rsidRPr="00D0513A">
        <w:rPr>
          <w:rFonts w:ascii="Times New Roman" w:hAnsi="Times New Roman"/>
        </w:rPr>
        <w:t xml:space="preserve"> an </w:t>
      </w:r>
      <w:r w:rsidR="00D94BEF" w:rsidRPr="00D0513A">
        <w:rPr>
          <w:rFonts w:ascii="Times New Roman" w:hAnsi="Times New Roman"/>
        </w:rPr>
        <w:t xml:space="preserve">order that </w:t>
      </w:r>
      <w:r w:rsidR="00544EA3" w:rsidRPr="00D0513A">
        <w:rPr>
          <w:rFonts w:ascii="Times New Roman" w:hAnsi="Times New Roman"/>
        </w:rPr>
        <w:t xml:space="preserve">the appeal </w:t>
      </w:r>
      <w:r w:rsidR="00E67473" w:rsidRPr="00D0513A">
        <w:rPr>
          <w:rFonts w:ascii="Times New Roman" w:hAnsi="Times New Roman"/>
        </w:rPr>
        <w:t xml:space="preserve">to </w:t>
      </w:r>
      <w:r w:rsidR="00C65A36" w:rsidRPr="00D0513A">
        <w:rPr>
          <w:rFonts w:ascii="Times New Roman" w:hAnsi="Times New Roman"/>
        </w:rPr>
        <w:t>the Court of Criminal Appeal</w:t>
      </w:r>
      <w:r w:rsidR="00E67473" w:rsidRPr="00D0513A">
        <w:rPr>
          <w:rFonts w:ascii="Times New Roman" w:hAnsi="Times New Roman"/>
        </w:rPr>
        <w:t xml:space="preserve"> </w:t>
      </w:r>
      <w:r w:rsidR="00544EA3" w:rsidRPr="00D0513A">
        <w:rPr>
          <w:rFonts w:ascii="Times New Roman" w:hAnsi="Times New Roman"/>
        </w:rPr>
        <w:t xml:space="preserve">be dismissed on all </w:t>
      </w:r>
      <w:r w:rsidR="00203912" w:rsidRPr="00D0513A">
        <w:rPr>
          <w:rFonts w:ascii="Times New Roman" w:hAnsi="Times New Roman"/>
        </w:rPr>
        <w:t>g</w:t>
      </w:r>
      <w:r w:rsidR="00544EA3" w:rsidRPr="00D0513A">
        <w:rPr>
          <w:rFonts w:ascii="Times New Roman" w:hAnsi="Times New Roman"/>
        </w:rPr>
        <w:t xml:space="preserve">rounds other than </w:t>
      </w:r>
      <w:r w:rsidR="00D940E2" w:rsidRPr="00D0513A">
        <w:rPr>
          <w:rFonts w:ascii="Times New Roman" w:hAnsi="Times New Roman"/>
        </w:rPr>
        <w:t>G</w:t>
      </w:r>
      <w:r w:rsidR="00415DFF" w:rsidRPr="00D0513A">
        <w:rPr>
          <w:rFonts w:ascii="Times New Roman" w:hAnsi="Times New Roman"/>
        </w:rPr>
        <w:t>round</w:t>
      </w:r>
      <w:r w:rsidR="00D940E2" w:rsidRPr="00D0513A">
        <w:rPr>
          <w:rFonts w:ascii="Times New Roman" w:hAnsi="Times New Roman"/>
        </w:rPr>
        <w:t> </w:t>
      </w:r>
      <w:r w:rsidR="00415DFF" w:rsidRPr="00D0513A">
        <w:rPr>
          <w:rFonts w:ascii="Times New Roman" w:hAnsi="Times New Roman"/>
        </w:rPr>
        <w:t xml:space="preserve">2(a) </w:t>
      </w:r>
      <w:r w:rsidR="00B8677C" w:rsidRPr="00D0513A">
        <w:rPr>
          <w:rFonts w:ascii="Times New Roman" w:hAnsi="Times New Roman"/>
        </w:rPr>
        <w:t xml:space="preserve">and </w:t>
      </w:r>
      <w:r w:rsidR="001F21D1" w:rsidRPr="00D0513A">
        <w:rPr>
          <w:rFonts w:ascii="Times New Roman" w:hAnsi="Times New Roman"/>
        </w:rPr>
        <w:t xml:space="preserve">to seek as well an order </w:t>
      </w:r>
      <w:r w:rsidR="00B8677C" w:rsidRPr="00D0513A">
        <w:rPr>
          <w:rFonts w:ascii="Times New Roman" w:hAnsi="Times New Roman"/>
        </w:rPr>
        <w:t xml:space="preserve">that </w:t>
      </w:r>
      <w:r w:rsidR="00D5092A" w:rsidRPr="00D0513A">
        <w:rPr>
          <w:rFonts w:ascii="Times New Roman" w:hAnsi="Times New Roman"/>
        </w:rPr>
        <w:t xml:space="preserve">the matter be remitted to </w:t>
      </w:r>
      <w:r w:rsidR="00984A36" w:rsidRPr="00D0513A">
        <w:rPr>
          <w:rFonts w:ascii="Times New Roman" w:hAnsi="Times New Roman"/>
        </w:rPr>
        <w:t>the Court of Criminal Appeal</w:t>
      </w:r>
      <w:r w:rsidR="00133099" w:rsidRPr="00D0513A">
        <w:rPr>
          <w:rFonts w:ascii="Times New Roman" w:hAnsi="Times New Roman"/>
        </w:rPr>
        <w:t xml:space="preserve"> </w:t>
      </w:r>
      <w:r w:rsidR="00615847" w:rsidRPr="00D0513A">
        <w:rPr>
          <w:rFonts w:ascii="Times New Roman" w:hAnsi="Times New Roman"/>
        </w:rPr>
        <w:t>"</w:t>
      </w:r>
      <w:r w:rsidR="00133099" w:rsidRPr="00D0513A">
        <w:rPr>
          <w:rFonts w:ascii="Times New Roman" w:hAnsi="Times New Roman"/>
        </w:rPr>
        <w:t xml:space="preserve">for further consideration and determination of </w:t>
      </w:r>
      <w:r w:rsidR="000D30A2" w:rsidRPr="00D0513A">
        <w:rPr>
          <w:rFonts w:ascii="Times New Roman" w:hAnsi="Times New Roman"/>
        </w:rPr>
        <w:t>G</w:t>
      </w:r>
      <w:r w:rsidR="00133099" w:rsidRPr="00D0513A">
        <w:rPr>
          <w:rFonts w:ascii="Times New Roman" w:hAnsi="Times New Roman"/>
        </w:rPr>
        <w:t>round</w:t>
      </w:r>
      <w:r w:rsidR="000D30A2" w:rsidRPr="00D0513A">
        <w:rPr>
          <w:rFonts w:ascii="Times New Roman" w:hAnsi="Times New Roman"/>
        </w:rPr>
        <w:t> </w:t>
      </w:r>
      <w:r w:rsidR="00615847" w:rsidRPr="00D0513A">
        <w:rPr>
          <w:rFonts w:ascii="Times New Roman" w:hAnsi="Times New Roman"/>
        </w:rPr>
        <w:t>2(a)</w:t>
      </w:r>
      <w:r w:rsidR="00532942" w:rsidRPr="00D0513A">
        <w:rPr>
          <w:rFonts w:ascii="Times New Roman" w:hAnsi="Times New Roman"/>
        </w:rPr>
        <w:t xml:space="preserve"> ...</w:t>
      </w:r>
      <w:r w:rsidR="00615847" w:rsidRPr="00D0513A">
        <w:rPr>
          <w:rFonts w:ascii="Times New Roman" w:hAnsi="Times New Roman"/>
        </w:rPr>
        <w:t xml:space="preserve"> </w:t>
      </w:r>
      <w:r w:rsidR="00BC3B71" w:rsidRPr="00D0513A">
        <w:rPr>
          <w:rFonts w:ascii="Times New Roman" w:hAnsi="Times New Roman"/>
        </w:rPr>
        <w:t xml:space="preserve">in accordance with the judgment of </w:t>
      </w:r>
      <w:r w:rsidR="005572D9" w:rsidRPr="00D0513A">
        <w:rPr>
          <w:rFonts w:ascii="Times New Roman" w:hAnsi="Times New Roman"/>
        </w:rPr>
        <w:t xml:space="preserve">this </w:t>
      </w:r>
      <w:r w:rsidR="00BC3B71" w:rsidRPr="00D0513A">
        <w:rPr>
          <w:rFonts w:ascii="Times New Roman" w:hAnsi="Times New Roman"/>
        </w:rPr>
        <w:t>Court".</w:t>
      </w:r>
      <w:r w:rsidR="00615847" w:rsidRPr="00D0513A">
        <w:rPr>
          <w:rFonts w:ascii="Times New Roman" w:hAnsi="Times New Roman"/>
        </w:rPr>
        <w:t xml:space="preserve"> </w:t>
      </w:r>
    </w:p>
    <w:p w14:paraId="74AA5F23" w14:textId="3C93D3AD" w:rsidR="00191FCE" w:rsidRPr="00D0513A" w:rsidRDefault="00C20ADE" w:rsidP="00D0513A">
      <w:pPr>
        <w:pStyle w:val="FixListStyle"/>
        <w:spacing w:after="260" w:line="280" w:lineRule="exact"/>
        <w:ind w:right="0"/>
        <w:jc w:val="both"/>
        <w:rPr>
          <w:rFonts w:ascii="Times New Roman" w:hAnsi="Times New Roman"/>
        </w:rPr>
      </w:pPr>
      <w:r w:rsidRPr="00D0513A">
        <w:rPr>
          <w:rFonts w:ascii="Times New Roman" w:hAnsi="Times New Roman"/>
        </w:rPr>
        <w:lastRenderedPageBreak/>
        <w:tab/>
      </w:r>
      <w:r w:rsidR="00955F57" w:rsidRPr="00D0513A">
        <w:rPr>
          <w:rFonts w:ascii="Times New Roman" w:hAnsi="Times New Roman"/>
        </w:rPr>
        <w:t>In a subsequent directions hearing, t</w:t>
      </w:r>
      <w:r w:rsidR="00FB42B7" w:rsidRPr="00D0513A">
        <w:rPr>
          <w:rFonts w:ascii="Times New Roman" w:hAnsi="Times New Roman"/>
        </w:rPr>
        <w:t xml:space="preserve">he </w:t>
      </w:r>
      <w:r w:rsidR="00586E33" w:rsidRPr="00D0513A">
        <w:rPr>
          <w:rFonts w:ascii="Times New Roman" w:hAnsi="Times New Roman"/>
        </w:rPr>
        <w:t>parties were</w:t>
      </w:r>
      <w:r w:rsidR="00A00A9C" w:rsidRPr="00D0513A">
        <w:rPr>
          <w:rFonts w:ascii="Times New Roman" w:hAnsi="Times New Roman"/>
        </w:rPr>
        <w:t xml:space="preserve"> put on notice that </w:t>
      </w:r>
      <w:r w:rsidR="00586E33" w:rsidRPr="00D0513A">
        <w:rPr>
          <w:rFonts w:ascii="Times New Roman" w:hAnsi="Times New Roman"/>
        </w:rPr>
        <w:t>th</w:t>
      </w:r>
      <w:r w:rsidR="00FC65F7" w:rsidRPr="00D0513A">
        <w:rPr>
          <w:rFonts w:ascii="Times New Roman" w:hAnsi="Times New Roman"/>
        </w:rPr>
        <w:t>is</w:t>
      </w:r>
      <w:r w:rsidR="00586E33" w:rsidRPr="00D0513A">
        <w:rPr>
          <w:rFonts w:ascii="Times New Roman" w:hAnsi="Times New Roman"/>
        </w:rPr>
        <w:t xml:space="preserve"> </w:t>
      </w:r>
      <w:r w:rsidR="00955F57" w:rsidRPr="00D0513A">
        <w:rPr>
          <w:rFonts w:ascii="Times New Roman" w:hAnsi="Times New Roman"/>
        </w:rPr>
        <w:t xml:space="preserve">Court would require the </w:t>
      </w:r>
      <w:r w:rsidR="00586E33" w:rsidRPr="00D0513A">
        <w:rPr>
          <w:rFonts w:ascii="Times New Roman" w:hAnsi="Times New Roman"/>
        </w:rPr>
        <w:t>Crown</w:t>
      </w:r>
      <w:r w:rsidR="00B71AA7" w:rsidRPr="00D0513A">
        <w:rPr>
          <w:rFonts w:ascii="Times New Roman" w:hAnsi="Times New Roman"/>
        </w:rPr>
        <w:t xml:space="preserve"> to </w:t>
      </w:r>
      <w:r w:rsidR="007D214E" w:rsidRPr="00D0513A">
        <w:rPr>
          <w:rFonts w:ascii="Times New Roman" w:hAnsi="Times New Roman"/>
        </w:rPr>
        <w:t xml:space="preserve">explain </w:t>
      </w:r>
      <w:r w:rsidR="00DA57E8" w:rsidRPr="00D0513A">
        <w:rPr>
          <w:rFonts w:ascii="Times New Roman" w:hAnsi="Times New Roman"/>
        </w:rPr>
        <w:t xml:space="preserve">at the time scheduled for the hearing of the appeal </w:t>
      </w:r>
      <w:r w:rsidR="007D214E" w:rsidRPr="00D0513A">
        <w:rPr>
          <w:rFonts w:ascii="Times New Roman" w:hAnsi="Times New Roman"/>
        </w:rPr>
        <w:t xml:space="preserve">why </w:t>
      </w:r>
      <w:r w:rsidR="0023779D" w:rsidRPr="00D0513A">
        <w:rPr>
          <w:rFonts w:ascii="Times New Roman" w:hAnsi="Times New Roman"/>
        </w:rPr>
        <w:t xml:space="preserve">the grant of </w:t>
      </w:r>
      <w:r w:rsidR="007D214E" w:rsidRPr="00D0513A">
        <w:rPr>
          <w:rFonts w:ascii="Times New Roman" w:hAnsi="Times New Roman"/>
        </w:rPr>
        <w:t xml:space="preserve">special leave to appeal should not be </w:t>
      </w:r>
      <w:r w:rsidR="003A1CDC" w:rsidRPr="00D0513A">
        <w:rPr>
          <w:rFonts w:ascii="Times New Roman" w:hAnsi="Times New Roman"/>
        </w:rPr>
        <w:t>revoked.</w:t>
      </w:r>
    </w:p>
    <w:p w14:paraId="52DA12E5" w14:textId="0E8E5FC4" w:rsidR="00402FFF" w:rsidRPr="00D0513A" w:rsidRDefault="0011655C"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9F7E0C" w:rsidRPr="00D0513A">
        <w:rPr>
          <w:rFonts w:ascii="Times New Roman" w:hAnsi="Times New Roman"/>
        </w:rPr>
        <w:t>At the hearing of the appeal</w:t>
      </w:r>
      <w:r w:rsidR="00663578" w:rsidRPr="00D0513A">
        <w:rPr>
          <w:rFonts w:ascii="Times New Roman" w:hAnsi="Times New Roman"/>
        </w:rPr>
        <w:t xml:space="preserve"> in this Court</w:t>
      </w:r>
      <w:r w:rsidR="009F7E0C" w:rsidRPr="00D0513A">
        <w:rPr>
          <w:rFonts w:ascii="Times New Roman" w:hAnsi="Times New Roman"/>
        </w:rPr>
        <w:t xml:space="preserve">, the </w:t>
      </w:r>
      <w:r w:rsidR="009E5A8A" w:rsidRPr="00D0513A">
        <w:rPr>
          <w:rFonts w:ascii="Times New Roman" w:hAnsi="Times New Roman"/>
        </w:rPr>
        <w:t xml:space="preserve">Crown contended that its appeal was competent and that special leave to appeal should not be revoked. The Crown contended that </w:t>
      </w:r>
      <w:r w:rsidR="00297375" w:rsidRPr="00D0513A">
        <w:rPr>
          <w:rFonts w:ascii="Times New Roman" w:hAnsi="Times New Roman"/>
        </w:rPr>
        <w:t>o</w:t>
      </w:r>
      <w:r w:rsidR="009469F3" w:rsidRPr="00D0513A">
        <w:rPr>
          <w:rFonts w:ascii="Times New Roman" w:hAnsi="Times New Roman"/>
        </w:rPr>
        <w:t>rder</w:t>
      </w:r>
      <w:r w:rsidR="00297375" w:rsidRPr="00D0513A">
        <w:rPr>
          <w:rFonts w:ascii="Times New Roman" w:hAnsi="Times New Roman"/>
        </w:rPr>
        <w:t> </w:t>
      </w:r>
      <w:r w:rsidR="009469F3" w:rsidRPr="00D0513A">
        <w:rPr>
          <w:rFonts w:ascii="Times New Roman" w:hAnsi="Times New Roman"/>
        </w:rPr>
        <w:t>3 made by the Court of Criminal Appeal</w:t>
      </w:r>
      <w:r w:rsidR="00A03A0B" w:rsidRPr="00D0513A">
        <w:rPr>
          <w:rFonts w:ascii="Times New Roman" w:hAnsi="Times New Roman"/>
        </w:rPr>
        <w:t>,</w:t>
      </w:r>
      <w:r w:rsidR="009469F3" w:rsidRPr="00D0513A">
        <w:rPr>
          <w:rFonts w:ascii="Times New Roman" w:hAnsi="Times New Roman"/>
        </w:rPr>
        <w:t xml:space="preserve"> </w:t>
      </w:r>
      <w:r w:rsidR="00901BC3" w:rsidRPr="00D0513A">
        <w:rPr>
          <w:rFonts w:ascii="Times New Roman" w:hAnsi="Times New Roman"/>
        </w:rPr>
        <w:t xml:space="preserve">which </w:t>
      </w:r>
      <w:r w:rsidR="0079490E" w:rsidRPr="00D0513A">
        <w:rPr>
          <w:rFonts w:ascii="Times New Roman" w:hAnsi="Times New Roman"/>
        </w:rPr>
        <w:t xml:space="preserve">upheld </w:t>
      </w:r>
      <w:r w:rsidR="00901BC3" w:rsidRPr="00D0513A">
        <w:rPr>
          <w:rFonts w:ascii="Times New Roman" w:hAnsi="Times New Roman"/>
        </w:rPr>
        <w:t>the appeal to that Court with respect</w:t>
      </w:r>
      <w:r w:rsidR="00DF028B" w:rsidRPr="00D0513A">
        <w:rPr>
          <w:rFonts w:ascii="Times New Roman" w:hAnsi="Times New Roman"/>
        </w:rPr>
        <w:t xml:space="preserve"> to </w:t>
      </w:r>
      <w:r w:rsidR="00470F54" w:rsidRPr="00D0513A">
        <w:rPr>
          <w:rFonts w:ascii="Times New Roman" w:hAnsi="Times New Roman"/>
        </w:rPr>
        <w:t>C</w:t>
      </w:r>
      <w:r w:rsidR="00D0104A" w:rsidRPr="00D0513A">
        <w:rPr>
          <w:rFonts w:ascii="Times New Roman" w:hAnsi="Times New Roman"/>
        </w:rPr>
        <w:t>ount</w:t>
      </w:r>
      <w:r w:rsidR="00297375" w:rsidRPr="00D0513A">
        <w:rPr>
          <w:rFonts w:ascii="Times New Roman" w:hAnsi="Times New Roman"/>
        </w:rPr>
        <w:t> </w:t>
      </w:r>
      <w:r w:rsidR="00D0104A" w:rsidRPr="00D0513A">
        <w:rPr>
          <w:rFonts w:ascii="Times New Roman" w:hAnsi="Times New Roman"/>
        </w:rPr>
        <w:t xml:space="preserve">1 on the indictment </w:t>
      </w:r>
      <w:r w:rsidR="00685D6D" w:rsidRPr="00D0513A">
        <w:rPr>
          <w:rFonts w:ascii="Times New Roman" w:hAnsi="Times New Roman"/>
        </w:rPr>
        <w:t>(</w:t>
      </w:r>
      <w:r w:rsidR="00CE6755" w:rsidRPr="00D0513A">
        <w:rPr>
          <w:rFonts w:ascii="Times New Roman" w:hAnsi="Times New Roman"/>
        </w:rPr>
        <w:t>ie</w:t>
      </w:r>
      <w:r w:rsidR="006C1B59" w:rsidRPr="00D0513A">
        <w:rPr>
          <w:rFonts w:ascii="Times New Roman" w:hAnsi="Times New Roman"/>
        </w:rPr>
        <w:t>,</w:t>
      </w:r>
      <w:r w:rsidR="00D0104A" w:rsidRPr="00D0513A">
        <w:rPr>
          <w:rFonts w:ascii="Times New Roman" w:hAnsi="Times New Roman"/>
        </w:rPr>
        <w:t xml:space="preserve"> murder</w:t>
      </w:r>
      <w:r w:rsidR="00685D6D" w:rsidRPr="00D0513A">
        <w:rPr>
          <w:rFonts w:ascii="Times New Roman" w:hAnsi="Times New Roman"/>
        </w:rPr>
        <w:t>)</w:t>
      </w:r>
      <w:r w:rsidR="00A03A0B" w:rsidRPr="00D0513A">
        <w:rPr>
          <w:rFonts w:ascii="Times New Roman" w:hAnsi="Times New Roman"/>
        </w:rPr>
        <w:t>,</w:t>
      </w:r>
      <w:r w:rsidR="00901BC3" w:rsidRPr="00D0513A">
        <w:rPr>
          <w:rFonts w:ascii="Times New Roman" w:hAnsi="Times New Roman"/>
        </w:rPr>
        <w:t xml:space="preserve"> and </w:t>
      </w:r>
      <w:r w:rsidR="00DF028B" w:rsidRPr="00D0513A">
        <w:rPr>
          <w:rFonts w:ascii="Times New Roman" w:hAnsi="Times New Roman"/>
        </w:rPr>
        <w:t>order</w:t>
      </w:r>
      <w:r w:rsidR="00FB5771" w:rsidRPr="00D0513A">
        <w:rPr>
          <w:rFonts w:ascii="Times New Roman" w:hAnsi="Times New Roman"/>
        </w:rPr>
        <w:t> </w:t>
      </w:r>
      <w:r w:rsidR="00DF028B" w:rsidRPr="00D0513A">
        <w:rPr>
          <w:rFonts w:ascii="Times New Roman" w:hAnsi="Times New Roman"/>
        </w:rPr>
        <w:t>5</w:t>
      </w:r>
      <w:r w:rsidR="00A03A0B" w:rsidRPr="00D0513A">
        <w:rPr>
          <w:rFonts w:ascii="Times New Roman" w:hAnsi="Times New Roman"/>
        </w:rPr>
        <w:t>,</w:t>
      </w:r>
      <w:r w:rsidR="00DF028B" w:rsidRPr="00D0513A">
        <w:rPr>
          <w:rFonts w:ascii="Times New Roman" w:hAnsi="Times New Roman"/>
        </w:rPr>
        <w:t xml:space="preserve"> which provided that </w:t>
      </w:r>
      <w:r w:rsidR="002603AF" w:rsidRPr="00D0513A">
        <w:rPr>
          <w:rFonts w:ascii="Times New Roman" w:hAnsi="Times New Roman"/>
        </w:rPr>
        <w:t>"[</w:t>
      </w:r>
      <w:r w:rsidR="00DF028B" w:rsidRPr="00D0513A">
        <w:rPr>
          <w:rFonts w:ascii="Times New Roman" w:hAnsi="Times New Roman"/>
        </w:rPr>
        <w:t>a</w:t>
      </w:r>
      <w:r w:rsidR="002603AF" w:rsidRPr="00D0513A">
        <w:rPr>
          <w:rFonts w:ascii="Times New Roman" w:hAnsi="Times New Roman"/>
        </w:rPr>
        <w:t>]</w:t>
      </w:r>
      <w:r w:rsidR="00DF028B" w:rsidRPr="00D0513A">
        <w:rPr>
          <w:rFonts w:ascii="Times New Roman" w:hAnsi="Times New Roman"/>
        </w:rPr>
        <w:t xml:space="preserve"> retrial ..</w:t>
      </w:r>
      <w:r w:rsidR="00D0104A" w:rsidRPr="00D0513A">
        <w:rPr>
          <w:rFonts w:ascii="Times New Roman" w:hAnsi="Times New Roman"/>
        </w:rPr>
        <w:t>.</w:t>
      </w:r>
      <w:r w:rsidR="00DF028B" w:rsidRPr="00D0513A">
        <w:rPr>
          <w:rFonts w:ascii="Times New Roman" w:hAnsi="Times New Roman"/>
        </w:rPr>
        <w:t xml:space="preserve"> on co</w:t>
      </w:r>
      <w:r w:rsidR="00666F17" w:rsidRPr="00D0513A">
        <w:rPr>
          <w:rFonts w:ascii="Times New Roman" w:hAnsi="Times New Roman"/>
        </w:rPr>
        <w:t>unt 1 is to be had"</w:t>
      </w:r>
      <w:r w:rsidR="00B700FB" w:rsidRPr="00D0513A">
        <w:rPr>
          <w:rFonts w:ascii="Times New Roman" w:hAnsi="Times New Roman"/>
        </w:rPr>
        <w:t>,</w:t>
      </w:r>
      <w:r w:rsidR="00666F17" w:rsidRPr="00D0513A">
        <w:rPr>
          <w:rFonts w:ascii="Times New Roman" w:hAnsi="Times New Roman"/>
        </w:rPr>
        <w:t xml:space="preserve"> </w:t>
      </w:r>
      <w:r w:rsidR="00991211" w:rsidRPr="00D0513A">
        <w:rPr>
          <w:rFonts w:ascii="Times New Roman" w:hAnsi="Times New Roman"/>
        </w:rPr>
        <w:t xml:space="preserve">would </w:t>
      </w:r>
      <w:r w:rsidR="00666F17" w:rsidRPr="00D0513A">
        <w:rPr>
          <w:rFonts w:ascii="Times New Roman" w:hAnsi="Times New Roman"/>
        </w:rPr>
        <w:t xml:space="preserve">limit the scope of any retrial of the </w:t>
      </w:r>
      <w:r w:rsidR="00991211" w:rsidRPr="00D0513A">
        <w:rPr>
          <w:rFonts w:ascii="Times New Roman" w:hAnsi="Times New Roman"/>
        </w:rPr>
        <w:t>r</w:t>
      </w:r>
      <w:r w:rsidR="00666F17" w:rsidRPr="00D0513A">
        <w:rPr>
          <w:rFonts w:ascii="Times New Roman" w:hAnsi="Times New Roman"/>
        </w:rPr>
        <w:t>espondent</w:t>
      </w:r>
      <w:r w:rsidR="00AB2BED" w:rsidRPr="00D0513A">
        <w:rPr>
          <w:rFonts w:ascii="Times New Roman" w:hAnsi="Times New Roman"/>
        </w:rPr>
        <w:t>.</w:t>
      </w:r>
      <w:r w:rsidR="00622EAA" w:rsidRPr="00D0513A">
        <w:rPr>
          <w:rFonts w:ascii="Times New Roman" w:hAnsi="Times New Roman"/>
        </w:rPr>
        <w:t xml:space="preserve"> </w:t>
      </w:r>
      <w:r w:rsidR="00AB2BED" w:rsidRPr="00D0513A">
        <w:rPr>
          <w:rFonts w:ascii="Times New Roman" w:hAnsi="Times New Roman"/>
        </w:rPr>
        <w:t xml:space="preserve">The Crown contended that an appeal which seeks to </w:t>
      </w:r>
      <w:r w:rsidR="00F865BD" w:rsidRPr="00D0513A">
        <w:rPr>
          <w:rFonts w:ascii="Times New Roman" w:hAnsi="Times New Roman"/>
        </w:rPr>
        <w:t xml:space="preserve">set aside or vary </w:t>
      </w:r>
      <w:r w:rsidR="000C685F" w:rsidRPr="00D0513A">
        <w:rPr>
          <w:rFonts w:ascii="Times New Roman" w:hAnsi="Times New Roman"/>
        </w:rPr>
        <w:t xml:space="preserve">orders made by </w:t>
      </w:r>
      <w:r w:rsidR="000158AD" w:rsidRPr="00D0513A">
        <w:rPr>
          <w:rFonts w:ascii="Times New Roman" w:hAnsi="Times New Roman"/>
        </w:rPr>
        <w:t xml:space="preserve">a </w:t>
      </w:r>
      <w:r w:rsidR="000C685F" w:rsidRPr="00D0513A">
        <w:rPr>
          <w:rFonts w:ascii="Times New Roman" w:hAnsi="Times New Roman"/>
        </w:rPr>
        <w:t xml:space="preserve">court below to make explicit the scope of any remitter or retrial is </w:t>
      </w:r>
      <w:r w:rsidR="00FE2856" w:rsidRPr="00D0513A">
        <w:rPr>
          <w:rFonts w:ascii="Times New Roman" w:hAnsi="Times New Roman"/>
        </w:rPr>
        <w:t>competent</w:t>
      </w:r>
      <w:r w:rsidR="00EA3B76" w:rsidRPr="00D0513A">
        <w:rPr>
          <w:rFonts w:ascii="Times New Roman" w:hAnsi="Times New Roman"/>
        </w:rPr>
        <w:t>.</w:t>
      </w:r>
      <w:r w:rsidR="00EA3B76" w:rsidRPr="00D0513A">
        <w:rPr>
          <w:rStyle w:val="FootnoteReference"/>
          <w:rFonts w:ascii="Times New Roman" w:hAnsi="Times New Roman"/>
          <w:sz w:val="24"/>
        </w:rPr>
        <w:footnoteReference w:id="9"/>
      </w:r>
      <w:r w:rsidR="006B20D2" w:rsidRPr="00D0513A">
        <w:rPr>
          <w:rFonts w:ascii="Times New Roman" w:hAnsi="Times New Roman"/>
        </w:rPr>
        <w:t xml:space="preserve"> </w:t>
      </w:r>
    </w:p>
    <w:p w14:paraId="1FEEA360" w14:textId="5509D2DC" w:rsidR="00311CEE"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6B20D2" w:rsidRPr="00D0513A">
        <w:rPr>
          <w:rFonts w:ascii="Times New Roman" w:hAnsi="Times New Roman"/>
        </w:rPr>
        <w:t xml:space="preserve">The Crown </w:t>
      </w:r>
      <w:r w:rsidR="00F075FB" w:rsidRPr="00D0513A">
        <w:rPr>
          <w:rFonts w:ascii="Times New Roman" w:hAnsi="Times New Roman"/>
        </w:rPr>
        <w:t xml:space="preserve">then </w:t>
      </w:r>
      <w:r w:rsidR="006B20D2" w:rsidRPr="00D0513A">
        <w:rPr>
          <w:rFonts w:ascii="Times New Roman" w:hAnsi="Times New Roman"/>
        </w:rPr>
        <w:t>provided a set of orders that were an alternative</w:t>
      </w:r>
      <w:r w:rsidR="000664A5" w:rsidRPr="00D0513A">
        <w:rPr>
          <w:rFonts w:ascii="Times New Roman" w:hAnsi="Times New Roman"/>
        </w:rPr>
        <w:t xml:space="preserve"> </w:t>
      </w:r>
      <w:r w:rsidR="003F73F7" w:rsidRPr="00D0513A">
        <w:rPr>
          <w:rFonts w:ascii="Times New Roman" w:hAnsi="Times New Roman"/>
        </w:rPr>
        <w:t>to</w:t>
      </w:r>
      <w:r w:rsidR="00EA3B76" w:rsidRPr="00D0513A">
        <w:rPr>
          <w:rFonts w:ascii="Times New Roman" w:hAnsi="Times New Roman"/>
        </w:rPr>
        <w:t xml:space="preserve"> those</w:t>
      </w:r>
      <w:r w:rsidR="003F73F7" w:rsidRPr="00D0513A">
        <w:rPr>
          <w:rFonts w:ascii="Times New Roman" w:hAnsi="Times New Roman"/>
        </w:rPr>
        <w:t xml:space="preserve"> set out in the proposed </w:t>
      </w:r>
      <w:r w:rsidR="00470F54" w:rsidRPr="00D0513A">
        <w:rPr>
          <w:rFonts w:ascii="Times New Roman" w:hAnsi="Times New Roman"/>
        </w:rPr>
        <w:t>A</w:t>
      </w:r>
      <w:r w:rsidR="003F73F7" w:rsidRPr="00D0513A">
        <w:rPr>
          <w:rFonts w:ascii="Times New Roman" w:hAnsi="Times New Roman"/>
        </w:rPr>
        <w:t xml:space="preserve">mended </w:t>
      </w:r>
      <w:r w:rsidR="008C27FF" w:rsidRPr="00D0513A">
        <w:rPr>
          <w:rFonts w:ascii="Times New Roman" w:hAnsi="Times New Roman"/>
        </w:rPr>
        <w:t>N</w:t>
      </w:r>
      <w:r w:rsidR="003F73F7" w:rsidRPr="00D0513A">
        <w:rPr>
          <w:rFonts w:ascii="Times New Roman" w:hAnsi="Times New Roman"/>
        </w:rPr>
        <w:t xml:space="preserve">otice of </w:t>
      </w:r>
      <w:r w:rsidR="008C27FF" w:rsidRPr="00D0513A">
        <w:rPr>
          <w:rFonts w:ascii="Times New Roman" w:hAnsi="Times New Roman"/>
        </w:rPr>
        <w:t>A</w:t>
      </w:r>
      <w:r w:rsidR="003F73F7" w:rsidRPr="00D0513A">
        <w:rPr>
          <w:rFonts w:ascii="Times New Roman" w:hAnsi="Times New Roman"/>
        </w:rPr>
        <w:t>ppeal</w:t>
      </w:r>
      <w:r w:rsidR="008E698C" w:rsidRPr="00D0513A">
        <w:rPr>
          <w:rFonts w:ascii="Times New Roman" w:hAnsi="Times New Roman"/>
        </w:rPr>
        <w:t xml:space="preserve">. </w:t>
      </w:r>
      <w:r w:rsidR="009A4C60" w:rsidRPr="00D0513A">
        <w:rPr>
          <w:rFonts w:ascii="Times New Roman" w:hAnsi="Times New Roman"/>
        </w:rPr>
        <w:t>Those orders</w:t>
      </w:r>
      <w:r w:rsidR="008E698C" w:rsidRPr="00D0513A">
        <w:rPr>
          <w:rFonts w:ascii="Times New Roman" w:hAnsi="Times New Roman"/>
        </w:rPr>
        <w:t xml:space="preserve"> did not provide for any remittal to the Court of Criminal Appeal but instead </w:t>
      </w:r>
      <w:r w:rsidR="00D34031" w:rsidRPr="00D0513A">
        <w:rPr>
          <w:rFonts w:ascii="Times New Roman" w:hAnsi="Times New Roman"/>
        </w:rPr>
        <w:t>varied order</w:t>
      </w:r>
      <w:r w:rsidR="00663578" w:rsidRPr="00D0513A">
        <w:rPr>
          <w:rFonts w:ascii="Times New Roman" w:hAnsi="Times New Roman"/>
        </w:rPr>
        <w:t> </w:t>
      </w:r>
      <w:r w:rsidR="00D34031" w:rsidRPr="00D0513A">
        <w:rPr>
          <w:rFonts w:ascii="Times New Roman" w:hAnsi="Times New Roman"/>
        </w:rPr>
        <w:t xml:space="preserve">3 so that it recorded </w:t>
      </w:r>
      <w:r w:rsidR="00663578" w:rsidRPr="00D0513A">
        <w:rPr>
          <w:rFonts w:ascii="Times New Roman" w:hAnsi="Times New Roman"/>
        </w:rPr>
        <w:t>G</w:t>
      </w:r>
      <w:r w:rsidR="00D34031" w:rsidRPr="00D0513A">
        <w:rPr>
          <w:rFonts w:ascii="Times New Roman" w:hAnsi="Times New Roman"/>
        </w:rPr>
        <w:t>round</w:t>
      </w:r>
      <w:r w:rsidR="00663578" w:rsidRPr="00D0513A">
        <w:rPr>
          <w:rFonts w:ascii="Times New Roman" w:hAnsi="Times New Roman"/>
        </w:rPr>
        <w:t> </w:t>
      </w:r>
      <w:r w:rsidR="00D34031" w:rsidRPr="00D0513A">
        <w:rPr>
          <w:rFonts w:ascii="Times New Roman" w:hAnsi="Times New Roman"/>
        </w:rPr>
        <w:t xml:space="preserve">2(a) being upheld and </w:t>
      </w:r>
      <w:r w:rsidR="00663578" w:rsidRPr="00D0513A">
        <w:rPr>
          <w:rFonts w:ascii="Times New Roman" w:hAnsi="Times New Roman"/>
        </w:rPr>
        <w:t>G</w:t>
      </w:r>
      <w:r w:rsidR="00D34031" w:rsidRPr="00D0513A">
        <w:rPr>
          <w:rFonts w:ascii="Times New Roman" w:hAnsi="Times New Roman"/>
        </w:rPr>
        <w:t>round</w:t>
      </w:r>
      <w:r w:rsidR="00663578" w:rsidRPr="00D0513A">
        <w:rPr>
          <w:rFonts w:ascii="Times New Roman" w:hAnsi="Times New Roman"/>
        </w:rPr>
        <w:t> </w:t>
      </w:r>
      <w:r w:rsidR="00D34031" w:rsidRPr="00D0513A">
        <w:rPr>
          <w:rFonts w:ascii="Times New Roman" w:hAnsi="Times New Roman"/>
        </w:rPr>
        <w:t>1 being d</w:t>
      </w:r>
      <w:r w:rsidR="00311CEE" w:rsidRPr="00D0513A">
        <w:rPr>
          <w:rFonts w:ascii="Times New Roman" w:hAnsi="Times New Roman"/>
        </w:rPr>
        <w:t>ismissed. They also proposed that order</w:t>
      </w:r>
      <w:r w:rsidR="00F56454" w:rsidRPr="00D0513A">
        <w:rPr>
          <w:rFonts w:ascii="Times New Roman" w:hAnsi="Times New Roman"/>
        </w:rPr>
        <w:t> </w:t>
      </w:r>
      <w:r w:rsidR="00311CEE" w:rsidRPr="00D0513A">
        <w:rPr>
          <w:rFonts w:ascii="Times New Roman" w:hAnsi="Times New Roman"/>
        </w:rPr>
        <w:t xml:space="preserve">5 made by the Court of Criminal Appeal be set aside and instead this Court order "a new trial to be conducted in accordance with the </w:t>
      </w:r>
      <w:r w:rsidR="005F3DC0" w:rsidRPr="00D0513A">
        <w:rPr>
          <w:rFonts w:ascii="Times New Roman" w:hAnsi="Times New Roman"/>
        </w:rPr>
        <w:t>judgment of this Court"</w:t>
      </w:r>
      <w:r w:rsidR="003D2C6D" w:rsidRPr="00D0513A">
        <w:rPr>
          <w:rFonts w:ascii="Times New Roman" w:hAnsi="Times New Roman"/>
        </w:rPr>
        <w:t>.</w:t>
      </w:r>
    </w:p>
    <w:p w14:paraId="5D81D713" w14:textId="5FD641E0" w:rsidR="000C78B9" w:rsidRPr="00D0513A" w:rsidRDefault="009360A3" w:rsidP="00D0513A">
      <w:pPr>
        <w:pStyle w:val="HeadingL1"/>
        <w:spacing w:after="260" w:line="280" w:lineRule="exact"/>
        <w:ind w:right="0"/>
        <w:jc w:val="both"/>
        <w:rPr>
          <w:rFonts w:ascii="Times New Roman" w:hAnsi="Times New Roman"/>
        </w:rPr>
      </w:pPr>
      <w:r w:rsidRPr="00D0513A">
        <w:rPr>
          <w:rFonts w:ascii="Times New Roman" w:hAnsi="Times New Roman"/>
        </w:rPr>
        <w:t xml:space="preserve">The </w:t>
      </w:r>
      <w:r w:rsidR="00137543" w:rsidRPr="00D0513A">
        <w:rPr>
          <w:rFonts w:ascii="Times New Roman" w:hAnsi="Times New Roman"/>
        </w:rPr>
        <w:t>i</w:t>
      </w:r>
      <w:r w:rsidRPr="00D0513A">
        <w:rPr>
          <w:rFonts w:ascii="Times New Roman" w:hAnsi="Times New Roman"/>
        </w:rPr>
        <w:t xml:space="preserve">nterests of </w:t>
      </w:r>
      <w:r w:rsidR="00137543" w:rsidRPr="00D0513A">
        <w:rPr>
          <w:rFonts w:ascii="Times New Roman" w:hAnsi="Times New Roman"/>
        </w:rPr>
        <w:t>j</w:t>
      </w:r>
      <w:r w:rsidRPr="00D0513A">
        <w:rPr>
          <w:rFonts w:ascii="Times New Roman" w:hAnsi="Times New Roman"/>
        </w:rPr>
        <w:t xml:space="preserve">ustice </w:t>
      </w:r>
      <w:r w:rsidR="00137543" w:rsidRPr="00D0513A">
        <w:rPr>
          <w:rFonts w:ascii="Times New Roman" w:hAnsi="Times New Roman"/>
        </w:rPr>
        <w:t>w</w:t>
      </w:r>
      <w:r w:rsidRPr="00D0513A">
        <w:rPr>
          <w:rFonts w:ascii="Times New Roman" w:hAnsi="Times New Roman"/>
        </w:rPr>
        <w:t>arrant</w:t>
      </w:r>
      <w:r w:rsidR="00402FFF" w:rsidRPr="00D0513A">
        <w:rPr>
          <w:rFonts w:ascii="Times New Roman" w:hAnsi="Times New Roman"/>
        </w:rPr>
        <w:t>ed</w:t>
      </w:r>
      <w:r w:rsidRPr="00D0513A">
        <w:rPr>
          <w:rFonts w:ascii="Times New Roman" w:hAnsi="Times New Roman"/>
        </w:rPr>
        <w:t xml:space="preserve"> </w:t>
      </w:r>
      <w:r w:rsidR="00137543" w:rsidRPr="00D0513A">
        <w:rPr>
          <w:rFonts w:ascii="Times New Roman" w:hAnsi="Times New Roman"/>
        </w:rPr>
        <w:t>r</w:t>
      </w:r>
      <w:r w:rsidRPr="00D0513A">
        <w:rPr>
          <w:rFonts w:ascii="Times New Roman" w:hAnsi="Times New Roman"/>
        </w:rPr>
        <w:t>evocation</w:t>
      </w:r>
      <w:r w:rsidR="00402FFF" w:rsidRPr="00D0513A">
        <w:rPr>
          <w:rFonts w:ascii="Times New Roman" w:hAnsi="Times New Roman"/>
        </w:rPr>
        <w:t xml:space="preserve"> of </w:t>
      </w:r>
      <w:r w:rsidR="00137543" w:rsidRPr="00D0513A">
        <w:rPr>
          <w:rFonts w:ascii="Times New Roman" w:hAnsi="Times New Roman"/>
        </w:rPr>
        <w:t>s</w:t>
      </w:r>
      <w:r w:rsidR="00402FFF" w:rsidRPr="00D0513A">
        <w:rPr>
          <w:rFonts w:ascii="Times New Roman" w:hAnsi="Times New Roman"/>
        </w:rPr>
        <w:t xml:space="preserve">pecial </w:t>
      </w:r>
      <w:r w:rsidR="00137543" w:rsidRPr="00D0513A">
        <w:rPr>
          <w:rFonts w:ascii="Times New Roman" w:hAnsi="Times New Roman"/>
        </w:rPr>
        <w:t>l</w:t>
      </w:r>
      <w:r w:rsidR="00402FFF" w:rsidRPr="00D0513A">
        <w:rPr>
          <w:rFonts w:ascii="Times New Roman" w:hAnsi="Times New Roman"/>
        </w:rPr>
        <w:t>eave</w:t>
      </w:r>
    </w:p>
    <w:p w14:paraId="3B0D0618" w14:textId="0ECC7A3F" w:rsidR="00750053"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750053" w:rsidRPr="00D0513A">
        <w:rPr>
          <w:rFonts w:ascii="Times New Roman" w:hAnsi="Times New Roman"/>
        </w:rPr>
        <w:t xml:space="preserve">It is not necessary to decide whether </w:t>
      </w:r>
      <w:r w:rsidR="00B66186" w:rsidRPr="00D0513A">
        <w:rPr>
          <w:rFonts w:ascii="Times New Roman" w:hAnsi="Times New Roman"/>
        </w:rPr>
        <w:t xml:space="preserve">either of </w:t>
      </w:r>
      <w:r w:rsidR="00750053" w:rsidRPr="00D0513A">
        <w:rPr>
          <w:rFonts w:ascii="Times New Roman" w:hAnsi="Times New Roman"/>
        </w:rPr>
        <w:t>the Crown's reformulation</w:t>
      </w:r>
      <w:r w:rsidR="007403B1" w:rsidRPr="00D0513A">
        <w:rPr>
          <w:rFonts w:ascii="Times New Roman" w:hAnsi="Times New Roman"/>
        </w:rPr>
        <w:t>s</w:t>
      </w:r>
      <w:r w:rsidR="00750053" w:rsidRPr="00D0513A">
        <w:rPr>
          <w:rFonts w:ascii="Times New Roman" w:hAnsi="Times New Roman"/>
        </w:rPr>
        <w:t xml:space="preserve"> of the orders sought on the appeal </w:t>
      </w:r>
      <w:r w:rsidR="003237F8" w:rsidRPr="00D0513A">
        <w:rPr>
          <w:rFonts w:ascii="Times New Roman" w:hAnsi="Times New Roman"/>
        </w:rPr>
        <w:t xml:space="preserve">affected the competency of the appeal in the sense of </w:t>
      </w:r>
      <w:r w:rsidR="00DB4BD4" w:rsidRPr="00D0513A">
        <w:rPr>
          <w:rFonts w:ascii="Times New Roman" w:hAnsi="Times New Roman"/>
        </w:rPr>
        <w:t xml:space="preserve">ensuring that the Crown was appealing against the orders, and not just the reasons, of the Court of Criminal Appeal. </w:t>
      </w:r>
      <w:r w:rsidR="00750053" w:rsidRPr="00D0513A">
        <w:rPr>
          <w:rFonts w:ascii="Times New Roman" w:hAnsi="Times New Roman"/>
        </w:rPr>
        <w:t xml:space="preserve">Regardless of </w:t>
      </w:r>
      <w:r w:rsidR="005974F2" w:rsidRPr="00D0513A">
        <w:rPr>
          <w:rFonts w:ascii="Times New Roman" w:hAnsi="Times New Roman"/>
        </w:rPr>
        <w:t>its</w:t>
      </w:r>
      <w:r w:rsidR="00750053" w:rsidRPr="00D0513A">
        <w:rPr>
          <w:rFonts w:ascii="Times New Roman" w:hAnsi="Times New Roman"/>
        </w:rPr>
        <w:t xml:space="preserve"> competency, the manner in which the</w:t>
      </w:r>
      <w:r w:rsidR="005974F2" w:rsidRPr="00D0513A">
        <w:rPr>
          <w:rFonts w:ascii="Times New Roman" w:hAnsi="Times New Roman"/>
        </w:rPr>
        <w:t xml:space="preserve"> </w:t>
      </w:r>
      <w:r w:rsidR="00DD0717" w:rsidRPr="00D0513A">
        <w:rPr>
          <w:rFonts w:ascii="Times New Roman" w:hAnsi="Times New Roman"/>
        </w:rPr>
        <w:t xml:space="preserve">Crown </w:t>
      </w:r>
      <w:r w:rsidR="006861A1" w:rsidRPr="00D0513A">
        <w:rPr>
          <w:rFonts w:ascii="Times New Roman" w:hAnsi="Times New Roman"/>
        </w:rPr>
        <w:t>developed its case</w:t>
      </w:r>
      <w:r w:rsidR="00061062" w:rsidRPr="00D0513A">
        <w:rPr>
          <w:rFonts w:ascii="Times New Roman" w:hAnsi="Times New Roman"/>
        </w:rPr>
        <w:t xml:space="preserve"> </w:t>
      </w:r>
      <w:r w:rsidR="00022FDD" w:rsidRPr="00D0513A">
        <w:rPr>
          <w:rFonts w:ascii="Times New Roman" w:hAnsi="Times New Roman"/>
        </w:rPr>
        <w:t>reveals</w:t>
      </w:r>
      <w:r w:rsidR="00750053" w:rsidRPr="00D0513A">
        <w:rPr>
          <w:rFonts w:ascii="Times New Roman" w:hAnsi="Times New Roman"/>
        </w:rPr>
        <w:t xml:space="preserve"> that it </w:t>
      </w:r>
      <w:r w:rsidR="00B129B4" w:rsidRPr="00D0513A">
        <w:rPr>
          <w:rFonts w:ascii="Times New Roman" w:hAnsi="Times New Roman"/>
        </w:rPr>
        <w:t>was</w:t>
      </w:r>
      <w:r w:rsidR="00750053" w:rsidRPr="00D0513A">
        <w:rPr>
          <w:rFonts w:ascii="Times New Roman" w:hAnsi="Times New Roman"/>
        </w:rPr>
        <w:t xml:space="preserve"> not in the interests of justice to maintain the grant of special leave to appeal.</w:t>
      </w:r>
      <w:r w:rsidR="00971675" w:rsidRPr="00D0513A">
        <w:rPr>
          <w:rFonts w:ascii="Times New Roman" w:hAnsi="Times New Roman"/>
        </w:rPr>
        <w:t xml:space="preserve"> As will be explained, the attempts to refine the orders sought on the appeal point to a deeper problem arising from the manner in which the Crown has changed its position from that which it argued in the Court of Criminal Appeal.</w:t>
      </w:r>
    </w:p>
    <w:p w14:paraId="022CE2E0" w14:textId="612E3570"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D65E4" w:rsidRPr="00D0513A">
        <w:rPr>
          <w:rFonts w:ascii="Times New Roman" w:hAnsi="Times New Roman"/>
        </w:rPr>
        <w:t xml:space="preserve">At the trial, the Crown initially sought to rely on three "pathways" to demonstrate the </w:t>
      </w:r>
      <w:r w:rsidR="00506AE1" w:rsidRPr="00D0513A">
        <w:rPr>
          <w:rFonts w:ascii="Times New Roman" w:hAnsi="Times New Roman"/>
        </w:rPr>
        <w:t>r</w:t>
      </w:r>
      <w:r w:rsidR="00FD65E4" w:rsidRPr="00D0513A">
        <w:rPr>
          <w:rFonts w:ascii="Times New Roman" w:hAnsi="Times New Roman"/>
        </w:rPr>
        <w:t>espondent's culpability for murder</w:t>
      </w:r>
      <w:r w:rsidR="000717EA" w:rsidRPr="00D0513A">
        <w:rPr>
          <w:rFonts w:ascii="Times New Roman" w:hAnsi="Times New Roman"/>
        </w:rPr>
        <w:t xml:space="preserve">, namely his </w:t>
      </w:r>
      <w:r w:rsidR="00FD65E4" w:rsidRPr="00D0513A">
        <w:rPr>
          <w:rFonts w:ascii="Times New Roman" w:hAnsi="Times New Roman"/>
        </w:rPr>
        <w:t xml:space="preserve">participation in a joint criminal enterprise, the doctrine of extended joint criminal enterprise </w:t>
      </w:r>
      <w:r w:rsidR="00CD6270" w:rsidRPr="00D0513A">
        <w:rPr>
          <w:rFonts w:ascii="Times New Roman" w:hAnsi="Times New Roman"/>
        </w:rPr>
        <w:t>or</w:t>
      </w:r>
      <w:r w:rsidR="00FD65E4" w:rsidRPr="00D0513A">
        <w:rPr>
          <w:rFonts w:ascii="Times New Roman" w:hAnsi="Times New Roman"/>
        </w:rPr>
        <w:t xml:space="preserve"> accessorial liability. </w:t>
      </w:r>
      <w:r w:rsidR="006731EC" w:rsidRPr="00D0513A">
        <w:rPr>
          <w:rFonts w:ascii="Times New Roman" w:hAnsi="Times New Roman"/>
        </w:rPr>
        <w:t>T</w:t>
      </w:r>
      <w:r w:rsidR="00FD65E4" w:rsidRPr="00D0513A">
        <w:rPr>
          <w:rFonts w:ascii="Times New Roman" w:hAnsi="Times New Roman"/>
        </w:rPr>
        <w:t xml:space="preserve">he Crown </w:t>
      </w:r>
      <w:r w:rsidR="006C0971" w:rsidRPr="00D0513A">
        <w:rPr>
          <w:rFonts w:ascii="Times New Roman" w:hAnsi="Times New Roman"/>
        </w:rPr>
        <w:t xml:space="preserve">ultimately </w:t>
      </w:r>
      <w:r w:rsidR="00FD65E4" w:rsidRPr="00D0513A">
        <w:rPr>
          <w:rFonts w:ascii="Times New Roman" w:hAnsi="Times New Roman"/>
        </w:rPr>
        <w:t>narrowed its case by solely relying on accessorial liability</w:t>
      </w:r>
      <w:r w:rsidR="00C751E4" w:rsidRPr="00D0513A">
        <w:rPr>
          <w:rFonts w:ascii="Times New Roman" w:hAnsi="Times New Roman"/>
        </w:rPr>
        <w:t xml:space="preserve"> whereby the respondent</w:t>
      </w:r>
      <w:r w:rsidR="008B16C0" w:rsidRPr="00D0513A">
        <w:rPr>
          <w:rFonts w:ascii="Times New Roman" w:hAnsi="Times New Roman"/>
        </w:rPr>
        <w:t xml:space="preserve"> intentionally</w:t>
      </w:r>
      <w:r w:rsidR="009F06D6" w:rsidRPr="00D0513A">
        <w:rPr>
          <w:rFonts w:ascii="Times New Roman" w:hAnsi="Times New Roman"/>
        </w:rPr>
        <w:t xml:space="preserve"> encouraged and assisted </w:t>
      </w:r>
      <w:r w:rsidR="009F06D6" w:rsidRPr="00D0513A">
        <w:rPr>
          <w:rFonts w:ascii="Times New Roman" w:hAnsi="Times New Roman"/>
        </w:rPr>
        <w:lastRenderedPageBreak/>
        <w:t>the commission of the foundational offence</w:t>
      </w:r>
      <w:r w:rsidR="006D1C51" w:rsidRPr="00D0513A">
        <w:rPr>
          <w:rFonts w:ascii="Times New Roman" w:hAnsi="Times New Roman"/>
        </w:rPr>
        <w:t xml:space="preserve"> </w:t>
      </w:r>
      <w:r w:rsidR="003522A8" w:rsidRPr="00D0513A">
        <w:rPr>
          <w:rFonts w:ascii="Times New Roman" w:hAnsi="Times New Roman"/>
        </w:rPr>
        <w:t>–</w:t>
      </w:r>
      <w:r w:rsidR="006D1C51" w:rsidRPr="00D0513A">
        <w:rPr>
          <w:rFonts w:ascii="Times New Roman" w:hAnsi="Times New Roman"/>
        </w:rPr>
        <w:t xml:space="preserve"> </w:t>
      </w:r>
      <w:r w:rsidR="00F26BBE" w:rsidRPr="00D0513A">
        <w:rPr>
          <w:rFonts w:ascii="Times New Roman" w:hAnsi="Times New Roman"/>
        </w:rPr>
        <w:t xml:space="preserve">armed robbery </w:t>
      </w:r>
      <w:r w:rsidR="003522A8" w:rsidRPr="00D0513A">
        <w:rPr>
          <w:rFonts w:ascii="Times New Roman" w:hAnsi="Times New Roman"/>
        </w:rPr>
        <w:t>–</w:t>
      </w:r>
      <w:r w:rsidR="00F26BBE" w:rsidRPr="00D0513A">
        <w:rPr>
          <w:rFonts w:ascii="Times New Roman" w:hAnsi="Times New Roman"/>
        </w:rPr>
        <w:t xml:space="preserve"> </w:t>
      </w:r>
      <w:r w:rsidR="00DB706D" w:rsidRPr="00D0513A">
        <w:rPr>
          <w:rFonts w:ascii="Times New Roman" w:hAnsi="Times New Roman"/>
        </w:rPr>
        <w:t>by provision of a gun</w:t>
      </w:r>
      <w:r w:rsidR="00E9236C" w:rsidRPr="00D0513A">
        <w:rPr>
          <w:rFonts w:ascii="Times New Roman" w:hAnsi="Times New Roman"/>
        </w:rPr>
        <w:t xml:space="preserve"> and a high vis shirt, knowing that </w:t>
      </w:r>
      <w:r w:rsidR="00DC2ED1" w:rsidRPr="00D0513A">
        <w:rPr>
          <w:rFonts w:ascii="Times New Roman" w:hAnsi="Times New Roman"/>
        </w:rPr>
        <w:t>they were</w:t>
      </w:r>
      <w:r w:rsidR="00E9236C" w:rsidRPr="00D0513A">
        <w:rPr>
          <w:rFonts w:ascii="Times New Roman" w:hAnsi="Times New Roman"/>
        </w:rPr>
        <w:t xml:space="preserve"> to be used for that offence and </w:t>
      </w:r>
      <w:r w:rsidR="00DB4C71" w:rsidRPr="00D0513A">
        <w:rPr>
          <w:rFonts w:ascii="Times New Roman" w:hAnsi="Times New Roman"/>
        </w:rPr>
        <w:t xml:space="preserve">where the respondent contemplated the possibility that the gun could be discharged </w:t>
      </w:r>
      <w:r w:rsidR="00333439" w:rsidRPr="00D0513A">
        <w:rPr>
          <w:rFonts w:ascii="Times New Roman" w:hAnsi="Times New Roman"/>
        </w:rPr>
        <w:t>in the commission of the robbery resulting in grievous bodily harm or death</w:t>
      </w:r>
      <w:r w:rsidR="00FD65E4" w:rsidRPr="00D0513A">
        <w:rPr>
          <w:rFonts w:ascii="Times New Roman" w:hAnsi="Times New Roman"/>
        </w:rPr>
        <w:t xml:space="preserve">. To that end the trial judge directed the jury that, to find the </w:t>
      </w:r>
      <w:r w:rsidR="00336160" w:rsidRPr="00D0513A">
        <w:rPr>
          <w:rFonts w:ascii="Times New Roman" w:hAnsi="Times New Roman"/>
        </w:rPr>
        <w:t>r</w:t>
      </w:r>
      <w:r w:rsidR="00FD65E4" w:rsidRPr="00D0513A">
        <w:rPr>
          <w:rFonts w:ascii="Times New Roman" w:hAnsi="Times New Roman"/>
        </w:rPr>
        <w:t xml:space="preserve">espondent guilty, the Crown had to prove that the "discharge of a gun during the attempted armed robbery with a dangerous weapon was a possibility which the accused was aware </w:t>
      </w:r>
      <w:r w:rsidR="00BD5B4F" w:rsidRPr="00D0513A">
        <w:rPr>
          <w:rFonts w:ascii="Times New Roman" w:hAnsi="Times New Roman"/>
        </w:rPr>
        <w:t>of</w:t>
      </w:r>
      <w:r w:rsidR="00FD65E4" w:rsidRPr="00D0513A">
        <w:rPr>
          <w:rFonts w:ascii="Times New Roman" w:hAnsi="Times New Roman"/>
        </w:rPr>
        <w:t xml:space="preserve"> when he provided ... assistance" to the principal offender.</w:t>
      </w:r>
    </w:p>
    <w:p w14:paraId="0F0868E5" w14:textId="1268C97D"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D65E4" w:rsidRPr="00D0513A">
        <w:rPr>
          <w:rFonts w:ascii="Times New Roman" w:hAnsi="Times New Roman"/>
        </w:rPr>
        <w:t xml:space="preserve">In the Court of Criminal Appeal, the Crown contended that, </w:t>
      </w:r>
      <w:r w:rsidR="00821D5C" w:rsidRPr="00D0513A">
        <w:rPr>
          <w:rFonts w:ascii="Times New Roman" w:hAnsi="Times New Roman"/>
        </w:rPr>
        <w:t>in a case of</w:t>
      </w:r>
      <w:r w:rsidR="009C5A86" w:rsidRPr="00D0513A">
        <w:rPr>
          <w:rFonts w:ascii="Times New Roman" w:hAnsi="Times New Roman"/>
        </w:rPr>
        <w:t xml:space="preserve"> constructive murder, </w:t>
      </w:r>
      <w:r w:rsidR="00FD65E4" w:rsidRPr="00D0513A">
        <w:rPr>
          <w:rFonts w:ascii="Times New Roman" w:hAnsi="Times New Roman"/>
        </w:rPr>
        <w:t xml:space="preserve">where the commission of the act causing death is additional to the commission of the acts which comprise the elements of the foundational offence, the "accessory must intentionally assist with the commission of the offence with knowledge of the act causing death as one of the </w:t>
      </w:r>
      <w:r w:rsidR="00FD65E4" w:rsidRPr="00D0513A">
        <w:rPr>
          <w:rFonts w:ascii="Times New Roman" w:hAnsi="Times New Roman"/>
          <w:i/>
          <w:iCs/>
        </w:rPr>
        <w:t>possible</w:t>
      </w:r>
      <w:r w:rsidR="00FD65E4" w:rsidRPr="00D0513A">
        <w:rPr>
          <w:rFonts w:ascii="Times New Roman" w:hAnsi="Times New Roman"/>
        </w:rPr>
        <w:t xml:space="preserve"> ways in which the acts constituting the foundational crime may be carried out" </w:t>
      </w:r>
      <w:r w:rsidR="00054114" w:rsidRPr="00D0513A">
        <w:rPr>
          <w:rFonts w:ascii="Times New Roman" w:hAnsi="Times New Roman"/>
        </w:rPr>
        <w:t>(emphasis added).</w:t>
      </w:r>
      <w:r w:rsidR="00FD65E4" w:rsidRPr="00D0513A">
        <w:rPr>
          <w:rFonts w:ascii="Times New Roman" w:hAnsi="Times New Roman"/>
        </w:rPr>
        <w:t xml:space="preserve"> The Court of Criminal Appeal's reasoning to its conclusion that accessorial liability for constructive murder was implicitly excluded by s</w:t>
      </w:r>
      <w:r w:rsidR="006725E8" w:rsidRPr="00D0513A">
        <w:rPr>
          <w:rFonts w:ascii="Times New Roman" w:hAnsi="Times New Roman"/>
        </w:rPr>
        <w:t> </w:t>
      </w:r>
      <w:r w:rsidR="00FD65E4" w:rsidRPr="00D0513A">
        <w:rPr>
          <w:rFonts w:ascii="Times New Roman" w:hAnsi="Times New Roman"/>
        </w:rPr>
        <w:t xml:space="preserve">18 </w:t>
      </w:r>
      <w:r w:rsidR="005B32BB" w:rsidRPr="00D0513A">
        <w:rPr>
          <w:rFonts w:ascii="Times New Roman" w:hAnsi="Times New Roman"/>
        </w:rPr>
        <w:t xml:space="preserve">of the </w:t>
      </w:r>
      <w:r w:rsidR="005B32BB" w:rsidRPr="00D0513A">
        <w:rPr>
          <w:rFonts w:ascii="Times New Roman" w:hAnsi="Times New Roman"/>
          <w:i/>
          <w:iCs/>
        </w:rPr>
        <w:t>Crimes Act</w:t>
      </w:r>
      <w:r w:rsidR="005B32BB" w:rsidRPr="00D0513A">
        <w:rPr>
          <w:rFonts w:ascii="Times New Roman" w:hAnsi="Times New Roman"/>
        </w:rPr>
        <w:t xml:space="preserve"> </w:t>
      </w:r>
      <w:r w:rsidR="005B32BB" w:rsidRPr="00D0513A">
        <w:rPr>
          <w:rFonts w:ascii="Times New Roman" w:hAnsi="Times New Roman"/>
          <w:i/>
        </w:rPr>
        <w:t>1900</w:t>
      </w:r>
      <w:r w:rsidR="0012497C" w:rsidRPr="00D0513A">
        <w:rPr>
          <w:rFonts w:ascii="Times New Roman" w:hAnsi="Times New Roman"/>
          <w:i/>
          <w:iCs/>
        </w:rPr>
        <w:t> </w:t>
      </w:r>
      <w:r w:rsidR="0012497C" w:rsidRPr="00D0513A">
        <w:rPr>
          <w:rFonts w:ascii="Times New Roman" w:hAnsi="Times New Roman"/>
        </w:rPr>
        <w:t>(NSW)</w:t>
      </w:r>
      <w:r w:rsidR="005B32BB" w:rsidRPr="00D0513A">
        <w:rPr>
          <w:rFonts w:ascii="Times New Roman" w:hAnsi="Times New Roman"/>
        </w:rPr>
        <w:t xml:space="preserve"> </w:t>
      </w:r>
      <w:r w:rsidR="00FD65E4" w:rsidRPr="00D0513A">
        <w:rPr>
          <w:rFonts w:ascii="Times New Roman" w:hAnsi="Times New Roman"/>
        </w:rPr>
        <w:t>addressed the possible existence of such liability on the basis that, if accessorial liability existed, the accessory must possess that state of mind.</w:t>
      </w:r>
    </w:p>
    <w:p w14:paraId="50ACD18A" w14:textId="7A27650D"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451DFB" w:rsidRPr="00D0513A">
        <w:rPr>
          <w:rFonts w:ascii="Times New Roman" w:hAnsi="Times New Roman"/>
        </w:rPr>
        <w:t>T</w:t>
      </w:r>
      <w:r w:rsidR="00FD65E4" w:rsidRPr="00D0513A">
        <w:rPr>
          <w:rFonts w:ascii="Times New Roman" w:hAnsi="Times New Roman"/>
        </w:rPr>
        <w:t>he Crown's submission</w:t>
      </w:r>
      <w:r w:rsidR="00AA3B5B" w:rsidRPr="00D0513A">
        <w:rPr>
          <w:rFonts w:ascii="Times New Roman" w:hAnsi="Times New Roman"/>
        </w:rPr>
        <w:t xml:space="preserve"> to the Court of Criminal Appeal</w:t>
      </w:r>
      <w:r w:rsidR="00FD65E4" w:rsidRPr="00D0513A">
        <w:rPr>
          <w:rFonts w:ascii="Times New Roman" w:hAnsi="Times New Roman"/>
        </w:rPr>
        <w:t xml:space="preserve"> as to the state of mind of an accessory in such case</w:t>
      </w:r>
      <w:r w:rsidR="007A5D8B" w:rsidRPr="00D0513A">
        <w:rPr>
          <w:rFonts w:ascii="Times New Roman" w:hAnsi="Times New Roman"/>
        </w:rPr>
        <w:t>s</w:t>
      </w:r>
      <w:r w:rsidR="00FD65E4" w:rsidRPr="00D0513A">
        <w:rPr>
          <w:rFonts w:ascii="Times New Roman" w:hAnsi="Times New Roman"/>
        </w:rPr>
        <w:t xml:space="preserve"> was not just part of the basis on which the Crown resisted </w:t>
      </w:r>
      <w:r w:rsidR="00E623B3" w:rsidRPr="00D0513A">
        <w:rPr>
          <w:rFonts w:ascii="Times New Roman" w:hAnsi="Times New Roman"/>
        </w:rPr>
        <w:t>G</w:t>
      </w:r>
      <w:r w:rsidR="00FD65E4" w:rsidRPr="00D0513A">
        <w:rPr>
          <w:rFonts w:ascii="Times New Roman" w:hAnsi="Times New Roman"/>
        </w:rPr>
        <w:t>round</w:t>
      </w:r>
      <w:r w:rsidR="00E623B3" w:rsidRPr="00D0513A">
        <w:rPr>
          <w:rFonts w:ascii="Times New Roman" w:hAnsi="Times New Roman"/>
        </w:rPr>
        <w:t> </w:t>
      </w:r>
      <w:r w:rsidR="00FD65E4" w:rsidRPr="00D0513A">
        <w:rPr>
          <w:rFonts w:ascii="Times New Roman" w:hAnsi="Times New Roman"/>
        </w:rPr>
        <w:t>1 of the appeal to that Court</w:t>
      </w:r>
      <w:r w:rsidR="00A25BEA" w:rsidRPr="00D0513A">
        <w:rPr>
          <w:rFonts w:ascii="Times New Roman" w:hAnsi="Times New Roman"/>
        </w:rPr>
        <w:t>.</w:t>
      </w:r>
      <w:r w:rsidR="00FD65E4" w:rsidRPr="00D0513A">
        <w:rPr>
          <w:rFonts w:ascii="Times New Roman" w:hAnsi="Times New Roman"/>
        </w:rPr>
        <w:t xml:space="preserve"> </w:t>
      </w:r>
      <w:r w:rsidR="00A25BEA" w:rsidRPr="00D0513A">
        <w:rPr>
          <w:rFonts w:ascii="Times New Roman" w:hAnsi="Times New Roman"/>
        </w:rPr>
        <w:t>The submission</w:t>
      </w:r>
      <w:r w:rsidR="00FD65E4" w:rsidRPr="00D0513A">
        <w:rPr>
          <w:rFonts w:ascii="Times New Roman" w:hAnsi="Times New Roman"/>
        </w:rPr>
        <w:t xml:space="preserve"> also addressed </w:t>
      </w:r>
      <w:r w:rsidR="00AD19D0" w:rsidRPr="00D0513A">
        <w:rPr>
          <w:rFonts w:ascii="Times New Roman" w:hAnsi="Times New Roman"/>
        </w:rPr>
        <w:t xml:space="preserve">so much </w:t>
      </w:r>
      <w:r w:rsidR="00FD65E4" w:rsidRPr="00D0513A">
        <w:rPr>
          <w:rFonts w:ascii="Times New Roman" w:hAnsi="Times New Roman"/>
        </w:rPr>
        <w:t xml:space="preserve">of </w:t>
      </w:r>
      <w:r w:rsidR="00256FA3" w:rsidRPr="00D0513A">
        <w:rPr>
          <w:rFonts w:ascii="Times New Roman" w:hAnsi="Times New Roman"/>
        </w:rPr>
        <w:t>G</w:t>
      </w:r>
      <w:r w:rsidR="00FD65E4" w:rsidRPr="00D0513A">
        <w:rPr>
          <w:rFonts w:ascii="Times New Roman" w:hAnsi="Times New Roman"/>
        </w:rPr>
        <w:t>round</w:t>
      </w:r>
      <w:r w:rsidR="00256FA3" w:rsidRPr="00D0513A">
        <w:rPr>
          <w:rFonts w:ascii="Times New Roman" w:hAnsi="Times New Roman"/>
        </w:rPr>
        <w:t> </w:t>
      </w:r>
      <w:r w:rsidR="00FD65E4" w:rsidRPr="00D0513A">
        <w:rPr>
          <w:rFonts w:ascii="Times New Roman" w:hAnsi="Times New Roman"/>
        </w:rPr>
        <w:t>2(a) of the appeal which, in the alternative</w:t>
      </w:r>
      <w:r w:rsidR="00AD19D0" w:rsidRPr="00D0513A">
        <w:rPr>
          <w:rFonts w:ascii="Times New Roman" w:hAnsi="Times New Roman"/>
        </w:rPr>
        <w:t>,</w:t>
      </w:r>
      <w:r w:rsidR="00FD65E4" w:rsidRPr="00D0513A">
        <w:rPr>
          <w:rFonts w:ascii="Times New Roman" w:hAnsi="Times New Roman"/>
        </w:rPr>
        <w:t xml:space="preserve"> contended that the trial judge misdirected the jury on the elements of that </w:t>
      </w:r>
      <w:r w:rsidR="00C3581D" w:rsidRPr="00D0513A">
        <w:rPr>
          <w:rFonts w:ascii="Times New Roman" w:hAnsi="Times New Roman"/>
        </w:rPr>
        <w:t>pathway to</w:t>
      </w:r>
      <w:r w:rsidR="00FD65E4" w:rsidRPr="00D0513A">
        <w:rPr>
          <w:rFonts w:ascii="Times New Roman" w:hAnsi="Times New Roman"/>
        </w:rPr>
        <w:t xml:space="preserve"> murder. An acceptance of the Crown's submission to the Court of Criminal Appeal would arguably have justified the giving of the direction </w:t>
      </w:r>
      <w:r w:rsidR="00AD19D0" w:rsidRPr="00D0513A">
        <w:rPr>
          <w:rFonts w:ascii="Times New Roman" w:hAnsi="Times New Roman"/>
        </w:rPr>
        <w:t>by the trial judge noted</w:t>
      </w:r>
      <w:r w:rsidR="00FD65E4" w:rsidRPr="00D0513A">
        <w:rPr>
          <w:rFonts w:ascii="Times New Roman" w:hAnsi="Times New Roman"/>
        </w:rPr>
        <w:t xml:space="preserve"> above.</w:t>
      </w:r>
    </w:p>
    <w:p w14:paraId="10EF7C65" w14:textId="4B92E1D1"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D65E4" w:rsidRPr="00D0513A">
        <w:rPr>
          <w:rFonts w:ascii="Times New Roman" w:hAnsi="Times New Roman"/>
        </w:rPr>
        <w:t xml:space="preserve">In applying for special leave </w:t>
      </w:r>
      <w:r w:rsidR="00ED5E4F" w:rsidRPr="00D0513A">
        <w:rPr>
          <w:rFonts w:ascii="Times New Roman" w:hAnsi="Times New Roman"/>
        </w:rPr>
        <w:t xml:space="preserve">to appeal </w:t>
      </w:r>
      <w:r w:rsidR="00FD65E4" w:rsidRPr="00D0513A">
        <w:rPr>
          <w:rFonts w:ascii="Times New Roman" w:hAnsi="Times New Roman"/>
        </w:rPr>
        <w:t>to this Court, the Crown formulated the state of mind of an accessory</w:t>
      </w:r>
      <w:r w:rsidR="00FC759C" w:rsidRPr="00D0513A">
        <w:rPr>
          <w:rFonts w:ascii="Times New Roman" w:hAnsi="Times New Roman"/>
        </w:rPr>
        <w:t>,</w:t>
      </w:r>
      <w:r w:rsidR="00FD65E4" w:rsidRPr="00D0513A">
        <w:rPr>
          <w:rFonts w:ascii="Times New Roman" w:hAnsi="Times New Roman"/>
        </w:rPr>
        <w:t xml:space="preserve"> in a case where the voluntary act occasioning the death of the deceased </w:t>
      </w:r>
      <w:r w:rsidR="003670A7" w:rsidRPr="00D0513A">
        <w:rPr>
          <w:rFonts w:ascii="Times New Roman" w:hAnsi="Times New Roman"/>
        </w:rPr>
        <w:t>is</w:t>
      </w:r>
      <w:r w:rsidR="00FD65E4" w:rsidRPr="00D0513A">
        <w:rPr>
          <w:rFonts w:ascii="Times New Roman" w:hAnsi="Times New Roman"/>
        </w:rPr>
        <w:t xml:space="preserve"> not an act that comprises the elements of the foundational offence</w:t>
      </w:r>
      <w:r w:rsidR="00FC759C" w:rsidRPr="00D0513A">
        <w:rPr>
          <w:rFonts w:ascii="Times New Roman" w:hAnsi="Times New Roman"/>
        </w:rPr>
        <w:t>,</w:t>
      </w:r>
      <w:r w:rsidR="00FD65E4" w:rsidRPr="00D0513A">
        <w:rPr>
          <w:rFonts w:ascii="Times New Roman" w:hAnsi="Times New Roman"/>
        </w:rPr>
        <w:t xml:space="preserve"> as "requir</w:t>
      </w:r>
      <w:r w:rsidR="009F465B" w:rsidRPr="00D0513A">
        <w:rPr>
          <w:rFonts w:ascii="Times New Roman" w:hAnsi="Times New Roman"/>
        </w:rPr>
        <w:t>[</w:t>
      </w:r>
      <w:r w:rsidR="00FD65E4" w:rsidRPr="00D0513A">
        <w:rPr>
          <w:rFonts w:ascii="Times New Roman" w:hAnsi="Times New Roman"/>
        </w:rPr>
        <w:t>ing</w:t>
      </w:r>
      <w:r w:rsidR="009F465B" w:rsidRPr="00D0513A">
        <w:rPr>
          <w:rFonts w:ascii="Times New Roman" w:hAnsi="Times New Roman"/>
        </w:rPr>
        <w:t>]</w:t>
      </w:r>
      <w:r w:rsidR="00FD65E4" w:rsidRPr="00D0513A">
        <w:rPr>
          <w:rFonts w:ascii="Times New Roman" w:hAnsi="Times New Roman"/>
        </w:rPr>
        <w:t xml:space="preserve"> a realisation that the act causing death </w:t>
      </w:r>
      <w:r w:rsidR="00FD65E4" w:rsidRPr="00D0513A">
        <w:rPr>
          <w:rFonts w:ascii="Times New Roman" w:hAnsi="Times New Roman"/>
          <w:i/>
          <w:iCs/>
        </w:rPr>
        <w:t>may</w:t>
      </w:r>
      <w:r w:rsidR="00FD65E4" w:rsidRPr="00D0513A">
        <w:rPr>
          <w:rFonts w:ascii="Times New Roman" w:hAnsi="Times New Roman"/>
        </w:rPr>
        <w:t xml:space="preserve"> occur in an attempt to commit, or during or immediately after the commission of</w:t>
      </w:r>
      <w:r w:rsidR="00DB4DEB" w:rsidRPr="00D0513A">
        <w:rPr>
          <w:rFonts w:ascii="Times New Roman" w:hAnsi="Times New Roman"/>
        </w:rPr>
        <w:t>,</w:t>
      </w:r>
      <w:r w:rsidR="00FD65E4" w:rsidRPr="00D0513A">
        <w:rPr>
          <w:rFonts w:ascii="Times New Roman" w:hAnsi="Times New Roman"/>
        </w:rPr>
        <w:t xml:space="preserve"> the foundational offence"</w:t>
      </w:r>
      <w:r w:rsidR="00C536C4" w:rsidRPr="00D0513A">
        <w:rPr>
          <w:rFonts w:ascii="Times New Roman" w:hAnsi="Times New Roman"/>
        </w:rPr>
        <w:t xml:space="preserve"> (emphasis added)</w:t>
      </w:r>
      <w:r w:rsidR="00FD65E4" w:rsidRPr="00D0513A">
        <w:rPr>
          <w:rFonts w:ascii="Times New Roman" w:hAnsi="Times New Roman"/>
        </w:rPr>
        <w:t xml:space="preserve">. That formulation was not substantially different from </w:t>
      </w:r>
      <w:r w:rsidR="005811A8" w:rsidRPr="00D0513A">
        <w:rPr>
          <w:rFonts w:ascii="Times New Roman" w:hAnsi="Times New Roman"/>
        </w:rPr>
        <w:t>that which</w:t>
      </w:r>
      <w:r w:rsidR="00EB1905" w:rsidRPr="00D0513A">
        <w:rPr>
          <w:rFonts w:ascii="Times New Roman" w:hAnsi="Times New Roman"/>
        </w:rPr>
        <w:t xml:space="preserve"> </w:t>
      </w:r>
      <w:r w:rsidR="00FD65E4" w:rsidRPr="00D0513A">
        <w:rPr>
          <w:rFonts w:ascii="Times New Roman" w:hAnsi="Times New Roman"/>
        </w:rPr>
        <w:t>was submitted to the Court of Criminal Appeal</w:t>
      </w:r>
      <w:r w:rsidR="00545666" w:rsidRPr="00D0513A">
        <w:rPr>
          <w:rFonts w:ascii="Times New Roman" w:hAnsi="Times New Roman"/>
        </w:rPr>
        <w:t>. It</w:t>
      </w:r>
      <w:r w:rsidR="00EB1905" w:rsidRPr="00D0513A">
        <w:rPr>
          <w:rFonts w:ascii="Times New Roman" w:hAnsi="Times New Roman"/>
        </w:rPr>
        <w:t xml:space="preserve"> </w:t>
      </w:r>
      <w:r w:rsidR="00FD65E4" w:rsidRPr="00D0513A">
        <w:rPr>
          <w:rFonts w:ascii="Times New Roman" w:hAnsi="Times New Roman"/>
        </w:rPr>
        <w:t xml:space="preserve">was </w:t>
      </w:r>
      <w:r w:rsidR="003670A7" w:rsidRPr="00D0513A">
        <w:rPr>
          <w:rFonts w:ascii="Times New Roman" w:hAnsi="Times New Roman"/>
        </w:rPr>
        <w:t xml:space="preserve">also </w:t>
      </w:r>
      <w:r w:rsidR="00FD65E4" w:rsidRPr="00D0513A">
        <w:rPr>
          <w:rFonts w:ascii="Times New Roman" w:hAnsi="Times New Roman"/>
        </w:rPr>
        <w:t xml:space="preserve">arguably capable of supporting the trial judge's direction. </w:t>
      </w:r>
      <w:r w:rsidR="00CF7E2C" w:rsidRPr="00D0513A">
        <w:rPr>
          <w:rFonts w:ascii="Times New Roman" w:hAnsi="Times New Roman"/>
        </w:rPr>
        <w:t>T</w:t>
      </w:r>
      <w:r w:rsidR="00FD65E4" w:rsidRPr="00D0513A">
        <w:rPr>
          <w:rFonts w:ascii="Times New Roman" w:hAnsi="Times New Roman"/>
        </w:rPr>
        <w:t xml:space="preserve">he application </w:t>
      </w:r>
      <w:r w:rsidR="00EB1905" w:rsidRPr="00D0513A">
        <w:rPr>
          <w:rFonts w:ascii="Times New Roman" w:hAnsi="Times New Roman"/>
        </w:rPr>
        <w:t xml:space="preserve">for special leave to appeal </w:t>
      </w:r>
      <w:r w:rsidR="00FD65E4" w:rsidRPr="00D0513A">
        <w:rPr>
          <w:rFonts w:ascii="Times New Roman" w:hAnsi="Times New Roman"/>
        </w:rPr>
        <w:t xml:space="preserve">included proposed orders </w:t>
      </w:r>
      <w:r w:rsidR="00BA6742" w:rsidRPr="00D0513A">
        <w:rPr>
          <w:rFonts w:ascii="Times New Roman" w:hAnsi="Times New Roman"/>
        </w:rPr>
        <w:t xml:space="preserve">to the effect </w:t>
      </w:r>
      <w:r w:rsidR="00FD65E4" w:rsidRPr="00D0513A">
        <w:rPr>
          <w:rFonts w:ascii="Times New Roman" w:hAnsi="Times New Roman"/>
        </w:rPr>
        <w:t xml:space="preserve">that, if special leave to appeal </w:t>
      </w:r>
      <w:r w:rsidR="00653277" w:rsidRPr="00D0513A">
        <w:rPr>
          <w:rFonts w:ascii="Times New Roman" w:hAnsi="Times New Roman"/>
        </w:rPr>
        <w:t xml:space="preserve">were </w:t>
      </w:r>
      <w:r w:rsidR="00FD65E4" w:rsidRPr="00D0513A">
        <w:rPr>
          <w:rFonts w:ascii="Times New Roman" w:hAnsi="Times New Roman"/>
        </w:rPr>
        <w:t xml:space="preserve">granted and the appeal </w:t>
      </w:r>
      <w:r w:rsidR="00653277" w:rsidRPr="00D0513A">
        <w:rPr>
          <w:rFonts w:ascii="Times New Roman" w:hAnsi="Times New Roman"/>
        </w:rPr>
        <w:t xml:space="preserve">were </w:t>
      </w:r>
      <w:r w:rsidR="00FD65E4" w:rsidRPr="00D0513A">
        <w:rPr>
          <w:rFonts w:ascii="Times New Roman" w:hAnsi="Times New Roman"/>
        </w:rPr>
        <w:t xml:space="preserve">allowed, </w:t>
      </w:r>
      <w:r w:rsidR="00EA6524" w:rsidRPr="00D0513A">
        <w:rPr>
          <w:rFonts w:ascii="Times New Roman" w:hAnsi="Times New Roman"/>
        </w:rPr>
        <w:t xml:space="preserve">the </w:t>
      </w:r>
      <w:r w:rsidR="00ED5E4F" w:rsidRPr="00D0513A">
        <w:rPr>
          <w:rFonts w:ascii="Times New Roman" w:hAnsi="Times New Roman"/>
        </w:rPr>
        <w:t>r</w:t>
      </w:r>
      <w:r w:rsidR="00FD65E4" w:rsidRPr="00D0513A">
        <w:rPr>
          <w:rFonts w:ascii="Times New Roman" w:hAnsi="Times New Roman"/>
        </w:rPr>
        <w:t>espondent's conviction for murder</w:t>
      </w:r>
      <w:r w:rsidR="00BA6742" w:rsidRPr="00D0513A">
        <w:rPr>
          <w:rFonts w:ascii="Times New Roman" w:hAnsi="Times New Roman"/>
        </w:rPr>
        <w:t xml:space="preserve"> would be restored</w:t>
      </w:r>
      <w:r w:rsidR="00FD65E4" w:rsidRPr="00D0513A">
        <w:rPr>
          <w:rFonts w:ascii="Times New Roman" w:hAnsi="Times New Roman"/>
        </w:rPr>
        <w:t xml:space="preserve">. </w:t>
      </w:r>
      <w:r w:rsidR="002B55B5" w:rsidRPr="00D0513A">
        <w:rPr>
          <w:rFonts w:ascii="Times New Roman" w:hAnsi="Times New Roman"/>
        </w:rPr>
        <w:t>The Notice of Appeal in this Court sought those orders.</w:t>
      </w:r>
    </w:p>
    <w:p w14:paraId="4E83D953" w14:textId="0D80A64C"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lastRenderedPageBreak/>
        <w:tab/>
      </w:r>
      <w:r w:rsidR="00BA6742" w:rsidRPr="00D0513A">
        <w:rPr>
          <w:rFonts w:ascii="Times New Roman" w:hAnsi="Times New Roman"/>
        </w:rPr>
        <w:t>As already noted, i</w:t>
      </w:r>
      <w:r w:rsidR="00FD65E4" w:rsidRPr="00D0513A">
        <w:rPr>
          <w:rFonts w:ascii="Times New Roman" w:hAnsi="Times New Roman"/>
        </w:rPr>
        <w:t>n its written submissions in this Court, the Crown contended that "[w]here the crime the accessory has assisted is constructive murder under s</w:t>
      </w:r>
      <w:r w:rsidR="003B2296" w:rsidRPr="00D0513A">
        <w:rPr>
          <w:rFonts w:ascii="Times New Roman" w:hAnsi="Times New Roman"/>
        </w:rPr>
        <w:t> </w:t>
      </w:r>
      <w:r w:rsidR="00FD65E4" w:rsidRPr="00D0513A">
        <w:rPr>
          <w:rFonts w:ascii="Times New Roman" w:hAnsi="Times New Roman"/>
        </w:rPr>
        <w:t xml:space="preserve">18(1)(a) of the </w:t>
      </w:r>
      <w:r w:rsidR="00FD65E4" w:rsidRPr="00D0513A">
        <w:rPr>
          <w:rFonts w:ascii="Times New Roman" w:hAnsi="Times New Roman"/>
          <w:i/>
          <w:iCs/>
        </w:rPr>
        <w:t>Crimes Act</w:t>
      </w:r>
      <w:r w:rsidR="00FD65E4" w:rsidRPr="00D0513A">
        <w:rPr>
          <w:rFonts w:ascii="Times New Roman" w:hAnsi="Times New Roman"/>
        </w:rPr>
        <w:t xml:space="preserve">, one of the essential matters that the accessory must know or believe at the time of giving assistance or encouragement is that the principal </w:t>
      </w:r>
      <w:r w:rsidR="00FD65E4" w:rsidRPr="00D0513A">
        <w:rPr>
          <w:rFonts w:ascii="Times New Roman" w:hAnsi="Times New Roman"/>
          <w:i/>
          <w:iCs/>
        </w:rPr>
        <w:t>would do</w:t>
      </w:r>
      <w:r w:rsidR="00FD65E4" w:rsidRPr="00D0513A">
        <w:rPr>
          <w:rFonts w:ascii="Times New Roman" w:hAnsi="Times New Roman"/>
        </w:rPr>
        <w:t xml:space="preserve"> the act causing death, as a means of effecting the venture, should the occasion arise"</w:t>
      </w:r>
      <w:r w:rsidR="00926E37" w:rsidRPr="00D0513A">
        <w:rPr>
          <w:rFonts w:ascii="Times New Roman" w:hAnsi="Times New Roman"/>
        </w:rPr>
        <w:t xml:space="preserve"> (emphasis added)</w:t>
      </w:r>
      <w:r w:rsidR="00FD65E4" w:rsidRPr="00D0513A">
        <w:rPr>
          <w:rFonts w:ascii="Times New Roman" w:hAnsi="Times New Roman"/>
        </w:rPr>
        <w:t xml:space="preserve">. This formulation of the state of mind was a critical step in </w:t>
      </w:r>
      <w:r w:rsidR="00660ED7" w:rsidRPr="00D0513A">
        <w:rPr>
          <w:rFonts w:ascii="Times New Roman" w:hAnsi="Times New Roman"/>
        </w:rPr>
        <w:t>the Crown's</w:t>
      </w:r>
      <w:r w:rsidR="00FD65E4" w:rsidRPr="00D0513A">
        <w:rPr>
          <w:rFonts w:ascii="Times New Roman" w:hAnsi="Times New Roman"/>
        </w:rPr>
        <w:t xml:space="preserve"> argument </w:t>
      </w:r>
      <w:r w:rsidR="00660ED7" w:rsidRPr="00D0513A">
        <w:rPr>
          <w:rFonts w:ascii="Times New Roman" w:hAnsi="Times New Roman"/>
        </w:rPr>
        <w:t xml:space="preserve">in this Court </w:t>
      </w:r>
      <w:r w:rsidR="00FD65E4" w:rsidRPr="00D0513A">
        <w:rPr>
          <w:rFonts w:ascii="Times New Roman" w:hAnsi="Times New Roman"/>
        </w:rPr>
        <w:t>that accessorial liability for constructive murder is not excluded by s</w:t>
      </w:r>
      <w:r w:rsidR="00926E37" w:rsidRPr="00D0513A">
        <w:rPr>
          <w:rFonts w:ascii="Times New Roman" w:hAnsi="Times New Roman"/>
        </w:rPr>
        <w:t> </w:t>
      </w:r>
      <w:r w:rsidR="00FD65E4" w:rsidRPr="00D0513A">
        <w:rPr>
          <w:rFonts w:ascii="Times New Roman" w:hAnsi="Times New Roman"/>
        </w:rPr>
        <w:t xml:space="preserve">18 and that the Court of Criminal Appeal was in error in concluding otherwise. </w:t>
      </w:r>
      <w:r w:rsidR="00845AA9" w:rsidRPr="00D0513A">
        <w:rPr>
          <w:rFonts w:ascii="Times New Roman" w:hAnsi="Times New Roman"/>
        </w:rPr>
        <w:t>As is apparent</w:t>
      </w:r>
      <w:r w:rsidR="00EA6524" w:rsidRPr="00D0513A">
        <w:rPr>
          <w:rFonts w:ascii="Times New Roman" w:hAnsi="Times New Roman"/>
        </w:rPr>
        <w:t>, t</w:t>
      </w:r>
      <w:r w:rsidR="00FD65E4" w:rsidRPr="00D0513A">
        <w:rPr>
          <w:rFonts w:ascii="Times New Roman" w:hAnsi="Times New Roman"/>
        </w:rPr>
        <w:t xml:space="preserve">his formulation is significantly different from the formulation </w:t>
      </w:r>
      <w:r w:rsidR="00660ED7" w:rsidRPr="00D0513A">
        <w:rPr>
          <w:rFonts w:ascii="Times New Roman" w:hAnsi="Times New Roman"/>
        </w:rPr>
        <w:t xml:space="preserve">of the relevant state </w:t>
      </w:r>
      <w:r w:rsidR="002B3B01" w:rsidRPr="00D0513A">
        <w:rPr>
          <w:rFonts w:ascii="Times New Roman" w:hAnsi="Times New Roman"/>
        </w:rPr>
        <w:t xml:space="preserve">of </w:t>
      </w:r>
      <w:r w:rsidR="002353CB" w:rsidRPr="00D0513A">
        <w:rPr>
          <w:rFonts w:ascii="Times New Roman" w:hAnsi="Times New Roman"/>
        </w:rPr>
        <w:t xml:space="preserve">mind that </w:t>
      </w:r>
      <w:r w:rsidR="00FD65E4" w:rsidRPr="00D0513A">
        <w:rPr>
          <w:rFonts w:ascii="Times New Roman" w:hAnsi="Times New Roman"/>
        </w:rPr>
        <w:t>the Crown submitted to the Court of Criminal Appeal</w:t>
      </w:r>
      <w:r w:rsidR="002B3B01" w:rsidRPr="00D0513A">
        <w:rPr>
          <w:rFonts w:ascii="Times New Roman" w:hAnsi="Times New Roman"/>
        </w:rPr>
        <w:t>,</w:t>
      </w:r>
      <w:r w:rsidR="00FD65E4" w:rsidRPr="00D0513A">
        <w:rPr>
          <w:rFonts w:ascii="Times New Roman" w:hAnsi="Times New Roman"/>
        </w:rPr>
        <w:t xml:space="preserve"> which, as noted, was the basis upon which that Court addressed the possible existence of accessorial liability for constructive murder. Further, unlike the formulation the Crown provided to the Court of Criminal Appeal, if accepted</w:t>
      </w:r>
      <w:r w:rsidR="004641A2" w:rsidRPr="00D0513A">
        <w:rPr>
          <w:rFonts w:ascii="Times New Roman" w:hAnsi="Times New Roman"/>
        </w:rPr>
        <w:t>,</w:t>
      </w:r>
      <w:r w:rsidR="00FD65E4" w:rsidRPr="00D0513A">
        <w:rPr>
          <w:rFonts w:ascii="Times New Roman" w:hAnsi="Times New Roman"/>
        </w:rPr>
        <w:t xml:space="preserve"> the Crown's formulation </w:t>
      </w:r>
      <w:r w:rsidR="00EA6524" w:rsidRPr="00D0513A">
        <w:rPr>
          <w:rFonts w:ascii="Times New Roman" w:hAnsi="Times New Roman"/>
        </w:rPr>
        <w:t>in this Court of the state of mind of an accessory</w:t>
      </w:r>
      <w:r w:rsidR="002353CB" w:rsidRPr="00D0513A">
        <w:rPr>
          <w:rFonts w:ascii="Times New Roman" w:hAnsi="Times New Roman"/>
        </w:rPr>
        <w:t xml:space="preserve"> </w:t>
      </w:r>
      <w:r w:rsidR="0050643D" w:rsidRPr="00D0513A">
        <w:rPr>
          <w:rFonts w:ascii="Times New Roman" w:hAnsi="Times New Roman"/>
        </w:rPr>
        <w:t>c</w:t>
      </w:r>
      <w:r w:rsidR="00FD65E4" w:rsidRPr="00D0513A">
        <w:rPr>
          <w:rFonts w:ascii="Times New Roman" w:hAnsi="Times New Roman"/>
        </w:rPr>
        <w:t xml:space="preserve">ould not support the direction given by the trial judge. </w:t>
      </w:r>
      <w:r w:rsidR="002720EC" w:rsidRPr="00D0513A">
        <w:rPr>
          <w:rFonts w:ascii="Times New Roman" w:hAnsi="Times New Roman"/>
        </w:rPr>
        <w:t>Moreover</w:t>
      </w:r>
      <w:r w:rsidR="002353CB" w:rsidRPr="00D0513A">
        <w:rPr>
          <w:rFonts w:ascii="Times New Roman" w:hAnsi="Times New Roman"/>
        </w:rPr>
        <w:t xml:space="preserve">, </w:t>
      </w:r>
      <w:r w:rsidR="00FD65E4" w:rsidRPr="00D0513A">
        <w:rPr>
          <w:rFonts w:ascii="Times New Roman" w:hAnsi="Times New Roman"/>
        </w:rPr>
        <w:t xml:space="preserve">as was recognised in the Crown's submissions in reply, an acceptance of its argument in this Court would still require the </w:t>
      </w:r>
      <w:r w:rsidR="004641A2" w:rsidRPr="00D0513A">
        <w:rPr>
          <w:rFonts w:ascii="Times New Roman" w:hAnsi="Times New Roman"/>
        </w:rPr>
        <w:t>r</w:t>
      </w:r>
      <w:r w:rsidR="00FD65E4" w:rsidRPr="00D0513A">
        <w:rPr>
          <w:rFonts w:ascii="Times New Roman" w:hAnsi="Times New Roman"/>
        </w:rPr>
        <w:t>espondent's conviction for murder to be set aside and a new trial ordered.</w:t>
      </w:r>
    </w:p>
    <w:p w14:paraId="33352C8E" w14:textId="56D66856"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D65E4" w:rsidRPr="00D0513A">
        <w:rPr>
          <w:rFonts w:ascii="Times New Roman" w:hAnsi="Times New Roman"/>
        </w:rPr>
        <w:t>The approach adopted by the Crown mean</w:t>
      </w:r>
      <w:r w:rsidR="00BC0A5D" w:rsidRPr="00D0513A">
        <w:rPr>
          <w:rFonts w:ascii="Times New Roman" w:hAnsi="Times New Roman"/>
        </w:rPr>
        <w:t>t</w:t>
      </w:r>
      <w:r w:rsidR="00FD65E4" w:rsidRPr="00D0513A">
        <w:rPr>
          <w:rFonts w:ascii="Times New Roman" w:hAnsi="Times New Roman"/>
        </w:rPr>
        <w:t xml:space="preserve"> that there was no </w:t>
      </w:r>
      <w:r w:rsidR="00BC0A5D" w:rsidRPr="00D0513A">
        <w:rPr>
          <w:rFonts w:ascii="Times New Roman" w:hAnsi="Times New Roman"/>
        </w:rPr>
        <w:t xml:space="preserve">real </w:t>
      </w:r>
      <w:r w:rsidR="00FD65E4" w:rsidRPr="00D0513A">
        <w:rPr>
          <w:rFonts w:ascii="Times New Roman" w:hAnsi="Times New Roman"/>
        </w:rPr>
        <w:t xml:space="preserve">dispute in this Court that the </w:t>
      </w:r>
      <w:r w:rsidR="00C0576F" w:rsidRPr="00D0513A">
        <w:rPr>
          <w:rFonts w:ascii="Times New Roman" w:hAnsi="Times New Roman"/>
        </w:rPr>
        <w:t xml:space="preserve">respondent's </w:t>
      </w:r>
      <w:r w:rsidR="00FD65E4" w:rsidRPr="00D0513A">
        <w:rPr>
          <w:rFonts w:ascii="Times New Roman" w:hAnsi="Times New Roman"/>
        </w:rPr>
        <w:t xml:space="preserve">conviction for murder could not be sustained and </w:t>
      </w:r>
      <w:r w:rsidR="00C0576F" w:rsidRPr="00D0513A">
        <w:rPr>
          <w:rFonts w:ascii="Times New Roman" w:hAnsi="Times New Roman"/>
        </w:rPr>
        <w:t xml:space="preserve">that </w:t>
      </w:r>
      <w:r w:rsidR="00FD65E4" w:rsidRPr="00D0513A">
        <w:rPr>
          <w:rFonts w:ascii="Times New Roman" w:hAnsi="Times New Roman"/>
        </w:rPr>
        <w:t xml:space="preserve">a new trial should be ordered. </w:t>
      </w:r>
      <w:r w:rsidR="00616B49" w:rsidRPr="00D0513A">
        <w:rPr>
          <w:rFonts w:ascii="Times New Roman" w:hAnsi="Times New Roman"/>
        </w:rPr>
        <w:t>T</w:t>
      </w:r>
      <w:r w:rsidR="00FD65E4" w:rsidRPr="00D0513A">
        <w:rPr>
          <w:rFonts w:ascii="Times New Roman" w:hAnsi="Times New Roman"/>
        </w:rPr>
        <w:t xml:space="preserve">he utility of the appeal </w:t>
      </w:r>
      <w:r w:rsidR="00616B49" w:rsidRPr="00D0513A">
        <w:rPr>
          <w:rFonts w:ascii="Times New Roman" w:hAnsi="Times New Roman"/>
        </w:rPr>
        <w:t xml:space="preserve">was </w:t>
      </w:r>
      <w:r w:rsidR="00FD65E4" w:rsidRPr="00D0513A">
        <w:rPr>
          <w:rFonts w:ascii="Times New Roman" w:hAnsi="Times New Roman"/>
        </w:rPr>
        <w:t>said by the Crown to be</w:t>
      </w:r>
      <w:r w:rsidR="009A649C" w:rsidRPr="00D0513A">
        <w:rPr>
          <w:rFonts w:ascii="Times New Roman" w:hAnsi="Times New Roman"/>
        </w:rPr>
        <w:t xml:space="preserve"> that</w:t>
      </w:r>
      <w:r w:rsidR="00ED65EA" w:rsidRPr="00D0513A">
        <w:rPr>
          <w:rFonts w:ascii="Times New Roman" w:hAnsi="Times New Roman"/>
        </w:rPr>
        <w:t xml:space="preserve">, unless they </w:t>
      </w:r>
      <w:r w:rsidR="000B4A71" w:rsidRPr="00D0513A">
        <w:rPr>
          <w:rFonts w:ascii="Times New Roman" w:hAnsi="Times New Roman"/>
        </w:rPr>
        <w:t xml:space="preserve">are </w:t>
      </w:r>
      <w:r w:rsidR="00ED65EA" w:rsidRPr="00D0513A">
        <w:rPr>
          <w:rFonts w:ascii="Times New Roman" w:hAnsi="Times New Roman"/>
        </w:rPr>
        <w:t>varied,</w:t>
      </w:r>
      <w:r w:rsidR="00FD65E4" w:rsidRPr="00D0513A">
        <w:rPr>
          <w:rFonts w:ascii="Times New Roman" w:hAnsi="Times New Roman"/>
        </w:rPr>
        <w:t xml:space="preserve"> the effect of the orders made by the Court of Criminal Appeal is </w:t>
      </w:r>
      <w:r w:rsidR="00FA712D" w:rsidRPr="00D0513A">
        <w:rPr>
          <w:rFonts w:ascii="Times New Roman" w:hAnsi="Times New Roman"/>
        </w:rPr>
        <w:t xml:space="preserve">wrongly </w:t>
      </w:r>
      <w:r w:rsidR="00FD65E4" w:rsidRPr="00D0513A">
        <w:rPr>
          <w:rFonts w:ascii="Times New Roman" w:hAnsi="Times New Roman"/>
        </w:rPr>
        <w:t xml:space="preserve">to restrict the scope of any </w:t>
      </w:r>
      <w:r w:rsidR="00ED65EA" w:rsidRPr="00D0513A">
        <w:rPr>
          <w:rFonts w:ascii="Times New Roman" w:hAnsi="Times New Roman"/>
        </w:rPr>
        <w:t>re</w:t>
      </w:r>
      <w:r w:rsidR="00FD65E4" w:rsidRPr="00D0513A">
        <w:rPr>
          <w:rFonts w:ascii="Times New Roman" w:hAnsi="Times New Roman"/>
        </w:rPr>
        <w:t xml:space="preserve">trial so as to exclude accessorial liability for constructive murder as a basis upon which the respondent can be </w:t>
      </w:r>
      <w:r w:rsidR="00ED65EA" w:rsidRPr="00D0513A">
        <w:rPr>
          <w:rFonts w:ascii="Times New Roman" w:hAnsi="Times New Roman"/>
        </w:rPr>
        <w:t>culpable</w:t>
      </w:r>
      <w:r w:rsidR="00FD65E4" w:rsidRPr="00D0513A">
        <w:rPr>
          <w:rFonts w:ascii="Times New Roman" w:hAnsi="Times New Roman"/>
        </w:rPr>
        <w:t xml:space="preserve">. </w:t>
      </w:r>
      <w:r w:rsidR="002E3563" w:rsidRPr="00D0513A">
        <w:rPr>
          <w:rFonts w:ascii="Times New Roman" w:hAnsi="Times New Roman"/>
        </w:rPr>
        <w:t>The problem i</w:t>
      </w:r>
      <w:r w:rsidR="003B2120" w:rsidRPr="00D0513A">
        <w:rPr>
          <w:rFonts w:ascii="Times New Roman" w:hAnsi="Times New Roman"/>
        </w:rPr>
        <w:t>s that</w:t>
      </w:r>
      <w:r w:rsidR="00FD65E4" w:rsidRPr="00D0513A">
        <w:rPr>
          <w:rFonts w:ascii="Times New Roman" w:hAnsi="Times New Roman"/>
        </w:rPr>
        <w:t xml:space="preserve"> this Court is being asked to address that issue on a significantly different basis to that which was put to the Court of Criminal </w:t>
      </w:r>
      <w:r w:rsidR="000B4A71" w:rsidRPr="00D0513A">
        <w:rPr>
          <w:rFonts w:ascii="Times New Roman" w:hAnsi="Times New Roman"/>
        </w:rPr>
        <w:t>Appeal</w:t>
      </w:r>
      <w:r w:rsidR="002B3B01" w:rsidRPr="00D0513A">
        <w:rPr>
          <w:rFonts w:ascii="Times New Roman" w:hAnsi="Times New Roman"/>
        </w:rPr>
        <w:t>,</w:t>
      </w:r>
      <w:r w:rsidR="000B4A71" w:rsidRPr="00D0513A">
        <w:rPr>
          <w:rFonts w:ascii="Times New Roman" w:hAnsi="Times New Roman"/>
        </w:rPr>
        <w:t xml:space="preserve"> </w:t>
      </w:r>
      <w:r w:rsidR="00FD65E4" w:rsidRPr="00D0513A">
        <w:rPr>
          <w:rFonts w:ascii="Times New Roman" w:hAnsi="Times New Roman"/>
        </w:rPr>
        <w:t xml:space="preserve">where, as stated, the Crown's formulation of the mental state was part of the </w:t>
      </w:r>
      <w:r w:rsidR="009A649C" w:rsidRPr="00D0513A">
        <w:rPr>
          <w:rFonts w:ascii="Times New Roman" w:hAnsi="Times New Roman"/>
        </w:rPr>
        <w:t>C</w:t>
      </w:r>
      <w:r w:rsidR="00FD65E4" w:rsidRPr="00D0513A">
        <w:rPr>
          <w:rFonts w:ascii="Times New Roman" w:hAnsi="Times New Roman"/>
        </w:rPr>
        <w:t>ourt's reasoning to its conclusion that such liability was excluded.</w:t>
      </w:r>
    </w:p>
    <w:p w14:paraId="19FB108A" w14:textId="55B502DF"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D65E4" w:rsidRPr="00D0513A">
        <w:rPr>
          <w:rFonts w:ascii="Times New Roman" w:hAnsi="Times New Roman"/>
        </w:rPr>
        <w:t xml:space="preserve">The fact that there is now no real dispute over whether the </w:t>
      </w:r>
      <w:r w:rsidR="00106AD9" w:rsidRPr="00D0513A">
        <w:rPr>
          <w:rFonts w:ascii="Times New Roman" w:hAnsi="Times New Roman"/>
        </w:rPr>
        <w:t xml:space="preserve">respondent's </w:t>
      </w:r>
      <w:r w:rsidR="00FD65E4" w:rsidRPr="00D0513A">
        <w:rPr>
          <w:rFonts w:ascii="Times New Roman" w:hAnsi="Times New Roman"/>
        </w:rPr>
        <w:t xml:space="preserve">conviction should be set aside and a new trial </w:t>
      </w:r>
      <w:r w:rsidR="00922D34" w:rsidRPr="00D0513A">
        <w:rPr>
          <w:rFonts w:ascii="Times New Roman" w:hAnsi="Times New Roman"/>
        </w:rPr>
        <w:t>ordered</w:t>
      </w:r>
      <w:r w:rsidR="009C009A" w:rsidRPr="00D0513A">
        <w:rPr>
          <w:rFonts w:ascii="Times New Roman" w:hAnsi="Times New Roman"/>
        </w:rPr>
        <w:t xml:space="preserve">, </w:t>
      </w:r>
      <w:r w:rsidR="00FD65E4" w:rsidRPr="00D0513A">
        <w:rPr>
          <w:rFonts w:ascii="Times New Roman" w:hAnsi="Times New Roman"/>
        </w:rPr>
        <w:t xml:space="preserve">and the </w:t>
      </w:r>
      <w:r w:rsidR="009C009A" w:rsidRPr="00D0513A">
        <w:rPr>
          <w:rFonts w:ascii="Times New Roman" w:hAnsi="Times New Roman"/>
        </w:rPr>
        <w:t xml:space="preserve">different formulations </w:t>
      </w:r>
      <w:r w:rsidR="00FD65E4" w:rsidRPr="00D0513A">
        <w:rPr>
          <w:rFonts w:ascii="Times New Roman" w:hAnsi="Times New Roman"/>
        </w:rPr>
        <w:t xml:space="preserve">of the mental element for the alleged offence </w:t>
      </w:r>
      <w:r w:rsidR="009C009A" w:rsidRPr="00D0513A">
        <w:rPr>
          <w:rFonts w:ascii="Times New Roman" w:hAnsi="Times New Roman"/>
        </w:rPr>
        <w:t xml:space="preserve">put forward by the Crown in </w:t>
      </w:r>
      <w:r w:rsidR="00FD65E4" w:rsidRPr="00D0513A">
        <w:rPr>
          <w:rFonts w:ascii="Times New Roman" w:hAnsi="Times New Roman"/>
        </w:rPr>
        <w:t xml:space="preserve">the Court of Criminal Appeal and </w:t>
      </w:r>
      <w:r w:rsidR="006D5856" w:rsidRPr="00D0513A">
        <w:rPr>
          <w:rFonts w:ascii="Times New Roman" w:hAnsi="Times New Roman"/>
        </w:rPr>
        <w:t xml:space="preserve">then </w:t>
      </w:r>
      <w:r w:rsidR="00FD65E4" w:rsidRPr="00D0513A">
        <w:rPr>
          <w:rFonts w:ascii="Times New Roman" w:hAnsi="Times New Roman"/>
        </w:rPr>
        <w:t>in this Court</w:t>
      </w:r>
      <w:r w:rsidR="009C009A" w:rsidRPr="00D0513A">
        <w:rPr>
          <w:rFonts w:ascii="Times New Roman" w:hAnsi="Times New Roman"/>
        </w:rPr>
        <w:t>,</w:t>
      </w:r>
      <w:r w:rsidR="00FD65E4" w:rsidRPr="00D0513A">
        <w:rPr>
          <w:rFonts w:ascii="Times New Roman" w:hAnsi="Times New Roman"/>
        </w:rPr>
        <w:t xml:space="preserve"> mean</w:t>
      </w:r>
      <w:r w:rsidR="00C26316" w:rsidRPr="00D0513A">
        <w:rPr>
          <w:rFonts w:ascii="Times New Roman" w:hAnsi="Times New Roman"/>
        </w:rPr>
        <w:t>t</w:t>
      </w:r>
      <w:r w:rsidR="00FD65E4" w:rsidRPr="00D0513A">
        <w:rPr>
          <w:rFonts w:ascii="Times New Roman" w:hAnsi="Times New Roman"/>
        </w:rPr>
        <w:t xml:space="preserve"> that it </w:t>
      </w:r>
      <w:r w:rsidR="00C26316" w:rsidRPr="00D0513A">
        <w:rPr>
          <w:rFonts w:ascii="Times New Roman" w:hAnsi="Times New Roman"/>
        </w:rPr>
        <w:t>was</w:t>
      </w:r>
      <w:r w:rsidR="00FD65E4" w:rsidRPr="00D0513A">
        <w:rPr>
          <w:rFonts w:ascii="Times New Roman" w:hAnsi="Times New Roman"/>
        </w:rPr>
        <w:t xml:space="preserve"> not in the interests of justice for the appeal to</w:t>
      </w:r>
      <w:r w:rsidR="00E80E94" w:rsidRPr="00D0513A">
        <w:rPr>
          <w:rFonts w:ascii="Times New Roman" w:hAnsi="Times New Roman"/>
        </w:rPr>
        <w:t xml:space="preserve"> </w:t>
      </w:r>
      <w:r w:rsidR="0050643D" w:rsidRPr="00D0513A">
        <w:rPr>
          <w:rFonts w:ascii="Times New Roman" w:hAnsi="Times New Roman"/>
        </w:rPr>
        <w:t>be heard</w:t>
      </w:r>
      <w:r w:rsidR="00FD65E4" w:rsidRPr="00D0513A">
        <w:rPr>
          <w:rFonts w:ascii="Times New Roman" w:hAnsi="Times New Roman"/>
        </w:rPr>
        <w:t>. This Court w</w:t>
      </w:r>
      <w:r w:rsidR="009C009A" w:rsidRPr="00D0513A">
        <w:rPr>
          <w:rFonts w:ascii="Times New Roman" w:hAnsi="Times New Roman"/>
        </w:rPr>
        <w:t>ould</w:t>
      </w:r>
      <w:r w:rsidR="00FD65E4" w:rsidRPr="00D0513A">
        <w:rPr>
          <w:rFonts w:ascii="Times New Roman" w:hAnsi="Times New Roman"/>
        </w:rPr>
        <w:t xml:space="preserve"> be dealing with a question of principle on a different basis to that which was argued in the Court of Criminal Appeal. </w:t>
      </w:r>
      <w:r w:rsidR="000717EA" w:rsidRPr="00D0513A">
        <w:rPr>
          <w:rFonts w:ascii="Times New Roman" w:hAnsi="Times New Roman"/>
        </w:rPr>
        <w:t xml:space="preserve">Instead of this Court addressing whether a conviction for murder could be sustained or a particular jury direction was erroneous, the Crown was in </w:t>
      </w:r>
      <w:r w:rsidR="00FD65E4" w:rsidRPr="00D0513A">
        <w:rPr>
          <w:rFonts w:ascii="Times New Roman" w:hAnsi="Times New Roman"/>
        </w:rPr>
        <w:t>substance</w:t>
      </w:r>
      <w:r w:rsidR="009808B8" w:rsidRPr="00D0513A">
        <w:rPr>
          <w:rFonts w:ascii="Times New Roman" w:hAnsi="Times New Roman"/>
        </w:rPr>
        <w:t xml:space="preserve"> only</w:t>
      </w:r>
      <w:r w:rsidR="00FD65E4" w:rsidRPr="00D0513A">
        <w:rPr>
          <w:rFonts w:ascii="Times New Roman" w:hAnsi="Times New Roman"/>
        </w:rPr>
        <w:t xml:space="preserve"> seeking </w:t>
      </w:r>
      <w:r w:rsidR="009808B8" w:rsidRPr="00D0513A">
        <w:rPr>
          <w:rFonts w:ascii="Times New Roman" w:hAnsi="Times New Roman"/>
        </w:rPr>
        <w:t>guidance</w:t>
      </w:r>
      <w:r w:rsidR="0056174C" w:rsidRPr="00D0513A">
        <w:rPr>
          <w:rFonts w:ascii="Times New Roman" w:hAnsi="Times New Roman"/>
        </w:rPr>
        <w:t xml:space="preserve"> from </w:t>
      </w:r>
      <w:r w:rsidR="00307990" w:rsidRPr="00D0513A">
        <w:rPr>
          <w:rFonts w:ascii="Times New Roman" w:hAnsi="Times New Roman"/>
        </w:rPr>
        <w:t>this Court</w:t>
      </w:r>
      <w:r w:rsidR="0056174C" w:rsidRPr="00D0513A">
        <w:rPr>
          <w:rFonts w:ascii="Times New Roman" w:hAnsi="Times New Roman"/>
        </w:rPr>
        <w:t xml:space="preserve"> as to </w:t>
      </w:r>
      <w:r w:rsidR="00FD65E4" w:rsidRPr="00D0513A">
        <w:rPr>
          <w:rFonts w:ascii="Times New Roman" w:hAnsi="Times New Roman"/>
        </w:rPr>
        <w:t xml:space="preserve">the scope of </w:t>
      </w:r>
      <w:r w:rsidR="0056174C" w:rsidRPr="00D0513A">
        <w:rPr>
          <w:rFonts w:ascii="Times New Roman" w:hAnsi="Times New Roman"/>
        </w:rPr>
        <w:t>a</w:t>
      </w:r>
      <w:r w:rsidR="00FD65E4" w:rsidRPr="00D0513A">
        <w:rPr>
          <w:rFonts w:ascii="Times New Roman" w:hAnsi="Times New Roman"/>
        </w:rPr>
        <w:t xml:space="preserve"> retrial on a basis that </w:t>
      </w:r>
      <w:r w:rsidR="003E36A8" w:rsidRPr="00D0513A">
        <w:rPr>
          <w:rFonts w:ascii="Times New Roman" w:hAnsi="Times New Roman"/>
        </w:rPr>
        <w:t xml:space="preserve">was </w:t>
      </w:r>
      <w:r w:rsidR="00FD65E4" w:rsidRPr="00D0513A">
        <w:rPr>
          <w:rFonts w:ascii="Times New Roman" w:hAnsi="Times New Roman"/>
        </w:rPr>
        <w:t xml:space="preserve">disconnected from how the Crown conducted its case at trial and </w:t>
      </w:r>
      <w:r w:rsidR="006435FE" w:rsidRPr="00D0513A">
        <w:rPr>
          <w:rFonts w:ascii="Times New Roman" w:hAnsi="Times New Roman"/>
        </w:rPr>
        <w:t>how it conducted the</w:t>
      </w:r>
      <w:r w:rsidR="00FD65E4" w:rsidRPr="00D0513A">
        <w:rPr>
          <w:rFonts w:ascii="Times New Roman" w:hAnsi="Times New Roman"/>
        </w:rPr>
        <w:t xml:space="preserve"> appeal </w:t>
      </w:r>
      <w:r w:rsidR="006435FE" w:rsidRPr="00D0513A">
        <w:rPr>
          <w:rFonts w:ascii="Times New Roman" w:hAnsi="Times New Roman"/>
        </w:rPr>
        <w:t>in</w:t>
      </w:r>
      <w:r w:rsidR="00FD65E4" w:rsidRPr="00D0513A">
        <w:rPr>
          <w:rFonts w:ascii="Times New Roman" w:hAnsi="Times New Roman"/>
        </w:rPr>
        <w:t xml:space="preserve"> the Court of Criminal Appeal.</w:t>
      </w:r>
      <w:r w:rsidR="00FA4EB1" w:rsidRPr="00D0513A">
        <w:rPr>
          <w:rFonts w:ascii="Times New Roman" w:hAnsi="Times New Roman"/>
        </w:rPr>
        <w:t xml:space="preserve"> </w:t>
      </w:r>
    </w:p>
    <w:p w14:paraId="42BE3775" w14:textId="0D148F25" w:rsidR="0072344F" w:rsidRPr="00D0513A" w:rsidRDefault="0072344F" w:rsidP="00D0513A">
      <w:pPr>
        <w:pStyle w:val="HeadingL1"/>
        <w:spacing w:after="260" w:line="280" w:lineRule="exact"/>
        <w:ind w:right="0"/>
        <w:jc w:val="both"/>
        <w:rPr>
          <w:rFonts w:ascii="Times New Roman" w:hAnsi="Times New Roman"/>
        </w:rPr>
      </w:pPr>
      <w:r w:rsidRPr="00D0513A">
        <w:rPr>
          <w:rFonts w:ascii="Times New Roman" w:hAnsi="Times New Roman"/>
        </w:rPr>
        <w:lastRenderedPageBreak/>
        <w:t xml:space="preserve">Other </w:t>
      </w:r>
      <w:r w:rsidR="00137543" w:rsidRPr="00D0513A">
        <w:rPr>
          <w:rFonts w:ascii="Times New Roman" w:hAnsi="Times New Roman"/>
        </w:rPr>
        <w:t>m</w:t>
      </w:r>
      <w:r w:rsidRPr="00D0513A">
        <w:rPr>
          <w:rFonts w:ascii="Times New Roman" w:hAnsi="Times New Roman"/>
        </w:rPr>
        <w:t>atters</w:t>
      </w:r>
    </w:p>
    <w:p w14:paraId="4FB64683" w14:textId="389EA920" w:rsidR="00FD65E4" w:rsidRPr="00D0513A" w:rsidRDefault="00137543" w:rsidP="00D0513A">
      <w:pPr>
        <w:pStyle w:val="FixListStyle"/>
        <w:spacing w:after="260" w:line="280" w:lineRule="exact"/>
        <w:ind w:right="0"/>
        <w:jc w:val="both"/>
        <w:rPr>
          <w:rFonts w:ascii="Times New Roman" w:hAnsi="Times New Roman"/>
          <w:shd w:val="clear" w:color="auto" w:fill="FFFFFF"/>
        </w:rPr>
      </w:pPr>
      <w:r w:rsidRPr="00D0513A">
        <w:rPr>
          <w:rFonts w:ascii="Times New Roman" w:hAnsi="Times New Roman"/>
        </w:rPr>
        <w:tab/>
      </w:r>
      <w:r w:rsidR="00FD65E4" w:rsidRPr="00D0513A">
        <w:rPr>
          <w:rFonts w:ascii="Times New Roman" w:hAnsi="Times New Roman"/>
        </w:rPr>
        <w:t>In resisting the revocation of special leave to appeal, the Crown</w:t>
      </w:r>
      <w:r w:rsidR="00642529" w:rsidRPr="00D0513A">
        <w:rPr>
          <w:rFonts w:ascii="Times New Roman" w:hAnsi="Times New Roman"/>
        </w:rPr>
        <w:t xml:space="preserve"> </w:t>
      </w:r>
      <w:r w:rsidR="00FD65E4" w:rsidRPr="00D0513A">
        <w:rPr>
          <w:rFonts w:ascii="Times New Roman" w:hAnsi="Times New Roman"/>
        </w:rPr>
        <w:t xml:space="preserve">contended that the effect of the Court of Criminal Appeal's decision is to preclude the </w:t>
      </w:r>
      <w:r w:rsidR="00B11921" w:rsidRPr="00D0513A">
        <w:rPr>
          <w:rFonts w:ascii="Times New Roman" w:hAnsi="Times New Roman"/>
        </w:rPr>
        <w:t xml:space="preserve">future </w:t>
      </w:r>
      <w:r w:rsidR="00FD65E4" w:rsidRPr="00D0513A">
        <w:rPr>
          <w:rFonts w:ascii="Times New Roman" w:hAnsi="Times New Roman"/>
        </w:rPr>
        <w:t>prosecution of the respondent</w:t>
      </w:r>
      <w:r w:rsidR="007503AE" w:rsidRPr="00D0513A">
        <w:rPr>
          <w:rFonts w:ascii="Times New Roman" w:hAnsi="Times New Roman"/>
        </w:rPr>
        <w:t>,</w:t>
      </w:r>
      <w:r w:rsidR="00FD65E4" w:rsidRPr="00D0513A">
        <w:rPr>
          <w:rFonts w:ascii="Times New Roman" w:hAnsi="Times New Roman"/>
        </w:rPr>
        <w:t xml:space="preserve"> </w:t>
      </w:r>
      <w:r w:rsidR="00B11921" w:rsidRPr="00D0513A">
        <w:rPr>
          <w:rFonts w:ascii="Times New Roman" w:hAnsi="Times New Roman"/>
        </w:rPr>
        <w:t>or any other</w:t>
      </w:r>
      <w:r w:rsidR="00FD65E4" w:rsidRPr="00D0513A">
        <w:rPr>
          <w:rFonts w:ascii="Times New Roman" w:hAnsi="Times New Roman"/>
        </w:rPr>
        <w:t xml:space="preserve"> accused</w:t>
      </w:r>
      <w:r w:rsidR="007503AE" w:rsidRPr="00D0513A">
        <w:rPr>
          <w:rFonts w:ascii="Times New Roman" w:hAnsi="Times New Roman"/>
        </w:rPr>
        <w:t>,</w:t>
      </w:r>
      <w:r w:rsidR="00FD65E4" w:rsidRPr="00D0513A">
        <w:rPr>
          <w:rFonts w:ascii="Times New Roman" w:hAnsi="Times New Roman"/>
        </w:rPr>
        <w:t xml:space="preserve"> as an accessory </w:t>
      </w:r>
      <w:r w:rsidR="001F0ECF" w:rsidRPr="00D0513A">
        <w:rPr>
          <w:rFonts w:ascii="Times New Roman" w:hAnsi="Times New Roman"/>
        </w:rPr>
        <w:t>to</w:t>
      </w:r>
      <w:r w:rsidR="00FD65E4" w:rsidRPr="00D0513A">
        <w:rPr>
          <w:rFonts w:ascii="Times New Roman" w:hAnsi="Times New Roman"/>
        </w:rPr>
        <w:t xml:space="preserve"> constructive murder</w:t>
      </w:r>
      <w:r w:rsidR="003826A7" w:rsidRPr="00D0513A">
        <w:rPr>
          <w:rFonts w:ascii="Times New Roman" w:hAnsi="Times New Roman"/>
        </w:rPr>
        <w:t>. The Crown submitted that</w:t>
      </w:r>
      <w:r w:rsidR="002900AD" w:rsidRPr="00D0513A">
        <w:rPr>
          <w:rFonts w:ascii="Times New Roman" w:hAnsi="Times New Roman"/>
        </w:rPr>
        <w:t xml:space="preserve"> </w:t>
      </w:r>
      <w:r w:rsidR="00FD65E4" w:rsidRPr="00D0513A">
        <w:rPr>
          <w:rFonts w:ascii="Times New Roman" w:hAnsi="Times New Roman"/>
        </w:rPr>
        <w:t>there is no avenue by which the Court of Criminal Appeal's deci</w:t>
      </w:r>
      <w:r w:rsidR="00DE3184" w:rsidRPr="00D0513A">
        <w:rPr>
          <w:rFonts w:ascii="Times New Roman" w:hAnsi="Times New Roman"/>
        </w:rPr>
        <w:t>si</w:t>
      </w:r>
      <w:r w:rsidR="00FD65E4" w:rsidRPr="00D0513A">
        <w:rPr>
          <w:rFonts w:ascii="Times New Roman" w:hAnsi="Times New Roman"/>
        </w:rPr>
        <w:t>on c</w:t>
      </w:r>
      <w:r w:rsidR="003826A7" w:rsidRPr="00D0513A">
        <w:rPr>
          <w:rFonts w:ascii="Times New Roman" w:hAnsi="Times New Roman"/>
        </w:rPr>
        <w:t>an</w:t>
      </w:r>
      <w:r w:rsidR="00FD65E4" w:rsidRPr="00D0513A">
        <w:rPr>
          <w:rFonts w:ascii="Times New Roman" w:hAnsi="Times New Roman"/>
        </w:rPr>
        <w:t xml:space="preserve"> be challenged other than via this appeal. However, at least in circumstances where the </w:t>
      </w:r>
      <w:r w:rsidR="000B7F56" w:rsidRPr="00D0513A">
        <w:rPr>
          <w:rFonts w:ascii="Times New Roman" w:hAnsi="Times New Roman"/>
        </w:rPr>
        <w:t>r</w:t>
      </w:r>
      <w:r w:rsidR="00FD65E4" w:rsidRPr="00D0513A">
        <w:rPr>
          <w:rFonts w:ascii="Times New Roman" w:hAnsi="Times New Roman"/>
        </w:rPr>
        <w:t>espondent</w:t>
      </w:r>
      <w:r w:rsidR="00B77A7E">
        <w:rPr>
          <w:rFonts w:ascii="Times New Roman" w:hAnsi="Times New Roman"/>
        </w:rPr>
        <w:t>,</w:t>
      </w:r>
      <w:r w:rsidR="00FD65E4" w:rsidRPr="00D0513A">
        <w:rPr>
          <w:rFonts w:ascii="Times New Roman" w:hAnsi="Times New Roman"/>
        </w:rPr>
        <w:t xml:space="preserve"> or </w:t>
      </w:r>
      <w:r w:rsidR="000B7F56" w:rsidRPr="00D0513A">
        <w:rPr>
          <w:rFonts w:ascii="Times New Roman" w:hAnsi="Times New Roman"/>
        </w:rPr>
        <w:t>any future accused</w:t>
      </w:r>
      <w:r w:rsidR="00B77A7E">
        <w:rPr>
          <w:rFonts w:ascii="Times New Roman" w:hAnsi="Times New Roman"/>
        </w:rPr>
        <w:t>,</w:t>
      </w:r>
      <w:r w:rsidR="00FD65E4" w:rsidRPr="00D0513A">
        <w:rPr>
          <w:rFonts w:ascii="Times New Roman" w:hAnsi="Times New Roman"/>
        </w:rPr>
        <w:t xml:space="preserve"> can be tried for murder on the basis of </w:t>
      </w:r>
      <w:r w:rsidR="001F0ECF" w:rsidRPr="00D0513A">
        <w:rPr>
          <w:rFonts w:ascii="Times New Roman" w:hAnsi="Times New Roman"/>
        </w:rPr>
        <w:t>their</w:t>
      </w:r>
      <w:r w:rsidR="00FD65E4" w:rsidRPr="00D0513A">
        <w:rPr>
          <w:rFonts w:ascii="Times New Roman" w:hAnsi="Times New Roman"/>
        </w:rPr>
        <w:t xml:space="preserve"> alleged involvement </w:t>
      </w:r>
      <w:r w:rsidR="001F0ECF" w:rsidRPr="00D0513A">
        <w:rPr>
          <w:rFonts w:ascii="Times New Roman" w:hAnsi="Times New Roman"/>
        </w:rPr>
        <w:t>in</w:t>
      </w:r>
      <w:r w:rsidR="00FD65E4" w:rsidRPr="00D0513A">
        <w:rPr>
          <w:rFonts w:ascii="Times New Roman" w:hAnsi="Times New Roman"/>
        </w:rPr>
        <w:t xml:space="preserve"> a joint criminal enterprise to commit </w:t>
      </w:r>
      <w:r w:rsidR="001F0ECF" w:rsidRPr="00D0513A">
        <w:rPr>
          <w:rFonts w:ascii="Times New Roman" w:hAnsi="Times New Roman"/>
        </w:rPr>
        <w:t>a</w:t>
      </w:r>
      <w:r w:rsidR="00C96EFD" w:rsidRPr="00D0513A">
        <w:rPr>
          <w:rFonts w:ascii="Times New Roman" w:hAnsi="Times New Roman"/>
        </w:rPr>
        <w:t>n</w:t>
      </w:r>
      <w:r w:rsidR="002900AD" w:rsidRPr="00D0513A">
        <w:rPr>
          <w:rFonts w:ascii="Times New Roman" w:hAnsi="Times New Roman"/>
        </w:rPr>
        <w:t xml:space="preserve"> </w:t>
      </w:r>
      <w:r w:rsidR="00FD65E4" w:rsidRPr="00D0513A">
        <w:rPr>
          <w:rFonts w:ascii="Times New Roman" w:hAnsi="Times New Roman"/>
        </w:rPr>
        <w:t>offence</w:t>
      </w:r>
      <w:r w:rsidR="00C96EFD" w:rsidRPr="00D0513A">
        <w:rPr>
          <w:rFonts w:ascii="Times New Roman" w:hAnsi="Times New Roman"/>
        </w:rPr>
        <w:t xml:space="preserve"> of the kind that cons</w:t>
      </w:r>
      <w:r w:rsidRPr="00D0513A">
        <w:rPr>
          <w:rFonts w:ascii="Times New Roman" w:hAnsi="Times New Roman"/>
        </w:rPr>
        <w:t>t</w:t>
      </w:r>
      <w:r w:rsidR="00C96EFD" w:rsidRPr="00D0513A">
        <w:rPr>
          <w:rFonts w:ascii="Times New Roman" w:hAnsi="Times New Roman"/>
        </w:rPr>
        <w:t>itutes a foundational offence for const</w:t>
      </w:r>
      <w:r w:rsidR="001520B5" w:rsidRPr="00D0513A">
        <w:rPr>
          <w:rFonts w:ascii="Times New Roman" w:hAnsi="Times New Roman"/>
        </w:rPr>
        <w:t>ructive murder</w:t>
      </w:r>
      <w:r w:rsidR="00FD65E4" w:rsidRPr="00D0513A">
        <w:rPr>
          <w:rFonts w:ascii="Times New Roman" w:hAnsi="Times New Roman"/>
        </w:rPr>
        <w:t>, the</w:t>
      </w:r>
      <w:r w:rsidR="00DE3184" w:rsidRPr="00D0513A">
        <w:rPr>
          <w:rFonts w:ascii="Times New Roman" w:hAnsi="Times New Roman"/>
        </w:rPr>
        <w:t>n</w:t>
      </w:r>
      <w:r w:rsidR="00FD65E4" w:rsidRPr="00D0513A">
        <w:rPr>
          <w:rFonts w:ascii="Times New Roman" w:hAnsi="Times New Roman"/>
        </w:rPr>
        <w:t xml:space="preserve"> there is scope for the Crown to reagitate the existence of accessorial liability. In such a case the Crown</w:t>
      </w:r>
      <w:r w:rsidR="00DE3184" w:rsidRPr="00D0513A">
        <w:rPr>
          <w:rFonts w:ascii="Times New Roman" w:hAnsi="Times New Roman"/>
        </w:rPr>
        <w:t xml:space="preserve"> </w:t>
      </w:r>
      <w:r w:rsidR="00FD65E4" w:rsidRPr="00D0513A">
        <w:rPr>
          <w:rFonts w:ascii="Times New Roman" w:hAnsi="Times New Roman"/>
        </w:rPr>
        <w:t>can seek a formal ruling as to whether the latter can be put to the jury</w:t>
      </w:r>
      <w:r w:rsidR="00302E12" w:rsidRPr="00D0513A">
        <w:rPr>
          <w:rFonts w:ascii="Times New Roman" w:hAnsi="Times New Roman"/>
        </w:rPr>
        <w:t>,</w:t>
      </w:r>
      <w:r w:rsidR="00FD65E4" w:rsidRPr="00D0513A">
        <w:rPr>
          <w:rFonts w:ascii="Times New Roman" w:hAnsi="Times New Roman"/>
        </w:rPr>
        <w:t xml:space="preserve"> which it can be expected will be refused by applying the Court of Criminal Appeal's decision. Depending on whether such a ruling is embodied in "an interlocutory judgment or order", the Crown could then exercise its right of appeal</w:t>
      </w:r>
      <w:r w:rsidR="00D81C42" w:rsidRPr="00D0513A">
        <w:rPr>
          <w:rFonts w:ascii="Times New Roman" w:hAnsi="Times New Roman"/>
        </w:rPr>
        <w:t>.</w:t>
      </w:r>
      <w:r w:rsidR="00D81C42" w:rsidRPr="00D0513A">
        <w:rPr>
          <w:rStyle w:val="FootnoteReference"/>
          <w:rFonts w:ascii="Times New Roman" w:hAnsi="Times New Roman"/>
          <w:sz w:val="24"/>
        </w:rPr>
        <w:footnoteReference w:id="10"/>
      </w:r>
      <w:r w:rsidR="00FD65E4" w:rsidRPr="00D0513A">
        <w:rPr>
          <w:rFonts w:ascii="Times New Roman" w:hAnsi="Times New Roman"/>
        </w:rPr>
        <w:t xml:space="preserve"> Alternatively, if the accused is acquitted, the Crown may appeal the verdict if the accused is acquitted by direction as a result of the ruling</w:t>
      </w:r>
      <w:r w:rsidR="00D81C42" w:rsidRPr="00D0513A">
        <w:rPr>
          <w:rStyle w:val="FootnoteReference"/>
          <w:rFonts w:ascii="Times New Roman" w:hAnsi="Times New Roman"/>
          <w:sz w:val="24"/>
        </w:rPr>
        <w:footnoteReference w:id="11"/>
      </w:r>
      <w:r w:rsidR="00FD65E4" w:rsidRPr="00D0513A">
        <w:rPr>
          <w:rFonts w:ascii="Times New Roman" w:hAnsi="Times New Roman"/>
        </w:rPr>
        <w:t xml:space="preserve"> or, otherwise, the Crown may submit the issue for determination by the Court of Criminal Appeal.</w:t>
      </w:r>
      <w:r w:rsidR="00D81C42" w:rsidRPr="00D0513A">
        <w:rPr>
          <w:rStyle w:val="FootnoteReference"/>
          <w:rFonts w:ascii="Times New Roman" w:hAnsi="Times New Roman"/>
          <w:sz w:val="24"/>
          <w:shd w:val="clear" w:color="auto" w:fill="FFFFFF"/>
        </w:rPr>
        <w:footnoteReference w:id="12"/>
      </w:r>
    </w:p>
    <w:p w14:paraId="1EBBFB44" w14:textId="4D3746AE" w:rsidR="00FD65E4" w:rsidRPr="00D0513A"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FD65E4" w:rsidRPr="00D0513A">
        <w:rPr>
          <w:rFonts w:ascii="Times New Roman" w:hAnsi="Times New Roman"/>
        </w:rPr>
        <w:t xml:space="preserve">Lastly, the various matters relied on by the Court of Criminal Appeal to order a retrial are irrelevant to the present question of whether special leave to appeal should be revoked. Those matters were directed to whether or not the Crown should be held to its position at trial of eschewing reliance on joint criminal enterprise. </w:t>
      </w:r>
      <w:r w:rsidR="00BE0CFB" w:rsidRPr="00D0513A">
        <w:rPr>
          <w:rFonts w:ascii="Times New Roman" w:hAnsi="Times New Roman"/>
        </w:rPr>
        <w:t>In this Court</w:t>
      </w:r>
      <w:r w:rsidR="00383BA3" w:rsidRPr="00D0513A">
        <w:rPr>
          <w:rFonts w:ascii="Times New Roman" w:hAnsi="Times New Roman"/>
        </w:rPr>
        <w:t xml:space="preserve">, the Crown sought to </w:t>
      </w:r>
      <w:r w:rsidR="00723F62" w:rsidRPr="00D0513A">
        <w:rPr>
          <w:rFonts w:ascii="Times New Roman" w:hAnsi="Times New Roman"/>
        </w:rPr>
        <w:t>change its position</w:t>
      </w:r>
      <w:r w:rsidR="00142C88" w:rsidRPr="00D0513A">
        <w:rPr>
          <w:rFonts w:ascii="Times New Roman" w:hAnsi="Times New Roman"/>
        </w:rPr>
        <w:t xml:space="preserve">, by </w:t>
      </w:r>
      <w:r w:rsidR="00FD65E4" w:rsidRPr="00D0513A">
        <w:rPr>
          <w:rFonts w:ascii="Times New Roman" w:hAnsi="Times New Roman"/>
        </w:rPr>
        <w:t xml:space="preserve">a substantial reformulation of the mental state </w:t>
      </w:r>
      <w:r w:rsidR="007E7584" w:rsidRPr="00D0513A">
        <w:rPr>
          <w:rFonts w:ascii="Times New Roman" w:hAnsi="Times New Roman"/>
        </w:rPr>
        <w:t>for</w:t>
      </w:r>
      <w:r w:rsidR="00FD65E4" w:rsidRPr="00D0513A">
        <w:rPr>
          <w:rFonts w:ascii="Times New Roman" w:hAnsi="Times New Roman"/>
        </w:rPr>
        <w:t xml:space="preserve"> an accessory to constructive murder</w:t>
      </w:r>
      <w:r w:rsidR="006E7028" w:rsidRPr="00D0513A">
        <w:rPr>
          <w:rFonts w:ascii="Times New Roman" w:hAnsi="Times New Roman"/>
        </w:rPr>
        <w:t>,</w:t>
      </w:r>
      <w:r w:rsidR="00FD65E4" w:rsidRPr="00D0513A">
        <w:rPr>
          <w:rFonts w:ascii="Times New Roman" w:hAnsi="Times New Roman"/>
        </w:rPr>
        <w:t xml:space="preserve"> when </w:t>
      </w:r>
      <w:r w:rsidR="006E7028" w:rsidRPr="00D0513A">
        <w:rPr>
          <w:rFonts w:ascii="Times New Roman" w:hAnsi="Times New Roman"/>
        </w:rPr>
        <w:t xml:space="preserve">the </w:t>
      </w:r>
      <w:r w:rsidR="00FD65E4" w:rsidRPr="00D0513A">
        <w:rPr>
          <w:rFonts w:ascii="Times New Roman" w:hAnsi="Times New Roman"/>
        </w:rPr>
        <w:t xml:space="preserve">previous formulation </w:t>
      </w:r>
      <w:r w:rsidR="006E7028" w:rsidRPr="00D0513A">
        <w:rPr>
          <w:rFonts w:ascii="Times New Roman" w:hAnsi="Times New Roman"/>
        </w:rPr>
        <w:t xml:space="preserve">of the Crown </w:t>
      </w:r>
      <w:r w:rsidR="00FD65E4" w:rsidRPr="00D0513A">
        <w:rPr>
          <w:rFonts w:ascii="Times New Roman" w:hAnsi="Times New Roman"/>
        </w:rPr>
        <w:t xml:space="preserve">was an aspect of the reasoning of the Court of Criminal Appeal towards its conclusion that accessorial liability for constructive murder was excluded. </w:t>
      </w:r>
    </w:p>
    <w:p w14:paraId="43F44DE5" w14:textId="5DAACBD7" w:rsidR="004D7B3E" w:rsidRPr="00D0513A" w:rsidRDefault="004D7B3E" w:rsidP="00D0513A">
      <w:pPr>
        <w:pStyle w:val="HeadingL1"/>
        <w:spacing w:after="260" w:line="280" w:lineRule="exact"/>
        <w:ind w:right="0"/>
        <w:jc w:val="both"/>
        <w:rPr>
          <w:rFonts w:ascii="Times New Roman" w:hAnsi="Times New Roman"/>
        </w:rPr>
      </w:pPr>
      <w:r w:rsidRPr="00D0513A">
        <w:rPr>
          <w:rFonts w:ascii="Times New Roman" w:hAnsi="Times New Roman"/>
        </w:rPr>
        <w:t>Conclusion</w:t>
      </w:r>
    </w:p>
    <w:p w14:paraId="559799FA" w14:textId="77777777" w:rsidR="006C6AA0" w:rsidRDefault="00137543" w:rsidP="00D0513A">
      <w:pPr>
        <w:pStyle w:val="FixListStyle"/>
        <w:spacing w:after="260" w:line="280" w:lineRule="exact"/>
        <w:ind w:right="0"/>
        <w:jc w:val="both"/>
        <w:rPr>
          <w:rFonts w:ascii="Times New Roman" w:hAnsi="Times New Roman"/>
        </w:rPr>
      </w:pPr>
      <w:r w:rsidRPr="00D0513A">
        <w:rPr>
          <w:rFonts w:ascii="Times New Roman" w:hAnsi="Times New Roman"/>
        </w:rPr>
        <w:tab/>
      </w:r>
      <w:r w:rsidR="00713E86" w:rsidRPr="00D0513A">
        <w:rPr>
          <w:rFonts w:ascii="Times New Roman" w:hAnsi="Times New Roman"/>
        </w:rPr>
        <w:t xml:space="preserve">For these reasons, it </w:t>
      </w:r>
      <w:r w:rsidR="006A3729" w:rsidRPr="00D0513A">
        <w:rPr>
          <w:rFonts w:ascii="Times New Roman" w:hAnsi="Times New Roman"/>
        </w:rPr>
        <w:t>was</w:t>
      </w:r>
      <w:r w:rsidR="00713E86" w:rsidRPr="00D0513A">
        <w:rPr>
          <w:rFonts w:ascii="Times New Roman" w:hAnsi="Times New Roman"/>
        </w:rPr>
        <w:t xml:space="preserve"> apparent that the appeal in the present case ha</w:t>
      </w:r>
      <w:r w:rsidR="003F3FF8" w:rsidRPr="00D0513A">
        <w:rPr>
          <w:rFonts w:ascii="Times New Roman" w:hAnsi="Times New Roman"/>
        </w:rPr>
        <w:t>d</w:t>
      </w:r>
      <w:r w:rsidR="00713E86" w:rsidRPr="00D0513A">
        <w:rPr>
          <w:rFonts w:ascii="Times New Roman" w:hAnsi="Times New Roman"/>
        </w:rPr>
        <w:t xml:space="preserve"> ceased to be an appropriate vehicle for the consideration of </w:t>
      </w:r>
      <w:r w:rsidR="00184939" w:rsidRPr="00D0513A">
        <w:rPr>
          <w:rFonts w:ascii="Times New Roman" w:hAnsi="Times New Roman"/>
        </w:rPr>
        <w:t xml:space="preserve">the important question </w:t>
      </w:r>
      <w:r w:rsidR="00184939" w:rsidRPr="00D0513A">
        <w:rPr>
          <w:rFonts w:ascii="Times New Roman" w:hAnsi="Times New Roman"/>
        </w:rPr>
        <w:lastRenderedPageBreak/>
        <w:t xml:space="preserve">of law raised by the sole ground of appeal on which special leave to appeal </w:t>
      </w:r>
      <w:r w:rsidR="00BD52D9" w:rsidRPr="00D0513A">
        <w:rPr>
          <w:rFonts w:ascii="Times New Roman" w:hAnsi="Times New Roman"/>
        </w:rPr>
        <w:t>was</w:t>
      </w:r>
      <w:r w:rsidR="00184939" w:rsidRPr="00D0513A">
        <w:rPr>
          <w:rFonts w:ascii="Times New Roman" w:hAnsi="Times New Roman"/>
        </w:rPr>
        <w:t xml:space="preserve"> granted. The appropriate course </w:t>
      </w:r>
      <w:r w:rsidR="006A3729" w:rsidRPr="00D0513A">
        <w:rPr>
          <w:rFonts w:ascii="Times New Roman" w:hAnsi="Times New Roman"/>
        </w:rPr>
        <w:t>was</w:t>
      </w:r>
      <w:r w:rsidR="0046601F" w:rsidRPr="00D0513A">
        <w:rPr>
          <w:rFonts w:ascii="Times New Roman" w:hAnsi="Times New Roman"/>
        </w:rPr>
        <w:t xml:space="preserve"> for the grant of special leave to be revoked</w:t>
      </w:r>
      <w:r w:rsidR="007C3A66" w:rsidRPr="00D0513A">
        <w:rPr>
          <w:rFonts w:ascii="Times New Roman" w:hAnsi="Times New Roman"/>
        </w:rPr>
        <w:t>.</w:t>
      </w:r>
    </w:p>
    <w:p w14:paraId="3C74489E" w14:textId="77777777" w:rsidR="006C6AA0" w:rsidRDefault="006C6AA0" w:rsidP="00D0513A">
      <w:pPr>
        <w:pStyle w:val="FixListStyle"/>
        <w:spacing w:after="260" w:line="280" w:lineRule="exact"/>
        <w:ind w:right="0"/>
        <w:jc w:val="both"/>
        <w:rPr>
          <w:rFonts w:ascii="Times New Roman" w:hAnsi="Times New Roman"/>
        </w:rPr>
        <w:sectPr w:rsidR="006C6AA0" w:rsidSect="007B474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A26B505" w14:textId="77777777" w:rsidR="006C6AA0" w:rsidRPr="005017E4" w:rsidRDefault="006C6AA0" w:rsidP="005017E4">
      <w:pPr>
        <w:pStyle w:val="NormalBody"/>
        <w:tabs>
          <w:tab w:val="clear" w:pos="720"/>
          <w:tab w:val="left" w:pos="0"/>
        </w:tabs>
        <w:spacing w:after="260" w:line="280" w:lineRule="exact"/>
        <w:ind w:right="0"/>
        <w:jc w:val="both"/>
        <w:rPr>
          <w:rFonts w:ascii="Times New Roman" w:hAnsi="Times New Roman"/>
        </w:rPr>
      </w:pPr>
      <w:r w:rsidRPr="005017E4">
        <w:rPr>
          <w:rFonts w:ascii="Times New Roman" w:hAnsi="Times New Roman"/>
        </w:rPr>
        <w:lastRenderedPageBreak/>
        <w:t xml:space="preserve">EDELMAN J.   </w:t>
      </w:r>
    </w:p>
    <w:p w14:paraId="59FB472C" w14:textId="77777777" w:rsidR="006C6AA0" w:rsidRPr="005017E4" w:rsidRDefault="006C6AA0" w:rsidP="005017E4">
      <w:pPr>
        <w:pStyle w:val="HeadingL1"/>
        <w:spacing w:after="260" w:line="280" w:lineRule="exact"/>
        <w:ind w:right="0"/>
        <w:jc w:val="both"/>
        <w:rPr>
          <w:rFonts w:ascii="Times New Roman" w:hAnsi="Times New Roman"/>
        </w:rPr>
      </w:pPr>
      <w:r w:rsidRPr="005017E4">
        <w:rPr>
          <w:rFonts w:ascii="Times New Roman" w:hAnsi="Times New Roman"/>
        </w:rPr>
        <w:t xml:space="preserve">The preliminary issue: should special leave be revoked? </w:t>
      </w:r>
    </w:p>
    <w:p w14:paraId="17E65255"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On 21 March 2025, prior to the hearing of a listed appeal in this matter, this Court sent a letter to the parties. The attention of the parties was directed to the concession by the Crown in its reply that, as Mr Batak submitted, if the Court accepted the Crown's submissions on the appeal, "the order for a new trial should be affirmed". The Crown was asked to file supplementary submissions and any proposed amended notice of appeal. Subsequently, on 3 April 2025, a directions hearing was held before Gageler CJ at which his Honour raised with the Crown the preliminary question of whether the proposed orders it sought were, in effect, seeking to appeal from the reasons of the Court of Criminal Appeal of New South Wales rather than from the orders of that Court. The Crown was told that a preliminary issue at the hearing of the appeal would be whether special leave should be revoked. </w:t>
      </w:r>
    </w:p>
    <w:p w14:paraId="79F13734"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On 8 April 2025, at the hearing of the appeal and after hearing submissions on this preliminary issue, the Court adjourned to consider the course that it would take. That afternoon, the Court announced that, by majority, special leave to appeal was revoked and leave to file the proposed amended notice of appeal was refused. A majority of this Court concluded that the manner in which the appeal would be conducted meant that this case had ceased to be an appropriate vehicle for the question of law it raised. I did not join in the order revoking special leave. I would have allowed the substantive appeal to proceed. For the reasons below, this Court had jurisdiction to make the orders sought by the Crown. And although the appeal presented a different complexion, and was a less suitable vehicle for special leave, than at the time of grant, I consider that special leave should not have been revoked.</w:t>
      </w:r>
    </w:p>
    <w:p w14:paraId="35DFCC2A" w14:textId="77777777" w:rsidR="006C6AA0" w:rsidRPr="005017E4" w:rsidRDefault="006C6AA0" w:rsidP="005017E4">
      <w:pPr>
        <w:pStyle w:val="HeadingL1"/>
        <w:spacing w:after="260" w:line="280" w:lineRule="exact"/>
        <w:ind w:right="0"/>
        <w:jc w:val="both"/>
        <w:rPr>
          <w:rFonts w:ascii="Times New Roman" w:hAnsi="Times New Roman"/>
        </w:rPr>
      </w:pPr>
      <w:r w:rsidRPr="005017E4">
        <w:rPr>
          <w:rFonts w:ascii="Times New Roman" w:hAnsi="Times New Roman"/>
        </w:rPr>
        <w:t xml:space="preserve">Background </w:t>
      </w:r>
    </w:p>
    <w:p w14:paraId="65A82DEA"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At 3.45am on 2 April 2019, two men broke into an apartment in order to steal drugs and money. </w:t>
      </w:r>
      <w:r w:rsidRPr="005017E4" w:rsidDel="00265BB1">
        <w:rPr>
          <w:rFonts w:ascii="Times New Roman" w:hAnsi="Times New Roman"/>
        </w:rPr>
        <w:t>Each</w:t>
      </w:r>
      <w:r w:rsidRPr="005017E4">
        <w:rPr>
          <w:rFonts w:ascii="Times New Roman" w:hAnsi="Times New Roman"/>
        </w:rPr>
        <w:t xml:space="preserve"> of the intruders had a gun. A confrontation occurred with one of the inhabitants of the apartment, who was also armed with a gun. Another inhabitant was shot and killed by one of the intruders.   </w:t>
      </w:r>
    </w:p>
    <w:p w14:paraId="7FF64EDC"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Mr Batak was not present at the robbery. However, the Crown alleged that earlier on the night of the robbery, Mr Batak had supplied one of the intruders with a high visibility shirt and a loaded gun to use in the robbery. Mr Batak was charged on indictment with two offences. Count 1 of the indictment was the offence of murder contrary to s 18(1)(a) of the </w:t>
      </w:r>
      <w:r w:rsidRPr="005017E4">
        <w:rPr>
          <w:rFonts w:ascii="Times New Roman" w:hAnsi="Times New Roman"/>
          <w:i/>
          <w:iCs/>
        </w:rPr>
        <w:t xml:space="preserve">Crimes Act 1900 </w:t>
      </w:r>
      <w:r w:rsidRPr="005017E4">
        <w:rPr>
          <w:rFonts w:ascii="Times New Roman" w:hAnsi="Times New Roman"/>
        </w:rPr>
        <w:t xml:space="preserve">(NSW), relying also on the "accessories before the fact" provision in s 346 of the </w:t>
      </w:r>
      <w:r w:rsidRPr="005017E4">
        <w:rPr>
          <w:rFonts w:ascii="Times New Roman" w:hAnsi="Times New Roman"/>
          <w:i/>
          <w:iCs/>
        </w:rPr>
        <w:t>Crimes Act</w:t>
      </w:r>
      <w:r w:rsidRPr="005017E4">
        <w:rPr>
          <w:rFonts w:ascii="Times New Roman" w:hAnsi="Times New Roman"/>
        </w:rPr>
        <w:t xml:space="preserve">. Count 2 of the indictment against him was attempted robbery whilst armed with a dangerous weapon contrary to s 97(2) of the </w:t>
      </w:r>
      <w:r w:rsidRPr="005017E4">
        <w:rPr>
          <w:rFonts w:ascii="Times New Roman" w:hAnsi="Times New Roman"/>
          <w:i/>
          <w:iCs/>
        </w:rPr>
        <w:t>Crimes Act</w:t>
      </w:r>
      <w:r w:rsidRPr="005017E4">
        <w:rPr>
          <w:rFonts w:ascii="Times New Roman" w:hAnsi="Times New Roman"/>
        </w:rPr>
        <w:t xml:space="preserve">, again relying also on s 346 of the </w:t>
      </w:r>
      <w:r w:rsidRPr="005017E4">
        <w:rPr>
          <w:rFonts w:ascii="Times New Roman" w:hAnsi="Times New Roman"/>
          <w:i/>
          <w:iCs/>
        </w:rPr>
        <w:t>Crimes Act</w:t>
      </w:r>
      <w:r w:rsidRPr="005017E4">
        <w:rPr>
          <w:rFonts w:ascii="Times New Roman" w:hAnsi="Times New Roman"/>
        </w:rPr>
        <w:t xml:space="preserve">. Mr Batak was convicted by a judge and jury of the two counts in the indictment against him. </w:t>
      </w:r>
    </w:p>
    <w:p w14:paraId="273C3A7F"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lastRenderedPageBreak/>
        <w:tab/>
        <w:t xml:space="preserve">The Crown had initially intended to rely upon three pathways to a conviction for murder. Two pathways were forms of derivative liability (extended joint criminal enterprise and being an accessory before the fact) and the third pathway was primary liability for murder by participation in a joint criminal enterprise. The Crown ultimately chose to pursue only one pathway: Mr Batak was said to be an accessory before the fact, within the meaning of s 346 of the </w:t>
      </w:r>
      <w:r w:rsidRPr="005017E4">
        <w:rPr>
          <w:rFonts w:ascii="Times New Roman" w:hAnsi="Times New Roman"/>
          <w:i/>
          <w:iCs/>
        </w:rPr>
        <w:t>Crimes Act</w:t>
      </w:r>
      <w:r w:rsidRPr="005017E4">
        <w:rPr>
          <w:rFonts w:ascii="Times New Roman" w:hAnsi="Times New Roman"/>
        </w:rPr>
        <w:t xml:space="preserve">, to the offence of constructive murder in s 18(1)(a) of the </w:t>
      </w:r>
      <w:r w:rsidRPr="005017E4">
        <w:rPr>
          <w:rFonts w:ascii="Times New Roman" w:hAnsi="Times New Roman"/>
          <w:i/>
          <w:iCs/>
        </w:rPr>
        <w:t>Crimes Act</w:t>
      </w:r>
      <w:r w:rsidRPr="005017E4">
        <w:rPr>
          <w:rFonts w:ascii="Times New Roman" w:hAnsi="Times New Roman"/>
        </w:rPr>
        <w:t xml:space="preserve">, where the foundational offence was the attempted robbery offence in count 2 of the indictment. </w:t>
      </w:r>
    </w:p>
    <w:p w14:paraId="4C9CD541"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Mr Batak appealed to the Court of Criminal Appeal on grounds that included: (1) "It was an error of law to permit constructive murder to be left to the jury on the basis of accessorial liability"; and (2)(a) "In the alternative to (1), the trial judge misdirected the jury as to ... the elements of accessory before the fact to constructive murder". Part of ground 2(a) intersected with ground 1 because it challenged the nature of an aspect of the mental element required for a putative offence of being an accessory before the fact to constructive murder. The trial judge had directed the jury that a necessary element of that offence ("the fifth element") was: </w:t>
      </w:r>
    </w:p>
    <w:p w14:paraId="37AE0484" w14:textId="77777777" w:rsidR="006C6AA0" w:rsidRDefault="006C6AA0" w:rsidP="005017E4">
      <w:pPr>
        <w:pStyle w:val="LeftrightafterHC"/>
        <w:spacing w:before="0" w:after="260" w:line="280" w:lineRule="exact"/>
        <w:ind w:right="0"/>
        <w:jc w:val="both"/>
        <w:rPr>
          <w:rFonts w:ascii="Times New Roman" w:hAnsi="Times New Roman"/>
        </w:rPr>
      </w:pPr>
      <w:r w:rsidRPr="005017E4">
        <w:rPr>
          <w:rFonts w:ascii="Times New Roman" w:hAnsi="Times New Roman"/>
        </w:rPr>
        <w:t>"The discharge of a gun during the attempted armed robbery with a dangerous weapon was a possibility which the accused was aware of when he provided the assistance ... ([of] providing the shirt and/or gun)."</w:t>
      </w:r>
    </w:p>
    <w:p w14:paraId="29F016FE"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The Crown submitted that accessorial liability for constructive murder was an offence known to the law. As to that aspect of the mental element which was the subject of the direction on the fifth element, the Crown proposed a test in substantially the same terms as the trial judge</w:t>
      </w:r>
      <w:r w:rsidRPr="005017E4">
        <w:rPr>
          <w:rStyle w:val="FootnoteReference"/>
          <w:rFonts w:ascii="Times New Roman" w:hAnsi="Times New Roman"/>
          <w:sz w:val="24"/>
        </w:rPr>
        <w:footnoteReference w:id="13"/>
      </w:r>
      <w:r w:rsidRPr="005017E4">
        <w:rPr>
          <w:rFonts w:ascii="Times New Roman" w:hAnsi="Times New Roman"/>
        </w:rPr>
        <w:t xml:space="preserve"> on the basis that where (as in this case) the commission of the act causing death did not constitute a physical element of the foundational offence, then the accessory must know that the act causing death was "one of the possible ways in which the acts constituting the foundational crime may be carried out". The Crown submitted that it was "known" (or, more accurately, "believed" or "expected") by Mr Batak that one possible way of carrying out the robbery was through the "use of the loaded firearm to effect the robbery, which ... may involve discharging it". </w:t>
      </w:r>
    </w:p>
    <w:p w14:paraId="7AAEDC58"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The Court of Criminal Appeal upheld the first ground, reasoning that there was no offence known to the law in New South Wales of being an accessory before the fact to the offence in s 18(1)(a) of the </w:t>
      </w:r>
      <w:r w:rsidRPr="005017E4">
        <w:rPr>
          <w:rFonts w:ascii="Times New Roman" w:hAnsi="Times New Roman"/>
          <w:i/>
          <w:iCs/>
        </w:rPr>
        <w:t xml:space="preserve">Crimes Act </w:t>
      </w:r>
      <w:r w:rsidRPr="005017E4">
        <w:rPr>
          <w:rFonts w:ascii="Times New Roman" w:hAnsi="Times New Roman"/>
        </w:rPr>
        <w:t>of constructive</w:t>
      </w:r>
      <w:r w:rsidRPr="005017E4">
        <w:rPr>
          <w:rFonts w:ascii="Times New Roman" w:hAnsi="Times New Roman"/>
          <w:i/>
          <w:iCs/>
        </w:rPr>
        <w:t xml:space="preserve"> </w:t>
      </w:r>
      <w:r w:rsidRPr="005017E4">
        <w:rPr>
          <w:rFonts w:ascii="Times New Roman" w:hAnsi="Times New Roman"/>
        </w:rPr>
        <w:t>murder.</w:t>
      </w:r>
      <w:r w:rsidRPr="005017E4">
        <w:rPr>
          <w:rStyle w:val="FootnoteReference"/>
          <w:rFonts w:ascii="Times New Roman" w:hAnsi="Times New Roman"/>
          <w:sz w:val="24"/>
        </w:rPr>
        <w:footnoteReference w:id="14"/>
      </w:r>
      <w:r w:rsidRPr="005017E4">
        <w:rPr>
          <w:rFonts w:ascii="Times New Roman" w:hAnsi="Times New Roman"/>
        </w:rPr>
        <w:t xml:space="preserve"> In the course of considering the possibility of an offence of being an accessory before the fact to constructive murder, the Court of Criminal Appeal also held that if such </w:t>
      </w:r>
      <w:r w:rsidRPr="005017E4">
        <w:rPr>
          <w:rFonts w:ascii="Times New Roman" w:hAnsi="Times New Roman"/>
        </w:rPr>
        <w:lastRenderedPageBreak/>
        <w:t xml:space="preserve">an offence existed it would not contain that aspect of the mental element as formulated in the trial judge's fifth element direction. </w:t>
      </w:r>
    </w:p>
    <w:p w14:paraId="21482683"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The Court of Criminal Appeal held that if being an accessory before the fact to the offence of constructive murder were an offence known to the law, the mental element would include a requirement that an accused knew of (or, more accurately, believed in) the existence of an intention by another to do the act or omission that caused death. But that aspect of the mental element was considered by the Court of Criminal Appeal to be incoherent.</w:t>
      </w:r>
      <w:r w:rsidRPr="005017E4">
        <w:rPr>
          <w:rStyle w:val="FootnoteReference"/>
          <w:rFonts w:ascii="Times New Roman" w:hAnsi="Times New Roman"/>
          <w:sz w:val="24"/>
        </w:rPr>
        <w:footnoteReference w:id="15"/>
      </w:r>
      <w:r w:rsidRPr="005017E4">
        <w:rPr>
          <w:rFonts w:ascii="Times New Roman" w:hAnsi="Times New Roman"/>
        </w:rPr>
        <w:t xml:space="preserve"> The Court of Criminal Appeal further considered that the fifth element, as directed by the trial judge, would be unnecessary for accessorial liability for the offence of constructive murder so that the direction by the trial judge could not have caused a miscarriage of justice because the fifth element "made the obtaining of a conviction more difficult for the prosecution, not easier".</w:t>
      </w:r>
      <w:r w:rsidRPr="005017E4">
        <w:rPr>
          <w:rStyle w:val="FootnoteReference"/>
          <w:rFonts w:ascii="Times New Roman" w:hAnsi="Times New Roman"/>
          <w:sz w:val="24"/>
        </w:rPr>
        <w:footnoteReference w:id="16"/>
      </w:r>
    </w:p>
    <w:p w14:paraId="67FA43E2"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The Court of Criminal Appeal's orders of 10 May 2024 were relevantly as follows:</w:t>
      </w:r>
    </w:p>
    <w:p w14:paraId="070B1C35" w14:textId="77777777" w:rsidR="006C6AA0" w:rsidRPr="005017E4" w:rsidRDefault="006C6AA0" w:rsidP="005017E4">
      <w:pPr>
        <w:pStyle w:val="LeftrightafterHC"/>
        <w:spacing w:before="0" w:after="260" w:line="280" w:lineRule="exact"/>
        <w:ind w:left="1440" w:right="0" w:hanging="720"/>
        <w:jc w:val="both"/>
        <w:rPr>
          <w:rFonts w:ascii="Times New Roman" w:hAnsi="Times New Roman"/>
        </w:rPr>
      </w:pPr>
      <w:r w:rsidRPr="005017E4">
        <w:rPr>
          <w:rFonts w:ascii="Times New Roman" w:hAnsi="Times New Roman"/>
        </w:rPr>
        <w:t>"(3)</w:t>
      </w:r>
      <w:r w:rsidRPr="005017E4">
        <w:rPr>
          <w:rFonts w:ascii="Times New Roman" w:hAnsi="Times New Roman"/>
        </w:rPr>
        <w:tab/>
        <w:t>Uphold the appeal with respect to count 1 on the indictment.</w:t>
      </w:r>
    </w:p>
    <w:p w14:paraId="5045CE55" w14:textId="77777777" w:rsidR="006C6AA0" w:rsidRPr="005017E4" w:rsidRDefault="006C6AA0" w:rsidP="005017E4">
      <w:pPr>
        <w:pStyle w:val="LeftrightafterHC"/>
        <w:spacing w:before="0" w:after="260" w:line="280" w:lineRule="exact"/>
        <w:ind w:right="0"/>
        <w:jc w:val="both"/>
        <w:rPr>
          <w:rFonts w:ascii="Times New Roman" w:hAnsi="Times New Roman"/>
        </w:rPr>
      </w:pPr>
      <w:r w:rsidRPr="005017E4">
        <w:rPr>
          <w:rFonts w:ascii="Times New Roman" w:hAnsi="Times New Roman"/>
        </w:rPr>
        <w:t>(4)</w:t>
      </w:r>
      <w:r w:rsidRPr="005017E4">
        <w:rPr>
          <w:rFonts w:ascii="Times New Roman" w:hAnsi="Times New Roman"/>
        </w:rPr>
        <w:tab/>
        <w:t xml:space="preserve">Quash </w:t>
      </w:r>
      <w:r>
        <w:rPr>
          <w:rFonts w:ascii="Times New Roman" w:hAnsi="Times New Roman"/>
        </w:rPr>
        <w:t>[Mr Batak's]</w:t>
      </w:r>
      <w:r w:rsidRPr="005017E4">
        <w:rPr>
          <w:rFonts w:ascii="Times New Roman" w:hAnsi="Times New Roman"/>
        </w:rPr>
        <w:t xml:space="preserve"> conviction on count 1.</w:t>
      </w:r>
    </w:p>
    <w:p w14:paraId="21096BBF" w14:textId="77777777" w:rsidR="006C6AA0" w:rsidRDefault="006C6AA0" w:rsidP="005017E4">
      <w:pPr>
        <w:pStyle w:val="LeftrightafterHC"/>
        <w:spacing w:before="0" w:after="260" w:line="280" w:lineRule="exact"/>
        <w:ind w:right="0"/>
        <w:jc w:val="both"/>
        <w:rPr>
          <w:rFonts w:ascii="Times New Roman" w:hAnsi="Times New Roman"/>
        </w:rPr>
      </w:pPr>
      <w:r w:rsidRPr="005017E4">
        <w:rPr>
          <w:rFonts w:ascii="Times New Roman" w:hAnsi="Times New Roman"/>
        </w:rPr>
        <w:t>(5)</w:t>
      </w:r>
      <w:r w:rsidRPr="005017E4">
        <w:rPr>
          <w:rFonts w:ascii="Times New Roman" w:hAnsi="Times New Roman"/>
        </w:rPr>
        <w:tab/>
        <w:t>A retrial ... on count 1 is to be had."</w:t>
      </w:r>
    </w:p>
    <w:p w14:paraId="01774233"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In the Court of Criminal Appeal's reasons, the Court explained that at a retrial it would be open to the Crown to run a case based on joint criminal enterprise although that pathway to guilt had been abandoned by the Crown in favour of the pathway based on liability as an accessory before the fact to constructive murder. </w:t>
      </w:r>
    </w:p>
    <w:p w14:paraId="573360C3"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In the Crown's application for special leave to appeal to this Court, the Crown took the same approach that it had taken before the Court of Criminal Appeal: where the act causing death was distinct from the foundational offence's physical elements, "the requisite knowledge and intent of the accessory requires a realisation that the act causing death may occur in an attempt to commit, or during or immediately after the commission of, the foundational offence". It was submitted that knowledge (which apparently meant intention or foresight) of the future act causing death was unnecessary because, so the Crown submitted, in holding that the accessory must have knowledge of the act causing death, the Court of Criminal Appeal "elided the requirement for knowledge of the essential facts </w:t>
      </w:r>
      <w:r w:rsidRPr="005017E4">
        <w:rPr>
          <w:rFonts w:ascii="Times New Roman" w:hAnsi="Times New Roman"/>
        </w:rPr>
        <w:lastRenderedPageBreak/>
        <w:t>which made what was done a crime with a requirement for knowledge of the elements of the crime".</w:t>
      </w:r>
    </w:p>
    <w:p w14:paraId="6914088F"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Following the grant of special leave to appeal, the Crown's notice of appeal filed on 21 November 2024 sought orders allowing the appeal, setting aside orders 3, 4 and 5 made by the Court of Criminal Appeal on 10 May 2024 and, in place thereof, ordering that Mr Batak's "appeal against conviction be dismissed".</w:t>
      </w:r>
    </w:p>
    <w:p w14:paraId="40993495"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In the Crown's submissions on appeal to this Court, the Crown did not adopt its earlier approach in the Court of Criminal Appeal and on the application for special leave. Nor did it adopt the approach of the Court of Criminal Appeal to the relevant aspect of the mental element of being an accessory before the fact to constructive murder. The Crown refined the terms in which it expressed that part of the mental element as:</w:t>
      </w:r>
      <w:r w:rsidRPr="005017E4">
        <w:rPr>
          <w:rStyle w:val="FootnoteReference"/>
          <w:rFonts w:ascii="Times New Roman" w:hAnsi="Times New Roman"/>
          <w:sz w:val="24"/>
        </w:rPr>
        <w:footnoteReference w:id="17"/>
      </w:r>
    </w:p>
    <w:p w14:paraId="508321C7" w14:textId="77777777" w:rsidR="006C6AA0" w:rsidRDefault="006C6AA0" w:rsidP="005017E4">
      <w:pPr>
        <w:pStyle w:val="LeftrightafterHC"/>
        <w:spacing w:before="0" w:after="260" w:line="280" w:lineRule="exact"/>
        <w:ind w:right="0"/>
        <w:jc w:val="both"/>
        <w:rPr>
          <w:rFonts w:ascii="Times New Roman" w:hAnsi="Times New Roman"/>
        </w:rPr>
      </w:pPr>
      <w:r w:rsidRPr="005017E4">
        <w:rPr>
          <w:rFonts w:ascii="Times New Roman" w:hAnsi="Times New Roman"/>
        </w:rPr>
        <w:t xml:space="preserve">"the accessory must know or believe at the time of giving assistance or encouragement ... that the principal would do the act causing death, as a means of effecting the venture, should the occasion arise ... [I]n the armed robbery of a bank ... a driver ... 'need only have intended that the gunman would shoot to kill or cause grievous bodily harm as a possible means of carrying out the plan – if worst came to worst'". </w:t>
      </w:r>
    </w:p>
    <w:p w14:paraId="51B3AD7A"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This aspect of the mental element proposed by the Crown involved a departure from the fifth element directed by the trial judge. An expectation of the discharge of a gun as a possible means of carrying out a robbery is different from a conditional intention that this means would be used if worst came to worst. Consequently, in Mr Batak's response in this Court he submitted that even if the offence of being an accessory before the fact to constructive</w:t>
      </w:r>
      <w:r w:rsidRPr="005017E4">
        <w:rPr>
          <w:rFonts w:ascii="Times New Roman" w:hAnsi="Times New Roman"/>
          <w:i/>
          <w:iCs/>
        </w:rPr>
        <w:t xml:space="preserve"> </w:t>
      </w:r>
      <w:r w:rsidRPr="005017E4">
        <w:rPr>
          <w:rFonts w:ascii="Times New Roman" w:hAnsi="Times New Roman"/>
        </w:rPr>
        <w:t xml:space="preserve">murder were an offence known to the law in New South Wales, the trial judge had, on the refined approach of the Crown itself, misdirected the jury as to this aspect of the mental element of such an offence. Mr Batak thus sought leave to file a notice of contention out of time to this effect. </w:t>
      </w:r>
    </w:p>
    <w:p w14:paraId="75130785"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In its reply submissions in this Court, the Crown conceded that if this Court were to accept that an offence of being an accessory before the fact to constructive</w:t>
      </w:r>
      <w:r w:rsidRPr="005017E4">
        <w:rPr>
          <w:rFonts w:ascii="Times New Roman" w:hAnsi="Times New Roman"/>
          <w:i/>
          <w:iCs/>
        </w:rPr>
        <w:t xml:space="preserve"> </w:t>
      </w:r>
      <w:r w:rsidRPr="005017E4">
        <w:rPr>
          <w:rFonts w:ascii="Times New Roman" w:hAnsi="Times New Roman"/>
        </w:rPr>
        <w:t xml:space="preserve">murder exists with the refined elements that the Crown had asserted, then the trial judge would have misdirected the jury as to this aspect of the mental element of that offence. At that stage, the Crown contended that if its submissions were accepted then Mr Batak would need to be retried as the Court of Criminal Appeal had ordered, albeit that an offence of being an accessory before the fact to constructive murder would be open as a pathway to conviction. </w:t>
      </w:r>
    </w:p>
    <w:p w14:paraId="7614703A"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lastRenderedPageBreak/>
        <w:tab/>
        <w:t>Following the letter from this Court, the Crown filed a proposed amended notice of appeal. The Crown no longer sought an order that Mr Batak's appeal against conviction to the Court of Criminal Appeal be dismissed. Instead, the proposed orders were to dismiss Mr Batak's appeal to the Court of Criminal Appeal on all grounds other than ground 2(a) (misdirection as to the elements of accessory before the fact to constructive murder) and to remit the matter to that Court for "further consideration and determination of Ground 2(a) of [Mr Batak's] Notice of Appeal to [the Court of Criminal Appeal] in accordance with the judgment of this Court".</w:t>
      </w:r>
    </w:p>
    <w:p w14:paraId="0922451A" w14:textId="77777777" w:rsidR="006C6AA0" w:rsidRPr="005017E4" w:rsidRDefault="006C6AA0" w:rsidP="005017E4">
      <w:pPr>
        <w:pStyle w:val="HeadingL1"/>
        <w:spacing w:after="260" w:line="280" w:lineRule="exact"/>
        <w:ind w:right="0"/>
        <w:jc w:val="both"/>
        <w:rPr>
          <w:rFonts w:ascii="Times New Roman" w:hAnsi="Times New Roman"/>
        </w:rPr>
      </w:pPr>
      <w:r w:rsidRPr="005017E4">
        <w:rPr>
          <w:rFonts w:ascii="Times New Roman" w:hAnsi="Times New Roman"/>
        </w:rPr>
        <w:t>Jurisdiction</w:t>
      </w:r>
    </w:p>
    <w:p w14:paraId="02C1BCCF"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The central aspect of the preliminary issue to which the parties' attention had been directed was whether this Court had jurisdiction to entertain the appeal in circumstances in which the Crown accepted that the Court of Criminal Appeal was correct, albeit not for the reasons it gave, to order a retrial. It is basic, and fundamental, that appeals are brought from orders and not from reasons.</w:t>
      </w:r>
      <w:r w:rsidRPr="005017E4">
        <w:rPr>
          <w:rStyle w:val="FootnoteReference"/>
          <w:rFonts w:ascii="Times New Roman" w:hAnsi="Times New Roman"/>
          <w:sz w:val="24"/>
        </w:rPr>
        <w:footnoteReference w:id="18"/>
      </w:r>
      <w:r w:rsidRPr="005017E4">
        <w:rPr>
          <w:rFonts w:ascii="Times New Roman" w:hAnsi="Times New Roman"/>
        </w:rPr>
        <w:t xml:space="preserve"> The reference in s 73 of the </w:t>
      </w:r>
      <w:r w:rsidRPr="005017E4">
        <w:rPr>
          <w:rFonts w:ascii="Times New Roman" w:hAnsi="Times New Roman"/>
          <w:i/>
          <w:iCs/>
        </w:rPr>
        <w:t xml:space="preserve">Constitution </w:t>
      </w:r>
      <w:r w:rsidRPr="005017E4">
        <w:rPr>
          <w:rFonts w:ascii="Times New Roman" w:hAnsi="Times New Roman"/>
        </w:rPr>
        <w:t>to "judgments" is to final orders, not reasons.</w:t>
      </w:r>
      <w:r w:rsidRPr="005017E4">
        <w:rPr>
          <w:rStyle w:val="FootnoteReference"/>
          <w:rFonts w:ascii="Times New Roman" w:hAnsi="Times New Roman"/>
          <w:sz w:val="24"/>
        </w:rPr>
        <w:footnoteReference w:id="19"/>
      </w:r>
      <w:r w:rsidRPr="005017E4">
        <w:rPr>
          <w:rFonts w:ascii="Times New Roman" w:hAnsi="Times New Roman"/>
        </w:rPr>
        <w:t xml:space="preserve"> In this appeal, however, the proposed orders sought by the Crown were a substantive variation of the orders of the Court of Criminal Appeal. The proposed orders did not seek to appeal from reasons. The Director of Public Prosecutions was therefore correct in her powerful submission that this Court had jurisdiction to make the orders proposed by the Crown.</w:t>
      </w:r>
    </w:p>
    <w:p w14:paraId="5D74F3D1"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This conclusion would have been very easy to reach if the orders made by the Court of Criminal Appeal had incorporated a direction or condition that a retrial be conducted according to the reasons that the Court of Criminal Appeal had delivered. In such circumstances, an appeal would obviously lie to alter the terms of that direction or condition. Although the reasons for a decision are rarely incorporated into the orders of a court in this way (because the ratio decidendi of a decision binds lower courts of its own force), orders to this effect can be made. In the criminal context, in </w:t>
      </w:r>
      <w:r w:rsidRPr="005017E4">
        <w:rPr>
          <w:rFonts w:ascii="Times New Roman" w:hAnsi="Times New Roman"/>
          <w:i/>
          <w:iCs/>
        </w:rPr>
        <w:t>Cook (a pseudonym) v The King</w:t>
      </w:r>
      <w:r w:rsidRPr="005017E4">
        <w:rPr>
          <w:rFonts w:ascii="Times New Roman" w:hAnsi="Times New Roman"/>
        </w:rPr>
        <w:t>,</w:t>
      </w:r>
      <w:r w:rsidRPr="005017E4">
        <w:rPr>
          <w:rStyle w:val="FootnoteReference"/>
          <w:rFonts w:ascii="Times New Roman" w:hAnsi="Times New Roman"/>
          <w:sz w:val="24"/>
        </w:rPr>
        <w:footnoteReference w:id="20"/>
      </w:r>
      <w:r w:rsidRPr="005017E4">
        <w:rPr>
          <w:rFonts w:ascii="Times New Roman" w:hAnsi="Times New Roman"/>
        </w:rPr>
        <w:t xml:space="preserve"> the majority in the Court of Criminal Appeal made an order that the appeal be allowed "on the basis of ground 1". The inclusion of those words was described by a majority of this </w:t>
      </w:r>
      <w:r w:rsidRPr="005017E4">
        <w:rPr>
          <w:rFonts w:ascii="Times New Roman" w:hAnsi="Times New Roman"/>
        </w:rPr>
        <w:lastRenderedPageBreak/>
        <w:t>Court as being, in effect, "a declaration"</w:t>
      </w:r>
      <w:r w:rsidRPr="005017E4">
        <w:rPr>
          <w:rStyle w:val="FootnoteReference"/>
          <w:rFonts w:ascii="Times New Roman" w:hAnsi="Times New Roman"/>
          <w:sz w:val="24"/>
        </w:rPr>
        <w:footnoteReference w:id="21"/>
      </w:r>
      <w:r w:rsidRPr="005017E4">
        <w:rPr>
          <w:rFonts w:ascii="Times New Roman" w:hAnsi="Times New Roman"/>
        </w:rPr>
        <w:t xml:space="preserve"> (perhaps, more accurately, an implied condition upon the remittal for retrial requiring compliance with the reasons). In the civil context, in </w:t>
      </w:r>
      <w:r w:rsidRPr="005017E4">
        <w:rPr>
          <w:rFonts w:ascii="Times New Roman" w:hAnsi="Times New Roman"/>
          <w:i/>
          <w:iCs/>
        </w:rPr>
        <w:t>North Sydney Council v Ligon</w:t>
      </w:r>
      <w:r w:rsidRPr="005017E4">
        <w:rPr>
          <w:rFonts w:ascii="Times New Roman" w:hAnsi="Times New Roman"/>
        </w:rPr>
        <w:t xml:space="preserve"> </w:t>
      </w:r>
      <w:r w:rsidRPr="005017E4">
        <w:rPr>
          <w:rFonts w:ascii="Times New Roman" w:hAnsi="Times New Roman"/>
          <w:i/>
          <w:iCs/>
        </w:rPr>
        <w:t>302 Pty Ltd</w:t>
      </w:r>
      <w:r w:rsidRPr="005017E4">
        <w:rPr>
          <w:rFonts w:ascii="Times New Roman" w:hAnsi="Times New Roman"/>
        </w:rPr>
        <w:t>,</w:t>
      </w:r>
      <w:r w:rsidRPr="005017E4">
        <w:rPr>
          <w:rStyle w:val="FootnoteReference"/>
          <w:rFonts w:ascii="Times New Roman" w:hAnsi="Times New Roman"/>
          <w:sz w:val="24"/>
        </w:rPr>
        <w:footnoteReference w:id="22"/>
      </w:r>
      <w:r w:rsidRPr="005017E4">
        <w:rPr>
          <w:rFonts w:ascii="Times New Roman" w:hAnsi="Times New Roman"/>
        </w:rPr>
        <w:t xml:space="preserve"> this Court made orders varying the orders of the Court of Appeal of the Supreme Court of New South Wales to remit the matter for determination "in accordance with the decision of the High Court of Australia", varying the order below that the determination be made "in accordance with the decision of [the Court of Appeal]".</w:t>
      </w:r>
      <w:r w:rsidRPr="005017E4">
        <w:rPr>
          <w:rStyle w:val="FootnoteReference"/>
          <w:rFonts w:ascii="Times New Roman" w:hAnsi="Times New Roman"/>
          <w:sz w:val="24"/>
        </w:rPr>
        <w:footnoteReference w:id="23"/>
      </w:r>
      <w:r w:rsidRPr="005017E4">
        <w:rPr>
          <w:rFonts w:ascii="Times New Roman" w:hAnsi="Times New Roman"/>
        </w:rPr>
        <w:t xml:space="preserve"> </w:t>
      </w:r>
    </w:p>
    <w:p w14:paraId="6ABA6F9E"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The Court of Criminal Appeal in the present case did not incorporate any of its reasons into its orders, which are set out, in part, above. But, in this Court, the Crown nevertheless sought to vary the orders made by the Court of Criminal Appeal. The effect of the variation sought by the Crown's proposed amended notice of appeal in this Court, together with the orders that the Crown foreshadowed seeking on any remitter to the Court of Criminal Appeal, was to include a new express or implied condition upon the ultimate order for retrial to the same effect as the implied condition imposed by this Court in </w:t>
      </w:r>
      <w:r w:rsidRPr="005017E4">
        <w:rPr>
          <w:rFonts w:ascii="Times New Roman" w:hAnsi="Times New Roman"/>
          <w:i/>
          <w:iCs/>
        </w:rPr>
        <w:t xml:space="preserve">Cook </w:t>
      </w:r>
      <w:r w:rsidRPr="005017E4">
        <w:rPr>
          <w:rFonts w:ascii="Times New Roman" w:hAnsi="Times New Roman"/>
        </w:rPr>
        <w:t xml:space="preserve">by reference to the grounds of appeal. A variation of orders in this way is most unusual but it is within the jurisdiction of this Court. </w:t>
      </w:r>
    </w:p>
    <w:p w14:paraId="0D58F750"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A comparable example is the decision of the Full Court of this Court in </w:t>
      </w:r>
      <w:r w:rsidRPr="005017E4">
        <w:rPr>
          <w:rFonts w:ascii="Times New Roman" w:hAnsi="Times New Roman"/>
          <w:i/>
          <w:iCs/>
        </w:rPr>
        <w:t>Driclad Pty Ltd v Federal Commissioner of Taxation</w:t>
      </w:r>
      <w:r w:rsidRPr="005017E4">
        <w:rPr>
          <w:rFonts w:ascii="Times New Roman" w:hAnsi="Times New Roman"/>
        </w:rPr>
        <w:t>,</w:t>
      </w:r>
      <w:r w:rsidRPr="005017E4">
        <w:rPr>
          <w:rStyle w:val="FootnoteReference"/>
          <w:rFonts w:ascii="Times New Roman" w:hAnsi="Times New Roman"/>
          <w:sz w:val="24"/>
        </w:rPr>
        <w:footnoteReference w:id="24"/>
      </w:r>
      <w:r w:rsidRPr="005017E4">
        <w:rPr>
          <w:rFonts w:ascii="Times New Roman" w:hAnsi="Times New Roman"/>
        </w:rPr>
        <w:t xml:space="preserve"> upon which the Crown relied. That case involved appeals from decisions of Taylor J, sitting as a single Justice of this Court. Exercising the original jurisdiction of this Court,</w:t>
      </w:r>
      <w:r w:rsidRPr="005017E4">
        <w:rPr>
          <w:rStyle w:val="FootnoteReference"/>
          <w:rFonts w:ascii="Times New Roman" w:hAnsi="Times New Roman"/>
          <w:sz w:val="24"/>
        </w:rPr>
        <w:footnoteReference w:id="25"/>
      </w:r>
      <w:r w:rsidRPr="005017E4">
        <w:rPr>
          <w:rFonts w:ascii="Times New Roman" w:hAnsi="Times New Roman"/>
        </w:rPr>
        <w:t xml:space="preserve"> his Honour made orders as follows in each matter: "Appeals allowed with costs. Assessments set aside."</w:t>
      </w:r>
      <w:r w:rsidRPr="005017E4">
        <w:rPr>
          <w:rStyle w:val="FootnoteReference"/>
          <w:rFonts w:ascii="Times New Roman" w:hAnsi="Times New Roman"/>
          <w:sz w:val="24"/>
        </w:rPr>
        <w:footnoteReference w:id="26"/>
      </w:r>
      <w:r w:rsidRPr="005017E4">
        <w:rPr>
          <w:rFonts w:ascii="Times New Roman" w:hAnsi="Times New Roman"/>
        </w:rPr>
        <w:t xml:space="preserve"> The orders did not incorporate his Honour's reasons. Despite appearing to "have succeeded completely" on the face of the orders, the taxpayers appealed to the Full Court.</w:t>
      </w:r>
      <w:r w:rsidRPr="005017E4">
        <w:rPr>
          <w:rStyle w:val="FootnoteReference"/>
          <w:rFonts w:ascii="Times New Roman" w:hAnsi="Times New Roman"/>
          <w:sz w:val="24"/>
        </w:rPr>
        <w:footnoteReference w:id="27"/>
      </w:r>
      <w:r w:rsidRPr="005017E4">
        <w:rPr>
          <w:rFonts w:ascii="Times New Roman" w:hAnsi="Times New Roman"/>
        </w:rPr>
        <w:t xml:space="preserve"> During the appeals, members of the Full Court expressed concern about whether this Court had jurisdiction to hear the appeals. Kitto J remarked that the taxpayers had "had 100% success ... in point of formal order. It </w:t>
      </w:r>
      <w:r w:rsidRPr="005017E4">
        <w:rPr>
          <w:rFonts w:ascii="Times New Roman" w:hAnsi="Times New Roman"/>
        </w:rPr>
        <w:lastRenderedPageBreak/>
        <w:t>is that that you appeal against, you do not appeal against reasons."</w:t>
      </w:r>
      <w:r w:rsidRPr="005017E4">
        <w:rPr>
          <w:rStyle w:val="FootnoteReference"/>
          <w:rFonts w:ascii="Times New Roman" w:hAnsi="Times New Roman"/>
          <w:sz w:val="24"/>
        </w:rPr>
        <w:footnoteReference w:id="28"/>
      </w:r>
      <w:r w:rsidRPr="005017E4">
        <w:rPr>
          <w:rFonts w:ascii="Times New Roman" w:hAnsi="Times New Roman"/>
        </w:rPr>
        <w:t xml:space="preserve"> But</w:t>
      </w:r>
      <w:r w:rsidRPr="005017E4" w:rsidDel="005417BB">
        <w:rPr>
          <w:rFonts w:ascii="Times New Roman" w:hAnsi="Times New Roman"/>
        </w:rPr>
        <w:t xml:space="preserve"> </w:t>
      </w:r>
      <w:r w:rsidRPr="005017E4">
        <w:rPr>
          <w:rFonts w:ascii="Times New Roman" w:hAnsi="Times New Roman"/>
        </w:rPr>
        <w:t xml:space="preserve">the Full Court ultimately accepted that it had jurisdiction under s 73 of the </w:t>
      </w:r>
      <w:r w:rsidRPr="005017E4">
        <w:rPr>
          <w:rFonts w:ascii="Times New Roman" w:hAnsi="Times New Roman"/>
          <w:i/>
          <w:iCs/>
        </w:rPr>
        <w:t xml:space="preserve">Constitution </w:t>
      </w:r>
      <w:r w:rsidRPr="005017E4">
        <w:rPr>
          <w:rFonts w:ascii="Times New Roman" w:hAnsi="Times New Roman"/>
        </w:rPr>
        <w:t>because "the orders were nevertheless open to the objection on the part of the taxpayers that the Commissioner was left at liberty, as his Honour intended [the Commissioner] should be, to make fresh assessments" on the basis of the reasons.</w:t>
      </w:r>
      <w:r w:rsidRPr="005017E4">
        <w:rPr>
          <w:rStyle w:val="FootnoteReference"/>
          <w:rFonts w:ascii="Times New Roman" w:hAnsi="Times New Roman"/>
          <w:sz w:val="24"/>
        </w:rPr>
        <w:footnoteReference w:id="29"/>
      </w:r>
      <w:r w:rsidRPr="005017E4">
        <w:rPr>
          <w:rFonts w:ascii="Times New Roman" w:hAnsi="Times New Roman"/>
        </w:rPr>
        <w:t xml:space="preserve"> The orders made by the Full Court were "moulded as to bind the Commissioner".</w:t>
      </w:r>
      <w:r w:rsidRPr="005017E4">
        <w:rPr>
          <w:rFonts w:ascii="Times New Roman" w:hAnsi="Times New Roman"/>
          <w:b/>
          <w:sz w:val="24"/>
          <w:vertAlign w:val="superscript"/>
        </w:rPr>
        <w:footnoteReference w:id="30"/>
      </w:r>
      <w:r w:rsidRPr="005017E4">
        <w:rPr>
          <w:rFonts w:ascii="Times New Roman" w:hAnsi="Times New Roman"/>
        </w:rPr>
        <w:t xml:space="preserve"> The orders of Taylor J were varied by this Court making declarations and, in some of the matters, remittals to the Commissioner on a condition as to how the assessments were to be treated.</w:t>
      </w:r>
      <w:r w:rsidRPr="005017E4" w:rsidDel="009544F9">
        <w:rPr>
          <w:rStyle w:val="FootnoteReference"/>
          <w:rFonts w:ascii="Times New Roman" w:hAnsi="Times New Roman"/>
          <w:sz w:val="24"/>
        </w:rPr>
        <w:footnoteReference w:id="31"/>
      </w:r>
      <w:r w:rsidRPr="005017E4" w:rsidDel="009544F9">
        <w:rPr>
          <w:rFonts w:ascii="Times New Roman" w:hAnsi="Times New Roman"/>
        </w:rPr>
        <w:t xml:space="preserve"> </w:t>
      </w:r>
    </w:p>
    <w:p w14:paraId="291475A8"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This Court had jurisdiction to determine the Crown's appeal.</w:t>
      </w:r>
    </w:p>
    <w:p w14:paraId="10F26D59" w14:textId="77777777" w:rsidR="006C6AA0" w:rsidRPr="005017E4" w:rsidRDefault="006C6AA0" w:rsidP="005017E4">
      <w:pPr>
        <w:pStyle w:val="HeadingL1"/>
        <w:spacing w:after="260" w:line="280" w:lineRule="exact"/>
        <w:ind w:right="0"/>
        <w:jc w:val="both"/>
        <w:rPr>
          <w:rFonts w:ascii="Times New Roman" w:hAnsi="Times New Roman"/>
        </w:rPr>
      </w:pPr>
      <w:r w:rsidRPr="005017E4">
        <w:rPr>
          <w:rFonts w:ascii="Times New Roman" w:hAnsi="Times New Roman"/>
        </w:rPr>
        <w:t>Appropriate vehicle for special leave</w:t>
      </w:r>
    </w:p>
    <w:p w14:paraId="3F59B577" w14:textId="77777777" w:rsidR="006C6AA0" w:rsidRPr="005017E4" w:rsidRDefault="006C6AA0" w:rsidP="005017E4">
      <w:pPr>
        <w:pStyle w:val="HeadingL2"/>
        <w:spacing w:after="260" w:line="280" w:lineRule="exact"/>
        <w:ind w:right="0"/>
        <w:jc w:val="both"/>
        <w:rPr>
          <w:rFonts w:ascii="Times New Roman" w:hAnsi="Times New Roman"/>
        </w:rPr>
      </w:pPr>
      <w:r w:rsidRPr="005017E4">
        <w:rPr>
          <w:rFonts w:ascii="Times New Roman" w:hAnsi="Times New Roman"/>
        </w:rPr>
        <w:t>Relevant considerations</w:t>
      </w:r>
    </w:p>
    <w:p w14:paraId="6F9370AB"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The considerations for the grant of special leave are set out in s 35A of the </w:t>
      </w:r>
      <w:r w:rsidRPr="005017E4">
        <w:rPr>
          <w:rFonts w:ascii="Times New Roman" w:hAnsi="Times New Roman"/>
          <w:i/>
          <w:iCs/>
        </w:rPr>
        <w:t xml:space="preserve">Judiciary Act 1903 </w:t>
      </w:r>
      <w:r w:rsidRPr="005017E4">
        <w:rPr>
          <w:rFonts w:ascii="Times New Roman" w:hAnsi="Times New Roman"/>
        </w:rPr>
        <w:t>(Cth). In addition to any matters that the Court considers relevant, the specifically mentioned considerations are: (i) whether the application for special leave involves a question of law that is of "public importance" or in relation to which this Court's decision is necessary to resolve differences of judicial opinion as to the state of the law; and (ii) whether this Court's consideration of the impugned judgment is required in the "interests of the administration of justice", either in the particular case in which the application is made or generally.</w:t>
      </w:r>
    </w:p>
    <w:p w14:paraId="0656332E"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Special leave considerations divide broadly into two dimensions. The first dimension relates to the potential extent of the error. The second dimension concerns the legal and practical consequences of the decision. In unusual cases, a potential error will have no consequences beyond those for the parties themselves, but the consequences of such error are so significant for the parties that the Court will "visit" the case on that basis alone. This visitational jurisdiction is largely confined to cases where liberty, bodily integrity, potential financial ruin, or reputation are at stake.</w:t>
      </w:r>
      <w:r w:rsidRPr="005017E4">
        <w:rPr>
          <w:rStyle w:val="FootnoteReference"/>
          <w:rFonts w:ascii="Times New Roman" w:hAnsi="Times New Roman"/>
          <w:sz w:val="24"/>
        </w:rPr>
        <w:footnoteReference w:id="32"/>
      </w:r>
      <w:r w:rsidRPr="005017E4">
        <w:rPr>
          <w:rFonts w:ascii="Times New Roman" w:hAnsi="Times New Roman"/>
        </w:rPr>
        <w:t xml:space="preserve"> On the other hand, the legal and practical consequences </w:t>
      </w:r>
      <w:r w:rsidRPr="005017E4">
        <w:rPr>
          <w:rFonts w:ascii="Times New Roman" w:hAnsi="Times New Roman"/>
        </w:rPr>
        <w:lastRenderedPageBreak/>
        <w:t xml:space="preserve">of a decision, especially where there are differences of opinion between courts, might be sufficient to warrant a grant of special leave to appeal even if this Court considers it unlikely that the decision from which the appeal is brought is in error. </w:t>
      </w:r>
    </w:p>
    <w:p w14:paraId="33F62448"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The factors in considering the revocation of special leave on the basis that the case is an inappropriate vehicle are the converse of those for the grant of special leave. Nevertheless, there is a strong gravitational pull against revocation in circumstances in which special leave has already been granted and the appeal is ready to be presented. Revocation will almost always require a very significant change in circumstances that removes one of the foundational reasons for the grant of special leave.</w:t>
      </w:r>
    </w:p>
    <w:p w14:paraId="04DABD52" w14:textId="77777777" w:rsidR="006C6AA0" w:rsidRPr="005017E4" w:rsidRDefault="006C6AA0" w:rsidP="005017E4">
      <w:pPr>
        <w:pStyle w:val="HeadingL2"/>
        <w:spacing w:after="260" w:line="280" w:lineRule="exact"/>
        <w:ind w:right="0"/>
        <w:jc w:val="both"/>
        <w:rPr>
          <w:rFonts w:ascii="Times New Roman" w:hAnsi="Times New Roman"/>
        </w:rPr>
      </w:pPr>
      <w:r w:rsidRPr="005017E4">
        <w:rPr>
          <w:rFonts w:ascii="Times New Roman" w:hAnsi="Times New Roman"/>
        </w:rPr>
        <w:t>Application of the considerations in this case</w:t>
      </w:r>
    </w:p>
    <w:p w14:paraId="569D9A20"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There is no doubt that the shape of this appeal changed with the shift in the Crown's position concerning the content of the relevant aspect of the mental element required for a putative offence of being an accessory before the fact to constructive murder. In one respect, this change had the potential for significant disruption to the orderly process of appeal. That potential for disruption arose from the submission, and proposed order, by the Crown that this Court remit the matter to the Court of Criminal Appeal. </w:t>
      </w:r>
    </w:p>
    <w:p w14:paraId="772EA553"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The remitter was thought by the Crown to be necessary to determine whether the relevant aspect of the mental element for being an accessory before the fact to constructive</w:t>
      </w:r>
      <w:r w:rsidRPr="005017E4">
        <w:rPr>
          <w:rFonts w:ascii="Times New Roman" w:hAnsi="Times New Roman"/>
          <w:i/>
          <w:iCs/>
        </w:rPr>
        <w:t xml:space="preserve"> </w:t>
      </w:r>
      <w:r w:rsidRPr="005017E4">
        <w:rPr>
          <w:rFonts w:ascii="Times New Roman" w:hAnsi="Times New Roman"/>
        </w:rPr>
        <w:t xml:space="preserve">murder, as properly formulated by this Court, would have the effect that the direction of the trial judge gave rise to a miscarriage of justice. The Crown considered that the necessity for that determination would arise if this Court accepted the existence of the offence of accessorial liability for constructive murder but formulated the relevant aspect of the mental element for that liability in terms that were the same as, or similar to, the expression used by the trial judge. In such circumstances there might have been no misdirection or no material misdirection by the trial judge. </w:t>
      </w:r>
    </w:p>
    <w:p w14:paraId="538949FA"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That approach to remitter has the potential for there to be as many as four appeals and two applications for special leave before Mr Batak could be retried. But this potential for disruption could be avoided if, in circumstances where this Court did conclude that the offence of accessorial liability for constructive murder exists in New South Wales, this Court proceeded to consider whether, on the basis of the relevant aspect of the mental element formulated by this Court, the trial judge had misdirected the jury in a material way.</w:t>
      </w:r>
      <w:r w:rsidRPr="005017E4">
        <w:rPr>
          <w:rStyle w:val="FootnoteReference"/>
          <w:rFonts w:ascii="Times New Roman" w:hAnsi="Times New Roman"/>
          <w:sz w:val="24"/>
        </w:rPr>
        <w:footnoteReference w:id="33"/>
      </w:r>
      <w:r w:rsidRPr="005017E4">
        <w:rPr>
          <w:rFonts w:ascii="Times New Roman" w:hAnsi="Times New Roman"/>
        </w:rPr>
        <w:t xml:space="preserve"> This Court could raise the issue of the materiality of any misdirection based upon a different mental element from that proposed by the Crown at the hearing of the appeal and deal with that issue in this Court's reasons. Even if the parties were not prepared to make submissions as </w:t>
      </w:r>
      <w:r w:rsidRPr="005017E4">
        <w:rPr>
          <w:rFonts w:ascii="Times New Roman" w:hAnsi="Times New Roman"/>
        </w:rPr>
        <w:lastRenderedPageBreak/>
        <w:t>to the materiality of a misdirection on some different mental element, it would have been open to the Court to invite the parties to provide further written or oral submissions on the question at a time after the hearing.</w:t>
      </w:r>
    </w:p>
    <w:p w14:paraId="54E7DA27"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Ultimately, therefore, little weight should be placed on the proposed remitter when considering whether special leave should be revoked due to the change in the Crown case concerning the relevant aspect of the mental element for the putative offence of being an accessory before the fact to constructive murder. Instead, the more relevant factors in favour of revocation are the lack of developed submissions on this issue and the lack of reasons in the Court of Criminal Appeal concerning that aspect of the mental element now put by the Crown.</w:t>
      </w:r>
    </w:p>
    <w:p w14:paraId="5DA8FE4E"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Moreover, there might be doubt about the effect of this appeal on the outcome of any future trial. As explained above, the Court of Criminal Appeal ordered that the matter be remitted for retrial, and left open for the Crown to put its case on the basis of joint criminal enterprise.</w:t>
      </w:r>
      <w:r w:rsidRPr="005017E4">
        <w:rPr>
          <w:rStyle w:val="FootnoteReference"/>
          <w:rFonts w:ascii="Times New Roman" w:hAnsi="Times New Roman"/>
          <w:sz w:val="24"/>
        </w:rPr>
        <w:footnoteReference w:id="34"/>
      </w:r>
      <w:r w:rsidRPr="005017E4">
        <w:rPr>
          <w:rFonts w:ascii="Times New Roman" w:hAnsi="Times New Roman"/>
        </w:rPr>
        <w:t xml:space="preserve"> On the facts of this case, it might be thought that there are very few realistic ways in which a jury could conclude that Mr Batak was an accessory before the fact to constructive murder, at least with the relevant aspect of the mental element as advanced by the Crown, but not conclude that Mr Batak was part of a joint criminal enterprise. </w:t>
      </w:r>
    </w:p>
    <w:p w14:paraId="3730E502"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On the other hand, there are a number of factors that weigh heavily against revoking special leave to appeal. First, the extent of the difference between the Crown's two formulations of the relevant aspect of the mental element before the Court of Criminal Appeal and before this Court, while not immaterial and potentially capable of leading to different results depending on the circumstances of the case at hand, might have been raised in any event by this Court during an appeal conducted by the Crown even if the Crown had not changed its case. </w:t>
      </w:r>
    </w:p>
    <w:p w14:paraId="69CE3C11"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Secondly, there is considerable importance to the underlying issue of whether there is an offence known to the law of New South Wales of being an accessory before the fact to the offence of constructive murder. The same issue arises at common law generally.</w:t>
      </w:r>
      <w:r w:rsidRPr="005017E4">
        <w:rPr>
          <w:rStyle w:val="FootnoteReference"/>
          <w:rFonts w:ascii="Times New Roman" w:hAnsi="Times New Roman"/>
          <w:sz w:val="24"/>
        </w:rPr>
        <w:footnoteReference w:id="35"/>
      </w:r>
      <w:r w:rsidRPr="005017E4">
        <w:rPr>
          <w:rFonts w:ascii="Times New Roman" w:hAnsi="Times New Roman"/>
        </w:rPr>
        <w:t xml:space="preserve"> </w:t>
      </w:r>
    </w:p>
    <w:p w14:paraId="27E336D0"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Thirdly, the revocation of special leave makes it difficult for this issue to be raised again before this Court, at least in the simple appeal process by which the present appeal raised the issue. As the majority point out, there are possible </w:t>
      </w:r>
      <w:r w:rsidRPr="005017E4">
        <w:rPr>
          <w:rFonts w:ascii="Times New Roman" w:hAnsi="Times New Roman"/>
        </w:rPr>
        <w:lastRenderedPageBreak/>
        <w:t>avenues for the issue to be brought before this Court again.</w:t>
      </w:r>
      <w:r w:rsidRPr="005017E4">
        <w:rPr>
          <w:rStyle w:val="FootnoteReference"/>
          <w:rFonts w:ascii="Times New Roman" w:hAnsi="Times New Roman"/>
          <w:sz w:val="24"/>
        </w:rPr>
        <w:footnoteReference w:id="36"/>
      </w:r>
      <w:r w:rsidRPr="005017E4">
        <w:rPr>
          <w:rFonts w:ascii="Times New Roman" w:hAnsi="Times New Roman"/>
        </w:rPr>
        <w:t xml:space="preserve"> However, these avenues are not straightforward and could require the pursuit of a contrived process by the Crown which, at least if the issue arose in New South Wales, might involve a potentially futile hearing simply for the prospect of seeking special leave in this Court, solely in order to reagitate an issue which was already the subject of detailed submissions before this Court. </w:t>
      </w:r>
    </w:p>
    <w:p w14:paraId="52BA8CD9" w14:textId="77777777" w:rsidR="006C6AA0" w:rsidRPr="005017E4" w:rsidRDefault="006C6AA0" w:rsidP="005017E4">
      <w:pPr>
        <w:pStyle w:val="FixListStyle"/>
        <w:spacing w:after="260" w:line="280" w:lineRule="exact"/>
        <w:ind w:right="0"/>
        <w:jc w:val="both"/>
        <w:rPr>
          <w:rFonts w:ascii="Times New Roman" w:hAnsi="Times New Roman"/>
        </w:rPr>
      </w:pPr>
      <w:r w:rsidRPr="005017E4">
        <w:rPr>
          <w:rFonts w:ascii="Times New Roman" w:hAnsi="Times New Roman"/>
        </w:rPr>
        <w:tab/>
        <w:t xml:space="preserve">In my view, these three factors outweighed the factors in favour of revocation of the grant of special leave to appeal.  </w:t>
      </w:r>
    </w:p>
    <w:p w14:paraId="59BA3F04" w14:textId="77777777" w:rsidR="006C6AA0" w:rsidRPr="005017E4" w:rsidRDefault="006C6AA0" w:rsidP="005017E4">
      <w:pPr>
        <w:pStyle w:val="HeadingL1"/>
        <w:spacing w:after="260" w:line="280" w:lineRule="exact"/>
        <w:ind w:right="0"/>
        <w:jc w:val="both"/>
        <w:rPr>
          <w:rFonts w:ascii="Times New Roman" w:hAnsi="Times New Roman"/>
        </w:rPr>
      </w:pPr>
      <w:r w:rsidRPr="005017E4">
        <w:rPr>
          <w:rFonts w:ascii="Times New Roman" w:hAnsi="Times New Roman"/>
        </w:rPr>
        <w:t>Conclusion</w:t>
      </w:r>
    </w:p>
    <w:p w14:paraId="3E9DA423" w14:textId="77777777" w:rsidR="006C6AA0" w:rsidRDefault="006C6AA0" w:rsidP="006C6AA0">
      <w:pPr>
        <w:pStyle w:val="FixListStyle"/>
        <w:spacing w:after="260" w:line="280" w:lineRule="exact"/>
        <w:ind w:right="0"/>
        <w:jc w:val="both"/>
        <w:rPr>
          <w:rFonts w:ascii="Times New Roman" w:hAnsi="Times New Roman"/>
        </w:rPr>
      </w:pPr>
      <w:r w:rsidRPr="005017E4">
        <w:rPr>
          <w:rFonts w:ascii="Times New Roman" w:hAnsi="Times New Roman"/>
        </w:rPr>
        <w:tab/>
        <w:t xml:space="preserve">For these reasons, I would not have revoked special leave to appeal. </w:t>
      </w:r>
    </w:p>
    <w:p w14:paraId="40AE9B9F" w14:textId="77777777" w:rsidR="006C6AA0" w:rsidRDefault="006C6AA0" w:rsidP="006C6AA0">
      <w:pPr>
        <w:pStyle w:val="FixListStyle"/>
        <w:spacing w:after="260" w:line="280" w:lineRule="exact"/>
        <w:ind w:right="0"/>
        <w:jc w:val="both"/>
        <w:rPr>
          <w:rFonts w:ascii="Times New Roman" w:hAnsi="Times New Roman"/>
        </w:rPr>
        <w:sectPr w:rsidR="006C6AA0" w:rsidSect="006C6AA0">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FC84ACB" w14:textId="77777777" w:rsidR="006C6AA0" w:rsidRPr="0064682D" w:rsidRDefault="006C6AA0" w:rsidP="0064682D">
      <w:pPr>
        <w:pStyle w:val="FixListStyle"/>
        <w:tabs>
          <w:tab w:val="clear" w:pos="720"/>
          <w:tab w:val="left" w:pos="0"/>
        </w:tabs>
        <w:spacing w:after="260" w:line="280" w:lineRule="exact"/>
        <w:ind w:right="0"/>
        <w:jc w:val="both"/>
        <w:rPr>
          <w:rFonts w:ascii="Times New Roman" w:hAnsi="Times New Roman"/>
        </w:rPr>
      </w:pPr>
      <w:r w:rsidRPr="0064682D">
        <w:rPr>
          <w:rFonts w:ascii="Times New Roman" w:hAnsi="Times New Roman"/>
        </w:rPr>
        <w:lastRenderedPageBreak/>
        <w:t>JAGOT J.   These reasons for judgment explain why I considered that special leave to appeal in this matter should not have been revoked. I provide these reasons on the basis that the circumstances in which this question arose are identified in the reasons for judgment of the majority.</w:t>
      </w:r>
    </w:p>
    <w:p w14:paraId="01EA3081"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There is no doubt that the appeal was competent. The Crown was correct in its submissions that the effect of orders 3 and 5 made by the New South Wales Court of Criminal Appeal ("[u]phold the appeal with respect to count 1 on the indictment" and "[a] retrial is [sic] on count 1 is to be had") is that the retrial is to be confined to the offence which the Court of Criminal Appeal held to be known to the law and potentially applicable (constructive murder by joint criminal enterprise) and is not to extend to a retrial on the offence which the Court of Criminal Appeal held to be not known to the law (accessory before the fact to constructive murder). The Crown was not attempting to appeal against the mere reasons of the Court of Criminal Appeal or seeking judicial advice on the conduct of the retrial. It was appealing against the substantive effect of orders 3 and 5 of the Court of Criminal Appeal, which the Crown contended would erroneously confine the retrial to one based on constructive murder by joint criminal enterprise. Such an appeal was competent.</w:t>
      </w:r>
      <w:r w:rsidRPr="0064682D">
        <w:rPr>
          <w:rStyle w:val="FootnoteReference"/>
          <w:rFonts w:ascii="Times New Roman" w:hAnsi="Times New Roman"/>
          <w:sz w:val="24"/>
        </w:rPr>
        <w:footnoteReference w:id="37"/>
      </w:r>
    </w:p>
    <w:p w14:paraId="105387C7"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In my view it remained in the interests of justice for this Court to hear and decide the appeal.</w:t>
      </w:r>
    </w:p>
    <w:p w14:paraId="6F8C98A3"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First, the substance of the reasons that the Court of Criminal Appeal ordered that there should be a retrial rather than an acquittal of the respondent on count 1 (the murder charge) was relevant to the discretion whether to revoke special leave or not. The Court of Criminal Appeal ordered a retrial on the basis that: (a) "[t]he charge of murder – even for someone not present at the scene – is a very serious one. There is a substantial public interest in a person charged with such an offence being tried before a properly directed jury";</w:t>
      </w:r>
      <w:r w:rsidRPr="0064682D">
        <w:rPr>
          <w:rStyle w:val="FootnoteReference"/>
          <w:rFonts w:ascii="Times New Roman" w:hAnsi="Times New Roman"/>
          <w:sz w:val="24"/>
        </w:rPr>
        <w:footnoteReference w:id="38"/>
      </w:r>
      <w:r w:rsidRPr="0064682D">
        <w:rPr>
          <w:rFonts w:ascii="Times New Roman" w:hAnsi="Times New Roman"/>
        </w:rPr>
        <w:t xml:space="preserve"> (b) "[t]here appears to be a strong potential case against the [respondent] for murder based on [joint criminal enterprise]";</w:t>
      </w:r>
      <w:r w:rsidRPr="0064682D">
        <w:rPr>
          <w:rStyle w:val="FootnoteReference"/>
          <w:rFonts w:ascii="Times New Roman" w:hAnsi="Times New Roman"/>
          <w:sz w:val="24"/>
        </w:rPr>
        <w:footnoteReference w:id="39"/>
      </w:r>
      <w:r w:rsidRPr="0064682D">
        <w:rPr>
          <w:rFonts w:ascii="Times New Roman" w:hAnsi="Times New Roman"/>
        </w:rPr>
        <w:t xml:space="preserve"> (c) "[t]his is not a case where the [respondent] 'would be called upon to meet a quite different case to that presented against him at trial'";</w:t>
      </w:r>
      <w:r w:rsidRPr="0064682D">
        <w:rPr>
          <w:rStyle w:val="FootnoteReference"/>
          <w:rFonts w:ascii="Times New Roman" w:hAnsi="Times New Roman"/>
          <w:sz w:val="24"/>
        </w:rPr>
        <w:footnoteReference w:id="40"/>
      </w:r>
      <w:r w:rsidRPr="0064682D">
        <w:rPr>
          <w:rFonts w:ascii="Times New Roman" w:hAnsi="Times New Roman"/>
        </w:rPr>
        <w:t xml:space="preserve"> and (d) "[i]t is true that the Crown made a deliberate decision to confine its case to accessorial liability, disavowing reliance on [joint criminal enterprise]", but "what 'has </w:t>
      </w:r>
      <w:r w:rsidRPr="0064682D">
        <w:rPr>
          <w:rFonts w:ascii="Times New Roman" w:hAnsi="Times New Roman"/>
        </w:rPr>
        <w:lastRenderedPageBreak/>
        <w:t>happened may be regrettable and undesirable, but ... is not sinister'", "the legal issues raised in this case are difficult and fine ones", and this "is not a case where it can be said that the Crown should be fixed with the result of some forensic decision made with full knowledge of the consequences".</w:t>
      </w:r>
      <w:r w:rsidRPr="0064682D">
        <w:rPr>
          <w:rStyle w:val="FootnoteReference"/>
          <w:rFonts w:ascii="Times New Roman" w:hAnsi="Times New Roman"/>
          <w:sz w:val="24"/>
        </w:rPr>
        <w:footnoteReference w:id="41"/>
      </w:r>
      <w:r w:rsidRPr="0064682D">
        <w:rPr>
          <w:rFonts w:ascii="Times New Roman" w:hAnsi="Times New Roman"/>
        </w:rPr>
        <w:t xml:space="preserve"> </w:t>
      </w:r>
    </w:p>
    <w:p w14:paraId="7FC890A9"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 xml:space="preserve">Those same considerations continued to be relevant in respect of the Crown's appeal to this Court irrespective of the change in the Crown's position concerning the elements of the putative offence of accessory before the fact to constructive murder. They were relevant to "whether the interests of the administration of justice, either generally or in the particular case, require[d] consideration by the High Court of the judgment to which the application relates", as specified in s 35A(b) of the </w:t>
      </w:r>
      <w:r w:rsidRPr="0064682D">
        <w:rPr>
          <w:rFonts w:ascii="Times New Roman" w:hAnsi="Times New Roman"/>
          <w:i/>
          <w:iCs/>
        </w:rPr>
        <w:t>Judiciary Act 1903</w:t>
      </w:r>
      <w:r w:rsidRPr="0064682D">
        <w:rPr>
          <w:rFonts w:ascii="Times New Roman" w:hAnsi="Times New Roman"/>
        </w:rPr>
        <w:t xml:space="preserve"> (Cth). They also all weighed against the revocation of the grant of special leave. </w:t>
      </w:r>
    </w:p>
    <w:p w14:paraId="4C628F84"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Second, in the context of a final appeal to this Court, it is not uncommon for arguments to be refined, reframed or, in some cases, first made. While a party may be precluded from doing so on several bases, it is not the case that the inevitable fact of an order for remittal or retrial (as the case may be) involves this Court in giving "judicial advice" about the conduct of the hearing of the remitted matter or the retrial. That proposition overlooks the substantive effect of the Court of Criminal Appeal's orders, which confine the retrial to the basis of constructive murder by joint criminal enterprise. It also appears to apply to the Crown as appellant an unstated principle different from that which would ordinarily apply.</w:t>
      </w:r>
    </w:p>
    <w:p w14:paraId="7C2898FC"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 xml:space="preserve">Third, the question whether there is an offence known to law of accessory before the fact to constructive murder is important to the administration of justice in New South Wales and, most likely, in other States and Territories. That is, in accordance with s 35A(a)(i) of the </w:t>
      </w:r>
      <w:r w:rsidRPr="0064682D">
        <w:rPr>
          <w:rFonts w:ascii="Times New Roman" w:hAnsi="Times New Roman"/>
          <w:i/>
          <w:iCs/>
        </w:rPr>
        <w:t>Judiciary Act</w:t>
      </w:r>
      <w:r w:rsidRPr="0064682D">
        <w:rPr>
          <w:rFonts w:ascii="Times New Roman" w:hAnsi="Times New Roman"/>
        </w:rPr>
        <w:t>, the proceedings continued to involve a question of law "that [was] of public importance, whether because of its general application or otherwise". As the Court of Criminal Appeal recognised, there is a substantial public interest in a serious offence such as that alleged against the respondent going to trial before a properly instructed jury. If, as was the case here, there is going to be a retrial, the retrial should be on all proper bases, with the benefit of this Court having decided if there is an offence known to law of accessory before the fact to constructive murder as the Crown contended.</w:t>
      </w:r>
    </w:p>
    <w:p w14:paraId="3C81FA2D"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 xml:space="preserve">Fourth, the Court of Criminal Appeal having ordered a retrial, there was also no prejudice to the respondent in the retrial being conducted once only on all proper legal bases. The options potentially available to the Crown to bring the same question of law – is there an offence known to law of accessory before the fact to constructive murder and what are its elements – before this Court in this or another matter disclosed that to do so not only may be practically difficult but will expose </w:t>
      </w:r>
      <w:r w:rsidRPr="0064682D">
        <w:rPr>
          <w:rFonts w:ascii="Times New Roman" w:hAnsi="Times New Roman"/>
        </w:rPr>
        <w:lastRenderedPageBreak/>
        <w:t>the Crown, the respondent and the public interest to greater prejudice, cost and inconvenience than would have been worked by the hearing and determination of this appeal.</w:t>
      </w:r>
    </w:p>
    <w:p w14:paraId="61676949"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rPr>
        <w:tab/>
        <w:t>Fifth, the Crown's position in this Court that: (a) the elements it accepted to be necessary to constitute that offence did not accord with the directions the trial judge gave to the jury about the elements of that offence; and (b) it did not put those elements to the Court of Criminal Appeal, was unfortunate but in no way sinister. The Crown's reformulation of the elements reflected nothing more than its prosecutorial obligations in action together with the difficulty of the legal concepts involved, as the Court of Criminal Appeal recognised in ordering a retrial.</w:t>
      </w:r>
    </w:p>
    <w:p w14:paraId="573F06A9" w14:textId="77777777" w:rsidR="006C6AA0" w:rsidRPr="0064682D" w:rsidRDefault="006C6AA0" w:rsidP="0064682D">
      <w:pPr>
        <w:pStyle w:val="FixListStyle"/>
        <w:spacing w:after="260" w:line="280" w:lineRule="exact"/>
        <w:ind w:right="0"/>
        <w:jc w:val="both"/>
        <w:rPr>
          <w:rFonts w:ascii="Times New Roman" w:hAnsi="Times New Roman"/>
        </w:rPr>
      </w:pPr>
      <w:r w:rsidRPr="0064682D">
        <w:rPr>
          <w:rFonts w:ascii="Times New Roman" w:hAnsi="Times New Roman"/>
          <w:b/>
          <w:bCs/>
        </w:rPr>
        <w:tab/>
      </w:r>
      <w:r w:rsidRPr="0064682D">
        <w:rPr>
          <w:rFonts w:ascii="Times New Roman" w:hAnsi="Times New Roman"/>
        </w:rPr>
        <w:t>Sixth, the Crown was granted special leave because the question of law was of public importance. The parties had incurred all costs in connection with the hearing of the appeal and were ready to be heard on all issues including the effect of the Crown's reformulation of the elements of the putative offence. To require the Crown to contrive to bring the same important question of law before this Court by one or more of the means by which that course might be possible, when the parties were ready to have the question determined in this appeal, was more than unfortunate.</w:t>
      </w:r>
    </w:p>
    <w:p w14:paraId="20CD8F69" w14:textId="754D3BF8" w:rsidR="00696143" w:rsidRPr="00A85C22" w:rsidRDefault="006C6AA0" w:rsidP="00A85C22">
      <w:pPr>
        <w:pStyle w:val="FixListStyle"/>
        <w:spacing w:after="260" w:line="280" w:lineRule="exact"/>
        <w:ind w:right="0"/>
        <w:jc w:val="both"/>
        <w:rPr>
          <w:rFonts w:ascii="Times New Roman" w:hAnsi="Times New Roman"/>
        </w:rPr>
      </w:pPr>
      <w:r w:rsidRPr="0064682D">
        <w:rPr>
          <w:rFonts w:ascii="Times New Roman" w:hAnsi="Times New Roman"/>
        </w:rPr>
        <w:tab/>
        <w:t>For these reasons, in evaluating the interests of the administration of justice, I considered that the balance weighed firmly in favour of this Court hearing and determining the Crown's appeal, with whatever permutations to which that led in terms of orders to be worked out on a final basis once reasons for judgment were given, as is common in many cases.</w:t>
      </w:r>
    </w:p>
    <w:sectPr w:rsidR="00696143" w:rsidRPr="00A85C22" w:rsidSect="006C6AA0">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AAD0" w14:textId="77777777" w:rsidR="00BD50D8" w:rsidRDefault="00BD50D8">
      <w:pPr>
        <w:spacing w:line="240" w:lineRule="auto"/>
      </w:pPr>
      <w:r>
        <w:separator/>
      </w:r>
    </w:p>
  </w:endnote>
  <w:endnote w:type="continuationSeparator" w:id="0">
    <w:p w14:paraId="5329C72D" w14:textId="77777777" w:rsidR="00BD50D8" w:rsidRDefault="00BD50D8">
      <w:pPr>
        <w:spacing w:line="240" w:lineRule="auto"/>
      </w:pPr>
      <w:r>
        <w:continuationSeparator/>
      </w:r>
    </w:p>
  </w:endnote>
  <w:endnote w:type="continuationNotice" w:id="1">
    <w:p w14:paraId="75F08050" w14:textId="77777777" w:rsidR="00BD50D8" w:rsidRDefault="00BD50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006" w14:textId="77777777" w:rsidR="007B474E" w:rsidRDefault="007B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CF4B" w14:textId="77777777" w:rsidR="007B474E" w:rsidRDefault="007B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B703" w14:textId="77777777" w:rsidR="007B474E" w:rsidRDefault="007B4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85E" w14:textId="77777777" w:rsidR="007B474E" w:rsidRDefault="007B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003B" w14:textId="77777777" w:rsidR="007B474E" w:rsidRDefault="007B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DF6A" w14:textId="77777777" w:rsidR="007B474E" w:rsidRDefault="007B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AF99" w14:textId="77777777" w:rsidR="00BD50D8" w:rsidRPr="00D0513A" w:rsidRDefault="00BD50D8" w:rsidP="00D0513A">
      <w:pPr>
        <w:pStyle w:val="Footer"/>
        <w:spacing w:before="120" w:after="20"/>
        <w:ind w:right="0"/>
        <w:rPr>
          <w:rFonts w:ascii="Times New Roman" w:hAnsi="Times New Roman"/>
        </w:rPr>
      </w:pPr>
      <w:r>
        <w:continuationSeparator/>
      </w:r>
    </w:p>
  </w:footnote>
  <w:footnote w:type="continuationSeparator" w:id="0">
    <w:p w14:paraId="40CFC06A" w14:textId="77777777" w:rsidR="00BD50D8" w:rsidRPr="00D0513A" w:rsidRDefault="00BD50D8" w:rsidP="00D0513A">
      <w:pPr>
        <w:pStyle w:val="Footer"/>
        <w:spacing w:before="120" w:after="20"/>
        <w:ind w:right="0"/>
        <w:rPr>
          <w:rFonts w:ascii="Times New Roman" w:hAnsi="Times New Roman"/>
        </w:rPr>
      </w:pPr>
      <w:r w:rsidRPr="00D0513A">
        <w:rPr>
          <w:rFonts w:ascii="Times New Roman" w:hAnsi="Times New Roman"/>
        </w:rPr>
        <w:continuationSeparator/>
      </w:r>
    </w:p>
  </w:footnote>
  <w:footnote w:type="continuationNotice" w:id="1">
    <w:p w14:paraId="3A2E0C94" w14:textId="77777777" w:rsidR="00BD50D8" w:rsidRPr="006C6AA0" w:rsidRDefault="00BD50D8">
      <w:pPr>
        <w:jc w:val="right"/>
        <w:rPr>
          <w:rFonts w:ascii="Times New Roman" w:hAnsi="Times New Roman"/>
          <w:sz w:val="24"/>
        </w:rPr>
      </w:pPr>
    </w:p>
  </w:footnote>
  <w:footnote w:id="2">
    <w:p w14:paraId="70D41B42" w14:textId="1A160E61" w:rsidR="007C0962" w:rsidRPr="00D0513A" w:rsidRDefault="007C0962"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r>
      <w:r w:rsidR="00D6040E" w:rsidRPr="00D0513A">
        <w:rPr>
          <w:rFonts w:ascii="Times New Roman" w:hAnsi="Times New Roman"/>
          <w:sz w:val="24"/>
        </w:rPr>
        <w:t>(2024) 114 NSWLR 313</w:t>
      </w:r>
      <w:r w:rsidRPr="00D0513A">
        <w:rPr>
          <w:rFonts w:ascii="Times New Roman" w:hAnsi="Times New Roman"/>
          <w:sz w:val="24"/>
        </w:rPr>
        <w:t>.</w:t>
      </w:r>
    </w:p>
  </w:footnote>
  <w:footnote w:id="3">
    <w:p w14:paraId="74AFA5AF" w14:textId="132441F8" w:rsidR="00C41CF4" w:rsidRPr="00D0513A" w:rsidRDefault="00C41CF4"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t>(2024) 114 NSWLR 313 at</w:t>
      </w:r>
      <w:r w:rsidR="005747FC" w:rsidRPr="00D0513A">
        <w:rPr>
          <w:rFonts w:ascii="Times New Roman" w:hAnsi="Times New Roman"/>
          <w:sz w:val="24"/>
        </w:rPr>
        <w:t xml:space="preserve"> </w:t>
      </w:r>
      <w:r w:rsidR="008647BE" w:rsidRPr="00D0513A">
        <w:rPr>
          <w:rFonts w:ascii="Times New Roman" w:hAnsi="Times New Roman"/>
          <w:sz w:val="24"/>
        </w:rPr>
        <w:t>363</w:t>
      </w:r>
      <w:r w:rsidR="005747FC" w:rsidRPr="00D0513A">
        <w:rPr>
          <w:rFonts w:ascii="Times New Roman" w:hAnsi="Times New Roman"/>
          <w:sz w:val="24"/>
        </w:rPr>
        <w:t xml:space="preserve"> </w:t>
      </w:r>
      <w:r w:rsidR="00FC2C6E" w:rsidRPr="00D0513A">
        <w:rPr>
          <w:rFonts w:ascii="Times New Roman" w:hAnsi="Times New Roman"/>
          <w:sz w:val="24"/>
        </w:rPr>
        <w:t xml:space="preserve">[183], </w:t>
      </w:r>
      <w:r w:rsidR="00174BB8" w:rsidRPr="00D0513A">
        <w:rPr>
          <w:rFonts w:ascii="Times New Roman" w:hAnsi="Times New Roman"/>
          <w:sz w:val="24"/>
        </w:rPr>
        <w:t xml:space="preserve">365 </w:t>
      </w:r>
      <w:r w:rsidR="00FC2C6E" w:rsidRPr="00D0513A">
        <w:rPr>
          <w:rFonts w:ascii="Times New Roman" w:hAnsi="Times New Roman"/>
          <w:sz w:val="24"/>
        </w:rPr>
        <w:t>[193]</w:t>
      </w:r>
      <w:r w:rsidR="004A4422" w:rsidRPr="00D0513A">
        <w:rPr>
          <w:rFonts w:ascii="Times New Roman" w:hAnsi="Times New Roman"/>
          <w:sz w:val="24"/>
        </w:rPr>
        <w:t xml:space="preserve">, </w:t>
      </w:r>
      <w:r w:rsidR="00344231" w:rsidRPr="00D0513A">
        <w:rPr>
          <w:rFonts w:ascii="Times New Roman" w:hAnsi="Times New Roman"/>
          <w:sz w:val="24"/>
        </w:rPr>
        <w:t xml:space="preserve">371 [224], </w:t>
      </w:r>
      <w:r w:rsidR="004A4422" w:rsidRPr="00D0513A">
        <w:rPr>
          <w:rFonts w:ascii="Times New Roman" w:hAnsi="Times New Roman"/>
          <w:sz w:val="24"/>
        </w:rPr>
        <w:t>371 [226]</w:t>
      </w:r>
      <w:r w:rsidRPr="00D0513A">
        <w:rPr>
          <w:rFonts w:ascii="Times New Roman" w:hAnsi="Times New Roman"/>
          <w:sz w:val="24"/>
        </w:rPr>
        <w:t>.</w:t>
      </w:r>
    </w:p>
  </w:footnote>
  <w:footnote w:id="4">
    <w:p w14:paraId="24097FC0" w14:textId="004E4946" w:rsidR="00C41CF4" w:rsidRPr="00D0513A" w:rsidRDefault="00C41CF4" w:rsidP="00D0513A">
      <w:pPr>
        <w:pStyle w:val="FootnoteText"/>
        <w:spacing w:line="280" w:lineRule="exact"/>
        <w:ind w:right="0"/>
        <w:jc w:val="both"/>
        <w:rPr>
          <w:rFonts w:ascii="Times New Roman" w:hAnsi="Times New Roman"/>
          <w:i/>
          <w:iCs/>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t xml:space="preserve">(2024) 114 NSWLR 313 at </w:t>
      </w:r>
      <w:r w:rsidR="00320749" w:rsidRPr="00D0513A">
        <w:rPr>
          <w:rFonts w:ascii="Times New Roman" w:hAnsi="Times New Roman"/>
          <w:sz w:val="24"/>
        </w:rPr>
        <w:t xml:space="preserve">316 </w:t>
      </w:r>
      <w:r w:rsidRPr="00D0513A">
        <w:rPr>
          <w:rFonts w:ascii="Times New Roman" w:hAnsi="Times New Roman"/>
          <w:sz w:val="24"/>
        </w:rPr>
        <w:t xml:space="preserve">[6], </w:t>
      </w:r>
      <w:r w:rsidR="00B46597" w:rsidRPr="00D0513A">
        <w:rPr>
          <w:rFonts w:ascii="Times New Roman" w:hAnsi="Times New Roman"/>
          <w:sz w:val="24"/>
        </w:rPr>
        <w:t xml:space="preserve">355 </w:t>
      </w:r>
      <w:r w:rsidRPr="00D0513A">
        <w:rPr>
          <w:rFonts w:ascii="Times New Roman" w:hAnsi="Times New Roman"/>
          <w:sz w:val="24"/>
        </w:rPr>
        <w:t xml:space="preserve">[156], </w:t>
      </w:r>
      <w:r w:rsidR="00516931" w:rsidRPr="00D0513A">
        <w:rPr>
          <w:rFonts w:ascii="Times New Roman" w:hAnsi="Times New Roman"/>
          <w:sz w:val="24"/>
        </w:rPr>
        <w:t xml:space="preserve">367 </w:t>
      </w:r>
      <w:r w:rsidRPr="00D0513A">
        <w:rPr>
          <w:rFonts w:ascii="Times New Roman" w:hAnsi="Times New Roman"/>
          <w:sz w:val="24"/>
        </w:rPr>
        <w:t>[206].</w:t>
      </w:r>
    </w:p>
  </w:footnote>
  <w:footnote w:id="5">
    <w:p w14:paraId="77BDEEBC" w14:textId="101559E9" w:rsidR="00C41CF4" w:rsidRPr="00D0513A" w:rsidRDefault="00C41CF4"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t>(2024) 114 NSWLR 313</w:t>
      </w:r>
      <w:r w:rsidR="005747FC" w:rsidRPr="00D0513A">
        <w:rPr>
          <w:rFonts w:ascii="Times New Roman" w:hAnsi="Times New Roman"/>
          <w:sz w:val="24"/>
        </w:rPr>
        <w:t xml:space="preserve"> at </w:t>
      </w:r>
      <w:r w:rsidR="00BF6790" w:rsidRPr="00D0513A">
        <w:rPr>
          <w:rFonts w:ascii="Times New Roman" w:hAnsi="Times New Roman"/>
          <w:sz w:val="24"/>
        </w:rPr>
        <w:t>36</w:t>
      </w:r>
      <w:r w:rsidR="00890743" w:rsidRPr="00D0513A">
        <w:rPr>
          <w:rFonts w:ascii="Times New Roman" w:hAnsi="Times New Roman"/>
          <w:sz w:val="24"/>
        </w:rPr>
        <w:t>7-</w:t>
      </w:r>
      <w:r w:rsidR="00BF6790" w:rsidRPr="00D0513A">
        <w:rPr>
          <w:rFonts w:ascii="Times New Roman" w:hAnsi="Times New Roman"/>
          <w:sz w:val="24"/>
        </w:rPr>
        <w:t>369 [</w:t>
      </w:r>
      <w:r w:rsidR="004D1781" w:rsidRPr="00D0513A">
        <w:rPr>
          <w:rFonts w:ascii="Times New Roman" w:hAnsi="Times New Roman"/>
          <w:sz w:val="24"/>
        </w:rPr>
        <w:t>2</w:t>
      </w:r>
      <w:r w:rsidR="00890743" w:rsidRPr="00D0513A">
        <w:rPr>
          <w:rFonts w:ascii="Times New Roman" w:hAnsi="Times New Roman"/>
          <w:sz w:val="24"/>
        </w:rPr>
        <w:t>07]-</w:t>
      </w:r>
      <w:r w:rsidR="00BF6790" w:rsidRPr="00D0513A">
        <w:rPr>
          <w:rFonts w:ascii="Times New Roman" w:hAnsi="Times New Roman"/>
          <w:sz w:val="24"/>
        </w:rPr>
        <w:t xml:space="preserve">[217], </w:t>
      </w:r>
      <w:r w:rsidR="005747FC" w:rsidRPr="00D0513A">
        <w:rPr>
          <w:rFonts w:ascii="Times New Roman" w:hAnsi="Times New Roman"/>
          <w:sz w:val="24"/>
        </w:rPr>
        <w:t>37</w:t>
      </w:r>
      <w:r w:rsidR="001D36A7" w:rsidRPr="00D0513A">
        <w:rPr>
          <w:rFonts w:ascii="Times New Roman" w:hAnsi="Times New Roman"/>
          <w:sz w:val="24"/>
        </w:rPr>
        <w:t>0-</w:t>
      </w:r>
      <w:r w:rsidR="005747FC" w:rsidRPr="00D0513A">
        <w:rPr>
          <w:rFonts w:ascii="Times New Roman" w:hAnsi="Times New Roman"/>
          <w:sz w:val="24"/>
        </w:rPr>
        <w:t>371 [</w:t>
      </w:r>
      <w:r w:rsidR="001D36A7" w:rsidRPr="00D0513A">
        <w:rPr>
          <w:rFonts w:ascii="Times New Roman" w:hAnsi="Times New Roman"/>
          <w:sz w:val="24"/>
        </w:rPr>
        <w:t>218]-</w:t>
      </w:r>
      <w:r w:rsidR="005747FC" w:rsidRPr="00D0513A">
        <w:rPr>
          <w:rFonts w:ascii="Times New Roman" w:hAnsi="Times New Roman"/>
          <w:sz w:val="24"/>
        </w:rPr>
        <w:t>[225]</w:t>
      </w:r>
      <w:r w:rsidR="00DF7245" w:rsidRPr="00D0513A">
        <w:rPr>
          <w:rFonts w:ascii="Times New Roman" w:hAnsi="Times New Roman"/>
          <w:sz w:val="24"/>
        </w:rPr>
        <w:t>.</w:t>
      </w:r>
    </w:p>
  </w:footnote>
  <w:footnote w:id="6">
    <w:p w14:paraId="49FE0B9A" w14:textId="6CBC1A20" w:rsidR="00B621BF" w:rsidRPr="00D0513A" w:rsidRDefault="00B621BF"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00675265" w:rsidRPr="00D0513A">
        <w:rPr>
          <w:rFonts w:ascii="Times New Roman" w:hAnsi="Times New Roman"/>
          <w:sz w:val="24"/>
        </w:rPr>
        <w:tab/>
      </w:r>
      <w:r w:rsidR="00B46D17" w:rsidRPr="00D0513A">
        <w:rPr>
          <w:rFonts w:ascii="Times New Roman" w:hAnsi="Times New Roman"/>
          <w:sz w:val="24"/>
        </w:rPr>
        <w:t>(2024) 114 NSWLR 313 at 371 [226].</w:t>
      </w:r>
    </w:p>
  </w:footnote>
  <w:footnote w:id="7">
    <w:p w14:paraId="04381E2F" w14:textId="74940164" w:rsidR="00FE270E" w:rsidRPr="00D0513A" w:rsidRDefault="00FE270E"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00675265" w:rsidRPr="00D0513A">
        <w:rPr>
          <w:rFonts w:ascii="Times New Roman" w:hAnsi="Times New Roman"/>
          <w:sz w:val="24"/>
        </w:rPr>
        <w:tab/>
      </w:r>
      <w:r w:rsidR="003B0241" w:rsidRPr="00D0513A">
        <w:rPr>
          <w:rFonts w:ascii="Times New Roman" w:hAnsi="Times New Roman"/>
          <w:sz w:val="24"/>
        </w:rPr>
        <w:t xml:space="preserve">(2024) 114 NSWLR 313 at 371 [229]. </w:t>
      </w:r>
    </w:p>
  </w:footnote>
  <w:footnote w:id="8">
    <w:p w14:paraId="61AA0904" w14:textId="14E4085C" w:rsidR="003918B8" w:rsidRPr="00D0513A" w:rsidRDefault="003918B8"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00675265" w:rsidRPr="00D0513A">
        <w:rPr>
          <w:rFonts w:ascii="Times New Roman" w:hAnsi="Times New Roman"/>
          <w:sz w:val="24"/>
        </w:rPr>
        <w:tab/>
      </w:r>
      <w:r w:rsidRPr="00D0513A">
        <w:rPr>
          <w:rFonts w:ascii="Times New Roman" w:hAnsi="Times New Roman"/>
          <w:sz w:val="24"/>
        </w:rPr>
        <w:t>(2024) 114 NSWLR 313 at 37</w:t>
      </w:r>
      <w:r w:rsidR="00AB26FC" w:rsidRPr="00D0513A">
        <w:rPr>
          <w:rFonts w:ascii="Times New Roman" w:hAnsi="Times New Roman"/>
          <w:sz w:val="24"/>
        </w:rPr>
        <w:t>3</w:t>
      </w:r>
      <w:r w:rsidRPr="00D0513A">
        <w:rPr>
          <w:rFonts w:ascii="Times New Roman" w:hAnsi="Times New Roman"/>
          <w:sz w:val="24"/>
        </w:rPr>
        <w:t xml:space="preserve"> [2</w:t>
      </w:r>
      <w:r w:rsidR="00AB26FC" w:rsidRPr="00D0513A">
        <w:rPr>
          <w:rFonts w:ascii="Times New Roman" w:hAnsi="Times New Roman"/>
          <w:sz w:val="24"/>
        </w:rPr>
        <w:t>38</w:t>
      </w:r>
      <w:r w:rsidRPr="00D0513A">
        <w:rPr>
          <w:rFonts w:ascii="Times New Roman" w:hAnsi="Times New Roman"/>
          <w:sz w:val="24"/>
        </w:rPr>
        <w:t>].</w:t>
      </w:r>
    </w:p>
  </w:footnote>
  <w:footnote w:id="9">
    <w:p w14:paraId="4D067474" w14:textId="4A06781D" w:rsidR="00EA3B76" w:rsidRPr="00D0513A" w:rsidRDefault="00EA3B76"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t xml:space="preserve">Citing </w:t>
      </w:r>
      <w:r w:rsidR="00470F54" w:rsidRPr="00D0513A">
        <w:rPr>
          <w:rFonts w:ascii="Times New Roman" w:hAnsi="Times New Roman"/>
          <w:i/>
          <w:iCs/>
          <w:sz w:val="24"/>
        </w:rPr>
        <w:t>Driclad</w:t>
      </w:r>
      <w:r w:rsidR="00470F54" w:rsidRPr="00D0513A">
        <w:rPr>
          <w:rFonts w:ascii="Times New Roman" w:hAnsi="Times New Roman"/>
          <w:i/>
          <w:sz w:val="24"/>
        </w:rPr>
        <w:t xml:space="preserve"> Pty Ltd v Federal Commissioner of Taxation</w:t>
      </w:r>
      <w:r w:rsidR="00470F54" w:rsidRPr="00D0513A">
        <w:rPr>
          <w:rFonts w:ascii="Times New Roman" w:hAnsi="Times New Roman"/>
          <w:sz w:val="24"/>
        </w:rPr>
        <w:t xml:space="preserve"> (1968) 121 CLR 45 at 63-65; </w:t>
      </w:r>
      <w:r w:rsidRPr="00D0513A">
        <w:rPr>
          <w:rFonts w:ascii="Times New Roman" w:hAnsi="Times New Roman"/>
          <w:i/>
          <w:sz w:val="24"/>
        </w:rPr>
        <w:t>North Sydney Council v Ligon 302 Pty Ltd</w:t>
      </w:r>
      <w:r w:rsidRPr="00D0513A">
        <w:rPr>
          <w:rFonts w:ascii="Times New Roman" w:hAnsi="Times New Roman"/>
          <w:sz w:val="24"/>
        </w:rPr>
        <w:t xml:space="preserve"> (1996) 185 CLR 470 at 474-475</w:t>
      </w:r>
      <w:r w:rsidR="003C1F20" w:rsidRPr="00D0513A">
        <w:rPr>
          <w:rFonts w:ascii="Times New Roman" w:hAnsi="Times New Roman"/>
          <w:sz w:val="24"/>
        </w:rPr>
        <w:t>.</w:t>
      </w:r>
    </w:p>
  </w:footnote>
  <w:footnote w:id="10">
    <w:p w14:paraId="2E5B0E24" w14:textId="52DFCD4D" w:rsidR="00D81C42" w:rsidRPr="00D0513A" w:rsidRDefault="00D81C42"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007C314C" w:rsidRPr="00D0513A">
        <w:rPr>
          <w:rFonts w:ascii="Times New Roman" w:hAnsi="Times New Roman"/>
          <w:sz w:val="24"/>
        </w:rPr>
        <w:tab/>
      </w:r>
      <w:r w:rsidRPr="00D0513A">
        <w:rPr>
          <w:rFonts w:ascii="Times New Roman" w:hAnsi="Times New Roman"/>
          <w:i/>
          <w:iCs/>
          <w:sz w:val="24"/>
        </w:rPr>
        <w:t>Criminal Appeal Act 1912</w:t>
      </w:r>
      <w:r w:rsidRPr="00D0513A">
        <w:rPr>
          <w:rFonts w:ascii="Times New Roman" w:hAnsi="Times New Roman"/>
          <w:sz w:val="24"/>
        </w:rPr>
        <w:t xml:space="preserve"> (NSW), s</w:t>
      </w:r>
      <w:r w:rsidR="007C314C" w:rsidRPr="00D0513A">
        <w:rPr>
          <w:rFonts w:ascii="Times New Roman" w:hAnsi="Times New Roman"/>
          <w:sz w:val="24"/>
        </w:rPr>
        <w:t> </w:t>
      </w:r>
      <w:r w:rsidRPr="00D0513A">
        <w:rPr>
          <w:rFonts w:ascii="Times New Roman" w:hAnsi="Times New Roman"/>
          <w:sz w:val="24"/>
        </w:rPr>
        <w:t>5F(2).</w:t>
      </w:r>
    </w:p>
  </w:footnote>
  <w:footnote w:id="11">
    <w:p w14:paraId="43CA5115" w14:textId="0FD50780" w:rsidR="00D81C42" w:rsidRPr="00D0513A" w:rsidRDefault="00D81C42"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r>
      <w:r w:rsidRPr="00D0513A">
        <w:rPr>
          <w:rFonts w:ascii="Times New Roman" w:hAnsi="Times New Roman"/>
          <w:i/>
          <w:iCs/>
          <w:sz w:val="24"/>
        </w:rPr>
        <w:t xml:space="preserve">Crimes (Appeal and Review) Act </w:t>
      </w:r>
      <w:r w:rsidR="00A761E6" w:rsidRPr="00D0513A">
        <w:rPr>
          <w:rFonts w:ascii="Times New Roman" w:hAnsi="Times New Roman"/>
          <w:i/>
          <w:iCs/>
          <w:sz w:val="24"/>
        </w:rPr>
        <w:t>2001</w:t>
      </w:r>
      <w:r w:rsidR="002B3B01" w:rsidRPr="00D0513A">
        <w:rPr>
          <w:rFonts w:ascii="Times New Roman" w:hAnsi="Times New Roman"/>
          <w:sz w:val="24"/>
        </w:rPr>
        <w:t> </w:t>
      </w:r>
      <w:r w:rsidR="00A761E6" w:rsidRPr="00D0513A">
        <w:rPr>
          <w:rFonts w:ascii="Times New Roman" w:hAnsi="Times New Roman"/>
          <w:sz w:val="24"/>
        </w:rPr>
        <w:t>(NSW), s </w:t>
      </w:r>
      <w:r w:rsidRPr="00D0513A">
        <w:rPr>
          <w:rFonts w:ascii="Times New Roman" w:hAnsi="Times New Roman"/>
          <w:sz w:val="24"/>
        </w:rPr>
        <w:t>107(1)</w:t>
      </w:r>
      <w:r w:rsidR="00F00CEA" w:rsidRPr="00D0513A">
        <w:rPr>
          <w:rFonts w:ascii="Times New Roman" w:hAnsi="Times New Roman"/>
          <w:sz w:val="24"/>
        </w:rPr>
        <w:t>-(2)</w:t>
      </w:r>
      <w:r w:rsidR="00A761E6" w:rsidRPr="00D0513A">
        <w:rPr>
          <w:rFonts w:ascii="Times New Roman" w:hAnsi="Times New Roman"/>
          <w:sz w:val="24"/>
        </w:rPr>
        <w:t>.</w:t>
      </w:r>
    </w:p>
  </w:footnote>
  <w:footnote w:id="12">
    <w:p w14:paraId="29711A25" w14:textId="506CA40E" w:rsidR="00D81C42" w:rsidRPr="00D0513A" w:rsidRDefault="00D81C42" w:rsidP="00D0513A">
      <w:pPr>
        <w:pStyle w:val="FootnoteText"/>
        <w:spacing w:line="280" w:lineRule="exact"/>
        <w:ind w:right="0"/>
        <w:jc w:val="both"/>
        <w:rPr>
          <w:rFonts w:ascii="Times New Roman" w:hAnsi="Times New Roman"/>
          <w:sz w:val="24"/>
        </w:rPr>
      </w:pPr>
      <w:r w:rsidRPr="00D0513A">
        <w:rPr>
          <w:rStyle w:val="FootnoteReference"/>
          <w:rFonts w:ascii="Times New Roman" w:hAnsi="Times New Roman"/>
          <w:sz w:val="22"/>
          <w:vertAlign w:val="baseline"/>
        </w:rPr>
        <w:footnoteRef/>
      </w:r>
      <w:r w:rsidRPr="00D0513A">
        <w:rPr>
          <w:rFonts w:ascii="Times New Roman" w:hAnsi="Times New Roman"/>
          <w:sz w:val="24"/>
        </w:rPr>
        <w:t xml:space="preserve"> </w:t>
      </w:r>
      <w:r w:rsidRPr="00D0513A">
        <w:rPr>
          <w:rFonts w:ascii="Times New Roman" w:hAnsi="Times New Roman"/>
          <w:sz w:val="24"/>
        </w:rPr>
        <w:tab/>
      </w:r>
      <w:r w:rsidR="00A761E6" w:rsidRPr="00D0513A">
        <w:rPr>
          <w:rFonts w:ascii="Times New Roman" w:hAnsi="Times New Roman"/>
          <w:i/>
          <w:iCs/>
          <w:sz w:val="24"/>
        </w:rPr>
        <w:t>Crimes (Appeal and Review) Act</w:t>
      </w:r>
      <w:r w:rsidR="00A761E6" w:rsidRPr="00D0513A">
        <w:rPr>
          <w:rFonts w:ascii="Times New Roman" w:hAnsi="Times New Roman"/>
          <w:sz w:val="24"/>
        </w:rPr>
        <w:t xml:space="preserve">, </w:t>
      </w:r>
      <w:r w:rsidRPr="00D0513A">
        <w:rPr>
          <w:rFonts w:ascii="Times New Roman" w:hAnsi="Times New Roman"/>
          <w:sz w:val="24"/>
          <w:shd w:val="clear" w:color="auto" w:fill="FFFFFF"/>
        </w:rPr>
        <w:t>s</w:t>
      </w:r>
      <w:r w:rsidR="00A761E6" w:rsidRPr="00D0513A">
        <w:rPr>
          <w:rFonts w:ascii="Times New Roman" w:hAnsi="Times New Roman"/>
          <w:sz w:val="24"/>
          <w:shd w:val="clear" w:color="auto" w:fill="FFFFFF"/>
        </w:rPr>
        <w:t> </w:t>
      </w:r>
      <w:r w:rsidRPr="00D0513A">
        <w:rPr>
          <w:rFonts w:ascii="Times New Roman" w:hAnsi="Times New Roman"/>
          <w:sz w:val="24"/>
          <w:shd w:val="clear" w:color="auto" w:fill="FFFFFF"/>
        </w:rPr>
        <w:t>108(1)</w:t>
      </w:r>
      <w:r w:rsidR="00A761E6" w:rsidRPr="00D0513A">
        <w:rPr>
          <w:rFonts w:ascii="Times New Roman" w:hAnsi="Times New Roman"/>
          <w:sz w:val="24"/>
          <w:shd w:val="clear" w:color="auto" w:fill="FFFFFF"/>
        </w:rPr>
        <w:t>-(2).</w:t>
      </w:r>
      <w:r w:rsidRPr="00D0513A">
        <w:rPr>
          <w:rFonts w:ascii="Times New Roman" w:hAnsi="Times New Roman"/>
          <w:sz w:val="24"/>
          <w:shd w:val="clear" w:color="auto" w:fill="FFFFFF"/>
        </w:rPr>
        <w:t xml:space="preserve"> </w:t>
      </w:r>
    </w:p>
  </w:footnote>
  <w:footnote w:id="13">
    <w:p w14:paraId="64A59794"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 xml:space="preserve">Batak v The King </w:t>
      </w:r>
      <w:r w:rsidRPr="005017E4">
        <w:rPr>
          <w:rFonts w:ascii="Times New Roman" w:hAnsi="Times New Roman"/>
          <w:sz w:val="24"/>
        </w:rPr>
        <w:t>(2024) 114 NSWLR 313 at 356-357</w:t>
      </w:r>
      <w:r w:rsidRPr="005017E4">
        <w:rPr>
          <w:rFonts w:ascii="Times New Roman" w:hAnsi="Times New Roman"/>
          <w:i/>
          <w:iCs/>
          <w:sz w:val="24"/>
        </w:rPr>
        <w:t xml:space="preserve"> </w:t>
      </w:r>
      <w:r w:rsidRPr="005017E4">
        <w:rPr>
          <w:rFonts w:ascii="Times New Roman" w:hAnsi="Times New Roman"/>
          <w:sz w:val="24"/>
        </w:rPr>
        <w:t>[163], 358 [165].</w:t>
      </w:r>
    </w:p>
  </w:footnote>
  <w:footnote w:id="14">
    <w:p w14:paraId="3FB4ECB8"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Batak v The King</w:t>
      </w:r>
      <w:r w:rsidRPr="005017E4">
        <w:rPr>
          <w:rFonts w:ascii="Times New Roman" w:hAnsi="Times New Roman"/>
          <w:sz w:val="24"/>
        </w:rPr>
        <w:t xml:space="preserve"> (2024) 114 NSWLR 313 at 365 [196].</w:t>
      </w:r>
    </w:p>
  </w:footnote>
  <w:footnote w:id="15">
    <w:p w14:paraId="1AEA3486"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Batak v The King</w:t>
      </w:r>
      <w:r w:rsidRPr="005017E4">
        <w:rPr>
          <w:rFonts w:ascii="Times New Roman" w:hAnsi="Times New Roman"/>
          <w:sz w:val="24"/>
        </w:rPr>
        <w:t xml:space="preserve"> (2024) 114 NSWLR 313 at 363 [183], referring to </w:t>
      </w:r>
      <w:r w:rsidRPr="005017E4">
        <w:rPr>
          <w:rFonts w:ascii="Times New Roman" w:hAnsi="Times New Roman"/>
          <w:i/>
          <w:iCs/>
          <w:sz w:val="24"/>
        </w:rPr>
        <w:t xml:space="preserve">Giorgianni v The Queen </w:t>
      </w:r>
      <w:r w:rsidRPr="005017E4">
        <w:rPr>
          <w:rFonts w:ascii="Times New Roman" w:hAnsi="Times New Roman"/>
          <w:sz w:val="24"/>
        </w:rPr>
        <w:t>(1985) 156 CLR 473.</w:t>
      </w:r>
    </w:p>
  </w:footnote>
  <w:footnote w:id="16">
    <w:p w14:paraId="25EDBED1"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Batak v The King</w:t>
      </w:r>
      <w:r w:rsidRPr="005017E4">
        <w:rPr>
          <w:rFonts w:ascii="Times New Roman" w:hAnsi="Times New Roman"/>
          <w:sz w:val="24"/>
        </w:rPr>
        <w:t xml:space="preserve"> (2024) 114 NSWLR 313 at 355 [155].</w:t>
      </w:r>
    </w:p>
  </w:footnote>
  <w:footnote w:id="17">
    <w:p w14:paraId="2CBE0C01"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Crown submissions filed 6 February 2025 at 7 [28], quoting </w:t>
      </w:r>
      <w:r w:rsidRPr="005017E4">
        <w:rPr>
          <w:rFonts w:ascii="Times New Roman" w:hAnsi="Times New Roman"/>
          <w:i/>
          <w:iCs/>
          <w:sz w:val="24"/>
        </w:rPr>
        <w:t xml:space="preserve">Miller v The Queen </w:t>
      </w:r>
      <w:r w:rsidRPr="005017E4">
        <w:rPr>
          <w:rFonts w:ascii="Times New Roman" w:hAnsi="Times New Roman"/>
          <w:sz w:val="24"/>
        </w:rPr>
        <w:t xml:space="preserve">(2016) 259 CLR 380 at 413 [89]. </w:t>
      </w:r>
    </w:p>
  </w:footnote>
  <w:footnote w:id="18">
    <w:p w14:paraId="11DF3F0F"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See </w:t>
      </w:r>
      <w:r w:rsidRPr="005017E4">
        <w:rPr>
          <w:rFonts w:ascii="Times New Roman" w:hAnsi="Times New Roman"/>
          <w:i/>
          <w:iCs/>
          <w:sz w:val="24"/>
        </w:rPr>
        <w:t>Caason Investments Pty Ltd v Cao</w:t>
      </w:r>
      <w:r w:rsidRPr="005017E4">
        <w:rPr>
          <w:rFonts w:ascii="Times New Roman" w:hAnsi="Times New Roman"/>
          <w:sz w:val="24"/>
        </w:rPr>
        <w:t xml:space="preserve"> (2015) 236 FCR 322 at 337-338 [87]-[92]; </w:t>
      </w:r>
      <w:r w:rsidRPr="005017E4">
        <w:rPr>
          <w:rFonts w:ascii="Times New Roman" w:hAnsi="Times New Roman"/>
          <w:i/>
          <w:iCs/>
          <w:sz w:val="24"/>
        </w:rPr>
        <w:t>AZC20 v Minister for Immigration, Citizenship, Migrant Services and Multicultural Affairs</w:t>
      </w:r>
      <w:r w:rsidRPr="005017E4">
        <w:rPr>
          <w:rFonts w:ascii="Times New Roman" w:hAnsi="Times New Roman"/>
          <w:sz w:val="24"/>
        </w:rPr>
        <w:t xml:space="preserve"> (2023) 278 CLR 512 at 527 [34]. </w:t>
      </w:r>
    </w:p>
  </w:footnote>
  <w:footnote w:id="19">
    <w:p w14:paraId="3C82DADF"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See </w:t>
      </w:r>
      <w:r w:rsidRPr="005017E4">
        <w:rPr>
          <w:rFonts w:ascii="Times New Roman" w:hAnsi="Times New Roman"/>
          <w:i/>
          <w:iCs/>
          <w:sz w:val="24"/>
        </w:rPr>
        <w:t>Driclad Pty Ltd v Federal Commissioner of Taxation</w:t>
      </w:r>
      <w:r w:rsidRPr="005017E4">
        <w:rPr>
          <w:rFonts w:ascii="Times New Roman" w:hAnsi="Times New Roman"/>
          <w:sz w:val="24"/>
        </w:rPr>
        <w:t xml:space="preserve"> (1968) 121 CLR 45 at 64. See also </w:t>
      </w:r>
      <w:r w:rsidRPr="005017E4">
        <w:rPr>
          <w:rFonts w:ascii="Times New Roman" w:hAnsi="Times New Roman"/>
          <w:i/>
          <w:iCs/>
          <w:sz w:val="24"/>
        </w:rPr>
        <w:t>Onslow v Commissioners of Inland Revenue</w:t>
      </w:r>
      <w:r w:rsidRPr="005017E4">
        <w:rPr>
          <w:rFonts w:ascii="Times New Roman" w:hAnsi="Times New Roman"/>
          <w:sz w:val="24"/>
        </w:rPr>
        <w:t xml:space="preserve"> (1890) 25 QBD 465 at 466; </w:t>
      </w:r>
      <w:r w:rsidRPr="005017E4">
        <w:rPr>
          <w:rFonts w:ascii="Times New Roman" w:hAnsi="Times New Roman"/>
          <w:i/>
          <w:iCs/>
          <w:sz w:val="24"/>
        </w:rPr>
        <w:t>Australian Securities Commission v Macleod</w:t>
      </w:r>
      <w:r w:rsidRPr="005017E4">
        <w:rPr>
          <w:rFonts w:ascii="Times New Roman" w:hAnsi="Times New Roman"/>
          <w:sz w:val="24"/>
        </w:rPr>
        <w:t xml:space="preserve"> (1994) 54 FCR 309 at 311-312; </w:t>
      </w:r>
      <w:r w:rsidRPr="005017E4">
        <w:rPr>
          <w:rFonts w:ascii="Times New Roman" w:hAnsi="Times New Roman"/>
          <w:i/>
          <w:iCs/>
          <w:sz w:val="24"/>
        </w:rPr>
        <w:t>Queensland v Stradford (a pseudonym)</w:t>
      </w:r>
      <w:r w:rsidRPr="005017E4">
        <w:rPr>
          <w:rFonts w:ascii="Times New Roman" w:hAnsi="Times New Roman"/>
          <w:sz w:val="24"/>
        </w:rPr>
        <w:t xml:space="preserve"> (2025) 99 ALJR 396 at 462 [277].</w:t>
      </w:r>
    </w:p>
  </w:footnote>
  <w:footnote w:id="20">
    <w:p w14:paraId="03136E3D"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(2024) 98 ALJR 984; 419 ALR 1.</w:t>
      </w:r>
    </w:p>
  </w:footnote>
  <w:footnote w:id="21">
    <w:p w14:paraId="1B78C9BE"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 xml:space="preserve">Cook (a pseudonym) v The King </w:t>
      </w:r>
      <w:r w:rsidRPr="005017E4">
        <w:rPr>
          <w:rFonts w:ascii="Times New Roman" w:hAnsi="Times New Roman"/>
          <w:sz w:val="24"/>
        </w:rPr>
        <w:t>(2024) 98 ALJR 984 at 991 [30]; 419 ALR 1 at 9.</w:t>
      </w:r>
    </w:p>
  </w:footnote>
  <w:footnote w:id="22">
    <w:p w14:paraId="03E03E9E"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(1996) 185 CLR 470 at 481-482.</w:t>
      </w:r>
    </w:p>
  </w:footnote>
  <w:footnote w:id="23">
    <w:p w14:paraId="4CCEED8B"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North Sydney Council v Ligon</w:t>
      </w:r>
      <w:r w:rsidRPr="005017E4">
        <w:rPr>
          <w:rFonts w:ascii="Times New Roman" w:hAnsi="Times New Roman"/>
          <w:sz w:val="24"/>
        </w:rPr>
        <w:t xml:space="preserve"> </w:t>
      </w:r>
      <w:r w:rsidRPr="005017E4">
        <w:rPr>
          <w:rFonts w:ascii="Times New Roman" w:hAnsi="Times New Roman"/>
          <w:i/>
          <w:iCs/>
          <w:sz w:val="24"/>
        </w:rPr>
        <w:t>302 Pty Ltd</w:t>
      </w:r>
      <w:r w:rsidRPr="005017E4">
        <w:rPr>
          <w:rFonts w:ascii="Times New Roman" w:hAnsi="Times New Roman"/>
          <w:sz w:val="24"/>
        </w:rPr>
        <w:t xml:space="preserve"> (1995) 87 LGERA 435 at 448.</w:t>
      </w:r>
    </w:p>
  </w:footnote>
  <w:footnote w:id="24">
    <w:p w14:paraId="397BC58A"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(1968) 121 CLR 45.</w:t>
      </w:r>
    </w:p>
  </w:footnote>
  <w:footnote w:id="25">
    <w:p w14:paraId="5C560304"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See </w:t>
      </w:r>
      <w:r w:rsidRPr="005017E4">
        <w:rPr>
          <w:rFonts w:ascii="Times New Roman" w:hAnsi="Times New Roman"/>
          <w:i/>
          <w:iCs/>
          <w:sz w:val="24"/>
        </w:rPr>
        <w:t>AusNet Transmission Group Pty Ltd v Federal Commissioner of Taxation</w:t>
      </w:r>
      <w:r w:rsidRPr="005017E4">
        <w:rPr>
          <w:rFonts w:ascii="Times New Roman" w:hAnsi="Times New Roman"/>
          <w:sz w:val="24"/>
        </w:rPr>
        <w:t xml:space="preserve"> (2015) 255 CLR 439 at 448 [6].</w:t>
      </w:r>
    </w:p>
  </w:footnote>
  <w:footnote w:id="26">
    <w:p w14:paraId="6ABEA005"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Driclad Pty Ltd v Federal Commissioner of Taxation</w:t>
      </w:r>
      <w:r w:rsidRPr="005017E4">
        <w:rPr>
          <w:rFonts w:ascii="Times New Roman" w:hAnsi="Times New Roman"/>
          <w:sz w:val="24"/>
        </w:rPr>
        <w:t xml:space="preserve"> (1966) 121 CLR 45 at 60, 62.</w:t>
      </w:r>
    </w:p>
  </w:footnote>
  <w:footnote w:id="27">
    <w:p w14:paraId="2E0DCB6A"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Driclad Pty Ltd v Federal Commissioner of Taxation</w:t>
      </w:r>
      <w:r w:rsidRPr="005017E4">
        <w:rPr>
          <w:rFonts w:ascii="Times New Roman" w:hAnsi="Times New Roman"/>
          <w:sz w:val="24"/>
        </w:rPr>
        <w:t xml:space="preserve"> (1968) 121 CLR 45 at 63.</w:t>
      </w:r>
    </w:p>
  </w:footnote>
  <w:footnote w:id="28">
    <w:p w14:paraId="6241750D"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Transcript of Proceedings, Driclad Pty Ltd v Federal Commissioner of Taxation (High Court of Australia, Barwick CJ, McTiernan, Kitto and Menzies JJ, 8 April 1968) at 6. </w:t>
      </w:r>
    </w:p>
  </w:footnote>
  <w:footnote w:id="29">
    <w:p w14:paraId="043461DF"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Driclad Pty Ltd v Federal Commissioner of Taxation</w:t>
      </w:r>
      <w:r w:rsidRPr="005017E4">
        <w:rPr>
          <w:rFonts w:ascii="Times New Roman" w:hAnsi="Times New Roman"/>
          <w:sz w:val="24"/>
        </w:rPr>
        <w:t xml:space="preserve"> (1968) 121 CLR 45 at 63-64.</w:t>
      </w:r>
    </w:p>
  </w:footnote>
  <w:footnote w:id="30">
    <w:p w14:paraId="689B5BEF" w14:textId="77777777" w:rsidR="006C6AA0" w:rsidRPr="005017E4" w:rsidRDefault="006C6AA0" w:rsidP="005017E4">
      <w:pPr>
        <w:pStyle w:val="FootnoteText"/>
        <w:spacing w:line="280" w:lineRule="exact"/>
        <w:ind w:right="0"/>
        <w:jc w:val="both"/>
        <w:rPr>
          <w:rFonts w:ascii="Times New Roman" w:eastAsiaTheme="minorHAnsi" w:hAnsi="Times New Roman"/>
          <w:sz w:val="24"/>
          <w:szCs w:val="20"/>
          <w:lang w:eastAsia="en-US"/>
          <w14:ligatures w14:val="standardContextual"/>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Driclad Pty Ltd v Federal Commissioner of Taxation</w:t>
      </w:r>
      <w:r w:rsidRPr="005017E4">
        <w:rPr>
          <w:rFonts w:ascii="Times New Roman" w:hAnsi="Times New Roman"/>
          <w:sz w:val="24"/>
        </w:rPr>
        <w:t xml:space="preserve"> (1968) 121 CLR 45 at 64.</w:t>
      </w:r>
    </w:p>
  </w:footnote>
  <w:footnote w:id="31">
    <w:p w14:paraId="2B22DB4F" w14:textId="77777777" w:rsidR="006C6AA0" w:rsidRPr="005017E4" w:rsidDel="009544F9" w:rsidRDefault="006C6AA0" w:rsidP="005017E4">
      <w:pPr>
        <w:pStyle w:val="FootnoteText"/>
        <w:spacing w:line="280" w:lineRule="exact"/>
        <w:ind w:right="0"/>
        <w:jc w:val="both"/>
        <w:rPr>
          <w:rFonts w:ascii="Times New Roman" w:eastAsiaTheme="minorHAnsi" w:hAnsi="Times New Roman"/>
          <w:sz w:val="24"/>
        </w:rPr>
      </w:pPr>
      <w:r w:rsidRPr="005017E4" w:rsidDel="009544F9">
        <w:rPr>
          <w:rStyle w:val="FootnoteReference"/>
          <w:rFonts w:ascii="Times New Roman" w:hAnsi="Times New Roman"/>
          <w:sz w:val="22"/>
          <w:vertAlign w:val="baseline"/>
        </w:rPr>
        <w:footnoteRef/>
      </w:r>
      <w:r w:rsidRPr="005017E4" w:rsidDel="009544F9">
        <w:rPr>
          <w:rFonts w:ascii="Times New Roman" w:hAnsi="Times New Roman"/>
          <w:sz w:val="24"/>
        </w:rPr>
        <w:t xml:space="preserve"> </w:t>
      </w:r>
      <w:r w:rsidRPr="005017E4" w:rsidDel="009544F9">
        <w:rPr>
          <w:rFonts w:ascii="Times New Roman" w:hAnsi="Times New Roman"/>
          <w:sz w:val="24"/>
        </w:rPr>
        <w:tab/>
      </w:r>
      <w:r w:rsidRPr="005017E4" w:rsidDel="009544F9">
        <w:rPr>
          <w:rFonts w:ascii="Times New Roman" w:hAnsi="Times New Roman"/>
          <w:i/>
          <w:iCs/>
          <w:sz w:val="24"/>
        </w:rPr>
        <w:t>Driclad Pty Ltd v Federal Commissioner of Taxation</w:t>
      </w:r>
      <w:r w:rsidRPr="005017E4" w:rsidDel="009544F9">
        <w:rPr>
          <w:rFonts w:ascii="Times New Roman" w:hAnsi="Times New Roman"/>
          <w:sz w:val="24"/>
        </w:rPr>
        <w:t xml:space="preserve"> (1968) 121 CLR 45 at </w:t>
      </w:r>
      <w:r w:rsidRPr="005017E4">
        <w:rPr>
          <w:rFonts w:ascii="Times New Roman" w:hAnsi="Times New Roman"/>
          <w:sz w:val="24"/>
        </w:rPr>
        <w:t>69</w:t>
      </w:r>
      <w:r w:rsidRPr="005017E4" w:rsidDel="009544F9">
        <w:rPr>
          <w:rFonts w:ascii="Times New Roman" w:hAnsi="Times New Roman"/>
          <w:sz w:val="24"/>
        </w:rPr>
        <w:t>.</w:t>
      </w:r>
    </w:p>
  </w:footnote>
  <w:footnote w:id="32">
    <w:p w14:paraId="7344265C"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See </w:t>
      </w:r>
      <w:r w:rsidRPr="005017E4">
        <w:rPr>
          <w:rFonts w:ascii="Times New Roman" w:hAnsi="Times New Roman"/>
          <w:i/>
          <w:iCs/>
          <w:sz w:val="24"/>
        </w:rPr>
        <w:t xml:space="preserve">The Commonwealth v Sanofi </w:t>
      </w:r>
      <w:r w:rsidRPr="005017E4">
        <w:rPr>
          <w:rFonts w:ascii="Times New Roman" w:hAnsi="Times New Roman"/>
          <w:sz w:val="24"/>
        </w:rPr>
        <w:t>(2024) 99 ALJR 213 at 225 [29]; 421 ALR 1 at 11.</w:t>
      </w:r>
    </w:p>
  </w:footnote>
  <w:footnote w:id="33">
    <w:p w14:paraId="18808E43"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 xml:space="preserve">Criminal Appeal Act 1912 </w:t>
      </w:r>
      <w:r w:rsidRPr="005017E4">
        <w:rPr>
          <w:rFonts w:ascii="Times New Roman" w:hAnsi="Times New Roman"/>
          <w:sz w:val="24"/>
        </w:rPr>
        <w:t>(NSW), s 6(1).</w:t>
      </w:r>
    </w:p>
  </w:footnote>
  <w:footnote w:id="34">
    <w:p w14:paraId="16DE571E"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r>
      <w:r w:rsidRPr="005017E4">
        <w:rPr>
          <w:rFonts w:ascii="Times New Roman" w:hAnsi="Times New Roman"/>
          <w:i/>
          <w:iCs/>
          <w:sz w:val="24"/>
        </w:rPr>
        <w:t>Batak v The King</w:t>
      </w:r>
      <w:r w:rsidRPr="005017E4">
        <w:rPr>
          <w:rFonts w:ascii="Times New Roman" w:hAnsi="Times New Roman"/>
          <w:sz w:val="24"/>
        </w:rPr>
        <w:t xml:space="preserve"> (2024) 114 NSWLR 313 at 371-372 [226]-[234].</w:t>
      </w:r>
    </w:p>
  </w:footnote>
  <w:footnote w:id="35">
    <w:p w14:paraId="6AC0C4E8"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i/>
          <w:iCs/>
          <w:sz w:val="24"/>
        </w:rPr>
        <w:tab/>
        <w:t>Ryan v The Queen</w:t>
      </w:r>
      <w:r w:rsidRPr="005017E4">
        <w:rPr>
          <w:rFonts w:ascii="Times New Roman" w:hAnsi="Times New Roman"/>
          <w:sz w:val="24"/>
        </w:rPr>
        <w:t xml:space="preserve"> (1967) 121 CLR 205 at 220; </w:t>
      </w:r>
      <w:r w:rsidRPr="005017E4">
        <w:rPr>
          <w:rFonts w:ascii="Times New Roman" w:hAnsi="Times New Roman"/>
          <w:i/>
          <w:iCs/>
          <w:sz w:val="24"/>
        </w:rPr>
        <w:t>IL v The Queen</w:t>
      </w:r>
      <w:r w:rsidRPr="005017E4">
        <w:rPr>
          <w:rFonts w:ascii="Times New Roman" w:hAnsi="Times New Roman"/>
          <w:sz w:val="24"/>
        </w:rPr>
        <w:t xml:space="preserve"> (2017) 262 CLR 268 at 274 [7].</w:t>
      </w:r>
    </w:p>
  </w:footnote>
  <w:footnote w:id="36">
    <w:p w14:paraId="004EDC2A" w14:textId="77777777" w:rsidR="006C6AA0" w:rsidRPr="005017E4" w:rsidRDefault="006C6AA0" w:rsidP="005017E4">
      <w:pPr>
        <w:pStyle w:val="FootnoteText"/>
        <w:spacing w:line="280" w:lineRule="exact"/>
        <w:ind w:right="0"/>
        <w:jc w:val="both"/>
        <w:rPr>
          <w:rFonts w:ascii="Times New Roman" w:hAnsi="Times New Roman"/>
          <w:sz w:val="24"/>
        </w:rPr>
      </w:pPr>
      <w:r w:rsidRPr="005017E4">
        <w:rPr>
          <w:rStyle w:val="FootnoteReference"/>
          <w:rFonts w:ascii="Times New Roman" w:hAnsi="Times New Roman"/>
          <w:sz w:val="22"/>
          <w:vertAlign w:val="baseline"/>
        </w:rPr>
        <w:footnoteRef/>
      </w:r>
      <w:r w:rsidRPr="005017E4">
        <w:rPr>
          <w:rFonts w:ascii="Times New Roman" w:hAnsi="Times New Roman"/>
          <w:sz w:val="24"/>
        </w:rPr>
        <w:t xml:space="preserve"> </w:t>
      </w:r>
      <w:r w:rsidRPr="005017E4">
        <w:rPr>
          <w:rFonts w:ascii="Times New Roman" w:hAnsi="Times New Roman"/>
          <w:sz w:val="24"/>
        </w:rPr>
        <w:tab/>
        <w:t xml:space="preserve">See </w:t>
      </w:r>
      <w:r w:rsidRPr="005017E4">
        <w:rPr>
          <w:rFonts w:ascii="Times New Roman" w:hAnsi="Times New Roman"/>
          <w:i/>
          <w:iCs/>
          <w:sz w:val="24"/>
        </w:rPr>
        <w:t>Criminal Appeal Act 1912</w:t>
      </w:r>
      <w:r w:rsidRPr="005017E4">
        <w:rPr>
          <w:rFonts w:ascii="Times New Roman" w:hAnsi="Times New Roman"/>
          <w:sz w:val="24"/>
        </w:rPr>
        <w:t xml:space="preserve"> (NSW), s 5F(2); </w:t>
      </w:r>
      <w:r w:rsidRPr="005017E4">
        <w:rPr>
          <w:rFonts w:ascii="Times New Roman" w:hAnsi="Times New Roman"/>
          <w:i/>
          <w:iCs/>
          <w:sz w:val="24"/>
        </w:rPr>
        <w:t>Crimes (Appeal and Review) Act 2001</w:t>
      </w:r>
      <w:r w:rsidRPr="005017E4">
        <w:rPr>
          <w:rFonts w:ascii="Times New Roman" w:hAnsi="Times New Roman"/>
          <w:sz w:val="24"/>
        </w:rPr>
        <w:t xml:space="preserve"> (NSW), ss 107(1)-(2), 108(1)-(2).</w:t>
      </w:r>
    </w:p>
  </w:footnote>
  <w:footnote w:id="37">
    <w:p w14:paraId="26240C1B" w14:textId="77777777" w:rsidR="006C6AA0" w:rsidRPr="0064682D" w:rsidRDefault="006C6AA0" w:rsidP="0064682D">
      <w:pPr>
        <w:pStyle w:val="FootnoteText"/>
        <w:spacing w:line="280" w:lineRule="exact"/>
        <w:ind w:right="0"/>
        <w:jc w:val="both"/>
        <w:rPr>
          <w:rFonts w:ascii="Times New Roman" w:hAnsi="Times New Roman"/>
          <w:sz w:val="24"/>
        </w:rPr>
      </w:pPr>
      <w:r w:rsidRPr="0064682D">
        <w:rPr>
          <w:rStyle w:val="FootnoteReference"/>
          <w:rFonts w:ascii="Times New Roman" w:hAnsi="Times New Roman"/>
          <w:sz w:val="22"/>
          <w:vertAlign w:val="baseline"/>
        </w:rPr>
        <w:footnoteRef/>
      </w:r>
      <w:r w:rsidRPr="0064682D">
        <w:rPr>
          <w:rFonts w:ascii="Times New Roman" w:hAnsi="Times New Roman"/>
          <w:sz w:val="24"/>
        </w:rPr>
        <w:t xml:space="preserve"> </w:t>
      </w:r>
      <w:r w:rsidRPr="0064682D">
        <w:rPr>
          <w:rFonts w:ascii="Times New Roman" w:hAnsi="Times New Roman"/>
          <w:sz w:val="24"/>
        </w:rPr>
        <w:tab/>
      </w:r>
      <w:r w:rsidRPr="0064682D">
        <w:rPr>
          <w:rFonts w:ascii="Times New Roman" w:hAnsi="Times New Roman"/>
          <w:i/>
          <w:iCs/>
          <w:sz w:val="24"/>
        </w:rPr>
        <w:t>North Sydney Council v Ligon 302 Pty Ltd</w:t>
      </w:r>
      <w:r w:rsidRPr="0064682D">
        <w:rPr>
          <w:rFonts w:ascii="Times New Roman" w:hAnsi="Times New Roman"/>
          <w:sz w:val="24"/>
        </w:rPr>
        <w:t xml:space="preserve"> (1996) 185 CLR 470 at 474-475 and the cases cited there in footnote 24.</w:t>
      </w:r>
    </w:p>
  </w:footnote>
  <w:footnote w:id="38">
    <w:p w14:paraId="4FF13775" w14:textId="77777777" w:rsidR="006C6AA0" w:rsidRPr="0064682D" w:rsidRDefault="006C6AA0" w:rsidP="0064682D">
      <w:pPr>
        <w:pStyle w:val="FootnoteText"/>
        <w:spacing w:line="280" w:lineRule="exact"/>
        <w:ind w:right="0"/>
        <w:jc w:val="both"/>
        <w:rPr>
          <w:rFonts w:ascii="Times New Roman" w:hAnsi="Times New Roman"/>
          <w:sz w:val="24"/>
        </w:rPr>
      </w:pPr>
      <w:r w:rsidRPr="0064682D">
        <w:rPr>
          <w:rStyle w:val="FootnoteReference"/>
          <w:rFonts w:ascii="Times New Roman" w:hAnsi="Times New Roman"/>
          <w:sz w:val="22"/>
          <w:vertAlign w:val="baseline"/>
        </w:rPr>
        <w:footnoteRef/>
      </w:r>
      <w:r w:rsidRPr="0064682D">
        <w:rPr>
          <w:rFonts w:ascii="Times New Roman" w:hAnsi="Times New Roman"/>
          <w:sz w:val="24"/>
        </w:rPr>
        <w:t xml:space="preserve"> </w:t>
      </w:r>
      <w:r w:rsidRPr="0064682D">
        <w:rPr>
          <w:rFonts w:ascii="Times New Roman" w:hAnsi="Times New Roman"/>
          <w:sz w:val="24"/>
        </w:rPr>
        <w:tab/>
      </w:r>
      <w:r w:rsidRPr="0064682D">
        <w:rPr>
          <w:rFonts w:ascii="Times New Roman" w:hAnsi="Times New Roman"/>
          <w:i/>
          <w:iCs/>
          <w:sz w:val="24"/>
        </w:rPr>
        <w:t>Batak v The King</w:t>
      </w:r>
      <w:r w:rsidRPr="0064682D">
        <w:rPr>
          <w:rFonts w:ascii="Times New Roman" w:hAnsi="Times New Roman"/>
          <w:sz w:val="24"/>
        </w:rPr>
        <w:t xml:space="preserve"> (2024) 114 NSWLR 313 at 371 [228].</w:t>
      </w:r>
    </w:p>
  </w:footnote>
  <w:footnote w:id="39">
    <w:p w14:paraId="73E96090" w14:textId="77777777" w:rsidR="006C6AA0" w:rsidRPr="0064682D" w:rsidRDefault="006C6AA0" w:rsidP="0064682D">
      <w:pPr>
        <w:pStyle w:val="FootnoteText"/>
        <w:spacing w:line="280" w:lineRule="exact"/>
        <w:ind w:right="0"/>
        <w:jc w:val="both"/>
        <w:rPr>
          <w:rFonts w:ascii="Times New Roman" w:hAnsi="Times New Roman"/>
          <w:sz w:val="24"/>
        </w:rPr>
      </w:pPr>
      <w:r w:rsidRPr="0064682D">
        <w:rPr>
          <w:rStyle w:val="FootnoteReference"/>
          <w:rFonts w:ascii="Times New Roman" w:hAnsi="Times New Roman"/>
          <w:sz w:val="22"/>
          <w:vertAlign w:val="baseline"/>
        </w:rPr>
        <w:footnoteRef/>
      </w:r>
      <w:r w:rsidRPr="0064682D">
        <w:rPr>
          <w:rFonts w:ascii="Times New Roman" w:hAnsi="Times New Roman"/>
          <w:sz w:val="24"/>
        </w:rPr>
        <w:t xml:space="preserve"> </w:t>
      </w:r>
      <w:r w:rsidRPr="0064682D">
        <w:rPr>
          <w:rFonts w:ascii="Times New Roman" w:hAnsi="Times New Roman"/>
          <w:sz w:val="24"/>
        </w:rPr>
        <w:tab/>
      </w:r>
      <w:r w:rsidRPr="0064682D">
        <w:rPr>
          <w:rFonts w:ascii="Times New Roman" w:hAnsi="Times New Roman"/>
          <w:i/>
          <w:iCs/>
          <w:sz w:val="24"/>
        </w:rPr>
        <w:t>Batak v The King</w:t>
      </w:r>
      <w:r w:rsidRPr="0064682D">
        <w:rPr>
          <w:rFonts w:ascii="Times New Roman" w:hAnsi="Times New Roman"/>
          <w:sz w:val="24"/>
        </w:rPr>
        <w:t xml:space="preserve"> (2024) 114 NSWLR 313 at 371 [229].</w:t>
      </w:r>
    </w:p>
  </w:footnote>
  <w:footnote w:id="40">
    <w:p w14:paraId="5B2A6514" w14:textId="77777777" w:rsidR="006C6AA0" w:rsidRPr="0064682D" w:rsidRDefault="006C6AA0" w:rsidP="0064682D">
      <w:pPr>
        <w:pStyle w:val="FootnoteText"/>
        <w:spacing w:line="280" w:lineRule="exact"/>
        <w:ind w:right="0"/>
        <w:jc w:val="both"/>
        <w:rPr>
          <w:rFonts w:ascii="Times New Roman" w:hAnsi="Times New Roman"/>
          <w:sz w:val="24"/>
        </w:rPr>
      </w:pPr>
      <w:r w:rsidRPr="0064682D">
        <w:rPr>
          <w:rStyle w:val="FootnoteReference"/>
          <w:rFonts w:ascii="Times New Roman" w:hAnsi="Times New Roman"/>
          <w:sz w:val="22"/>
          <w:vertAlign w:val="baseline"/>
        </w:rPr>
        <w:footnoteRef/>
      </w:r>
      <w:r w:rsidRPr="0064682D">
        <w:rPr>
          <w:rFonts w:ascii="Times New Roman" w:hAnsi="Times New Roman"/>
          <w:sz w:val="24"/>
        </w:rPr>
        <w:t xml:space="preserve"> </w:t>
      </w:r>
      <w:r w:rsidRPr="0064682D">
        <w:rPr>
          <w:rFonts w:ascii="Times New Roman" w:hAnsi="Times New Roman"/>
          <w:sz w:val="24"/>
        </w:rPr>
        <w:tab/>
      </w:r>
      <w:r w:rsidRPr="0064682D">
        <w:rPr>
          <w:rFonts w:ascii="Times New Roman" w:hAnsi="Times New Roman"/>
          <w:i/>
          <w:iCs/>
          <w:sz w:val="24"/>
        </w:rPr>
        <w:t>Batak v The King</w:t>
      </w:r>
      <w:r w:rsidRPr="0064682D">
        <w:rPr>
          <w:rFonts w:ascii="Times New Roman" w:hAnsi="Times New Roman"/>
          <w:sz w:val="24"/>
        </w:rPr>
        <w:t xml:space="preserve"> (2024) 114 NSWLR 313 at 372 [230], quoting </w:t>
      </w:r>
      <w:r w:rsidRPr="0064682D">
        <w:rPr>
          <w:rFonts w:ascii="Times New Roman" w:hAnsi="Times New Roman"/>
          <w:i/>
          <w:iCs/>
          <w:sz w:val="24"/>
        </w:rPr>
        <w:t>Parker v The Queen</w:t>
      </w:r>
      <w:r w:rsidRPr="0064682D">
        <w:rPr>
          <w:rFonts w:ascii="Times New Roman" w:hAnsi="Times New Roman"/>
          <w:sz w:val="24"/>
        </w:rPr>
        <w:t xml:space="preserve"> (1997) 186 CLR 494 at 519.</w:t>
      </w:r>
    </w:p>
  </w:footnote>
  <w:footnote w:id="41">
    <w:p w14:paraId="04749858" w14:textId="77777777" w:rsidR="006C6AA0" w:rsidRPr="0064682D" w:rsidRDefault="006C6AA0" w:rsidP="0064682D">
      <w:pPr>
        <w:pStyle w:val="FootnoteText"/>
        <w:spacing w:line="280" w:lineRule="exact"/>
        <w:ind w:right="0"/>
        <w:jc w:val="both"/>
        <w:rPr>
          <w:rFonts w:ascii="Times New Roman" w:hAnsi="Times New Roman"/>
          <w:sz w:val="24"/>
        </w:rPr>
      </w:pPr>
      <w:r w:rsidRPr="0064682D">
        <w:rPr>
          <w:rStyle w:val="FootnoteReference"/>
          <w:rFonts w:ascii="Times New Roman" w:hAnsi="Times New Roman"/>
          <w:sz w:val="22"/>
          <w:vertAlign w:val="baseline"/>
        </w:rPr>
        <w:footnoteRef/>
      </w:r>
      <w:r w:rsidRPr="0064682D">
        <w:rPr>
          <w:rFonts w:ascii="Times New Roman" w:hAnsi="Times New Roman"/>
          <w:sz w:val="24"/>
        </w:rPr>
        <w:t xml:space="preserve"> </w:t>
      </w:r>
      <w:r w:rsidRPr="0064682D">
        <w:rPr>
          <w:rFonts w:ascii="Times New Roman" w:hAnsi="Times New Roman"/>
          <w:sz w:val="24"/>
        </w:rPr>
        <w:tab/>
      </w:r>
      <w:r w:rsidRPr="0064682D">
        <w:rPr>
          <w:rFonts w:ascii="Times New Roman" w:hAnsi="Times New Roman"/>
          <w:i/>
          <w:iCs/>
          <w:sz w:val="24"/>
        </w:rPr>
        <w:t>Batak v The King</w:t>
      </w:r>
      <w:r w:rsidRPr="0064682D">
        <w:rPr>
          <w:rFonts w:ascii="Times New Roman" w:hAnsi="Times New Roman"/>
          <w:sz w:val="24"/>
        </w:rPr>
        <w:t xml:space="preserve"> (2024) 114 NSWLR 313 at 372 [231]-[232], quoting </w:t>
      </w:r>
      <w:r w:rsidRPr="0064682D">
        <w:rPr>
          <w:rFonts w:ascii="Times New Roman" w:hAnsi="Times New Roman"/>
          <w:i/>
          <w:iCs/>
          <w:sz w:val="24"/>
        </w:rPr>
        <w:t>R v Taufahema</w:t>
      </w:r>
      <w:r w:rsidRPr="0064682D">
        <w:rPr>
          <w:rFonts w:ascii="Times New Roman" w:hAnsi="Times New Roman"/>
          <w:sz w:val="24"/>
        </w:rPr>
        <w:t xml:space="preserve"> (2007) 228 CLR 232 at 263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23D" w14:textId="77777777" w:rsidR="00D0513A" w:rsidRPr="007B474E" w:rsidRDefault="00D0513A" w:rsidP="007B47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26EA" w14:textId="77777777" w:rsidR="006E3B9D" w:rsidRDefault="00C42F70" w:rsidP="0064682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8B2824D" w14:textId="77777777" w:rsidR="006E3B9D" w:rsidRDefault="006E3B9D" w:rsidP="0064682D">
    <w:pPr>
      <w:pStyle w:val="Header"/>
      <w:tabs>
        <w:tab w:val="clear" w:pos="4153"/>
        <w:tab w:val="clear" w:pos="8306"/>
        <w:tab w:val="right" w:pos="1304"/>
      </w:tabs>
      <w:spacing w:line="280" w:lineRule="exact"/>
      <w:ind w:firstLine="0"/>
      <w:rPr>
        <w:rFonts w:ascii="Times New Roman" w:hAnsi="Times New Roman"/>
        <w:i/>
        <w:sz w:val="22"/>
      </w:rPr>
    </w:pPr>
  </w:p>
  <w:p w14:paraId="033D8CA8" w14:textId="77777777" w:rsidR="006E3B9D" w:rsidRDefault="00C42F70" w:rsidP="0064682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49C3D9" w14:textId="77777777" w:rsidR="006E3B9D" w:rsidRPr="0064682D" w:rsidRDefault="006E3B9D" w:rsidP="0064682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294E" w14:textId="77777777" w:rsidR="006E3B9D" w:rsidRDefault="00C42F70" w:rsidP="0064682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47B5862E" w14:textId="77777777" w:rsidR="006E3B9D" w:rsidRDefault="006E3B9D" w:rsidP="0064682D">
    <w:pPr>
      <w:pStyle w:val="Header"/>
      <w:tabs>
        <w:tab w:val="clear" w:pos="4153"/>
        <w:tab w:val="clear" w:pos="8306"/>
        <w:tab w:val="left" w:pos="7200"/>
        <w:tab w:val="right" w:pos="8504"/>
      </w:tabs>
      <w:spacing w:line="280" w:lineRule="exact"/>
      <w:jc w:val="right"/>
      <w:rPr>
        <w:rFonts w:ascii="Times New Roman" w:hAnsi="Times New Roman"/>
        <w:i/>
        <w:sz w:val="22"/>
      </w:rPr>
    </w:pPr>
  </w:p>
  <w:p w14:paraId="19E95B52" w14:textId="77777777" w:rsidR="006E3B9D" w:rsidRDefault="00C42F70" w:rsidP="0064682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8610CA4" w14:textId="77777777" w:rsidR="006E3B9D" w:rsidRPr="0064682D" w:rsidRDefault="006E3B9D" w:rsidP="0064682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73B8" w14:textId="77777777" w:rsidR="006E3B9D" w:rsidRDefault="006E3B9D" w:rsidP="0064682D">
    <w:pPr>
      <w:pStyle w:val="Header"/>
      <w:tabs>
        <w:tab w:val="clear" w:pos="4153"/>
        <w:tab w:val="clear" w:pos="8306"/>
        <w:tab w:val="center" w:pos="1134"/>
      </w:tabs>
      <w:spacing w:line="280" w:lineRule="exact"/>
      <w:ind w:firstLine="0"/>
      <w:rPr>
        <w:rFonts w:ascii="Times New Roman" w:hAnsi="Times New Roman"/>
        <w:i/>
        <w:sz w:val="22"/>
      </w:rPr>
    </w:pPr>
  </w:p>
  <w:p w14:paraId="4E3129F1" w14:textId="77777777" w:rsidR="006E3B9D" w:rsidRDefault="006E3B9D" w:rsidP="0064682D">
    <w:pPr>
      <w:pStyle w:val="Header"/>
      <w:tabs>
        <w:tab w:val="clear" w:pos="4153"/>
        <w:tab w:val="clear" w:pos="8306"/>
        <w:tab w:val="center" w:pos="1134"/>
      </w:tabs>
      <w:spacing w:line="280" w:lineRule="exact"/>
      <w:ind w:firstLine="0"/>
      <w:rPr>
        <w:rFonts w:ascii="Times New Roman" w:hAnsi="Times New Roman"/>
        <w:i/>
        <w:sz w:val="22"/>
      </w:rPr>
    </w:pPr>
  </w:p>
  <w:p w14:paraId="4F22E30F" w14:textId="77777777" w:rsidR="006E3B9D" w:rsidRDefault="006E3B9D" w:rsidP="0064682D">
    <w:pPr>
      <w:pStyle w:val="Header"/>
      <w:tabs>
        <w:tab w:val="clear" w:pos="4153"/>
        <w:tab w:val="clear" w:pos="8306"/>
        <w:tab w:val="center" w:pos="1134"/>
      </w:tabs>
      <w:spacing w:line="280" w:lineRule="exact"/>
      <w:ind w:firstLine="0"/>
      <w:rPr>
        <w:rFonts w:ascii="Times New Roman" w:hAnsi="Times New Roman"/>
        <w:i/>
        <w:sz w:val="22"/>
      </w:rPr>
    </w:pPr>
  </w:p>
  <w:p w14:paraId="086D8E7E" w14:textId="77777777" w:rsidR="006E3B9D" w:rsidRPr="0064682D" w:rsidRDefault="006E3B9D" w:rsidP="0064682D">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8DCD" w14:textId="4B998D40" w:rsidR="00D0513A" w:rsidRPr="007B474E" w:rsidRDefault="007B474E" w:rsidP="007B474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E400" w14:textId="7D7F1E76" w:rsidR="00925FFA" w:rsidRPr="007B474E" w:rsidRDefault="00925FFA" w:rsidP="007B4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9C7C" w14:textId="77777777" w:rsidR="007B474E" w:rsidRPr="00D0513A" w:rsidRDefault="007B474E" w:rsidP="00D0513A">
    <w:pPr>
      <w:pStyle w:val="Header"/>
      <w:tabs>
        <w:tab w:val="clear" w:pos="4153"/>
        <w:tab w:val="clear" w:pos="8306"/>
        <w:tab w:val="right" w:pos="1304"/>
      </w:tabs>
      <w:spacing w:line="280" w:lineRule="exact"/>
      <w:ind w:firstLine="0"/>
      <w:rPr>
        <w:rFonts w:ascii="Times New Roman" w:hAnsi="Times New Roman"/>
        <w:i/>
        <w:sz w:val="22"/>
      </w:rPr>
    </w:pPr>
    <w:r w:rsidRPr="00D0513A">
      <w:rPr>
        <w:rFonts w:ascii="Times New Roman" w:hAnsi="Times New Roman"/>
        <w:i/>
        <w:sz w:val="22"/>
      </w:rPr>
      <w:t>Gageler</w:t>
    </w:r>
    <w:r w:rsidRPr="00D0513A">
      <w:rPr>
        <w:rFonts w:ascii="Times New Roman" w:hAnsi="Times New Roman"/>
        <w:i/>
        <w:sz w:val="22"/>
      </w:rPr>
      <w:tab/>
      <w:t>CJ</w:t>
    </w:r>
  </w:p>
  <w:p w14:paraId="2BF90CBA" w14:textId="77777777" w:rsidR="007B474E" w:rsidRPr="00D0513A" w:rsidRDefault="007B474E" w:rsidP="00D0513A">
    <w:pPr>
      <w:pStyle w:val="Header"/>
      <w:tabs>
        <w:tab w:val="clear" w:pos="4153"/>
        <w:tab w:val="clear" w:pos="8306"/>
        <w:tab w:val="right" w:pos="1304"/>
      </w:tabs>
      <w:spacing w:line="280" w:lineRule="exact"/>
      <w:ind w:firstLine="0"/>
      <w:rPr>
        <w:rFonts w:ascii="Times New Roman" w:hAnsi="Times New Roman"/>
        <w:i/>
        <w:sz w:val="22"/>
      </w:rPr>
    </w:pPr>
    <w:r w:rsidRPr="00D0513A">
      <w:rPr>
        <w:rFonts w:ascii="Times New Roman" w:hAnsi="Times New Roman"/>
        <w:i/>
        <w:sz w:val="22"/>
      </w:rPr>
      <w:t>Gordon</w:t>
    </w:r>
    <w:r w:rsidRPr="00D0513A">
      <w:rPr>
        <w:rFonts w:ascii="Times New Roman" w:hAnsi="Times New Roman"/>
        <w:i/>
        <w:sz w:val="22"/>
      </w:rPr>
      <w:tab/>
      <w:t>J</w:t>
    </w:r>
  </w:p>
  <w:p w14:paraId="0C6A0095" w14:textId="77777777" w:rsidR="007B474E" w:rsidRPr="00D0513A" w:rsidRDefault="007B474E" w:rsidP="00D0513A">
    <w:pPr>
      <w:pStyle w:val="Header"/>
      <w:tabs>
        <w:tab w:val="clear" w:pos="4153"/>
        <w:tab w:val="clear" w:pos="8306"/>
        <w:tab w:val="right" w:pos="1304"/>
      </w:tabs>
      <w:spacing w:line="280" w:lineRule="exact"/>
      <w:ind w:firstLine="0"/>
      <w:rPr>
        <w:rFonts w:ascii="Times New Roman" w:hAnsi="Times New Roman"/>
        <w:i/>
        <w:sz w:val="22"/>
      </w:rPr>
    </w:pPr>
    <w:r w:rsidRPr="00D0513A">
      <w:rPr>
        <w:rFonts w:ascii="Times New Roman" w:hAnsi="Times New Roman"/>
        <w:i/>
        <w:sz w:val="22"/>
      </w:rPr>
      <w:t>Steward</w:t>
    </w:r>
    <w:r w:rsidRPr="00D0513A">
      <w:rPr>
        <w:rFonts w:ascii="Times New Roman" w:hAnsi="Times New Roman"/>
        <w:i/>
        <w:sz w:val="22"/>
      </w:rPr>
      <w:tab/>
      <w:t>J</w:t>
    </w:r>
  </w:p>
  <w:p w14:paraId="59A512C5" w14:textId="77777777" w:rsidR="007B474E" w:rsidRPr="00D0513A" w:rsidRDefault="007B474E" w:rsidP="00D0513A">
    <w:pPr>
      <w:pStyle w:val="Header"/>
      <w:tabs>
        <w:tab w:val="clear" w:pos="4153"/>
        <w:tab w:val="clear" w:pos="8306"/>
        <w:tab w:val="right" w:pos="1304"/>
      </w:tabs>
      <w:spacing w:line="280" w:lineRule="exact"/>
      <w:ind w:firstLine="0"/>
      <w:rPr>
        <w:rFonts w:ascii="Times New Roman" w:hAnsi="Times New Roman"/>
        <w:i/>
        <w:sz w:val="22"/>
      </w:rPr>
    </w:pPr>
    <w:r w:rsidRPr="00D0513A">
      <w:rPr>
        <w:rFonts w:ascii="Times New Roman" w:hAnsi="Times New Roman"/>
        <w:i/>
        <w:sz w:val="22"/>
      </w:rPr>
      <w:t>Gleeson</w:t>
    </w:r>
    <w:r w:rsidRPr="00D0513A">
      <w:rPr>
        <w:rFonts w:ascii="Times New Roman" w:hAnsi="Times New Roman"/>
        <w:i/>
        <w:sz w:val="22"/>
      </w:rPr>
      <w:tab/>
      <w:t>J</w:t>
    </w:r>
  </w:p>
  <w:p w14:paraId="2CCDE3B6" w14:textId="77777777" w:rsidR="007B474E" w:rsidRDefault="007B474E" w:rsidP="00D0513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1A59647" w14:textId="77777777" w:rsidR="007B474E" w:rsidRDefault="007B474E" w:rsidP="00D0513A">
    <w:pPr>
      <w:pStyle w:val="Header"/>
      <w:tabs>
        <w:tab w:val="clear" w:pos="4153"/>
        <w:tab w:val="clear" w:pos="8306"/>
        <w:tab w:val="right" w:pos="1304"/>
      </w:tabs>
      <w:spacing w:line="280" w:lineRule="exact"/>
      <w:ind w:firstLine="0"/>
      <w:rPr>
        <w:rFonts w:ascii="Times New Roman" w:hAnsi="Times New Roman"/>
        <w:i/>
        <w:sz w:val="22"/>
      </w:rPr>
    </w:pPr>
  </w:p>
  <w:p w14:paraId="788327D6" w14:textId="77777777" w:rsidR="007B474E" w:rsidRDefault="007B474E" w:rsidP="00D0513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A9C3B4B" w14:textId="77777777" w:rsidR="007B474E" w:rsidRPr="00D0513A" w:rsidRDefault="007B474E" w:rsidP="00D0513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2682" w14:textId="77777777" w:rsidR="007B474E" w:rsidRPr="00D0513A" w:rsidRDefault="007B474E" w:rsidP="00D0513A">
    <w:pPr>
      <w:pStyle w:val="Header"/>
      <w:tabs>
        <w:tab w:val="clear" w:pos="4153"/>
        <w:tab w:val="clear" w:pos="8306"/>
        <w:tab w:val="left" w:pos="7200"/>
        <w:tab w:val="right" w:pos="8504"/>
      </w:tabs>
      <w:spacing w:line="280" w:lineRule="exact"/>
      <w:jc w:val="right"/>
      <w:rPr>
        <w:rFonts w:ascii="Times New Roman" w:hAnsi="Times New Roman"/>
        <w:i/>
        <w:sz w:val="22"/>
      </w:rPr>
    </w:pPr>
    <w:r w:rsidRPr="00D0513A">
      <w:rPr>
        <w:rFonts w:ascii="Times New Roman" w:hAnsi="Times New Roman"/>
        <w:i/>
        <w:sz w:val="22"/>
      </w:rPr>
      <w:tab/>
      <w:t>Gageler</w:t>
    </w:r>
    <w:r w:rsidRPr="00D0513A">
      <w:rPr>
        <w:rFonts w:ascii="Times New Roman" w:hAnsi="Times New Roman"/>
        <w:i/>
        <w:sz w:val="22"/>
      </w:rPr>
      <w:tab/>
      <w:t>CJ</w:t>
    </w:r>
  </w:p>
  <w:p w14:paraId="65363439" w14:textId="77777777" w:rsidR="007B474E" w:rsidRPr="00D0513A" w:rsidRDefault="007B474E" w:rsidP="00D0513A">
    <w:pPr>
      <w:pStyle w:val="Header"/>
      <w:tabs>
        <w:tab w:val="clear" w:pos="4153"/>
        <w:tab w:val="clear" w:pos="8306"/>
        <w:tab w:val="left" w:pos="7200"/>
        <w:tab w:val="right" w:pos="8504"/>
      </w:tabs>
      <w:spacing w:line="280" w:lineRule="exact"/>
      <w:jc w:val="right"/>
      <w:rPr>
        <w:rFonts w:ascii="Times New Roman" w:hAnsi="Times New Roman"/>
        <w:i/>
        <w:sz w:val="22"/>
      </w:rPr>
    </w:pPr>
    <w:r w:rsidRPr="00D0513A">
      <w:rPr>
        <w:rFonts w:ascii="Times New Roman" w:hAnsi="Times New Roman"/>
        <w:i/>
        <w:sz w:val="22"/>
      </w:rPr>
      <w:tab/>
      <w:t>Gordon</w:t>
    </w:r>
    <w:r w:rsidRPr="00D0513A">
      <w:rPr>
        <w:rFonts w:ascii="Times New Roman" w:hAnsi="Times New Roman"/>
        <w:i/>
        <w:sz w:val="22"/>
      </w:rPr>
      <w:tab/>
      <w:t>J</w:t>
    </w:r>
  </w:p>
  <w:p w14:paraId="6B7E573B" w14:textId="77777777" w:rsidR="007B474E" w:rsidRPr="00D0513A" w:rsidRDefault="007B474E" w:rsidP="00D0513A">
    <w:pPr>
      <w:pStyle w:val="Header"/>
      <w:tabs>
        <w:tab w:val="clear" w:pos="4153"/>
        <w:tab w:val="clear" w:pos="8306"/>
        <w:tab w:val="left" w:pos="7200"/>
        <w:tab w:val="right" w:pos="8504"/>
      </w:tabs>
      <w:spacing w:line="280" w:lineRule="exact"/>
      <w:jc w:val="right"/>
      <w:rPr>
        <w:rFonts w:ascii="Times New Roman" w:hAnsi="Times New Roman"/>
        <w:i/>
        <w:sz w:val="22"/>
      </w:rPr>
    </w:pPr>
    <w:r w:rsidRPr="00D0513A">
      <w:rPr>
        <w:rFonts w:ascii="Times New Roman" w:hAnsi="Times New Roman"/>
        <w:i/>
        <w:sz w:val="22"/>
      </w:rPr>
      <w:tab/>
      <w:t>Steward</w:t>
    </w:r>
    <w:r w:rsidRPr="00D0513A">
      <w:rPr>
        <w:rFonts w:ascii="Times New Roman" w:hAnsi="Times New Roman"/>
        <w:i/>
        <w:sz w:val="22"/>
      </w:rPr>
      <w:tab/>
      <w:t>J</w:t>
    </w:r>
  </w:p>
  <w:p w14:paraId="68E55B2E" w14:textId="77777777" w:rsidR="007B474E" w:rsidRPr="00D0513A" w:rsidRDefault="007B474E" w:rsidP="00D0513A">
    <w:pPr>
      <w:pStyle w:val="Header"/>
      <w:tabs>
        <w:tab w:val="clear" w:pos="4153"/>
        <w:tab w:val="clear" w:pos="8306"/>
        <w:tab w:val="left" w:pos="7200"/>
        <w:tab w:val="right" w:pos="8504"/>
      </w:tabs>
      <w:spacing w:line="280" w:lineRule="exact"/>
      <w:jc w:val="right"/>
      <w:rPr>
        <w:rFonts w:ascii="Times New Roman" w:hAnsi="Times New Roman"/>
        <w:i/>
        <w:sz w:val="22"/>
      </w:rPr>
    </w:pPr>
    <w:r w:rsidRPr="00D0513A">
      <w:rPr>
        <w:rFonts w:ascii="Times New Roman" w:hAnsi="Times New Roman"/>
        <w:i/>
        <w:sz w:val="22"/>
      </w:rPr>
      <w:tab/>
      <w:t>Gleeson</w:t>
    </w:r>
    <w:r w:rsidRPr="00D0513A">
      <w:rPr>
        <w:rFonts w:ascii="Times New Roman" w:hAnsi="Times New Roman"/>
        <w:i/>
        <w:sz w:val="22"/>
      </w:rPr>
      <w:tab/>
      <w:t>J</w:t>
    </w:r>
  </w:p>
  <w:p w14:paraId="41E7F184" w14:textId="77777777" w:rsidR="007B474E" w:rsidRDefault="007B474E" w:rsidP="00D0513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A292DD1" w14:textId="77777777" w:rsidR="007B474E" w:rsidRDefault="007B474E" w:rsidP="00D0513A">
    <w:pPr>
      <w:pStyle w:val="Header"/>
      <w:tabs>
        <w:tab w:val="clear" w:pos="4153"/>
        <w:tab w:val="clear" w:pos="8306"/>
        <w:tab w:val="left" w:pos="7200"/>
        <w:tab w:val="right" w:pos="8504"/>
      </w:tabs>
      <w:spacing w:line="280" w:lineRule="exact"/>
      <w:jc w:val="right"/>
      <w:rPr>
        <w:rFonts w:ascii="Times New Roman" w:hAnsi="Times New Roman"/>
        <w:i/>
        <w:sz w:val="22"/>
      </w:rPr>
    </w:pPr>
  </w:p>
  <w:p w14:paraId="18CF951A" w14:textId="77777777" w:rsidR="007B474E" w:rsidRDefault="007B474E" w:rsidP="00D0513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E97C8C1" w14:textId="77777777" w:rsidR="007B474E" w:rsidRPr="00D0513A" w:rsidRDefault="007B474E" w:rsidP="00D0513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B80E"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6AADB2A5"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24AB61AC"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5DCED561"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62DCD888"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4D6BC1A2"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39F030BB" w14:textId="77777777" w:rsidR="007B474E"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p w14:paraId="4E8A3758" w14:textId="77777777" w:rsidR="007B474E" w:rsidRPr="00D0513A" w:rsidRDefault="007B474E" w:rsidP="00D0513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EF9A" w14:textId="77777777" w:rsidR="006E3B9D" w:rsidRDefault="00C42F70" w:rsidP="005017E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DD4D790" w14:textId="77777777" w:rsidR="006E3B9D" w:rsidRDefault="006E3B9D" w:rsidP="005017E4">
    <w:pPr>
      <w:pStyle w:val="Header"/>
      <w:tabs>
        <w:tab w:val="clear" w:pos="4153"/>
        <w:tab w:val="clear" w:pos="8306"/>
        <w:tab w:val="right" w:pos="1304"/>
      </w:tabs>
      <w:spacing w:line="280" w:lineRule="exact"/>
      <w:ind w:firstLine="0"/>
      <w:rPr>
        <w:rFonts w:ascii="Times New Roman" w:hAnsi="Times New Roman"/>
        <w:i/>
        <w:sz w:val="22"/>
      </w:rPr>
    </w:pPr>
  </w:p>
  <w:p w14:paraId="495E97D6" w14:textId="77777777" w:rsidR="006E3B9D" w:rsidRDefault="00C42F70" w:rsidP="005017E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F3D57E" w14:textId="77777777" w:rsidR="006E3B9D" w:rsidRPr="005017E4" w:rsidRDefault="006E3B9D" w:rsidP="005017E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C91C" w14:textId="77777777" w:rsidR="006E3B9D" w:rsidRDefault="00C42F70" w:rsidP="005017E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335DCDD" w14:textId="77777777" w:rsidR="006E3B9D" w:rsidRDefault="006E3B9D" w:rsidP="005017E4">
    <w:pPr>
      <w:pStyle w:val="Header"/>
      <w:tabs>
        <w:tab w:val="clear" w:pos="4153"/>
        <w:tab w:val="clear" w:pos="8306"/>
        <w:tab w:val="left" w:pos="7200"/>
        <w:tab w:val="right" w:pos="8504"/>
      </w:tabs>
      <w:spacing w:line="280" w:lineRule="exact"/>
      <w:jc w:val="right"/>
      <w:rPr>
        <w:rFonts w:ascii="Times New Roman" w:hAnsi="Times New Roman"/>
        <w:i/>
        <w:sz w:val="22"/>
      </w:rPr>
    </w:pPr>
  </w:p>
  <w:p w14:paraId="4466CBC6" w14:textId="77777777" w:rsidR="006E3B9D" w:rsidRDefault="00C42F70" w:rsidP="005017E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6A43B55" w14:textId="77777777" w:rsidR="006E3B9D" w:rsidRPr="005017E4" w:rsidRDefault="006E3B9D" w:rsidP="005017E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569F" w14:textId="77777777" w:rsidR="006E3B9D" w:rsidRDefault="006E3B9D" w:rsidP="005017E4">
    <w:pPr>
      <w:pStyle w:val="Header"/>
      <w:tabs>
        <w:tab w:val="clear" w:pos="4153"/>
        <w:tab w:val="clear" w:pos="8306"/>
        <w:tab w:val="center" w:pos="1134"/>
      </w:tabs>
      <w:spacing w:line="280" w:lineRule="exact"/>
      <w:ind w:firstLine="0"/>
      <w:rPr>
        <w:rFonts w:ascii="Times New Roman" w:hAnsi="Times New Roman"/>
        <w:i/>
        <w:sz w:val="22"/>
      </w:rPr>
    </w:pPr>
  </w:p>
  <w:p w14:paraId="465CFE55" w14:textId="77777777" w:rsidR="006E3B9D" w:rsidRDefault="006E3B9D" w:rsidP="005017E4">
    <w:pPr>
      <w:pStyle w:val="Header"/>
      <w:tabs>
        <w:tab w:val="clear" w:pos="4153"/>
        <w:tab w:val="clear" w:pos="8306"/>
        <w:tab w:val="center" w:pos="1134"/>
      </w:tabs>
      <w:spacing w:line="280" w:lineRule="exact"/>
      <w:ind w:firstLine="0"/>
      <w:rPr>
        <w:rFonts w:ascii="Times New Roman" w:hAnsi="Times New Roman"/>
        <w:i/>
        <w:sz w:val="22"/>
      </w:rPr>
    </w:pPr>
  </w:p>
  <w:p w14:paraId="7895E448" w14:textId="77777777" w:rsidR="006E3B9D" w:rsidRDefault="006E3B9D" w:rsidP="005017E4">
    <w:pPr>
      <w:pStyle w:val="Header"/>
      <w:tabs>
        <w:tab w:val="clear" w:pos="4153"/>
        <w:tab w:val="clear" w:pos="8306"/>
        <w:tab w:val="center" w:pos="1134"/>
      </w:tabs>
      <w:spacing w:line="280" w:lineRule="exact"/>
      <w:ind w:firstLine="0"/>
      <w:rPr>
        <w:rFonts w:ascii="Times New Roman" w:hAnsi="Times New Roman"/>
        <w:i/>
        <w:sz w:val="22"/>
      </w:rPr>
    </w:pPr>
  </w:p>
  <w:p w14:paraId="2963A375" w14:textId="77777777" w:rsidR="006E3B9D" w:rsidRPr="005017E4" w:rsidRDefault="006E3B9D" w:rsidP="005017E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 w:numId="20" w16cid:durableId="2102292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53"/>
    <w:rsid w:val="00000476"/>
    <w:rsid w:val="000007D4"/>
    <w:rsid w:val="00001610"/>
    <w:rsid w:val="00002069"/>
    <w:rsid w:val="0000236B"/>
    <w:rsid w:val="00002A58"/>
    <w:rsid w:val="00002CE6"/>
    <w:rsid w:val="0000316A"/>
    <w:rsid w:val="000049B7"/>
    <w:rsid w:val="00004A72"/>
    <w:rsid w:val="000051DA"/>
    <w:rsid w:val="00006137"/>
    <w:rsid w:val="000076A5"/>
    <w:rsid w:val="00007F56"/>
    <w:rsid w:val="000107F0"/>
    <w:rsid w:val="00010C8D"/>
    <w:rsid w:val="000128DA"/>
    <w:rsid w:val="000141CA"/>
    <w:rsid w:val="00014B34"/>
    <w:rsid w:val="00014D28"/>
    <w:rsid w:val="000158AD"/>
    <w:rsid w:val="000159B4"/>
    <w:rsid w:val="000168C9"/>
    <w:rsid w:val="00016A06"/>
    <w:rsid w:val="00016C20"/>
    <w:rsid w:val="00016DBB"/>
    <w:rsid w:val="00016DD1"/>
    <w:rsid w:val="00017144"/>
    <w:rsid w:val="00017B93"/>
    <w:rsid w:val="00021BB0"/>
    <w:rsid w:val="00022A53"/>
    <w:rsid w:val="00022FDD"/>
    <w:rsid w:val="00023CAD"/>
    <w:rsid w:val="0002425D"/>
    <w:rsid w:val="000249DA"/>
    <w:rsid w:val="000250AF"/>
    <w:rsid w:val="000251F1"/>
    <w:rsid w:val="00025490"/>
    <w:rsid w:val="0002561E"/>
    <w:rsid w:val="000268E1"/>
    <w:rsid w:val="00030B32"/>
    <w:rsid w:val="00030BD3"/>
    <w:rsid w:val="000336B4"/>
    <w:rsid w:val="0003575A"/>
    <w:rsid w:val="000360EB"/>
    <w:rsid w:val="0003636F"/>
    <w:rsid w:val="00036951"/>
    <w:rsid w:val="00037A5F"/>
    <w:rsid w:val="00037D87"/>
    <w:rsid w:val="000401B1"/>
    <w:rsid w:val="00042EF3"/>
    <w:rsid w:val="00042F55"/>
    <w:rsid w:val="00043527"/>
    <w:rsid w:val="00043D2C"/>
    <w:rsid w:val="000452D8"/>
    <w:rsid w:val="00045582"/>
    <w:rsid w:val="00046153"/>
    <w:rsid w:val="00046812"/>
    <w:rsid w:val="000478AE"/>
    <w:rsid w:val="00047CAC"/>
    <w:rsid w:val="00050DB5"/>
    <w:rsid w:val="00050FF1"/>
    <w:rsid w:val="0005111F"/>
    <w:rsid w:val="00051FB7"/>
    <w:rsid w:val="000528EE"/>
    <w:rsid w:val="00052CEA"/>
    <w:rsid w:val="00054114"/>
    <w:rsid w:val="00055ACD"/>
    <w:rsid w:val="00055EA4"/>
    <w:rsid w:val="00056BA1"/>
    <w:rsid w:val="00056CA2"/>
    <w:rsid w:val="00056F27"/>
    <w:rsid w:val="000573AF"/>
    <w:rsid w:val="00061062"/>
    <w:rsid w:val="0006169E"/>
    <w:rsid w:val="00062453"/>
    <w:rsid w:val="000626FD"/>
    <w:rsid w:val="000628F4"/>
    <w:rsid w:val="0006296E"/>
    <w:rsid w:val="00064087"/>
    <w:rsid w:val="0006432B"/>
    <w:rsid w:val="000652A1"/>
    <w:rsid w:val="000653D4"/>
    <w:rsid w:val="000658FA"/>
    <w:rsid w:val="000662F1"/>
    <w:rsid w:val="000664A5"/>
    <w:rsid w:val="0007037E"/>
    <w:rsid w:val="00070DE7"/>
    <w:rsid w:val="000717EA"/>
    <w:rsid w:val="00071C35"/>
    <w:rsid w:val="00072299"/>
    <w:rsid w:val="00072A10"/>
    <w:rsid w:val="00075A08"/>
    <w:rsid w:val="00075D72"/>
    <w:rsid w:val="00075F50"/>
    <w:rsid w:val="00076562"/>
    <w:rsid w:val="000769F7"/>
    <w:rsid w:val="00077009"/>
    <w:rsid w:val="00077A4C"/>
    <w:rsid w:val="00077B51"/>
    <w:rsid w:val="00080D77"/>
    <w:rsid w:val="00081ACF"/>
    <w:rsid w:val="0008435D"/>
    <w:rsid w:val="00084824"/>
    <w:rsid w:val="0008522C"/>
    <w:rsid w:val="0008558C"/>
    <w:rsid w:val="00085813"/>
    <w:rsid w:val="00085F13"/>
    <w:rsid w:val="00087764"/>
    <w:rsid w:val="000900D3"/>
    <w:rsid w:val="0009269A"/>
    <w:rsid w:val="0009331B"/>
    <w:rsid w:val="00094159"/>
    <w:rsid w:val="000947C4"/>
    <w:rsid w:val="00094D9D"/>
    <w:rsid w:val="00096CA2"/>
    <w:rsid w:val="00097BBD"/>
    <w:rsid w:val="000A0887"/>
    <w:rsid w:val="000A0A02"/>
    <w:rsid w:val="000A1123"/>
    <w:rsid w:val="000A1FD2"/>
    <w:rsid w:val="000A28D4"/>
    <w:rsid w:val="000A2BA4"/>
    <w:rsid w:val="000A2EB4"/>
    <w:rsid w:val="000A30D0"/>
    <w:rsid w:val="000A3551"/>
    <w:rsid w:val="000A3DA3"/>
    <w:rsid w:val="000A4C5A"/>
    <w:rsid w:val="000A63C6"/>
    <w:rsid w:val="000B10C6"/>
    <w:rsid w:val="000B37AA"/>
    <w:rsid w:val="000B4630"/>
    <w:rsid w:val="000B4690"/>
    <w:rsid w:val="000B497F"/>
    <w:rsid w:val="000B4A71"/>
    <w:rsid w:val="000B52F2"/>
    <w:rsid w:val="000B541B"/>
    <w:rsid w:val="000B5C9F"/>
    <w:rsid w:val="000B710D"/>
    <w:rsid w:val="000B7558"/>
    <w:rsid w:val="000B7F56"/>
    <w:rsid w:val="000C04DC"/>
    <w:rsid w:val="000C0D98"/>
    <w:rsid w:val="000C2E1B"/>
    <w:rsid w:val="000C3DE2"/>
    <w:rsid w:val="000C685F"/>
    <w:rsid w:val="000C7588"/>
    <w:rsid w:val="000C78B9"/>
    <w:rsid w:val="000C7AF6"/>
    <w:rsid w:val="000D072A"/>
    <w:rsid w:val="000D125F"/>
    <w:rsid w:val="000D255C"/>
    <w:rsid w:val="000D25E6"/>
    <w:rsid w:val="000D30A2"/>
    <w:rsid w:val="000D32D2"/>
    <w:rsid w:val="000D33F5"/>
    <w:rsid w:val="000D3DBB"/>
    <w:rsid w:val="000D4092"/>
    <w:rsid w:val="000D40DA"/>
    <w:rsid w:val="000D4CCC"/>
    <w:rsid w:val="000D5364"/>
    <w:rsid w:val="000D53C8"/>
    <w:rsid w:val="000D6433"/>
    <w:rsid w:val="000D66F9"/>
    <w:rsid w:val="000D6A62"/>
    <w:rsid w:val="000E1B4F"/>
    <w:rsid w:val="000E2753"/>
    <w:rsid w:val="000E35D9"/>
    <w:rsid w:val="000E3AFE"/>
    <w:rsid w:val="000E4004"/>
    <w:rsid w:val="000E49AC"/>
    <w:rsid w:val="000E65F7"/>
    <w:rsid w:val="000E67E9"/>
    <w:rsid w:val="000F007D"/>
    <w:rsid w:val="000F0AE7"/>
    <w:rsid w:val="000F1345"/>
    <w:rsid w:val="000F310D"/>
    <w:rsid w:val="000F3BB3"/>
    <w:rsid w:val="000F3F1B"/>
    <w:rsid w:val="000F4DAE"/>
    <w:rsid w:val="000F5A32"/>
    <w:rsid w:val="001001B9"/>
    <w:rsid w:val="001001DE"/>
    <w:rsid w:val="001003F2"/>
    <w:rsid w:val="001004A4"/>
    <w:rsid w:val="0010104A"/>
    <w:rsid w:val="001019EF"/>
    <w:rsid w:val="00102254"/>
    <w:rsid w:val="001024B5"/>
    <w:rsid w:val="00104D06"/>
    <w:rsid w:val="00106AD9"/>
    <w:rsid w:val="0010702C"/>
    <w:rsid w:val="00107B9B"/>
    <w:rsid w:val="00110970"/>
    <w:rsid w:val="00111568"/>
    <w:rsid w:val="001116F9"/>
    <w:rsid w:val="001120C0"/>
    <w:rsid w:val="00112223"/>
    <w:rsid w:val="001129E5"/>
    <w:rsid w:val="001141D8"/>
    <w:rsid w:val="00114A03"/>
    <w:rsid w:val="001150BF"/>
    <w:rsid w:val="00115EB0"/>
    <w:rsid w:val="0011655C"/>
    <w:rsid w:val="001168F2"/>
    <w:rsid w:val="00120207"/>
    <w:rsid w:val="001206F6"/>
    <w:rsid w:val="00122285"/>
    <w:rsid w:val="0012243D"/>
    <w:rsid w:val="00123791"/>
    <w:rsid w:val="00123C1B"/>
    <w:rsid w:val="0012497C"/>
    <w:rsid w:val="00124992"/>
    <w:rsid w:val="00124D26"/>
    <w:rsid w:val="0012507A"/>
    <w:rsid w:val="0012556F"/>
    <w:rsid w:val="00125E3C"/>
    <w:rsid w:val="00130A58"/>
    <w:rsid w:val="001310C9"/>
    <w:rsid w:val="001310D5"/>
    <w:rsid w:val="00133099"/>
    <w:rsid w:val="00133E7E"/>
    <w:rsid w:val="0013456F"/>
    <w:rsid w:val="00135D20"/>
    <w:rsid w:val="00136723"/>
    <w:rsid w:val="00137543"/>
    <w:rsid w:val="00137A8A"/>
    <w:rsid w:val="00140EE2"/>
    <w:rsid w:val="00141030"/>
    <w:rsid w:val="00141CF1"/>
    <w:rsid w:val="00142072"/>
    <w:rsid w:val="00142C88"/>
    <w:rsid w:val="001433A2"/>
    <w:rsid w:val="00143FCB"/>
    <w:rsid w:val="00144F61"/>
    <w:rsid w:val="00144FEF"/>
    <w:rsid w:val="0014505E"/>
    <w:rsid w:val="00145627"/>
    <w:rsid w:val="00146A41"/>
    <w:rsid w:val="0014731D"/>
    <w:rsid w:val="00150002"/>
    <w:rsid w:val="0015031C"/>
    <w:rsid w:val="0015152E"/>
    <w:rsid w:val="00151679"/>
    <w:rsid w:val="00151D6E"/>
    <w:rsid w:val="00151F49"/>
    <w:rsid w:val="001520B5"/>
    <w:rsid w:val="00152FF8"/>
    <w:rsid w:val="0015318E"/>
    <w:rsid w:val="00153EB1"/>
    <w:rsid w:val="0015401B"/>
    <w:rsid w:val="00154992"/>
    <w:rsid w:val="00157B10"/>
    <w:rsid w:val="00161B54"/>
    <w:rsid w:val="001623E7"/>
    <w:rsid w:val="0016247E"/>
    <w:rsid w:val="00163270"/>
    <w:rsid w:val="00163A3F"/>
    <w:rsid w:val="00163D92"/>
    <w:rsid w:val="00164144"/>
    <w:rsid w:val="001659BA"/>
    <w:rsid w:val="001708DE"/>
    <w:rsid w:val="00171A22"/>
    <w:rsid w:val="00171CED"/>
    <w:rsid w:val="0017266D"/>
    <w:rsid w:val="00172ADE"/>
    <w:rsid w:val="00174BB8"/>
    <w:rsid w:val="00174EDC"/>
    <w:rsid w:val="00175703"/>
    <w:rsid w:val="001758DE"/>
    <w:rsid w:val="00175B03"/>
    <w:rsid w:val="00175FFB"/>
    <w:rsid w:val="0017633C"/>
    <w:rsid w:val="00176D25"/>
    <w:rsid w:val="00177973"/>
    <w:rsid w:val="001833A6"/>
    <w:rsid w:val="0018342E"/>
    <w:rsid w:val="001840C2"/>
    <w:rsid w:val="00184939"/>
    <w:rsid w:val="00184B46"/>
    <w:rsid w:val="001853AB"/>
    <w:rsid w:val="00185827"/>
    <w:rsid w:val="00185939"/>
    <w:rsid w:val="00186934"/>
    <w:rsid w:val="001873C1"/>
    <w:rsid w:val="00187521"/>
    <w:rsid w:val="001876F6"/>
    <w:rsid w:val="00187AFB"/>
    <w:rsid w:val="0019020B"/>
    <w:rsid w:val="00191491"/>
    <w:rsid w:val="00191E23"/>
    <w:rsid w:val="00191FCE"/>
    <w:rsid w:val="00192C77"/>
    <w:rsid w:val="001944FF"/>
    <w:rsid w:val="00194859"/>
    <w:rsid w:val="00194FBB"/>
    <w:rsid w:val="001953B1"/>
    <w:rsid w:val="00195C88"/>
    <w:rsid w:val="001963C0"/>
    <w:rsid w:val="00197956"/>
    <w:rsid w:val="001A01CE"/>
    <w:rsid w:val="001A0DB0"/>
    <w:rsid w:val="001A0EBC"/>
    <w:rsid w:val="001A2DE5"/>
    <w:rsid w:val="001A3B12"/>
    <w:rsid w:val="001A409D"/>
    <w:rsid w:val="001A42C9"/>
    <w:rsid w:val="001A446E"/>
    <w:rsid w:val="001B002E"/>
    <w:rsid w:val="001B09F4"/>
    <w:rsid w:val="001B12B3"/>
    <w:rsid w:val="001B1676"/>
    <w:rsid w:val="001B17A8"/>
    <w:rsid w:val="001B1A26"/>
    <w:rsid w:val="001B33A9"/>
    <w:rsid w:val="001B362F"/>
    <w:rsid w:val="001B55C8"/>
    <w:rsid w:val="001B5AEF"/>
    <w:rsid w:val="001B63C6"/>
    <w:rsid w:val="001C1AB1"/>
    <w:rsid w:val="001C2338"/>
    <w:rsid w:val="001C3EF3"/>
    <w:rsid w:val="001C48D4"/>
    <w:rsid w:val="001C4967"/>
    <w:rsid w:val="001C5AD2"/>
    <w:rsid w:val="001C64FF"/>
    <w:rsid w:val="001C6659"/>
    <w:rsid w:val="001C7C93"/>
    <w:rsid w:val="001D0C32"/>
    <w:rsid w:val="001D0FE6"/>
    <w:rsid w:val="001D36A7"/>
    <w:rsid w:val="001D36CD"/>
    <w:rsid w:val="001D3D70"/>
    <w:rsid w:val="001D419B"/>
    <w:rsid w:val="001D4F49"/>
    <w:rsid w:val="001D512C"/>
    <w:rsid w:val="001D52B1"/>
    <w:rsid w:val="001D596D"/>
    <w:rsid w:val="001D6D00"/>
    <w:rsid w:val="001D7751"/>
    <w:rsid w:val="001D7982"/>
    <w:rsid w:val="001E1D3D"/>
    <w:rsid w:val="001E1F7E"/>
    <w:rsid w:val="001E3B25"/>
    <w:rsid w:val="001E404A"/>
    <w:rsid w:val="001E47D1"/>
    <w:rsid w:val="001E4BE8"/>
    <w:rsid w:val="001E519B"/>
    <w:rsid w:val="001E6A64"/>
    <w:rsid w:val="001E75C5"/>
    <w:rsid w:val="001E7C05"/>
    <w:rsid w:val="001F0BAF"/>
    <w:rsid w:val="001F0ECF"/>
    <w:rsid w:val="001F0F47"/>
    <w:rsid w:val="001F14DC"/>
    <w:rsid w:val="001F1B5F"/>
    <w:rsid w:val="001F1C1D"/>
    <w:rsid w:val="001F20F6"/>
    <w:rsid w:val="001F21D1"/>
    <w:rsid w:val="001F2D52"/>
    <w:rsid w:val="001F3F2A"/>
    <w:rsid w:val="001F5E8E"/>
    <w:rsid w:val="001F6798"/>
    <w:rsid w:val="001F69C2"/>
    <w:rsid w:val="001F69D2"/>
    <w:rsid w:val="0020347A"/>
    <w:rsid w:val="00203912"/>
    <w:rsid w:val="00203DC9"/>
    <w:rsid w:val="0020421D"/>
    <w:rsid w:val="002048D1"/>
    <w:rsid w:val="00204DC9"/>
    <w:rsid w:val="00205EE1"/>
    <w:rsid w:val="002079CB"/>
    <w:rsid w:val="0021096E"/>
    <w:rsid w:val="00210DE8"/>
    <w:rsid w:val="00211D73"/>
    <w:rsid w:val="00212A3E"/>
    <w:rsid w:val="002137B9"/>
    <w:rsid w:val="00213AC1"/>
    <w:rsid w:val="00213B3C"/>
    <w:rsid w:val="00214BF2"/>
    <w:rsid w:val="00214DF8"/>
    <w:rsid w:val="00215065"/>
    <w:rsid w:val="00215A7F"/>
    <w:rsid w:val="00216522"/>
    <w:rsid w:val="00217056"/>
    <w:rsid w:val="00221D19"/>
    <w:rsid w:val="002224F3"/>
    <w:rsid w:val="002228CD"/>
    <w:rsid w:val="00222CAD"/>
    <w:rsid w:val="002236A1"/>
    <w:rsid w:val="00224609"/>
    <w:rsid w:val="002246BB"/>
    <w:rsid w:val="002254A7"/>
    <w:rsid w:val="002259B2"/>
    <w:rsid w:val="002261F1"/>
    <w:rsid w:val="00226607"/>
    <w:rsid w:val="0022666B"/>
    <w:rsid w:val="00226692"/>
    <w:rsid w:val="00226FD7"/>
    <w:rsid w:val="002271D3"/>
    <w:rsid w:val="0022734D"/>
    <w:rsid w:val="002275E8"/>
    <w:rsid w:val="00227CB4"/>
    <w:rsid w:val="002309A9"/>
    <w:rsid w:val="00231590"/>
    <w:rsid w:val="0023187A"/>
    <w:rsid w:val="002326D4"/>
    <w:rsid w:val="00232BF5"/>
    <w:rsid w:val="0023373E"/>
    <w:rsid w:val="00233E31"/>
    <w:rsid w:val="0023430B"/>
    <w:rsid w:val="0023447F"/>
    <w:rsid w:val="00234E09"/>
    <w:rsid w:val="002350B3"/>
    <w:rsid w:val="002353CB"/>
    <w:rsid w:val="00235961"/>
    <w:rsid w:val="00235EA1"/>
    <w:rsid w:val="0023779D"/>
    <w:rsid w:val="0023798E"/>
    <w:rsid w:val="0024137D"/>
    <w:rsid w:val="00242EE4"/>
    <w:rsid w:val="00243A12"/>
    <w:rsid w:val="0024462E"/>
    <w:rsid w:val="00246613"/>
    <w:rsid w:val="00246D0A"/>
    <w:rsid w:val="00247336"/>
    <w:rsid w:val="002474FA"/>
    <w:rsid w:val="002516B4"/>
    <w:rsid w:val="002518E3"/>
    <w:rsid w:val="00252B39"/>
    <w:rsid w:val="00253493"/>
    <w:rsid w:val="002539BB"/>
    <w:rsid w:val="00253DE9"/>
    <w:rsid w:val="002547E7"/>
    <w:rsid w:val="00254DFC"/>
    <w:rsid w:val="00254F63"/>
    <w:rsid w:val="002558AB"/>
    <w:rsid w:val="002559C0"/>
    <w:rsid w:val="002568A9"/>
    <w:rsid w:val="002568E5"/>
    <w:rsid w:val="00256FA3"/>
    <w:rsid w:val="00257AFB"/>
    <w:rsid w:val="00257CCF"/>
    <w:rsid w:val="002603AF"/>
    <w:rsid w:val="00261FE7"/>
    <w:rsid w:val="0026293D"/>
    <w:rsid w:val="00262C59"/>
    <w:rsid w:val="002639D5"/>
    <w:rsid w:val="00263C84"/>
    <w:rsid w:val="002648A3"/>
    <w:rsid w:val="002648AB"/>
    <w:rsid w:val="00265982"/>
    <w:rsid w:val="002661D3"/>
    <w:rsid w:val="00267962"/>
    <w:rsid w:val="002700AA"/>
    <w:rsid w:val="00270154"/>
    <w:rsid w:val="002707ED"/>
    <w:rsid w:val="00270AD7"/>
    <w:rsid w:val="00271F70"/>
    <w:rsid w:val="002720EC"/>
    <w:rsid w:val="00272C92"/>
    <w:rsid w:val="00273D9A"/>
    <w:rsid w:val="00273F57"/>
    <w:rsid w:val="0027408B"/>
    <w:rsid w:val="00275751"/>
    <w:rsid w:val="00276B56"/>
    <w:rsid w:val="00276D13"/>
    <w:rsid w:val="0027746D"/>
    <w:rsid w:val="00280F46"/>
    <w:rsid w:val="0028107D"/>
    <w:rsid w:val="002819FD"/>
    <w:rsid w:val="00281E73"/>
    <w:rsid w:val="002828E0"/>
    <w:rsid w:val="00282902"/>
    <w:rsid w:val="002840EA"/>
    <w:rsid w:val="00284644"/>
    <w:rsid w:val="00285197"/>
    <w:rsid w:val="0028583A"/>
    <w:rsid w:val="0028679A"/>
    <w:rsid w:val="00286E77"/>
    <w:rsid w:val="002870BD"/>
    <w:rsid w:val="00287368"/>
    <w:rsid w:val="00287873"/>
    <w:rsid w:val="002900AD"/>
    <w:rsid w:val="00290B57"/>
    <w:rsid w:val="002916CC"/>
    <w:rsid w:val="0029278C"/>
    <w:rsid w:val="00292E65"/>
    <w:rsid w:val="00294D3D"/>
    <w:rsid w:val="00296037"/>
    <w:rsid w:val="0029697C"/>
    <w:rsid w:val="00297375"/>
    <w:rsid w:val="002979F1"/>
    <w:rsid w:val="00297BF9"/>
    <w:rsid w:val="002A0A92"/>
    <w:rsid w:val="002A13E1"/>
    <w:rsid w:val="002A3248"/>
    <w:rsid w:val="002A3617"/>
    <w:rsid w:val="002A3C8C"/>
    <w:rsid w:val="002A3DE8"/>
    <w:rsid w:val="002A6122"/>
    <w:rsid w:val="002A64B8"/>
    <w:rsid w:val="002A706F"/>
    <w:rsid w:val="002A7874"/>
    <w:rsid w:val="002B01E8"/>
    <w:rsid w:val="002B051E"/>
    <w:rsid w:val="002B0846"/>
    <w:rsid w:val="002B1304"/>
    <w:rsid w:val="002B2979"/>
    <w:rsid w:val="002B3B01"/>
    <w:rsid w:val="002B55B5"/>
    <w:rsid w:val="002B5D98"/>
    <w:rsid w:val="002B61DC"/>
    <w:rsid w:val="002B6676"/>
    <w:rsid w:val="002B68C7"/>
    <w:rsid w:val="002C121C"/>
    <w:rsid w:val="002C1375"/>
    <w:rsid w:val="002C1EDE"/>
    <w:rsid w:val="002C1F72"/>
    <w:rsid w:val="002C5981"/>
    <w:rsid w:val="002C5991"/>
    <w:rsid w:val="002C657E"/>
    <w:rsid w:val="002C6898"/>
    <w:rsid w:val="002C6954"/>
    <w:rsid w:val="002C7307"/>
    <w:rsid w:val="002C7907"/>
    <w:rsid w:val="002D0410"/>
    <w:rsid w:val="002D0899"/>
    <w:rsid w:val="002D0C43"/>
    <w:rsid w:val="002D1463"/>
    <w:rsid w:val="002D1707"/>
    <w:rsid w:val="002D17E2"/>
    <w:rsid w:val="002D1E8A"/>
    <w:rsid w:val="002D299B"/>
    <w:rsid w:val="002D3A48"/>
    <w:rsid w:val="002D3F5B"/>
    <w:rsid w:val="002D4551"/>
    <w:rsid w:val="002D4746"/>
    <w:rsid w:val="002D51D1"/>
    <w:rsid w:val="002D5DFF"/>
    <w:rsid w:val="002D5E03"/>
    <w:rsid w:val="002E0EC8"/>
    <w:rsid w:val="002E0F7C"/>
    <w:rsid w:val="002E278F"/>
    <w:rsid w:val="002E3563"/>
    <w:rsid w:val="002E3B4D"/>
    <w:rsid w:val="002E48BB"/>
    <w:rsid w:val="002E492E"/>
    <w:rsid w:val="002E5EF3"/>
    <w:rsid w:val="002E5F92"/>
    <w:rsid w:val="002F0522"/>
    <w:rsid w:val="002F0734"/>
    <w:rsid w:val="002F1CC5"/>
    <w:rsid w:val="002F2122"/>
    <w:rsid w:val="002F2123"/>
    <w:rsid w:val="002F278C"/>
    <w:rsid w:val="002F634F"/>
    <w:rsid w:val="002F68B7"/>
    <w:rsid w:val="002F6EC1"/>
    <w:rsid w:val="002F7F22"/>
    <w:rsid w:val="002F7F85"/>
    <w:rsid w:val="0030026A"/>
    <w:rsid w:val="003017CD"/>
    <w:rsid w:val="00301975"/>
    <w:rsid w:val="00302E12"/>
    <w:rsid w:val="0030542C"/>
    <w:rsid w:val="00305C9F"/>
    <w:rsid w:val="003064FA"/>
    <w:rsid w:val="00307990"/>
    <w:rsid w:val="00310384"/>
    <w:rsid w:val="00310418"/>
    <w:rsid w:val="00311CEE"/>
    <w:rsid w:val="00312FFC"/>
    <w:rsid w:val="00313CF9"/>
    <w:rsid w:val="003150BF"/>
    <w:rsid w:val="003150CE"/>
    <w:rsid w:val="00315938"/>
    <w:rsid w:val="00315E92"/>
    <w:rsid w:val="00316235"/>
    <w:rsid w:val="00320749"/>
    <w:rsid w:val="00320767"/>
    <w:rsid w:val="00321440"/>
    <w:rsid w:val="00321663"/>
    <w:rsid w:val="003237F8"/>
    <w:rsid w:val="00323B9E"/>
    <w:rsid w:val="003304B7"/>
    <w:rsid w:val="00330804"/>
    <w:rsid w:val="00331C11"/>
    <w:rsid w:val="00331E76"/>
    <w:rsid w:val="00332DCB"/>
    <w:rsid w:val="00332FA3"/>
    <w:rsid w:val="00333439"/>
    <w:rsid w:val="00333C49"/>
    <w:rsid w:val="003340F7"/>
    <w:rsid w:val="00334A6B"/>
    <w:rsid w:val="00336160"/>
    <w:rsid w:val="003366B2"/>
    <w:rsid w:val="00340066"/>
    <w:rsid w:val="0034122D"/>
    <w:rsid w:val="00341603"/>
    <w:rsid w:val="0034288B"/>
    <w:rsid w:val="00342A05"/>
    <w:rsid w:val="0034332B"/>
    <w:rsid w:val="00344231"/>
    <w:rsid w:val="00344FAD"/>
    <w:rsid w:val="00346317"/>
    <w:rsid w:val="0034681C"/>
    <w:rsid w:val="00347614"/>
    <w:rsid w:val="00350BEF"/>
    <w:rsid w:val="003522A8"/>
    <w:rsid w:val="00353E49"/>
    <w:rsid w:val="003541D4"/>
    <w:rsid w:val="00356234"/>
    <w:rsid w:val="00356F70"/>
    <w:rsid w:val="00357037"/>
    <w:rsid w:val="003600A8"/>
    <w:rsid w:val="00361C55"/>
    <w:rsid w:val="0036210F"/>
    <w:rsid w:val="0036284D"/>
    <w:rsid w:val="00363687"/>
    <w:rsid w:val="00363D3F"/>
    <w:rsid w:val="00365B63"/>
    <w:rsid w:val="00366243"/>
    <w:rsid w:val="00366524"/>
    <w:rsid w:val="003670A7"/>
    <w:rsid w:val="00370A24"/>
    <w:rsid w:val="0037177D"/>
    <w:rsid w:val="00371F25"/>
    <w:rsid w:val="00373E58"/>
    <w:rsid w:val="003741FE"/>
    <w:rsid w:val="003753B7"/>
    <w:rsid w:val="00376073"/>
    <w:rsid w:val="00377376"/>
    <w:rsid w:val="00377452"/>
    <w:rsid w:val="00377CD2"/>
    <w:rsid w:val="00377CE0"/>
    <w:rsid w:val="00381223"/>
    <w:rsid w:val="00381849"/>
    <w:rsid w:val="003823A0"/>
    <w:rsid w:val="0038264B"/>
    <w:rsid w:val="003826A7"/>
    <w:rsid w:val="00382EE6"/>
    <w:rsid w:val="00383BA3"/>
    <w:rsid w:val="00384F36"/>
    <w:rsid w:val="00385271"/>
    <w:rsid w:val="0038603F"/>
    <w:rsid w:val="003918B8"/>
    <w:rsid w:val="0039226E"/>
    <w:rsid w:val="00392CC8"/>
    <w:rsid w:val="00393352"/>
    <w:rsid w:val="003942B1"/>
    <w:rsid w:val="00395693"/>
    <w:rsid w:val="003976ED"/>
    <w:rsid w:val="00397708"/>
    <w:rsid w:val="00397BA8"/>
    <w:rsid w:val="003A0B2F"/>
    <w:rsid w:val="003A1093"/>
    <w:rsid w:val="003A1444"/>
    <w:rsid w:val="003A1CDC"/>
    <w:rsid w:val="003A1E86"/>
    <w:rsid w:val="003A2017"/>
    <w:rsid w:val="003A2046"/>
    <w:rsid w:val="003A48CC"/>
    <w:rsid w:val="003A5AB1"/>
    <w:rsid w:val="003A71A1"/>
    <w:rsid w:val="003A72EF"/>
    <w:rsid w:val="003A744A"/>
    <w:rsid w:val="003A7A48"/>
    <w:rsid w:val="003A7B37"/>
    <w:rsid w:val="003A7E21"/>
    <w:rsid w:val="003B011A"/>
    <w:rsid w:val="003B0241"/>
    <w:rsid w:val="003B2120"/>
    <w:rsid w:val="003B2296"/>
    <w:rsid w:val="003B4EED"/>
    <w:rsid w:val="003B5BC2"/>
    <w:rsid w:val="003B6B2C"/>
    <w:rsid w:val="003B7115"/>
    <w:rsid w:val="003C1E2D"/>
    <w:rsid w:val="003C1F20"/>
    <w:rsid w:val="003C266A"/>
    <w:rsid w:val="003C2ABD"/>
    <w:rsid w:val="003C3342"/>
    <w:rsid w:val="003C557A"/>
    <w:rsid w:val="003C602A"/>
    <w:rsid w:val="003C67E1"/>
    <w:rsid w:val="003C778E"/>
    <w:rsid w:val="003D08C2"/>
    <w:rsid w:val="003D1759"/>
    <w:rsid w:val="003D1896"/>
    <w:rsid w:val="003D25B4"/>
    <w:rsid w:val="003D2C6D"/>
    <w:rsid w:val="003D3B14"/>
    <w:rsid w:val="003D4253"/>
    <w:rsid w:val="003D47EF"/>
    <w:rsid w:val="003D62F7"/>
    <w:rsid w:val="003D75A2"/>
    <w:rsid w:val="003E00A0"/>
    <w:rsid w:val="003E1035"/>
    <w:rsid w:val="003E17F2"/>
    <w:rsid w:val="003E19F7"/>
    <w:rsid w:val="003E1EB2"/>
    <w:rsid w:val="003E358F"/>
    <w:rsid w:val="003E36A8"/>
    <w:rsid w:val="003E3F52"/>
    <w:rsid w:val="003E492C"/>
    <w:rsid w:val="003E4EBA"/>
    <w:rsid w:val="003E682E"/>
    <w:rsid w:val="003E710D"/>
    <w:rsid w:val="003E7A9C"/>
    <w:rsid w:val="003F0894"/>
    <w:rsid w:val="003F1D59"/>
    <w:rsid w:val="003F281B"/>
    <w:rsid w:val="003F30B4"/>
    <w:rsid w:val="003F328F"/>
    <w:rsid w:val="003F3445"/>
    <w:rsid w:val="003F3FF8"/>
    <w:rsid w:val="003F425F"/>
    <w:rsid w:val="003F4B5B"/>
    <w:rsid w:val="003F5166"/>
    <w:rsid w:val="003F531A"/>
    <w:rsid w:val="003F5909"/>
    <w:rsid w:val="003F6FA2"/>
    <w:rsid w:val="003F73F7"/>
    <w:rsid w:val="003F79CF"/>
    <w:rsid w:val="003F7C9E"/>
    <w:rsid w:val="00400D93"/>
    <w:rsid w:val="0040200F"/>
    <w:rsid w:val="004025E8"/>
    <w:rsid w:val="00402768"/>
    <w:rsid w:val="00402FFF"/>
    <w:rsid w:val="00403498"/>
    <w:rsid w:val="00403682"/>
    <w:rsid w:val="00404815"/>
    <w:rsid w:val="00404C36"/>
    <w:rsid w:val="004065D1"/>
    <w:rsid w:val="00406F38"/>
    <w:rsid w:val="004107CA"/>
    <w:rsid w:val="00410B97"/>
    <w:rsid w:val="004111BC"/>
    <w:rsid w:val="004114CB"/>
    <w:rsid w:val="00411E9D"/>
    <w:rsid w:val="004125F4"/>
    <w:rsid w:val="004126D4"/>
    <w:rsid w:val="00412EBC"/>
    <w:rsid w:val="004142CC"/>
    <w:rsid w:val="00414703"/>
    <w:rsid w:val="00415D2B"/>
    <w:rsid w:val="00415DFF"/>
    <w:rsid w:val="00416C0A"/>
    <w:rsid w:val="00421941"/>
    <w:rsid w:val="00424AA3"/>
    <w:rsid w:val="00424DE2"/>
    <w:rsid w:val="00425565"/>
    <w:rsid w:val="00425C90"/>
    <w:rsid w:val="004264BD"/>
    <w:rsid w:val="0042699C"/>
    <w:rsid w:val="00427693"/>
    <w:rsid w:val="004277D4"/>
    <w:rsid w:val="00427E6F"/>
    <w:rsid w:val="004306EF"/>
    <w:rsid w:val="004309D2"/>
    <w:rsid w:val="00430D8A"/>
    <w:rsid w:val="00432528"/>
    <w:rsid w:val="00432836"/>
    <w:rsid w:val="004334AD"/>
    <w:rsid w:val="00436D3F"/>
    <w:rsid w:val="004373D1"/>
    <w:rsid w:val="0043778D"/>
    <w:rsid w:val="00440BB9"/>
    <w:rsid w:val="00444704"/>
    <w:rsid w:val="00444E15"/>
    <w:rsid w:val="004454C2"/>
    <w:rsid w:val="00445BA0"/>
    <w:rsid w:val="00446806"/>
    <w:rsid w:val="00447347"/>
    <w:rsid w:val="00447F33"/>
    <w:rsid w:val="00450A27"/>
    <w:rsid w:val="00451DFB"/>
    <w:rsid w:val="00451EC2"/>
    <w:rsid w:val="00453567"/>
    <w:rsid w:val="00453680"/>
    <w:rsid w:val="004569F1"/>
    <w:rsid w:val="00456D2F"/>
    <w:rsid w:val="00457823"/>
    <w:rsid w:val="00460B31"/>
    <w:rsid w:val="00460F67"/>
    <w:rsid w:val="00463357"/>
    <w:rsid w:val="004636CC"/>
    <w:rsid w:val="00463A04"/>
    <w:rsid w:val="00463BA6"/>
    <w:rsid w:val="004641A2"/>
    <w:rsid w:val="00464FEB"/>
    <w:rsid w:val="00465255"/>
    <w:rsid w:val="00465DAE"/>
    <w:rsid w:val="0046601F"/>
    <w:rsid w:val="0046637F"/>
    <w:rsid w:val="00466AAD"/>
    <w:rsid w:val="00467C58"/>
    <w:rsid w:val="00467FFC"/>
    <w:rsid w:val="00470F54"/>
    <w:rsid w:val="0047224C"/>
    <w:rsid w:val="00472B03"/>
    <w:rsid w:val="004732D8"/>
    <w:rsid w:val="00473718"/>
    <w:rsid w:val="00473869"/>
    <w:rsid w:val="0047410E"/>
    <w:rsid w:val="00474584"/>
    <w:rsid w:val="00474F4A"/>
    <w:rsid w:val="00474F9A"/>
    <w:rsid w:val="00476098"/>
    <w:rsid w:val="00476DBA"/>
    <w:rsid w:val="00476FA7"/>
    <w:rsid w:val="004770EF"/>
    <w:rsid w:val="0048003D"/>
    <w:rsid w:val="0048054A"/>
    <w:rsid w:val="004818E8"/>
    <w:rsid w:val="00482F67"/>
    <w:rsid w:val="00483006"/>
    <w:rsid w:val="00484915"/>
    <w:rsid w:val="00485961"/>
    <w:rsid w:val="004862EA"/>
    <w:rsid w:val="00487387"/>
    <w:rsid w:val="00490D30"/>
    <w:rsid w:val="00490DB5"/>
    <w:rsid w:val="00490DDD"/>
    <w:rsid w:val="00490E50"/>
    <w:rsid w:val="004915A3"/>
    <w:rsid w:val="004919FD"/>
    <w:rsid w:val="00492A2A"/>
    <w:rsid w:val="00492B4F"/>
    <w:rsid w:val="00494070"/>
    <w:rsid w:val="00494128"/>
    <w:rsid w:val="00496C14"/>
    <w:rsid w:val="00496D46"/>
    <w:rsid w:val="004975AD"/>
    <w:rsid w:val="004A06FC"/>
    <w:rsid w:val="004A132C"/>
    <w:rsid w:val="004A1B16"/>
    <w:rsid w:val="004A2333"/>
    <w:rsid w:val="004A3AA4"/>
    <w:rsid w:val="004A43BE"/>
    <w:rsid w:val="004A4422"/>
    <w:rsid w:val="004A498E"/>
    <w:rsid w:val="004A4D70"/>
    <w:rsid w:val="004A4DD5"/>
    <w:rsid w:val="004A5B2E"/>
    <w:rsid w:val="004A5CB1"/>
    <w:rsid w:val="004A6881"/>
    <w:rsid w:val="004A7AEC"/>
    <w:rsid w:val="004B1B41"/>
    <w:rsid w:val="004B1C21"/>
    <w:rsid w:val="004B26D9"/>
    <w:rsid w:val="004B2C5E"/>
    <w:rsid w:val="004B3AE3"/>
    <w:rsid w:val="004B4753"/>
    <w:rsid w:val="004B521D"/>
    <w:rsid w:val="004B55E8"/>
    <w:rsid w:val="004B5BC5"/>
    <w:rsid w:val="004B63F5"/>
    <w:rsid w:val="004B774B"/>
    <w:rsid w:val="004C0229"/>
    <w:rsid w:val="004C0384"/>
    <w:rsid w:val="004C45E9"/>
    <w:rsid w:val="004C4629"/>
    <w:rsid w:val="004C4B71"/>
    <w:rsid w:val="004C580E"/>
    <w:rsid w:val="004D087E"/>
    <w:rsid w:val="004D0D1C"/>
    <w:rsid w:val="004D1781"/>
    <w:rsid w:val="004D19DB"/>
    <w:rsid w:val="004D1E88"/>
    <w:rsid w:val="004D2EE7"/>
    <w:rsid w:val="004D3CD7"/>
    <w:rsid w:val="004D58DE"/>
    <w:rsid w:val="004D63E2"/>
    <w:rsid w:val="004D690A"/>
    <w:rsid w:val="004D7B3E"/>
    <w:rsid w:val="004E189C"/>
    <w:rsid w:val="004E2E87"/>
    <w:rsid w:val="004E3882"/>
    <w:rsid w:val="004E3F30"/>
    <w:rsid w:val="004E46F8"/>
    <w:rsid w:val="004E4CA4"/>
    <w:rsid w:val="004E50C8"/>
    <w:rsid w:val="004E5CEF"/>
    <w:rsid w:val="004E653E"/>
    <w:rsid w:val="004E65F5"/>
    <w:rsid w:val="004F04B9"/>
    <w:rsid w:val="004F1C65"/>
    <w:rsid w:val="004F2AC9"/>
    <w:rsid w:val="004F2D77"/>
    <w:rsid w:val="004F3B08"/>
    <w:rsid w:val="004F3C00"/>
    <w:rsid w:val="004F3E28"/>
    <w:rsid w:val="004F45C0"/>
    <w:rsid w:val="004F5354"/>
    <w:rsid w:val="004F621F"/>
    <w:rsid w:val="004F6DDE"/>
    <w:rsid w:val="00502212"/>
    <w:rsid w:val="00502C8C"/>
    <w:rsid w:val="00502EAE"/>
    <w:rsid w:val="00503975"/>
    <w:rsid w:val="00503A1B"/>
    <w:rsid w:val="0050429A"/>
    <w:rsid w:val="0050500F"/>
    <w:rsid w:val="00505169"/>
    <w:rsid w:val="00505279"/>
    <w:rsid w:val="00505D31"/>
    <w:rsid w:val="005063E1"/>
    <w:rsid w:val="0050643D"/>
    <w:rsid w:val="00506AE1"/>
    <w:rsid w:val="0050755C"/>
    <w:rsid w:val="00507CC5"/>
    <w:rsid w:val="00507E1B"/>
    <w:rsid w:val="00510742"/>
    <w:rsid w:val="00511A93"/>
    <w:rsid w:val="00511A9D"/>
    <w:rsid w:val="005120D7"/>
    <w:rsid w:val="0051239B"/>
    <w:rsid w:val="005125C9"/>
    <w:rsid w:val="00512BB7"/>
    <w:rsid w:val="0051530C"/>
    <w:rsid w:val="00515C77"/>
    <w:rsid w:val="00515EE6"/>
    <w:rsid w:val="00516931"/>
    <w:rsid w:val="00516BBB"/>
    <w:rsid w:val="00517071"/>
    <w:rsid w:val="00521390"/>
    <w:rsid w:val="005219FD"/>
    <w:rsid w:val="00521E41"/>
    <w:rsid w:val="00522DFB"/>
    <w:rsid w:val="00523E83"/>
    <w:rsid w:val="005242B6"/>
    <w:rsid w:val="005248BB"/>
    <w:rsid w:val="00525FD1"/>
    <w:rsid w:val="00526788"/>
    <w:rsid w:val="00527BD6"/>
    <w:rsid w:val="0053047A"/>
    <w:rsid w:val="005308A5"/>
    <w:rsid w:val="005314E9"/>
    <w:rsid w:val="00531723"/>
    <w:rsid w:val="00531A66"/>
    <w:rsid w:val="005321B0"/>
    <w:rsid w:val="0053275E"/>
    <w:rsid w:val="00532942"/>
    <w:rsid w:val="00532C77"/>
    <w:rsid w:val="00532FE4"/>
    <w:rsid w:val="0053312B"/>
    <w:rsid w:val="0053324F"/>
    <w:rsid w:val="005348BF"/>
    <w:rsid w:val="00535874"/>
    <w:rsid w:val="00536AA5"/>
    <w:rsid w:val="00537039"/>
    <w:rsid w:val="00540B39"/>
    <w:rsid w:val="00540E56"/>
    <w:rsid w:val="00541E10"/>
    <w:rsid w:val="00541EF9"/>
    <w:rsid w:val="005431CF"/>
    <w:rsid w:val="00543326"/>
    <w:rsid w:val="00543C58"/>
    <w:rsid w:val="00543D0A"/>
    <w:rsid w:val="00544673"/>
    <w:rsid w:val="00544EA3"/>
    <w:rsid w:val="00544EFB"/>
    <w:rsid w:val="005454F3"/>
    <w:rsid w:val="0054558F"/>
    <w:rsid w:val="005455E5"/>
    <w:rsid w:val="00545666"/>
    <w:rsid w:val="0054585E"/>
    <w:rsid w:val="0054681B"/>
    <w:rsid w:val="0054779A"/>
    <w:rsid w:val="00547BA1"/>
    <w:rsid w:val="00550170"/>
    <w:rsid w:val="005514B2"/>
    <w:rsid w:val="00552180"/>
    <w:rsid w:val="005523FE"/>
    <w:rsid w:val="00552CC4"/>
    <w:rsid w:val="005540AF"/>
    <w:rsid w:val="00554804"/>
    <w:rsid w:val="00555951"/>
    <w:rsid w:val="00555C81"/>
    <w:rsid w:val="00556101"/>
    <w:rsid w:val="00556880"/>
    <w:rsid w:val="005572D9"/>
    <w:rsid w:val="00557CB1"/>
    <w:rsid w:val="00560246"/>
    <w:rsid w:val="005602B9"/>
    <w:rsid w:val="0056072C"/>
    <w:rsid w:val="0056076A"/>
    <w:rsid w:val="005607A0"/>
    <w:rsid w:val="0056091E"/>
    <w:rsid w:val="00560C6C"/>
    <w:rsid w:val="00561371"/>
    <w:rsid w:val="0056172D"/>
    <w:rsid w:val="0056174C"/>
    <w:rsid w:val="005635F3"/>
    <w:rsid w:val="0056411C"/>
    <w:rsid w:val="00565A1A"/>
    <w:rsid w:val="00565B4C"/>
    <w:rsid w:val="005663FF"/>
    <w:rsid w:val="005677D5"/>
    <w:rsid w:val="005677E5"/>
    <w:rsid w:val="00570D24"/>
    <w:rsid w:val="005747FC"/>
    <w:rsid w:val="00574C1A"/>
    <w:rsid w:val="00576003"/>
    <w:rsid w:val="0057685F"/>
    <w:rsid w:val="00576E52"/>
    <w:rsid w:val="00577E4E"/>
    <w:rsid w:val="00580EEB"/>
    <w:rsid w:val="00580FCF"/>
    <w:rsid w:val="005811A8"/>
    <w:rsid w:val="0058340C"/>
    <w:rsid w:val="00583673"/>
    <w:rsid w:val="005839CD"/>
    <w:rsid w:val="00583D08"/>
    <w:rsid w:val="00584922"/>
    <w:rsid w:val="00586568"/>
    <w:rsid w:val="00586C43"/>
    <w:rsid w:val="00586E33"/>
    <w:rsid w:val="00587111"/>
    <w:rsid w:val="0058725B"/>
    <w:rsid w:val="00587BA5"/>
    <w:rsid w:val="00587BE7"/>
    <w:rsid w:val="00587CBC"/>
    <w:rsid w:val="00587F14"/>
    <w:rsid w:val="00593FC1"/>
    <w:rsid w:val="0059475B"/>
    <w:rsid w:val="00594A4C"/>
    <w:rsid w:val="00594B88"/>
    <w:rsid w:val="00595179"/>
    <w:rsid w:val="00595DF1"/>
    <w:rsid w:val="00596524"/>
    <w:rsid w:val="005968A8"/>
    <w:rsid w:val="005974F2"/>
    <w:rsid w:val="00597D35"/>
    <w:rsid w:val="005A0525"/>
    <w:rsid w:val="005A069B"/>
    <w:rsid w:val="005A0A48"/>
    <w:rsid w:val="005A1707"/>
    <w:rsid w:val="005A30AA"/>
    <w:rsid w:val="005A4748"/>
    <w:rsid w:val="005A4A36"/>
    <w:rsid w:val="005A5560"/>
    <w:rsid w:val="005A55AE"/>
    <w:rsid w:val="005A5844"/>
    <w:rsid w:val="005A6D6D"/>
    <w:rsid w:val="005A7264"/>
    <w:rsid w:val="005A7652"/>
    <w:rsid w:val="005B0114"/>
    <w:rsid w:val="005B0353"/>
    <w:rsid w:val="005B1601"/>
    <w:rsid w:val="005B1D38"/>
    <w:rsid w:val="005B28B5"/>
    <w:rsid w:val="005B30DD"/>
    <w:rsid w:val="005B32BB"/>
    <w:rsid w:val="005B4516"/>
    <w:rsid w:val="005B454F"/>
    <w:rsid w:val="005B4826"/>
    <w:rsid w:val="005B4CFC"/>
    <w:rsid w:val="005B58B0"/>
    <w:rsid w:val="005B5A27"/>
    <w:rsid w:val="005B6E0D"/>
    <w:rsid w:val="005B7BFD"/>
    <w:rsid w:val="005C0298"/>
    <w:rsid w:val="005C0769"/>
    <w:rsid w:val="005C3168"/>
    <w:rsid w:val="005C360A"/>
    <w:rsid w:val="005C5806"/>
    <w:rsid w:val="005C7918"/>
    <w:rsid w:val="005C7EE9"/>
    <w:rsid w:val="005D0C2C"/>
    <w:rsid w:val="005D0F73"/>
    <w:rsid w:val="005D2003"/>
    <w:rsid w:val="005D221C"/>
    <w:rsid w:val="005D2A43"/>
    <w:rsid w:val="005D3221"/>
    <w:rsid w:val="005D4B76"/>
    <w:rsid w:val="005D557B"/>
    <w:rsid w:val="005D6EA0"/>
    <w:rsid w:val="005D71C3"/>
    <w:rsid w:val="005D7722"/>
    <w:rsid w:val="005E015C"/>
    <w:rsid w:val="005E0A6F"/>
    <w:rsid w:val="005E26ED"/>
    <w:rsid w:val="005E2C16"/>
    <w:rsid w:val="005E3188"/>
    <w:rsid w:val="005E5E99"/>
    <w:rsid w:val="005E765E"/>
    <w:rsid w:val="005E76E2"/>
    <w:rsid w:val="005E7B36"/>
    <w:rsid w:val="005F02E6"/>
    <w:rsid w:val="005F10F1"/>
    <w:rsid w:val="005F1911"/>
    <w:rsid w:val="005F1B3A"/>
    <w:rsid w:val="005F2CBA"/>
    <w:rsid w:val="005F3216"/>
    <w:rsid w:val="005F3DC0"/>
    <w:rsid w:val="005F4DFE"/>
    <w:rsid w:val="005F4EF9"/>
    <w:rsid w:val="005F4F43"/>
    <w:rsid w:val="00600B6C"/>
    <w:rsid w:val="00600BBD"/>
    <w:rsid w:val="006014FB"/>
    <w:rsid w:val="006015AE"/>
    <w:rsid w:val="006017B1"/>
    <w:rsid w:val="006019BF"/>
    <w:rsid w:val="00601ACE"/>
    <w:rsid w:val="00602651"/>
    <w:rsid w:val="0060333F"/>
    <w:rsid w:val="00605593"/>
    <w:rsid w:val="0060685F"/>
    <w:rsid w:val="00607066"/>
    <w:rsid w:val="00607197"/>
    <w:rsid w:val="0060777E"/>
    <w:rsid w:val="00607A16"/>
    <w:rsid w:val="006108D0"/>
    <w:rsid w:val="006109F8"/>
    <w:rsid w:val="00610E11"/>
    <w:rsid w:val="00614047"/>
    <w:rsid w:val="006147EA"/>
    <w:rsid w:val="00615847"/>
    <w:rsid w:val="00616B49"/>
    <w:rsid w:val="00621A1E"/>
    <w:rsid w:val="006228EE"/>
    <w:rsid w:val="00622EAA"/>
    <w:rsid w:val="00623075"/>
    <w:rsid w:val="00623415"/>
    <w:rsid w:val="00623910"/>
    <w:rsid w:val="00624A27"/>
    <w:rsid w:val="00624D74"/>
    <w:rsid w:val="00626833"/>
    <w:rsid w:val="0062716D"/>
    <w:rsid w:val="00627517"/>
    <w:rsid w:val="006276EC"/>
    <w:rsid w:val="00627AF2"/>
    <w:rsid w:val="00627F89"/>
    <w:rsid w:val="006301CC"/>
    <w:rsid w:val="0063104B"/>
    <w:rsid w:val="00631171"/>
    <w:rsid w:val="00631DF2"/>
    <w:rsid w:val="00632F94"/>
    <w:rsid w:val="00634D5C"/>
    <w:rsid w:val="00634DA1"/>
    <w:rsid w:val="00634E84"/>
    <w:rsid w:val="0063632F"/>
    <w:rsid w:val="006372A5"/>
    <w:rsid w:val="00640364"/>
    <w:rsid w:val="00640B2D"/>
    <w:rsid w:val="00640E38"/>
    <w:rsid w:val="00642529"/>
    <w:rsid w:val="0064262E"/>
    <w:rsid w:val="00642D6E"/>
    <w:rsid w:val="006435FE"/>
    <w:rsid w:val="006440A9"/>
    <w:rsid w:val="00644DE9"/>
    <w:rsid w:val="00644F62"/>
    <w:rsid w:val="00645402"/>
    <w:rsid w:val="00645404"/>
    <w:rsid w:val="006460C4"/>
    <w:rsid w:val="00646236"/>
    <w:rsid w:val="00647F09"/>
    <w:rsid w:val="00647F2C"/>
    <w:rsid w:val="00650C56"/>
    <w:rsid w:val="00652858"/>
    <w:rsid w:val="00652B0F"/>
    <w:rsid w:val="00653277"/>
    <w:rsid w:val="00654BAC"/>
    <w:rsid w:val="00654ECC"/>
    <w:rsid w:val="00655549"/>
    <w:rsid w:val="006558DC"/>
    <w:rsid w:val="006560D4"/>
    <w:rsid w:val="0065670D"/>
    <w:rsid w:val="00656B27"/>
    <w:rsid w:val="00656C74"/>
    <w:rsid w:val="00657F8B"/>
    <w:rsid w:val="00660401"/>
    <w:rsid w:val="00660B33"/>
    <w:rsid w:val="00660D0F"/>
    <w:rsid w:val="00660ED7"/>
    <w:rsid w:val="006618FC"/>
    <w:rsid w:val="00662FC8"/>
    <w:rsid w:val="00663578"/>
    <w:rsid w:val="006636E1"/>
    <w:rsid w:val="00663D00"/>
    <w:rsid w:val="00663E86"/>
    <w:rsid w:val="00665AC8"/>
    <w:rsid w:val="00665B13"/>
    <w:rsid w:val="00666F17"/>
    <w:rsid w:val="006679DE"/>
    <w:rsid w:val="00670F6B"/>
    <w:rsid w:val="00671AA3"/>
    <w:rsid w:val="00671B7E"/>
    <w:rsid w:val="006725E8"/>
    <w:rsid w:val="006731EC"/>
    <w:rsid w:val="00674272"/>
    <w:rsid w:val="00675265"/>
    <w:rsid w:val="006756F5"/>
    <w:rsid w:val="00675E4B"/>
    <w:rsid w:val="006767BC"/>
    <w:rsid w:val="00677736"/>
    <w:rsid w:val="006807E8"/>
    <w:rsid w:val="00680B65"/>
    <w:rsid w:val="00681D75"/>
    <w:rsid w:val="0068242E"/>
    <w:rsid w:val="0068303F"/>
    <w:rsid w:val="00684361"/>
    <w:rsid w:val="00684BAF"/>
    <w:rsid w:val="00685D6D"/>
    <w:rsid w:val="0068605E"/>
    <w:rsid w:val="006861A1"/>
    <w:rsid w:val="00686200"/>
    <w:rsid w:val="0068717F"/>
    <w:rsid w:val="00687705"/>
    <w:rsid w:val="00687D20"/>
    <w:rsid w:val="006906BB"/>
    <w:rsid w:val="0069206C"/>
    <w:rsid w:val="00692213"/>
    <w:rsid w:val="00692D27"/>
    <w:rsid w:val="00693585"/>
    <w:rsid w:val="00694333"/>
    <w:rsid w:val="00694785"/>
    <w:rsid w:val="00694897"/>
    <w:rsid w:val="00694BAF"/>
    <w:rsid w:val="0069593F"/>
    <w:rsid w:val="00696143"/>
    <w:rsid w:val="00696EBB"/>
    <w:rsid w:val="00697330"/>
    <w:rsid w:val="006973B0"/>
    <w:rsid w:val="006A1F10"/>
    <w:rsid w:val="006A274D"/>
    <w:rsid w:val="006A2FBB"/>
    <w:rsid w:val="006A3729"/>
    <w:rsid w:val="006A46AF"/>
    <w:rsid w:val="006A4D4E"/>
    <w:rsid w:val="006A5B0C"/>
    <w:rsid w:val="006B0538"/>
    <w:rsid w:val="006B1F2A"/>
    <w:rsid w:val="006B20D2"/>
    <w:rsid w:val="006B617F"/>
    <w:rsid w:val="006B630A"/>
    <w:rsid w:val="006B7270"/>
    <w:rsid w:val="006B7C24"/>
    <w:rsid w:val="006B7D65"/>
    <w:rsid w:val="006C0971"/>
    <w:rsid w:val="006C1577"/>
    <w:rsid w:val="006C1A37"/>
    <w:rsid w:val="006C1B59"/>
    <w:rsid w:val="006C3C20"/>
    <w:rsid w:val="006C42E3"/>
    <w:rsid w:val="006C4905"/>
    <w:rsid w:val="006C5ACD"/>
    <w:rsid w:val="006C6300"/>
    <w:rsid w:val="006C692E"/>
    <w:rsid w:val="006C6AA0"/>
    <w:rsid w:val="006C7523"/>
    <w:rsid w:val="006C7C3F"/>
    <w:rsid w:val="006D05E2"/>
    <w:rsid w:val="006D08BC"/>
    <w:rsid w:val="006D1544"/>
    <w:rsid w:val="006D1881"/>
    <w:rsid w:val="006D1923"/>
    <w:rsid w:val="006D1C51"/>
    <w:rsid w:val="006D2111"/>
    <w:rsid w:val="006D23F0"/>
    <w:rsid w:val="006D25B8"/>
    <w:rsid w:val="006D28F1"/>
    <w:rsid w:val="006D2A18"/>
    <w:rsid w:val="006D313F"/>
    <w:rsid w:val="006D315E"/>
    <w:rsid w:val="006D3551"/>
    <w:rsid w:val="006D36B7"/>
    <w:rsid w:val="006D3A49"/>
    <w:rsid w:val="006D42E0"/>
    <w:rsid w:val="006D5856"/>
    <w:rsid w:val="006D6107"/>
    <w:rsid w:val="006D64EE"/>
    <w:rsid w:val="006D686D"/>
    <w:rsid w:val="006E16F1"/>
    <w:rsid w:val="006E1836"/>
    <w:rsid w:val="006E359B"/>
    <w:rsid w:val="006E3B9D"/>
    <w:rsid w:val="006E40D7"/>
    <w:rsid w:val="006E5938"/>
    <w:rsid w:val="006E6796"/>
    <w:rsid w:val="006E69A3"/>
    <w:rsid w:val="006E6E96"/>
    <w:rsid w:val="006E6F09"/>
    <w:rsid w:val="006E7028"/>
    <w:rsid w:val="006E75BF"/>
    <w:rsid w:val="006E76BB"/>
    <w:rsid w:val="006F0379"/>
    <w:rsid w:val="006F0894"/>
    <w:rsid w:val="006F09B5"/>
    <w:rsid w:val="006F0B03"/>
    <w:rsid w:val="006F102F"/>
    <w:rsid w:val="006F1097"/>
    <w:rsid w:val="006F1349"/>
    <w:rsid w:val="006F201F"/>
    <w:rsid w:val="006F2C03"/>
    <w:rsid w:val="006F48B3"/>
    <w:rsid w:val="006F48B8"/>
    <w:rsid w:val="006F4ACE"/>
    <w:rsid w:val="006F54DF"/>
    <w:rsid w:val="006F553C"/>
    <w:rsid w:val="006F5924"/>
    <w:rsid w:val="006F6258"/>
    <w:rsid w:val="006F65E1"/>
    <w:rsid w:val="006F6A73"/>
    <w:rsid w:val="006F7705"/>
    <w:rsid w:val="006F7F8E"/>
    <w:rsid w:val="0070138E"/>
    <w:rsid w:val="00701552"/>
    <w:rsid w:val="0070198F"/>
    <w:rsid w:val="0070207A"/>
    <w:rsid w:val="00702486"/>
    <w:rsid w:val="00702C83"/>
    <w:rsid w:val="00702CD4"/>
    <w:rsid w:val="007030A6"/>
    <w:rsid w:val="007032B8"/>
    <w:rsid w:val="0070433F"/>
    <w:rsid w:val="00704FDE"/>
    <w:rsid w:val="00705448"/>
    <w:rsid w:val="00706C4A"/>
    <w:rsid w:val="00710F2F"/>
    <w:rsid w:val="007112AF"/>
    <w:rsid w:val="0071155B"/>
    <w:rsid w:val="00711BB2"/>
    <w:rsid w:val="007122EC"/>
    <w:rsid w:val="0071339D"/>
    <w:rsid w:val="0071351C"/>
    <w:rsid w:val="00713954"/>
    <w:rsid w:val="00713BB1"/>
    <w:rsid w:val="00713C4F"/>
    <w:rsid w:val="00713E86"/>
    <w:rsid w:val="00714504"/>
    <w:rsid w:val="0071742A"/>
    <w:rsid w:val="00720709"/>
    <w:rsid w:val="00720A8F"/>
    <w:rsid w:val="00721681"/>
    <w:rsid w:val="00722035"/>
    <w:rsid w:val="0072344F"/>
    <w:rsid w:val="00723F62"/>
    <w:rsid w:val="0072458F"/>
    <w:rsid w:val="007271F7"/>
    <w:rsid w:val="00727481"/>
    <w:rsid w:val="00730E8F"/>
    <w:rsid w:val="00731A30"/>
    <w:rsid w:val="00731D48"/>
    <w:rsid w:val="0073208D"/>
    <w:rsid w:val="007336D2"/>
    <w:rsid w:val="00733D9F"/>
    <w:rsid w:val="00734484"/>
    <w:rsid w:val="00734EE7"/>
    <w:rsid w:val="007360B8"/>
    <w:rsid w:val="007364DF"/>
    <w:rsid w:val="00736F80"/>
    <w:rsid w:val="007403B1"/>
    <w:rsid w:val="0074095E"/>
    <w:rsid w:val="00740FE5"/>
    <w:rsid w:val="00741B95"/>
    <w:rsid w:val="00742076"/>
    <w:rsid w:val="00742ACF"/>
    <w:rsid w:val="007442C6"/>
    <w:rsid w:val="00744FC9"/>
    <w:rsid w:val="00745136"/>
    <w:rsid w:val="00745A15"/>
    <w:rsid w:val="00745DD2"/>
    <w:rsid w:val="00746311"/>
    <w:rsid w:val="00747722"/>
    <w:rsid w:val="00750053"/>
    <w:rsid w:val="007500DC"/>
    <w:rsid w:val="007503AE"/>
    <w:rsid w:val="00750C7B"/>
    <w:rsid w:val="00751354"/>
    <w:rsid w:val="0075424C"/>
    <w:rsid w:val="00754796"/>
    <w:rsid w:val="007552DC"/>
    <w:rsid w:val="0075616B"/>
    <w:rsid w:val="00756909"/>
    <w:rsid w:val="007601CB"/>
    <w:rsid w:val="00760D10"/>
    <w:rsid w:val="007618D7"/>
    <w:rsid w:val="00762108"/>
    <w:rsid w:val="00762B5F"/>
    <w:rsid w:val="0076325C"/>
    <w:rsid w:val="0076325E"/>
    <w:rsid w:val="00764047"/>
    <w:rsid w:val="00765F62"/>
    <w:rsid w:val="0076651D"/>
    <w:rsid w:val="007668D0"/>
    <w:rsid w:val="00766AD2"/>
    <w:rsid w:val="00767672"/>
    <w:rsid w:val="00770354"/>
    <w:rsid w:val="00770B60"/>
    <w:rsid w:val="00770E38"/>
    <w:rsid w:val="007732EB"/>
    <w:rsid w:val="00774B46"/>
    <w:rsid w:val="00774D99"/>
    <w:rsid w:val="007751DE"/>
    <w:rsid w:val="00776AF1"/>
    <w:rsid w:val="00776AFF"/>
    <w:rsid w:val="00776C01"/>
    <w:rsid w:val="007772F9"/>
    <w:rsid w:val="00777DF3"/>
    <w:rsid w:val="0078133D"/>
    <w:rsid w:val="00781CBF"/>
    <w:rsid w:val="00781CE2"/>
    <w:rsid w:val="00781D0D"/>
    <w:rsid w:val="00781E34"/>
    <w:rsid w:val="00782BD5"/>
    <w:rsid w:val="00783359"/>
    <w:rsid w:val="0078404E"/>
    <w:rsid w:val="00784245"/>
    <w:rsid w:val="00785785"/>
    <w:rsid w:val="00785C9B"/>
    <w:rsid w:val="00787538"/>
    <w:rsid w:val="0079041B"/>
    <w:rsid w:val="00790FAF"/>
    <w:rsid w:val="00791693"/>
    <w:rsid w:val="00791DED"/>
    <w:rsid w:val="00792AA8"/>
    <w:rsid w:val="00793AAE"/>
    <w:rsid w:val="00793DCC"/>
    <w:rsid w:val="007942D7"/>
    <w:rsid w:val="0079490E"/>
    <w:rsid w:val="00794972"/>
    <w:rsid w:val="0079583D"/>
    <w:rsid w:val="00796EE7"/>
    <w:rsid w:val="00797022"/>
    <w:rsid w:val="007978BF"/>
    <w:rsid w:val="007A1B00"/>
    <w:rsid w:val="007A3ABE"/>
    <w:rsid w:val="007A3FEB"/>
    <w:rsid w:val="007A4A68"/>
    <w:rsid w:val="007A4CB0"/>
    <w:rsid w:val="007A5B52"/>
    <w:rsid w:val="007A5D8B"/>
    <w:rsid w:val="007A60F8"/>
    <w:rsid w:val="007A62C3"/>
    <w:rsid w:val="007A6488"/>
    <w:rsid w:val="007B0E9B"/>
    <w:rsid w:val="007B305E"/>
    <w:rsid w:val="007B341B"/>
    <w:rsid w:val="007B39C1"/>
    <w:rsid w:val="007B3F6D"/>
    <w:rsid w:val="007B4102"/>
    <w:rsid w:val="007B474E"/>
    <w:rsid w:val="007B4844"/>
    <w:rsid w:val="007B64B5"/>
    <w:rsid w:val="007B651A"/>
    <w:rsid w:val="007B6648"/>
    <w:rsid w:val="007B6669"/>
    <w:rsid w:val="007B6758"/>
    <w:rsid w:val="007B722E"/>
    <w:rsid w:val="007C0962"/>
    <w:rsid w:val="007C0E33"/>
    <w:rsid w:val="007C1B48"/>
    <w:rsid w:val="007C1B91"/>
    <w:rsid w:val="007C2A7C"/>
    <w:rsid w:val="007C2F25"/>
    <w:rsid w:val="007C311B"/>
    <w:rsid w:val="007C314C"/>
    <w:rsid w:val="007C3A66"/>
    <w:rsid w:val="007C462E"/>
    <w:rsid w:val="007C506B"/>
    <w:rsid w:val="007D0986"/>
    <w:rsid w:val="007D0A73"/>
    <w:rsid w:val="007D0B46"/>
    <w:rsid w:val="007D13D3"/>
    <w:rsid w:val="007D214E"/>
    <w:rsid w:val="007D2E82"/>
    <w:rsid w:val="007D35E6"/>
    <w:rsid w:val="007D47C9"/>
    <w:rsid w:val="007D59A7"/>
    <w:rsid w:val="007D698B"/>
    <w:rsid w:val="007D6D51"/>
    <w:rsid w:val="007D7BB6"/>
    <w:rsid w:val="007E0FB9"/>
    <w:rsid w:val="007E2FAF"/>
    <w:rsid w:val="007E45B1"/>
    <w:rsid w:val="007E47CE"/>
    <w:rsid w:val="007E4D58"/>
    <w:rsid w:val="007E5B12"/>
    <w:rsid w:val="007E5D35"/>
    <w:rsid w:val="007E64B3"/>
    <w:rsid w:val="007E7584"/>
    <w:rsid w:val="007E77D3"/>
    <w:rsid w:val="007F08AF"/>
    <w:rsid w:val="007F112A"/>
    <w:rsid w:val="007F11D2"/>
    <w:rsid w:val="007F1F48"/>
    <w:rsid w:val="007F47AA"/>
    <w:rsid w:val="007F52A6"/>
    <w:rsid w:val="007F5789"/>
    <w:rsid w:val="007F68DA"/>
    <w:rsid w:val="007F7DAB"/>
    <w:rsid w:val="007F7EE8"/>
    <w:rsid w:val="008004E7"/>
    <w:rsid w:val="008016F3"/>
    <w:rsid w:val="00801722"/>
    <w:rsid w:val="00801DDB"/>
    <w:rsid w:val="0080276C"/>
    <w:rsid w:val="00802A55"/>
    <w:rsid w:val="00804148"/>
    <w:rsid w:val="008041BC"/>
    <w:rsid w:val="00804D81"/>
    <w:rsid w:val="008060C8"/>
    <w:rsid w:val="008068F8"/>
    <w:rsid w:val="00806DF5"/>
    <w:rsid w:val="0080705A"/>
    <w:rsid w:val="00810220"/>
    <w:rsid w:val="008104EC"/>
    <w:rsid w:val="00810828"/>
    <w:rsid w:val="00810F5C"/>
    <w:rsid w:val="008116EB"/>
    <w:rsid w:val="0081184E"/>
    <w:rsid w:val="00812723"/>
    <w:rsid w:val="0081284E"/>
    <w:rsid w:val="0081449A"/>
    <w:rsid w:val="00814A6A"/>
    <w:rsid w:val="00814ED4"/>
    <w:rsid w:val="008152E3"/>
    <w:rsid w:val="00815538"/>
    <w:rsid w:val="0081557C"/>
    <w:rsid w:val="008159B1"/>
    <w:rsid w:val="00816049"/>
    <w:rsid w:val="0081758E"/>
    <w:rsid w:val="00820282"/>
    <w:rsid w:val="00820651"/>
    <w:rsid w:val="00820DA4"/>
    <w:rsid w:val="0082117F"/>
    <w:rsid w:val="00821D5C"/>
    <w:rsid w:val="00822341"/>
    <w:rsid w:val="008224ED"/>
    <w:rsid w:val="00822A82"/>
    <w:rsid w:val="00823668"/>
    <w:rsid w:val="00825F66"/>
    <w:rsid w:val="0082619C"/>
    <w:rsid w:val="00826CCE"/>
    <w:rsid w:val="00827599"/>
    <w:rsid w:val="008279ED"/>
    <w:rsid w:val="00827ABA"/>
    <w:rsid w:val="00827B07"/>
    <w:rsid w:val="00830431"/>
    <w:rsid w:val="00830604"/>
    <w:rsid w:val="008307E3"/>
    <w:rsid w:val="00831A0D"/>
    <w:rsid w:val="008326E3"/>
    <w:rsid w:val="00833D5F"/>
    <w:rsid w:val="00834B4C"/>
    <w:rsid w:val="0083512B"/>
    <w:rsid w:val="00836AD2"/>
    <w:rsid w:val="00836D7A"/>
    <w:rsid w:val="008375CC"/>
    <w:rsid w:val="008414B9"/>
    <w:rsid w:val="008415CC"/>
    <w:rsid w:val="00841BBB"/>
    <w:rsid w:val="00842862"/>
    <w:rsid w:val="00843549"/>
    <w:rsid w:val="00843A46"/>
    <w:rsid w:val="00843B84"/>
    <w:rsid w:val="00844070"/>
    <w:rsid w:val="00844A64"/>
    <w:rsid w:val="00844AE2"/>
    <w:rsid w:val="00845199"/>
    <w:rsid w:val="00845AA9"/>
    <w:rsid w:val="00847946"/>
    <w:rsid w:val="00847DFE"/>
    <w:rsid w:val="00850697"/>
    <w:rsid w:val="00851111"/>
    <w:rsid w:val="0085132F"/>
    <w:rsid w:val="00851D63"/>
    <w:rsid w:val="008520C4"/>
    <w:rsid w:val="008525CF"/>
    <w:rsid w:val="00852B89"/>
    <w:rsid w:val="00853541"/>
    <w:rsid w:val="00853E44"/>
    <w:rsid w:val="008542CC"/>
    <w:rsid w:val="008548BC"/>
    <w:rsid w:val="00855D3E"/>
    <w:rsid w:val="00856CAA"/>
    <w:rsid w:val="00860973"/>
    <w:rsid w:val="00860B77"/>
    <w:rsid w:val="00860F68"/>
    <w:rsid w:val="0086106A"/>
    <w:rsid w:val="00861591"/>
    <w:rsid w:val="0086183E"/>
    <w:rsid w:val="00863067"/>
    <w:rsid w:val="0086340C"/>
    <w:rsid w:val="008637E1"/>
    <w:rsid w:val="00863A3A"/>
    <w:rsid w:val="008647BE"/>
    <w:rsid w:val="008648B5"/>
    <w:rsid w:val="008658B7"/>
    <w:rsid w:val="00865A78"/>
    <w:rsid w:val="0086641A"/>
    <w:rsid w:val="00867567"/>
    <w:rsid w:val="00867F68"/>
    <w:rsid w:val="008708FF"/>
    <w:rsid w:val="00871D17"/>
    <w:rsid w:val="008720F4"/>
    <w:rsid w:val="008737D3"/>
    <w:rsid w:val="00873E0E"/>
    <w:rsid w:val="0087606A"/>
    <w:rsid w:val="00877300"/>
    <w:rsid w:val="00877A04"/>
    <w:rsid w:val="00877CBF"/>
    <w:rsid w:val="008809C5"/>
    <w:rsid w:val="00881562"/>
    <w:rsid w:val="00882253"/>
    <w:rsid w:val="00882992"/>
    <w:rsid w:val="00882D53"/>
    <w:rsid w:val="008833DF"/>
    <w:rsid w:val="00883437"/>
    <w:rsid w:val="008834C5"/>
    <w:rsid w:val="008839DC"/>
    <w:rsid w:val="00883C24"/>
    <w:rsid w:val="008853F8"/>
    <w:rsid w:val="00885E70"/>
    <w:rsid w:val="00886BC8"/>
    <w:rsid w:val="00886C4B"/>
    <w:rsid w:val="00886C78"/>
    <w:rsid w:val="00890743"/>
    <w:rsid w:val="008911CE"/>
    <w:rsid w:val="008953BD"/>
    <w:rsid w:val="00895E27"/>
    <w:rsid w:val="00896BD5"/>
    <w:rsid w:val="008A1A17"/>
    <w:rsid w:val="008A1EA7"/>
    <w:rsid w:val="008A2C87"/>
    <w:rsid w:val="008A2F26"/>
    <w:rsid w:val="008A3341"/>
    <w:rsid w:val="008A4628"/>
    <w:rsid w:val="008A4AB0"/>
    <w:rsid w:val="008A4D69"/>
    <w:rsid w:val="008A6900"/>
    <w:rsid w:val="008B16C0"/>
    <w:rsid w:val="008B2B99"/>
    <w:rsid w:val="008B2D71"/>
    <w:rsid w:val="008B33B2"/>
    <w:rsid w:val="008B3AF6"/>
    <w:rsid w:val="008B47CB"/>
    <w:rsid w:val="008B6920"/>
    <w:rsid w:val="008B6A6C"/>
    <w:rsid w:val="008B6C34"/>
    <w:rsid w:val="008B72E9"/>
    <w:rsid w:val="008C0CD6"/>
    <w:rsid w:val="008C15BB"/>
    <w:rsid w:val="008C25B3"/>
    <w:rsid w:val="008C27FF"/>
    <w:rsid w:val="008C28E5"/>
    <w:rsid w:val="008C2A1F"/>
    <w:rsid w:val="008C4CB1"/>
    <w:rsid w:val="008C4E5F"/>
    <w:rsid w:val="008C5247"/>
    <w:rsid w:val="008C6323"/>
    <w:rsid w:val="008C6886"/>
    <w:rsid w:val="008C6C4C"/>
    <w:rsid w:val="008C6C82"/>
    <w:rsid w:val="008C798D"/>
    <w:rsid w:val="008D12AD"/>
    <w:rsid w:val="008D15F7"/>
    <w:rsid w:val="008D1993"/>
    <w:rsid w:val="008D1FDE"/>
    <w:rsid w:val="008D2B81"/>
    <w:rsid w:val="008D307D"/>
    <w:rsid w:val="008D351D"/>
    <w:rsid w:val="008D3B8A"/>
    <w:rsid w:val="008D4A26"/>
    <w:rsid w:val="008D7E4E"/>
    <w:rsid w:val="008E0509"/>
    <w:rsid w:val="008E0FEB"/>
    <w:rsid w:val="008E1C45"/>
    <w:rsid w:val="008E242E"/>
    <w:rsid w:val="008E3AE6"/>
    <w:rsid w:val="008E4846"/>
    <w:rsid w:val="008E5022"/>
    <w:rsid w:val="008E647B"/>
    <w:rsid w:val="008E698C"/>
    <w:rsid w:val="008E7B61"/>
    <w:rsid w:val="008E7EAE"/>
    <w:rsid w:val="008F0CE3"/>
    <w:rsid w:val="008F179A"/>
    <w:rsid w:val="008F17BA"/>
    <w:rsid w:val="008F301B"/>
    <w:rsid w:val="008F3AC7"/>
    <w:rsid w:val="008F3AE2"/>
    <w:rsid w:val="008F3C5B"/>
    <w:rsid w:val="008F5B27"/>
    <w:rsid w:val="008F5D1E"/>
    <w:rsid w:val="008F60D1"/>
    <w:rsid w:val="008F6221"/>
    <w:rsid w:val="008F6705"/>
    <w:rsid w:val="008F722B"/>
    <w:rsid w:val="008F777B"/>
    <w:rsid w:val="008F7CCE"/>
    <w:rsid w:val="00900136"/>
    <w:rsid w:val="009004DA"/>
    <w:rsid w:val="00901710"/>
    <w:rsid w:val="00901A4A"/>
    <w:rsid w:val="00901BC3"/>
    <w:rsid w:val="00902A14"/>
    <w:rsid w:val="00903207"/>
    <w:rsid w:val="0090351E"/>
    <w:rsid w:val="00904070"/>
    <w:rsid w:val="009049EF"/>
    <w:rsid w:val="00904B4D"/>
    <w:rsid w:val="009055D4"/>
    <w:rsid w:val="009064E2"/>
    <w:rsid w:val="00907707"/>
    <w:rsid w:val="009077C7"/>
    <w:rsid w:val="009105E0"/>
    <w:rsid w:val="00910A82"/>
    <w:rsid w:val="00910E08"/>
    <w:rsid w:val="00911945"/>
    <w:rsid w:val="0091220E"/>
    <w:rsid w:val="00913714"/>
    <w:rsid w:val="00913CCC"/>
    <w:rsid w:val="0091465A"/>
    <w:rsid w:val="00915597"/>
    <w:rsid w:val="009155FD"/>
    <w:rsid w:val="009165DA"/>
    <w:rsid w:val="0091765F"/>
    <w:rsid w:val="00920216"/>
    <w:rsid w:val="00920463"/>
    <w:rsid w:val="009219A0"/>
    <w:rsid w:val="00922A58"/>
    <w:rsid w:val="00922D34"/>
    <w:rsid w:val="009231E5"/>
    <w:rsid w:val="009238C7"/>
    <w:rsid w:val="00923D68"/>
    <w:rsid w:val="009245CA"/>
    <w:rsid w:val="00924BD4"/>
    <w:rsid w:val="009250BC"/>
    <w:rsid w:val="00925FFA"/>
    <w:rsid w:val="00926E37"/>
    <w:rsid w:val="00926E4D"/>
    <w:rsid w:val="00927487"/>
    <w:rsid w:val="00931196"/>
    <w:rsid w:val="00931B67"/>
    <w:rsid w:val="00932BBE"/>
    <w:rsid w:val="0093352D"/>
    <w:rsid w:val="009343D0"/>
    <w:rsid w:val="009360A3"/>
    <w:rsid w:val="00936260"/>
    <w:rsid w:val="00936C35"/>
    <w:rsid w:val="009376FF"/>
    <w:rsid w:val="00937A6D"/>
    <w:rsid w:val="00937A70"/>
    <w:rsid w:val="00940185"/>
    <w:rsid w:val="00940871"/>
    <w:rsid w:val="00940BCD"/>
    <w:rsid w:val="00941279"/>
    <w:rsid w:val="0094179A"/>
    <w:rsid w:val="0094451D"/>
    <w:rsid w:val="00944770"/>
    <w:rsid w:val="009462D5"/>
    <w:rsid w:val="009469F3"/>
    <w:rsid w:val="009476FF"/>
    <w:rsid w:val="009518A1"/>
    <w:rsid w:val="00953B49"/>
    <w:rsid w:val="00953EB6"/>
    <w:rsid w:val="00954174"/>
    <w:rsid w:val="0095456C"/>
    <w:rsid w:val="00954594"/>
    <w:rsid w:val="009547B3"/>
    <w:rsid w:val="00955F57"/>
    <w:rsid w:val="00956905"/>
    <w:rsid w:val="00956EE3"/>
    <w:rsid w:val="00957F76"/>
    <w:rsid w:val="00960408"/>
    <w:rsid w:val="009614C6"/>
    <w:rsid w:val="00961FFC"/>
    <w:rsid w:val="0096293A"/>
    <w:rsid w:val="00962BBF"/>
    <w:rsid w:val="00962BFB"/>
    <w:rsid w:val="00962E1C"/>
    <w:rsid w:val="00963202"/>
    <w:rsid w:val="0096349D"/>
    <w:rsid w:val="009636C8"/>
    <w:rsid w:val="0096484D"/>
    <w:rsid w:val="00964954"/>
    <w:rsid w:val="009654E5"/>
    <w:rsid w:val="00965CF3"/>
    <w:rsid w:val="00966101"/>
    <w:rsid w:val="00966DEC"/>
    <w:rsid w:val="00971122"/>
    <w:rsid w:val="00971675"/>
    <w:rsid w:val="00972901"/>
    <w:rsid w:val="00973FB3"/>
    <w:rsid w:val="00974FF7"/>
    <w:rsid w:val="00975DA7"/>
    <w:rsid w:val="00976595"/>
    <w:rsid w:val="009766AB"/>
    <w:rsid w:val="0097673B"/>
    <w:rsid w:val="00976C03"/>
    <w:rsid w:val="00976C2B"/>
    <w:rsid w:val="0097794C"/>
    <w:rsid w:val="00977CF3"/>
    <w:rsid w:val="0098015F"/>
    <w:rsid w:val="00980177"/>
    <w:rsid w:val="009808B8"/>
    <w:rsid w:val="00980FA5"/>
    <w:rsid w:val="00982D5C"/>
    <w:rsid w:val="00983CE8"/>
    <w:rsid w:val="00984A36"/>
    <w:rsid w:val="00985A90"/>
    <w:rsid w:val="00986722"/>
    <w:rsid w:val="00986B80"/>
    <w:rsid w:val="00987C7D"/>
    <w:rsid w:val="00987E07"/>
    <w:rsid w:val="00990380"/>
    <w:rsid w:val="0099102F"/>
    <w:rsid w:val="00991211"/>
    <w:rsid w:val="009919B6"/>
    <w:rsid w:val="009921DB"/>
    <w:rsid w:val="00993978"/>
    <w:rsid w:val="009940EF"/>
    <w:rsid w:val="00994A8D"/>
    <w:rsid w:val="00994D06"/>
    <w:rsid w:val="00997AF3"/>
    <w:rsid w:val="00997B61"/>
    <w:rsid w:val="00997CF0"/>
    <w:rsid w:val="009A0224"/>
    <w:rsid w:val="009A05EF"/>
    <w:rsid w:val="009A0BBC"/>
    <w:rsid w:val="009A1929"/>
    <w:rsid w:val="009A38FB"/>
    <w:rsid w:val="009A3E3E"/>
    <w:rsid w:val="009A4A9E"/>
    <w:rsid w:val="009A4C60"/>
    <w:rsid w:val="009A5AFD"/>
    <w:rsid w:val="009A649C"/>
    <w:rsid w:val="009A699A"/>
    <w:rsid w:val="009A6EE8"/>
    <w:rsid w:val="009A6EFD"/>
    <w:rsid w:val="009A720C"/>
    <w:rsid w:val="009B2A93"/>
    <w:rsid w:val="009B39DC"/>
    <w:rsid w:val="009B5C73"/>
    <w:rsid w:val="009B6026"/>
    <w:rsid w:val="009B61E7"/>
    <w:rsid w:val="009B6A56"/>
    <w:rsid w:val="009B6BAE"/>
    <w:rsid w:val="009B747C"/>
    <w:rsid w:val="009C0087"/>
    <w:rsid w:val="009C009A"/>
    <w:rsid w:val="009C1272"/>
    <w:rsid w:val="009C2657"/>
    <w:rsid w:val="009C2BA2"/>
    <w:rsid w:val="009C3382"/>
    <w:rsid w:val="009C4736"/>
    <w:rsid w:val="009C5667"/>
    <w:rsid w:val="009C5A86"/>
    <w:rsid w:val="009C6021"/>
    <w:rsid w:val="009C691A"/>
    <w:rsid w:val="009C6E72"/>
    <w:rsid w:val="009C7AA9"/>
    <w:rsid w:val="009D09AC"/>
    <w:rsid w:val="009D3B3D"/>
    <w:rsid w:val="009D3C3F"/>
    <w:rsid w:val="009D4D67"/>
    <w:rsid w:val="009D635B"/>
    <w:rsid w:val="009D66DC"/>
    <w:rsid w:val="009D6B89"/>
    <w:rsid w:val="009D7040"/>
    <w:rsid w:val="009D71C0"/>
    <w:rsid w:val="009D7F6F"/>
    <w:rsid w:val="009E0393"/>
    <w:rsid w:val="009E07D3"/>
    <w:rsid w:val="009E227A"/>
    <w:rsid w:val="009E41E0"/>
    <w:rsid w:val="009E5A8A"/>
    <w:rsid w:val="009F06D6"/>
    <w:rsid w:val="009F06F2"/>
    <w:rsid w:val="009F085E"/>
    <w:rsid w:val="009F0C2C"/>
    <w:rsid w:val="009F19CA"/>
    <w:rsid w:val="009F24AB"/>
    <w:rsid w:val="009F3F21"/>
    <w:rsid w:val="009F465B"/>
    <w:rsid w:val="009F46FD"/>
    <w:rsid w:val="009F4A4B"/>
    <w:rsid w:val="009F4CB6"/>
    <w:rsid w:val="009F53CB"/>
    <w:rsid w:val="009F635E"/>
    <w:rsid w:val="009F675A"/>
    <w:rsid w:val="009F7D20"/>
    <w:rsid w:val="009F7E0C"/>
    <w:rsid w:val="00A00A9C"/>
    <w:rsid w:val="00A02C5D"/>
    <w:rsid w:val="00A031C0"/>
    <w:rsid w:val="00A03A0B"/>
    <w:rsid w:val="00A03EE2"/>
    <w:rsid w:val="00A052C1"/>
    <w:rsid w:val="00A056E8"/>
    <w:rsid w:val="00A060FA"/>
    <w:rsid w:val="00A07DBE"/>
    <w:rsid w:val="00A116C4"/>
    <w:rsid w:val="00A11ED1"/>
    <w:rsid w:val="00A140D3"/>
    <w:rsid w:val="00A1446B"/>
    <w:rsid w:val="00A14E12"/>
    <w:rsid w:val="00A166A2"/>
    <w:rsid w:val="00A167F2"/>
    <w:rsid w:val="00A1687B"/>
    <w:rsid w:val="00A17EFE"/>
    <w:rsid w:val="00A20C78"/>
    <w:rsid w:val="00A21C30"/>
    <w:rsid w:val="00A22CBC"/>
    <w:rsid w:val="00A2312E"/>
    <w:rsid w:val="00A23D16"/>
    <w:rsid w:val="00A24323"/>
    <w:rsid w:val="00A245C6"/>
    <w:rsid w:val="00A24680"/>
    <w:rsid w:val="00A246B6"/>
    <w:rsid w:val="00A2512C"/>
    <w:rsid w:val="00A2515B"/>
    <w:rsid w:val="00A2588E"/>
    <w:rsid w:val="00A25BEA"/>
    <w:rsid w:val="00A25D96"/>
    <w:rsid w:val="00A26750"/>
    <w:rsid w:val="00A26EDF"/>
    <w:rsid w:val="00A2709E"/>
    <w:rsid w:val="00A300A0"/>
    <w:rsid w:val="00A300AB"/>
    <w:rsid w:val="00A31A93"/>
    <w:rsid w:val="00A32863"/>
    <w:rsid w:val="00A34211"/>
    <w:rsid w:val="00A34735"/>
    <w:rsid w:val="00A34789"/>
    <w:rsid w:val="00A34AD3"/>
    <w:rsid w:val="00A34C37"/>
    <w:rsid w:val="00A36104"/>
    <w:rsid w:val="00A3630E"/>
    <w:rsid w:val="00A3716A"/>
    <w:rsid w:val="00A37185"/>
    <w:rsid w:val="00A37BB8"/>
    <w:rsid w:val="00A37D74"/>
    <w:rsid w:val="00A40371"/>
    <w:rsid w:val="00A41C66"/>
    <w:rsid w:val="00A41E86"/>
    <w:rsid w:val="00A41FF8"/>
    <w:rsid w:val="00A42D87"/>
    <w:rsid w:val="00A42EB3"/>
    <w:rsid w:val="00A448E0"/>
    <w:rsid w:val="00A44BD3"/>
    <w:rsid w:val="00A44C6E"/>
    <w:rsid w:val="00A4521D"/>
    <w:rsid w:val="00A46B9C"/>
    <w:rsid w:val="00A46D6F"/>
    <w:rsid w:val="00A51842"/>
    <w:rsid w:val="00A51F0A"/>
    <w:rsid w:val="00A541B3"/>
    <w:rsid w:val="00A541BD"/>
    <w:rsid w:val="00A54EF2"/>
    <w:rsid w:val="00A550B0"/>
    <w:rsid w:val="00A553D8"/>
    <w:rsid w:val="00A55D48"/>
    <w:rsid w:val="00A57BEB"/>
    <w:rsid w:val="00A60232"/>
    <w:rsid w:val="00A61673"/>
    <w:rsid w:val="00A61CA5"/>
    <w:rsid w:val="00A63DD6"/>
    <w:rsid w:val="00A64926"/>
    <w:rsid w:val="00A64C6C"/>
    <w:rsid w:val="00A65F1D"/>
    <w:rsid w:val="00A65F24"/>
    <w:rsid w:val="00A6621F"/>
    <w:rsid w:val="00A665CF"/>
    <w:rsid w:val="00A669C1"/>
    <w:rsid w:val="00A67176"/>
    <w:rsid w:val="00A678D7"/>
    <w:rsid w:val="00A67CA7"/>
    <w:rsid w:val="00A707BC"/>
    <w:rsid w:val="00A7096E"/>
    <w:rsid w:val="00A71037"/>
    <w:rsid w:val="00A72084"/>
    <w:rsid w:val="00A73989"/>
    <w:rsid w:val="00A74B15"/>
    <w:rsid w:val="00A761E6"/>
    <w:rsid w:val="00A7752F"/>
    <w:rsid w:val="00A816F3"/>
    <w:rsid w:val="00A829DF"/>
    <w:rsid w:val="00A833E8"/>
    <w:rsid w:val="00A85C22"/>
    <w:rsid w:val="00A85C35"/>
    <w:rsid w:val="00A86E90"/>
    <w:rsid w:val="00A90D0B"/>
    <w:rsid w:val="00A9180D"/>
    <w:rsid w:val="00A92061"/>
    <w:rsid w:val="00A9281A"/>
    <w:rsid w:val="00A92904"/>
    <w:rsid w:val="00A93D9C"/>
    <w:rsid w:val="00A94249"/>
    <w:rsid w:val="00A94952"/>
    <w:rsid w:val="00A94BC9"/>
    <w:rsid w:val="00A9599F"/>
    <w:rsid w:val="00A959BC"/>
    <w:rsid w:val="00AA12F6"/>
    <w:rsid w:val="00AA1749"/>
    <w:rsid w:val="00AA1E1C"/>
    <w:rsid w:val="00AA2441"/>
    <w:rsid w:val="00AA2562"/>
    <w:rsid w:val="00AA288A"/>
    <w:rsid w:val="00AA2C2B"/>
    <w:rsid w:val="00AA2CE5"/>
    <w:rsid w:val="00AA3B5B"/>
    <w:rsid w:val="00AA3C60"/>
    <w:rsid w:val="00AA49A7"/>
    <w:rsid w:val="00AA7FA8"/>
    <w:rsid w:val="00AB08F1"/>
    <w:rsid w:val="00AB26FC"/>
    <w:rsid w:val="00AB2BED"/>
    <w:rsid w:val="00AB2FF4"/>
    <w:rsid w:val="00AB3125"/>
    <w:rsid w:val="00AB41C9"/>
    <w:rsid w:val="00AB4999"/>
    <w:rsid w:val="00AB5F9C"/>
    <w:rsid w:val="00AB6E9F"/>
    <w:rsid w:val="00AB7DFE"/>
    <w:rsid w:val="00AC0C8F"/>
    <w:rsid w:val="00AC1AD6"/>
    <w:rsid w:val="00AC3297"/>
    <w:rsid w:val="00AC362D"/>
    <w:rsid w:val="00AC42E6"/>
    <w:rsid w:val="00AC6B7E"/>
    <w:rsid w:val="00AC73C8"/>
    <w:rsid w:val="00AD0082"/>
    <w:rsid w:val="00AD038A"/>
    <w:rsid w:val="00AD03D9"/>
    <w:rsid w:val="00AD0C28"/>
    <w:rsid w:val="00AD0F12"/>
    <w:rsid w:val="00AD1291"/>
    <w:rsid w:val="00AD19D0"/>
    <w:rsid w:val="00AD2084"/>
    <w:rsid w:val="00AD23AC"/>
    <w:rsid w:val="00AD2C03"/>
    <w:rsid w:val="00AD2C26"/>
    <w:rsid w:val="00AD359E"/>
    <w:rsid w:val="00AD3667"/>
    <w:rsid w:val="00AD4721"/>
    <w:rsid w:val="00AD49E2"/>
    <w:rsid w:val="00AD64DF"/>
    <w:rsid w:val="00AD7B32"/>
    <w:rsid w:val="00AE0530"/>
    <w:rsid w:val="00AE1025"/>
    <w:rsid w:val="00AE1741"/>
    <w:rsid w:val="00AE1DB4"/>
    <w:rsid w:val="00AE3F03"/>
    <w:rsid w:val="00AE48AD"/>
    <w:rsid w:val="00AE4B66"/>
    <w:rsid w:val="00AE50E0"/>
    <w:rsid w:val="00AE550B"/>
    <w:rsid w:val="00AE616C"/>
    <w:rsid w:val="00AE633C"/>
    <w:rsid w:val="00AE634B"/>
    <w:rsid w:val="00AE64F0"/>
    <w:rsid w:val="00AE791E"/>
    <w:rsid w:val="00AF01C8"/>
    <w:rsid w:val="00AF0CBC"/>
    <w:rsid w:val="00AF12FD"/>
    <w:rsid w:val="00AF2074"/>
    <w:rsid w:val="00AF20BF"/>
    <w:rsid w:val="00AF23C8"/>
    <w:rsid w:val="00AF296D"/>
    <w:rsid w:val="00AF2AE2"/>
    <w:rsid w:val="00AF4E75"/>
    <w:rsid w:val="00AF6191"/>
    <w:rsid w:val="00B019D1"/>
    <w:rsid w:val="00B021A2"/>
    <w:rsid w:val="00B0377E"/>
    <w:rsid w:val="00B049F7"/>
    <w:rsid w:val="00B054ED"/>
    <w:rsid w:val="00B06316"/>
    <w:rsid w:val="00B07BA9"/>
    <w:rsid w:val="00B10055"/>
    <w:rsid w:val="00B105EA"/>
    <w:rsid w:val="00B11069"/>
    <w:rsid w:val="00B11218"/>
    <w:rsid w:val="00B1124E"/>
    <w:rsid w:val="00B1141E"/>
    <w:rsid w:val="00B11921"/>
    <w:rsid w:val="00B1236D"/>
    <w:rsid w:val="00B1278B"/>
    <w:rsid w:val="00B129B4"/>
    <w:rsid w:val="00B12CBD"/>
    <w:rsid w:val="00B132CF"/>
    <w:rsid w:val="00B13403"/>
    <w:rsid w:val="00B14593"/>
    <w:rsid w:val="00B15AF3"/>
    <w:rsid w:val="00B17295"/>
    <w:rsid w:val="00B208ED"/>
    <w:rsid w:val="00B21264"/>
    <w:rsid w:val="00B215F5"/>
    <w:rsid w:val="00B219A7"/>
    <w:rsid w:val="00B22269"/>
    <w:rsid w:val="00B230BE"/>
    <w:rsid w:val="00B23994"/>
    <w:rsid w:val="00B245FE"/>
    <w:rsid w:val="00B25CD9"/>
    <w:rsid w:val="00B26B62"/>
    <w:rsid w:val="00B26C2C"/>
    <w:rsid w:val="00B27A54"/>
    <w:rsid w:val="00B30783"/>
    <w:rsid w:val="00B310D0"/>
    <w:rsid w:val="00B31697"/>
    <w:rsid w:val="00B322C1"/>
    <w:rsid w:val="00B33E7E"/>
    <w:rsid w:val="00B341D2"/>
    <w:rsid w:val="00B36399"/>
    <w:rsid w:val="00B36FE5"/>
    <w:rsid w:val="00B3783F"/>
    <w:rsid w:val="00B401DC"/>
    <w:rsid w:val="00B41F0F"/>
    <w:rsid w:val="00B42107"/>
    <w:rsid w:val="00B42560"/>
    <w:rsid w:val="00B426DE"/>
    <w:rsid w:val="00B443C2"/>
    <w:rsid w:val="00B455AA"/>
    <w:rsid w:val="00B45778"/>
    <w:rsid w:val="00B457A1"/>
    <w:rsid w:val="00B4630F"/>
    <w:rsid w:val="00B464B1"/>
    <w:rsid w:val="00B464FA"/>
    <w:rsid w:val="00B46597"/>
    <w:rsid w:val="00B46D17"/>
    <w:rsid w:val="00B47A4A"/>
    <w:rsid w:val="00B47B99"/>
    <w:rsid w:val="00B506F2"/>
    <w:rsid w:val="00B510E3"/>
    <w:rsid w:val="00B521AC"/>
    <w:rsid w:val="00B52702"/>
    <w:rsid w:val="00B53F6C"/>
    <w:rsid w:val="00B5498D"/>
    <w:rsid w:val="00B5501D"/>
    <w:rsid w:val="00B57E58"/>
    <w:rsid w:val="00B60E4F"/>
    <w:rsid w:val="00B6151E"/>
    <w:rsid w:val="00B621BF"/>
    <w:rsid w:val="00B63850"/>
    <w:rsid w:val="00B64962"/>
    <w:rsid w:val="00B6585B"/>
    <w:rsid w:val="00B66186"/>
    <w:rsid w:val="00B66F4F"/>
    <w:rsid w:val="00B676EC"/>
    <w:rsid w:val="00B700FB"/>
    <w:rsid w:val="00B7016C"/>
    <w:rsid w:val="00B701DA"/>
    <w:rsid w:val="00B70376"/>
    <w:rsid w:val="00B7039B"/>
    <w:rsid w:val="00B70A05"/>
    <w:rsid w:val="00B71A90"/>
    <w:rsid w:val="00B71AA7"/>
    <w:rsid w:val="00B71B00"/>
    <w:rsid w:val="00B74D1E"/>
    <w:rsid w:val="00B7538D"/>
    <w:rsid w:val="00B76A18"/>
    <w:rsid w:val="00B77A7E"/>
    <w:rsid w:val="00B80A6B"/>
    <w:rsid w:val="00B843F5"/>
    <w:rsid w:val="00B84C6C"/>
    <w:rsid w:val="00B8677C"/>
    <w:rsid w:val="00B869EA"/>
    <w:rsid w:val="00B87665"/>
    <w:rsid w:val="00B90912"/>
    <w:rsid w:val="00B920AE"/>
    <w:rsid w:val="00B9215E"/>
    <w:rsid w:val="00B92687"/>
    <w:rsid w:val="00B92D77"/>
    <w:rsid w:val="00B94248"/>
    <w:rsid w:val="00B942A1"/>
    <w:rsid w:val="00B94B2F"/>
    <w:rsid w:val="00B94B4F"/>
    <w:rsid w:val="00B94E6A"/>
    <w:rsid w:val="00B962F8"/>
    <w:rsid w:val="00B96539"/>
    <w:rsid w:val="00B96821"/>
    <w:rsid w:val="00B96FB5"/>
    <w:rsid w:val="00B976F6"/>
    <w:rsid w:val="00BA06C0"/>
    <w:rsid w:val="00BA5F41"/>
    <w:rsid w:val="00BA6742"/>
    <w:rsid w:val="00BA7385"/>
    <w:rsid w:val="00BB0E96"/>
    <w:rsid w:val="00BB187C"/>
    <w:rsid w:val="00BB1D1F"/>
    <w:rsid w:val="00BB22B8"/>
    <w:rsid w:val="00BB2658"/>
    <w:rsid w:val="00BB296B"/>
    <w:rsid w:val="00BB2A9C"/>
    <w:rsid w:val="00BB3622"/>
    <w:rsid w:val="00BB668B"/>
    <w:rsid w:val="00BB682C"/>
    <w:rsid w:val="00BB6FF3"/>
    <w:rsid w:val="00BB7956"/>
    <w:rsid w:val="00BB7CA9"/>
    <w:rsid w:val="00BC0A5D"/>
    <w:rsid w:val="00BC0F61"/>
    <w:rsid w:val="00BC12BE"/>
    <w:rsid w:val="00BC131A"/>
    <w:rsid w:val="00BC236B"/>
    <w:rsid w:val="00BC2BB4"/>
    <w:rsid w:val="00BC3B71"/>
    <w:rsid w:val="00BC5644"/>
    <w:rsid w:val="00BC65D9"/>
    <w:rsid w:val="00BC6730"/>
    <w:rsid w:val="00BC7C52"/>
    <w:rsid w:val="00BD0CF6"/>
    <w:rsid w:val="00BD1471"/>
    <w:rsid w:val="00BD14C5"/>
    <w:rsid w:val="00BD196A"/>
    <w:rsid w:val="00BD2081"/>
    <w:rsid w:val="00BD2311"/>
    <w:rsid w:val="00BD2604"/>
    <w:rsid w:val="00BD4633"/>
    <w:rsid w:val="00BD47F4"/>
    <w:rsid w:val="00BD50D8"/>
    <w:rsid w:val="00BD52D9"/>
    <w:rsid w:val="00BD5B4F"/>
    <w:rsid w:val="00BD6073"/>
    <w:rsid w:val="00BD6262"/>
    <w:rsid w:val="00BD746A"/>
    <w:rsid w:val="00BD7812"/>
    <w:rsid w:val="00BD78C5"/>
    <w:rsid w:val="00BD7EED"/>
    <w:rsid w:val="00BE0CFB"/>
    <w:rsid w:val="00BE1752"/>
    <w:rsid w:val="00BE2B1A"/>
    <w:rsid w:val="00BE369E"/>
    <w:rsid w:val="00BE4C48"/>
    <w:rsid w:val="00BE517B"/>
    <w:rsid w:val="00BE548E"/>
    <w:rsid w:val="00BE5E54"/>
    <w:rsid w:val="00BE61C1"/>
    <w:rsid w:val="00BE64AF"/>
    <w:rsid w:val="00BE6717"/>
    <w:rsid w:val="00BE797F"/>
    <w:rsid w:val="00BF0153"/>
    <w:rsid w:val="00BF0381"/>
    <w:rsid w:val="00BF116F"/>
    <w:rsid w:val="00BF43E1"/>
    <w:rsid w:val="00BF446E"/>
    <w:rsid w:val="00BF5EF3"/>
    <w:rsid w:val="00BF6790"/>
    <w:rsid w:val="00BF6E7B"/>
    <w:rsid w:val="00BF7003"/>
    <w:rsid w:val="00BF7934"/>
    <w:rsid w:val="00C01021"/>
    <w:rsid w:val="00C0141F"/>
    <w:rsid w:val="00C04117"/>
    <w:rsid w:val="00C048AF"/>
    <w:rsid w:val="00C0576F"/>
    <w:rsid w:val="00C062C8"/>
    <w:rsid w:val="00C06383"/>
    <w:rsid w:val="00C069FE"/>
    <w:rsid w:val="00C07311"/>
    <w:rsid w:val="00C077E0"/>
    <w:rsid w:val="00C07BDA"/>
    <w:rsid w:val="00C07DE6"/>
    <w:rsid w:val="00C11C59"/>
    <w:rsid w:val="00C14648"/>
    <w:rsid w:val="00C14F04"/>
    <w:rsid w:val="00C154B5"/>
    <w:rsid w:val="00C162D5"/>
    <w:rsid w:val="00C17872"/>
    <w:rsid w:val="00C2004C"/>
    <w:rsid w:val="00C204C3"/>
    <w:rsid w:val="00C205E9"/>
    <w:rsid w:val="00C20ADE"/>
    <w:rsid w:val="00C212FC"/>
    <w:rsid w:val="00C21EF4"/>
    <w:rsid w:val="00C23F48"/>
    <w:rsid w:val="00C262BD"/>
    <w:rsid w:val="00C26316"/>
    <w:rsid w:val="00C266A8"/>
    <w:rsid w:val="00C27728"/>
    <w:rsid w:val="00C2788A"/>
    <w:rsid w:val="00C308A5"/>
    <w:rsid w:val="00C30E04"/>
    <w:rsid w:val="00C310C2"/>
    <w:rsid w:val="00C31149"/>
    <w:rsid w:val="00C31F00"/>
    <w:rsid w:val="00C33673"/>
    <w:rsid w:val="00C340E4"/>
    <w:rsid w:val="00C348AF"/>
    <w:rsid w:val="00C352A9"/>
    <w:rsid w:val="00C3581D"/>
    <w:rsid w:val="00C36525"/>
    <w:rsid w:val="00C37294"/>
    <w:rsid w:val="00C403B1"/>
    <w:rsid w:val="00C40966"/>
    <w:rsid w:val="00C40EB3"/>
    <w:rsid w:val="00C41019"/>
    <w:rsid w:val="00C41BD9"/>
    <w:rsid w:val="00C41CF4"/>
    <w:rsid w:val="00C42F70"/>
    <w:rsid w:val="00C434FD"/>
    <w:rsid w:val="00C4350E"/>
    <w:rsid w:val="00C461AE"/>
    <w:rsid w:val="00C46EC5"/>
    <w:rsid w:val="00C47129"/>
    <w:rsid w:val="00C47397"/>
    <w:rsid w:val="00C473E1"/>
    <w:rsid w:val="00C47AC7"/>
    <w:rsid w:val="00C50D53"/>
    <w:rsid w:val="00C50F74"/>
    <w:rsid w:val="00C5192E"/>
    <w:rsid w:val="00C52DE6"/>
    <w:rsid w:val="00C536C4"/>
    <w:rsid w:val="00C54FE8"/>
    <w:rsid w:val="00C56255"/>
    <w:rsid w:val="00C5655F"/>
    <w:rsid w:val="00C5767C"/>
    <w:rsid w:val="00C57B1F"/>
    <w:rsid w:val="00C6016B"/>
    <w:rsid w:val="00C60AF9"/>
    <w:rsid w:val="00C627DD"/>
    <w:rsid w:val="00C627EC"/>
    <w:rsid w:val="00C62BC8"/>
    <w:rsid w:val="00C631C9"/>
    <w:rsid w:val="00C63200"/>
    <w:rsid w:val="00C633C1"/>
    <w:rsid w:val="00C634A7"/>
    <w:rsid w:val="00C63758"/>
    <w:rsid w:val="00C638D7"/>
    <w:rsid w:val="00C638DF"/>
    <w:rsid w:val="00C64046"/>
    <w:rsid w:val="00C64720"/>
    <w:rsid w:val="00C64ED8"/>
    <w:rsid w:val="00C6517F"/>
    <w:rsid w:val="00C65A36"/>
    <w:rsid w:val="00C66656"/>
    <w:rsid w:val="00C668E9"/>
    <w:rsid w:val="00C67AF7"/>
    <w:rsid w:val="00C67BA6"/>
    <w:rsid w:val="00C70DA3"/>
    <w:rsid w:val="00C70F26"/>
    <w:rsid w:val="00C71920"/>
    <w:rsid w:val="00C72892"/>
    <w:rsid w:val="00C72A63"/>
    <w:rsid w:val="00C73ECB"/>
    <w:rsid w:val="00C74AA9"/>
    <w:rsid w:val="00C751E4"/>
    <w:rsid w:val="00C767A5"/>
    <w:rsid w:val="00C76A67"/>
    <w:rsid w:val="00C77A70"/>
    <w:rsid w:val="00C8040D"/>
    <w:rsid w:val="00C80AE4"/>
    <w:rsid w:val="00C80DEE"/>
    <w:rsid w:val="00C81958"/>
    <w:rsid w:val="00C81D8E"/>
    <w:rsid w:val="00C83942"/>
    <w:rsid w:val="00C84ECD"/>
    <w:rsid w:val="00C857F1"/>
    <w:rsid w:val="00C870D2"/>
    <w:rsid w:val="00C871C4"/>
    <w:rsid w:val="00C87740"/>
    <w:rsid w:val="00C87B9E"/>
    <w:rsid w:val="00C87D9C"/>
    <w:rsid w:val="00C87E34"/>
    <w:rsid w:val="00C87F30"/>
    <w:rsid w:val="00C93250"/>
    <w:rsid w:val="00C946D5"/>
    <w:rsid w:val="00C95C7A"/>
    <w:rsid w:val="00C96A21"/>
    <w:rsid w:val="00C96EFD"/>
    <w:rsid w:val="00C97301"/>
    <w:rsid w:val="00C97DB7"/>
    <w:rsid w:val="00CA0162"/>
    <w:rsid w:val="00CA1130"/>
    <w:rsid w:val="00CA1192"/>
    <w:rsid w:val="00CA1973"/>
    <w:rsid w:val="00CA341E"/>
    <w:rsid w:val="00CA3EB0"/>
    <w:rsid w:val="00CA415F"/>
    <w:rsid w:val="00CA4EEC"/>
    <w:rsid w:val="00CA529D"/>
    <w:rsid w:val="00CA5EA7"/>
    <w:rsid w:val="00CA6ABA"/>
    <w:rsid w:val="00CA7AF1"/>
    <w:rsid w:val="00CB026C"/>
    <w:rsid w:val="00CB061B"/>
    <w:rsid w:val="00CB07FF"/>
    <w:rsid w:val="00CB2C14"/>
    <w:rsid w:val="00CB5A49"/>
    <w:rsid w:val="00CB5C15"/>
    <w:rsid w:val="00CB678B"/>
    <w:rsid w:val="00CB70C5"/>
    <w:rsid w:val="00CB7156"/>
    <w:rsid w:val="00CB7B15"/>
    <w:rsid w:val="00CC015A"/>
    <w:rsid w:val="00CC08F6"/>
    <w:rsid w:val="00CC1228"/>
    <w:rsid w:val="00CC1A21"/>
    <w:rsid w:val="00CC3427"/>
    <w:rsid w:val="00CC6483"/>
    <w:rsid w:val="00CC664A"/>
    <w:rsid w:val="00CC66DE"/>
    <w:rsid w:val="00CC696A"/>
    <w:rsid w:val="00CC75C3"/>
    <w:rsid w:val="00CC7C0C"/>
    <w:rsid w:val="00CD0BC7"/>
    <w:rsid w:val="00CD1BFB"/>
    <w:rsid w:val="00CD373D"/>
    <w:rsid w:val="00CD5398"/>
    <w:rsid w:val="00CD5694"/>
    <w:rsid w:val="00CD6270"/>
    <w:rsid w:val="00CD75E3"/>
    <w:rsid w:val="00CD7894"/>
    <w:rsid w:val="00CE02E0"/>
    <w:rsid w:val="00CE1106"/>
    <w:rsid w:val="00CE1809"/>
    <w:rsid w:val="00CE2627"/>
    <w:rsid w:val="00CE2EB2"/>
    <w:rsid w:val="00CE461D"/>
    <w:rsid w:val="00CE525D"/>
    <w:rsid w:val="00CE57B8"/>
    <w:rsid w:val="00CE5C99"/>
    <w:rsid w:val="00CE6755"/>
    <w:rsid w:val="00CF007C"/>
    <w:rsid w:val="00CF00EE"/>
    <w:rsid w:val="00CF0661"/>
    <w:rsid w:val="00CF23EE"/>
    <w:rsid w:val="00CF25F2"/>
    <w:rsid w:val="00CF2667"/>
    <w:rsid w:val="00CF283F"/>
    <w:rsid w:val="00CF36EA"/>
    <w:rsid w:val="00CF36FD"/>
    <w:rsid w:val="00CF41D3"/>
    <w:rsid w:val="00CF50FE"/>
    <w:rsid w:val="00CF5B14"/>
    <w:rsid w:val="00CF7E2C"/>
    <w:rsid w:val="00D004D0"/>
    <w:rsid w:val="00D007D3"/>
    <w:rsid w:val="00D0104A"/>
    <w:rsid w:val="00D03527"/>
    <w:rsid w:val="00D0392E"/>
    <w:rsid w:val="00D04B73"/>
    <w:rsid w:val="00D0513A"/>
    <w:rsid w:val="00D0564D"/>
    <w:rsid w:val="00D07986"/>
    <w:rsid w:val="00D07A3B"/>
    <w:rsid w:val="00D11235"/>
    <w:rsid w:val="00D11357"/>
    <w:rsid w:val="00D11646"/>
    <w:rsid w:val="00D126F7"/>
    <w:rsid w:val="00D129F5"/>
    <w:rsid w:val="00D12A00"/>
    <w:rsid w:val="00D12C80"/>
    <w:rsid w:val="00D12ED9"/>
    <w:rsid w:val="00D132DC"/>
    <w:rsid w:val="00D141DD"/>
    <w:rsid w:val="00D1494A"/>
    <w:rsid w:val="00D15CEE"/>
    <w:rsid w:val="00D162B6"/>
    <w:rsid w:val="00D1678C"/>
    <w:rsid w:val="00D17634"/>
    <w:rsid w:val="00D20005"/>
    <w:rsid w:val="00D20166"/>
    <w:rsid w:val="00D21887"/>
    <w:rsid w:val="00D230D8"/>
    <w:rsid w:val="00D2341D"/>
    <w:rsid w:val="00D238B1"/>
    <w:rsid w:val="00D24289"/>
    <w:rsid w:val="00D24E62"/>
    <w:rsid w:val="00D25354"/>
    <w:rsid w:val="00D257EC"/>
    <w:rsid w:val="00D2614F"/>
    <w:rsid w:val="00D266DE"/>
    <w:rsid w:val="00D30043"/>
    <w:rsid w:val="00D31689"/>
    <w:rsid w:val="00D31A43"/>
    <w:rsid w:val="00D325D3"/>
    <w:rsid w:val="00D325EA"/>
    <w:rsid w:val="00D34031"/>
    <w:rsid w:val="00D355E8"/>
    <w:rsid w:val="00D35BE9"/>
    <w:rsid w:val="00D35D25"/>
    <w:rsid w:val="00D40184"/>
    <w:rsid w:val="00D436AD"/>
    <w:rsid w:val="00D4372B"/>
    <w:rsid w:val="00D43C8C"/>
    <w:rsid w:val="00D43DD6"/>
    <w:rsid w:val="00D44A07"/>
    <w:rsid w:val="00D454EC"/>
    <w:rsid w:val="00D46C0E"/>
    <w:rsid w:val="00D5092A"/>
    <w:rsid w:val="00D51C2C"/>
    <w:rsid w:val="00D5216E"/>
    <w:rsid w:val="00D52AFB"/>
    <w:rsid w:val="00D53C2D"/>
    <w:rsid w:val="00D55A36"/>
    <w:rsid w:val="00D5689A"/>
    <w:rsid w:val="00D57072"/>
    <w:rsid w:val="00D57E5E"/>
    <w:rsid w:val="00D6040E"/>
    <w:rsid w:val="00D60A38"/>
    <w:rsid w:val="00D61249"/>
    <w:rsid w:val="00D61559"/>
    <w:rsid w:val="00D616B0"/>
    <w:rsid w:val="00D61AE5"/>
    <w:rsid w:val="00D625A9"/>
    <w:rsid w:val="00D6278E"/>
    <w:rsid w:val="00D62E44"/>
    <w:rsid w:val="00D63640"/>
    <w:rsid w:val="00D6368E"/>
    <w:rsid w:val="00D6385E"/>
    <w:rsid w:val="00D64636"/>
    <w:rsid w:val="00D65138"/>
    <w:rsid w:val="00D65F22"/>
    <w:rsid w:val="00D6652C"/>
    <w:rsid w:val="00D668E4"/>
    <w:rsid w:val="00D67466"/>
    <w:rsid w:val="00D7047B"/>
    <w:rsid w:val="00D70735"/>
    <w:rsid w:val="00D71173"/>
    <w:rsid w:val="00D724D7"/>
    <w:rsid w:val="00D729A9"/>
    <w:rsid w:val="00D72BA6"/>
    <w:rsid w:val="00D731C6"/>
    <w:rsid w:val="00D73D2E"/>
    <w:rsid w:val="00D741F4"/>
    <w:rsid w:val="00D74FEC"/>
    <w:rsid w:val="00D75505"/>
    <w:rsid w:val="00D75900"/>
    <w:rsid w:val="00D76695"/>
    <w:rsid w:val="00D76B6A"/>
    <w:rsid w:val="00D77DAB"/>
    <w:rsid w:val="00D808E1"/>
    <w:rsid w:val="00D80998"/>
    <w:rsid w:val="00D80B27"/>
    <w:rsid w:val="00D810EB"/>
    <w:rsid w:val="00D81C42"/>
    <w:rsid w:val="00D8228F"/>
    <w:rsid w:val="00D83A88"/>
    <w:rsid w:val="00D83CB1"/>
    <w:rsid w:val="00D84128"/>
    <w:rsid w:val="00D85071"/>
    <w:rsid w:val="00D85F7C"/>
    <w:rsid w:val="00D862DA"/>
    <w:rsid w:val="00D8640C"/>
    <w:rsid w:val="00D86456"/>
    <w:rsid w:val="00D866C7"/>
    <w:rsid w:val="00D866D7"/>
    <w:rsid w:val="00D870BD"/>
    <w:rsid w:val="00D87D94"/>
    <w:rsid w:val="00D90708"/>
    <w:rsid w:val="00D90C57"/>
    <w:rsid w:val="00D90ED8"/>
    <w:rsid w:val="00D91309"/>
    <w:rsid w:val="00D91E73"/>
    <w:rsid w:val="00D922E8"/>
    <w:rsid w:val="00D936C9"/>
    <w:rsid w:val="00D93779"/>
    <w:rsid w:val="00D940E2"/>
    <w:rsid w:val="00D94BEF"/>
    <w:rsid w:val="00D95929"/>
    <w:rsid w:val="00D95CA4"/>
    <w:rsid w:val="00D96154"/>
    <w:rsid w:val="00D9643A"/>
    <w:rsid w:val="00D96C33"/>
    <w:rsid w:val="00D97E5C"/>
    <w:rsid w:val="00DA0AD5"/>
    <w:rsid w:val="00DA0BF0"/>
    <w:rsid w:val="00DA3A17"/>
    <w:rsid w:val="00DA3D7B"/>
    <w:rsid w:val="00DA4C9C"/>
    <w:rsid w:val="00DA4D99"/>
    <w:rsid w:val="00DA57E8"/>
    <w:rsid w:val="00DA6721"/>
    <w:rsid w:val="00DA7189"/>
    <w:rsid w:val="00DA7206"/>
    <w:rsid w:val="00DA7370"/>
    <w:rsid w:val="00DA7491"/>
    <w:rsid w:val="00DB0A0C"/>
    <w:rsid w:val="00DB1190"/>
    <w:rsid w:val="00DB1B5B"/>
    <w:rsid w:val="00DB30E0"/>
    <w:rsid w:val="00DB31BF"/>
    <w:rsid w:val="00DB3825"/>
    <w:rsid w:val="00DB3E85"/>
    <w:rsid w:val="00DB40DB"/>
    <w:rsid w:val="00DB4594"/>
    <w:rsid w:val="00DB4AA3"/>
    <w:rsid w:val="00DB4BD4"/>
    <w:rsid w:val="00DB4C71"/>
    <w:rsid w:val="00DB4DEB"/>
    <w:rsid w:val="00DB54C7"/>
    <w:rsid w:val="00DB57C6"/>
    <w:rsid w:val="00DB62F9"/>
    <w:rsid w:val="00DB68FF"/>
    <w:rsid w:val="00DB6C2C"/>
    <w:rsid w:val="00DB706D"/>
    <w:rsid w:val="00DB7230"/>
    <w:rsid w:val="00DC146C"/>
    <w:rsid w:val="00DC17D2"/>
    <w:rsid w:val="00DC1903"/>
    <w:rsid w:val="00DC19A7"/>
    <w:rsid w:val="00DC2ED1"/>
    <w:rsid w:val="00DC32BA"/>
    <w:rsid w:val="00DC5FD8"/>
    <w:rsid w:val="00DC6C3F"/>
    <w:rsid w:val="00DC7B8B"/>
    <w:rsid w:val="00DD0717"/>
    <w:rsid w:val="00DD0819"/>
    <w:rsid w:val="00DD16D9"/>
    <w:rsid w:val="00DD3AE4"/>
    <w:rsid w:val="00DD3D13"/>
    <w:rsid w:val="00DD3F8A"/>
    <w:rsid w:val="00DD4DF3"/>
    <w:rsid w:val="00DD6518"/>
    <w:rsid w:val="00DD6537"/>
    <w:rsid w:val="00DD6667"/>
    <w:rsid w:val="00DD74A2"/>
    <w:rsid w:val="00DE0CB2"/>
    <w:rsid w:val="00DE3184"/>
    <w:rsid w:val="00DE383B"/>
    <w:rsid w:val="00DE4183"/>
    <w:rsid w:val="00DE49BE"/>
    <w:rsid w:val="00DE4DFF"/>
    <w:rsid w:val="00DE6576"/>
    <w:rsid w:val="00DE67CC"/>
    <w:rsid w:val="00DE7509"/>
    <w:rsid w:val="00DE7A2D"/>
    <w:rsid w:val="00DF028B"/>
    <w:rsid w:val="00DF029B"/>
    <w:rsid w:val="00DF11E0"/>
    <w:rsid w:val="00DF20D7"/>
    <w:rsid w:val="00DF4465"/>
    <w:rsid w:val="00DF4614"/>
    <w:rsid w:val="00DF566C"/>
    <w:rsid w:val="00DF6D10"/>
    <w:rsid w:val="00DF7245"/>
    <w:rsid w:val="00DF7354"/>
    <w:rsid w:val="00DF735A"/>
    <w:rsid w:val="00DF7B25"/>
    <w:rsid w:val="00DF7FC7"/>
    <w:rsid w:val="00E00B67"/>
    <w:rsid w:val="00E01748"/>
    <w:rsid w:val="00E02C51"/>
    <w:rsid w:val="00E0363D"/>
    <w:rsid w:val="00E04292"/>
    <w:rsid w:val="00E04840"/>
    <w:rsid w:val="00E04A26"/>
    <w:rsid w:val="00E04CB7"/>
    <w:rsid w:val="00E073EF"/>
    <w:rsid w:val="00E12F90"/>
    <w:rsid w:val="00E135A1"/>
    <w:rsid w:val="00E1496E"/>
    <w:rsid w:val="00E15583"/>
    <w:rsid w:val="00E15709"/>
    <w:rsid w:val="00E15EDD"/>
    <w:rsid w:val="00E16EF1"/>
    <w:rsid w:val="00E17226"/>
    <w:rsid w:val="00E177A0"/>
    <w:rsid w:val="00E17F63"/>
    <w:rsid w:val="00E20740"/>
    <w:rsid w:val="00E24979"/>
    <w:rsid w:val="00E24A61"/>
    <w:rsid w:val="00E24F45"/>
    <w:rsid w:val="00E25B20"/>
    <w:rsid w:val="00E31013"/>
    <w:rsid w:val="00E33ABB"/>
    <w:rsid w:val="00E344D2"/>
    <w:rsid w:val="00E359D5"/>
    <w:rsid w:val="00E360E8"/>
    <w:rsid w:val="00E368C3"/>
    <w:rsid w:val="00E36DCE"/>
    <w:rsid w:val="00E3764A"/>
    <w:rsid w:val="00E37A6D"/>
    <w:rsid w:val="00E40E14"/>
    <w:rsid w:val="00E4379D"/>
    <w:rsid w:val="00E43C06"/>
    <w:rsid w:val="00E44255"/>
    <w:rsid w:val="00E44569"/>
    <w:rsid w:val="00E449B1"/>
    <w:rsid w:val="00E44C27"/>
    <w:rsid w:val="00E44DD3"/>
    <w:rsid w:val="00E4672A"/>
    <w:rsid w:val="00E46BDC"/>
    <w:rsid w:val="00E46CAD"/>
    <w:rsid w:val="00E476CA"/>
    <w:rsid w:val="00E47B31"/>
    <w:rsid w:val="00E501F7"/>
    <w:rsid w:val="00E5082D"/>
    <w:rsid w:val="00E51580"/>
    <w:rsid w:val="00E5351E"/>
    <w:rsid w:val="00E54572"/>
    <w:rsid w:val="00E54880"/>
    <w:rsid w:val="00E54EC5"/>
    <w:rsid w:val="00E57380"/>
    <w:rsid w:val="00E574A9"/>
    <w:rsid w:val="00E5757A"/>
    <w:rsid w:val="00E60800"/>
    <w:rsid w:val="00E612FB"/>
    <w:rsid w:val="00E61355"/>
    <w:rsid w:val="00E613BC"/>
    <w:rsid w:val="00E61E2C"/>
    <w:rsid w:val="00E61F1E"/>
    <w:rsid w:val="00E62366"/>
    <w:rsid w:val="00E623B3"/>
    <w:rsid w:val="00E64548"/>
    <w:rsid w:val="00E65DAB"/>
    <w:rsid w:val="00E665F4"/>
    <w:rsid w:val="00E66861"/>
    <w:rsid w:val="00E66E21"/>
    <w:rsid w:val="00E67063"/>
    <w:rsid w:val="00E6745A"/>
    <w:rsid w:val="00E67473"/>
    <w:rsid w:val="00E705F3"/>
    <w:rsid w:val="00E70F38"/>
    <w:rsid w:val="00E710FC"/>
    <w:rsid w:val="00E71695"/>
    <w:rsid w:val="00E71915"/>
    <w:rsid w:val="00E73103"/>
    <w:rsid w:val="00E73E8A"/>
    <w:rsid w:val="00E75A24"/>
    <w:rsid w:val="00E75E12"/>
    <w:rsid w:val="00E76CA7"/>
    <w:rsid w:val="00E777BB"/>
    <w:rsid w:val="00E80916"/>
    <w:rsid w:val="00E80E94"/>
    <w:rsid w:val="00E8180B"/>
    <w:rsid w:val="00E81DA7"/>
    <w:rsid w:val="00E82A4A"/>
    <w:rsid w:val="00E83596"/>
    <w:rsid w:val="00E835E5"/>
    <w:rsid w:val="00E840DF"/>
    <w:rsid w:val="00E8452A"/>
    <w:rsid w:val="00E850A3"/>
    <w:rsid w:val="00E8560F"/>
    <w:rsid w:val="00E86430"/>
    <w:rsid w:val="00E86AD8"/>
    <w:rsid w:val="00E8751F"/>
    <w:rsid w:val="00E8780A"/>
    <w:rsid w:val="00E9236C"/>
    <w:rsid w:val="00E936AB"/>
    <w:rsid w:val="00E93B5E"/>
    <w:rsid w:val="00E957FC"/>
    <w:rsid w:val="00E96DFD"/>
    <w:rsid w:val="00E9741E"/>
    <w:rsid w:val="00E97C03"/>
    <w:rsid w:val="00EA0289"/>
    <w:rsid w:val="00EA07A1"/>
    <w:rsid w:val="00EA0998"/>
    <w:rsid w:val="00EA1274"/>
    <w:rsid w:val="00EA1B9F"/>
    <w:rsid w:val="00EA1FF6"/>
    <w:rsid w:val="00EA3B76"/>
    <w:rsid w:val="00EA47EF"/>
    <w:rsid w:val="00EA528B"/>
    <w:rsid w:val="00EA5306"/>
    <w:rsid w:val="00EA6524"/>
    <w:rsid w:val="00EA673D"/>
    <w:rsid w:val="00EB11D1"/>
    <w:rsid w:val="00EB1763"/>
    <w:rsid w:val="00EB181B"/>
    <w:rsid w:val="00EB1905"/>
    <w:rsid w:val="00EB1CA4"/>
    <w:rsid w:val="00EB21FE"/>
    <w:rsid w:val="00EB26D1"/>
    <w:rsid w:val="00EB272B"/>
    <w:rsid w:val="00EB2DEA"/>
    <w:rsid w:val="00EB68F8"/>
    <w:rsid w:val="00EB7BD4"/>
    <w:rsid w:val="00EC014D"/>
    <w:rsid w:val="00EC04EF"/>
    <w:rsid w:val="00EC1ADF"/>
    <w:rsid w:val="00EC1CEE"/>
    <w:rsid w:val="00EC24EC"/>
    <w:rsid w:val="00EC341C"/>
    <w:rsid w:val="00EC342C"/>
    <w:rsid w:val="00EC51E5"/>
    <w:rsid w:val="00ED1657"/>
    <w:rsid w:val="00ED1821"/>
    <w:rsid w:val="00ED187B"/>
    <w:rsid w:val="00ED1FC8"/>
    <w:rsid w:val="00ED28AB"/>
    <w:rsid w:val="00ED340E"/>
    <w:rsid w:val="00ED47BE"/>
    <w:rsid w:val="00ED4967"/>
    <w:rsid w:val="00ED53BB"/>
    <w:rsid w:val="00ED5637"/>
    <w:rsid w:val="00ED582B"/>
    <w:rsid w:val="00ED5E4F"/>
    <w:rsid w:val="00ED65EA"/>
    <w:rsid w:val="00ED6618"/>
    <w:rsid w:val="00ED680F"/>
    <w:rsid w:val="00ED731D"/>
    <w:rsid w:val="00EE2915"/>
    <w:rsid w:val="00EE35E1"/>
    <w:rsid w:val="00EE505B"/>
    <w:rsid w:val="00EE5AAD"/>
    <w:rsid w:val="00EE6848"/>
    <w:rsid w:val="00EE69D5"/>
    <w:rsid w:val="00EE6B93"/>
    <w:rsid w:val="00EE71C9"/>
    <w:rsid w:val="00EF0490"/>
    <w:rsid w:val="00EF06B2"/>
    <w:rsid w:val="00EF2859"/>
    <w:rsid w:val="00EF346C"/>
    <w:rsid w:val="00EF352D"/>
    <w:rsid w:val="00EF378C"/>
    <w:rsid w:val="00EF3837"/>
    <w:rsid w:val="00EF4AEE"/>
    <w:rsid w:val="00EF4C4B"/>
    <w:rsid w:val="00EF587E"/>
    <w:rsid w:val="00EF6E41"/>
    <w:rsid w:val="00EF7329"/>
    <w:rsid w:val="00EF7A8D"/>
    <w:rsid w:val="00EF7B8C"/>
    <w:rsid w:val="00EF7C5F"/>
    <w:rsid w:val="00F0001C"/>
    <w:rsid w:val="00F00CEA"/>
    <w:rsid w:val="00F011F1"/>
    <w:rsid w:val="00F01C00"/>
    <w:rsid w:val="00F01CBA"/>
    <w:rsid w:val="00F031DC"/>
    <w:rsid w:val="00F03BCE"/>
    <w:rsid w:val="00F03BF4"/>
    <w:rsid w:val="00F03F3B"/>
    <w:rsid w:val="00F04A3C"/>
    <w:rsid w:val="00F05959"/>
    <w:rsid w:val="00F05B9C"/>
    <w:rsid w:val="00F066A6"/>
    <w:rsid w:val="00F07468"/>
    <w:rsid w:val="00F075FB"/>
    <w:rsid w:val="00F105B1"/>
    <w:rsid w:val="00F1065D"/>
    <w:rsid w:val="00F10C44"/>
    <w:rsid w:val="00F10EFC"/>
    <w:rsid w:val="00F11867"/>
    <w:rsid w:val="00F11DDC"/>
    <w:rsid w:val="00F123C5"/>
    <w:rsid w:val="00F1302B"/>
    <w:rsid w:val="00F13F76"/>
    <w:rsid w:val="00F14028"/>
    <w:rsid w:val="00F153C1"/>
    <w:rsid w:val="00F15B66"/>
    <w:rsid w:val="00F15F43"/>
    <w:rsid w:val="00F15FE4"/>
    <w:rsid w:val="00F16C89"/>
    <w:rsid w:val="00F176D0"/>
    <w:rsid w:val="00F21141"/>
    <w:rsid w:val="00F211BE"/>
    <w:rsid w:val="00F2128D"/>
    <w:rsid w:val="00F2176B"/>
    <w:rsid w:val="00F217E8"/>
    <w:rsid w:val="00F22D82"/>
    <w:rsid w:val="00F22FE8"/>
    <w:rsid w:val="00F23A8E"/>
    <w:rsid w:val="00F23B76"/>
    <w:rsid w:val="00F23C3C"/>
    <w:rsid w:val="00F2440E"/>
    <w:rsid w:val="00F247E4"/>
    <w:rsid w:val="00F25079"/>
    <w:rsid w:val="00F26535"/>
    <w:rsid w:val="00F26BBE"/>
    <w:rsid w:val="00F26D40"/>
    <w:rsid w:val="00F26E1A"/>
    <w:rsid w:val="00F27D49"/>
    <w:rsid w:val="00F30DEE"/>
    <w:rsid w:val="00F30F30"/>
    <w:rsid w:val="00F31757"/>
    <w:rsid w:val="00F33200"/>
    <w:rsid w:val="00F33366"/>
    <w:rsid w:val="00F340B6"/>
    <w:rsid w:val="00F361B7"/>
    <w:rsid w:val="00F37623"/>
    <w:rsid w:val="00F379AE"/>
    <w:rsid w:val="00F40B39"/>
    <w:rsid w:val="00F40BAE"/>
    <w:rsid w:val="00F424CC"/>
    <w:rsid w:val="00F45B64"/>
    <w:rsid w:val="00F502B1"/>
    <w:rsid w:val="00F5181E"/>
    <w:rsid w:val="00F52E6B"/>
    <w:rsid w:val="00F52F93"/>
    <w:rsid w:val="00F531ED"/>
    <w:rsid w:val="00F53257"/>
    <w:rsid w:val="00F53C92"/>
    <w:rsid w:val="00F53DEA"/>
    <w:rsid w:val="00F54608"/>
    <w:rsid w:val="00F54D1E"/>
    <w:rsid w:val="00F552F2"/>
    <w:rsid w:val="00F55E52"/>
    <w:rsid w:val="00F55E62"/>
    <w:rsid w:val="00F56454"/>
    <w:rsid w:val="00F57EF0"/>
    <w:rsid w:val="00F6077B"/>
    <w:rsid w:val="00F608F1"/>
    <w:rsid w:val="00F62443"/>
    <w:rsid w:val="00F627E2"/>
    <w:rsid w:val="00F652BF"/>
    <w:rsid w:val="00F662D5"/>
    <w:rsid w:val="00F66DFC"/>
    <w:rsid w:val="00F66F4B"/>
    <w:rsid w:val="00F71446"/>
    <w:rsid w:val="00F71520"/>
    <w:rsid w:val="00F724C4"/>
    <w:rsid w:val="00F7391D"/>
    <w:rsid w:val="00F7590F"/>
    <w:rsid w:val="00F7593A"/>
    <w:rsid w:val="00F75FE2"/>
    <w:rsid w:val="00F76B4F"/>
    <w:rsid w:val="00F772CC"/>
    <w:rsid w:val="00F77DE6"/>
    <w:rsid w:val="00F80254"/>
    <w:rsid w:val="00F8569E"/>
    <w:rsid w:val="00F85A14"/>
    <w:rsid w:val="00F86444"/>
    <w:rsid w:val="00F865BD"/>
    <w:rsid w:val="00F86D1C"/>
    <w:rsid w:val="00F87E8E"/>
    <w:rsid w:val="00F90BE0"/>
    <w:rsid w:val="00F90EB0"/>
    <w:rsid w:val="00F913C6"/>
    <w:rsid w:val="00F91ED2"/>
    <w:rsid w:val="00F93C8D"/>
    <w:rsid w:val="00F947C7"/>
    <w:rsid w:val="00F94864"/>
    <w:rsid w:val="00F94D4E"/>
    <w:rsid w:val="00F95BDD"/>
    <w:rsid w:val="00FA02EE"/>
    <w:rsid w:val="00FA237B"/>
    <w:rsid w:val="00FA23F4"/>
    <w:rsid w:val="00FA33A6"/>
    <w:rsid w:val="00FA4EB1"/>
    <w:rsid w:val="00FA554B"/>
    <w:rsid w:val="00FA68A5"/>
    <w:rsid w:val="00FA712D"/>
    <w:rsid w:val="00FA7538"/>
    <w:rsid w:val="00FA7B80"/>
    <w:rsid w:val="00FB0B18"/>
    <w:rsid w:val="00FB18EA"/>
    <w:rsid w:val="00FB1EFC"/>
    <w:rsid w:val="00FB21A1"/>
    <w:rsid w:val="00FB252F"/>
    <w:rsid w:val="00FB2ACA"/>
    <w:rsid w:val="00FB3BCC"/>
    <w:rsid w:val="00FB42B7"/>
    <w:rsid w:val="00FB5771"/>
    <w:rsid w:val="00FB673E"/>
    <w:rsid w:val="00FB753B"/>
    <w:rsid w:val="00FC13DB"/>
    <w:rsid w:val="00FC2C6E"/>
    <w:rsid w:val="00FC3112"/>
    <w:rsid w:val="00FC3D57"/>
    <w:rsid w:val="00FC3EB4"/>
    <w:rsid w:val="00FC3EDD"/>
    <w:rsid w:val="00FC41BD"/>
    <w:rsid w:val="00FC51B8"/>
    <w:rsid w:val="00FC5DBB"/>
    <w:rsid w:val="00FC5FD1"/>
    <w:rsid w:val="00FC65F7"/>
    <w:rsid w:val="00FC6609"/>
    <w:rsid w:val="00FC6C2D"/>
    <w:rsid w:val="00FC6D11"/>
    <w:rsid w:val="00FC759C"/>
    <w:rsid w:val="00FD0768"/>
    <w:rsid w:val="00FD16AB"/>
    <w:rsid w:val="00FD16AC"/>
    <w:rsid w:val="00FD2028"/>
    <w:rsid w:val="00FD2E3A"/>
    <w:rsid w:val="00FD32E2"/>
    <w:rsid w:val="00FD3321"/>
    <w:rsid w:val="00FD3546"/>
    <w:rsid w:val="00FD38DC"/>
    <w:rsid w:val="00FD5CA8"/>
    <w:rsid w:val="00FD6382"/>
    <w:rsid w:val="00FD6457"/>
    <w:rsid w:val="00FD65E4"/>
    <w:rsid w:val="00FD66E4"/>
    <w:rsid w:val="00FD67F6"/>
    <w:rsid w:val="00FD70C5"/>
    <w:rsid w:val="00FD755E"/>
    <w:rsid w:val="00FD7A38"/>
    <w:rsid w:val="00FD7CD3"/>
    <w:rsid w:val="00FE1822"/>
    <w:rsid w:val="00FE270E"/>
    <w:rsid w:val="00FE2856"/>
    <w:rsid w:val="00FE319F"/>
    <w:rsid w:val="00FE34EC"/>
    <w:rsid w:val="00FE410C"/>
    <w:rsid w:val="00FE4219"/>
    <w:rsid w:val="00FE44C5"/>
    <w:rsid w:val="00FE4B13"/>
    <w:rsid w:val="00FE50FA"/>
    <w:rsid w:val="00FE5139"/>
    <w:rsid w:val="00FE54C0"/>
    <w:rsid w:val="00FE5C5F"/>
    <w:rsid w:val="00FF078A"/>
    <w:rsid w:val="00FF1021"/>
    <w:rsid w:val="00FF102C"/>
    <w:rsid w:val="00FF141F"/>
    <w:rsid w:val="00FF2A25"/>
    <w:rsid w:val="00FF406D"/>
    <w:rsid w:val="00FF469E"/>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F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6D05E2"/>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6D05E2"/>
    <w:pPr>
      <w:keepNext/>
      <w:numPr>
        <w:numId w:val="5"/>
      </w:numPr>
      <w:ind w:right="1296"/>
      <w:outlineLvl w:val="0"/>
    </w:pPr>
    <w:rPr>
      <w:u w:val="single"/>
    </w:rPr>
  </w:style>
  <w:style w:type="paragraph" w:styleId="Heading2">
    <w:name w:val="heading 2"/>
    <w:basedOn w:val="Normal"/>
    <w:next w:val="Normal"/>
    <w:uiPriority w:val="99"/>
    <w:semiHidden/>
    <w:qFormat/>
    <w:locked/>
    <w:rsid w:val="006D05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6D05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6D05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05E2"/>
  </w:style>
  <w:style w:type="paragraph" w:styleId="Footer">
    <w:name w:val="footer"/>
    <w:basedOn w:val="Normal"/>
    <w:link w:val="FooterChar"/>
    <w:uiPriority w:val="43"/>
    <w:locked/>
    <w:rsid w:val="006D05E2"/>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6D05E2"/>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6D05E2"/>
    <w:pPr>
      <w:spacing w:before="240" w:line="240" w:lineRule="exact"/>
      <w:ind w:left="720" w:right="794" w:firstLine="0"/>
    </w:pPr>
  </w:style>
  <w:style w:type="paragraph" w:styleId="FootnoteText">
    <w:name w:val="footnote text"/>
    <w:basedOn w:val="Normal"/>
    <w:uiPriority w:val="53"/>
    <w:locked/>
    <w:rsid w:val="006D05E2"/>
    <w:pPr>
      <w:spacing w:after="240" w:line="240" w:lineRule="exact"/>
      <w:ind w:left="510" w:hanging="510"/>
    </w:pPr>
  </w:style>
  <w:style w:type="character" w:styleId="FootnoteReference">
    <w:name w:val="footnote reference"/>
    <w:uiPriority w:val="51"/>
    <w:locked/>
    <w:rsid w:val="006D05E2"/>
    <w:rPr>
      <w:b/>
      <w:sz w:val="28"/>
      <w:vertAlign w:val="superscript"/>
    </w:rPr>
  </w:style>
  <w:style w:type="paragraph" w:customStyle="1" w:styleId="FootIndAgain">
    <w:name w:val="FootIndAgain"/>
    <w:basedOn w:val="FootnoteText"/>
    <w:uiPriority w:val="47"/>
    <w:qFormat/>
    <w:locked/>
    <w:rsid w:val="006D05E2"/>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6D05E2"/>
    <w:pPr>
      <w:ind w:firstLine="0"/>
    </w:pPr>
  </w:style>
  <w:style w:type="character" w:customStyle="1" w:styleId="Heading1Char">
    <w:name w:val="Heading 1 Char"/>
    <w:uiPriority w:val="99"/>
    <w:semiHidden/>
    <w:locked/>
    <w:rsid w:val="006D05E2"/>
    <w:rPr>
      <w:rFonts w:ascii="Univers" w:hAnsi="Univers"/>
      <w:sz w:val="26"/>
      <w:u w:val="single"/>
      <w:lang w:val="en-AU"/>
    </w:rPr>
  </w:style>
  <w:style w:type="character" w:customStyle="1" w:styleId="Heading2Char">
    <w:name w:val="Heading 2 Char"/>
    <w:uiPriority w:val="99"/>
    <w:semiHidden/>
    <w:locked/>
    <w:rsid w:val="006D05E2"/>
    <w:rPr>
      <w:rFonts w:ascii="Arial" w:hAnsi="Arial"/>
      <w:b/>
      <w:i/>
      <w:sz w:val="24"/>
      <w:lang w:val="en-AU"/>
    </w:rPr>
  </w:style>
  <w:style w:type="character" w:customStyle="1" w:styleId="Heading3Char">
    <w:name w:val="Heading 3 Char"/>
    <w:uiPriority w:val="99"/>
    <w:semiHidden/>
    <w:locked/>
    <w:rsid w:val="006D05E2"/>
    <w:rPr>
      <w:rFonts w:ascii="Arial" w:hAnsi="Arial"/>
      <w:sz w:val="24"/>
      <w:lang w:val="en-AU"/>
    </w:rPr>
  </w:style>
  <w:style w:type="paragraph" w:customStyle="1" w:styleId="NormalHC">
    <w:name w:val="Normal HC"/>
    <w:basedOn w:val="Normal"/>
    <w:uiPriority w:val="27"/>
    <w:qFormat/>
    <w:locked/>
    <w:rsid w:val="006D05E2"/>
    <w:pPr>
      <w:numPr>
        <w:numId w:val="16"/>
      </w:numPr>
      <w:spacing w:after="480"/>
      <w:ind w:left="0" w:hanging="720"/>
    </w:pPr>
  </w:style>
  <w:style w:type="paragraph" w:customStyle="1" w:styleId="HeadingFirst">
    <w:name w:val="Heading First"/>
    <w:basedOn w:val="NormalHC"/>
    <w:next w:val="HeadingV"/>
    <w:uiPriority w:val="15"/>
    <w:qFormat/>
    <w:locked/>
    <w:rsid w:val="006D05E2"/>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6D05E2"/>
    <w:pPr>
      <w:keepNext/>
      <w:numPr>
        <w:numId w:val="0"/>
      </w:numPr>
      <w:outlineLvl w:val="2"/>
    </w:pPr>
    <w:rPr>
      <w:b/>
      <w:szCs w:val="20"/>
    </w:rPr>
  </w:style>
  <w:style w:type="paragraph" w:customStyle="1" w:styleId="HeadingL2">
    <w:name w:val="Heading L2"/>
    <w:basedOn w:val="HeadingL1"/>
    <w:next w:val="NormalHC"/>
    <w:uiPriority w:val="23"/>
    <w:qFormat/>
    <w:locked/>
    <w:rsid w:val="006D05E2"/>
    <w:pPr>
      <w:outlineLvl w:val="3"/>
    </w:pPr>
    <w:rPr>
      <w:b w:val="0"/>
      <w:i/>
    </w:rPr>
  </w:style>
  <w:style w:type="paragraph" w:customStyle="1" w:styleId="HeadingMatter">
    <w:name w:val="Heading Matter"/>
    <w:basedOn w:val="NormalHC"/>
    <w:next w:val="HeadingFirst"/>
    <w:uiPriority w:val="13"/>
    <w:qFormat/>
    <w:locked/>
    <w:rsid w:val="006D05E2"/>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6D05E2"/>
    <w:pPr>
      <w:keepNext w:val="0"/>
    </w:pPr>
  </w:style>
  <w:style w:type="paragraph" w:customStyle="1" w:styleId="HeadingV">
    <w:name w:val="Heading V"/>
    <w:basedOn w:val="HeadingFirst"/>
    <w:next w:val="HeadingSecond"/>
    <w:uiPriority w:val="17"/>
    <w:qFormat/>
    <w:locked/>
    <w:rsid w:val="006D05E2"/>
    <w:rPr>
      <w:caps w:val="0"/>
      <w:u w:val="none"/>
    </w:rPr>
  </w:style>
  <w:style w:type="paragraph" w:customStyle="1" w:styleId="LeftrightafterHC">
    <w:name w:val="Leftright after HC"/>
    <w:basedOn w:val="Normal"/>
    <w:next w:val="leftright"/>
    <w:uiPriority w:val="31"/>
    <w:qFormat/>
    <w:locked/>
    <w:rsid w:val="006D05E2"/>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6D05E2"/>
    <w:pPr>
      <w:ind w:firstLine="720"/>
    </w:pPr>
  </w:style>
  <w:style w:type="paragraph" w:customStyle="1" w:styleId="LeftrightHanging">
    <w:name w:val="LeftrightHanging"/>
    <w:basedOn w:val="NormalHC"/>
    <w:uiPriority w:val="35"/>
    <w:qFormat/>
    <w:locked/>
    <w:rsid w:val="006D05E2"/>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6D05E2"/>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6D05E2"/>
    <w:pPr>
      <w:spacing w:before="200"/>
      <w:ind w:left="2160"/>
    </w:pPr>
  </w:style>
  <w:style w:type="paragraph" w:customStyle="1" w:styleId="NormalafterHd2nd">
    <w:name w:val="Normal after Hd2nd"/>
    <w:basedOn w:val="NormalHC"/>
    <w:next w:val="NormalHC"/>
    <w:uiPriority w:val="29"/>
    <w:locked/>
    <w:rsid w:val="006D05E2"/>
    <w:pPr>
      <w:numPr>
        <w:numId w:val="0"/>
      </w:numPr>
      <w:spacing w:before="1000"/>
    </w:pPr>
  </w:style>
  <w:style w:type="character" w:customStyle="1" w:styleId="NormalHCChar">
    <w:name w:val="Normal HC Char"/>
    <w:uiPriority w:val="99"/>
    <w:semiHidden/>
    <w:locked/>
    <w:rsid w:val="006D05E2"/>
    <w:rPr>
      <w:rFonts w:ascii="Univers" w:hAnsi="Univers"/>
      <w:sz w:val="26"/>
      <w:szCs w:val="26"/>
    </w:rPr>
  </w:style>
  <w:style w:type="character" w:customStyle="1" w:styleId="StyleFootnoteReferenceChar">
    <w:name w:val="Style Footnote Reference Char"/>
    <w:uiPriority w:val="99"/>
    <w:semiHidden/>
    <w:locked/>
    <w:rsid w:val="006D05E2"/>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D05E2"/>
  </w:style>
  <w:style w:type="paragraph" w:customStyle="1" w:styleId="HeadingJudgment">
    <w:name w:val="Heading Judgment"/>
    <w:basedOn w:val="Normal"/>
    <w:uiPriority w:val="59"/>
    <w:qFormat/>
    <w:locked/>
    <w:rsid w:val="006D05E2"/>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6D05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6D05E2"/>
    <w:pPr>
      <w:outlineLvl w:val="4"/>
    </w:pPr>
    <w:rPr>
      <w:b w:val="0"/>
    </w:rPr>
  </w:style>
  <w:style w:type="character" w:styleId="PageNumber">
    <w:name w:val="page number"/>
    <w:basedOn w:val="DefaultParagraphFont"/>
    <w:uiPriority w:val="57"/>
    <w:locked/>
    <w:rsid w:val="006D05E2"/>
  </w:style>
  <w:style w:type="paragraph" w:styleId="BalloonText">
    <w:name w:val="Balloon Text"/>
    <w:basedOn w:val="Normal"/>
    <w:link w:val="BalloonTextChar"/>
    <w:semiHidden/>
    <w:locked/>
    <w:rsid w:val="006D05E2"/>
    <w:rPr>
      <w:rFonts w:ascii="Tahoma" w:hAnsi="Tahoma" w:cs="Tahoma"/>
      <w:sz w:val="16"/>
      <w:szCs w:val="16"/>
      <w:lang w:eastAsia="en-US"/>
    </w:rPr>
  </w:style>
  <w:style w:type="character" w:customStyle="1" w:styleId="BalloonTextChar">
    <w:name w:val="Balloon Text Char"/>
    <w:basedOn w:val="DefaultParagraphFont"/>
    <w:link w:val="BalloonText"/>
    <w:semiHidden/>
    <w:rsid w:val="006D05E2"/>
    <w:rPr>
      <w:rFonts w:ascii="Tahoma" w:hAnsi="Tahoma" w:cs="Tahoma"/>
      <w:sz w:val="16"/>
      <w:szCs w:val="16"/>
      <w:lang w:eastAsia="en-US"/>
    </w:rPr>
  </w:style>
  <w:style w:type="paragraph" w:customStyle="1" w:styleId="ClosingText">
    <w:name w:val="Closing Text"/>
    <w:basedOn w:val="Normal"/>
    <w:uiPriority w:val="98"/>
    <w:semiHidden/>
    <w:qFormat/>
    <w:locked/>
    <w:rsid w:val="006D05E2"/>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6D05E2"/>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6D05E2"/>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6D05E2"/>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6D05E2"/>
    <w:rPr>
      <w:szCs w:val="20"/>
      <w:lang w:eastAsia="en-US"/>
    </w:rPr>
  </w:style>
  <w:style w:type="paragraph" w:customStyle="1" w:styleId="NormalBody">
    <w:name w:val="Normal Body"/>
    <w:basedOn w:val="NormalHC"/>
    <w:uiPriority w:val="28"/>
    <w:qFormat/>
    <w:locked/>
    <w:rsid w:val="006D05E2"/>
    <w:pPr>
      <w:numPr>
        <w:numId w:val="0"/>
      </w:numPr>
    </w:pPr>
    <w:rPr>
      <w:lang w:eastAsia="en-US"/>
    </w:rPr>
  </w:style>
  <w:style w:type="paragraph" w:customStyle="1" w:styleId="StyleFootnoteReference">
    <w:name w:val="Style Footnote Reference"/>
    <w:basedOn w:val="Normal"/>
    <w:next w:val="Normal"/>
    <w:semiHidden/>
    <w:rsid w:val="006D05E2"/>
    <w:rPr>
      <w:vertAlign w:val="superscript"/>
      <w:lang w:eastAsia="en-US"/>
    </w:rPr>
  </w:style>
  <w:style w:type="paragraph" w:styleId="ListNumber">
    <w:name w:val="List Number"/>
    <w:basedOn w:val="Normal"/>
    <w:uiPriority w:val="56"/>
    <w:locked/>
    <w:rsid w:val="006D05E2"/>
    <w:pPr>
      <w:numPr>
        <w:numId w:val="11"/>
      </w:numPr>
      <w:contextualSpacing/>
    </w:pPr>
  </w:style>
  <w:style w:type="paragraph" w:customStyle="1" w:styleId="FixListStyle">
    <w:name w:val="FixListStyle"/>
    <w:basedOn w:val="Normal"/>
    <w:uiPriority w:val="99"/>
    <w:qFormat/>
    <w:rsid w:val="006D05E2"/>
    <w:pPr>
      <w:numPr>
        <w:numId w:val="19"/>
      </w:numPr>
      <w:spacing w:after="480"/>
      <w:ind w:left="0" w:hanging="720"/>
    </w:pPr>
  </w:style>
  <w:style w:type="paragraph" w:customStyle="1" w:styleId="CatchwordsBold">
    <w:name w:val="Catchwords Bold"/>
    <w:basedOn w:val="Normal"/>
    <w:link w:val="CatchwordsBoldChar"/>
    <w:qFormat/>
    <w:rsid w:val="006D05E2"/>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6D05E2"/>
    <w:rPr>
      <w:rFonts w:ascii="Times New Roman" w:hAnsi="Times New Roman"/>
      <w:b/>
      <w:szCs w:val="20"/>
    </w:rPr>
  </w:style>
  <w:style w:type="paragraph" w:customStyle="1" w:styleId="CatchwordsRight">
    <w:name w:val="Catchwords Right"/>
    <w:basedOn w:val="Normal"/>
    <w:link w:val="CatchwordsRightChar"/>
    <w:qFormat/>
    <w:rsid w:val="006D05E2"/>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6D05E2"/>
    <w:rPr>
      <w:rFonts w:ascii="Times New Roman" w:hAnsi="Times New Roman"/>
      <w:szCs w:val="20"/>
    </w:rPr>
  </w:style>
  <w:style w:type="paragraph" w:customStyle="1" w:styleId="CatchwordsText">
    <w:name w:val="Catchwords Text"/>
    <w:basedOn w:val="Normal"/>
    <w:link w:val="CatchwordsTextChar"/>
    <w:qFormat/>
    <w:rsid w:val="006D05E2"/>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6D05E2"/>
    <w:rPr>
      <w:rFonts w:ascii="Times New Roman" w:hAnsi="Times New Roman"/>
      <w:szCs w:val="20"/>
    </w:rPr>
  </w:style>
  <w:style w:type="paragraph" w:customStyle="1" w:styleId="CenteredBorder">
    <w:name w:val="Centered Border"/>
    <w:qFormat/>
    <w:rsid w:val="006D05E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6D05E2"/>
    <w:pPr>
      <w:jc w:val="center"/>
    </w:pPr>
    <w:rPr>
      <w:rFonts w:ascii="Times New Roman" w:hAnsi="Times New Roman"/>
      <w:b/>
      <w:bCs/>
      <w:szCs w:val="20"/>
      <w:lang w:val="en-GB"/>
    </w:rPr>
  </w:style>
  <w:style w:type="character" w:customStyle="1" w:styleId="OrderCentred">
    <w:name w:val="Order Centred"/>
    <w:semiHidden/>
    <w:rsid w:val="006D05E2"/>
    <w:rPr>
      <w:b/>
      <w:bCs/>
      <w:sz w:val="26"/>
    </w:rPr>
  </w:style>
  <w:style w:type="paragraph" w:customStyle="1" w:styleId="OrdersTopLine">
    <w:name w:val="Orders TopLine"/>
    <w:qFormat/>
    <w:rsid w:val="006D05E2"/>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6D05E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6D05E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6D05E2"/>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6D05E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6D05E2"/>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6D05E2"/>
    <w:rPr>
      <w:rFonts w:ascii="Times New Roman" w:hAnsi="Times New Roman"/>
      <w:i/>
      <w:lang w:eastAsia="en-US"/>
    </w:rPr>
  </w:style>
  <w:style w:type="paragraph" w:customStyle="1" w:styleId="OrdersIndentLevel2i">
    <w:name w:val="Orders Indent Level 2 (i)"/>
    <w:basedOn w:val="Normal"/>
    <w:link w:val="OrdersIndentLevel2iChar"/>
    <w:qFormat/>
    <w:rsid w:val="006D05E2"/>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6D05E2"/>
    <w:rPr>
      <w:rFonts w:ascii="Times New Roman" w:hAnsi="Times New Roman"/>
      <w:i/>
      <w:lang w:eastAsia="en-US"/>
    </w:rPr>
  </w:style>
  <w:style w:type="paragraph" w:customStyle="1" w:styleId="OrdersMatter">
    <w:name w:val="Orders Matter"/>
    <w:basedOn w:val="OrderCentreBold"/>
    <w:link w:val="OrdersMatterChar"/>
    <w:qFormat/>
    <w:rsid w:val="006D05E2"/>
  </w:style>
  <w:style w:type="character" w:customStyle="1" w:styleId="OrdersMatterChar">
    <w:name w:val="Orders Matter Char"/>
    <w:link w:val="OrdersMatter"/>
    <w:rsid w:val="006D05E2"/>
    <w:rPr>
      <w:rFonts w:ascii="Times New Roman" w:hAnsi="Times New Roman"/>
      <w:b/>
      <w:bCs/>
      <w:szCs w:val="20"/>
      <w:lang w:val="en-GB"/>
    </w:rPr>
  </w:style>
  <w:style w:type="paragraph" w:customStyle="1" w:styleId="OrdersNotice">
    <w:name w:val="Orders Notice"/>
    <w:rsid w:val="006D05E2"/>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6D05E2"/>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6D05E2"/>
    <w:rPr>
      <w:rFonts w:ascii="Times New Roman" w:hAnsi="Times New Roman"/>
      <w:szCs w:val="20"/>
      <w:lang w:eastAsia="en-US"/>
    </w:rPr>
  </w:style>
  <w:style w:type="paragraph" w:customStyle="1" w:styleId="OrdersText">
    <w:name w:val="Orders Text"/>
    <w:basedOn w:val="Normal"/>
    <w:link w:val="OrdersTextChar"/>
    <w:qFormat/>
    <w:rsid w:val="006D05E2"/>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6D05E2"/>
    <w:rPr>
      <w:rFonts w:ascii="Times New Roman" w:hAnsi="Times New Roman"/>
      <w:i/>
      <w:lang w:eastAsia="en-US"/>
    </w:rPr>
  </w:style>
  <w:style w:type="paragraph" w:customStyle="1" w:styleId="OrdersCenteredBorder">
    <w:name w:val="Orders Centered Border"/>
    <w:qFormat/>
    <w:rsid w:val="006D05E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6D05E2"/>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6D05E2"/>
    <w:rPr>
      <w:rFonts w:ascii="Times New Roman" w:hAnsi="Times New Roman"/>
      <w:szCs w:val="20"/>
    </w:rPr>
  </w:style>
  <w:style w:type="paragraph" w:customStyle="1" w:styleId="LRHangingafterHC">
    <w:name w:val="LR Hanging after HC"/>
    <w:basedOn w:val="Normal"/>
    <w:next w:val="LeftrightHanging"/>
    <w:uiPriority w:val="99"/>
    <w:qFormat/>
    <w:rsid w:val="006D05E2"/>
    <w:pPr>
      <w:spacing w:before="720" w:line="240" w:lineRule="exact"/>
      <w:ind w:left="1440" w:right="794" w:hanging="720"/>
    </w:pPr>
  </w:style>
  <w:style w:type="paragraph" w:styleId="Revision">
    <w:name w:val="Revision"/>
    <w:hidden/>
    <w:uiPriority w:val="99"/>
    <w:semiHidden/>
    <w:rsid w:val="00F247E4"/>
  </w:style>
  <w:style w:type="character" w:styleId="CommentReference">
    <w:name w:val="annotation reference"/>
    <w:basedOn w:val="DefaultParagraphFont"/>
    <w:uiPriority w:val="99"/>
    <w:semiHidden/>
    <w:unhideWhenUsed/>
    <w:locked/>
    <w:rsid w:val="002F2122"/>
    <w:rPr>
      <w:sz w:val="16"/>
      <w:szCs w:val="16"/>
    </w:rPr>
  </w:style>
  <w:style w:type="paragraph" w:styleId="CommentText">
    <w:name w:val="annotation text"/>
    <w:basedOn w:val="Normal"/>
    <w:link w:val="CommentTextChar"/>
    <w:uiPriority w:val="99"/>
    <w:unhideWhenUsed/>
    <w:locked/>
    <w:rsid w:val="002F2122"/>
    <w:pPr>
      <w:spacing w:line="240" w:lineRule="auto"/>
    </w:pPr>
    <w:rPr>
      <w:sz w:val="20"/>
      <w:szCs w:val="20"/>
    </w:rPr>
  </w:style>
  <w:style w:type="character" w:customStyle="1" w:styleId="CommentTextChar">
    <w:name w:val="Comment Text Char"/>
    <w:basedOn w:val="DefaultParagraphFont"/>
    <w:link w:val="CommentText"/>
    <w:uiPriority w:val="99"/>
    <w:rsid w:val="002F2122"/>
    <w:rPr>
      <w:sz w:val="20"/>
      <w:szCs w:val="20"/>
    </w:rPr>
  </w:style>
  <w:style w:type="paragraph" w:styleId="CommentSubject">
    <w:name w:val="annotation subject"/>
    <w:basedOn w:val="CommentText"/>
    <w:next w:val="CommentText"/>
    <w:link w:val="CommentSubjectChar"/>
    <w:uiPriority w:val="99"/>
    <w:semiHidden/>
    <w:unhideWhenUsed/>
    <w:locked/>
    <w:rsid w:val="002F2122"/>
    <w:rPr>
      <w:b/>
      <w:bCs/>
    </w:rPr>
  </w:style>
  <w:style w:type="character" w:customStyle="1" w:styleId="CommentSubjectChar">
    <w:name w:val="Comment Subject Char"/>
    <w:basedOn w:val="CommentTextChar"/>
    <w:link w:val="CommentSubject"/>
    <w:uiPriority w:val="99"/>
    <w:semiHidden/>
    <w:rsid w:val="002F2122"/>
    <w:rPr>
      <w:b/>
      <w:bCs/>
      <w:sz w:val="20"/>
      <w:szCs w:val="20"/>
    </w:rPr>
  </w:style>
  <w:style w:type="paragraph" w:customStyle="1" w:styleId="Body">
    <w:name w:val="Body"/>
    <w:basedOn w:val="Normal"/>
    <w:qFormat/>
    <w:rsid w:val="007B47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B47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B474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B474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B474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B474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6202">
      <w:bodyDiv w:val="1"/>
      <w:marLeft w:val="0"/>
      <w:marRight w:val="0"/>
      <w:marTop w:val="0"/>
      <w:marBottom w:val="0"/>
      <w:divBdr>
        <w:top w:val="none" w:sz="0" w:space="0" w:color="auto"/>
        <w:left w:val="none" w:sz="0" w:space="0" w:color="auto"/>
        <w:bottom w:val="none" w:sz="0" w:space="0" w:color="auto"/>
        <w:right w:val="none" w:sz="0" w:space="0" w:color="auto"/>
      </w:divBdr>
    </w:div>
    <w:div w:id="931623447">
      <w:bodyDiv w:val="1"/>
      <w:marLeft w:val="0"/>
      <w:marRight w:val="0"/>
      <w:marTop w:val="0"/>
      <w:marBottom w:val="0"/>
      <w:divBdr>
        <w:top w:val="none" w:sz="0" w:space="0" w:color="auto"/>
        <w:left w:val="none" w:sz="0" w:space="0" w:color="auto"/>
        <w:bottom w:val="none" w:sz="0" w:space="0" w:color="auto"/>
        <w:right w:val="none" w:sz="0" w:space="0" w:color="auto"/>
      </w:divBdr>
      <w:divsChild>
        <w:div w:id="2014725286">
          <w:marLeft w:val="0"/>
          <w:marRight w:val="0"/>
          <w:marTop w:val="0"/>
          <w:marBottom w:val="0"/>
          <w:divBdr>
            <w:top w:val="none" w:sz="0" w:space="0" w:color="auto"/>
            <w:left w:val="none" w:sz="0" w:space="0" w:color="auto"/>
            <w:bottom w:val="none" w:sz="0" w:space="0" w:color="auto"/>
            <w:right w:val="none" w:sz="0" w:space="0" w:color="auto"/>
          </w:divBdr>
        </w:div>
      </w:divsChild>
    </w:div>
    <w:div w:id="1223324135">
      <w:bodyDiv w:val="1"/>
      <w:marLeft w:val="0"/>
      <w:marRight w:val="0"/>
      <w:marTop w:val="0"/>
      <w:marBottom w:val="0"/>
      <w:divBdr>
        <w:top w:val="none" w:sz="0" w:space="0" w:color="auto"/>
        <w:left w:val="none" w:sz="0" w:space="0" w:color="auto"/>
        <w:bottom w:val="none" w:sz="0" w:space="0" w:color="auto"/>
        <w:right w:val="none" w:sz="0" w:space="0" w:color="auto"/>
      </w:divBdr>
    </w:div>
    <w:div w:id="1726831207">
      <w:bodyDiv w:val="1"/>
      <w:marLeft w:val="0"/>
      <w:marRight w:val="0"/>
      <w:marTop w:val="0"/>
      <w:marBottom w:val="0"/>
      <w:divBdr>
        <w:top w:val="none" w:sz="0" w:space="0" w:color="auto"/>
        <w:left w:val="none" w:sz="0" w:space="0" w:color="auto"/>
        <w:bottom w:val="none" w:sz="0" w:space="0" w:color="auto"/>
        <w:right w:val="none" w:sz="0" w:space="0" w:color="auto"/>
      </w:divBdr>
      <w:divsChild>
        <w:div w:id="1822235356">
          <w:marLeft w:val="0"/>
          <w:marRight w:val="0"/>
          <w:marTop w:val="0"/>
          <w:marBottom w:val="0"/>
          <w:divBdr>
            <w:top w:val="none" w:sz="0" w:space="0" w:color="auto"/>
            <w:left w:val="none" w:sz="0" w:space="0" w:color="auto"/>
            <w:bottom w:val="none" w:sz="0" w:space="0" w:color="auto"/>
            <w:right w:val="none" w:sz="0" w:space="0" w:color="auto"/>
          </w:divBdr>
        </w:div>
      </w:divsChild>
    </w:div>
    <w:div w:id="1807241054">
      <w:bodyDiv w:val="1"/>
      <w:marLeft w:val="0"/>
      <w:marRight w:val="0"/>
      <w:marTop w:val="0"/>
      <w:marBottom w:val="0"/>
      <w:divBdr>
        <w:top w:val="none" w:sz="0" w:space="0" w:color="auto"/>
        <w:left w:val="none" w:sz="0" w:space="0" w:color="auto"/>
        <w:bottom w:val="none" w:sz="0" w:space="0" w:color="auto"/>
        <w:right w:val="none" w:sz="0" w:space="0" w:color="auto"/>
      </w:divBdr>
      <w:divsChild>
        <w:div w:id="725028587">
          <w:marLeft w:val="0"/>
          <w:marRight w:val="0"/>
          <w:marTop w:val="0"/>
          <w:marBottom w:val="0"/>
          <w:divBdr>
            <w:top w:val="none" w:sz="0" w:space="0" w:color="auto"/>
            <w:left w:val="none" w:sz="0" w:space="0" w:color="auto"/>
            <w:bottom w:val="none" w:sz="0" w:space="0" w:color="auto"/>
            <w:right w:val="none" w:sz="0" w:space="0" w:color="auto"/>
          </w:divBdr>
        </w:div>
      </w:divsChild>
    </w:div>
    <w:div w:id="1867979371">
      <w:bodyDiv w:val="1"/>
      <w:marLeft w:val="0"/>
      <w:marRight w:val="0"/>
      <w:marTop w:val="0"/>
      <w:marBottom w:val="0"/>
      <w:divBdr>
        <w:top w:val="none" w:sz="0" w:space="0" w:color="auto"/>
        <w:left w:val="none" w:sz="0" w:space="0" w:color="auto"/>
        <w:bottom w:val="none" w:sz="0" w:space="0" w:color="auto"/>
        <w:right w:val="none" w:sz="0" w:space="0" w:color="auto"/>
      </w:divBdr>
      <w:divsChild>
        <w:div w:id="120444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52F6F1F0-7E5D-44F4-888D-117A4A1D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25</Pages>
  <Words>7193</Words>
  <Characters>43447</Characters>
  <Application>Microsoft Office Word</Application>
  <DocSecurity>0</DocSecurity>
  <Lines>789</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2025-05-02T00:58:00Z</dcterms:created>
  <dcterms:modified xsi:type="dcterms:W3CDTF">2025-05-02T03:10:00Z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