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F564" w14:textId="77777777" w:rsidR="00705FCA" w:rsidRDefault="00705FCA" w:rsidP="00705FCA">
      <w:pPr>
        <w:pStyle w:val="OrdersTopLine"/>
      </w:pPr>
      <w:r>
        <w:t>HIGH COURT OF AUSTRALIA</w:t>
      </w:r>
    </w:p>
    <w:p w14:paraId="5CA1E507" w14:textId="77777777" w:rsidR="00705FCA" w:rsidRDefault="00705FCA" w:rsidP="00705FCA">
      <w:pPr>
        <w:pStyle w:val="OrdersCentre"/>
      </w:pPr>
    </w:p>
    <w:p w14:paraId="49DC265E" w14:textId="77777777" w:rsidR="00705FCA" w:rsidRDefault="00705FCA" w:rsidP="00705FCA">
      <w:pPr>
        <w:pStyle w:val="OrdersCentre"/>
      </w:pPr>
      <w:r>
        <w:t>JAGOT J</w:t>
      </w:r>
    </w:p>
    <w:p w14:paraId="1DB8C269" w14:textId="77777777" w:rsidR="00705FCA" w:rsidRDefault="00705FCA" w:rsidP="00705FCA">
      <w:pPr>
        <w:pStyle w:val="OrdersCentre"/>
      </w:pPr>
    </w:p>
    <w:p w14:paraId="5406FCF3" w14:textId="77777777" w:rsidR="00705FCA" w:rsidRDefault="00705FCA" w:rsidP="00705FCA">
      <w:pPr>
        <w:pStyle w:val="CenteredBorder"/>
      </w:pPr>
    </w:p>
    <w:p w14:paraId="2B22E912" w14:textId="77777777" w:rsidR="00705FCA" w:rsidRDefault="00705FCA" w:rsidP="00705FCA">
      <w:pPr>
        <w:pStyle w:val="OrdersPartyName"/>
      </w:pPr>
    </w:p>
    <w:p w14:paraId="75541580" w14:textId="77777777" w:rsidR="00705FCA" w:rsidRDefault="00705FCA" w:rsidP="00705FCA">
      <w:pPr>
        <w:pStyle w:val="OrdersPartyName"/>
      </w:pPr>
      <w:r>
        <w:t>MD TIPU SULTAN &amp; ORS</w:t>
      </w:r>
      <w:r>
        <w:tab/>
        <w:t>PLAINTIFFS</w:t>
      </w:r>
    </w:p>
    <w:p w14:paraId="35C9D805" w14:textId="77777777" w:rsidR="00705FCA" w:rsidRDefault="00705FCA" w:rsidP="00705FCA">
      <w:pPr>
        <w:pStyle w:val="OrdersPartyName"/>
      </w:pPr>
    </w:p>
    <w:p w14:paraId="1B710FDC" w14:textId="77777777" w:rsidR="00705FCA" w:rsidRDefault="00705FCA" w:rsidP="00705FCA">
      <w:pPr>
        <w:pStyle w:val="OrdersPartyName"/>
      </w:pPr>
      <w:r>
        <w:t>AND</w:t>
      </w:r>
    </w:p>
    <w:p w14:paraId="5B7A2ECE" w14:textId="77777777" w:rsidR="00705FCA" w:rsidRDefault="00705FCA" w:rsidP="00705FCA">
      <w:pPr>
        <w:pStyle w:val="OrdersPartyName"/>
      </w:pPr>
    </w:p>
    <w:p w14:paraId="79628467" w14:textId="77777777" w:rsidR="00705FCA" w:rsidRDefault="00705FCA" w:rsidP="00705FCA">
      <w:pPr>
        <w:pStyle w:val="OrdersPartyName"/>
        <w:jc w:val="left"/>
      </w:pPr>
      <w:r>
        <w:t>MINISTER FOR IMMIGRATION AND MULTICULTURAL AFFAIRS</w:t>
      </w:r>
      <w:r>
        <w:tab/>
        <w:t>DEFENDANT</w:t>
      </w:r>
    </w:p>
    <w:p w14:paraId="537E4F04" w14:textId="77777777" w:rsidR="00705FCA" w:rsidRDefault="00705FCA" w:rsidP="00705FCA">
      <w:pPr>
        <w:pStyle w:val="OrdersPartyName"/>
      </w:pPr>
    </w:p>
    <w:p w14:paraId="2FAA2000" w14:textId="77777777" w:rsidR="00705FCA" w:rsidRDefault="00705FCA" w:rsidP="00705FCA">
      <w:pPr>
        <w:pStyle w:val="OrdersPartyName"/>
      </w:pPr>
    </w:p>
    <w:p w14:paraId="2C9A67C8" w14:textId="77777777" w:rsidR="00705FCA" w:rsidRDefault="00705FCA" w:rsidP="00705FCA">
      <w:pPr>
        <w:pStyle w:val="OrdersCentre"/>
      </w:pPr>
      <w:r>
        <w:t>[2025] HCASJ 17</w:t>
      </w:r>
    </w:p>
    <w:p w14:paraId="3A8C3DF2" w14:textId="77777777" w:rsidR="00705FCA" w:rsidRDefault="00705FCA" w:rsidP="00705FCA">
      <w:pPr>
        <w:pStyle w:val="OrdersCentreItalics"/>
      </w:pPr>
      <w:r>
        <w:t>Date of Hearing: 19 March 2025</w:t>
      </w:r>
    </w:p>
    <w:p w14:paraId="31314209" w14:textId="77777777" w:rsidR="00705FCA" w:rsidRDefault="00705FCA" w:rsidP="00705FCA">
      <w:pPr>
        <w:pStyle w:val="OrdersCentreItalics"/>
      </w:pPr>
      <w:r>
        <w:t>Date of Judgment: 13 May 2025</w:t>
      </w:r>
    </w:p>
    <w:p w14:paraId="49BF13EF" w14:textId="77777777" w:rsidR="00705FCA" w:rsidRDefault="00705FCA" w:rsidP="00705FCA">
      <w:pPr>
        <w:pStyle w:val="OrdersCentre"/>
      </w:pPr>
      <w:r>
        <w:t>S87 of 2024</w:t>
      </w:r>
    </w:p>
    <w:p w14:paraId="426C884C" w14:textId="77777777" w:rsidR="00705FCA" w:rsidRDefault="00705FCA" w:rsidP="00705FCA">
      <w:pPr>
        <w:pStyle w:val="OrdersCentre"/>
      </w:pPr>
    </w:p>
    <w:p w14:paraId="58B5A898" w14:textId="77777777" w:rsidR="00705FCA" w:rsidRDefault="00705FCA" w:rsidP="00705FCA">
      <w:pPr>
        <w:pStyle w:val="OrdersMatter"/>
      </w:pPr>
      <w:r>
        <w:t>ORDERS</w:t>
      </w:r>
    </w:p>
    <w:p w14:paraId="4C11B904" w14:textId="77777777" w:rsidR="00705FCA" w:rsidRDefault="00705FCA" w:rsidP="00705FCA">
      <w:pPr>
        <w:pStyle w:val="OrdersMatter"/>
      </w:pPr>
    </w:p>
    <w:p w14:paraId="5EF3BA93" w14:textId="77777777" w:rsidR="00705FCA" w:rsidRDefault="00705FCA" w:rsidP="00705FCA">
      <w:pPr>
        <w:pStyle w:val="OrdersText"/>
      </w:pPr>
      <w:r>
        <w:t>1.</w:t>
      </w:r>
      <w:r>
        <w:tab/>
        <w:t>The amended application for a constitutional or other writ filed on 27 February 2025 is dismissed.</w:t>
      </w:r>
    </w:p>
    <w:p w14:paraId="4749775D" w14:textId="77777777" w:rsidR="00705FCA" w:rsidRDefault="00705FCA" w:rsidP="00705FCA">
      <w:pPr>
        <w:pStyle w:val="OrdersText"/>
      </w:pPr>
    </w:p>
    <w:p w14:paraId="6874FC15" w14:textId="77777777" w:rsidR="00705FCA" w:rsidRDefault="00705FCA" w:rsidP="00705FCA">
      <w:pPr>
        <w:pStyle w:val="OrdersText"/>
      </w:pPr>
      <w:r>
        <w:t>2.</w:t>
      </w:r>
      <w:r>
        <w:tab/>
        <w:t>The plaintiffs pay the defendant's costs.</w:t>
      </w:r>
    </w:p>
    <w:p w14:paraId="6AF78E8A" w14:textId="77777777" w:rsidR="00705FCA" w:rsidRDefault="00705FCA" w:rsidP="00705FCA">
      <w:pPr>
        <w:pStyle w:val="OrdersText"/>
      </w:pPr>
    </w:p>
    <w:p w14:paraId="362426F7" w14:textId="77777777" w:rsidR="00705FCA" w:rsidRDefault="00705FCA" w:rsidP="00705FCA">
      <w:pPr>
        <w:pStyle w:val="OrdersText"/>
      </w:pPr>
    </w:p>
    <w:p w14:paraId="23F79BB0" w14:textId="77777777" w:rsidR="00705FCA" w:rsidRDefault="00705FCA" w:rsidP="00705FCA">
      <w:pPr>
        <w:pStyle w:val="OrdersText"/>
      </w:pPr>
    </w:p>
    <w:p w14:paraId="6D1C6D20" w14:textId="77777777" w:rsidR="00705FCA" w:rsidRDefault="00705FCA" w:rsidP="00705FCA">
      <w:pPr>
        <w:pStyle w:val="OrdersText"/>
      </w:pPr>
    </w:p>
    <w:p w14:paraId="76935BAF" w14:textId="77777777" w:rsidR="00705FCA" w:rsidRDefault="00705FCA" w:rsidP="00705FCA">
      <w:pPr>
        <w:pStyle w:val="OrdersText"/>
      </w:pPr>
    </w:p>
    <w:p w14:paraId="0E313A8B" w14:textId="77777777" w:rsidR="00705FCA" w:rsidRDefault="00705FCA" w:rsidP="00705FCA">
      <w:pPr>
        <w:pStyle w:val="OrdersText"/>
      </w:pPr>
    </w:p>
    <w:p w14:paraId="119FA49D" w14:textId="77777777" w:rsidR="00705FCA" w:rsidRDefault="00705FCA" w:rsidP="00705FCA">
      <w:pPr>
        <w:pStyle w:val="OrdersText"/>
      </w:pPr>
    </w:p>
    <w:p w14:paraId="347AE4C4" w14:textId="77777777" w:rsidR="00705FCA" w:rsidRDefault="00705FCA" w:rsidP="00705FCA">
      <w:pPr>
        <w:pStyle w:val="OrdersText"/>
      </w:pPr>
    </w:p>
    <w:p w14:paraId="69A702DA" w14:textId="77777777" w:rsidR="00705FCA" w:rsidRDefault="00705FCA" w:rsidP="00705FCA">
      <w:pPr>
        <w:pStyle w:val="OrdersBodyHeading"/>
      </w:pPr>
      <w:r>
        <w:t>Representation</w:t>
      </w:r>
    </w:p>
    <w:p w14:paraId="47254242" w14:textId="77777777" w:rsidR="00705FCA" w:rsidRDefault="00705FCA" w:rsidP="00705FCA">
      <w:pPr>
        <w:pStyle w:val="OrdersBodyHeading"/>
      </w:pPr>
    </w:p>
    <w:p w14:paraId="7B6BA861" w14:textId="77777777" w:rsidR="00705FCA" w:rsidRDefault="00705FCA" w:rsidP="00705FCA">
      <w:pPr>
        <w:pStyle w:val="OrdersBody"/>
      </w:pPr>
      <w:r w:rsidRPr="00B94D8A">
        <w:t>L</w:t>
      </w:r>
      <w:r>
        <w:t xml:space="preserve"> </w:t>
      </w:r>
      <w:proofErr w:type="spellStart"/>
      <w:r w:rsidRPr="00B94D8A">
        <w:t>Boccabella</w:t>
      </w:r>
      <w:proofErr w:type="spellEnd"/>
      <w:r>
        <w:t xml:space="preserve"> for the plaintiffs (instructed by Parish Patience Immigration Lawyers)</w:t>
      </w:r>
    </w:p>
    <w:p w14:paraId="6C27793D" w14:textId="77777777" w:rsidR="00705FCA" w:rsidRDefault="00705FCA" w:rsidP="00705FCA">
      <w:pPr>
        <w:pStyle w:val="OrdersBody"/>
      </w:pPr>
    </w:p>
    <w:p w14:paraId="4162F77F" w14:textId="77777777" w:rsidR="00705FCA" w:rsidRDefault="00705FCA" w:rsidP="00705FCA">
      <w:pPr>
        <w:pStyle w:val="OrdersBody"/>
      </w:pPr>
      <w:r w:rsidRPr="00B94D8A">
        <w:t>H</w:t>
      </w:r>
      <w:r>
        <w:t xml:space="preserve"> </w:t>
      </w:r>
      <w:r w:rsidRPr="00B94D8A">
        <w:t>P</w:t>
      </w:r>
      <w:r>
        <w:t xml:space="preserve"> </w:t>
      </w:r>
      <w:r w:rsidRPr="00B94D8A">
        <w:t>T Bevan SC</w:t>
      </w:r>
      <w:r>
        <w:t xml:space="preserve"> </w:t>
      </w:r>
      <w:r w:rsidRPr="00B94D8A">
        <w:t>with</w:t>
      </w:r>
      <w:r>
        <w:t xml:space="preserve"> T Liu for the defendant (instructed by </w:t>
      </w:r>
      <w:r w:rsidRPr="00B94D8A">
        <w:t>Australian Government Solicitor</w:t>
      </w:r>
      <w:r>
        <w:t>)</w:t>
      </w:r>
    </w:p>
    <w:p w14:paraId="5F1F1581" w14:textId="4688E13C" w:rsidR="008C41AF" w:rsidRDefault="008C4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01FEC3D7" w14:textId="77777777" w:rsidR="001A0FE7" w:rsidRDefault="001A0FE7" w:rsidP="001A0FE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A0FE7" w:rsidSect="00F01498">
          <w:headerReference w:type="even" r:id="rId11"/>
          <w:headerReference w:type="default" r:id="rId12"/>
          <w:headerReference w:type="first" r:id="rId13"/>
          <w:pgSz w:w="11907" w:h="16839" w:code="9"/>
          <w:pgMar w:top="1440" w:right="1701" w:bottom="1984" w:left="1701" w:header="720" w:footer="720" w:gutter="0"/>
          <w:cols w:space="720"/>
          <w:titlePg/>
          <w:docGrid w:linePitch="354"/>
        </w:sectPr>
      </w:pPr>
      <w:r>
        <w:rPr>
          <w:rFonts w:ascii="Times New Roman" w:hAnsi="Times New Roman"/>
        </w:rPr>
        <w:lastRenderedPageBreak/>
        <w:br w:type="page"/>
      </w:r>
    </w:p>
    <w:p w14:paraId="3290E4B3" w14:textId="2F28A347" w:rsidR="00BA654C" w:rsidRPr="00BA654C" w:rsidRDefault="00BA654C" w:rsidP="00BA654C">
      <w:pPr>
        <w:pStyle w:val="NormalBody"/>
        <w:tabs>
          <w:tab w:val="clear" w:pos="720"/>
          <w:tab w:val="left" w:pos="0"/>
        </w:tabs>
        <w:spacing w:after="260" w:line="280" w:lineRule="exact"/>
        <w:ind w:right="0"/>
        <w:jc w:val="both"/>
        <w:rPr>
          <w:rFonts w:ascii="Times New Roman" w:hAnsi="Times New Roman"/>
        </w:rPr>
      </w:pPr>
      <w:r w:rsidRPr="00BA654C">
        <w:rPr>
          <w:rFonts w:ascii="Times New Roman" w:hAnsi="Times New Roman"/>
        </w:rPr>
        <w:lastRenderedPageBreak/>
        <w:t xml:space="preserve">JAGOT J.   </w:t>
      </w:r>
    </w:p>
    <w:p w14:paraId="4D96E770" w14:textId="329FABDC" w:rsidR="006A1F50" w:rsidRPr="00BA654C" w:rsidRDefault="006A1F50" w:rsidP="00BA654C">
      <w:pPr>
        <w:pStyle w:val="HeadingL1"/>
        <w:spacing w:after="260" w:line="280" w:lineRule="exact"/>
        <w:ind w:right="0"/>
        <w:jc w:val="both"/>
        <w:rPr>
          <w:rFonts w:ascii="Times New Roman" w:hAnsi="Times New Roman"/>
        </w:rPr>
      </w:pPr>
      <w:r w:rsidRPr="00BA654C">
        <w:rPr>
          <w:rFonts w:ascii="Times New Roman" w:hAnsi="Times New Roman"/>
        </w:rPr>
        <w:t>Introduction</w:t>
      </w:r>
    </w:p>
    <w:p w14:paraId="31399060" w14:textId="37199066" w:rsidR="006A1F50"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t>By amended application for a constitutional or other writ the plaintiffs seek: (a) a writ of certiorari setting aside a decision of a delegate of the Minister for Immigration and Multicultural Affairs (</w:t>
      </w:r>
      <w:r w:rsidR="00DC281E" w:rsidRPr="00BA654C">
        <w:rPr>
          <w:rFonts w:ascii="Times New Roman" w:hAnsi="Times New Roman"/>
        </w:rPr>
        <w:t>the </w:t>
      </w:r>
      <w:r w:rsidRPr="00BA654C">
        <w:rPr>
          <w:rFonts w:ascii="Times New Roman" w:hAnsi="Times New Roman"/>
        </w:rPr>
        <w:t>"Minister") made on 5 June 2024 refusing the plaintiffs' application</w:t>
      </w:r>
      <w:r w:rsidR="006D70D1" w:rsidRPr="00BA654C">
        <w:rPr>
          <w:rStyle w:val="FootnoteReference"/>
          <w:rFonts w:ascii="Times New Roman" w:hAnsi="Times New Roman"/>
          <w:sz w:val="24"/>
        </w:rPr>
        <w:footnoteReference w:id="2"/>
      </w:r>
      <w:r w:rsidRPr="00BA654C">
        <w:rPr>
          <w:rFonts w:ascii="Times New Roman" w:hAnsi="Times New Roman"/>
        </w:rPr>
        <w:t xml:space="preserve"> for a Business Talent (Permanent) visa (subclass 132) in the Significant Business History stream </w:t>
      </w:r>
      <w:r w:rsidR="00EB0E0F" w:rsidRPr="00BA654C">
        <w:rPr>
          <w:rFonts w:ascii="Times New Roman" w:hAnsi="Times New Roman"/>
        </w:rPr>
        <w:t xml:space="preserve">(a "Subclass 132 visa") </w:t>
      </w:r>
      <w:r w:rsidRPr="00BA654C">
        <w:rPr>
          <w:rFonts w:ascii="Times New Roman" w:hAnsi="Times New Roman"/>
        </w:rPr>
        <w:t xml:space="preserve">made on 18 June 2021; and (b) an order that the matter be remitted to the Minister to re-make the decision according to law. </w:t>
      </w:r>
      <w:r w:rsidR="003E4F6E" w:rsidRPr="00BA654C">
        <w:rPr>
          <w:rFonts w:ascii="Times New Roman" w:hAnsi="Times New Roman"/>
        </w:rPr>
        <w:t>The part</w:t>
      </w:r>
      <w:r w:rsidR="002A0FDF" w:rsidRPr="00BA654C">
        <w:rPr>
          <w:rFonts w:ascii="Times New Roman" w:hAnsi="Times New Roman"/>
        </w:rPr>
        <w:t>i</w:t>
      </w:r>
      <w:r w:rsidR="003E4F6E" w:rsidRPr="00BA654C">
        <w:rPr>
          <w:rFonts w:ascii="Times New Roman" w:hAnsi="Times New Roman"/>
        </w:rPr>
        <w:t>es agree that the Court has no power to remit the application for determination by another Court.</w:t>
      </w:r>
      <w:r w:rsidR="003E4F6E" w:rsidRPr="00BA654C">
        <w:rPr>
          <w:rStyle w:val="FootnoteReference"/>
          <w:rFonts w:ascii="Times New Roman" w:hAnsi="Times New Roman"/>
          <w:sz w:val="24"/>
        </w:rPr>
        <w:footnoteReference w:id="3"/>
      </w:r>
    </w:p>
    <w:p w14:paraId="086480CE" w14:textId="633EA408" w:rsidR="006A1F50"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t xml:space="preserve">The plaintiffs contend that the </w:t>
      </w:r>
      <w:r w:rsidR="00DC5353" w:rsidRPr="00BA654C">
        <w:rPr>
          <w:rFonts w:ascii="Times New Roman" w:hAnsi="Times New Roman"/>
        </w:rPr>
        <w:t>impugned decision is vitiated for jurisdictional error</w:t>
      </w:r>
      <w:r w:rsidR="008A6EB7" w:rsidRPr="00BA654C">
        <w:rPr>
          <w:rFonts w:ascii="Times New Roman" w:hAnsi="Times New Roman"/>
        </w:rPr>
        <w:t xml:space="preserve">. </w:t>
      </w:r>
      <w:r w:rsidR="003F51DC" w:rsidRPr="00BA654C">
        <w:rPr>
          <w:rFonts w:ascii="Times New Roman" w:hAnsi="Times New Roman"/>
        </w:rPr>
        <w:t xml:space="preserve">The plaintiffs allege that </w:t>
      </w:r>
      <w:r w:rsidR="00DC5353" w:rsidRPr="00BA654C">
        <w:rPr>
          <w:rFonts w:ascii="Times New Roman" w:hAnsi="Times New Roman"/>
        </w:rPr>
        <w:t xml:space="preserve">the </w:t>
      </w:r>
      <w:r w:rsidR="00401CDF" w:rsidRPr="00BA654C">
        <w:rPr>
          <w:rFonts w:ascii="Times New Roman" w:hAnsi="Times New Roman"/>
        </w:rPr>
        <w:t xml:space="preserve">delegate failed to make an obvious inquiry about a fact critical to the decision, </w:t>
      </w:r>
      <w:r w:rsidR="00F95489" w:rsidRPr="00BA654C">
        <w:rPr>
          <w:rFonts w:ascii="Times New Roman" w:hAnsi="Times New Roman"/>
        </w:rPr>
        <w:t xml:space="preserve">being </w:t>
      </w:r>
      <w:r w:rsidR="008867C8" w:rsidRPr="00BA654C">
        <w:rPr>
          <w:rFonts w:ascii="Times New Roman" w:hAnsi="Times New Roman"/>
        </w:rPr>
        <w:t xml:space="preserve">the availability of </w:t>
      </w:r>
      <w:r w:rsidR="00F95489" w:rsidRPr="00BA654C">
        <w:rPr>
          <w:rFonts w:ascii="Times New Roman" w:hAnsi="Times New Roman"/>
        </w:rPr>
        <w:t>audited financial statements which, had they been requested</w:t>
      </w:r>
      <w:r w:rsidR="00356D1E" w:rsidRPr="00BA654C">
        <w:rPr>
          <w:rFonts w:ascii="Times New Roman" w:hAnsi="Times New Roman"/>
        </w:rPr>
        <w:t>,</w:t>
      </w:r>
      <w:r w:rsidR="00F95489" w:rsidRPr="00BA654C">
        <w:rPr>
          <w:rFonts w:ascii="Times New Roman" w:hAnsi="Times New Roman"/>
        </w:rPr>
        <w:t xml:space="preserve"> would have </w:t>
      </w:r>
      <w:r w:rsidR="006056F3" w:rsidRPr="00BA654C">
        <w:rPr>
          <w:rFonts w:ascii="Times New Roman" w:hAnsi="Times New Roman"/>
        </w:rPr>
        <w:t xml:space="preserve">been provided and would have </w:t>
      </w:r>
      <w:r w:rsidR="00F95489" w:rsidRPr="00BA654C">
        <w:rPr>
          <w:rFonts w:ascii="Times New Roman" w:hAnsi="Times New Roman"/>
        </w:rPr>
        <w:t xml:space="preserve">established that </w:t>
      </w:r>
      <w:r w:rsidR="009B6966" w:rsidRPr="00BA654C">
        <w:rPr>
          <w:rFonts w:ascii="Times New Roman" w:hAnsi="Times New Roman"/>
        </w:rPr>
        <w:t>the plaintiff</w:t>
      </w:r>
      <w:r w:rsidR="002D4C66" w:rsidRPr="00BA654C">
        <w:rPr>
          <w:rFonts w:ascii="Times New Roman" w:hAnsi="Times New Roman"/>
        </w:rPr>
        <w:t>s</w:t>
      </w:r>
      <w:r w:rsidR="009B6966" w:rsidRPr="00BA654C">
        <w:rPr>
          <w:rFonts w:ascii="Times New Roman" w:hAnsi="Times New Roman"/>
        </w:rPr>
        <w:t xml:space="preserve"> satisfied </w:t>
      </w:r>
      <w:r w:rsidR="00A8437C" w:rsidRPr="00BA654C">
        <w:rPr>
          <w:rFonts w:ascii="Times New Roman" w:hAnsi="Times New Roman"/>
        </w:rPr>
        <w:t xml:space="preserve">one of the primary </w:t>
      </w:r>
      <w:r w:rsidR="00EB793F" w:rsidRPr="00BA654C">
        <w:rPr>
          <w:rFonts w:ascii="Times New Roman" w:hAnsi="Times New Roman"/>
        </w:rPr>
        <w:t>criteria for the grant of the visa</w:t>
      </w:r>
      <w:r w:rsidR="00FC4E27" w:rsidRPr="00BA654C">
        <w:rPr>
          <w:rFonts w:ascii="Times New Roman" w:hAnsi="Times New Roman"/>
        </w:rPr>
        <w:t xml:space="preserve">. They </w:t>
      </w:r>
      <w:r w:rsidR="002837FC" w:rsidRPr="00BA654C">
        <w:rPr>
          <w:rFonts w:ascii="Times New Roman" w:hAnsi="Times New Roman"/>
        </w:rPr>
        <w:t>say this made the decision</w:t>
      </w:r>
      <w:r w:rsidR="001F2C71" w:rsidRPr="00BA654C">
        <w:rPr>
          <w:rFonts w:ascii="Times New Roman" w:hAnsi="Times New Roman"/>
        </w:rPr>
        <w:t xml:space="preserve"> </w:t>
      </w:r>
      <w:r w:rsidR="003A28F2" w:rsidRPr="00BA654C">
        <w:rPr>
          <w:rFonts w:ascii="Times New Roman" w:hAnsi="Times New Roman"/>
        </w:rPr>
        <w:t>to refuse the grant of the visa</w:t>
      </w:r>
      <w:r w:rsidR="002837FC" w:rsidRPr="00BA654C">
        <w:rPr>
          <w:rFonts w:ascii="Times New Roman" w:hAnsi="Times New Roman"/>
        </w:rPr>
        <w:t xml:space="preserve"> legally unreasonable. They </w:t>
      </w:r>
      <w:r w:rsidR="00FC4E27" w:rsidRPr="00BA654C">
        <w:rPr>
          <w:rFonts w:ascii="Times New Roman" w:hAnsi="Times New Roman"/>
        </w:rPr>
        <w:t>also allege that</w:t>
      </w:r>
      <w:r w:rsidR="00FA68D9" w:rsidRPr="00BA654C">
        <w:rPr>
          <w:rFonts w:ascii="Times New Roman" w:hAnsi="Times New Roman"/>
        </w:rPr>
        <w:t xml:space="preserve"> in circumstances where, according to the evidence, the </w:t>
      </w:r>
      <w:r w:rsidR="00A8437C" w:rsidRPr="00BA654C">
        <w:rPr>
          <w:rFonts w:ascii="Times New Roman" w:hAnsi="Times New Roman"/>
        </w:rPr>
        <w:t>"</w:t>
      </w:r>
      <w:r w:rsidR="00FA68D9" w:rsidRPr="00BA654C">
        <w:rPr>
          <w:rFonts w:ascii="Times New Roman" w:hAnsi="Times New Roman"/>
        </w:rPr>
        <w:t>general practice</w:t>
      </w:r>
      <w:r w:rsidR="00A8437C" w:rsidRPr="00BA654C">
        <w:rPr>
          <w:rFonts w:ascii="Times New Roman" w:hAnsi="Times New Roman"/>
        </w:rPr>
        <w:t>"</w:t>
      </w:r>
      <w:r w:rsidR="00FA68D9" w:rsidRPr="00BA654C">
        <w:rPr>
          <w:rFonts w:ascii="Times New Roman" w:hAnsi="Times New Roman"/>
        </w:rPr>
        <w:t xml:space="preserve"> </w:t>
      </w:r>
      <w:r w:rsidR="0075055F" w:rsidRPr="00BA654C">
        <w:rPr>
          <w:rFonts w:ascii="Times New Roman" w:hAnsi="Times New Roman"/>
        </w:rPr>
        <w:t xml:space="preserve">before 2024 was for delegates to notify </w:t>
      </w:r>
      <w:r w:rsidR="002837FC" w:rsidRPr="00BA654C">
        <w:rPr>
          <w:rFonts w:ascii="Times New Roman" w:hAnsi="Times New Roman"/>
        </w:rPr>
        <w:t xml:space="preserve">an </w:t>
      </w:r>
      <w:r w:rsidR="0075055F" w:rsidRPr="00BA654C">
        <w:rPr>
          <w:rFonts w:ascii="Times New Roman" w:hAnsi="Times New Roman"/>
        </w:rPr>
        <w:t xml:space="preserve">applicant that further information was needed to assess </w:t>
      </w:r>
      <w:r w:rsidR="002837FC" w:rsidRPr="00BA654C">
        <w:rPr>
          <w:rFonts w:ascii="Times New Roman" w:hAnsi="Times New Roman"/>
        </w:rPr>
        <w:t xml:space="preserve">an application for </w:t>
      </w:r>
      <w:r w:rsidR="00937BCA" w:rsidRPr="00BA654C">
        <w:rPr>
          <w:rFonts w:ascii="Times New Roman" w:hAnsi="Times New Roman"/>
        </w:rPr>
        <w:t xml:space="preserve">a Subclass 132 </w:t>
      </w:r>
      <w:r w:rsidR="0075055F" w:rsidRPr="00BA654C">
        <w:rPr>
          <w:rFonts w:ascii="Times New Roman" w:hAnsi="Times New Roman"/>
        </w:rPr>
        <w:t>visa</w:t>
      </w:r>
      <w:r w:rsidR="004D69A8" w:rsidRPr="00BA654C">
        <w:rPr>
          <w:rFonts w:ascii="Times New Roman" w:hAnsi="Times New Roman"/>
        </w:rPr>
        <w:t xml:space="preserve">, but the delegate in the present case did not do so and </w:t>
      </w:r>
      <w:r w:rsidR="008A6EB7" w:rsidRPr="00BA654C">
        <w:rPr>
          <w:rFonts w:ascii="Times New Roman" w:hAnsi="Times New Roman"/>
        </w:rPr>
        <w:t>determined</w:t>
      </w:r>
      <w:r w:rsidR="004D69A8" w:rsidRPr="00BA654C">
        <w:rPr>
          <w:rFonts w:ascii="Times New Roman" w:hAnsi="Times New Roman"/>
        </w:rPr>
        <w:t xml:space="preserve"> the </w:t>
      </w:r>
      <w:r w:rsidR="008A6EB7" w:rsidRPr="00BA654C">
        <w:rPr>
          <w:rFonts w:ascii="Times New Roman" w:hAnsi="Times New Roman"/>
        </w:rPr>
        <w:t>application</w:t>
      </w:r>
      <w:r w:rsidR="004D69A8" w:rsidRPr="00BA654C">
        <w:rPr>
          <w:rFonts w:ascii="Times New Roman" w:hAnsi="Times New Roman"/>
        </w:rPr>
        <w:t xml:space="preserve"> based on</w:t>
      </w:r>
      <w:r w:rsidR="008A6EB7" w:rsidRPr="00BA654C">
        <w:rPr>
          <w:rFonts w:ascii="Times New Roman" w:hAnsi="Times New Roman"/>
        </w:rPr>
        <w:t>ly on the application as made</w:t>
      </w:r>
      <w:r w:rsidR="00937BCA" w:rsidRPr="00BA654C">
        <w:rPr>
          <w:rFonts w:ascii="Times New Roman" w:hAnsi="Times New Roman"/>
        </w:rPr>
        <w:t xml:space="preserve">, the decision </w:t>
      </w:r>
      <w:r w:rsidR="00A8437C" w:rsidRPr="00BA654C">
        <w:rPr>
          <w:rFonts w:ascii="Times New Roman" w:hAnsi="Times New Roman"/>
        </w:rPr>
        <w:t xml:space="preserve">was </w:t>
      </w:r>
      <w:r w:rsidR="00937BCA" w:rsidRPr="00BA654C">
        <w:rPr>
          <w:rFonts w:ascii="Times New Roman" w:hAnsi="Times New Roman"/>
        </w:rPr>
        <w:t>legally unreasonable</w:t>
      </w:r>
      <w:r w:rsidR="003A28F2" w:rsidRPr="00BA654C">
        <w:rPr>
          <w:rFonts w:ascii="Times New Roman" w:hAnsi="Times New Roman"/>
        </w:rPr>
        <w:t xml:space="preserve"> on this further basis</w:t>
      </w:r>
      <w:r w:rsidR="008A6EB7" w:rsidRPr="00BA654C">
        <w:rPr>
          <w:rFonts w:ascii="Times New Roman" w:hAnsi="Times New Roman"/>
        </w:rPr>
        <w:t>.</w:t>
      </w:r>
    </w:p>
    <w:p w14:paraId="41A3263A" w14:textId="24DBF9AB" w:rsidR="006C126C"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EB793F" w:rsidRPr="00BA654C">
        <w:rPr>
          <w:rFonts w:ascii="Times New Roman" w:hAnsi="Times New Roman"/>
        </w:rPr>
        <w:t>T</w:t>
      </w:r>
      <w:r w:rsidRPr="00BA654C">
        <w:rPr>
          <w:rFonts w:ascii="Times New Roman" w:hAnsi="Times New Roman"/>
        </w:rPr>
        <w:t>he application must be dismissed.</w:t>
      </w:r>
      <w:r w:rsidR="00356D1E" w:rsidRPr="00BA654C">
        <w:rPr>
          <w:rFonts w:ascii="Times New Roman" w:hAnsi="Times New Roman"/>
        </w:rPr>
        <w:t xml:space="preserve"> </w:t>
      </w:r>
      <w:r w:rsidR="00EB793F" w:rsidRPr="00BA654C">
        <w:rPr>
          <w:rFonts w:ascii="Times New Roman" w:hAnsi="Times New Roman"/>
        </w:rPr>
        <w:t xml:space="preserve">As will be explained, </w:t>
      </w:r>
      <w:r w:rsidR="00D83A1F" w:rsidRPr="00BA654C">
        <w:rPr>
          <w:rFonts w:ascii="Times New Roman" w:hAnsi="Times New Roman"/>
        </w:rPr>
        <w:t xml:space="preserve">two </w:t>
      </w:r>
      <w:r w:rsidR="0043029F" w:rsidRPr="00BA654C">
        <w:rPr>
          <w:rFonts w:ascii="Times New Roman" w:hAnsi="Times New Roman"/>
        </w:rPr>
        <w:t>key factual predicate</w:t>
      </w:r>
      <w:r w:rsidR="00D83A1F" w:rsidRPr="00BA654C">
        <w:rPr>
          <w:rFonts w:ascii="Times New Roman" w:hAnsi="Times New Roman"/>
        </w:rPr>
        <w:t>s</w:t>
      </w:r>
      <w:r w:rsidR="0043029F" w:rsidRPr="00BA654C">
        <w:rPr>
          <w:rFonts w:ascii="Times New Roman" w:hAnsi="Times New Roman"/>
        </w:rPr>
        <w:t xml:space="preserve"> of the plaintiffs' case </w:t>
      </w:r>
      <w:r w:rsidR="00D83A1F" w:rsidRPr="00BA654C">
        <w:rPr>
          <w:rFonts w:ascii="Times New Roman" w:hAnsi="Times New Roman"/>
        </w:rPr>
        <w:t xml:space="preserve">have not been proved. </w:t>
      </w:r>
      <w:r w:rsidR="004A79B9" w:rsidRPr="00BA654C">
        <w:rPr>
          <w:rFonts w:ascii="Times New Roman" w:hAnsi="Times New Roman"/>
        </w:rPr>
        <w:t>The first key factual predicate is</w:t>
      </w:r>
      <w:r w:rsidR="0043029F" w:rsidRPr="00BA654C">
        <w:rPr>
          <w:rFonts w:ascii="Times New Roman" w:hAnsi="Times New Roman"/>
        </w:rPr>
        <w:t xml:space="preserve"> that </w:t>
      </w:r>
      <w:r w:rsidR="00FB2309" w:rsidRPr="00BA654C">
        <w:rPr>
          <w:rFonts w:ascii="Times New Roman" w:hAnsi="Times New Roman"/>
        </w:rPr>
        <w:t>the</w:t>
      </w:r>
      <w:r w:rsidR="004A79B9" w:rsidRPr="00BA654C">
        <w:rPr>
          <w:rFonts w:ascii="Times New Roman" w:hAnsi="Times New Roman"/>
        </w:rPr>
        <w:t xml:space="preserve"> plaintiffs</w:t>
      </w:r>
      <w:r w:rsidR="00FB2309" w:rsidRPr="00BA654C">
        <w:rPr>
          <w:rFonts w:ascii="Times New Roman" w:hAnsi="Times New Roman"/>
        </w:rPr>
        <w:t xml:space="preserve"> had provided </w:t>
      </w:r>
      <w:r w:rsidR="00504703" w:rsidRPr="00BA654C">
        <w:rPr>
          <w:rFonts w:ascii="Times New Roman" w:hAnsi="Times New Roman"/>
        </w:rPr>
        <w:t xml:space="preserve">the </w:t>
      </w:r>
      <w:r w:rsidR="00FB2309" w:rsidRPr="00BA654C">
        <w:rPr>
          <w:rFonts w:ascii="Times New Roman" w:hAnsi="Times New Roman"/>
        </w:rPr>
        <w:t xml:space="preserve">audited financial statements to the South Australian government </w:t>
      </w:r>
      <w:r w:rsidR="00B53276" w:rsidRPr="00BA654C">
        <w:rPr>
          <w:rFonts w:ascii="Times New Roman" w:hAnsi="Times New Roman"/>
        </w:rPr>
        <w:t xml:space="preserve">agency </w:t>
      </w:r>
      <w:r w:rsidR="009556DF" w:rsidRPr="00BA654C">
        <w:rPr>
          <w:rFonts w:ascii="Times New Roman" w:hAnsi="Times New Roman"/>
        </w:rPr>
        <w:t>to</w:t>
      </w:r>
      <w:r w:rsidR="00504703" w:rsidRPr="00BA654C">
        <w:rPr>
          <w:rFonts w:ascii="Times New Roman" w:hAnsi="Times New Roman"/>
        </w:rPr>
        <w:t xml:space="preserve"> obtain the required nomination from </w:t>
      </w:r>
      <w:r w:rsidR="00B53276" w:rsidRPr="00BA654C">
        <w:rPr>
          <w:rFonts w:ascii="Times New Roman" w:hAnsi="Times New Roman"/>
        </w:rPr>
        <w:t xml:space="preserve">that agency </w:t>
      </w:r>
      <w:r w:rsidR="00504703" w:rsidRPr="00BA654C">
        <w:rPr>
          <w:rFonts w:ascii="Times New Roman" w:hAnsi="Times New Roman"/>
        </w:rPr>
        <w:t xml:space="preserve">enabling the plaintiffs to be invited to make the </w:t>
      </w:r>
      <w:r w:rsidR="00397C22" w:rsidRPr="00BA654C">
        <w:rPr>
          <w:rFonts w:ascii="Times New Roman" w:hAnsi="Times New Roman"/>
        </w:rPr>
        <w:t xml:space="preserve">Subclass 132 </w:t>
      </w:r>
      <w:r w:rsidR="009556DF" w:rsidRPr="00BA654C">
        <w:rPr>
          <w:rFonts w:ascii="Times New Roman" w:hAnsi="Times New Roman"/>
        </w:rPr>
        <w:t>visa application</w:t>
      </w:r>
      <w:r w:rsidR="004A79B9" w:rsidRPr="00BA654C">
        <w:rPr>
          <w:rFonts w:ascii="Times New Roman" w:hAnsi="Times New Roman"/>
        </w:rPr>
        <w:t xml:space="preserve">. </w:t>
      </w:r>
      <w:r w:rsidR="00823B48" w:rsidRPr="00BA654C">
        <w:rPr>
          <w:rFonts w:ascii="Times New Roman" w:hAnsi="Times New Roman"/>
        </w:rPr>
        <w:t>The second key factual predicate</w:t>
      </w:r>
      <w:r w:rsidR="004B45B7" w:rsidRPr="00BA654C">
        <w:rPr>
          <w:rFonts w:ascii="Times New Roman" w:hAnsi="Times New Roman"/>
        </w:rPr>
        <w:t xml:space="preserve">, albeit not expressly </w:t>
      </w:r>
      <w:r w:rsidR="00FA5ABA" w:rsidRPr="00BA654C">
        <w:rPr>
          <w:rFonts w:ascii="Times New Roman" w:hAnsi="Times New Roman"/>
        </w:rPr>
        <w:t>acknowledged</w:t>
      </w:r>
      <w:r w:rsidR="004B45B7" w:rsidRPr="00BA654C">
        <w:rPr>
          <w:rFonts w:ascii="Times New Roman" w:hAnsi="Times New Roman"/>
        </w:rPr>
        <w:t xml:space="preserve"> as such by the plaintiffs' submissions,</w:t>
      </w:r>
      <w:r w:rsidR="00823B48" w:rsidRPr="00BA654C">
        <w:rPr>
          <w:rFonts w:ascii="Times New Roman" w:hAnsi="Times New Roman"/>
        </w:rPr>
        <w:t xml:space="preserve"> is that </w:t>
      </w:r>
      <w:r w:rsidR="00FA5ABA" w:rsidRPr="00BA654C">
        <w:rPr>
          <w:rFonts w:ascii="Times New Roman" w:hAnsi="Times New Roman"/>
        </w:rPr>
        <w:t>the plaintiffs or their migration agent believed that</w:t>
      </w:r>
      <w:r w:rsidR="008B327E" w:rsidRPr="00BA654C">
        <w:rPr>
          <w:rFonts w:ascii="Times New Roman" w:hAnsi="Times New Roman"/>
        </w:rPr>
        <w:t xml:space="preserve"> the delegate </w:t>
      </w:r>
      <w:r w:rsidR="00395C08" w:rsidRPr="00BA654C">
        <w:rPr>
          <w:rFonts w:ascii="Times New Roman" w:hAnsi="Times New Roman"/>
        </w:rPr>
        <w:t xml:space="preserve">appointed to assess their Subclass 132 visa application would </w:t>
      </w:r>
      <w:r w:rsidR="00492D3B" w:rsidRPr="00BA654C">
        <w:rPr>
          <w:rFonts w:ascii="Times New Roman" w:hAnsi="Times New Roman"/>
        </w:rPr>
        <w:t xml:space="preserve">request them to provide all required </w:t>
      </w:r>
      <w:r w:rsidR="00CB2565" w:rsidRPr="00BA654C">
        <w:rPr>
          <w:rFonts w:ascii="Times New Roman" w:hAnsi="Times New Roman"/>
        </w:rPr>
        <w:t>information</w:t>
      </w:r>
      <w:r w:rsidR="00492D3B" w:rsidRPr="00BA654C">
        <w:rPr>
          <w:rFonts w:ascii="Times New Roman" w:hAnsi="Times New Roman"/>
        </w:rPr>
        <w:t xml:space="preserve"> to support the </w:t>
      </w:r>
      <w:r w:rsidR="00CB2565" w:rsidRPr="00BA654C">
        <w:rPr>
          <w:rFonts w:ascii="Times New Roman" w:hAnsi="Times New Roman"/>
        </w:rPr>
        <w:t>application</w:t>
      </w:r>
      <w:r w:rsidR="00492D3B" w:rsidRPr="00BA654C">
        <w:rPr>
          <w:rFonts w:ascii="Times New Roman" w:hAnsi="Times New Roman"/>
        </w:rPr>
        <w:t xml:space="preserve"> </w:t>
      </w:r>
      <w:r w:rsidR="00CB2565" w:rsidRPr="00BA654C">
        <w:rPr>
          <w:rFonts w:ascii="Times New Roman" w:hAnsi="Times New Roman"/>
        </w:rPr>
        <w:t>before</w:t>
      </w:r>
      <w:r w:rsidR="00492D3B" w:rsidRPr="00BA654C">
        <w:rPr>
          <w:rFonts w:ascii="Times New Roman" w:hAnsi="Times New Roman"/>
        </w:rPr>
        <w:t xml:space="preserve"> </w:t>
      </w:r>
      <w:r w:rsidR="00CB2565" w:rsidRPr="00BA654C">
        <w:rPr>
          <w:rFonts w:ascii="Times New Roman" w:hAnsi="Times New Roman"/>
        </w:rPr>
        <w:t xml:space="preserve">deciding whether to grant or refuse the application. </w:t>
      </w:r>
      <w:r w:rsidR="00D00F69" w:rsidRPr="00BA654C">
        <w:rPr>
          <w:rFonts w:ascii="Times New Roman" w:hAnsi="Times New Roman"/>
        </w:rPr>
        <w:t xml:space="preserve">The </w:t>
      </w:r>
      <w:r w:rsidR="009556DF" w:rsidRPr="00BA654C">
        <w:rPr>
          <w:rFonts w:ascii="Times New Roman" w:hAnsi="Times New Roman"/>
        </w:rPr>
        <w:t xml:space="preserve">evidence </w:t>
      </w:r>
      <w:r w:rsidR="00CB2565" w:rsidRPr="00BA654C">
        <w:rPr>
          <w:rFonts w:ascii="Times New Roman" w:hAnsi="Times New Roman"/>
        </w:rPr>
        <w:t xml:space="preserve">is to the contrary of the first </w:t>
      </w:r>
      <w:r w:rsidR="009556DF" w:rsidRPr="00BA654C">
        <w:rPr>
          <w:rFonts w:ascii="Times New Roman" w:hAnsi="Times New Roman"/>
        </w:rPr>
        <w:t>key factual predicate</w:t>
      </w:r>
      <w:r w:rsidR="00CB2565" w:rsidRPr="00BA654C">
        <w:rPr>
          <w:rFonts w:ascii="Times New Roman" w:hAnsi="Times New Roman"/>
        </w:rPr>
        <w:t xml:space="preserve"> and does not support the second key factual predicate</w:t>
      </w:r>
      <w:r w:rsidR="009556DF" w:rsidRPr="00BA654C">
        <w:rPr>
          <w:rFonts w:ascii="Times New Roman" w:hAnsi="Times New Roman"/>
        </w:rPr>
        <w:t>.</w:t>
      </w:r>
    </w:p>
    <w:p w14:paraId="1A819D17" w14:textId="42A986EB" w:rsidR="00364194" w:rsidRPr="00BA654C" w:rsidRDefault="006C126C" w:rsidP="00BA654C">
      <w:pPr>
        <w:pStyle w:val="FixListStyle"/>
        <w:spacing w:after="260" w:line="280" w:lineRule="exact"/>
        <w:ind w:right="0"/>
        <w:jc w:val="both"/>
        <w:rPr>
          <w:rFonts w:ascii="Times New Roman" w:hAnsi="Times New Roman"/>
        </w:rPr>
      </w:pPr>
      <w:r w:rsidRPr="00BA654C">
        <w:rPr>
          <w:rFonts w:ascii="Times New Roman" w:hAnsi="Times New Roman"/>
        </w:rPr>
        <w:lastRenderedPageBreak/>
        <w:tab/>
      </w:r>
      <w:r w:rsidR="002B26C0" w:rsidRPr="00BA654C">
        <w:rPr>
          <w:rFonts w:ascii="Times New Roman" w:hAnsi="Times New Roman"/>
        </w:rPr>
        <w:t>Further, even if these two key factual predicates had been proved, they would not have had the legal sign</w:t>
      </w:r>
      <w:r w:rsidRPr="00BA654C">
        <w:rPr>
          <w:rFonts w:ascii="Times New Roman" w:hAnsi="Times New Roman"/>
        </w:rPr>
        <w:t xml:space="preserve">ificance </w:t>
      </w:r>
      <w:r w:rsidR="002B26C0" w:rsidRPr="00BA654C">
        <w:rPr>
          <w:rFonts w:ascii="Times New Roman" w:hAnsi="Times New Roman"/>
        </w:rPr>
        <w:t xml:space="preserve">the plaintiffs' submissions assume. </w:t>
      </w:r>
      <w:r w:rsidR="00364194" w:rsidRPr="00BA654C">
        <w:rPr>
          <w:rFonts w:ascii="Times New Roman" w:hAnsi="Times New Roman"/>
        </w:rPr>
        <w:t xml:space="preserve">The mere fact (if it were the fact, which it is not) that the South Australian government agency had been provided with </w:t>
      </w:r>
      <w:r w:rsidR="003D19E3" w:rsidRPr="00BA654C">
        <w:rPr>
          <w:rFonts w:ascii="Times New Roman" w:hAnsi="Times New Roman"/>
        </w:rPr>
        <w:t xml:space="preserve">the </w:t>
      </w:r>
      <w:r w:rsidR="00364194" w:rsidRPr="00BA654C">
        <w:rPr>
          <w:rFonts w:ascii="Times New Roman" w:hAnsi="Times New Roman"/>
        </w:rPr>
        <w:t xml:space="preserve">audited financial statements does not mean that the delegate was bound to request their provision </w:t>
      </w:r>
      <w:r w:rsidR="007D422F" w:rsidRPr="00BA654C">
        <w:rPr>
          <w:rFonts w:ascii="Times New Roman" w:hAnsi="Times New Roman"/>
        </w:rPr>
        <w:t xml:space="preserve">by the plaintiffs </w:t>
      </w:r>
      <w:r w:rsidR="00364194" w:rsidRPr="00BA654C">
        <w:rPr>
          <w:rFonts w:ascii="Times New Roman" w:hAnsi="Times New Roman"/>
        </w:rPr>
        <w:t xml:space="preserve">to the delegate. </w:t>
      </w:r>
      <w:r w:rsidR="007D422F" w:rsidRPr="00BA654C">
        <w:rPr>
          <w:rFonts w:ascii="Times New Roman" w:hAnsi="Times New Roman"/>
        </w:rPr>
        <w:t>And t</w:t>
      </w:r>
      <w:r w:rsidR="00364194" w:rsidRPr="00BA654C">
        <w:rPr>
          <w:rFonts w:ascii="Times New Roman" w:hAnsi="Times New Roman"/>
        </w:rPr>
        <w:t>he mere fact (if it were the fact, which it has not been proved) that the plaintiffs or their migration</w:t>
      </w:r>
      <w:r w:rsidR="00562FDB" w:rsidRPr="00BA654C">
        <w:rPr>
          <w:rFonts w:ascii="Times New Roman" w:hAnsi="Times New Roman"/>
        </w:rPr>
        <w:t xml:space="preserve"> </w:t>
      </w:r>
      <w:r w:rsidR="00364194" w:rsidRPr="00BA654C">
        <w:rPr>
          <w:rFonts w:ascii="Times New Roman" w:hAnsi="Times New Roman"/>
        </w:rPr>
        <w:t xml:space="preserve">agent </w:t>
      </w:r>
      <w:r w:rsidR="00562FDB" w:rsidRPr="00BA654C">
        <w:rPr>
          <w:rFonts w:ascii="Times New Roman" w:hAnsi="Times New Roman"/>
        </w:rPr>
        <w:t xml:space="preserve">believed that they would be requested to provide any missing information based on </w:t>
      </w:r>
      <w:r w:rsidR="004F066B" w:rsidRPr="00BA654C">
        <w:rPr>
          <w:rFonts w:ascii="Times New Roman" w:hAnsi="Times New Roman"/>
        </w:rPr>
        <w:t xml:space="preserve">a </w:t>
      </w:r>
      <w:r w:rsidR="007D422F" w:rsidRPr="00BA654C">
        <w:rPr>
          <w:rFonts w:ascii="Times New Roman" w:hAnsi="Times New Roman"/>
        </w:rPr>
        <w:t>"</w:t>
      </w:r>
      <w:r w:rsidR="00562FDB" w:rsidRPr="00BA654C">
        <w:rPr>
          <w:rFonts w:ascii="Times New Roman" w:hAnsi="Times New Roman"/>
        </w:rPr>
        <w:t>general practice</w:t>
      </w:r>
      <w:r w:rsidR="007D422F" w:rsidRPr="00BA654C">
        <w:rPr>
          <w:rFonts w:ascii="Times New Roman" w:hAnsi="Times New Roman"/>
        </w:rPr>
        <w:t>"</w:t>
      </w:r>
      <w:r w:rsidR="00562FDB" w:rsidRPr="00BA654C">
        <w:rPr>
          <w:rFonts w:ascii="Times New Roman" w:hAnsi="Times New Roman"/>
        </w:rPr>
        <w:t xml:space="preserve"> </w:t>
      </w:r>
      <w:r w:rsidR="0034354D" w:rsidRPr="00BA654C">
        <w:rPr>
          <w:rFonts w:ascii="Times New Roman" w:hAnsi="Times New Roman"/>
        </w:rPr>
        <w:t xml:space="preserve">does not mean that a delegate or the Department </w:t>
      </w:r>
      <w:r w:rsidR="00AA0A4A" w:rsidRPr="00BA654C">
        <w:rPr>
          <w:rFonts w:ascii="Times New Roman" w:hAnsi="Times New Roman"/>
        </w:rPr>
        <w:t xml:space="preserve">of Home Affairs </w:t>
      </w:r>
      <w:r w:rsidR="0034354D" w:rsidRPr="00BA654C">
        <w:rPr>
          <w:rFonts w:ascii="Times New Roman" w:hAnsi="Times New Roman"/>
        </w:rPr>
        <w:t xml:space="preserve">was bound to </w:t>
      </w:r>
      <w:r w:rsidR="00C44ACD" w:rsidRPr="00BA654C">
        <w:rPr>
          <w:rFonts w:ascii="Times New Roman" w:hAnsi="Times New Roman"/>
        </w:rPr>
        <w:t xml:space="preserve">notify the plaintiffs and their migration agent of any change to </w:t>
      </w:r>
      <w:r w:rsidR="009D0D84" w:rsidRPr="00BA654C">
        <w:rPr>
          <w:rFonts w:ascii="Times New Roman" w:hAnsi="Times New Roman"/>
        </w:rPr>
        <w:t xml:space="preserve">a </w:t>
      </w:r>
      <w:r w:rsidR="007D422F" w:rsidRPr="00BA654C">
        <w:rPr>
          <w:rFonts w:ascii="Times New Roman" w:hAnsi="Times New Roman"/>
        </w:rPr>
        <w:t>"</w:t>
      </w:r>
      <w:r w:rsidR="00C44ACD" w:rsidRPr="00BA654C">
        <w:rPr>
          <w:rFonts w:ascii="Times New Roman" w:hAnsi="Times New Roman"/>
        </w:rPr>
        <w:t>general practice</w:t>
      </w:r>
      <w:r w:rsidR="007D422F" w:rsidRPr="00BA654C">
        <w:rPr>
          <w:rFonts w:ascii="Times New Roman" w:hAnsi="Times New Roman"/>
        </w:rPr>
        <w:t>"</w:t>
      </w:r>
      <w:r w:rsidR="00C44ACD" w:rsidRPr="00BA654C">
        <w:rPr>
          <w:rFonts w:ascii="Times New Roman" w:hAnsi="Times New Roman"/>
        </w:rPr>
        <w:t xml:space="preserve"> before deciding whether to grant or re</w:t>
      </w:r>
      <w:r w:rsidR="007D422F" w:rsidRPr="00BA654C">
        <w:rPr>
          <w:rFonts w:ascii="Times New Roman" w:hAnsi="Times New Roman"/>
        </w:rPr>
        <w:t>f</w:t>
      </w:r>
      <w:r w:rsidR="00C44ACD" w:rsidRPr="00BA654C">
        <w:rPr>
          <w:rFonts w:ascii="Times New Roman" w:hAnsi="Times New Roman"/>
        </w:rPr>
        <w:t>use the application.</w:t>
      </w:r>
    </w:p>
    <w:p w14:paraId="0D4ADEDB" w14:textId="506C0E79" w:rsidR="00C47E9A" w:rsidRPr="00BA654C" w:rsidRDefault="00C47E9A" w:rsidP="00BA654C">
      <w:pPr>
        <w:pStyle w:val="FixListStyle"/>
        <w:spacing w:after="260" w:line="280" w:lineRule="exact"/>
        <w:ind w:right="0"/>
        <w:jc w:val="both"/>
        <w:rPr>
          <w:rFonts w:ascii="Times New Roman" w:hAnsi="Times New Roman"/>
        </w:rPr>
      </w:pPr>
      <w:r w:rsidRPr="00BA654C">
        <w:rPr>
          <w:rFonts w:ascii="Times New Roman" w:hAnsi="Times New Roman"/>
        </w:rPr>
        <w:tab/>
        <w:t xml:space="preserve">Further again, or in the alternative, the plaintiffs have not established that the asserted error by the delegate was material to the decision in fact made. </w:t>
      </w:r>
    </w:p>
    <w:p w14:paraId="12AE0EB8" w14:textId="49B9270D" w:rsidR="006A1F50" w:rsidRPr="00BA654C" w:rsidRDefault="00364194"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9556DF" w:rsidRPr="00BA654C">
        <w:rPr>
          <w:rFonts w:ascii="Times New Roman" w:hAnsi="Times New Roman"/>
        </w:rPr>
        <w:t xml:space="preserve">It follows that the </w:t>
      </w:r>
      <w:r w:rsidR="001C2BCB" w:rsidRPr="00BA654C">
        <w:rPr>
          <w:rFonts w:ascii="Times New Roman" w:hAnsi="Times New Roman"/>
        </w:rPr>
        <w:t>plaintiff</w:t>
      </w:r>
      <w:r w:rsidR="00FF10BB" w:rsidRPr="00BA654C">
        <w:rPr>
          <w:rFonts w:ascii="Times New Roman" w:hAnsi="Times New Roman"/>
        </w:rPr>
        <w:t>s</w:t>
      </w:r>
      <w:r w:rsidR="001C2BCB" w:rsidRPr="00BA654C">
        <w:rPr>
          <w:rFonts w:ascii="Times New Roman" w:hAnsi="Times New Roman"/>
        </w:rPr>
        <w:t xml:space="preserve"> cannot sustain their case that </w:t>
      </w:r>
      <w:r w:rsidR="00FF10BB" w:rsidRPr="00BA654C">
        <w:rPr>
          <w:rFonts w:ascii="Times New Roman" w:hAnsi="Times New Roman"/>
        </w:rPr>
        <w:t xml:space="preserve">anything in the circumstances made it legally unreasonable for the delegate to determine the </w:t>
      </w:r>
      <w:r w:rsidR="00C562C0" w:rsidRPr="00BA654C">
        <w:rPr>
          <w:rFonts w:ascii="Times New Roman" w:hAnsi="Times New Roman"/>
        </w:rPr>
        <w:t xml:space="preserve">Subclass 132 </w:t>
      </w:r>
      <w:r w:rsidR="00D83A1F" w:rsidRPr="00BA654C">
        <w:rPr>
          <w:rFonts w:ascii="Times New Roman" w:hAnsi="Times New Roman"/>
        </w:rPr>
        <w:t xml:space="preserve">visa application </w:t>
      </w:r>
      <w:r w:rsidR="00E65ED2" w:rsidRPr="00BA654C">
        <w:rPr>
          <w:rFonts w:ascii="Times New Roman" w:hAnsi="Times New Roman"/>
        </w:rPr>
        <w:t>without having requested the plaintiffs to provide the audited financial statements.</w:t>
      </w:r>
    </w:p>
    <w:p w14:paraId="3A775EF1" w14:textId="77777777" w:rsidR="006A1F50" w:rsidRPr="00BA654C" w:rsidRDefault="006A1F50" w:rsidP="00BA654C">
      <w:pPr>
        <w:pStyle w:val="HeadingL1"/>
        <w:spacing w:after="260" w:line="280" w:lineRule="exact"/>
        <w:ind w:right="0"/>
        <w:jc w:val="both"/>
        <w:rPr>
          <w:rFonts w:ascii="Times New Roman" w:hAnsi="Times New Roman"/>
        </w:rPr>
      </w:pPr>
      <w:r w:rsidRPr="00BA654C">
        <w:rPr>
          <w:rFonts w:ascii="Times New Roman" w:hAnsi="Times New Roman"/>
        </w:rPr>
        <w:t>Statutory framework</w:t>
      </w:r>
    </w:p>
    <w:p w14:paraId="108222F0" w14:textId="2C0F9BA3" w:rsidR="006A1F50"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F9631D" w:rsidRPr="00BA654C">
        <w:rPr>
          <w:rFonts w:ascii="Times New Roman" w:hAnsi="Times New Roman"/>
        </w:rPr>
        <w:t>T</w:t>
      </w:r>
      <w:r w:rsidRPr="00BA654C">
        <w:rPr>
          <w:rFonts w:ascii="Times New Roman" w:hAnsi="Times New Roman"/>
        </w:rPr>
        <w:t xml:space="preserve">he </w:t>
      </w:r>
      <w:r w:rsidRPr="00BA654C">
        <w:rPr>
          <w:rFonts w:ascii="Times New Roman" w:hAnsi="Times New Roman"/>
          <w:i/>
          <w:iCs/>
        </w:rPr>
        <w:t>Migration Act 1958</w:t>
      </w:r>
      <w:r w:rsidRPr="00BA654C">
        <w:rPr>
          <w:rFonts w:ascii="Times New Roman" w:hAnsi="Times New Roman"/>
        </w:rPr>
        <w:t xml:space="preserve"> (</w:t>
      </w:r>
      <w:proofErr w:type="spellStart"/>
      <w:r w:rsidRPr="00BA654C">
        <w:rPr>
          <w:rFonts w:ascii="Times New Roman" w:hAnsi="Times New Roman"/>
        </w:rPr>
        <w:t>Cth</w:t>
      </w:r>
      <w:proofErr w:type="spellEnd"/>
      <w:r w:rsidRPr="00BA654C">
        <w:rPr>
          <w:rFonts w:ascii="Times New Roman" w:hAnsi="Times New Roman"/>
        </w:rPr>
        <w:t>) provide</w:t>
      </w:r>
      <w:r w:rsidR="006F3A98" w:rsidRPr="00BA654C">
        <w:rPr>
          <w:rFonts w:ascii="Times New Roman" w:hAnsi="Times New Roman"/>
        </w:rPr>
        <w:t>s</w:t>
      </w:r>
      <w:r w:rsidRPr="00BA654C">
        <w:rPr>
          <w:rFonts w:ascii="Times New Roman" w:hAnsi="Times New Roman"/>
        </w:rPr>
        <w:t xml:space="preserve"> </w:t>
      </w:r>
      <w:r w:rsidR="006F3A98" w:rsidRPr="00BA654C">
        <w:rPr>
          <w:rFonts w:ascii="Times New Roman" w:hAnsi="Times New Roman"/>
        </w:rPr>
        <w:t xml:space="preserve">for </w:t>
      </w:r>
      <w:r w:rsidRPr="00BA654C">
        <w:rPr>
          <w:rFonts w:ascii="Times New Roman" w:hAnsi="Times New Roman"/>
        </w:rPr>
        <w:t>prescribed classes of visas.</w:t>
      </w:r>
      <w:r w:rsidRPr="00BA654C">
        <w:rPr>
          <w:rStyle w:val="FootnoteReference"/>
          <w:rFonts w:ascii="Times New Roman" w:hAnsi="Times New Roman"/>
          <w:sz w:val="24"/>
        </w:rPr>
        <w:footnoteReference w:id="4"/>
      </w:r>
      <w:r w:rsidRPr="00BA654C">
        <w:rPr>
          <w:rFonts w:ascii="Times New Roman" w:hAnsi="Times New Roman"/>
        </w:rPr>
        <w:t xml:space="preserve"> </w:t>
      </w:r>
      <w:r w:rsidR="00587382" w:rsidRPr="00BA654C">
        <w:rPr>
          <w:rFonts w:ascii="Times New Roman" w:hAnsi="Times New Roman"/>
        </w:rPr>
        <w:t>C</w:t>
      </w:r>
      <w:r w:rsidRPr="00BA654C">
        <w:rPr>
          <w:rFonts w:ascii="Times New Roman" w:hAnsi="Times New Roman"/>
        </w:rPr>
        <w:t xml:space="preserve">riteria for </w:t>
      </w:r>
      <w:r w:rsidR="00587382" w:rsidRPr="00BA654C">
        <w:rPr>
          <w:rFonts w:ascii="Times New Roman" w:hAnsi="Times New Roman"/>
        </w:rPr>
        <w:t>the making of a</w:t>
      </w:r>
      <w:r w:rsidR="00C4297C" w:rsidRPr="00BA654C">
        <w:rPr>
          <w:rFonts w:ascii="Times New Roman" w:hAnsi="Times New Roman"/>
        </w:rPr>
        <w:t xml:space="preserve"> valid</w:t>
      </w:r>
      <w:r w:rsidR="00587382" w:rsidRPr="00BA654C">
        <w:rPr>
          <w:rFonts w:ascii="Times New Roman" w:hAnsi="Times New Roman"/>
        </w:rPr>
        <w:t xml:space="preserve"> application </w:t>
      </w:r>
      <w:r w:rsidR="00F063A0" w:rsidRPr="00BA654C">
        <w:rPr>
          <w:rFonts w:ascii="Times New Roman" w:hAnsi="Times New Roman"/>
        </w:rPr>
        <w:t xml:space="preserve">by, </w:t>
      </w:r>
      <w:r w:rsidR="00C4297C" w:rsidRPr="00BA654C">
        <w:rPr>
          <w:rFonts w:ascii="Times New Roman" w:hAnsi="Times New Roman"/>
        </w:rPr>
        <w:t>and</w:t>
      </w:r>
      <w:r w:rsidR="00587382" w:rsidRPr="00BA654C">
        <w:rPr>
          <w:rFonts w:ascii="Times New Roman" w:hAnsi="Times New Roman"/>
        </w:rPr>
        <w:t xml:space="preserve"> the grant of </w:t>
      </w:r>
      <w:r w:rsidRPr="00BA654C">
        <w:rPr>
          <w:rFonts w:ascii="Times New Roman" w:hAnsi="Times New Roman"/>
        </w:rPr>
        <w:t>a visa or a particular class of visa</w:t>
      </w:r>
      <w:r w:rsidR="00F063A0" w:rsidRPr="00BA654C">
        <w:rPr>
          <w:rFonts w:ascii="Times New Roman" w:hAnsi="Times New Roman"/>
        </w:rPr>
        <w:t xml:space="preserve"> to</w:t>
      </w:r>
      <w:r w:rsidR="00F45A07" w:rsidRPr="00BA654C">
        <w:rPr>
          <w:rFonts w:ascii="Times New Roman" w:hAnsi="Times New Roman"/>
        </w:rPr>
        <w:t>,</w:t>
      </w:r>
      <w:r w:rsidR="00F063A0" w:rsidRPr="00BA654C">
        <w:rPr>
          <w:rFonts w:ascii="Times New Roman" w:hAnsi="Times New Roman"/>
        </w:rPr>
        <w:t xml:space="preserve"> an applicant</w:t>
      </w:r>
      <w:r w:rsidR="00C4297C" w:rsidRPr="00BA654C">
        <w:rPr>
          <w:rFonts w:ascii="Times New Roman" w:hAnsi="Times New Roman"/>
        </w:rPr>
        <w:t xml:space="preserve"> </w:t>
      </w:r>
      <w:proofErr w:type="gramStart"/>
      <w:r w:rsidR="00C4297C" w:rsidRPr="00BA654C">
        <w:rPr>
          <w:rFonts w:ascii="Times New Roman" w:hAnsi="Times New Roman"/>
        </w:rPr>
        <w:t>are</w:t>
      </w:r>
      <w:proofErr w:type="gramEnd"/>
      <w:r w:rsidRPr="00BA654C">
        <w:rPr>
          <w:rFonts w:ascii="Times New Roman" w:hAnsi="Times New Roman"/>
        </w:rPr>
        <w:t xml:space="preserve"> prescribed by regulation.</w:t>
      </w:r>
      <w:r w:rsidRPr="00BA654C">
        <w:rPr>
          <w:rStyle w:val="FootnoteReference"/>
          <w:rFonts w:ascii="Times New Roman" w:hAnsi="Times New Roman"/>
          <w:sz w:val="24"/>
        </w:rPr>
        <w:footnoteReference w:id="5"/>
      </w:r>
      <w:r w:rsidRPr="00BA654C">
        <w:rPr>
          <w:rFonts w:ascii="Times New Roman" w:hAnsi="Times New Roman"/>
        </w:rPr>
        <w:t xml:space="preserve"> </w:t>
      </w:r>
    </w:p>
    <w:p w14:paraId="6B830D6D" w14:textId="434865A5" w:rsidR="006A1F50"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C4297C" w:rsidRPr="00BA654C">
        <w:rPr>
          <w:rFonts w:ascii="Times New Roman" w:hAnsi="Times New Roman"/>
        </w:rPr>
        <w:t>T</w:t>
      </w:r>
      <w:r w:rsidR="00915A15" w:rsidRPr="00BA654C">
        <w:rPr>
          <w:rFonts w:ascii="Times New Roman" w:hAnsi="Times New Roman"/>
        </w:rPr>
        <w:t xml:space="preserve">he </w:t>
      </w:r>
      <w:r w:rsidR="00915A15" w:rsidRPr="00BA654C">
        <w:rPr>
          <w:rFonts w:ascii="Times New Roman" w:hAnsi="Times New Roman"/>
          <w:i/>
          <w:iCs/>
        </w:rPr>
        <w:t>Migration Regulations</w:t>
      </w:r>
      <w:r w:rsidR="00915A15" w:rsidRPr="00BA654C">
        <w:rPr>
          <w:rFonts w:ascii="Times New Roman" w:hAnsi="Times New Roman"/>
        </w:rPr>
        <w:t xml:space="preserve"> </w:t>
      </w:r>
      <w:r w:rsidR="00915A15" w:rsidRPr="00BA654C">
        <w:rPr>
          <w:rFonts w:ascii="Times New Roman" w:hAnsi="Times New Roman"/>
          <w:i/>
          <w:iCs/>
        </w:rPr>
        <w:t xml:space="preserve">1994 </w:t>
      </w:r>
      <w:r w:rsidR="00915A15" w:rsidRPr="00BA654C">
        <w:rPr>
          <w:rFonts w:ascii="Times New Roman" w:hAnsi="Times New Roman"/>
        </w:rPr>
        <w:t>(</w:t>
      </w:r>
      <w:proofErr w:type="spellStart"/>
      <w:r w:rsidR="00915A15" w:rsidRPr="00BA654C">
        <w:rPr>
          <w:rFonts w:ascii="Times New Roman" w:hAnsi="Times New Roman"/>
        </w:rPr>
        <w:t>Cth</w:t>
      </w:r>
      <w:proofErr w:type="spellEnd"/>
      <w:r w:rsidR="00915A15" w:rsidRPr="00BA654C">
        <w:rPr>
          <w:rFonts w:ascii="Times New Roman" w:hAnsi="Times New Roman"/>
        </w:rPr>
        <w:t xml:space="preserve">) prescribed </w:t>
      </w:r>
      <w:r w:rsidR="00C4297C" w:rsidRPr="00BA654C">
        <w:rPr>
          <w:rFonts w:ascii="Times New Roman" w:hAnsi="Times New Roman"/>
        </w:rPr>
        <w:t xml:space="preserve">a </w:t>
      </w:r>
      <w:r w:rsidR="00915A15" w:rsidRPr="00BA654C">
        <w:rPr>
          <w:rFonts w:ascii="Times New Roman" w:hAnsi="Times New Roman"/>
        </w:rPr>
        <w:t xml:space="preserve">class of visa </w:t>
      </w:r>
      <w:r w:rsidR="00393A0E" w:rsidRPr="00BA654C">
        <w:rPr>
          <w:rFonts w:ascii="Times New Roman" w:hAnsi="Times New Roman"/>
        </w:rPr>
        <w:t xml:space="preserve">known as </w:t>
      </w:r>
      <w:r w:rsidR="00915A15" w:rsidRPr="00BA654C">
        <w:rPr>
          <w:rFonts w:ascii="Times New Roman" w:hAnsi="Times New Roman"/>
        </w:rPr>
        <w:t>the Business Skills – Business Talent (Permanent) (Class EA) visa</w:t>
      </w:r>
      <w:r w:rsidR="00393A0E" w:rsidRPr="00BA654C">
        <w:rPr>
          <w:rFonts w:ascii="Times New Roman" w:hAnsi="Times New Roman"/>
        </w:rPr>
        <w:t>.</w:t>
      </w:r>
      <w:r w:rsidR="00915A15" w:rsidRPr="00BA654C">
        <w:rPr>
          <w:rStyle w:val="FootnoteReference"/>
          <w:rFonts w:ascii="Times New Roman" w:hAnsi="Times New Roman"/>
          <w:sz w:val="24"/>
        </w:rPr>
        <w:footnoteReference w:id="6"/>
      </w:r>
      <w:r w:rsidR="00915A15" w:rsidRPr="00BA654C">
        <w:rPr>
          <w:rFonts w:ascii="Times New Roman" w:hAnsi="Times New Roman"/>
        </w:rPr>
        <w:t xml:space="preserve"> </w:t>
      </w:r>
      <w:r w:rsidR="00393A0E" w:rsidRPr="00BA654C">
        <w:rPr>
          <w:rFonts w:ascii="Times New Roman" w:hAnsi="Times New Roman"/>
        </w:rPr>
        <w:t>A</w:t>
      </w:r>
      <w:r w:rsidR="00915A15" w:rsidRPr="00BA654C">
        <w:rPr>
          <w:rFonts w:ascii="Times New Roman" w:hAnsi="Times New Roman"/>
        </w:rPr>
        <w:t xml:space="preserve"> prescribed subclass </w:t>
      </w:r>
      <w:r w:rsidR="00393A0E" w:rsidRPr="00BA654C">
        <w:rPr>
          <w:rFonts w:ascii="Times New Roman" w:hAnsi="Times New Roman"/>
        </w:rPr>
        <w:t xml:space="preserve">of that class of visa </w:t>
      </w:r>
      <w:r w:rsidR="00915A15" w:rsidRPr="00BA654C">
        <w:rPr>
          <w:rFonts w:ascii="Times New Roman" w:hAnsi="Times New Roman"/>
        </w:rPr>
        <w:t>was the Subclass 132 (Business Talent) visa in the Significant Business History stream</w:t>
      </w:r>
      <w:r w:rsidR="00AF3F10" w:rsidRPr="00BA654C">
        <w:rPr>
          <w:rFonts w:ascii="Times New Roman" w:hAnsi="Times New Roman"/>
        </w:rPr>
        <w:t xml:space="preserve"> </w:t>
      </w:r>
      <w:r w:rsidR="007079BE" w:rsidRPr="00BA654C">
        <w:rPr>
          <w:rFonts w:ascii="Times New Roman" w:hAnsi="Times New Roman"/>
        </w:rPr>
        <w:t xml:space="preserve">(a </w:t>
      </w:r>
      <w:r w:rsidR="00AF3F10" w:rsidRPr="00BA654C">
        <w:rPr>
          <w:rFonts w:ascii="Times New Roman" w:hAnsi="Times New Roman"/>
        </w:rPr>
        <w:t>"Subclass 132</w:t>
      </w:r>
      <w:r w:rsidR="007079BE" w:rsidRPr="00BA654C">
        <w:rPr>
          <w:rFonts w:ascii="Times New Roman" w:hAnsi="Times New Roman"/>
        </w:rPr>
        <w:t xml:space="preserve"> visa")</w:t>
      </w:r>
      <w:r w:rsidR="00915A15" w:rsidRPr="00BA654C">
        <w:rPr>
          <w:rFonts w:ascii="Times New Roman" w:hAnsi="Times New Roman"/>
        </w:rPr>
        <w:t>.</w:t>
      </w:r>
      <w:r w:rsidR="00915A15" w:rsidRPr="00BA654C">
        <w:rPr>
          <w:rStyle w:val="FootnoteReference"/>
          <w:rFonts w:ascii="Times New Roman" w:hAnsi="Times New Roman"/>
          <w:sz w:val="24"/>
        </w:rPr>
        <w:footnoteReference w:id="7"/>
      </w:r>
      <w:r w:rsidR="00915A15" w:rsidRPr="00BA654C">
        <w:rPr>
          <w:rFonts w:ascii="Times New Roman" w:hAnsi="Times New Roman"/>
        </w:rPr>
        <w:t xml:space="preserve"> </w:t>
      </w:r>
      <w:r w:rsidRPr="00BA654C">
        <w:rPr>
          <w:rFonts w:ascii="Times New Roman" w:hAnsi="Times New Roman"/>
        </w:rPr>
        <w:t xml:space="preserve">The </w:t>
      </w:r>
      <w:r w:rsidRPr="00BA654C">
        <w:rPr>
          <w:rFonts w:ascii="Times New Roman" w:hAnsi="Times New Roman"/>
          <w:i/>
          <w:iCs/>
        </w:rPr>
        <w:t>Migration Regulations</w:t>
      </w:r>
      <w:r w:rsidRPr="00BA654C">
        <w:rPr>
          <w:rFonts w:ascii="Times New Roman" w:hAnsi="Times New Roman"/>
        </w:rPr>
        <w:t xml:space="preserve"> provided that to make a valid application</w:t>
      </w:r>
      <w:r w:rsidR="00B2354C" w:rsidRPr="00BA654C">
        <w:rPr>
          <w:rFonts w:ascii="Times New Roman" w:hAnsi="Times New Roman"/>
        </w:rPr>
        <w:t xml:space="preserve"> for </w:t>
      </w:r>
      <w:r w:rsidR="00DD1F9B" w:rsidRPr="00BA654C">
        <w:rPr>
          <w:rFonts w:ascii="Times New Roman" w:hAnsi="Times New Roman"/>
        </w:rPr>
        <w:t>a</w:t>
      </w:r>
      <w:r w:rsidR="004F472A" w:rsidRPr="00BA654C">
        <w:rPr>
          <w:rFonts w:ascii="Times New Roman" w:hAnsi="Times New Roman"/>
        </w:rPr>
        <w:t xml:space="preserve"> Subclass 132 visa</w:t>
      </w:r>
      <w:r w:rsidRPr="00BA654C">
        <w:rPr>
          <w:rFonts w:ascii="Times New Roman" w:hAnsi="Times New Roman"/>
        </w:rPr>
        <w:t xml:space="preserve"> an applicant had to meet requirements</w:t>
      </w:r>
      <w:r w:rsidR="00E33B8D" w:rsidRPr="00BA654C">
        <w:rPr>
          <w:rFonts w:ascii="Times New Roman" w:hAnsi="Times New Roman"/>
        </w:rPr>
        <w:t xml:space="preserve"> including that</w:t>
      </w:r>
      <w:r w:rsidRPr="00BA654C">
        <w:rPr>
          <w:rFonts w:ascii="Times New Roman" w:hAnsi="Times New Roman"/>
        </w:rPr>
        <w:t>: (1)</w:t>
      </w:r>
      <w:r w:rsidR="00E518E7" w:rsidRPr="00BA654C">
        <w:rPr>
          <w:rFonts w:ascii="Times New Roman" w:hAnsi="Times New Roman"/>
        </w:rPr>
        <w:t> </w:t>
      </w:r>
      <w:r w:rsidRPr="00BA654C">
        <w:rPr>
          <w:rFonts w:ascii="Times New Roman" w:hAnsi="Times New Roman"/>
        </w:rPr>
        <w:t>the applicant had been invited, in writing, by the Minister to apply for the visa</w:t>
      </w:r>
      <w:r w:rsidR="00767E40" w:rsidRPr="00BA654C">
        <w:rPr>
          <w:rFonts w:ascii="Times New Roman" w:hAnsi="Times New Roman"/>
        </w:rPr>
        <w:t>;</w:t>
      </w:r>
      <w:r w:rsidRPr="00BA654C">
        <w:rPr>
          <w:rFonts w:ascii="Times New Roman" w:hAnsi="Times New Roman"/>
        </w:rPr>
        <w:t xml:space="preserve"> </w:t>
      </w:r>
      <w:r w:rsidR="00CE55C1" w:rsidRPr="00BA654C">
        <w:rPr>
          <w:rFonts w:ascii="Times New Roman" w:hAnsi="Times New Roman"/>
        </w:rPr>
        <w:t xml:space="preserve">(2) the applicant applied for the visa within the period stated in the application; </w:t>
      </w:r>
      <w:r w:rsidRPr="00BA654C">
        <w:rPr>
          <w:rFonts w:ascii="Times New Roman" w:hAnsi="Times New Roman"/>
        </w:rPr>
        <w:t>and (</w:t>
      </w:r>
      <w:r w:rsidR="00CE55C1" w:rsidRPr="00BA654C">
        <w:rPr>
          <w:rFonts w:ascii="Times New Roman" w:hAnsi="Times New Roman"/>
        </w:rPr>
        <w:t>3</w:t>
      </w:r>
      <w:r w:rsidRPr="00BA654C">
        <w:rPr>
          <w:rFonts w:ascii="Times New Roman" w:hAnsi="Times New Roman"/>
        </w:rPr>
        <w:t>)</w:t>
      </w:r>
      <w:r w:rsidR="00E518E7" w:rsidRPr="00BA654C">
        <w:rPr>
          <w:rFonts w:ascii="Times New Roman" w:hAnsi="Times New Roman"/>
        </w:rPr>
        <w:t> </w:t>
      </w:r>
      <w:r w:rsidRPr="00BA654C">
        <w:rPr>
          <w:rFonts w:ascii="Times New Roman" w:hAnsi="Times New Roman"/>
        </w:rPr>
        <w:t>the applicant had been nominated by a State or Territory government agency.</w:t>
      </w:r>
      <w:r w:rsidRPr="00BA654C">
        <w:rPr>
          <w:rStyle w:val="FootnoteReference"/>
          <w:rFonts w:ascii="Times New Roman" w:hAnsi="Times New Roman"/>
          <w:sz w:val="24"/>
        </w:rPr>
        <w:footnoteReference w:id="8"/>
      </w:r>
    </w:p>
    <w:p w14:paraId="1DA7104D" w14:textId="2D0C6252" w:rsidR="006A1F50"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lastRenderedPageBreak/>
        <w:tab/>
      </w:r>
      <w:r w:rsidR="00801DE3" w:rsidRPr="00BA654C">
        <w:rPr>
          <w:rFonts w:ascii="Times New Roman" w:hAnsi="Times New Roman"/>
        </w:rPr>
        <w:t xml:space="preserve">The </w:t>
      </w:r>
      <w:r w:rsidR="00801DE3" w:rsidRPr="00BA654C">
        <w:rPr>
          <w:rFonts w:ascii="Times New Roman" w:hAnsi="Times New Roman"/>
          <w:i/>
          <w:iCs/>
        </w:rPr>
        <w:t>Migration Regulations</w:t>
      </w:r>
      <w:r w:rsidR="00801DE3" w:rsidRPr="00BA654C">
        <w:rPr>
          <w:rFonts w:ascii="Times New Roman" w:hAnsi="Times New Roman"/>
        </w:rPr>
        <w:t xml:space="preserve"> </w:t>
      </w:r>
      <w:r w:rsidR="00E84B3F" w:rsidRPr="00BA654C">
        <w:rPr>
          <w:rFonts w:ascii="Times New Roman" w:hAnsi="Times New Roman"/>
        </w:rPr>
        <w:t xml:space="preserve">also </w:t>
      </w:r>
      <w:r w:rsidR="00801DE3" w:rsidRPr="00BA654C">
        <w:rPr>
          <w:rFonts w:ascii="Times New Roman" w:hAnsi="Times New Roman"/>
        </w:rPr>
        <w:t xml:space="preserve">provided that the prescribed criteria for the grant to a person of a visa of a particular class were the "primary criteria" </w:t>
      </w:r>
      <w:r w:rsidR="009E1F78" w:rsidRPr="00BA654C">
        <w:rPr>
          <w:rFonts w:ascii="Times New Roman" w:hAnsi="Times New Roman"/>
        </w:rPr>
        <w:t xml:space="preserve">and </w:t>
      </w:r>
      <w:r w:rsidR="00801DE3" w:rsidRPr="00BA654C">
        <w:rPr>
          <w:rFonts w:ascii="Times New Roman" w:hAnsi="Times New Roman"/>
        </w:rPr>
        <w:t xml:space="preserve">"secondary criteria" set out in the </w:t>
      </w:r>
      <w:r w:rsidR="00801DE3" w:rsidRPr="00BA654C">
        <w:rPr>
          <w:rFonts w:ascii="Times New Roman" w:hAnsi="Times New Roman"/>
          <w:i/>
          <w:iCs/>
        </w:rPr>
        <w:t>Migration Regulations</w:t>
      </w:r>
      <w:r w:rsidR="00801DE3" w:rsidRPr="00BA654C">
        <w:rPr>
          <w:rFonts w:ascii="Times New Roman" w:hAnsi="Times New Roman"/>
        </w:rPr>
        <w:t xml:space="preserve"> as relevant to that person.</w:t>
      </w:r>
      <w:r w:rsidR="00801DE3" w:rsidRPr="00BA654C">
        <w:rPr>
          <w:rStyle w:val="FootnoteReference"/>
          <w:rFonts w:ascii="Times New Roman" w:hAnsi="Times New Roman"/>
          <w:sz w:val="24"/>
        </w:rPr>
        <w:footnoteReference w:id="9"/>
      </w:r>
      <w:r w:rsidR="00801DE3" w:rsidRPr="00BA654C">
        <w:rPr>
          <w:rFonts w:ascii="Times New Roman" w:hAnsi="Times New Roman"/>
        </w:rPr>
        <w:t xml:space="preserve"> </w:t>
      </w:r>
      <w:r w:rsidRPr="00BA654C">
        <w:rPr>
          <w:rFonts w:ascii="Times New Roman" w:hAnsi="Times New Roman"/>
        </w:rPr>
        <w:t>Subdivision</w:t>
      </w:r>
      <w:r w:rsidR="00D02398" w:rsidRPr="00BA654C">
        <w:rPr>
          <w:rFonts w:ascii="Times New Roman" w:hAnsi="Times New Roman"/>
        </w:rPr>
        <w:t>s</w:t>
      </w:r>
      <w:r w:rsidRPr="00BA654C">
        <w:rPr>
          <w:rFonts w:ascii="Times New Roman" w:hAnsi="Times New Roman"/>
        </w:rPr>
        <w:t xml:space="preserve"> 132.2 and 132.3 of Sch 2 </w:t>
      </w:r>
      <w:r w:rsidR="005330A8" w:rsidRPr="00BA654C">
        <w:rPr>
          <w:rFonts w:ascii="Times New Roman" w:hAnsi="Times New Roman"/>
        </w:rPr>
        <w:t xml:space="preserve">to </w:t>
      </w:r>
      <w:r w:rsidRPr="00BA654C">
        <w:rPr>
          <w:rFonts w:ascii="Times New Roman" w:hAnsi="Times New Roman"/>
        </w:rPr>
        <w:t xml:space="preserve">the </w:t>
      </w:r>
      <w:r w:rsidRPr="00BA654C">
        <w:rPr>
          <w:rFonts w:ascii="Times New Roman" w:hAnsi="Times New Roman"/>
          <w:i/>
          <w:iCs/>
        </w:rPr>
        <w:t xml:space="preserve">Migration Regulations </w:t>
      </w:r>
      <w:r w:rsidRPr="00BA654C">
        <w:rPr>
          <w:rFonts w:ascii="Times New Roman" w:hAnsi="Times New Roman"/>
        </w:rPr>
        <w:t>identified</w:t>
      </w:r>
      <w:r w:rsidR="004F472A" w:rsidRPr="00BA654C">
        <w:rPr>
          <w:rFonts w:ascii="Times New Roman" w:hAnsi="Times New Roman"/>
        </w:rPr>
        <w:t xml:space="preserve"> </w:t>
      </w:r>
      <w:r w:rsidRPr="00BA654C">
        <w:rPr>
          <w:rFonts w:ascii="Times New Roman" w:hAnsi="Times New Roman"/>
        </w:rPr>
        <w:t>the primary and secondary criteria for the grant to a person of a Subclass 132</w:t>
      </w:r>
      <w:r w:rsidR="00E270FC" w:rsidRPr="00BA654C">
        <w:rPr>
          <w:rFonts w:ascii="Times New Roman" w:hAnsi="Times New Roman"/>
        </w:rPr>
        <w:t xml:space="preserve"> visa</w:t>
      </w:r>
      <w:r w:rsidRPr="00BA654C">
        <w:rPr>
          <w:rFonts w:ascii="Times New Roman" w:hAnsi="Times New Roman"/>
        </w:rPr>
        <w:t>.</w:t>
      </w:r>
      <w:r w:rsidRPr="00BA654C">
        <w:rPr>
          <w:rFonts w:ascii="Times New Roman" w:hAnsi="Times New Roman"/>
          <w:i/>
          <w:iCs/>
        </w:rPr>
        <w:t xml:space="preserve"> </w:t>
      </w:r>
      <w:r w:rsidR="00E270FC" w:rsidRPr="00BA654C">
        <w:rPr>
          <w:rFonts w:ascii="Times New Roman" w:hAnsi="Times New Roman"/>
        </w:rPr>
        <w:t xml:space="preserve">According to </w:t>
      </w:r>
      <w:proofErr w:type="spellStart"/>
      <w:r w:rsidR="00E270FC" w:rsidRPr="00BA654C">
        <w:rPr>
          <w:rFonts w:ascii="Times New Roman" w:hAnsi="Times New Roman"/>
        </w:rPr>
        <w:t>Subdiv</w:t>
      </w:r>
      <w:proofErr w:type="spellEnd"/>
      <w:r w:rsidR="00E270FC" w:rsidRPr="00BA654C">
        <w:rPr>
          <w:rFonts w:ascii="Times New Roman" w:hAnsi="Times New Roman"/>
          <w:i/>
          <w:iCs/>
        </w:rPr>
        <w:t> </w:t>
      </w:r>
      <w:r w:rsidRPr="00BA654C">
        <w:rPr>
          <w:rFonts w:ascii="Times New Roman" w:hAnsi="Times New Roman"/>
        </w:rPr>
        <w:t xml:space="preserve">132.2 of Sch 2 </w:t>
      </w:r>
      <w:r w:rsidR="00E270FC" w:rsidRPr="00BA654C">
        <w:rPr>
          <w:rFonts w:ascii="Times New Roman" w:hAnsi="Times New Roman"/>
        </w:rPr>
        <w:t xml:space="preserve">to </w:t>
      </w:r>
      <w:r w:rsidRPr="00BA654C">
        <w:rPr>
          <w:rFonts w:ascii="Times New Roman" w:hAnsi="Times New Roman"/>
        </w:rPr>
        <w:t xml:space="preserve">the </w:t>
      </w:r>
      <w:r w:rsidRPr="00BA654C">
        <w:rPr>
          <w:rFonts w:ascii="Times New Roman" w:hAnsi="Times New Roman"/>
          <w:i/>
          <w:iCs/>
        </w:rPr>
        <w:t>Migration Regulations</w:t>
      </w:r>
      <w:r w:rsidRPr="00BA654C">
        <w:rPr>
          <w:rFonts w:ascii="Times New Roman" w:hAnsi="Times New Roman"/>
        </w:rPr>
        <w:t>:</w:t>
      </w:r>
    </w:p>
    <w:p w14:paraId="2D291DA2" w14:textId="77777777" w:rsidR="006A1F50" w:rsidRPr="00BA654C" w:rsidRDefault="006A1F50" w:rsidP="00BA654C">
      <w:pPr>
        <w:pStyle w:val="leftright"/>
        <w:spacing w:before="0" w:after="260" w:line="280" w:lineRule="exact"/>
        <w:ind w:right="0"/>
        <w:jc w:val="both"/>
        <w:rPr>
          <w:rFonts w:ascii="Times New Roman" w:hAnsi="Times New Roman"/>
        </w:rPr>
      </w:pPr>
      <w:r w:rsidRPr="00BA654C">
        <w:rPr>
          <w:rFonts w:ascii="Times New Roman" w:hAnsi="Times New Roman"/>
        </w:rPr>
        <w:t>"If an applicant applies for a Subclass 132 visa in the Significant Business History stream, the criteria in Subdivisions 132.21 and 132.22 are the primary criteria for the grant of the visa.</w:t>
      </w:r>
    </w:p>
    <w:p w14:paraId="1D62AA84" w14:textId="77777777" w:rsidR="006A1F50" w:rsidRPr="00BA654C" w:rsidRDefault="006A1F50" w:rsidP="00BA654C">
      <w:pPr>
        <w:pStyle w:val="leftright"/>
        <w:spacing w:before="0" w:after="260" w:line="280" w:lineRule="exact"/>
        <w:ind w:right="0"/>
        <w:jc w:val="both"/>
        <w:rPr>
          <w:rFonts w:ascii="Times New Roman" w:hAnsi="Times New Roman"/>
        </w:rPr>
      </w:pPr>
      <w:r w:rsidRPr="00BA654C">
        <w:rPr>
          <w:rFonts w:ascii="Times New Roman" w:hAnsi="Times New Roman"/>
        </w:rPr>
        <w:t>...</w:t>
      </w:r>
    </w:p>
    <w:p w14:paraId="2887126C" w14:textId="77777777" w:rsidR="00BA654C" w:rsidRDefault="006A1F50" w:rsidP="00BA654C">
      <w:pPr>
        <w:pStyle w:val="leftright"/>
        <w:spacing w:before="0" w:after="260" w:line="280" w:lineRule="exact"/>
        <w:ind w:right="0"/>
        <w:jc w:val="both"/>
        <w:rPr>
          <w:rFonts w:ascii="Times New Roman" w:hAnsi="Times New Roman"/>
        </w:rPr>
      </w:pPr>
      <w:r w:rsidRPr="00BA654C">
        <w:rPr>
          <w:rFonts w:ascii="Times New Roman" w:hAnsi="Times New Roman"/>
        </w:rPr>
        <w:t>All criteria must be satisfied at the time a decision is made on the application."</w:t>
      </w:r>
    </w:p>
    <w:p w14:paraId="0E4E896A" w14:textId="581B4085" w:rsidR="001B4E5E"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1B4E5E" w:rsidRPr="00BA654C">
        <w:rPr>
          <w:rFonts w:ascii="Times New Roman" w:hAnsi="Times New Roman"/>
        </w:rPr>
        <w:t xml:space="preserve">Subdivisions 132.21 and 132.22 </w:t>
      </w:r>
      <w:r w:rsidR="00C54CFC" w:rsidRPr="00BA654C">
        <w:rPr>
          <w:rFonts w:ascii="Times New Roman" w:hAnsi="Times New Roman"/>
        </w:rPr>
        <w:t>contain</w:t>
      </w:r>
      <w:r w:rsidR="00D02398" w:rsidRPr="00BA654C">
        <w:rPr>
          <w:rFonts w:ascii="Times New Roman" w:hAnsi="Times New Roman"/>
        </w:rPr>
        <w:t>ed</w:t>
      </w:r>
      <w:r w:rsidR="00C54CFC" w:rsidRPr="00BA654C">
        <w:rPr>
          <w:rFonts w:ascii="Times New Roman" w:hAnsi="Times New Roman"/>
        </w:rPr>
        <w:t xml:space="preserve"> several criteria including, for example, that</w:t>
      </w:r>
      <w:r w:rsidR="00C642EA" w:rsidRPr="00BA654C">
        <w:rPr>
          <w:rFonts w:ascii="Times New Roman" w:hAnsi="Times New Roman"/>
        </w:rPr>
        <w:t>:</w:t>
      </w:r>
      <w:r w:rsidR="00C54CFC" w:rsidRPr="00BA654C">
        <w:rPr>
          <w:rFonts w:ascii="Times New Roman" w:hAnsi="Times New Roman"/>
        </w:rPr>
        <w:t xml:space="preserve"> the "</w:t>
      </w:r>
      <w:r w:rsidR="00E46D71" w:rsidRPr="00BA654C">
        <w:rPr>
          <w:rFonts w:ascii="Times New Roman" w:hAnsi="Times New Roman"/>
        </w:rPr>
        <w:t>applicant</w:t>
      </w:r>
      <w:r w:rsidR="00C54CFC" w:rsidRPr="00BA654C">
        <w:rPr>
          <w:rFonts w:ascii="Times New Roman" w:hAnsi="Times New Roman"/>
        </w:rPr>
        <w:t xml:space="preserve"> has overall had a successful </w:t>
      </w:r>
      <w:r w:rsidR="00E46D71" w:rsidRPr="00BA654C">
        <w:rPr>
          <w:rFonts w:ascii="Times New Roman" w:hAnsi="Times New Roman"/>
        </w:rPr>
        <w:t>business</w:t>
      </w:r>
      <w:r w:rsidR="00C54CFC" w:rsidRPr="00BA654C">
        <w:rPr>
          <w:rFonts w:ascii="Times New Roman" w:hAnsi="Times New Roman"/>
        </w:rPr>
        <w:t xml:space="preserve"> career" (</w:t>
      </w:r>
      <w:proofErr w:type="spellStart"/>
      <w:r w:rsidR="00C642EA" w:rsidRPr="00BA654C">
        <w:rPr>
          <w:rFonts w:ascii="Times New Roman" w:hAnsi="Times New Roman"/>
        </w:rPr>
        <w:t>Subdiv</w:t>
      </w:r>
      <w:proofErr w:type="spellEnd"/>
      <w:r w:rsidR="00E46D71" w:rsidRPr="00BA654C">
        <w:rPr>
          <w:rFonts w:ascii="Times New Roman" w:hAnsi="Times New Roman"/>
        </w:rPr>
        <w:t> 132.233)</w:t>
      </w:r>
      <w:r w:rsidR="00CC76DE" w:rsidRPr="00BA654C">
        <w:rPr>
          <w:rFonts w:ascii="Times New Roman" w:hAnsi="Times New Roman"/>
        </w:rPr>
        <w:t>;</w:t>
      </w:r>
      <w:r w:rsidR="00E46D71" w:rsidRPr="00BA654C">
        <w:rPr>
          <w:rFonts w:ascii="Times New Roman" w:hAnsi="Times New Roman"/>
        </w:rPr>
        <w:t xml:space="preserve"> </w:t>
      </w:r>
      <w:r w:rsidR="00C642EA" w:rsidRPr="00BA654C">
        <w:rPr>
          <w:rFonts w:ascii="Times New Roman" w:hAnsi="Times New Roman"/>
        </w:rPr>
        <w:t>the applicant "genuinely has a realistic commitment to" establish a qualifying business in Australia or participate in an existing qualifying business in Australia (</w:t>
      </w:r>
      <w:proofErr w:type="spellStart"/>
      <w:r w:rsidR="00C642EA" w:rsidRPr="00BA654C">
        <w:rPr>
          <w:rFonts w:ascii="Times New Roman" w:hAnsi="Times New Roman"/>
        </w:rPr>
        <w:t>Subdiv</w:t>
      </w:r>
      <w:proofErr w:type="spellEnd"/>
      <w:r w:rsidR="00CC76DE" w:rsidRPr="00BA654C">
        <w:rPr>
          <w:rFonts w:ascii="Times New Roman" w:hAnsi="Times New Roman"/>
        </w:rPr>
        <w:t> </w:t>
      </w:r>
      <w:r w:rsidR="00C642EA" w:rsidRPr="00BA654C">
        <w:rPr>
          <w:rFonts w:ascii="Times New Roman" w:hAnsi="Times New Roman"/>
        </w:rPr>
        <w:t>132.227(1)); and the applicant "genuinely has a realistic commitment to" maintain a substantial ownership interest in the relevant qualifying business and maintain a direct and continuous involvement in the management of that business in certain specified ways "in a manner that benefits the Australian economy" (</w:t>
      </w:r>
      <w:proofErr w:type="spellStart"/>
      <w:r w:rsidR="00C642EA" w:rsidRPr="00BA654C">
        <w:rPr>
          <w:rFonts w:ascii="Times New Roman" w:hAnsi="Times New Roman"/>
        </w:rPr>
        <w:t>Subdiv</w:t>
      </w:r>
      <w:proofErr w:type="spellEnd"/>
      <w:r w:rsidR="00130CAE" w:rsidRPr="00BA654C">
        <w:rPr>
          <w:rFonts w:ascii="Times New Roman" w:hAnsi="Times New Roman"/>
        </w:rPr>
        <w:t> </w:t>
      </w:r>
      <w:r w:rsidR="00C642EA" w:rsidRPr="00BA654C">
        <w:rPr>
          <w:rFonts w:ascii="Times New Roman" w:hAnsi="Times New Roman"/>
        </w:rPr>
        <w:t>132.227(2)).</w:t>
      </w:r>
    </w:p>
    <w:p w14:paraId="3FB05043" w14:textId="35F85B9E" w:rsidR="006A1F50" w:rsidRPr="00BA654C" w:rsidRDefault="001B4E5E"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6A1F50" w:rsidRPr="00BA654C">
        <w:rPr>
          <w:rFonts w:ascii="Times New Roman" w:hAnsi="Times New Roman"/>
        </w:rPr>
        <w:t>Subdivision 132.22</w:t>
      </w:r>
      <w:r w:rsidR="00FA6288" w:rsidRPr="00BA654C">
        <w:rPr>
          <w:rFonts w:ascii="Times New Roman" w:hAnsi="Times New Roman"/>
        </w:rPr>
        <w:t>5</w:t>
      </w:r>
      <w:r w:rsidR="00705F3C" w:rsidRPr="00BA654C">
        <w:rPr>
          <w:rFonts w:ascii="Times New Roman" w:hAnsi="Times New Roman"/>
        </w:rPr>
        <w:t xml:space="preserve"> also contained this primary criterion for a Subclass 132 visa:</w:t>
      </w:r>
    </w:p>
    <w:p w14:paraId="52862963" w14:textId="77777777" w:rsidR="00BA654C" w:rsidRDefault="006A1F50" w:rsidP="00BA654C">
      <w:pPr>
        <w:pStyle w:val="leftright"/>
        <w:spacing w:before="0" w:after="260" w:line="280" w:lineRule="exact"/>
        <w:ind w:right="0"/>
        <w:jc w:val="both"/>
        <w:rPr>
          <w:rFonts w:ascii="Times New Roman" w:hAnsi="Times New Roman"/>
          <w:b/>
          <w:bCs/>
        </w:rPr>
      </w:pPr>
      <w:r w:rsidRPr="00BA654C">
        <w:rPr>
          <w:rFonts w:ascii="Times New Roman" w:hAnsi="Times New Roman"/>
        </w:rPr>
        <w:t xml:space="preserve">"For at least 2 of the 4 fiscal years immediately before the time of invitation to apply for the visa, the applicant's main </w:t>
      </w:r>
      <w:proofErr w:type="gramStart"/>
      <w:r w:rsidRPr="00BA654C">
        <w:rPr>
          <w:rFonts w:ascii="Times New Roman" w:hAnsi="Times New Roman"/>
        </w:rPr>
        <w:t>business,</w:t>
      </w:r>
      <w:r w:rsidR="00F4742D" w:rsidRPr="00BA654C">
        <w:rPr>
          <w:rFonts w:ascii="Times New Roman" w:hAnsi="Times New Roman"/>
          <w:sz w:val="24"/>
          <w:szCs w:val="28"/>
          <w:vertAlign w:val="superscript"/>
        </w:rPr>
        <w:t>[</w:t>
      </w:r>
      <w:proofErr w:type="gramEnd"/>
      <w:r w:rsidR="007F38C4" w:rsidRPr="00BA654C">
        <w:rPr>
          <w:rStyle w:val="FootnoteReference"/>
          <w:rFonts w:ascii="Times New Roman" w:hAnsi="Times New Roman"/>
          <w:sz w:val="24"/>
          <w:szCs w:val="24"/>
        </w:rPr>
        <w:footnoteReference w:id="10"/>
      </w:r>
      <w:r w:rsidR="00F4742D" w:rsidRPr="00BA654C">
        <w:rPr>
          <w:rFonts w:ascii="Times New Roman" w:hAnsi="Times New Roman"/>
          <w:sz w:val="24"/>
          <w:szCs w:val="28"/>
          <w:vertAlign w:val="superscript"/>
        </w:rPr>
        <w:t>]</w:t>
      </w:r>
      <w:r w:rsidRPr="00BA654C">
        <w:rPr>
          <w:rFonts w:ascii="Times New Roman" w:hAnsi="Times New Roman"/>
        </w:rPr>
        <w:t xml:space="preserve"> or the applicant's main businesses together, had an annual turnover of at least AUD3 000 000."</w:t>
      </w:r>
    </w:p>
    <w:p w14:paraId="5505A587" w14:textId="7E45B037" w:rsidR="006A1F50"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9A60E0" w:rsidRPr="00BA654C">
        <w:rPr>
          <w:rFonts w:ascii="Times New Roman" w:hAnsi="Times New Roman"/>
        </w:rPr>
        <w:t xml:space="preserve">The </w:t>
      </w:r>
      <w:r w:rsidRPr="00BA654C">
        <w:rPr>
          <w:rFonts w:ascii="Times New Roman" w:hAnsi="Times New Roman"/>
          <w:i/>
          <w:iCs/>
        </w:rPr>
        <w:t>Migration Act</w:t>
      </w:r>
      <w:r w:rsidRPr="00BA654C">
        <w:rPr>
          <w:rFonts w:ascii="Times New Roman" w:hAnsi="Times New Roman"/>
        </w:rPr>
        <w:t xml:space="preserve"> included the following provisions:</w:t>
      </w:r>
    </w:p>
    <w:p w14:paraId="54AC20DB" w14:textId="3E8F5904" w:rsidR="006A1F50" w:rsidRPr="00BA654C" w:rsidRDefault="006A1F50" w:rsidP="00BA654C">
      <w:pPr>
        <w:pStyle w:val="leftright"/>
        <w:keepNext/>
        <w:spacing w:before="0" w:after="260" w:line="280" w:lineRule="exact"/>
        <w:ind w:left="1440" w:right="0" w:hanging="720"/>
        <w:jc w:val="both"/>
        <w:rPr>
          <w:rFonts w:ascii="Times New Roman" w:hAnsi="Times New Roman"/>
          <w:b/>
          <w:bCs/>
        </w:rPr>
      </w:pPr>
      <w:r w:rsidRPr="00BA654C">
        <w:rPr>
          <w:rFonts w:ascii="Times New Roman" w:hAnsi="Times New Roman"/>
        </w:rPr>
        <w:t>"</w:t>
      </w:r>
      <w:r w:rsidRPr="00BA654C">
        <w:rPr>
          <w:rFonts w:ascii="Times New Roman" w:hAnsi="Times New Roman"/>
          <w:b/>
          <w:bCs/>
        </w:rPr>
        <w:t>54</w:t>
      </w:r>
      <w:r w:rsidRPr="00BA654C">
        <w:rPr>
          <w:rFonts w:ascii="Times New Roman" w:hAnsi="Times New Roman"/>
          <w:b/>
          <w:bCs/>
        </w:rPr>
        <w:tab/>
      </w:r>
      <w:r w:rsidR="003931EE" w:rsidRPr="00BA654C">
        <w:rPr>
          <w:rFonts w:ascii="Times New Roman" w:hAnsi="Times New Roman"/>
          <w:b/>
          <w:bCs/>
        </w:rPr>
        <w:t xml:space="preserve">Minister </w:t>
      </w:r>
      <w:r w:rsidR="00D03581" w:rsidRPr="00BA654C">
        <w:rPr>
          <w:rFonts w:ascii="Times New Roman" w:hAnsi="Times New Roman"/>
          <w:b/>
          <w:bCs/>
        </w:rPr>
        <w:t>must have regard to all information in application</w:t>
      </w:r>
    </w:p>
    <w:p w14:paraId="6A755237" w14:textId="77777777" w:rsidR="006A1F50" w:rsidRPr="00BA654C" w:rsidRDefault="006A1F50" w:rsidP="00BA654C">
      <w:pPr>
        <w:pStyle w:val="leftright"/>
        <w:spacing w:before="0" w:after="260" w:line="280" w:lineRule="exact"/>
        <w:ind w:left="2160" w:right="0" w:hanging="1440"/>
        <w:jc w:val="both"/>
        <w:rPr>
          <w:rFonts w:ascii="Times New Roman" w:hAnsi="Times New Roman"/>
        </w:rPr>
      </w:pPr>
      <w:r w:rsidRPr="00BA654C">
        <w:rPr>
          <w:rFonts w:ascii="Times New Roman" w:hAnsi="Times New Roman"/>
        </w:rPr>
        <w:tab/>
        <w:t>(1)</w:t>
      </w:r>
      <w:r w:rsidRPr="00BA654C">
        <w:rPr>
          <w:rFonts w:ascii="Times New Roman" w:hAnsi="Times New Roman"/>
        </w:rPr>
        <w:tab/>
        <w:t xml:space="preserve">The Minister must, in deciding whether to grant or refuse to grant a visa, have regard to </w:t>
      </w:r>
      <w:proofErr w:type="gramStart"/>
      <w:r w:rsidRPr="00BA654C">
        <w:rPr>
          <w:rFonts w:ascii="Times New Roman" w:hAnsi="Times New Roman"/>
        </w:rPr>
        <w:t>all of</w:t>
      </w:r>
      <w:proofErr w:type="gramEnd"/>
      <w:r w:rsidRPr="00BA654C">
        <w:rPr>
          <w:rFonts w:ascii="Times New Roman" w:hAnsi="Times New Roman"/>
        </w:rPr>
        <w:t xml:space="preserve"> the information in the application.</w:t>
      </w:r>
    </w:p>
    <w:p w14:paraId="31DFEDF6" w14:textId="77777777" w:rsidR="006A1F50" w:rsidRPr="00BA654C" w:rsidRDefault="006A1F50" w:rsidP="00BA654C">
      <w:pPr>
        <w:pStyle w:val="leftright"/>
        <w:spacing w:before="0" w:after="260" w:line="280" w:lineRule="exact"/>
        <w:ind w:left="2160" w:right="0" w:hanging="1440"/>
        <w:jc w:val="both"/>
        <w:rPr>
          <w:rFonts w:ascii="Times New Roman" w:hAnsi="Times New Roman"/>
        </w:rPr>
      </w:pPr>
      <w:r w:rsidRPr="00BA654C">
        <w:rPr>
          <w:rFonts w:ascii="Times New Roman" w:hAnsi="Times New Roman"/>
        </w:rPr>
        <w:lastRenderedPageBreak/>
        <w:tab/>
        <w:t>(2)</w:t>
      </w:r>
      <w:r w:rsidRPr="00BA654C">
        <w:rPr>
          <w:rFonts w:ascii="Times New Roman" w:hAnsi="Times New Roman"/>
        </w:rPr>
        <w:tab/>
        <w:t>For the purposes of subsection (1), information is in an application if the information is:</w:t>
      </w:r>
    </w:p>
    <w:p w14:paraId="76B8B202" w14:textId="77777777" w:rsidR="006A1F50" w:rsidRPr="00BA654C" w:rsidRDefault="006A1F50" w:rsidP="00BA654C">
      <w:pPr>
        <w:pStyle w:val="leftright"/>
        <w:spacing w:before="0" w:after="260" w:line="280" w:lineRule="exact"/>
        <w:ind w:left="2880" w:right="0" w:hanging="2160"/>
        <w:jc w:val="both"/>
        <w:rPr>
          <w:rFonts w:ascii="Times New Roman" w:hAnsi="Times New Roman"/>
        </w:rPr>
      </w:pPr>
      <w:r w:rsidRPr="00BA654C">
        <w:rPr>
          <w:rFonts w:ascii="Times New Roman" w:hAnsi="Times New Roman"/>
        </w:rPr>
        <w:tab/>
      </w:r>
      <w:r w:rsidRPr="00BA654C">
        <w:rPr>
          <w:rFonts w:ascii="Times New Roman" w:hAnsi="Times New Roman"/>
        </w:rPr>
        <w:tab/>
        <w:t>(a)</w:t>
      </w:r>
      <w:r w:rsidRPr="00BA654C">
        <w:rPr>
          <w:rFonts w:ascii="Times New Roman" w:hAnsi="Times New Roman"/>
        </w:rPr>
        <w:tab/>
        <w:t xml:space="preserve">set out in the </w:t>
      </w:r>
      <w:proofErr w:type="gramStart"/>
      <w:r w:rsidRPr="00BA654C">
        <w:rPr>
          <w:rFonts w:ascii="Times New Roman" w:hAnsi="Times New Roman"/>
        </w:rPr>
        <w:t>application;</w:t>
      </w:r>
      <w:proofErr w:type="gramEnd"/>
    </w:p>
    <w:p w14:paraId="2691E70C" w14:textId="77777777" w:rsidR="006A1F50" w:rsidRPr="00BA654C" w:rsidRDefault="006A1F50" w:rsidP="00BA654C">
      <w:pPr>
        <w:pStyle w:val="leftright"/>
        <w:spacing w:before="0" w:after="260" w:line="280" w:lineRule="exact"/>
        <w:ind w:left="2880" w:right="0" w:hanging="2160"/>
        <w:jc w:val="both"/>
        <w:rPr>
          <w:rFonts w:ascii="Times New Roman" w:hAnsi="Times New Roman"/>
        </w:rPr>
      </w:pPr>
      <w:r w:rsidRPr="00BA654C">
        <w:rPr>
          <w:rFonts w:ascii="Times New Roman" w:hAnsi="Times New Roman"/>
        </w:rPr>
        <w:tab/>
      </w:r>
      <w:r w:rsidRPr="00BA654C">
        <w:rPr>
          <w:rFonts w:ascii="Times New Roman" w:hAnsi="Times New Roman"/>
        </w:rPr>
        <w:tab/>
        <w:t>(b)</w:t>
      </w:r>
      <w:r w:rsidRPr="00BA654C">
        <w:rPr>
          <w:rFonts w:ascii="Times New Roman" w:hAnsi="Times New Roman"/>
        </w:rPr>
        <w:tab/>
        <w:t>in a document attached to the application when it is made; or</w:t>
      </w:r>
    </w:p>
    <w:p w14:paraId="465975A0" w14:textId="77777777" w:rsidR="006A1F50" w:rsidRPr="00BA654C" w:rsidRDefault="006A1F50" w:rsidP="00BA654C">
      <w:pPr>
        <w:pStyle w:val="leftright"/>
        <w:spacing w:before="0" w:after="260" w:line="280" w:lineRule="exact"/>
        <w:ind w:left="2880" w:right="0" w:hanging="2160"/>
        <w:jc w:val="both"/>
        <w:rPr>
          <w:rFonts w:ascii="Times New Roman" w:hAnsi="Times New Roman"/>
        </w:rPr>
      </w:pPr>
      <w:r w:rsidRPr="00BA654C">
        <w:rPr>
          <w:rFonts w:ascii="Times New Roman" w:hAnsi="Times New Roman"/>
        </w:rPr>
        <w:tab/>
      </w:r>
      <w:r w:rsidRPr="00BA654C">
        <w:rPr>
          <w:rFonts w:ascii="Times New Roman" w:hAnsi="Times New Roman"/>
        </w:rPr>
        <w:tab/>
        <w:t>(c)</w:t>
      </w:r>
      <w:r w:rsidRPr="00BA654C">
        <w:rPr>
          <w:rFonts w:ascii="Times New Roman" w:hAnsi="Times New Roman"/>
        </w:rPr>
        <w:tab/>
        <w:t>given under section 55.</w:t>
      </w:r>
    </w:p>
    <w:p w14:paraId="710252CA" w14:textId="77777777" w:rsidR="006A1F50" w:rsidRPr="00BA654C" w:rsidRDefault="006A1F50" w:rsidP="00BA654C">
      <w:pPr>
        <w:pStyle w:val="leftright"/>
        <w:spacing w:before="0" w:after="260" w:line="280" w:lineRule="exact"/>
        <w:ind w:left="2880" w:right="0" w:hanging="2160"/>
        <w:jc w:val="both"/>
        <w:rPr>
          <w:rFonts w:ascii="Times New Roman" w:hAnsi="Times New Roman"/>
        </w:rPr>
      </w:pPr>
      <w:r w:rsidRPr="00BA654C">
        <w:rPr>
          <w:rFonts w:ascii="Times New Roman" w:hAnsi="Times New Roman"/>
        </w:rPr>
        <w:tab/>
        <w:t>...</w:t>
      </w:r>
    </w:p>
    <w:p w14:paraId="012EFD28" w14:textId="3A20AC8D" w:rsidR="006A1F50" w:rsidRPr="00BA654C" w:rsidRDefault="006A1F50" w:rsidP="00BA654C">
      <w:pPr>
        <w:pStyle w:val="leftright"/>
        <w:spacing w:before="0" w:after="260" w:line="280" w:lineRule="exact"/>
        <w:ind w:right="0"/>
        <w:jc w:val="both"/>
        <w:rPr>
          <w:rFonts w:ascii="Times New Roman" w:hAnsi="Times New Roman"/>
          <w:b/>
          <w:bCs/>
        </w:rPr>
      </w:pPr>
      <w:r w:rsidRPr="00BA654C">
        <w:rPr>
          <w:rFonts w:ascii="Times New Roman" w:hAnsi="Times New Roman"/>
          <w:b/>
          <w:bCs/>
        </w:rPr>
        <w:t>55</w:t>
      </w:r>
      <w:r w:rsidRPr="00BA654C">
        <w:rPr>
          <w:rFonts w:ascii="Times New Roman" w:hAnsi="Times New Roman"/>
          <w:b/>
          <w:bCs/>
        </w:rPr>
        <w:tab/>
      </w:r>
      <w:r w:rsidR="00B44E21" w:rsidRPr="00BA654C">
        <w:rPr>
          <w:rFonts w:ascii="Times New Roman" w:hAnsi="Times New Roman"/>
          <w:b/>
          <w:bCs/>
        </w:rPr>
        <w:t>Further information may be given</w:t>
      </w:r>
    </w:p>
    <w:p w14:paraId="02B29F0F" w14:textId="77777777" w:rsidR="006A1F50" w:rsidRPr="00BA654C" w:rsidRDefault="006A1F50" w:rsidP="00BA654C">
      <w:pPr>
        <w:pStyle w:val="leftright"/>
        <w:spacing w:before="0" w:after="260" w:line="280" w:lineRule="exact"/>
        <w:ind w:left="2160" w:right="0" w:hanging="1440"/>
        <w:jc w:val="both"/>
        <w:rPr>
          <w:rFonts w:ascii="Times New Roman" w:hAnsi="Times New Roman"/>
        </w:rPr>
      </w:pPr>
      <w:r w:rsidRPr="00BA654C">
        <w:rPr>
          <w:rFonts w:ascii="Times New Roman" w:hAnsi="Times New Roman"/>
        </w:rPr>
        <w:tab/>
        <w:t>(1)</w:t>
      </w:r>
      <w:r w:rsidRPr="00BA654C">
        <w:rPr>
          <w:rFonts w:ascii="Times New Roman" w:hAnsi="Times New Roman"/>
        </w:rPr>
        <w:tab/>
        <w:t xml:space="preserve">Until the Minister has </w:t>
      </w:r>
      <w:proofErr w:type="gramStart"/>
      <w:r w:rsidRPr="00BA654C">
        <w:rPr>
          <w:rFonts w:ascii="Times New Roman" w:hAnsi="Times New Roman"/>
        </w:rPr>
        <w:t>made a decision</w:t>
      </w:r>
      <w:proofErr w:type="gramEnd"/>
      <w:r w:rsidRPr="00BA654C">
        <w:rPr>
          <w:rFonts w:ascii="Times New Roman" w:hAnsi="Times New Roman"/>
        </w:rPr>
        <w:t xml:space="preserve"> whether to grant or refuse to grant a visa, the applicant may give the Minister any additional relevant information and the Minister must have regard to that information in making a decision.</w:t>
      </w:r>
    </w:p>
    <w:p w14:paraId="198CA66B" w14:textId="77777777" w:rsidR="006A1F50" w:rsidRPr="00BA654C" w:rsidRDefault="006A1F50" w:rsidP="00BA654C">
      <w:pPr>
        <w:pStyle w:val="leftright"/>
        <w:spacing w:before="0" w:after="260" w:line="280" w:lineRule="exact"/>
        <w:ind w:left="2160" w:right="0" w:hanging="1440"/>
        <w:jc w:val="both"/>
        <w:rPr>
          <w:rFonts w:ascii="Times New Roman" w:hAnsi="Times New Roman"/>
        </w:rPr>
      </w:pPr>
      <w:r w:rsidRPr="00BA654C">
        <w:rPr>
          <w:rFonts w:ascii="Times New Roman" w:hAnsi="Times New Roman"/>
        </w:rPr>
        <w:tab/>
        <w:t>(2)</w:t>
      </w:r>
      <w:r w:rsidRPr="00BA654C">
        <w:rPr>
          <w:rFonts w:ascii="Times New Roman" w:hAnsi="Times New Roman"/>
        </w:rPr>
        <w:tab/>
        <w:t xml:space="preserve">Subsection (1) does not mean that the Minister is required to delay making a decision because the applicant might </w:t>
      </w:r>
      <w:proofErr w:type="gramStart"/>
      <w:r w:rsidRPr="00BA654C">
        <w:rPr>
          <w:rFonts w:ascii="Times New Roman" w:hAnsi="Times New Roman"/>
        </w:rPr>
        <w:t>give, or</w:t>
      </w:r>
      <w:proofErr w:type="gramEnd"/>
      <w:r w:rsidRPr="00BA654C">
        <w:rPr>
          <w:rFonts w:ascii="Times New Roman" w:hAnsi="Times New Roman"/>
        </w:rPr>
        <w:t xml:space="preserve"> has told the Minister that the applicant intends to give, further information.</w:t>
      </w:r>
    </w:p>
    <w:p w14:paraId="43D91D0A" w14:textId="4E87CE7C" w:rsidR="006A1F50" w:rsidRPr="00BA654C" w:rsidRDefault="006A1F50" w:rsidP="00BA654C">
      <w:pPr>
        <w:pStyle w:val="leftright"/>
        <w:keepNext/>
        <w:spacing w:before="0" w:after="260" w:line="280" w:lineRule="exact"/>
        <w:ind w:right="0"/>
        <w:jc w:val="both"/>
        <w:rPr>
          <w:rFonts w:ascii="Times New Roman" w:hAnsi="Times New Roman"/>
          <w:b/>
          <w:bCs/>
        </w:rPr>
      </w:pPr>
      <w:r w:rsidRPr="00BA654C">
        <w:rPr>
          <w:rFonts w:ascii="Times New Roman" w:hAnsi="Times New Roman"/>
          <w:b/>
          <w:bCs/>
        </w:rPr>
        <w:t>56</w:t>
      </w:r>
      <w:r w:rsidRPr="00BA654C">
        <w:rPr>
          <w:rFonts w:ascii="Times New Roman" w:hAnsi="Times New Roman"/>
        </w:rPr>
        <w:tab/>
      </w:r>
      <w:r w:rsidR="00783345" w:rsidRPr="00BA654C">
        <w:rPr>
          <w:rFonts w:ascii="Times New Roman" w:hAnsi="Times New Roman"/>
          <w:b/>
          <w:bCs/>
        </w:rPr>
        <w:t>Further information may be sought</w:t>
      </w:r>
    </w:p>
    <w:p w14:paraId="7B3BE2BB" w14:textId="77777777" w:rsidR="006A1F50" w:rsidRPr="00BA654C" w:rsidRDefault="006A1F50" w:rsidP="00BA654C">
      <w:pPr>
        <w:pStyle w:val="leftright"/>
        <w:keepNext/>
        <w:spacing w:before="0" w:after="260" w:line="280" w:lineRule="exact"/>
        <w:ind w:left="2160" w:right="0" w:hanging="1440"/>
        <w:jc w:val="both"/>
        <w:rPr>
          <w:rFonts w:ascii="Times New Roman" w:hAnsi="Times New Roman"/>
        </w:rPr>
      </w:pPr>
      <w:r w:rsidRPr="00BA654C">
        <w:rPr>
          <w:rFonts w:ascii="Times New Roman" w:hAnsi="Times New Roman"/>
        </w:rPr>
        <w:tab/>
        <w:t>(1)</w:t>
      </w:r>
      <w:r w:rsidRPr="00BA654C">
        <w:rPr>
          <w:rFonts w:ascii="Times New Roman" w:hAnsi="Times New Roman"/>
        </w:rPr>
        <w:tab/>
        <w:t>In considering an application for a visa, the Minister may, if he or she wants to, get any information that he or she considers relevant but, if the Minister gets such information, the Minister must have regard to that information in making the decision whether to grant or refuse the visa.</w:t>
      </w:r>
    </w:p>
    <w:p w14:paraId="2AF3FE28" w14:textId="77777777" w:rsidR="00BA654C" w:rsidRDefault="006A1F50" w:rsidP="00BA654C">
      <w:pPr>
        <w:pStyle w:val="leftright"/>
        <w:spacing w:before="0" w:after="260" w:line="280" w:lineRule="exact"/>
        <w:ind w:left="2160" w:right="0" w:hanging="1440"/>
        <w:jc w:val="both"/>
        <w:rPr>
          <w:rFonts w:ascii="Times New Roman" w:hAnsi="Times New Roman"/>
        </w:rPr>
      </w:pPr>
      <w:r w:rsidRPr="00BA654C">
        <w:rPr>
          <w:rFonts w:ascii="Times New Roman" w:hAnsi="Times New Roman"/>
        </w:rPr>
        <w:tab/>
        <w:t>..."</w:t>
      </w:r>
    </w:p>
    <w:p w14:paraId="5FB07D9E" w14:textId="6A110B86" w:rsidR="006A1F50"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t xml:space="preserve">Section 63 </w:t>
      </w:r>
      <w:r w:rsidR="00FA6288" w:rsidRPr="00BA654C">
        <w:rPr>
          <w:rFonts w:ascii="Times New Roman" w:hAnsi="Times New Roman"/>
        </w:rPr>
        <w:t xml:space="preserve">of the </w:t>
      </w:r>
      <w:r w:rsidR="00FA6288" w:rsidRPr="00BA654C">
        <w:rPr>
          <w:rFonts w:ascii="Times New Roman" w:hAnsi="Times New Roman"/>
          <w:i/>
          <w:iCs/>
        </w:rPr>
        <w:t>Migration Act</w:t>
      </w:r>
      <w:r w:rsidR="00FA6288" w:rsidRPr="00BA654C">
        <w:rPr>
          <w:rFonts w:ascii="Times New Roman" w:hAnsi="Times New Roman"/>
        </w:rPr>
        <w:t xml:space="preserve"> </w:t>
      </w:r>
      <w:r w:rsidRPr="00BA654C">
        <w:rPr>
          <w:rFonts w:ascii="Times New Roman" w:hAnsi="Times New Roman"/>
        </w:rPr>
        <w:t xml:space="preserve">provided that (subject to certain other </w:t>
      </w:r>
      <w:r w:rsidR="001074FB" w:rsidRPr="00BA654C">
        <w:rPr>
          <w:rFonts w:ascii="Times New Roman" w:hAnsi="Times New Roman"/>
        </w:rPr>
        <w:t xml:space="preserve">provisions </w:t>
      </w:r>
      <w:r w:rsidRPr="00BA654C">
        <w:rPr>
          <w:rFonts w:ascii="Times New Roman" w:hAnsi="Times New Roman"/>
        </w:rPr>
        <w:t>which are not relevant) the Minister could grant or refuse to grant a visa at any time after the application had been made.</w:t>
      </w:r>
    </w:p>
    <w:p w14:paraId="1CEDAA7C" w14:textId="2A120D07" w:rsidR="00A7144C" w:rsidRPr="00BA654C" w:rsidRDefault="001C2E37" w:rsidP="00BA654C">
      <w:pPr>
        <w:pStyle w:val="HeadingL1"/>
        <w:spacing w:after="260" w:line="280" w:lineRule="exact"/>
        <w:ind w:right="0"/>
        <w:jc w:val="both"/>
        <w:rPr>
          <w:rFonts w:ascii="Times New Roman" w:hAnsi="Times New Roman"/>
        </w:rPr>
      </w:pPr>
      <w:r w:rsidRPr="00BA654C">
        <w:rPr>
          <w:rFonts w:ascii="Times New Roman" w:hAnsi="Times New Roman"/>
        </w:rPr>
        <w:t xml:space="preserve">The </w:t>
      </w:r>
      <w:r w:rsidR="005F5C68" w:rsidRPr="00BA654C">
        <w:rPr>
          <w:rFonts w:ascii="Times New Roman" w:hAnsi="Times New Roman"/>
        </w:rPr>
        <w:t xml:space="preserve">visa application and the </w:t>
      </w:r>
      <w:r w:rsidRPr="00BA654C">
        <w:rPr>
          <w:rFonts w:ascii="Times New Roman" w:hAnsi="Times New Roman"/>
        </w:rPr>
        <w:t>delegate's decision</w:t>
      </w:r>
    </w:p>
    <w:p w14:paraId="66FB51CD" w14:textId="62BFF292" w:rsidR="005F5C68" w:rsidRPr="00BA654C" w:rsidRDefault="001C2E37"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5F5C68" w:rsidRPr="00BA654C">
        <w:rPr>
          <w:rFonts w:ascii="Times New Roman" w:hAnsi="Times New Roman"/>
        </w:rPr>
        <w:t>In the application for the Sub</w:t>
      </w:r>
      <w:r w:rsidR="000262AE">
        <w:rPr>
          <w:rFonts w:ascii="Times New Roman" w:hAnsi="Times New Roman"/>
        </w:rPr>
        <w:t>class</w:t>
      </w:r>
      <w:r w:rsidR="005F5C68" w:rsidRPr="00BA654C">
        <w:rPr>
          <w:rFonts w:ascii="Times New Roman" w:hAnsi="Times New Roman"/>
        </w:rPr>
        <w:t> 132 visa made on 18 June 2021, under the heading "Turnover", the following information appeared:</w:t>
      </w:r>
    </w:p>
    <w:p w14:paraId="527E16B0" w14:textId="77777777" w:rsidR="005F5C68" w:rsidRPr="00BA654C" w:rsidRDefault="005F5C68" w:rsidP="00BA654C">
      <w:pPr>
        <w:pStyle w:val="LeftrightafterHC"/>
        <w:spacing w:before="0" w:after="260" w:line="280" w:lineRule="exact"/>
        <w:ind w:right="0"/>
        <w:jc w:val="both"/>
        <w:rPr>
          <w:rFonts w:ascii="Times New Roman" w:hAnsi="Times New Roman"/>
        </w:rPr>
      </w:pPr>
      <w:r w:rsidRPr="00BA654C">
        <w:rPr>
          <w:rFonts w:ascii="Times New Roman" w:hAnsi="Times New Roman"/>
        </w:rPr>
        <w:t>"Turnover in Australian dollars (AUD) for your main business(es) for the best two of the last four fiscal years.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5102"/>
      </w:tblGrid>
      <w:tr w:rsidR="005F5C68" w:rsidRPr="00BA654C" w14:paraId="160B776E" w14:textId="77777777" w:rsidTr="004935F4">
        <w:tc>
          <w:tcPr>
            <w:tcW w:w="2682" w:type="dxa"/>
          </w:tcPr>
          <w:p w14:paraId="4A394962" w14:textId="77777777" w:rsidR="005F5C68" w:rsidRPr="00BA654C" w:rsidRDefault="005F5C68" w:rsidP="00BA654C">
            <w:pPr>
              <w:pStyle w:val="leftright"/>
              <w:spacing w:before="0" w:after="260" w:line="280" w:lineRule="exact"/>
              <w:ind w:left="0" w:right="0"/>
              <w:jc w:val="both"/>
              <w:rPr>
                <w:rFonts w:ascii="Times New Roman" w:hAnsi="Times New Roman"/>
                <w:b/>
                <w:bCs/>
              </w:rPr>
            </w:pPr>
            <w:r w:rsidRPr="00BA654C">
              <w:rPr>
                <w:rFonts w:ascii="Times New Roman" w:hAnsi="Times New Roman"/>
              </w:rPr>
              <w:lastRenderedPageBreak/>
              <w:t xml:space="preserve">Year 1: </w:t>
            </w:r>
            <w:r w:rsidRPr="00BA654C">
              <w:rPr>
                <w:rFonts w:ascii="Times New Roman" w:hAnsi="Times New Roman"/>
                <w:b/>
                <w:bCs/>
              </w:rPr>
              <w:t>2019</w:t>
            </w:r>
          </w:p>
        </w:tc>
        <w:tc>
          <w:tcPr>
            <w:tcW w:w="5102" w:type="dxa"/>
          </w:tcPr>
          <w:p w14:paraId="12C12094" w14:textId="77777777" w:rsidR="005F5C68" w:rsidRPr="00BA654C" w:rsidRDefault="005F5C68" w:rsidP="00BA654C">
            <w:pPr>
              <w:pStyle w:val="leftright"/>
              <w:spacing w:before="0" w:after="260" w:line="280" w:lineRule="exact"/>
              <w:ind w:left="0" w:right="0"/>
              <w:jc w:val="both"/>
              <w:rPr>
                <w:rFonts w:ascii="Times New Roman" w:hAnsi="Times New Roman"/>
              </w:rPr>
            </w:pPr>
            <w:r w:rsidRPr="00BA654C">
              <w:rPr>
                <w:rFonts w:ascii="Times New Roman" w:hAnsi="Times New Roman"/>
              </w:rPr>
              <w:t xml:space="preserve">Year 1 amount: </w:t>
            </w:r>
            <w:r w:rsidRPr="00BA654C">
              <w:rPr>
                <w:rFonts w:ascii="Times New Roman" w:hAnsi="Times New Roman"/>
                <w:b/>
                <w:bCs/>
              </w:rPr>
              <w:t>50859608AUD</w:t>
            </w:r>
          </w:p>
        </w:tc>
      </w:tr>
      <w:tr w:rsidR="005F5C68" w:rsidRPr="00BA654C" w14:paraId="7F6C273F" w14:textId="77777777" w:rsidTr="004935F4">
        <w:tc>
          <w:tcPr>
            <w:tcW w:w="2682" w:type="dxa"/>
          </w:tcPr>
          <w:p w14:paraId="50F16A23" w14:textId="77777777" w:rsidR="005F5C68" w:rsidRPr="00BA654C" w:rsidRDefault="005F5C68" w:rsidP="00BA654C">
            <w:pPr>
              <w:pStyle w:val="leftright"/>
              <w:spacing w:before="0" w:after="260" w:line="280" w:lineRule="exact"/>
              <w:ind w:left="0" w:right="0"/>
              <w:jc w:val="both"/>
              <w:rPr>
                <w:rFonts w:ascii="Times New Roman" w:hAnsi="Times New Roman"/>
                <w:b/>
                <w:bCs/>
              </w:rPr>
            </w:pPr>
            <w:r w:rsidRPr="00BA654C">
              <w:rPr>
                <w:rFonts w:ascii="Times New Roman" w:hAnsi="Times New Roman"/>
              </w:rPr>
              <w:t xml:space="preserve">Year 2: </w:t>
            </w:r>
            <w:r w:rsidRPr="00BA654C">
              <w:rPr>
                <w:rFonts w:ascii="Times New Roman" w:hAnsi="Times New Roman"/>
                <w:b/>
                <w:bCs/>
              </w:rPr>
              <w:t>2020</w:t>
            </w:r>
          </w:p>
        </w:tc>
        <w:tc>
          <w:tcPr>
            <w:tcW w:w="5102" w:type="dxa"/>
          </w:tcPr>
          <w:p w14:paraId="58819CE0" w14:textId="77777777" w:rsidR="005F5C68" w:rsidRPr="00BA654C" w:rsidRDefault="005F5C68" w:rsidP="00BA654C">
            <w:pPr>
              <w:pStyle w:val="leftright"/>
              <w:spacing w:before="0" w:after="260" w:line="280" w:lineRule="exact"/>
              <w:ind w:left="0" w:right="0"/>
              <w:jc w:val="both"/>
              <w:rPr>
                <w:rFonts w:ascii="Times New Roman" w:hAnsi="Times New Roman"/>
              </w:rPr>
            </w:pPr>
            <w:r w:rsidRPr="00BA654C">
              <w:rPr>
                <w:rFonts w:ascii="Times New Roman" w:hAnsi="Times New Roman"/>
              </w:rPr>
              <w:t xml:space="preserve">Year 2 amount: </w:t>
            </w:r>
            <w:r w:rsidRPr="00BA654C">
              <w:rPr>
                <w:rFonts w:ascii="Times New Roman" w:hAnsi="Times New Roman"/>
                <w:b/>
                <w:bCs/>
              </w:rPr>
              <w:t>46410251AUD</w:t>
            </w:r>
            <w:r w:rsidRPr="00BA654C">
              <w:rPr>
                <w:rFonts w:ascii="Times New Roman" w:hAnsi="Times New Roman"/>
              </w:rPr>
              <w:t>"</w:t>
            </w:r>
          </w:p>
        </w:tc>
      </w:tr>
    </w:tbl>
    <w:p w14:paraId="732A8EF9" w14:textId="592974A1" w:rsidR="005F5C68" w:rsidRPr="00BA654C" w:rsidRDefault="005F5C68" w:rsidP="00BA654C">
      <w:pPr>
        <w:pStyle w:val="leftright"/>
        <w:spacing w:before="0" w:after="260" w:line="280" w:lineRule="exact"/>
        <w:ind w:right="0"/>
        <w:jc w:val="both"/>
        <w:rPr>
          <w:rFonts w:ascii="Times New Roman" w:hAnsi="Times New Roman"/>
        </w:rPr>
      </w:pPr>
      <w:r w:rsidRPr="00BA654C">
        <w:rPr>
          <w:rFonts w:ascii="Times New Roman" w:hAnsi="Times New Roman"/>
        </w:rPr>
        <w:t>Are these figures based on</w:t>
      </w:r>
      <w:r w:rsidR="00062AC1" w:rsidRPr="00BA654C">
        <w:rPr>
          <w:rFonts w:ascii="Times New Roman" w:hAnsi="Times New Roman"/>
        </w:rPr>
        <w:t xml:space="preserve"> information provided in</w:t>
      </w:r>
      <w:r w:rsidRPr="00BA654C">
        <w:rPr>
          <w:rFonts w:ascii="Times New Roman" w:hAnsi="Times New Roman"/>
        </w:rPr>
        <w:t xml:space="preserve"> audited financial statements? </w:t>
      </w:r>
    </w:p>
    <w:p w14:paraId="30053CBB" w14:textId="77777777" w:rsidR="00BA654C" w:rsidRDefault="005F5C68" w:rsidP="00BA654C">
      <w:pPr>
        <w:pStyle w:val="leftright"/>
        <w:spacing w:before="0" w:after="260" w:line="280" w:lineRule="exact"/>
        <w:ind w:right="0"/>
        <w:jc w:val="both"/>
        <w:rPr>
          <w:rFonts w:ascii="Times New Roman" w:hAnsi="Times New Roman"/>
        </w:rPr>
      </w:pPr>
      <w:r w:rsidRPr="00BA654C">
        <w:rPr>
          <w:rFonts w:ascii="Times New Roman" w:hAnsi="Times New Roman"/>
          <w:b/>
          <w:bCs/>
        </w:rPr>
        <w:t>Yes</w:t>
      </w:r>
      <w:r w:rsidRPr="00BA654C">
        <w:rPr>
          <w:rFonts w:ascii="Times New Roman" w:hAnsi="Times New Roman"/>
        </w:rPr>
        <w:t>"</w:t>
      </w:r>
    </w:p>
    <w:p w14:paraId="72F22AC6" w14:textId="103E5B35" w:rsidR="00043880" w:rsidRPr="00BA654C" w:rsidRDefault="005F5C68" w:rsidP="00BA654C">
      <w:pPr>
        <w:pStyle w:val="FixListStyle"/>
        <w:spacing w:after="260" w:line="280" w:lineRule="exact"/>
        <w:ind w:right="0"/>
        <w:jc w:val="both"/>
        <w:rPr>
          <w:rFonts w:ascii="Times New Roman" w:hAnsi="Times New Roman"/>
        </w:rPr>
      </w:pPr>
      <w:r w:rsidRPr="00BA654C">
        <w:rPr>
          <w:rFonts w:ascii="Times New Roman" w:hAnsi="Times New Roman"/>
        </w:rPr>
        <w:tab/>
        <w:t>It was common ground that the plaintiffs did not provide copies of the audited financial statements for the financial years ending 2019 and 2020 in support of the visa application, but that those audited financial statements existed and were available at all relevant times</w:t>
      </w:r>
      <w:r w:rsidR="00BE48D4" w:rsidRPr="00BA654C">
        <w:rPr>
          <w:rFonts w:ascii="Times New Roman" w:hAnsi="Times New Roman"/>
        </w:rPr>
        <w:t xml:space="preserve"> and that, if requested, the first plaintiff would have provided them</w:t>
      </w:r>
      <w:r w:rsidRPr="00BA654C">
        <w:rPr>
          <w:rFonts w:ascii="Times New Roman" w:hAnsi="Times New Roman"/>
        </w:rPr>
        <w:t>.</w:t>
      </w:r>
      <w:r w:rsidR="00043880" w:rsidRPr="00BA654C">
        <w:rPr>
          <w:rFonts w:ascii="Times New Roman" w:hAnsi="Times New Roman"/>
        </w:rPr>
        <w:t xml:space="preserve"> Further, the plaintiffs accepted that, while supporting documents could not </w:t>
      </w:r>
      <w:r w:rsidR="009C541E" w:rsidRPr="00BA654C">
        <w:rPr>
          <w:rFonts w:ascii="Times New Roman" w:hAnsi="Times New Roman"/>
        </w:rPr>
        <w:t xml:space="preserve">have </w:t>
      </w:r>
      <w:r w:rsidR="00043880" w:rsidRPr="00BA654C">
        <w:rPr>
          <w:rFonts w:ascii="Times New Roman" w:hAnsi="Times New Roman"/>
        </w:rPr>
        <w:t>be</w:t>
      </w:r>
      <w:r w:rsidR="009C541E" w:rsidRPr="00BA654C">
        <w:rPr>
          <w:rFonts w:ascii="Times New Roman" w:hAnsi="Times New Roman"/>
        </w:rPr>
        <w:t>en</w:t>
      </w:r>
      <w:r w:rsidR="00043880" w:rsidRPr="00BA654C">
        <w:rPr>
          <w:rFonts w:ascii="Times New Roman" w:hAnsi="Times New Roman"/>
        </w:rPr>
        <w:t xml:space="preserve"> electronically uploaded</w:t>
      </w:r>
      <w:r w:rsidR="009C541E" w:rsidRPr="00BA654C">
        <w:rPr>
          <w:rFonts w:ascii="Times New Roman" w:hAnsi="Times New Roman"/>
        </w:rPr>
        <w:t xml:space="preserve"> with the Subclass 132 visa application</w:t>
      </w:r>
      <w:r w:rsidR="00043880" w:rsidRPr="00BA654C">
        <w:rPr>
          <w:rFonts w:ascii="Times New Roman" w:hAnsi="Times New Roman"/>
        </w:rPr>
        <w:t>, they could have been sent to a post box or office or via email to the Department. The plaintiffs also accepted that that they never did so.</w:t>
      </w:r>
    </w:p>
    <w:p w14:paraId="2D19DFAC" w14:textId="3ECA5C0E" w:rsidR="001C2E37" w:rsidRPr="00BA654C" w:rsidRDefault="005F5C68"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1C2E37" w:rsidRPr="00BA654C">
        <w:rPr>
          <w:rFonts w:ascii="Times New Roman" w:hAnsi="Times New Roman"/>
        </w:rPr>
        <w:t xml:space="preserve">On 5 June 2024 the delegate </w:t>
      </w:r>
      <w:r w:rsidR="002840C6" w:rsidRPr="00BA654C">
        <w:rPr>
          <w:rFonts w:ascii="Times New Roman" w:hAnsi="Times New Roman"/>
        </w:rPr>
        <w:t xml:space="preserve">notified </w:t>
      </w:r>
      <w:r w:rsidR="001C2E37" w:rsidRPr="00BA654C">
        <w:rPr>
          <w:rFonts w:ascii="Times New Roman" w:hAnsi="Times New Roman"/>
        </w:rPr>
        <w:t xml:space="preserve">the first plaintiff that </w:t>
      </w:r>
      <w:r w:rsidR="002840C6" w:rsidRPr="00BA654C">
        <w:rPr>
          <w:rFonts w:ascii="Times New Roman" w:hAnsi="Times New Roman"/>
        </w:rPr>
        <w:t xml:space="preserve">the </w:t>
      </w:r>
      <w:r w:rsidR="001C2E37" w:rsidRPr="00BA654C">
        <w:rPr>
          <w:rFonts w:ascii="Times New Roman" w:hAnsi="Times New Roman"/>
        </w:rPr>
        <w:t xml:space="preserve">plaintiffs' application for </w:t>
      </w:r>
      <w:r w:rsidR="00C55DB2" w:rsidRPr="00BA654C">
        <w:rPr>
          <w:rFonts w:ascii="Times New Roman" w:hAnsi="Times New Roman"/>
        </w:rPr>
        <w:t xml:space="preserve">the </w:t>
      </w:r>
      <w:r w:rsidR="001C2E37" w:rsidRPr="00BA654C">
        <w:rPr>
          <w:rFonts w:ascii="Times New Roman" w:hAnsi="Times New Roman"/>
        </w:rPr>
        <w:t xml:space="preserve">Subclass 132 visas </w:t>
      </w:r>
      <w:r w:rsidR="00B90B9D" w:rsidRPr="00BA654C">
        <w:rPr>
          <w:rFonts w:ascii="Times New Roman" w:hAnsi="Times New Roman"/>
        </w:rPr>
        <w:t xml:space="preserve">made on 18 June 2021 </w:t>
      </w:r>
      <w:r w:rsidR="001C2E37" w:rsidRPr="00BA654C">
        <w:rPr>
          <w:rFonts w:ascii="Times New Roman" w:hAnsi="Times New Roman"/>
        </w:rPr>
        <w:t>had been refused. The attached decision record for the first plaintiff stated:</w:t>
      </w:r>
    </w:p>
    <w:p w14:paraId="54A6A38C" w14:textId="77777777" w:rsidR="001C2E37" w:rsidRPr="00BA654C" w:rsidRDefault="001C2E37" w:rsidP="00BA654C">
      <w:pPr>
        <w:pStyle w:val="LeftrightafterHC"/>
        <w:spacing w:before="0" w:after="260" w:line="280" w:lineRule="exact"/>
        <w:ind w:right="0"/>
        <w:jc w:val="both"/>
        <w:rPr>
          <w:rFonts w:ascii="Times New Roman" w:hAnsi="Times New Roman"/>
          <w:b/>
          <w:bCs/>
        </w:rPr>
      </w:pPr>
      <w:r w:rsidRPr="00BA654C">
        <w:rPr>
          <w:rFonts w:ascii="Times New Roman" w:hAnsi="Times New Roman"/>
        </w:rPr>
        <w:t>"</w:t>
      </w:r>
      <w:r w:rsidRPr="00BA654C">
        <w:rPr>
          <w:rFonts w:ascii="Times New Roman" w:hAnsi="Times New Roman"/>
          <w:b/>
          <w:bCs/>
        </w:rPr>
        <w:t>Findings</w:t>
      </w:r>
    </w:p>
    <w:p w14:paraId="17DD1870" w14:textId="77777777" w:rsidR="001C2E37" w:rsidRPr="00BA654C" w:rsidRDefault="001C2E37" w:rsidP="00BA654C">
      <w:pPr>
        <w:pStyle w:val="leftright"/>
        <w:spacing w:before="0" w:after="260" w:line="280" w:lineRule="exact"/>
        <w:ind w:right="0"/>
        <w:jc w:val="both"/>
        <w:rPr>
          <w:rFonts w:ascii="Times New Roman" w:hAnsi="Times New Roman"/>
        </w:rPr>
      </w:pPr>
      <w:proofErr w:type="gramStart"/>
      <w:r w:rsidRPr="00BA654C">
        <w:rPr>
          <w:rFonts w:ascii="Times New Roman" w:hAnsi="Times New Roman"/>
        </w:rPr>
        <w:t>On the basis of</w:t>
      </w:r>
      <w:proofErr w:type="gramEnd"/>
      <w:r w:rsidRPr="00BA654C">
        <w:rPr>
          <w:rFonts w:ascii="Times New Roman" w:hAnsi="Times New Roman"/>
        </w:rPr>
        <w:t xml:space="preserve"> all of the information available to me, including the documents and information the applicant provided, I find the criteria for the grant of a Business Talent (subclass 132) in the Significant Business History stream visa are not satisfied.</w:t>
      </w:r>
    </w:p>
    <w:p w14:paraId="17FF4DB7" w14:textId="77777777" w:rsidR="001C2E37" w:rsidRPr="00BA654C" w:rsidRDefault="001C2E37" w:rsidP="00BA654C">
      <w:pPr>
        <w:pStyle w:val="leftright"/>
        <w:spacing w:before="0" w:after="260" w:line="280" w:lineRule="exact"/>
        <w:ind w:right="0"/>
        <w:jc w:val="both"/>
        <w:rPr>
          <w:rFonts w:ascii="Times New Roman" w:hAnsi="Times New Roman"/>
        </w:rPr>
      </w:pPr>
      <w:r w:rsidRPr="00BA654C">
        <w:rPr>
          <w:rFonts w:ascii="Times New Roman" w:hAnsi="Times New Roman"/>
          <w:b/>
          <w:bCs/>
        </w:rPr>
        <w:t>Reasons</w:t>
      </w:r>
    </w:p>
    <w:p w14:paraId="385534D5" w14:textId="77777777" w:rsidR="001C2E37" w:rsidRPr="00BA654C" w:rsidRDefault="001C2E37" w:rsidP="00BA654C">
      <w:pPr>
        <w:pStyle w:val="leftright"/>
        <w:spacing w:before="0" w:after="260" w:line="280" w:lineRule="exact"/>
        <w:ind w:right="0"/>
        <w:jc w:val="both"/>
        <w:rPr>
          <w:rFonts w:ascii="Times New Roman" w:hAnsi="Times New Roman"/>
        </w:rPr>
      </w:pPr>
      <w:r w:rsidRPr="00BA654C">
        <w:rPr>
          <w:rFonts w:ascii="Times New Roman" w:hAnsi="Times New Roman"/>
        </w:rPr>
        <w:t>...</w:t>
      </w:r>
    </w:p>
    <w:p w14:paraId="37D89091" w14:textId="77777777" w:rsidR="001C2E37" w:rsidRPr="00BA654C" w:rsidRDefault="001C2E37" w:rsidP="00BA654C">
      <w:pPr>
        <w:pStyle w:val="leftright"/>
        <w:spacing w:before="0" w:after="260" w:line="280" w:lineRule="exact"/>
        <w:ind w:right="0"/>
        <w:jc w:val="both"/>
        <w:rPr>
          <w:rFonts w:ascii="Times New Roman" w:hAnsi="Times New Roman"/>
        </w:rPr>
      </w:pPr>
      <w:r w:rsidRPr="00BA654C">
        <w:rPr>
          <w:rFonts w:ascii="Times New Roman" w:hAnsi="Times New Roman"/>
        </w:rPr>
        <w:t>A visa cannot be granted unless the relevant criteria specified in the [Migration] Act and the [Migration] Regulations are satisfied.</w:t>
      </w:r>
    </w:p>
    <w:p w14:paraId="0DB136FD" w14:textId="302B1CC7" w:rsidR="001C2E37" w:rsidRPr="00BA654C" w:rsidRDefault="001C2E37" w:rsidP="00BA654C">
      <w:pPr>
        <w:pStyle w:val="leftright"/>
        <w:spacing w:before="0" w:after="260" w:line="280" w:lineRule="exact"/>
        <w:ind w:right="0"/>
        <w:jc w:val="both"/>
        <w:rPr>
          <w:rFonts w:ascii="Times New Roman" w:hAnsi="Times New Roman"/>
        </w:rPr>
      </w:pPr>
      <w:r w:rsidRPr="00BA654C">
        <w:rPr>
          <w:rFonts w:ascii="Times New Roman" w:hAnsi="Times New Roman"/>
        </w:rPr>
        <w:t xml:space="preserve">In this case, I am not satisfied that clause 132.225 in Schedule 2 of the Regulations is satisfied. </w:t>
      </w:r>
      <w:r w:rsidR="00B95BE2" w:rsidRPr="00BA654C">
        <w:rPr>
          <w:rFonts w:ascii="Times New Roman" w:hAnsi="Times New Roman"/>
        </w:rPr>
        <w:t>...</w:t>
      </w:r>
    </w:p>
    <w:p w14:paraId="62973504" w14:textId="77777777" w:rsidR="001C2E37" w:rsidRPr="00BA654C" w:rsidRDefault="001C2E37" w:rsidP="00BA654C">
      <w:pPr>
        <w:pStyle w:val="leftright"/>
        <w:spacing w:before="0" w:after="260" w:line="280" w:lineRule="exact"/>
        <w:ind w:right="0"/>
        <w:jc w:val="both"/>
        <w:rPr>
          <w:rFonts w:ascii="Times New Roman" w:hAnsi="Times New Roman"/>
        </w:rPr>
      </w:pPr>
      <w:r w:rsidRPr="00BA654C">
        <w:rPr>
          <w:rFonts w:ascii="Times New Roman" w:hAnsi="Times New Roman"/>
        </w:rPr>
        <w:t>A letter of acknowledgement of application was sent to the applicant on the same day of application lodgement, advising the applicant that a decision may be made on the application without requesting additional information and the applicant should provide the Department with all the information they consider relevant.</w:t>
      </w:r>
    </w:p>
    <w:p w14:paraId="5DD9C1A1" w14:textId="79A5FC6A" w:rsidR="001C2E37" w:rsidRPr="00BA654C" w:rsidRDefault="001C2E37" w:rsidP="00BA654C">
      <w:pPr>
        <w:pStyle w:val="leftright"/>
        <w:spacing w:before="0" w:after="260" w:line="280" w:lineRule="exact"/>
        <w:ind w:right="0"/>
        <w:jc w:val="both"/>
        <w:rPr>
          <w:rFonts w:ascii="Times New Roman" w:hAnsi="Times New Roman"/>
        </w:rPr>
      </w:pPr>
      <w:r w:rsidRPr="00BA654C">
        <w:rPr>
          <w:rFonts w:ascii="Times New Roman" w:hAnsi="Times New Roman"/>
        </w:rPr>
        <w:t xml:space="preserve">As there were no supporting documents provided to establish the applicant's claims following the lodgement of the online application, I am not satisfied </w:t>
      </w:r>
      <w:r w:rsidRPr="00BA654C">
        <w:rPr>
          <w:rFonts w:ascii="Times New Roman" w:hAnsi="Times New Roman"/>
        </w:rPr>
        <w:lastRenderedPageBreak/>
        <w:t>that the Company</w:t>
      </w:r>
      <w:r w:rsidR="002E6E55" w:rsidRPr="00BA654C">
        <w:rPr>
          <w:rFonts w:ascii="Times New Roman" w:hAnsi="Times New Roman"/>
        </w:rPr>
        <w:t xml:space="preserve"> ["</w:t>
      </w:r>
      <w:proofErr w:type="spellStart"/>
      <w:r w:rsidR="002E6E55" w:rsidRPr="00BA654C">
        <w:rPr>
          <w:rFonts w:ascii="Times New Roman" w:hAnsi="Times New Roman"/>
        </w:rPr>
        <w:t>Chhuya</w:t>
      </w:r>
      <w:proofErr w:type="spellEnd"/>
      <w:r w:rsidR="002E6E55" w:rsidRPr="00BA654C">
        <w:rPr>
          <w:rFonts w:ascii="Times New Roman" w:hAnsi="Times New Roman"/>
        </w:rPr>
        <w:t xml:space="preserve"> Agro Products Ltd"</w:t>
      </w:r>
      <w:r w:rsidR="00E009EC" w:rsidRPr="00BA654C">
        <w:rPr>
          <w:rFonts w:ascii="Times New Roman" w:hAnsi="Times New Roman"/>
        </w:rPr>
        <w:t>, which was nominated by the first applicant as a "main business"]</w:t>
      </w:r>
      <w:r w:rsidRPr="00BA654C">
        <w:rPr>
          <w:rFonts w:ascii="Times New Roman" w:hAnsi="Times New Roman"/>
        </w:rPr>
        <w:t xml:space="preserve"> can be considered the applicant's main business or that the Company had the prescribed amount of turnover for at least 2 of the 4 fiscal years immediately before the time of invitation to apply for the visa. The applicant therefore does not meet clause 132.225.</w:t>
      </w:r>
    </w:p>
    <w:p w14:paraId="43F3CF3D" w14:textId="77777777" w:rsidR="00BA654C" w:rsidRDefault="001C2E37" w:rsidP="00BA654C">
      <w:pPr>
        <w:pStyle w:val="leftright"/>
        <w:spacing w:before="0" w:after="260" w:line="280" w:lineRule="exact"/>
        <w:ind w:right="0"/>
        <w:jc w:val="both"/>
        <w:rPr>
          <w:rFonts w:ascii="Times New Roman" w:hAnsi="Times New Roman"/>
        </w:rPr>
      </w:pPr>
      <w:r w:rsidRPr="00BA654C">
        <w:rPr>
          <w:rFonts w:ascii="Times New Roman" w:hAnsi="Times New Roman"/>
        </w:rPr>
        <w:t>I have not made a finding as to the applicant's eligibility under all other criteria pertaining to the grant of a subclass 132 visa in the Significant Business History stream in the absence of supporting documents."</w:t>
      </w:r>
    </w:p>
    <w:p w14:paraId="29291D29" w14:textId="592EB29C" w:rsidR="001C2E37" w:rsidRPr="00BA654C" w:rsidRDefault="001C2E37" w:rsidP="00BA654C">
      <w:pPr>
        <w:pStyle w:val="FixListStyle"/>
        <w:spacing w:after="260" w:line="280" w:lineRule="exact"/>
        <w:ind w:right="0"/>
        <w:jc w:val="both"/>
        <w:rPr>
          <w:rFonts w:ascii="Times New Roman" w:hAnsi="Times New Roman"/>
        </w:rPr>
      </w:pPr>
      <w:r w:rsidRPr="00BA654C">
        <w:rPr>
          <w:rFonts w:ascii="Times New Roman" w:hAnsi="Times New Roman"/>
        </w:rPr>
        <w:tab/>
        <w:t>In respect of the second, third and fourth plaintiffs, the delegate found that the secondary criteria for the grant of the visa were not satisfied because, the first plaintiff having been refused a visa, they were not members of the family unit of a person who holds a Subclass 132 visa</w:t>
      </w:r>
      <w:r w:rsidR="00040FE7" w:rsidRPr="00BA654C">
        <w:rPr>
          <w:rFonts w:ascii="Times New Roman" w:hAnsi="Times New Roman"/>
        </w:rPr>
        <w:t>.</w:t>
      </w:r>
    </w:p>
    <w:p w14:paraId="10CFFC61" w14:textId="3E27DF96" w:rsidR="006A1F50" w:rsidRPr="00BA654C" w:rsidRDefault="00037ED7" w:rsidP="00BA654C">
      <w:pPr>
        <w:pStyle w:val="HeadingL1"/>
        <w:spacing w:after="260" w:line="280" w:lineRule="exact"/>
        <w:ind w:right="0"/>
        <w:jc w:val="both"/>
        <w:rPr>
          <w:rFonts w:ascii="Times New Roman" w:hAnsi="Times New Roman"/>
        </w:rPr>
      </w:pPr>
      <w:r w:rsidRPr="00BA654C">
        <w:rPr>
          <w:rFonts w:ascii="Times New Roman" w:hAnsi="Times New Roman"/>
        </w:rPr>
        <w:t>F</w:t>
      </w:r>
      <w:r w:rsidR="006A1F50" w:rsidRPr="00BA654C">
        <w:rPr>
          <w:rFonts w:ascii="Times New Roman" w:hAnsi="Times New Roman"/>
        </w:rPr>
        <w:t>act</w:t>
      </w:r>
      <w:r w:rsidRPr="00BA654C">
        <w:rPr>
          <w:rFonts w:ascii="Times New Roman" w:hAnsi="Times New Roman"/>
        </w:rPr>
        <w:t>ual findings</w:t>
      </w:r>
      <w:r w:rsidR="0017198F" w:rsidRPr="00BA654C">
        <w:rPr>
          <w:rFonts w:ascii="Times New Roman" w:hAnsi="Times New Roman"/>
        </w:rPr>
        <w:t xml:space="preserve"> </w:t>
      </w:r>
    </w:p>
    <w:p w14:paraId="7251CE04" w14:textId="4B2976E1" w:rsidR="00BD7960" w:rsidRPr="00BA654C" w:rsidRDefault="00DC1A3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BD7960" w:rsidRPr="00BA654C">
        <w:rPr>
          <w:rFonts w:ascii="Times New Roman" w:hAnsi="Times New Roman"/>
        </w:rPr>
        <w:t xml:space="preserve">The plaintiffs relied on an affidavit of Carina Ford, Chair of the Migration Law Committee of the Law Council of Australia. Ms Ford's evidence was that: (a) at least for a decade before 2021, applications for Subclass 132 visas would generally take two to three years and sometimes longer to determine; (b) at some time after the making of the application, a delegate would be allocated to assess the visa, and this could be </w:t>
      </w:r>
      <w:r w:rsidR="000B4DE8" w:rsidRPr="00BA654C">
        <w:rPr>
          <w:rFonts w:ascii="Times New Roman" w:hAnsi="Times New Roman"/>
        </w:rPr>
        <w:t xml:space="preserve">two </w:t>
      </w:r>
      <w:r w:rsidR="00BD7960" w:rsidRPr="00BA654C">
        <w:rPr>
          <w:rFonts w:ascii="Times New Roman" w:hAnsi="Times New Roman"/>
        </w:rPr>
        <w:t xml:space="preserve">to </w:t>
      </w:r>
      <w:r w:rsidR="000B4DE8" w:rsidRPr="00BA654C">
        <w:rPr>
          <w:rFonts w:ascii="Times New Roman" w:hAnsi="Times New Roman"/>
        </w:rPr>
        <w:t xml:space="preserve">three </w:t>
      </w:r>
      <w:r w:rsidR="00BD7960" w:rsidRPr="00BA654C">
        <w:rPr>
          <w:rFonts w:ascii="Times New Roman" w:hAnsi="Times New Roman"/>
        </w:rPr>
        <w:t xml:space="preserve">years after the visa application was made; (c) if something was missing or needed to be updated, generally the Department would notify the applicant under s 56 of the </w:t>
      </w:r>
      <w:r w:rsidR="00BD7960" w:rsidRPr="00BA654C">
        <w:rPr>
          <w:rFonts w:ascii="Times New Roman" w:hAnsi="Times New Roman"/>
          <w:i/>
          <w:iCs/>
        </w:rPr>
        <w:t>Migration Act</w:t>
      </w:r>
      <w:r w:rsidR="00BD7960" w:rsidRPr="00BA654C">
        <w:rPr>
          <w:rFonts w:ascii="Times New Roman" w:hAnsi="Times New Roman"/>
        </w:rPr>
        <w:t xml:space="preserve"> that further information was needed to assess the visa; and (</w:t>
      </w:r>
      <w:r w:rsidR="007C5E41" w:rsidRPr="00BA654C">
        <w:rPr>
          <w:rFonts w:ascii="Times New Roman" w:hAnsi="Times New Roman"/>
        </w:rPr>
        <w:t>d</w:t>
      </w:r>
      <w:r w:rsidR="00BD7960" w:rsidRPr="00BA654C">
        <w:rPr>
          <w:rFonts w:ascii="Times New Roman" w:hAnsi="Times New Roman"/>
        </w:rPr>
        <w:t>) at some stage in 2024, the Department generally ceased issuing s 56 notices and proceeded to grant or refuse Subclass 132 visas based on the information that had been provided in the application. Ms Ford said</w:t>
      </w:r>
      <w:r w:rsidR="007C5E41" w:rsidRPr="00BA654C">
        <w:rPr>
          <w:rFonts w:ascii="Times New Roman" w:hAnsi="Times New Roman"/>
        </w:rPr>
        <w:t xml:space="preserve"> by way of overall summary</w:t>
      </w:r>
      <w:r w:rsidR="00BD7960" w:rsidRPr="00BA654C">
        <w:rPr>
          <w:rFonts w:ascii="Times New Roman" w:hAnsi="Times New Roman"/>
        </w:rPr>
        <w:t>:</w:t>
      </w:r>
    </w:p>
    <w:p w14:paraId="47595967" w14:textId="77777777" w:rsidR="00BD7960" w:rsidRPr="00BA654C" w:rsidRDefault="00BD7960" w:rsidP="00BA654C">
      <w:pPr>
        <w:pStyle w:val="leftright"/>
        <w:spacing w:before="0" w:after="260" w:line="280" w:lineRule="exact"/>
        <w:ind w:right="0"/>
        <w:jc w:val="both"/>
        <w:rPr>
          <w:rFonts w:ascii="Times New Roman" w:hAnsi="Times New Roman"/>
        </w:rPr>
      </w:pPr>
      <w:r w:rsidRPr="00BA654C">
        <w:rPr>
          <w:rFonts w:ascii="Times New Roman" w:hAnsi="Times New Roman"/>
        </w:rPr>
        <w:t>"I do recognise that regularly the Department of Home Affairs states on websites and correspondence that all information must be provided at time of application and it’s the preferred method to lodge applications decision ready, but given the complexities in this cohort and the processing times and that information may change between application and the time of decision, it was generally the practice to give an opportunity to provide further information."</w:t>
      </w:r>
    </w:p>
    <w:p w14:paraId="74A305CA" w14:textId="00FBDE48" w:rsidR="005C4ED1" w:rsidRPr="00BA654C" w:rsidRDefault="00BD7960" w:rsidP="00BA654C">
      <w:pPr>
        <w:pStyle w:val="FixListStyle"/>
        <w:spacing w:after="260" w:line="280" w:lineRule="exact"/>
        <w:ind w:right="0"/>
        <w:jc w:val="both"/>
        <w:rPr>
          <w:rFonts w:ascii="Times New Roman" w:hAnsi="Times New Roman"/>
        </w:rPr>
      </w:pPr>
      <w:r w:rsidRPr="00BA654C">
        <w:rPr>
          <w:rFonts w:ascii="Times New Roman" w:hAnsi="Times New Roman"/>
        </w:rPr>
        <w:tab/>
        <w:t>The point of this evidence was to support the plaintiffs' contention that it was legally unreasonable for the delegate not to have requested that the plaintiffs provide the audited financial statements before determining the application.</w:t>
      </w:r>
    </w:p>
    <w:p w14:paraId="2A9EE37B" w14:textId="598B176B" w:rsidR="00BB7B9C" w:rsidRPr="00BA654C" w:rsidRDefault="005C4ED1"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BD7960" w:rsidRPr="00BA654C">
        <w:rPr>
          <w:rFonts w:ascii="Times New Roman" w:hAnsi="Times New Roman"/>
        </w:rPr>
        <w:t xml:space="preserve">The problem with this aspect of the plaintiffs' case is that, although I accept Ms Ford's evidence, it does not assist the plaintiffs in circumstances where: (a) while the primary criteria had to be satisfied at the time a decision </w:t>
      </w:r>
      <w:r w:rsidR="00777803" w:rsidRPr="00BA654C">
        <w:rPr>
          <w:rFonts w:ascii="Times New Roman" w:hAnsi="Times New Roman"/>
        </w:rPr>
        <w:t xml:space="preserve">was </w:t>
      </w:r>
      <w:r w:rsidR="00BD7960" w:rsidRPr="00BA654C">
        <w:rPr>
          <w:rFonts w:ascii="Times New Roman" w:hAnsi="Times New Roman"/>
        </w:rPr>
        <w:t xml:space="preserve">made on the application, the audited financial statements had to relate to two of the four </w:t>
      </w:r>
      <w:r w:rsidR="00BD7960" w:rsidRPr="00BA654C">
        <w:rPr>
          <w:rFonts w:ascii="Times New Roman" w:hAnsi="Times New Roman"/>
        </w:rPr>
        <w:lastRenderedPageBreak/>
        <w:t>fiscal years before the time of the invitation to apply for the visa; (b) therefore, it cannot be said that the plaintiffs could not have provided the audited financial statements at any time after making the application and before the application's determination; and (c) to the contrary, the audited financial statements existed before the application was made and could have been provided at any time after making the application and before the application's determination.</w:t>
      </w:r>
    </w:p>
    <w:p w14:paraId="09292600" w14:textId="3C84D657" w:rsidR="00BD7960" w:rsidRPr="00BA654C" w:rsidRDefault="00BB7B9C"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BD7960" w:rsidRPr="00BA654C">
        <w:rPr>
          <w:rFonts w:ascii="Times New Roman" w:hAnsi="Times New Roman"/>
        </w:rPr>
        <w:t xml:space="preserve">In these circumstances, even if an inference could be drawn that the plaintiffs or their migration agent believed that they would be requested to provide further information and could </w:t>
      </w:r>
      <w:r w:rsidRPr="00BA654C">
        <w:rPr>
          <w:rFonts w:ascii="Times New Roman" w:hAnsi="Times New Roman"/>
        </w:rPr>
        <w:t xml:space="preserve">have </w:t>
      </w:r>
      <w:r w:rsidR="00BD7960" w:rsidRPr="00BA654C">
        <w:rPr>
          <w:rFonts w:ascii="Times New Roman" w:hAnsi="Times New Roman"/>
        </w:rPr>
        <w:t>provide</w:t>
      </w:r>
      <w:r w:rsidRPr="00BA654C">
        <w:rPr>
          <w:rFonts w:ascii="Times New Roman" w:hAnsi="Times New Roman"/>
        </w:rPr>
        <w:t>d</w:t>
      </w:r>
      <w:r w:rsidR="00BD7960" w:rsidRPr="00BA654C">
        <w:rPr>
          <w:rFonts w:ascii="Times New Roman" w:hAnsi="Times New Roman"/>
        </w:rPr>
        <w:t xml:space="preserve"> such information at that time, including the audited financial statements, the case rises no higher than that the plaintiffs did not do what</w:t>
      </w:r>
      <w:r w:rsidR="007E2E21" w:rsidRPr="00BA654C">
        <w:rPr>
          <w:rFonts w:ascii="Times New Roman" w:hAnsi="Times New Roman"/>
        </w:rPr>
        <w:t>, as will be explained below,</w:t>
      </w:r>
      <w:r w:rsidR="00BD7960" w:rsidRPr="00BA654C">
        <w:rPr>
          <w:rFonts w:ascii="Times New Roman" w:hAnsi="Times New Roman"/>
        </w:rPr>
        <w:t xml:space="preserve"> they were instructed to do when they could have done so. </w:t>
      </w:r>
    </w:p>
    <w:p w14:paraId="0AA37172" w14:textId="15EA49E5" w:rsidR="00BD7960" w:rsidRPr="00BA654C" w:rsidRDefault="00BD796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D52858" w:rsidRPr="00BA654C">
        <w:rPr>
          <w:rFonts w:ascii="Times New Roman" w:hAnsi="Times New Roman"/>
        </w:rPr>
        <w:t>In any event, however, n</w:t>
      </w:r>
      <w:r w:rsidRPr="00BA654C">
        <w:rPr>
          <w:rFonts w:ascii="Times New Roman" w:hAnsi="Times New Roman"/>
        </w:rPr>
        <w:t>o such inference of belief on the part of the plaintiffs or their migration agent would be drawn based on Ms Ford's evidence which: (a) </w:t>
      </w:r>
      <w:r w:rsidR="00743F01" w:rsidRPr="00BA654C">
        <w:rPr>
          <w:rFonts w:ascii="Times New Roman" w:hAnsi="Times New Roman"/>
        </w:rPr>
        <w:t xml:space="preserve">is </w:t>
      </w:r>
      <w:r w:rsidRPr="00BA654C">
        <w:rPr>
          <w:rFonts w:ascii="Times New Roman" w:hAnsi="Times New Roman"/>
        </w:rPr>
        <w:t>expressed in general terms; (b) </w:t>
      </w:r>
      <w:r w:rsidR="00743F01" w:rsidRPr="00BA654C">
        <w:rPr>
          <w:rFonts w:ascii="Times New Roman" w:hAnsi="Times New Roman"/>
        </w:rPr>
        <w:t xml:space="preserve">is </w:t>
      </w:r>
      <w:r w:rsidRPr="00BA654C">
        <w:rPr>
          <w:rFonts w:ascii="Times New Roman" w:hAnsi="Times New Roman"/>
        </w:rPr>
        <w:t>conditioned on a delegate considering that information was missing or needed to be updated; and (c) ac</w:t>
      </w:r>
      <w:r w:rsidR="00743F01" w:rsidRPr="00BA654C">
        <w:rPr>
          <w:rFonts w:ascii="Times New Roman" w:hAnsi="Times New Roman"/>
        </w:rPr>
        <w:t>knowledged</w:t>
      </w:r>
      <w:r w:rsidRPr="00BA654C">
        <w:rPr>
          <w:rFonts w:ascii="Times New Roman" w:hAnsi="Times New Roman"/>
        </w:rPr>
        <w:t xml:space="preserve"> that "the preferred method [is] to lodge applications decision ready</w:t>
      </w:r>
      <w:r w:rsidR="001510E6" w:rsidRPr="00BA654C">
        <w:rPr>
          <w:rFonts w:ascii="Times New Roman" w:hAnsi="Times New Roman"/>
        </w:rPr>
        <w:t>"</w:t>
      </w:r>
      <w:r w:rsidRPr="00BA654C">
        <w:rPr>
          <w:rFonts w:ascii="Times New Roman" w:hAnsi="Times New Roman"/>
        </w:rPr>
        <w:t xml:space="preserve">. </w:t>
      </w:r>
      <w:r w:rsidR="003C2214" w:rsidRPr="00BA654C">
        <w:rPr>
          <w:rFonts w:ascii="Times New Roman" w:hAnsi="Times New Roman"/>
        </w:rPr>
        <w:t xml:space="preserve">Nor would any inference be drawn of any belief on the </w:t>
      </w:r>
      <w:r w:rsidR="00396948" w:rsidRPr="00BA654C">
        <w:rPr>
          <w:rFonts w:ascii="Times New Roman" w:hAnsi="Times New Roman"/>
        </w:rPr>
        <w:t xml:space="preserve">part </w:t>
      </w:r>
      <w:r w:rsidR="003C2214" w:rsidRPr="00BA654C">
        <w:rPr>
          <w:rFonts w:ascii="Times New Roman" w:hAnsi="Times New Roman"/>
        </w:rPr>
        <w:t>of the plaintiffs or their migration agent that the Department or a delegate would inform them of any change of the general practice</w:t>
      </w:r>
      <w:r w:rsidR="00091E43" w:rsidRPr="00BA654C">
        <w:rPr>
          <w:rFonts w:ascii="Times New Roman" w:hAnsi="Times New Roman"/>
        </w:rPr>
        <w:t xml:space="preserve"> given: (a) the lack of any evidence to that effect; and (b) the information in writing otherwise communicated to or available to the plaintiffs and their migration agent from the Department (identified below). </w:t>
      </w:r>
    </w:p>
    <w:p w14:paraId="3AA70FA1" w14:textId="69F7261B" w:rsidR="00220D40" w:rsidRPr="00BA654C" w:rsidRDefault="00220D40" w:rsidP="00BA654C">
      <w:pPr>
        <w:pStyle w:val="FixListStyle"/>
        <w:spacing w:after="260" w:line="280" w:lineRule="exact"/>
        <w:ind w:right="0"/>
        <w:jc w:val="both"/>
        <w:rPr>
          <w:rFonts w:ascii="Times New Roman" w:hAnsi="Times New Roman"/>
        </w:rPr>
      </w:pPr>
      <w:r w:rsidRPr="00BA654C">
        <w:rPr>
          <w:rFonts w:ascii="Times New Roman" w:hAnsi="Times New Roman"/>
        </w:rPr>
        <w:tab/>
        <w:t>Apart from this, and co</w:t>
      </w:r>
      <w:r w:rsidR="007F7741" w:rsidRPr="00BA654C">
        <w:rPr>
          <w:rFonts w:ascii="Times New Roman" w:hAnsi="Times New Roman"/>
        </w:rPr>
        <w:t xml:space="preserve">ntrary to the assertions in the written submissions for the plaintiffs, </w:t>
      </w:r>
      <w:r w:rsidR="006A1F50" w:rsidRPr="00BA654C">
        <w:rPr>
          <w:rFonts w:ascii="Times New Roman" w:hAnsi="Times New Roman"/>
        </w:rPr>
        <w:t>the plaintiffs</w:t>
      </w:r>
      <w:r w:rsidR="00FB2678" w:rsidRPr="00BA654C">
        <w:rPr>
          <w:rFonts w:ascii="Times New Roman" w:hAnsi="Times New Roman"/>
        </w:rPr>
        <w:t>' counsel</w:t>
      </w:r>
      <w:r w:rsidR="006A1F50" w:rsidRPr="00BA654C">
        <w:rPr>
          <w:rFonts w:ascii="Times New Roman" w:hAnsi="Times New Roman"/>
        </w:rPr>
        <w:t xml:space="preserve"> </w:t>
      </w:r>
      <w:r w:rsidR="00A237F0" w:rsidRPr="00BA654C">
        <w:rPr>
          <w:rFonts w:ascii="Times New Roman" w:hAnsi="Times New Roman"/>
        </w:rPr>
        <w:t xml:space="preserve">properly </w:t>
      </w:r>
      <w:r w:rsidR="006A1F50" w:rsidRPr="00BA654C">
        <w:rPr>
          <w:rFonts w:ascii="Times New Roman" w:hAnsi="Times New Roman"/>
        </w:rPr>
        <w:t xml:space="preserve">conceded </w:t>
      </w:r>
      <w:r w:rsidR="00DC1A30" w:rsidRPr="00BA654C">
        <w:rPr>
          <w:rFonts w:ascii="Times New Roman" w:hAnsi="Times New Roman"/>
        </w:rPr>
        <w:t xml:space="preserve">during the hearing </w:t>
      </w:r>
      <w:r w:rsidR="006A1F50" w:rsidRPr="00BA654C">
        <w:rPr>
          <w:rFonts w:ascii="Times New Roman" w:hAnsi="Times New Roman"/>
        </w:rPr>
        <w:t>that</w:t>
      </w:r>
      <w:r w:rsidR="00FB2678" w:rsidRPr="00BA654C">
        <w:rPr>
          <w:rFonts w:ascii="Times New Roman" w:hAnsi="Times New Roman"/>
        </w:rPr>
        <w:t xml:space="preserve"> </w:t>
      </w:r>
      <w:r w:rsidR="006A1F50" w:rsidRPr="00BA654C">
        <w:rPr>
          <w:rFonts w:ascii="Times New Roman" w:hAnsi="Times New Roman"/>
        </w:rPr>
        <w:t xml:space="preserve">the plaintiffs had not proved that the </w:t>
      </w:r>
      <w:r w:rsidR="00FB2678" w:rsidRPr="00BA654C">
        <w:rPr>
          <w:rFonts w:ascii="Times New Roman" w:hAnsi="Times New Roman"/>
        </w:rPr>
        <w:t xml:space="preserve">audited financial </w:t>
      </w:r>
      <w:r w:rsidR="006A1F50" w:rsidRPr="00BA654C">
        <w:rPr>
          <w:rFonts w:ascii="Times New Roman" w:hAnsi="Times New Roman"/>
        </w:rPr>
        <w:t xml:space="preserve">statements </w:t>
      </w:r>
      <w:r w:rsidR="00DA6760" w:rsidRPr="00BA654C">
        <w:rPr>
          <w:rFonts w:ascii="Times New Roman" w:hAnsi="Times New Roman"/>
        </w:rPr>
        <w:t xml:space="preserve">of the first plaintiff's business </w:t>
      </w:r>
      <w:r w:rsidR="006A1F50" w:rsidRPr="00BA654C">
        <w:rPr>
          <w:rFonts w:ascii="Times New Roman" w:hAnsi="Times New Roman"/>
        </w:rPr>
        <w:t xml:space="preserve">were provided as part of the </w:t>
      </w:r>
      <w:r w:rsidR="00DA6760" w:rsidRPr="00BA654C">
        <w:rPr>
          <w:rFonts w:ascii="Times New Roman" w:hAnsi="Times New Roman"/>
        </w:rPr>
        <w:t xml:space="preserve">nomination </w:t>
      </w:r>
      <w:r w:rsidR="006A1F50" w:rsidRPr="00BA654C">
        <w:rPr>
          <w:rFonts w:ascii="Times New Roman" w:hAnsi="Times New Roman"/>
        </w:rPr>
        <w:t>application</w:t>
      </w:r>
      <w:r w:rsidR="00B55458" w:rsidRPr="00BA654C">
        <w:rPr>
          <w:rFonts w:ascii="Times New Roman" w:hAnsi="Times New Roman"/>
        </w:rPr>
        <w:t xml:space="preserve"> to the South Australian government agency</w:t>
      </w:r>
      <w:r w:rsidR="00A237F0" w:rsidRPr="00BA654C">
        <w:rPr>
          <w:rFonts w:ascii="Times New Roman" w:hAnsi="Times New Roman"/>
        </w:rPr>
        <w:t>.</w:t>
      </w:r>
      <w:r w:rsidR="006A1F50" w:rsidRPr="00BA654C">
        <w:rPr>
          <w:rFonts w:ascii="Times New Roman" w:hAnsi="Times New Roman"/>
        </w:rPr>
        <w:t xml:space="preserve"> </w:t>
      </w:r>
      <w:r w:rsidR="00A237F0" w:rsidRPr="00BA654C">
        <w:rPr>
          <w:rFonts w:ascii="Times New Roman" w:hAnsi="Times New Roman"/>
        </w:rPr>
        <w:t xml:space="preserve">The plaintiffs' counsel </w:t>
      </w:r>
      <w:r w:rsidR="006A1F50" w:rsidRPr="00BA654C">
        <w:rPr>
          <w:rFonts w:ascii="Times New Roman" w:hAnsi="Times New Roman"/>
        </w:rPr>
        <w:t>submitted</w:t>
      </w:r>
      <w:r w:rsidR="0037701A" w:rsidRPr="00BA654C">
        <w:rPr>
          <w:rFonts w:ascii="Times New Roman" w:hAnsi="Times New Roman"/>
        </w:rPr>
        <w:t>, however,</w:t>
      </w:r>
      <w:r w:rsidR="006A1F50" w:rsidRPr="00BA654C">
        <w:rPr>
          <w:rFonts w:ascii="Times New Roman" w:hAnsi="Times New Roman"/>
        </w:rPr>
        <w:t xml:space="preserve"> that it was reasonable to infer that </w:t>
      </w:r>
      <w:r w:rsidR="00A237F0" w:rsidRPr="00BA654C">
        <w:rPr>
          <w:rFonts w:ascii="Times New Roman" w:hAnsi="Times New Roman"/>
        </w:rPr>
        <w:t xml:space="preserve">the audited financial statements </w:t>
      </w:r>
      <w:r w:rsidR="006A1F50" w:rsidRPr="00BA654C">
        <w:rPr>
          <w:rFonts w:ascii="Times New Roman" w:hAnsi="Times New Roman"/>
        </w:rPr>
        <w:t xml:space="preserve">would have been provided as part of that </w:t>
      </w:r>
      <w:r w:rsidR="00A237F0" w:rsidRPr="00BA654C">
        <w:rPr>
          <w:rFonts w:ascii="Times New Roman" w:hAnsi="Times New Roman"/>
        </w:rPr>
        <w:t xml:space="preserve">nomination </w:t>
      </w:r>
      <w:r w:rsidR="006A1F50" w:rsidRPr="00BA654C">
        <w:rPr>
          <w:rFonts w:ascii="Times New Roman" w:hAnsi="Times New Roman"/>
        </w:rPr>
        <w:t>application having regard to the nature of the nomination and the criteria to be satisfied.</w:t>
      </w:r>
    </w:p>
    <w:p w14:paraId="20C13F7B" w14:textId="653DA4B0" w:rsidR="006A1F50" w:rsidRPr="00BA654C" w:rsidRDefault="00220D4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DF59E5" w:rsidRPr="00BA654C">
        <w:rPr>
          <w:rFonts w:ascii="Times New Roman" w:hAnsi="Times New Roman"/>
        </w:rPr>
        <w:t xml:space="preserve">No such inference can be drawn. The </w:t>
      </w:r>
      <w:r w:rsidR="002C1E90" w:rsidRPr="00BA654C">
        <w:rPr>
          <w:rFonts w:ascii="Times New Roman" w:hAnsi="Times New Roman"/>
        </w:rPr>
        <w:t xml:space="preserve">electronic record of the nomination form is in evidence. </w:t>
      </w:r>
      <w:r w:rsidR="00793DDF" w:rsidRPr="00BA654C">
        <w:rPr>
          <w:rFonts w:ascii="Times New Roman" w:hAnsi="Times New Roman"/>
        </w:rPr>
        <w:t xml:space="preserve">That record includes a section "Document attachments" </w:t>
      </w:r>
      <w:r w:rsidR="00AB677E" w:rsidRPr="00BA654C">
        <w:rPr>
          <w:rFonts w:ascii="Times New Roman" w:hAnsi="Times New Roman"/>
        </w:rPr>
        <w:t xml:space="preserve">which states that "All supporting documentation </w:t>
      </w:r>
      <w:r w:rsidR="00F41D1A" w:rsidRPr="00BA654C">
        <w:rPr>
          <w:rFonts w:ascii="Times New Roman" w:hAnsi="Times New Roman"/>
        </w:rPr>
        <w:t xml:space="preserve">for the </w:t>
      </w:r>
      <w:r w:rsidR="007D46B6" w:rsidRPr="00BA654C">
        <w:rPr>
          <w:rFonts w:ascii="Times New Roman" w:hAnsi="Times New Roman"/>
        </w:rPr>
        <w:t>application</w:t>
      </w:r>
      <w:r w:rsidR="00F41D1A" w:rsidRPr="00BA654C">
        <w:rPr>
          <w:rFonts w:ascii="Times New Roman" w:hAnsi="Times New Roman"/>
        </w:rPr>
        <w:t xml:space="preserve"> must be uploaded within the online application form. Your </w:t>
      </w:r>
      <w:r w:rsidR="007D46B6" w:rsidRPr="00BA654C">
        <w:rPr>
          <w:rFonts w:ascii="Times New Roman" w:hAnsi="Times New Roman"/>
        </w:rPr>
        <w:t>supporting</w:t>
      </w:r>
      <w:r w:rsidR="00F41D1A" w:rsidRPr="00BA654C">
        <w:rPr>
          <w:rFonts w:ascii="Times New Roman" w:hAnsi="Times New Roman"/>
        </w:rPr>
        <w:t xml:space="preserve"> documentation must be scanned </w:t>
      </w:r>
      <w:r w:rsidR="007D46B6" w:rsidRPr="00BA654C">
        <w:rPr>
          <w:rFonts w:ascii="Times New Roman" w:hAnsi="Times New Roman"/>
        </w:rPr>
        <w:t xml:space="preserve">copies of the original documents. ... </w:t>
      </w:r>
      <w:r w:rsidR="00151A11" w:rsidRPr="00BA654C">
        <w:rPr>
          <w:rFonts w:ascii="Times New Roman" w:hAnsi="Times New Roman"/>
        </w:rPr>
        <w:t xml:space="preserve">Documents provided in any other form, unless expressly requested, will not be accepted." </w:t>
      </w:r>
      <w:r w:rsidR="002C1E90" w:rsidRPr="00BA654C">
        <w:rPr>
          <w:rFonts w:ascii="Times New Roman" w:hAnsi="Times New Roman"/>
        </w:rPr>
        <w:t xml:space="preserve">Under the heading "Documents:" </w:t>
      </w:r>
      <w:r w:rsidR="00564648" w:rsidRPr="00BA654C">
        <w:rPr>
          <w:rFonts w:ascii="Times New Roman" w:hAnsi="Times New Roman"/>
        </w:rPr>
        <w:t xml:space="preserve">the record states </w:t>
      </w:r>
      <w:r w:rsidR="00C22103" w:rsidRPr="00BA654C">
        <w:rPr>
          <w:rFonts w:ascii="Times New Roman" w:hAnsi="Times New Roman"/>
        </w:rPr>
        <w:t>"Passport - Main Applicant.pdf" and "</w:t>
      </w:r>
      <w:r w:rsidR="00596FD1" w:rsidRPr="00BA654C">
        <w:rPr>
          <w:rFonts w:ascii="Times New Roman" w:hAnsi="Times New Roman"/>
        </w:rPr>
        <w:t>Passport - Spouse.pdf".</w:t>
      </w:r>
    </w:p>
    <w:p w14:paraId="15FDAC8B" w14:textId="666AC05A" w:rsidR="0042032A" w:rsidRPr="00BA654C" w:rsidRDefault="00564648" w:rsidP="00BA654C">
      <w:pPr>
        <w:pStyle w:val="FixListStyle"/>
        <w:spacing w:after="260" w:line="280" w:lineRule="exact"/>
        <w:ind w:right="0"/>
        <w:jc w:val="both"/>
        <w:rPr>
          <w:rFonts w:ascii="Times New Roman" w:hAnsi="Times New Roman"/>
        </w:rPr>
      </w:pPr>
      <w:r w:rsidRPr="00BA654C">
        <w:rPr>
          <w:rFonts w:ascii="Times New Roman" w:hAnsi="Times New Roman"/>
        </w:rPr>
        <w:tab/>
        <w:t>The only reasonably available inference on t</w:t>
      </w:r>
      <w:r w:rsidR="0042032A" w:rsidRPr="00BA654C">
        <w:rPr>
          <w:rFonts w:ascii="Times New Roman" w:hAnsi="Times New Roman"/>
        </w:rPr>
        <w:t>h</w:t>
      </w:r>
      <w:r w:rsidRPr="00BA654C">
        <w:rPr>
          <w:rFonts w:ascii="Times New Roman" w:hAnsi="Times New Roman"/>
        </w:rPr>
        <w:t xml:space="preserve">is evidence is that the plaintiffs submitted </w:t>
      </w:r>
      <w:r w:rsidR="00A51AB0" w:rsidRPr="00BA654C">
        <w:rPr>
          <w:rFonts w:ascii="Times New Roman" w:hAnsi="Times New Roman"/>
        </w:rPr>
        <w:t xml:space="preserve">to </w:t>
      </w:r>
      <w:r w:rsidR="00B55458" w:rsidRPr="00BA654C">
        <w:rPr>
          <w:rFonts w:ascii="Times New Roman" w:hAnsi="Times New Roman"/>
        </w:rPr>
        <w:t xml:space="preserve">the South Australian government agency </w:t>
      </w:r>
      <w:r w:rsidRPr="00BA654C">
        <w:rPr>
          <w:rFonts w:ascii="Times New Roman" w:hAnsi="Times New Roman"/>
        </w:rPr>
        <w:t xml:space="preserve">copies of the first </w:t>
      </w:r>
      <w:r w:rsidRPr="00BA654C">
        <w:rPr>
          <w:rFonts w:ascii="Times New Roman" w:hAnsi="Times New Roman"/>
        </w:rPr>
        <w:lastRenderedPageBreak/>
        <w:t xml:space="preserve">and second plaintiffs' passports by </w:t>
      </w:r>
      <w:r w:rsidR="0042032A" w:rsidRPr="00BA654C">
        <w:rPr>
          <w:rFonts w:ascii="Times New Roman" w:hAnsi="Times New Roman"/>
        </w:rPr>
        <w:t>uploading</w:t>
      </w:r>
      <w:r w:rsidRPr="00BA654C">
        <w:rPr>
          <w:rFonts w:ascii="Times New Roman" w:hAnsi="Times New Roman"/>
        </w:rPr>
        <w:t xml:space="preserve"> scanned copies</w:t>
      </w:r>
      <w:r w:rsidR="0042032A" w:rsidRPr="00BA654C">
        <w:rPr>
          <w:rFonts w:ascii="Times New Roman" w:hAnsi="Times New Roman"/>
        </w:rPr>
        <w:t>, but no other documents.</w:t>
      </w:r>
    </w:p>
    <w:p w14:paraId="034CCD57" w14:textId="4609E36E" w:rsidR="00E01B5A" w:rsidRPr="00BA654C" w:rsidRDefault="0042032A" w:rsidP="00BA654C">
      <w:pPr>
        <w:pStyle w:val="FixListStyle"/>
        <w:spacing w:after="260" w:line="280" w:lineRule="exact"/>
        <w:ind w:right="0"/>
        <w:jc w:val="both"/>
        <w:rPr>
          <w:rFonts w:ascii="Times New Roman" w:hAnsi="Times New Roman"/>
        </w:rPr>
      </w:pPr>
      <w:r w:rsidRPr="00BA654C">
        <w:rPr>
          <w:rFonts w:ascii="Times New Roman" w:hAnsi="Times New Roman"/>
        </w:rPr>
        <w:tab/>
        <w:t xml:space="preserve">It follows that it cannot be inferred that </w:t>
      </w:r>
      <w:r w:rsidR="00B55458" w:rsidRPr="00BA654C">
        <w:rPr>
          <w:rFonts w:ascii="Times New Roman" w:hAnsi="Times New Roman"/>
        </w:rPr>
        <w:t xml:space="preserve">the South Australian government agency </w:t>
      </w:r>
      <w:r w:rsidR="00FC10E4" w:rsidRPr="00BA654C">
        <w:rPr>
          <w:rFonts w:ascii="Times New Roman" w:hAnsi="Times New Roman"/>
        </w:rPr>
        <w:t xml:space="preserve">satisfied itself that </w:t>
      </w:r>
      <w:r w:rsidR="008A7C42" w:rsidRPr="00BA654C">
        <w:rPr>
          <w:rFonts w:ascii="Times New Roman" w:hAnsi="Times New Roman"/>
        </w:rPr>
        <w:t xml:space="preserve">the first plaintiff would meet the primary criteria in </w:t>
      </w:r>
      <w:proofErr w:type="spellStart"/>
      <w:r w:rsidR="008A7C42" w:rsidRPr="00BA654C">
        <w:rPr>
          <w:rFonts w:ascii="Times New Roman" w:hAnsi="Times New Roman"/>
        </w:rPr>
        <w:t>Subdiv</w:t>
      </w:r>
      <w:proofErr w:type="spellEnd"/>
      <w:r w:rsidR="008A7C42" w:rsidRPr="00BA654C">
        <w:rPr>
          <w:rFonts w:ascii="Times New Roman" w:hAnsi="Times New Roman"/>
        </w:rPr>
        <w:t xml:space="preserve"> 132.225 by </w:t>
      </w:r>
      <w:r w:rsidR="00E902E8" w:rsidRPr="00BA654C">
        <w:rPr>
          <w:rFonts w:ascii="Times New Roman" w:hAnsi="Times New Roman"/>
        </w:rPr>
        <w:t>reviewing the audited financial statements of the first plaintiff's business</w:t>
      </w:r>
      <w:r w:rsidR="00C06E73" w:rsidRPr="00BA654C">
        <w:rPr>
          <w:rFonts w:ascii="Times New Roman" w:hAnsi="Times New Roman"/>
        </w:rPr>
        <w:t xml:space="preserve"> or that such satisfaction underlay th</w:t>
      </w:r>
      <w:r w:rsidR="00D87DCF" w:rsidRPr="00BA654C">
        <w:rPr>
          <w:rFonts w:ascii="Times New Roman" w:hAnsi="Times New Roman"/>
        </w:rPr>
        <w:t>at State government agency</w:t>
      </w:r>
      <w:r w:rsidR="00E741F2" w:rsidRPr="00BA654C">
        <w:rPr>
          <w:rFonts w:ascii="Times New Roman" w:hAnsi="Times New Roman"/>
        </w:rPr>
        <w:t>'s</w:t>
      </w:r>
      <w:r w:rsidR="00D87DCF" w:rsidRPr="00BA654C">
        <w:rPr>
          <w:rFonts w:ascii="Times New Roman" w:hAnsi="Times New Roman"/>
        </w:rPr>
        <w:t xml:space="preserve"> </w:t>
      </w:r>
      <w:r w:rsidR="00E741F2" w:rsidRPr="00BA654C">
        <w:rPr>
          <w:rFonts w:ascii="Times New Roman" w:hAnsi="Times New Roman"/>
        </w:rPr>
        <w:t xml:space="preserve">nomination of </w:t>
      </w:r>
      <w:r w:rsidR="00D87DCF" w:rsidRPr="00BA654C">
        <w:rPr>
          <w:rFonts w:ascii="Times New Roman" w:hAnsi="Times New Roman"/>
        </w:rPr>
        <w:t xml:space="preserve">the first plaintiff for </w:t>
      </w:r>
      <w:r w:rsidR="001B404A" w:rsidRPr="00BA654C">
        <w:rPr>
          <w:rFonts w:ascii="Times New Roman" w:hAnsi="Times New Roman"/>
        </w:rPr>
        <w:t xml:space="preserve">an invitation by the Minister to make </w:t>
      </w:r>
      <w:r w:rsidR="00AB2E85" w:rsidRPr="00BA654C">
        <w:rPr>
          <w:rFonts w:ascii="Times New Roman" w:hAnsi="Times New Roman"/>
        </w:rPr>
        <w:t xml:space="preserve">the </w:t>
      </w:r>
      <w:r w:rsidR="001B404A" w:rsidRPr="00BA654C">
        <w:rPr>
          <w:rFonts w:ascii="Times New Roman" w:hAnsi="Times New Roman"/>
        </w:rPr>
        <w:t xml:space="preserve">application for </w:t>
      </w:r>
      <w:r w:rsidR="00AB2E85" w:rsidRPr="00BA654C">
        <w:rPr>
          <w:rFonts w:ascii="Times New Roman" w:hAnsi="Times New Roman"/>
        </w:rPr>
        <w:t xml:space="preserve">the </w:t>
      </w:r>
      <w:r w:rsidR="001B404A" w:rsidRPr="00BA654C">
        <w:rPr>
          <w:rFonts w:ascii="Times New Roman" w:hAnsi="Times New Roman"/>
        </w:rPr>
        <w:t>Sub</w:t>
      </w:r>
      <w:r w:rsidR="007261EA">
        <w:rPr>
          <w:rFonts w:ascii="Times New Roman" w:hAnsi="Times New Roman"/>
        </w:rPr>
        <w:t>class</w:t>
      </w:r>
      <w:r w:rsidR="001B404A" w:rsidRPr="00BA654C">
        <w:rPr>
          <w:rFonts w:ascii="Times New Roman" w:hAnsi="Times New Roman"/>
        </w:rPr>
        <w:t> 132 visa.</w:t>
      </w:r>
    </w:p>
    <w:p w14:paraId="697219F9" w14:textId="70B73BE7" w:rsidR="00564648" w:rsidRPr="00BA654C" w:rsidRDefault="00E01B5A"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AB2E85" w:rsidRPr="00BA654C">
        <w:rPr>
          <w:rFonts w:ascii="Times New Roman" w:hAnsi="Times New Roman"/>
        </w:rPr>
        <w:t xml:space="preserve">Even if that had been the case, the record of the nomination form also states, for example, </w:t>
      </w:r>
      <w:r w:rsidR="000C175D" w:rsidRPr="00BA654C">
        <w:rPr>
          <w:rFonts w:ascii="Times New Roman" w:hAnsi="Times New Roman"/>
        </w:rPr>
        <w:t xml:space="preserve">that "If your </w:t>
      </w:r>
      <w:r w:rsidR="006E2ED8" w:rsidRPr="00BA654C">
        <w:rPr>
          <w:rFonts w:ascii="Times New Roman" w:hAnsi="Times New Roman"/>
        </w:rPr>
        <w:t>application for nomination is successful</w:t>
      </w:r>
      <w:r w:rsidR="006D57EE" w:rsidRPr="00BA654C">
        <w:rPr>
          <w:rFonts w:ascii="Times New Roman" w:hAnsi="Times New Roman"/>
        </w:rPr>
        <w:t>,</w:t>
      </w:r>
      <w:r w:rsidR="006E2ED8" w:rsidRPr="00BA654C">
        <w:rPr>
          <w:rFonts w:ascii="Times New Roman" w:hAnsi="Times New Roman"/>
        </w:rPr>
        <w:t xml:space="preserve"> you must also meet all visa criteria set by the Department of Home Affairs</w:t>
      </w:r>
      <w:r w:rsidR="001472E8" w:rsidRPr="00BA654C">
        <w:rPr>
          <w:rFonts w:ascii="Times New Roman" w:hAnsi="Times New Roman"/>
        </w:rPr>
        <w:t xml:space="preserve"> ...". </w:t>
      </w:r>
      <w:r w:rsidR="006812C3" w:rsidRPr="00BA654C">
        <w:rPr>
          <w:rFonts w:ascii="Times New Roman" w:hAnsi="Times New Roman"/>
        </w:rPr>
        <w:t>Accordingly, it also cannot be inferred that the delegate</w:t>
      </w:r>
      <w:r w:rsidR="005D1C98" w:rsidRPr="00BA654C">
        <w:rPr>
          <w:rFonts w:ascii="Times New Roman" w:hAnsi="Times New Roman"/>
        </w:rPr>
        <w:t xml:space="preserve">, in assessing the plaintiffs' </w:t>
      </w:r>
      <w:r w:rsidR="00BA17F6" w:rsidRPr="00BA654C">
        <w:rPr>
          <w:rFonts w:ascii="Times New Roman" w:hAnsi="Times New Roman"/>
        </w:rPr>
        <w:t xml:space="preserve">application for the </w:t>
      </w:r>
      <w:r w:rsidR="005D1C98" w:rsidRPr="00BA654C">
        <w:rPr>
          <w:rFonts w:ascii="Times New Roman" w:hAnsi="Times New Roman"/>
        </w:rPr>
        <w:t>Sub</w:t>
      </w:r>
      <w:r w:rsidR="003D154E" w:rsidRPr="00BA654C">
        <w:rPr>
          <w:rFonts w:ascii="Times New Roman" w:hAnsi="Times New Roman"/>
        </w:rPr>
        <w:t>class</w:t>
      </w:r>
      <w:r w:rsidR="005D1C98" w:rsidRPr="00BA654C">
        <w:rPr>
          <w:rFonts w:ascii="Times New Roman" w:hAnsi="Times New Roman"/>
        </w:rPr>
        <w:t> 132</w:t>
      </w:r>
      <w:r w:rsidR="006812C3" w:rsidRPr="00BA654C">
        <w:rPr>
          <w:rFonts w:ascii="Times New Roman" w:hAnsi="Times New Roman"/>
        </w:rPr>
        <w:t xml:space="preserve"> </w:t>
      </w:r>
      <w:r w:rsidR="00BA17F6" w:rsidRPr="00BA654C">
        <w:rPr>
          <w:rFonts w:ascii="Times New Roman" w:hAnsi="Times New Roman"/>
        </w:rPr>
        <w:t xml:space="preserve">visa, </w:t>
      </w:r>
      <w:r w:rsidR="006812C3" w:rsidRPr="00BA654C">
        <w:rPr>
          <w:rFonts w:ascii="Times New Roman" w:hAnsi="Times New Roman"/>
        </w:rPr>
        <w:t xml:space="preserve">knew or assumed </w:t>
      </w:r>
      <w:r w:rsidR="002D27F8" w:rsidRPr="00BA654C">
        <w:rPr>
          <w:rFonts w:ascii="Times New Roman" w:hAnsi="Times New Roman"/>
        </w:rPr>
        <w:t xml:space="preserve">either that </w:t>
      </w:r>
      <w:r w:rsidR="00680D58" w:rsidRPr="00BA654C">
        <w:rPr>
          <w:rFonts w:ascii="Times New Roman" w:hAnsi="Times New Roman"/>
        </w:rPr>
        <w:t>the</w:t>
      </w:r>
      <w:r w:rsidR="002D27F8" w:rsidRPr="00BA654C">
        <w:rPr>
          <w:rFonts w:ascii="Times New Roman" w:hAnsi="Times New Roman"/>
        </w:rPr>
        <w:t xml:space="preserve"> South </w:t>
      </w:r>
      <w:r w:rsidR="00680D58" w:rsidRPr="00BA654C">
        <w:rPr>
          <w:rFonts w:ascii="Times New Roman" w:hAnsi="Times New Roman"/>
        </w:rPr>
        <w:t>Australian government agency</w:t>
      </w:r>
      <w:r w:rsidR="00BA17F6" w:rsidRPr="00BA654C">
        <w:rPr>
          <w:rFonts w:ascii="Times New Roman" w:hAnsi="Times New Roman"/>
        </w:rPr>
        <w:t xml:space="preserve"> had</w:t>
      </w:r>
      <w:r w:rsidR="002D27F8" w:rsidRPr="00BA654C">
        <w:rPr>
          <w:rFonts w:ascii="Times New Roman" w:hAnsi="Times New Roman"/>
        </w:rPr>
        <w:t xml:space="preserve"> satisfied itself that the first plaintiff would meet the primary criteria in </w:t>
      </w:r>
      <w:proofErr w:type="spellStart"/>
      <w:r w:rsidR="002D27F8" w:rsidRPr="00BA654C">
        <w:rPr>
          <w:rFonts w:ascii="Times New Roman" w:hAnsi="Times New Roman"/>
        </w:rPr>
        <w:t>Subdiv</w:t>
      </w:r>
      <w:proofErr w:type="spellEnd"/>
      <w:r w:rsidR="002D27F8" w:rsidRPr="00BA654C">
        <w:rPr>
          <w:rFonts w:ascii="Times New Roman" w:hAnsi="Times New Roman"/>
        </w:rPr>
        <w:t> 132.225 by reviewing the audited financial statements of the first plaintiff's business or that such satisfaction underlay that agency's nomination of the first plaintiff for an invitation by the Minister to make the application</w:t>
      </w:r>
      <w:r w:rsidR="00BA17F6" w:rsidRPr="00BA654C">
        <w:rPr>
          <w:rFonts w:ascii="Times New Roman" w:hAnsi="Times New Roman"/>
        </w:rPr>
        <w:t xml:space="preserve"> for the Sub</w:t>
      </w:r>
      <w:r w:rsidR="005127EA" w:rsidRPr="00BA654C">
        <w:rPr>
          <w:rFonts w:ascii="Times New Roman" w:hAnsi="Times New Roman"/>
        </w:rPr>
        <w:t>class</w:t>
      </w:r>
      <w:r w:rsidR="00BA17F6" w:rsidRPr="00BA654C">
        <w:rPr>
          <w:rFonts w:ascii="Times New Roman" w:hAnsi="Times New Roman"/>
        </w:rPr>
        <w:t> 132 visa.</w:t>
      </w:r>
    </w:p>
    <w:p w14:paraId="7AA95051" w14:textId="0F13F8AD" w:rsidR="006E34C2" w:rsidRPr="00BA654C" w:rsidRDefault="00ED65DC"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BA17F6" w:rsidRPr="00BA654C">
        <w:rPr>
          <w:rFonts w:ascii="Times New Roman" w:hAnsi="Times New Roman"/>
        </w:rPr>
        <w:t>Th</w:t>
      </w:r>
      <w:r w:rsidR="00261FDB" w:rsidRPr="00BA654C">
        <w:rPr>
          <w:rFonts w:ascii="Times New Roman" w:hAnsi="Times New Roman"/>
        </w:rPr>
        <w:t xml:space="preserve">e impossibility of drawing any </w:t>
      </w:r>
      <w:r w:rsidR="00E01B5A" w:rsidRPr="00BA654C">
        <w:rPr>
          <w:rFonts w:ascii="Times New Roman" w:hAnsi="Times New Roman"/>
        </w:rPr>
        <w:t xml:space="preserve">factual </w:t>
      </w:r>
      <w:r w:rsidR="00261FDB" w:rsidRPr="00BA654C">
        <w:rPr>
          <w:rFonts w:ascii="Times New Roman" w:hAnsi="Times New Roman"/>
        </w:rPr>
        <w:t xml:space="preserve">inference </w:t>
      </w:r>
      <w:r w:rsidR="00E01B5A" w:rsidRPr="00BA654C">
        <w:rPr>
          <w:rFonts w:ascii="Times New Roman" w:hAnsi="Times New Roman"/>
        </w:rPr>
        <w:t>supportive of the cl</w:t>
      </w:r>
      <w:r w:rsidR="004264B4" w:rsidRPr="00BA654C">
        <w:rPr>
          <w:rFonts w:ascii="Times New Roman" w:hAnsi="Times New Roman"/>
        </w:rPr>
        <w:t>a</w:t>
      </w:r>
      <w:r w:rsidR="00E01B5A" w:rsidRPr="00BA654C">
        <w:rPr>
          <w:rFonts w:ascii="Times New Roman" w:hAnsi="Times New Roman"/>
        </w:rPr>
        <w:t xml:space="preserve">imed </w:t>
      </w:r>
      <w:r w:rsidR="00986FE3" w:rsidRPr="00BA654C">
        <w:rPr>
          <w:rFonts w:ascii="Times New Roman" w:hAnsi="Times New Roman"/>
        </w:rPr>
        <w:t xml:space="preserve">legal </w:t>
      </w:r>
      <w:r w:rsidR="00E01B5A" w:rsidRPr="00BA654C">
        <w:rPr>
          <w:rFonts w:ascii="Times New Roman" w:hAnsi="Times New Roman"/>
        </w:rPr>
        <w:t xml:space="preserve">unreasonableness of the </w:t>
      </w:r>
      <w:r w:rsidR="004264B4" w:rsidRPr="00BA654C">
        <w:rPr>
          <w:rFonts w:ascii="Times New Roman" w:hAnsi="Times New Roman"/>
        </w:rPr>
        <w:t xml:space="preserve">delegate not having requested the audited financial statements before refusing the Subclass 132 visa application </w:t>
      </w:r>
      <w:r w:rsidR="00261FDB" w:rsidRPr="00BA654C">
        <w:rPr>
          <w:rFonts w:ascii="Times New Roman" w:hAnsi="Times New Roman"/>
        </w:rPr>
        <w:t xml:space="preserve">is </w:t>
      </w:r>
      <w:r w:rsidR="006117E9" w:rsidRPr="00BA654C">
        <w:rPr>
          <w:rFonts w:ascii="Times New Roman" w:hAnsi="Times New Roman"/>
        </w:rPr>
        <w:t xml:space="preserve">also </w:t>
      </w:r>
      <w:r w:rsidR="00B06885" w:rsidRPr="00BA654C">
        <w:rPr>
          <w:rFonts w:ascii="Times New Roman" w:hAnsi="Times New Roman"/>
        </w:rPr>
        <w:t xml:space="preserve">reinforced </w:t>
      </w:r>
      <w:r w:rsidR="00261FDB" w:rsidRPr="00BA654C">
        <w:rPr>
          <w:rFonts w:ascii="Times New Roman" w:hAnsi="Times New Roman"/>
        </w:rPr>
        <w:t xml:space="preserve">by </w:t>
      </w:r>
      <w:r w:rsidR="004264B4" w:rsidRPr="00BA654C">
        <w:rPr>
          <w:rFonts w:ascii="Times New Roman" w:hAnsi="Times New Roman"/>
        </w:rPr>
        <w:t xml:space="preserve">other </w:t>
      </w:r>
      <w:r w:rsidR="00986FE3" w:rsidRPr="00BA654C">
        <w:rPr>
          <w:rFonts w:ascii="Times New Roman" w:hAnsi="Times New Roman"/>
        </w:rPr>
        <w:t xml:space="preserve">Departmental </w:t>
      </w:r>
      <w:r w:rsidR="004264B4" w:rsidRPr="00BA654C">
        <w:rPr>
          <w:rFonts w:ascii="Times New Roman" w:hAnsi="Times New Roman"/>
        </w:rPr>
        <w:t>documents.</w:t>
      </w:r>
    </w:p>
    <w:p w14:paraId="30AD0DDA" w14:textId="58D283EF" w:rsidR="006A1F50" w:rsidRPr="00BA654C" w:rsidRDefault="006E34C2" w:rsidP="00BA654C">
      <w:pPr>
        <w:pStyle w:val="FixListStyle"/>
        <w:spacing w:after="260" w:line="280" w:lineRule="exact"/>
        <w:ind w:right="0"/>
        <w:jc w:val="both"/>
        <w:rPr>
          <w:rFonts w:ascii="Times New Roman" w:hAnsi="Times New Roman"/>
        </w:rPr>
      </w:pPr>
      <w:r w:rsidRPr="00BA654C">
        <w:rPr>
          <w:rFonts w:ascii="Times New Roman" w:hAnsi="Times New Roman"/>
        </w:rPr>
        <w:tab/>
        <w:t xml:space="preserve">The </w:t>
      </w:r>
      <w:r w:rsidR="00261FDB" w:rsidRPr="00BA654C">
        <w:rPr>
          <w:rFonts w:ascii="Times New Roman" w:hAnsi="Times New Roman"/>
        </w:rPr>
        <w:t xml:space="preserve">invitation </w:t>
      </w:r>
      <w:r w:rsidR="00BC4BA9" w:rsidRPr="00BA654C">
        <w:rPr>
          <w:rFonts w:ascii="Times New Roman" w:hAnsi="Times New Roman"/>
        </w:rPr>
        <w:t xml:space="preserve">from the Minister </w:t>
      </w:r>
      <w:r w:rsidR="00080A04" w:rsidRPr="00BA654C">
        <w:rPr>
          <w:rFonts w:ascii="Times New Roman" w:hAnsi="Times New Roman"/>
        </w:rPr>
        <w:t xml:space="preserve">(via the Department) </w:t>
      </w:r>
      <w:r w:rsidR="00261FDB" w:rsidRPr="00BA654C">
        <w:rPr>
          <w:rFonts w:ascii="Times New Roman" w:hAnsi="Times New Roman"/>
        </w:rPr>
        <w:t>to the first plaintiff to apply for the Sub</w:t>
      </w:r>
      <w:r w:rsidR="00A10390">
        <w:rPr>
          <w:rFonts w:ascii="Times New Roman" w:hAnsi="Times New Roman"/>
        </w:rPr>
        <w:t>class</w:t>
      </w:r>
      <w:r w:rsidR="00261FDB" w:rsidRPr="00BA654C">
        <w:rPr>
          <w:rFonts w:ascii="Times New Roman" w:hAnsi="Times New Roman"/>
        </w:rPr>
        <w:t xml:space="preserve"> 132 visa dated </w:t>
      </w:r>
      <w:r w:rsidR="006A1F50" w:rsidRPr="00BA654C">
        <w:rPr>
          <w:rFonts w:ascii="Times New Roman" w:hAnsi="Times New Roman"/>
        </w:rPr>
        <w:t>20 April 2021</w:t>
      </w:r>
      <w:r w:rsidR="0031788D" w:rsidRPr="00BA654C">
        <w:rPr>
          <w:rFonts w:ascii="Times New Roman" w:hAnsi="Times New Roman"/>
        </w:rPr>
        <w:t xml:space="preserve"> included</w:t>
      </w:r>
      <w:r w:rsidR="00261FDB" w:rsidRPr="00BA654C">
        <w:rPr>
          <w:rFonts w:ascii="Times New Roman" w:hAnsi="Times New Roman"/>
        </w:rPr>
        <w:t xml:space="preserve"> this information</w:t>
      </w:r>
      <w:r w:rsidR="006A1F50" w:rsidRPr="00BA654C">
        <w:rPr>
          <w:rFonts w:ascii="Times New Roman" w:hAnsi="Times New Roman"/>
        </w:rPr>
        <w:t>:</w:t>
      </w:r>
    </w:p>
    <w:p w14:paraId="79F93890" w14:textId="77777777" w:rsidR="006A1F50" w:rsidRPr="00BA654C" w:rsidRDefault="006A1F50" w:rsidP="00BA654C">
      <w:pPr>
        <w:pStyle w:val="LeftrightafterHC"/>
        <w:spacing w:before="0" w:after="260" w:line="280" w:lineRule="exact"/>
        <w:ind w:right="0"/>
        <w:jc w:val="both"/>
        <w:rPr>
          <w:rFonts w:ascii="Times New Roman" w:hAnsi="Times New Roman"/>
        </w:rPr>
      </w:pPr>
      <w:r w:rsidRPr="00BA654C">
        <w:rPr>
          <w:rFonts w:ascii="Times New Roman" w:hAnsi="Times New Roman"/>
        </w:rPr>
        <w:t>"Being invited to apply for a visa does not guarantee that you will be able to make a valid visa application or that an application will be successful. Most skilled visas have requirements that must be satisfied at the date of invitation for a visa application to succeed.</w:t>
      </w:r>
    </w:p>
    <w:p w14:paraId="68FBDA61" w14:textId="77777777" w:rsidR="006A1F50" w:rsidRPr="00BA654C" w:rsidRDefault="006A1F50" w:rsidP="00BA654C">
      <w:pPr>
        <w:pStyle w:val="leftright"/>
        <w:spacing w:before="0" w:after="260" w:line="280" w:lineRule="exact"/>
        <w:ind w:right="0"/>
        <w:jc w:val="both"/>
        <w:rPr>
          <w:rFonts w:ascii="Times New Roman" w:hAnsi="Times New Roman"/>
        </w:rPr>
      </w:pPr>
      <w:r w:rsidRPr="00BA654C">
        <w:rPr>
          <w:rFonts w:ascii="Times New Roman" w:hAnsi="Times New Roman"/>
        </w:rPr>
        <w:t>...</w:t>
      </w:r>
    </w:p>
    <w:p w14:paraId="20F5B500" w14:textId="3E8050EF" w:rsidR="006A1F50" w:rsidRPr="00BA654C" w:rsidRDefault="006A1F50" w:rsidP="00BA654C">
      <w:pPr>
        <w:pStyle w:val="leftright"/>
        <w:spacing w:before="0" w:after="260" w:line="280" w:lineRule="exact"/>
        <w:ind w:right="0"/>
        <w:jc w:val="both"/>
        <w:rPr>
          <w:rFonts w:ascii="Times New Roman" w:hAnsi="Times New Roman"/>
        </w:rPr>
      </w:pPr>
      <w:r w:rsidRPr="00BA654C">
        <w:rPr>
          <w:rFonts w:ascii="Times New Roman" w:hAnsi="Times New Roman"/>
        </w:rPr>
        <w:t xml:space="preserve">If you proceed to lodge a visa </w:t>
      </w:r>
      <w:proofErr w:type="gramStart"/>
      <w:r w:rsidRPr="00BA654C">
        <w:rPr>
          <w:rFonts w:ascii="Times New Roman" w:hAnsi="Times New Roman"/>
        </w:rPr>
        <w:t>application</w:t>
      </w:r>
      <w:proofErr w:type="gramEnd"/>
      <w:r w:rsidRPr="00BA654C">
        <w:rPr>
          <w:rFonts w:ascii="Times New Roman" w:hAnsi="Times New Roman"/>
        </w:rPr>
        <w:t xml:space="preserve"> you must provide documentary evidence of the claims made in your EOI </w:t>
      </w:r>
      <w:r w:rsidR="00B80CA7" w:rsidRPr="00BA654C">
        <w:rPr>
          <w:rFonts w:ascii="Times New Roman" w:hAnsi="Times New Roman"/>
        </w:rPr>
        <w:t xml:space="preserve">[expression of interest] </w:t>
      </w:r>
      <w:r w:rsidRPr="00BA654C">
        <w:rPr>
          <w:rFonts w:ascii="Times New Roman" w:hAnsi="Times New Roman"/>
        </w:rPr>
        <w:t>as well as other supporting information. If information within your EOI is incorrect, any visa application you make may be unsuccessful.</w:t>
      </w:r>
    </w:p>
    <w:p w14:paraId="0D2D7AD9" w14:textId="77777777" w:rsidR="006A1F50" w:rsidRPr="00BA654C" w:rsidRDefault="006A1F50" w:rsidP="00BA654C">
      <w:pPr>
        <w:pStyle w:val="leftright"/>
        <w:spacing w:before="0" w:after="260" w:line="280" w:lineRule="exact"/>
        <w:ind w:right="0"/>
        <w:jc w:val="both"/>
        <w:rPr>
          <w:rFonts w:ascii="Times New Roman" w:hAnsi="Times New Roman"/>
        </w:rPr>
      </w:pPr>
      <w:r w:rsidRPr="00BA654C">
        <w:rPr>
          <w:rFonts w:ascii="Times New Roman" w:hAnsi="Times New Roman"/>
        </w:rPr>
        <w:t>...</w:t>
      </w:r>
    </w:p>
    <w:p w14:paraId="49A339FF" w14:textId="77777777" w:rsidR="00025BBF" w:rsidRPr="00BA654C" w:rsidRDefault="006A1F50" w:rsidP="00BA654C">
      <w:pPr>
        <w:pStyle w:val="leftright"/>
        <w:spacing w:before="0" w:after="260" w:line="280" w:lineRule="exact"/>
        <w:ind w:right="0"/>
        <w:jc w:val="both"/>
        <w:rPr>
          <w:rFonts w:ascii="Times New Roman" w:hAnsi="Times New Roman"/>
        </w:rPr>
      </w:pPr>
      <w:r w:rsidRPr="00BA654C">
        <w:rPr>
          <w:rFonts w:ascii="Times New Roman" w:hAnsi="Times New Roman"/>
        </w:rPr>
        <w:t xml:space="preserve">Carefully review the visa and documentary requirements for a 132 (SBH) visa at https://immi.homeaffairs.gov.au/vias/working-in-australia </w:t>
      </w:r>
    </w:p>
    <w:p w14:paraId="78F15825" w14:textId="77777777" w:rsidR="00BA654C" w:rsidRDefault="006A1F50" w:rsidP="00BA654C">
      <w:pPr>
        <w:pStyle w:val="leftright"/>
        <w:spacing w:before="0" w:after="260" w:line="280" w:lineRule="exact"/>
        <w:ind w:right="0"/>
        <w:jc w:val="both"/>
        <w:rPr>
          <w:rFonts w:ascii="Times New Roman" w:hAnsi="Times New Roman"/>
        </w:rPr>
      </w:pPr>
      <w:r w:rsidRPr="00BA654C">
        <w:rPr>
          <w:rFonts w:ascii="Times New Roman" w:hAnsi="Times New Roman"/>
        </w:rPr>
        <w:t>..."</w:t>
      </w:r>
    </w:p>
    <w:p w14:paraId="51FC1520" w14:textId="1CB222E4" w:rsidR="00E23B9F"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lastRenderedPageBreak/>
        <w:tab/>
      </w:r>
      <w:r w:rsidR="00922626" w:rsidRPr="00BA654C">
        <w:rPr>
          <w:rFonts w:ascii="Times New Roman" w:hAnsi="Times New Roman"/>
        </w:rPr>
        <w:t xml:space="preserve">The </w:t>
      </w:r>
      <w:r w:rsidR="00E23B9F" w:rsidRPr="00BA654C">
        <w:rPr>
          <w:rFonts w:ascii="Times New Roman" w:hAnsi="Times New Roman"/>
        </w:rPr>
        <w:t>Department</w:t>
      </w:r>
      <w:r w:rsidR="00080A04" w:rsidRPr="00BA654C">
        <w:rPr>
          <w:rFonts w:ascii="Times New Roman" w:hAnsi="Times New Roman"/>
        </w:rPr>
        <w:t>'s</w:t>
      </w:r>
      <w:r w:rsidR="00E23B9F" w:rsidRPr="00BA654C">
        <w:rPr>
          <w:rFonts w:ascii="Times New Roman" w:hAnsi="Times New Roman"/>
        </w:rPr>
        <w:t xml:space="preserve"> website</w:t>
      </w:r>
      <w:r w:rsidR="00B06885" w:rsidRPr="00BA654C">
        <w:rPr>
          <w:rFonts w:ascii="Times New Roman" w:hAnsi="Times New Roman"/>
        </w:rPr>
        <w:t>, as referred to in the invitation,</w:t>
      </w:r>
      <w:r w:rsidR="00E23B9F" w:rsidRPr="00BA654C">
        <w:rPr>
          <w:rFonts w:ascii="Times New Roman" w:hAnsi="Times New Roman"/>
        </w:rPr>
        <w:t xml:space="preserve"> included statements as follows:</w:t>
      </w:r>
    </w:p>
    <w:p w14:paraId="2E3A5628" w14:textId="205F1E65" w:rsidR="00E23B9F" w:rsidRPr="00BA654C" w:rsidRDefault="00E23B9F" w:rsidP="00BA654C">
      <w:pPr>
        <w:pStyle w:val="leftright"/>
        <w:keepNext/>
        <w:spacing w:before="0" w:after="260" w:line="280" w:lineRule="exact"/>
        <w:ind w:right="0"/>
        <w:jc w:val="both"/>
        <w:rPr>
          <w:rFonts w:ascii="Times New Roman" w:hAnsi="Times New Roman"/>
          <w:b/>
          <w:bCs/>
        </w:rPr>
      </w:pPr>
      <w:r w:rsidRPr="00BA654C">
        <w:rPr>
          <w:rFonts w:ascii="Times New Roman" w:hAnsi="Times New Roman"/>
        </w:rPr>
        <w:t>"</w:t>
      </w:r>
      <w:r w:rsidRPr="00BA654C">
        <w:rPr>
          <w:rFonts w:ascii="Times New Roman" w:hAnsi="Times New Roman"/>
          <w:b/>
          <w:bCs/>
        </w:rPr>
        <w:t>Turnover</w:t>
      </w:r>
    </w:p>
    <w:p w14:paraId="0F07FE2C" w14:textId="77777777" w:rsidR="00E23B9F" w:rsidRPr="00BA654C" w:rsidRDefault="00E23B9F" w:rsidP="00BA654C">
      <w:pPr>
        <w:pStyle w:val="leftright"/>
        <w:spacing w:before="0" w:after="260" w:line="280" w:lineRule="exact"/>
        <w:ind w:right="0"/>
        <w:jc w:val="both"/>
        <w:rPr>
          <w:rFonts w:ascii="Times New Roman" w:hAnsi="Times New Roman"/>
        </w:rPr>
      </w:pPr>
      <w:r w:rsidRPr="00BA654C">
        <w:rPr>
          <w:rFonts w:ascii="Times New Roman" w:hAnsi="Times New Roman"/>
        </w:rPr>
        <w:t>Provide evidence of total annual turnover of at least AUD3.0 million:</w:t>
      </w:r>
    </w:p>
    <w:p w14:paraId="40AE95F5" w14:textId="77777777" w:rsidR="00E23B9F" w:rsidRPr="00BA654C" w:rsidRDefault="00E23B9F" w:rsidP="00BA654C">
      <w:pPr>
        <w:pStyle w:val="leftright"/>
        <w:numPr>
          <w:ilvl w:val="0"/>
          <w:numId w:val="20"/>
        </w:numPr>
        <w:spacing w:before="0" w:after="260" w:line="280" w:lineRule="exact"/>
        <w:ind w:right="0"/>
        <w:jc w:val="both"/>
        <w:rPr>
          <w:rFonts w:ascii="Times New Roman" w:hAnsi="Times New Roman"/>
        </w:rPr>
      </w:pPr>
      <w:r w:rsidRPr="00BA654C">
        <w:rPr>
          <w:rFonts w:ascii="Times New Roman" w:hAnsi="Times New Roman"/>
        </w:rPr>
        <w:t>in at least 1 business but no more than 2 businesses</w:t>
      </w:r>
    </w:p>
    <w:p w14:paraId="04BBA5C9" w14:textId="77777777" w:rsidR="00E23B9F" w:rsidRPr="00BA654C" w:rsidRDefault="00E23B9F" w:rsidP="00BA654C">
      <w:pPr>
        <w:pStyle w:val="leftright"/>
        <w:numPr>
          <w:ilvl w:val="0"/>
          <w:numId w:val="20"/>
        </w:numPr>
        <w:spacing w:before="0" w:after="260" w:line="280" w:lineRule="exact"/>
        <w:ind w:right="0"/>
        <w:jc w:val="both"/>
        <w:rPr>
          <w:rFonts w:ascii="Times New Roman" w:hAnsi="Times New Roman"/>
        </w:rPr>
      </w:pPr>
      <w:r w:rsidRPr="00BA654C">
        <w:rPr>
          <w:rFonts w:ascii="Times New Roman" w:hAnsi="Times New Roman"/>
        </w:rPr>
        <w:t>in at least 2 of the 4 fiscal years immediately before we invited you to apply</w:t>
      </w:r>
    </w:p>
    <w:p w14:paraId="2D5F0F13" w14:textId="7B3F008B" w:rsidR="00E23B9F" w:rsidRPr="00BA654C" w:rsidRDefault="00E23B9F" w:rsidP="00BA654C">
      <w:pPr>
        <w:pStyle w:val="leftright"/>
        <w:spacing w:before="0" w:after="260" w:line="280" w:lineRule="exact"/>
        <w:ind w:right="0"/>
        <w:jc w:val="both"/>
        <w:rPr>
          <w:rFonts w:ascii="Times New Roman" w:hAnsi="Times New Roman"/>
        </w:rPr>
      </w:pPr>
      <w:r w:rsidRPr="00BA654C">
        <w:rPr>
          <w:rFonts w:ascii="Times New Roman" w:hAnsi="Times New Roman"/>
        </w:rPr>
        <w:t>...</w:t>
      </w:r>
    </w:p>
    <w:p w14:paraId="3DF6F5A2" w14:textId="21EED207" w:rsidR="00E23B9F" w:rsidRPr="00BA654C" w:rsidRDefault="00E23B9F" w:rsidP="00BA654C">
      <w:pPr>
        <w:pStyle w:val="leftright"/>
        <w:spacing w:before="0" w:after="260" w:line="280" w:lineRule="exact"/>
        <w:ind w:right="0"/>
        <w:jc w:val="both"/>
        <w:rPr>
          <w:rFonts w:ascii="Times New Roman" w:hAnsi="Times New Roman"/>
          <w:b/>
          <w:bCs/>
        </w:rPr>
      </w:pPr>
      <w:r w:rsidRPr="00BA654C">
        <w:rPr>
          <w:rFonts w:ascii="Times New Roman" w:hAnsi="Times New Roman"/>
          <w:b/>
          <w:bCs/>
        </w:rPr>
        <w:t>Send your documents</w:t>
      </w:r>
    </w:p>
    <w:p w14:paraId="463A2609" w14:textId="77777777" w:rsidR="00E23B9F" w:rsidRPr="00BA654C" w:rsidRDefault="00E23B9F" w:rsidP="00BA654C">
      <w:pPr>
        <w:pStyle w:val="leftright"/>
        <w:spacing w:before="0" w:after="260" w:line="280" w:lineRule="exact"/>
        <w:ind w:right="0"/>
        <w:jc w:val="both"/>
        <w:rPr>
          <w:rFonts w:ascii="Times New Roman" w:hAnsi="Times New Roman"/>
        </w:rPr>
      </w:pPr>
      <w:r w:rsidRPr="00BA654C">
        <w:rPr>
          <w:rFonts w:ascii="Times New Roman" w:hAnsi="Times New Roman"/>
        </w:rPr>
        <w:t>After you submit your application online, send us your documents and other forms.</w:t>
      </w:r>
    </w:p>
    <w:p w14:paraId="7490633D" w14:textId="6BBED49B" w:rsidR="003D1B12" w:rsidRPr="00BA654C" w:rsidRDefault="003D1B12" w:rsidP="00BA654C">
      <w:pPr>
        <w:pStyle w:val="leftright"/>
        <w:spacing w:before="0" w:after="260" w:line="280" w:lineRule="exact"/>
        <w:ind w:right="0"/>
        <w:jc w:val="both"/>
        <w:rPr>
          <w:rFonts w:ascii="Times New Roman" w:hAnsi="Times New Roman"/>
        </w:rPr>
      </w:pPr>
      <w:r w:rsidRPr="00BA654C">
        <w:rPr>
          <w:rFonts w:ascii="Times New Roman" w:hAnsi="Times New Roman"/>
        </w:rPr>
        <w:t>...</w:t>
      </w:r>
    </w:p>
    <w:p w14:paraId="785BAB80" w14:textId="03D64B1B" w:rsidR="00E23B9F" w:rsidRPr="00BA654C" w:rsidRDefault="003D1B12" w:rsidP="00BA654C">
      <w:pPr>
        <w:pStyle w:val="leftright"/>
        <w:spacing w:before="0" w:after="260" w:line="280" w:lineRule="exact"/>
        <w:ind w:right="0"/>
        <w:jc w:val="both"/>
        <w:rPr>
          <w:rFonts w:ascii="Times New Roman" w:hAnsi="Times New Roman"/>
        </w:rPr>
      </w:pPr>
      <w:r w:rsidRPr="00BA654C">
        <w:rPr>
          <w:rFonts w:ascii="Times New Roman" w:hAnsi="Times New Roman"/>
        </w:rPr>
        <w:t xml:space="preserve">... </w:t>
      </w:r>
      <w:r w:rsidR="00E23B9F" w:rsidRPr="00BA654C">
        <w:rPr>
          <w:rFonts w:ascii="Times New Roman" w:hAnsi="Times New Roman"/>
        </w:rPr>
        <w:t xml:space="preserve">send your documents by </w:t>
      </w:r>
      <w:r w:rsidR="00E23B9F" w:rsidRPr="00BA654C">
        <w:rPr>
          <w:rFonts w:ascii="Times New Roman" w:hAnsi="Times New Roman"/>
          <w:b/>
          <w:bCs/>
        </w:rPr>
        <w:t>registered post</w:t>
      </w:r>
      <w:r w:rsidR="00E23B9F" w:rsidRPr="00BA654C">
        <w:rPr>
          <w:rFonts w:ascii="Times New Roman" w:hAnsi="Times New Roman"/>
        </w:rPr>
        <w:t xml:space="preserve"> to:</w:t>
      </w:r>
    </w:p>
    <w:p w14:paraId="6FCF57D1" w14:textId="77777777" w:rsidR="00E23B9F" w:rsidRPr="00BA654C" w:rsidRDefault="00E23B9F" w:rsidP="00BA654C">
      <w:pPr>
        <w:pStyle w:val="leftright"/>
        <w:spacing w:before="0" w:after="260" w:line="280" w:lineRule="exact"/>
        <w:ind w:right="0"/>
        <w:jc w:val="both"/>
        <w:rPr>
          <w:rFonts w:ascii="Times New Roman" w:hAnsi="Times New Roman"/>
        </w:rPr>
      </w:pPr>
      <w:r w:rsidRPr="00BA654C">
        <w:rPr>
          <w:rFonts w:ascii="Times New Roman" w:hAnsi="Times New Roman"/>
        </w:rPr>
        <w:t>Adelaide Visa and Citizenship Office</w:t>
      </w:r>
    </w:p>
    <w:p w14:paraId="1A4794A9" w14:textId="13BAC9F6" w:rsidR="00BA654C" w:rsidRDefault="00E23B9F" w:rsidP="00BA654C">
      <w:pPr>
        <w:pStyle w:val="leftright"/>
        <w:spacing w:before="0" w:after="260" w:line="280" w:lineRule="exact"/>
        <w:ind w:right="0"/>
        <w:jc w:val="both"/>
        <w:rPr>
          <w:rFonts w:ascii="Times New Roman" w:hAnsi="Times New Roman"/>
        </w:rPr>
      </w:pPr>
      <w:r w:rsidRPr="00BA654C">
        <w:rPr>
          <w:rFonts w:ascii="Times New Roman" w:hAnsi="Times New Roman"/>
        </w:rPr>
        <w:t>Attention: Adelaide Business Skills Processing Centre"</w:t>
      </w:r>
    </w:p>
    <w:p w14:paraId="0F185F25" w14:textId="44F19132" w:rsidR="00E23B9F" w:rsidRPr="00BA654C" w:rsidRDefault="00E23B9F" w:rsidP="00BA654C">
      <w:pPr>
        <w:pStyle w:val="FixListStyle"/>
        <w:spacing w:after="260" w:line="280" w:lineRule="exact"/>
        <w:ind w:right="0"/>
        <w:jc w:val="both"/>
        <w:rPr>
          <w:rFonts w:ascii="Times New Roman" w:hAnsi="Times New Roman"/>
        </w:rPr>
      </w:pPr>
      <w:r w:rsidRPr="00BA654C">
        <w:rPr>
          <w:rFonts w:ascii="Times New Roman" w:hAnsi="Times New Roman"/>
        </w:rPr>
        <w:tab/>
        <w:t xml:space="preserve">Under the heading "After you apply", the website also stated: "If you didn't send us all documents when you applied, send them as soon as you can". </w:t>
      </w:r>
    </w:p>
    <w:p w14:paraId="36B102C1" w14:textId="5C7C5CAB" w:rsidR="006A1F50" w:rsidRPr="00BA654C" w:rsidRDefault="000E46FB"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8E3893" w:rsidRPr="00BA654C">
        <w:rPr>
          <w:rFonts w:ascii="Times New Roman" w:hAnsi="Times New Roman"/>
        </w:rPr>
        <w:t>T</w:t>
      </w:r>
      <w:r w:rsidR="006A1F50" w:rsidRPr="00BA654C">
        <w:rPr>
          <w:rFonts w:ascii="Times New Roman" w:hAnsi="Times New Roman"/>
        </w:rPr>
        <w:t xml:space="preserve">he Department sent a letter of acknowledgement </w:t>
      </w:r>
      <w:r w:rsidR="00C7647F" w:rsidRPr="00BA654C">
        <w:rPr>
          <w:rFonts w:ascii="Times New Roman" w:hAnsi="Times New Roman"/>
        </w:rPr>
        <w:t xml:space="preserve">of the making of the Subclass 132 visa application </w:t>
      </w:r>
      <w:r w:rsidR="006A1F50" w:rsidRPr="00BA654C">
        <w:rPr>
          <w:rFonts w:ascii="Times New Roman" w:hAnsi="Times New Roman"/>
        </w:rPr>
        <w:t xml:space="preserve">to the plaintiffs' migration agent which </w:t>
      </w:r>
      <w:r w:rsidR="008E3893" w:rsidRPr="00BA654C">
        <w:rPr>
          <w:rFonts w:ascii="Times New Roman" w:hAnsi="Times New Roman"/>
        </w:rPr>
        <w:t>said</w:t>
      </w:r>
      <w:r w:rsidR="006A1F50" w:rsidRPr="00BA654C">
        <w:rPr>
          <w:rFonts w:ascii="Times New Roman" w:hAnsi="Times New Roman"/>
        </w:rPr>
        <w:t xml:space="preserve">: </w:t>
      </w:r>
    </w:p>
    <w:p w14:paraId="3FC3704B" w14:textId="77777777" w:rsidR="006A1F50" w:rsidRPr="00BA654C" w:rsidRDefault="006A1F50" w:rsidP="00BA654C">
      <w:pPr>
        <w:pStyle w:val="leftright"/>
        <w:spacing w:before="0" w:after="260" w:line="280" w:lineRule="exact"/>
        <w:ind w:right="0"/>
        <w:jc w:val="both"/>
        <w:rPr>
          <w:rFonts w:ascii="Times New Roman" w:hAnsi="Times New Roman"/>
          <w:b/>
          <w:bCs/>
        </w:rPr>
      </w:pPr>
      <w:r w:rsidRPr="00BA654C">
        <w:rPr>
          <w:rFonts w:ascii="Times New Roman" w:hAnsi="Times New Roman"/>
        </w:rPr>
        <w:t>"</w:t>
      </w:r>
      <w:r w:rsidRPr="00BA654C">
        <w:rPr>
          <w:rFonts w:ascii="Times New Roman" w:hAnsi="Times New Roman"/>
          <w:b/>
          <w:bCs/>
        </w:rPr>
        <w:t>Providing documents</w:t>
      </w:r>
    </w:p>
    <w:p w14:paraId="34BE6343" w14:textId="77777777" w:rsidR="00BA654C" w:rsidRDefault="006A1F50" w:rsidP="00BA654C">
      <w:pPr>
        <w:pStyle w:val="leftright"/>
        <w:spacing w:before="0" w:after="260" w:line="280" w:lineRule="exact"/>
        <w:ind w:right="0"/>
        <w:jc w:val="both"/>
        <w:rPr>
          <w:rFonts w:ascii="Times New Roman" w:hAnsi="Times New Roman"/>
        </w:rPr>
      </w:pPr>
      <w:r w:rsidRPr="00BA654C">
        <w:rPr>
          <w:rFonts w:ascii="Times New Roman" w:hAnsi="Times New Roman"/>
        </w:rPr>
        <w:t xml:space="preserve">We may </w:t>
      </w:r>
      <w:proofErr w:type="gramStart"/>
      <w:r w:rsidRPr="00BA654C">
        <w:rPr>
          <w:rFonts w:ascii="Times New Roman" w:hAnsi="Times New Roman"/>
        </w:rPr>
        <w:t>make a decision</w:t>
      </w:r>
      <w:proofErr w:type="gramEnd"/>
      <w:r w:rsidRPr="00BA654C">
        <w:rPr>
          <w:rFonts w:ascii="Times New Roman" w:hAnsi="Times New Roman"/>
        </w:rPr>
        <w:t xml:space="preserve"> on your application without requesting additional information. You should provide us with all the information you feel is relevant."</w:t>
      </w:r>
    </w:p>
    <w:p w14:paraId="59347776" w14:textId="6E0E46C8" w:rsidR="006A1F50" w:rsidRPr="00BA654C" w:rsidRDefault="006A1F50" w:rsidP="00BA654C">
      <w:pPr>
        <w:pStyle w:val="HeadingL1"/>
        <w:spacing w:after="260" w:line="280" w:lineRule="exact"/>
        <w:ind w:right="0"/>
        <w:jc w:val="both"/>
        <w:rPr>
          <w:rFonts w:ascii="Times New Roman" w:hAnsi="Times New Roman"/>
        </w:rPr>
      </w:pPr>
      <w:r w:rsidRPr="00BA654C">
        <w:rPr>
          <w:rFonts w:ascii="Times New Roman" w:hAnsi="Times New Roman"/>
        </w:rPr>
        <w:lastRenderedPageBreak/>
        <w:t>Consideration</w:t>
      </w:r>
    </w:p>
    <w:p w14:paraId="5B4072D8" w14:textId="1C6890FF" w:rsidR="00E339C5" w:rsidRPr="00BA654C" w:rsidRDefault="00E339C5" w:rsidP="00BA654C">
      <w:pPr>
        <w:pStyle w:val="HeadingL2"/>
        <w:spacing w:after="260" w:line="280" w:lineRule="exact"/>
        <w:ind w:right="0"/>
        <w:jc w:val="both"/>
        <w:rPr>
          <w:rFonts w:ascii="Times New Roman" w:hAnsi="Times New Roman"/>
        </w:rPr>
      </w:pPr>
      <w:r w:rsidRPr="00BA654C">
        <w:rPr>
          <w:rFonts w:ascii="Times New Roman" w:hAnsi="Times New Roman"/>
        </w:rPr>
        <w:t>Failure to inquire?</w:t>
      </w:r>
    </w:p>
    <w:p w14:paraId="1D4F5CA4" w14:textId="0C28B8A5" w:rsidR="005A4F4A"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t xml:space="preserve">The plaintiffs </w:t>
      </w:r>
      <w:r w:rsidR="00625FDC" w:rsidRPr="00BA654C">
        <w:rPr>
          <w:rFonts w:ascii="Times New Roman" w:hAnsi="Times New Roman"/>
        </w:rPr>
        <w:t xml:space="preserve">relied on the principle </w:t>
      </w:r>
      <w:r w:rsidR="00D97446" w:rsidRPr="00BA654C">
        <w:rPr>
          <w:rFonts w:ascii="Times New Roman" w:hAnsi="Times New Roman"/>
        </w:rPr>
        <w:t xml:space="preserve">recently described in </w:t>
      </w:r>
      <w:r w:rsidR="00D97446" w:rsidRPr="00BA654C">
        <w:rPr>
          <w:rFonts w:ascii="Times New Roman" w:hAnsi="Times New Roman"/>
          <w:i/>
          <w:iCs/>
        </w:rPr>
        <w:t>Ismail v Minister for Immigration</w:t>
      </w:r>
      <w:r w:rsidR="00D97446" w:rsidRPr="00BA654C">
        <w:rPr>
          <w:rFonts w:ascii="Times New Roman" w:hAnsi="Times New Roman"/>
        </w:rPr>
        <w:t xml:space="preserve"> </w:t>
      </w:r>
      <w:r w:rsidR="00625FDC" w:rsidRPr="00BA654C">
        <w:rPr>
          <w:rFonts w:ascii="Times New Roman" w:hAnsi="Times New Roman"/>
        </w:rPr>
        <w:t xml:space="preserve">that </w:t>
      </w:r>
      <w:r w:rsidR="00D97446" w:rsidRPr="00BA654C">
        <w:rPr>
          <w:rFonts w:ascii="Times New Roman" w:hAnsi="Times New Roman"/>
        </w:rPr>
        <w:t>the</w:t>
      </w:r>
      <w:r w:rsidR="005A4F4A" w:rsidRPr="00BA654C">
        <w:rPr>
          <w:rFonts w:ascii="Times New Roman" w:hAnsi="Times New Roman"/>
        </w:rPr>
        <w:t>:</w:t>
      </w:r>
      <w:r w:rsidR="00C821B3" w:rsidRPr="00BA654C">
        <w:rPr>
          <w:rStyle w:val="FootnoteReference"/>
          <w:rFonts w:ascii="Times New Roman" w:hAnsi="Times New Roman"/>
          <w:sz w:val="24"/>
        </w:rPr>
        <w:footnoteReference w:id="11"/>
      </w:r>
    </w:p>
    <w:p w14:paraId="7ACC0F4B" w14:textId="77777777" w:rsidR="00BA654C" w:rsidRDefault="005A4F4A" w:rsidP="00BA654C">
      <w:pPr>
        <w:pStyle w:val="leftright"/>
        <w:spacing w:before="0" w:after="260" w:line="280" w:lineRule="exact"/>
        <w:ind w:right="0"/>
        <w:jc w:val="both"/>
        <w:rPr>
          <w:rFonts w:ascii="Times New Roman" w:hAnsi="Times New Roman"/>
        </w:rPr>
      </w:pPr>
      <w:r w:rsidRPr="00BA654C">
        <w:rPr>
          <w:rFonts w:ascii="Times New Roman" w:hAnsi="Times New Roman"/>
        </w:rPr>
        <w:t>"</w:t>
      </w:r>
      <w:proofErr w:type="gramStart"/>
      <w:r w:rsidRPr="00BA654C">
        <w:rPr>
          <w:rFonts w:ascii="Times New Roman" w:hAnsi="Times New Roman"/>
        </w:rPr>
        <w:t>making</w:t>
      </w:r>
      <w:proofErr w:type="gramEnd"/>
      <w:r w:rsidRPr="00BA654C">
        <w:rPr>
          <w:rFonts w:ascii="Times New Roman" w:hAnsi="Times New Roman"/>
        </w:rPr>
        <w:t xml:space="preserve"> of a decision, the decision-maker having failed to inquire about a relevant fact or matter, may involve jurisdictional error capable of characterisation as either a constructive failure to exercise jurisdiction or a legally unreasonable exercise of a particular duty or power. While decisions have expressed the criteria for an error of this kind as including that the potential fact was readily ascertainable and was critical or central to the decision, these criteria merely reflect the usually high threshold for a conclusion that a power has been unreasonably exercised as a matter of law.</w:t>
      </w:r>
      <w:r w:rsidR="006A1F50" w:rsidRPr="00BA654C">
        <w:rPr>
          <w:rFonts w:ascii="Times New Roman" w:hAnsi="Times New Roman"/>
        </w:rPr>
        <w:t>"</w:t>
      </w:r>
    </w:p>
    <w:p w14:paraId="0D0E61D5" w14:textId="41ABC947" w:rsidR="006A1F50" w:rsidRPr="00BA654C" w:rsidRDefault="006E1200" w:rsidP="00BA654C">
      <w:pPr>
        <w:pStyle w:val="FixListStyle"/>
        <w:spacing w:after="260" w:line="280" w:lineRule="exact"/>
        <w:ind w:right="0"/>
        <w:jc w:val="both"/>
        <w:rPr>
          <w:rFonts w:ascii="Times New Roman" w:hAnsi="Times New Roman"/>
        </w:rPr>
      </w:pPr>
      <w:r w:rsidRPr="00BA654C">
        <w:rPr>
          <w:rFonts w:ascii="Times New Roman" w:hAnsi="Times New Roman"/>
        </w:rPr>
        <w:tab/>
        <w:t xml:space="preserve">As noted, the critical fact said to be subject to the requirement of inquiry </w:t>
      </w:r>
      <w:r w:rsidR="006D7C24" w:rsidRPr="00BA654C">
        <w:rPr>
          <w:rFonts w:ascii="Times New Roman" w:hAnsi="Times New Roman"/>
        </w:rPr>
        <w:t xml:space="preserve">was the provision of the audited financial statements. </w:t>
      </w:r>
      <w:r w:rsidR="006A1F50" w:rsidRPr="00BA654C">
        <w:rPr>
          <w:rFonts w:ascii="Times New Roman" w:hAnsi="Times New Roman"/>
        </w:rPr>
        <w:t xml:space="preserve">This was said to be because: (a) the visa application stated that the turnover figures were "based on audited financial statements"; (b) the plaintiffs' nomination by the </w:t>
      </w:r>
      <w:r w:rsidR="00222598" w:rsidRPr="00BA654C">
        <w:rPr>
          <w:rFonts w:ascii="Times New Roman" w:hAnsi="Times New Roman"/>
        </w:rPr>
        <w:t xml:space="preserve">agency of the </w:t>
      </w:r>
      <w:r w:rsidR="006A1F50" w:rsidRPr="00BA654C">
        <w:rPr>
          <w:rFonts w:ascii="Times New Roman" w:hAnsi="Times New Roman"/>
        </w:rPr>
        <w:t xml:space="preserve">Government of South Australia was effectively a "pre-vetting" or "pre-qualification" for the </w:t>
      </w:r>
      <w:r w:rsidR="00567758" w:rsidRPr="00BA654C">
        <w:rPr>
          <w:rFonts w:ascii="Times New Roman" w:hAnsi="Times New Roman"/>
        </w:rPr>
        <w:t xml:space="preserve">Subclass 132 </w:t>
      </w:r>
      <w:r w:rsidR="006A1F50" w:rsidRPr="00BA654C">
        <w:rPr>
          <w:rFonts w:ascii="Times New Roman" w:hAnsi="Times New Roman"/>
        </w:rPr>
        <w:t>visa and indicated that the plaintiffs would have had evidence to demonstrate they met the necessary visa criteria; (c) in circumstances where applications for Subclass</w:t>
      </w:r>
      <w:r w:rsidR="00567758" w:rsidRPr="00BA654C">
        <w:rPr>
          <w:rFonts w:ascii="Times New Roman" w:hAnsi="Times New Roman"/>
        </w:rPr>
        <w:t> </w:t>
      </w:r>
      <w:r w:rsidR="006A1F50" w:rsidRPr="00BA654C">
        <w:rPr>
          <w:rFonts w:ascii="Times New Roman" w:hAnsi="Times New Roman"/>
        </w:rPr>
        <w:t>132 visas would lay dormant for several years, there was no point supplying the delegate with all of the information to satisfy the visa criteria at the time of application since it would have to be updated at the time of decision</w:t>
      </w:r>
      <w:r w:rsidR="00567758" w:rsidRPr="00BA654C">
        <w:rPr>
          <w:rFonts w:ascii="Times New Roman" w:hAnsi="Times New Roman"/>
        </w:rPr>
        <w:t xml:space="preserve"> in any event</w:t>
      </w:r>
      <w:r w:rsidR="006A1F50" w:rsidRPr="00BA654C">
        <w:rPr>
          <w:rFonts w:ascii="Times New Roman" w:hAnsi="Times New Roman"/>
        </w:rPr>
        <w:t>; and (d) </w:t>
      </w:r>
      <w:r w:rsidR="00526B68" w:rsidRPr="00BA654C">
        <w:rPr>
          <w:rFonts w:ascii="Times New Roman" w:hAnsi="Times New Roman"/>
        </w:rPr>
        <w:t xml:space="preserve">a </w:t>
      </w:r>
      <w:r w:rsidR="004144AC" w:rsidRPr="00BA654C">
        <w:rPr>
          <w:rFonts w:ascii="Times New Roman" w:hAnsi="Times New Roman"/>
        </w:rPr>
        <w:t>"</w:t>
      </w:r>
      <w:r w:rsidR="00526B68" w:rsidRPr="00BA654C">
        <w:rPr>
          <w:rFonts w:ascii="Times New Roman" w:hAnsi="Times New Roman"/>
        </w:rPr>
        <w:t>general</w:t>
      </w:r>
      <w:r w:rsidR="006A1F50" w:rsidRPr="00BA654C">
        <w:rPr>
          <w:rFonts w:ascii="Times New Roman" w:hAnsi="Times New Roman"/>
        </w:rPr>
        <w:t xml:space="preserve"> practice" </w:t>
      </w:r>
      <w:r w:rsidR="00CE4526" w:rsidRPr="00BA654C">
        <w:rPr>
          <w:rFonts w:ascii="Times New Roman" w:hAnsi="Times New Roman"/>
        </w:rPr>
        <w:t xml:space="preserve">of the Department </w:t>
      </w:r>
      <w:r w:rsidR="006A1F50" w:rsidRPr="00BA654C">
        <w:rPr>
          <w:rFonts w:ascii="Times New Roman" w:hAnsi="Times New Roman"/>
        </w:rPr>
        <w:t>described above, had it been followed, would have resulted in copies of the audited financial statements being produced to the delegate.</w:t>
      </w:r>
    </w:p>
    <w:p w14:paraId="7A871106" w14:textId="2A718159" w:rsidR="00B22F75"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BF05B5" w:rsidRPr="00BA654C">
        <w:rPr>
          <w:rFonts w:ascii="Times New Roman" w:hAnsi="Times New Roman"/>
        </w:rPr>
        <w:t xml:space="preserve">It will be apparent that </w:t>
      </w:r>
      <w:r w:rsidR="0055408E" w:rsidRPr="00BA654C">
        <w:rPr>
          <w:rFonts w:ascii="Times New Roman" w:hAnsi="Times New Roman"/>
        </w:rPr>
        <w:t xml:space="preserve">the </w:t>
      </w:r>
      <w:r w:rsidR="00B615B0" w:rsidRPr="00BA654C">
        <w:rPr>
          <w:rFonts w:ascii="Times New Roman" w:hAnsi="Times New Roman"/>
        </w:rPr>
        <w:t>plaintiffs' proposition (b)</w:t>
      </w:r>
      <w:r w:rsidR="00525EBA" w:rsidRPr="00BA654C">
        <w:rPr>
          <w:rFonts w:ascii="Times New Roman" w:hAnsi="Times New Roman"/>
        </w:rPr>
        <w:t xml:space="preserve"> </w:t>
      </w:r>
      <w:r w:rsidR="00CC53EB" w:rsidRPr="00BA654C">
        <w:rPr>
          <w:rFonts w:ascii="Times New Roman" w:hAnsi="Times New Roman"/>
        </w:rPr>
        <w:t>above is</w:t>
      </w:r>
      <w:r w:rsidR="00B615B0" w:rsidRPr="00BA654C">
        <w:rPr>
          <w:rFonts w:ascii="Times New Roman" w:hAnsi="Times New Roman"/>
        </w:rPr>
        <w:t xml:space="preserve"> inconsistent with </w:t>
      </w:r>
      <w:r w:rsidR="00BF05B5" w:rsidRPr="00BA654C">
        <w:rPr>
          <w:rFonts w:ascii="Times New Roman" w:hAnsi="Times New Roman"/>
        </w:rPr>
        <w:t>t</w:t>
      </w:r>
      <w:r w:rsidR="00766613" w:rsidRPr="00BA654C">
        <w:rPr>
          <w:rFonts w:ascii="Times New Roman" w:hAnsi="Times New Roman"/>
        </w:rPr>
        <w:t xml:space="preserve">he factual findings </w:t>
      </w:r>
      <w:r w:rsidR="00B615B0" w:rsidRPr="00BA654C">
        <w:rPr>
          <w:rFonts w:ascii="Times New Roman" w:hAnsi="Times New Roman"/>
        </w:rPr>
        <w:t xml:space="preserve">made </w:t>
      </w:r>
      <w:r w:rsidR="00766613" w:rsidRPr="00BA654C">
        <w:rPr>
          <w:rFonts w:ascii="Times New Roman" w:hAnsi="Times New Roman"/>
        </w:rPr>
        <w:t>above</w:t>
      </w:r>
      <w:r w:rsidR="00525EBA" w:rsidRPr="00BA654C">
        <w:rPr>
          <w:rFonts w:ascii="Times New Roman" w:hAnsi="Times New Roman"/>
        </w:rPr>
        <w:t>. Proposition (</w:t>
      </w:r>
      <w:r w:rsidR="00CC53EB" w:rsidRPr="00BA654C">
        <w:rPr>
          <w:rFonts w:ascii="Times New Roman" w:hAnsi="Times New Roman"/>
        </w:rPr>
        <w:t>c</w:t>
      </w:r>
      <w:r w:rsidR="00525EBA" w:rsidRPr="00BA654C">
        <w:rPr>
          <w:rFonts w:ascii="Times New Roman" w:hAnsi="Times New Roman"/>
        </w:rPr>
        <w:t xml:space="preserve">) </w:t>
      </w:r>
      <w:r w:rsidR="00CC53EB" w:rsidRPr="00BA654C">
        <w:rPr>
          <w:rFonts w:ascii="Times New Roman" w:hAnsi="Times New Roman"/>
        </w:rPr>
        <w:t>above</w:t>
      </w:r>
      <w:r w:rsidR="00525EBA" w:rsidRPr="00BA654C">
        <w:rPr>
          <w:rFonts w:ascii="Times New Roman" w:hAnsi="Times New Roman"/>
        </w:rPr>
        <w:t xml:space="preserve"> is also inconsistent with the fact that </w:t>
      </w:r>
      <w:r w:rsidR="00777803" w:rsidRPr="00BA654C">
        <w:rPr>
          <w:rFonts w:ascii="Times New Roman" w:hAnsi="Times New Roman"/>
        </w:rPr>
        <w:t xml:space="preserve">while the primary criteria had to be satisfied at the time a decision was made on the application, the audited financial statements had to relate to two </w:t>
      </w:r>
      <w:r w:rsidR="00777803" w:rsidRPr="00BA654C">
        <w:rPr>
          <w:rFonts w:ascii="Times New Roman" w:hAnsi="Times New Roman"/>
        </w:rPr>
        <w:lastRenderedPageBreak/>
        <w:t>of the four fiscal years before the time of the invitation to apply for the visa</w:t>
      </w:r>
      <w:r w:rsidR="0055408E" w:rsidRPr="00BA654C">
        <w:rPr>
          <w:rFonts w:ascii="Times New Roman" w:hAnsi="Times New Roman"/>
        </w:rPr>
        <w:t>. Otherwise,</w:t>
      </w:r>
      <w:r w:rsidR="002B0C36" w:rsidRPr="00BA654C">
        <w:rPr>
          <w:rFonts w:ascii="Times New Roman" w:hAnsi="Times New Roman"/>
        </w:rPr>
        <w:t xml:space="preserve"> the </w:t>
      </w:r>
      <w:r w:rsidR="00753BE1" w:rsidRPr="00BA654C">
        <w:rPr>
          <w:rFonts w:ascii="Times New Roman" w:hAnsi="Times New Roman"/>
        </w:rPr>
        <w:t>plaintiffs</w:t>
      </w:r>
      <w:r w:rsidR="002B0C36" w:rsidRPr="00BA654C">
        <w:rPr>
          <w:rFonts w:ascii="Times New Roman" w:hAnsi="Times New Roman"/>
        </w:rPr>
        <w:t xml:space="preserve">' case is irreconcilable </w:t>
      </w:r>
      <w:r w:rsidR="00753BE1" w:rsidRPr="00BA654C">
        <w:rPr>
          <w:rFonts w:ascii="Times New Roman" w:hAnsi="Times New Roman"/>
        </w:rPr>
        <w:t>with</w:t>
      </w:r>
      <w:r w:rsidR="002B0C36" w:rsidRPr="00BA654C">
        <w:rPr>
          <w:rFonts w:ascii="Times New Roman" w:hAnsi="Times New Roman"/>
        </w:rPr>
        <w:t xml:space="preserve"> the material </w:t>
      </w:r>
      <w:r w:rsidR="00B450D0" w:rsidRPr="00BA654C">
        <w:rPr>
          <w:rFonts w:ascii="Times New Roman" w:hAnsi="Times New Roman"/>
        </w:rPr>
        <w:t xml:space="preserve">available to the plaintiffs and their migration agent </w:t>
      </w:r>
      <w:r w:rsidR="002B0C36" w:rsidRPr="00BA654C">
        <w:rPr>
          <w:rFonts w:ascii="Times New Roman" w:hAnsi="Times New Roman"/>
        </w:rPr>
        <w:t xml:space="preserve">which made plain that it was for the </w:t>
      </w:r>
      <w:r w:rsidR="00753BE1" w:rsidRPr="00BA654C">
        <w:rPr>
          <w:rFonts w:ascii="Times New Roman" w:hAnsi="Times New Roman"/>
        </w:rPr>
        <w:t>plaintiffs to provide all information in support of their visa application.</w:t>
      </w:r>
    </w:p>
    <w:p w14:paraId="7BCBEF68" w14:textId="322F63E5" w:rsidR="006A1F50" w:rsidRPr="00BA654C" w:rsidRDefault="00B22F75"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981667" w:rsidRPr="00BA654C">
        <w:rPr>
          <w:rFonts w:ascii="Times New Roman" w:hAnsi="Times New Roman"/>
        </w:rPr>
        <w:t>The essence of the plaintiffs' case</w:t>
      </w:r>
      <w:r w:rsidR="003F7067" w:rsidRPr="00BA654C">
        <w:rPr>
          <w:rFonts w:ascii="Times New Roman" w:hAnsi="Times New Roman"/>
        </w:rPr>
        <w:t xml:space="preserve"> fails to recognise that </w:t>
      </w:r>
      <w:r w:rsidRPr="00BA654C">
        <w:rPr>
          <w:rFonts w:ascii="Times New Roman" w:hAnsi="Times New Roman"/>
        </w:rPr>
        <w:t>a "requirement of legal reasonableness in the exercise of a decision-maker's power is derived by implication from the statute"</w:t>
      </w:r>
      <w:r w:rsidR="006F4A0F" w:rsidRPr="00BA654C">
        <w:rPr>
          <w:rFonts w:ascii="Times New Roman" w:hAnsi="Times New Roman"/>
        </w:rPr>
        <w:t xml:space="preserve"> and "whether the implied requirements of legal reasonableness have been satisfied requires a close focus upon the particular circumstances of exercise of the statutory power: the conclusion is drawn </w:t>
      </w:r>
      <w:r w:rsidR="00396C7E" w:rsidRPr="00BA654C">
        <w:rPr>
          <w:rFonts w:ascii="Times New Roman" w:hAnsi="Times New Roman"/>
        </w:rPr>
        <w:t>'</w:t>
      </w:r>
      <w:r w:rsidR="006F4A0F" w:rsidRPr="00BA654C">
        <w:rPr>
          <w:rFonts w:ascii="Times New Roman" w:hAnsi="Times New Roman"/>
        </w:rPr>
        <w:t>from the facts and from the matters falling for consideration in the exercise of the statutory power</w:t>
      </w:r>
      <w:r w:rsidR="00396C7E" w:rsidRPr="00BA654C">
        <w:rPr>
          <w:rFonts w:ascii="Times New Roman" w:hAnsi="Times New Roman"/>
        </w:rPr>
        <w:t>'</w:t>
      </w:r>
      <w:r w:rsidR="006F4A0F" w:rsidRPr="00BA654C">
        <w:rPr>
          <w:rFonts w:ascii="Times New Roman" w:hAnsi="Times New Roman"/>
        </w:rPr>
        <w:t>".</w:t>
      </w:r>
      <w:r w:rsidR="006F4A0F" w:rsidRPr="00BA654C">
        <w:rPr>
          <w:rStyle w:val="FootnoteReference"/>
          <w:rFonts w:ascii="Times New Roman" w:hAnsi="Times New Roman"/>
          <w:sz w:val="24"/>
        </w:rPr>
        <w:footnoteReference w:id="12"/>
      </w:r>
      <w:r w:rsidR="007649EF" w:rsidRPr="00BA654C">
        <w:rPr>
          <w:rFonts w:ascii="Times New Roman" w:hAnsi="Times New Roman"/>
        </w:rPr>
        <w:t xml:space="preserve"> </w:t>
      </w:r>
      <w:r w:rsidR="00876A93" w:rsidRPr="00BA654C">
        <w:rPr>
          <w:rFonts w:ascii="Times New Roman" w:hAnsi="Times New Roman"/>
        </w:rPr>
        <w:t xml:space="preserve">Under the applicable </w:t>
      </w:r>
      <w:r w:rsidR="006B56D4" w:rsidRPr="00BA654C">
        <w:rPr>
          <w:rFonts w:ascii="Times New Roman" w:hAnsi="Times New Roman"/>
        </w:rPr>
        <w:t>legislative scheme</w:t>
      </w:r>
      <w:r w:rsidR="009C50B7" w:rsidRPr="00BA654C">
        <w:rPr>
          <w:rFonts w:ascii="Times New Roman" w:hAnsi="Times New Roman"/>
        </w:rPr>
        <w:t xml:space="preserve"> constituted by, relevantly, s</w:t>
      </w:r>
      <w:r w:rsidR="00190B31" w:rsidRPr="00BA654C">
        <w:rPr>
          <w:rFonts w:ascii="Times New Roman" w:hAnsi="Times New Roman"/>
        </w:rPr>
        <w:t>s</w:t>
      </w:r>
      <w:r w:rsidR="009C50B7" w:rsidRPr="00BA654C">
        <w:rPr>
          <w:rFonts w:ascii="Times New Roman" w:hAnsi="Times New Roman"/>
        </w:rPr>
        <w:t> </w:t>
      </w:r>
      <w:r w:rsidR="00190B31" w:rsidRPr="00BA654C">
        <w:rPr>
          <w:rFonts w:ascii="Times New Roman" w:hAnsi="Times New Roman"/>
        </w:rPr>
        <w:t xml:space="preserve">54, 55, 56 and 63 of the </w:t>
      </w:r>
      <w:r w:rsidR="00190B31" w:rsidRPr="00BA654C">
        <w:rPr>
          <w:rFonts w:ascii="Times New Roman" w:hAnsi="Times New Roman"/>
          <w:i/>
          <w:iCs/>
        </w:rPr>
        <w:t>Migration Act</w:t>
      </w:r>
      <w:r w:rsidR="002F2D2D" w:rsidRPr="00BA654C">
        <w:rPr>
          <w:rFonts w:ascii="Times New Roman" w:hAnsi="Times New Roman"/>
        </w:rPr>
        <w:t>, "[</w:t>
      </w:r>
      <w:proofErr w:type="spellStart"/>
      <w:r w:rsidR="002F2D2D" w:rsidRPr="00BA654C">
        <w:rPr>
          <w:rFonts w:ascii="Times New Roman" w:hAnsi="Times New Roman"/>
        </w:rPr>
        <w:t>i</w:t>
      </w:r>
      <w:proofErr w:type="spellEnd"/>
      <w:r w:rsidR="002F2D2D" w:rsidRPr="00BA654C">
        <w:rPr>
          <w:rFonts w:ascii="Times New Roman" w:hAnsi="Times New Roman"/>
        </w:rPr>
        <w:t>]n the ordinary case</w:t>
      </w:r>
      <w:r w:rsidR="00876A93" w:rsidRPr="00BA654C">
        <w:rPr>
          <w:rFonts w:ascii="Times New Roman" w:hAnsi="Times New Roman"/>
        </w:rPr>
        <w:t xml:space="preserve"> ... </w:t>
      </w:r>
      <w:r w:rsidR="002F2D2D" w:rsidRPr="00BA654C">
        <w:rPr>
          <w:rFonts w:ascii="Times New Roman" w:hAnsi="Times New Roman"/>
        </w:rPr>
        <w:t>what an applicant is entitled to by way of a hearing is a consideration of the written information provided in the application".</w:t>
      </w:r>
      <w:r w:rsidR="002F2D2D" w:rsidRPr="00BA654C">
        <w:rPr>
          <w:rStyle w:val="FootnoteReference"/>
          <w:rFonts w:ascii="Times New Roman" w:hAnsi="Times New Roman"/>
          <w:sz w:val="24"/>
        </w:rPr>
        <w:footnoteReference w:id="13"/>
      </w:r>
      <w:r w:rsidR="002F2D2D" w:rsidRPr="00BA654C">
        <w:rPr>
          <w:rFonts w:ascii="Times New Roman" w:hAnsi="Times New Roman"/>
        </w:rPr>
        <w:t xml:space="preserve"> </w:t>
      </w:r>
      <w:r w:rsidR="00CE37AA" w:rsidRPr="00BA654C">
        <w:rPr>
          <w:rFonts w:ascii="Times New Roman" w:hAnsi="Times New Roman"/>
        </w:rPr>
        <w:t xml:space="preserve">Further, the </w:t>
      </w:r>
      <w:r w:rsidR="00DE7C03" w:rsidRPr="00BA654C">
        <w:rPr>
          <w:rFonts w:ascii="Times New Roman" w:hAnsi="Times New Roman"/>
        </w:rPr>
        <w:t xml:space="preserve">"high threshold" which has been said to apply </w:t>
      </w:r>
      <w:r w:rsidR="00D96930" w:rsidRPr="00BA654C">
        <w:rPr>
          <w:rFonts w:ascii="Times New Roman" w:hAnsi="Times New Roman"/>
        </w:rPr>
        <w:t>before a conclusion of legal unreasonableness may be reached arising from a failure to inquire</w:t>
      </w:r>
      <w:r w:rsidR="00CE37AA" w:rsidRPr="00BA654C">
        <w:rPr>
          <w:rFonts w:ascii="Times New Roman" w:hAnsi="Times New Roman"/>
        </w:rPr>
        <w:t xml:space="preserve"> is to be applied in the context of this legislative scheme</w:t>
      </w:r>
      <w:r w:rsidR="00D96930" w:rsidRPr="00BA654C">
        <w:rPr>
          <w:rFonts w:ascii="Times New Roman" w:hAnsi="Times New Roman"/>
        </w:rPr>
        <w:t>.</w:t>
      </w:r>
      <w:r w:rsidR="00B57F4A" w:rsidRPr="00BA654C">
        <w:rPr>
          <w:rStyle w:val="FootnoteReference"/>
          <w:rFonts w:ascii="Times New Roman" w:hAnsi="Times New Roman"/>
          <w:sz w:val="24"/>
        </w:rPr>
        <w:footnoteReference w:id="14"/>
      </w:r>
      <w:r w:rsidR="00D450B0" w:rsidRPr="00BA654C">
        <w:rPr>
          <w:rFonts w:ascii="Times New Roman" w:hAnsi="Times New Roman"/>
        </w:rPr>
        <w:t xml:space="preserve"> </w:t>
      </w:r>
    </w:p>
    <w:p w14:paraId="08258625" w14:textId="197BF012" w:rsidR="00203C68"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7649EF" w:rsidRPr="00BA654C">
        <w:rPr>
          <w:rFonts w:ascii="Times New Roman" w:hAnsi="Times New Roman"/>
        </w:rPr>
        <w:t>Th</w:t>
      </w:r>
      <w:r w:rsidR="0071367B" w:rsidRPr="00BA654C">
        <w:rPr>
          <w:rFonts w:ascii="Times New Roman" w:hAnsi="Times New Roman"/>
        </w:rPr>
        <w:t>e conclusion that a decision made was legal</w:t>
      </w:r>
      <w:r w:rsidR="007649EF" w:rsidRPr="00BA654C">
        <w:rPr>
          <w:rFonts w:ascii="Times New Roman" w:hAnsi="Times New Roman"/>
        </w:rPr>
        <w:t>ly</w:t>
      </w:r>
      <w:r w:rsidR="0071367B" w:rsidRPr="00BA654C">
        <w:rPr>
          <w:rFonts w:ascii="Times New Roman" w:hAnsi="Times New Roman"/>
        </w:rPr>
        <w:t xml:space="preserve"> </w:t>
      </w:r>
      <w:r w:rsidR="007649EF" w:rsidRPr="00BA654C">
        <w:rPr>
          <w:rFonts w:ascii="Times New Roman" w:hAnsi="Times New Roman"/>
        </w:rPr>
        <w:t xml:space="preserve">unreasonable, moreover, </w:t>
      </w:r>
      <w:r w:rsidR="0071367B" w:rsidRPr="00BA654C">
        <w:rPr>
          <w:rFonts w:ascii="Times New Roman" w:hAnsi="Times New Roman"/>
        </w:rPr>
        <w:t>is drawn from the particular facts and matters for consideration in the exercise of that power, judged at the time that power was exercised.</w:t>
      </w:r>
      <w:r w:rsidR="0071367B" w:rsidRPr="00BA654C">
        <w:rPr>
          <w:rStyle w:val="FootnoteReference"/>
          <w:rFonts w:ascii="Times New Roman" w:hAnsi="Times New Roman"/>
          <w:sz w:val="24"/>
        </w:rPr>
        <w:footnoteReference w:id="15"/>
      </w:r>
      <w:r w:rsidR="0071367B" w:rsidRPr="00BA654C">
        <w:rPr>
          <w:rFonts w:ascii="Times New Roman" w:hAnsi="Times New Roman"/>
        </w:rPr>
        <w:t xml:space="preserve"> </w:t>
      </w:r>
      <w:r w:rsidR="006F337C" w:rsidRPr="00BA654C">
        <w:rPr>
          <w:rFonts w:ascii="Times New Roman" w:hAnsi="Times New Roman"/>
        </w:rPr>
        <w:t>However, t</w:t>
      </w:r>
      <w:r w:rsidR="0071367B" w:rsidRPr="00BA654C">
        <w:rPr>
          <w:rFonts w:ascii="Times New Roman" w:hAnsi="Times New Roman"/>
        </w:rPr>
        <w:t xml:space="preserve">his is not a case in which the information said to be subject to </w:t>
      </w:r>
      <w:r w:rsidR="00BA1623" w:rsidRPr="00BA654C">
        <w:rPr>
          <w:rFonts w:ascii="Times New Roman" w:hAnsi="Times New Roman"/>
        </w:rPr>
        <w:t xml:space="preserve">the failure to inquire, if </w:t>
      </w:r>
      <w:r w:rsidR="008A1679" w:rsidRPr="00BA654C">
        <w:rPr>
          <w:rFonts w:ascii="Times New Roman" w:hAnsi="Times New Roman"/>
        </w:rPr>
        <w:t xml:space="preserve">requested and provided, necessarily would have resulted in the grant of the Subclass 132 visa. </w:t>
      </w:r>
      <w:r w:rsidR="006F337C" w:rsidRPr="00BA654C">
        <w:rPr>
          <w:rFonts w:ascii="Times New Roman" w:hAnsi="Times New Roman"/>
        </w:rPr>
        <w:t>T</w:t>
      </w:r>
      <w:r w:rsidR="00F27E27" w:rsidRPr="00BA654C">
        <w:rPr>
          <w:rFonts w:ascii="Times New Roman" w:hAnsi="Times New Roman"/>
        </w:rPr>
        <w:t xml:space="preserve">he first plaintiff submitted no </w:t>
      </w:r>
      <w:r w:rsidR="00042F9A" w:rsidRPr="00BA654C">
        <w:rPr>
          <w:rFonts w:ascii="Times New Roman" w:hAnsi="Times New Roman"/>
        </w:rPr>
        <w:t xml:space="preserve">corroborative </w:t>
      </w:r>
      <w:r w:rsidR="00F27E27" w:rsidRPr="00BA654C">
        <w:rPr>
          <w:rFonts w:ascii="Times New Roman" w:hAnsi="Times New Roman"/>
        </w:rPr>
        <w:t xml:space="preserve">information </w:t>
      </w:r>
      <w:r w:rsidR="00D7394B" w:rsidRPr="00BA654C">
        <w:rPr>
          <w:rFonts w:ascii="Times New Roman" w:hAnsi="Times New Roman"/>
        </w:rPr>
        <w:t xml:space="preserve">at all </w:t>
      </w:r>
      <w:r w:rsidR="00F27E27" w:rsidRPr="00BA654C">
        <w:rPr>
          <w:rFonts w:ascii="Times New Roman" w:hAnsi="Times New Roman"/>
        </w:rPr>
        <w:t xml:space="preserve">in support of </w:t>
      </w:r>
      <w:r w:rsidR="00042F9A" w:rsidRPr="00BA654C">
        <w:rPr>
          <w:rFonts w:ascii="Times New Roman" w:hAnsi="Times New Roman"/>
        </w:rPr>
        <w:t>the visa application</w:t>
      </w:r>
      <w:r w:rsidR="00F56166" w:rsidRPr="00BA654C">
        <w:rPr>
          <w:rFonts w:ascii="Times New Roman" w:hAnsi="Times New Roman"/>
        </w:rPr>
        <w:t xml:space="preserve">, one component only of which was the audited financial statements. </w:t>
      </w:r>
      <w:r w:rsidR="00320BAF" w:rsidRPr="00BA654C">
        <w:rPr>
          <w:rFonts w:ascii="Times New Roman" w:hAnsi="Times New Roman"/>
        </w:rPr>
        <w:t>If the first plaintiff had been requested to provide the audited financial statements</w:t>
      </w:r>
      <w:r w:rsidR="00E86A5A" w:rsidRPr="00BA654C">
        <w:rPr>
          <w:rFonts w:ascii="Times New Roman" w:hAnsi="Times New Roman"/>
        </w:rPr>
        <w:t xml:space="preserve"> and had done so (as it is accepted that the first plaintiff would have done had a request been made), it is not the case that the </w:t>
      </w:r>
      <w:r w:rsidR="00BE59DC" w:rsidRPr="00BA654C">
        <w:rPr>
          <w:rFonts w:ascii="Times New Roman" w:hAnsi="Times New Roman"/>
        </w:rPr>
        <w:t xml:space="preserve">delegate would or could have decided to grant the visa application. </w:t>
      </w:r>
      <w:r w:rsidR="006B6E73" w:rsidRPr="00BA654C">
        <w:rPr>
          <w:rFonts w:ascii="Times New Roman" w:hAnsi="Times New Roman"/>
        </w:rPr>
        <w:t>Rather, t</w:t>
      </w:r>
      <w:r w:rsidR="00BE59DC" w:rsidRPr="00BA654C">
        <w:rPr>
          <w:rFonts w:ascii="Times New Roman" w:hAnsi="Times New Roman"/>
        </w:rPr>
        <w:t xml:space="preserve">he delegate would </w:t>
      </w:r>
      <w:r w:rsidR="00203C68" w:rsidRPr="00BA654C">
        <w:rPr>
          <w:rFonts w:ascii="Times New Roman" w:hAnsi="Times New Roman"/>
        </w:rPr>
        <w:t xml:space="preserve">have </w:t>
      </w:r>
      <w:r w:rsidR="00403884" w:rsidRPr="00BA654C">
        <w:rPr>
          <w:rFonts w:ascii="Times New Roman" w:hAnsi="Times New Roman"/>
        </w:rPr>
        <w:t xml:space="preserve">had to either </w:t>
      </w:r>
      <w:r w:rsidR="00BE59DC" w:rsidRPr="00BA654C">
        <w:rPr>
          <w:rFonts w:ascii="Times New Roman" w:hAnsi="Times New Roman"/>
        </w:rPr>
        <w:t>reques</w:t>
      </w:r>
      <w:r w:rsidR="00403884" w:rsidRPr="00BA654C">
        <w:rPr>
          <w:rFonts w:ascii="Times New Roman" w:hAnsi="Times New Roman"/>
        </w:rPr>
        <w:t>t</w:t>
      </w:r>
      <w:r w:rsidR="00BE59DC" w:rsidRPr="00BA654C">
        <w:rPr>
          <w:rFonts w:ascii="Times New Roman" w:hAnsi="Times New Roman"/>
        </w:rPr>
        <w:t xml:space="preserve"> other information </w:t>
      </w:r>
      <w:r w:rsidR="00D02703" w:rsidRPr="00BA654C">
        <w:rPr>
          <w:rFonts w:ascii="Times New Roman" w:hAnsi="Times New Roman"/>
        </w:rPr>
        <w:t xml:space="preserve">to enable the delegate to consider whether the first plaintiff satisfied the </w:t>
      </w:r>
      <w:r w:rsidR="00203C68" w:rsidRPr="00BA654C">
        <w:rPr>
          <w:rFonts w:ascii="Times New Roman" w:hAnsi="Times New Roman"/>
        </w:rPr>
        <w:t xml:space="preserve">other </w:t>
      </w:r>
      <w:r w:rsidR="00D02703" w:rsidRPr="00BA654C">
        <w:rPr>
          <w:rFonts w:ascii="Times New Roman" w:hAnsi="Times New Roman"/>
        </w:rPr>
        <w:t>primary criteria</w:t>
      </w:r>
      <w:r w:rsidR="006B6E73" w:rsidRPr="00BA654C">
        <w:rPr>
          <w:rFonts w:ascii="Times New Roman" w:hAnsi="Times New Roman"/>
        </w:rPr>
        <w:t xml:space="preserve"> or refused the application</w:t>
      </w:r>
      <w:r w:rsidR="00D02703" w:rsidRPr="00BA654C">
        <w:rPr>
          <w:rFonts w:ascii="Times New Roman" w:hAnsi="Times New Roman"/>
        </w:rPr>
        <w:t xml:space="preserve">. </w:t>
      </w:r>
      <w:r w:rsidR="00403884" w:rsidRPr="00BA654C">
        <w:rPr>
          <w:rFonts w:ascii="Times New Roman" w:hAnsi="Times New Roman"/>
        </w:rPr>
        <w:t>If further information had been requested, w</w:t>
      </w:r>
      <w:r w:rsidR="009F3601" w:rsidRPr="00BA654C">
        <w:rPr>
          <w:rFonts w:ascii="Times New Roman" w:hAnsi="Times New Roman"/>
        </w:rPr>
        <w:t xml:space="preserve">hether the first plaintiff could and would </w:t>
      </w:r>
      <w:r w:rsidR="009F3601" w:rsidRPr="00BA654C">
        <w:rPr>
          <w:rFonts w:ascii="Times New Roman" w:hAnsi="Times New Roman"/>
        </w:rPr>
        <w:lastRenderedPageBreak/>
        <w:t xml:space="preserve">have provided such information to satisfy the </w:t>
      </w:r>
      <w:r w:rsidR="00100F6E" w:rsidRPr="00BA654C">
        <w:rPr>
          <w:rFonts w:ascii="Times New Roman" w:hAnsi="Times New Roman"/>
        </w:rPr>
        <w:t xml:space="preserve">other </w:t>
      </w:r>
      <w:r w:rsidR="009F3601" w:rsidRPr="00BA654C">
        <w:rPr>
          <w:rFonts w:ascii="Times New Roman" w:hAnsi="Times New Roman"/>
        </w:rPr>
        <w:t>primary criteria</w:t>
      </w:r>
      <w:r w:rsidR="00403884" w:rsidRPr="00BA654C">
        <w:rPr>
          <w:rFonts w:ascii="Times New Roman" w:hAnsi="Times New Roman"/>
        </w:rPr>
        <w:t xml:space="preserve"> </w:t>
      </w:r>
      <w:r w:rsidR="009A47BB" w:rsidRPr="00BA654C">
        <w:rPr>
          <w:rFonts w:ascii="Times New Roman" w:hAnsi="Times New Roman"/>
        </w:rPr>
        <w:t xml:space="preserve">remains </w:t>
      </w:r>
      <w:r w:rsidR="009F3601" w:rsidRPr="00BA654C">
        <w:rPr>
          <w:rFonts w:ascii="Times New Roman" w:hAnsi="Times New Roman"/>
        </w:rPr>
        <w:t>unknown.</w:t>
      </w:r>
    </w:p>
    <w:p w14:paraId="59AC707A" w14:textId="2CCD6258" w:rsidR="006A1F50" w:rsidRPr="00BA654C" w:rsidRDefault="00203C68"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D02703" w:rsidRPr="00BA654C">
        <w:rPr>
          <w:rFonts w:ascii="Times New Roman" w:hAnsi="Times New Roman"/>
        </w:rPr>
        <w:t xml:space="preserve">This </w:t>
      </w:r>
      <w:r w:rsidRPr="00BA654C">
        <w:rPr>
          <w:rFonts w:ascii="Times New Roman" w:hAnsi="Times New Roman"/>
        </w:rPr>
        <w:t xml:space="preserve">factual context </w:t>
      </w:r>
      <w:r w:rsidR="00D02703" w:rsidRPr="00BA654C">
        <w:rPr>
          <w:rFonts w:ascii="Times New Roman" w:hAnsi="Times New Roman"/>
        </w:rPr>
        <w:t>indicates</w:t>
      </w:r>
      <w:r w:rsidR="00100F6E" w:rsidRPr="00BA654C">
        <w:rPr>
          <w:rFonts w:ascii="Times New Roman" w:hAnsi="Times New Roman"/>
        </w:rPr>
        <w:t xml:space="preserve"> three matters. F</w:t>
      </w:r>
      <w:r w:rsidR="00D02703" w:rsidRPr="00BA654C">
        <w:rPr>
          <w:rFonts w:ascii="Times New Roman" w:hAnsi="Times New Roman"/>
        </w:rPr>
        <w:t xml:space="preserve">irst, </w:t>
      </w:r>
      <w:r w:rsidR="00FD5319" w:rsidRPr="00BA654C">
        <w:rPr>
          <w:rFonts w:ascii="Times New Roman" w:hAnsi="Times New Roman"/>
        </w:rPr>
        <w:t>it is difficult, if not impossible, to characterise</w:t>
      </w:r>
      <w:r w:rsidR="00DA6F05" w:rsidRPr="00BA654C">
        <w:rPr>
          <w:rFonts w:ascii="Times New Roman" w:hAnsi="Times New Roman"/>
        </w:rPr>
        <w:t xml:space="preserve"> the audited financial statements, of themselves and in isolation, as a matter critical to the decision</w:t>
      </w:r>
      <w:r w:rsidR="009F3601" w:rsidRPr="00BA654C">
        <w:rPr>
          <w:rFonts w:ascii="Times New Roman" w:hAnsi="Times New Roman"/>
        </w:rPr>
        <w:t xml:space="preserve"> or as </w:t>
      </w:r>
      <w:r w:rsidR="00C17F11" w:rsidRPr="00BA654C">
        <w:rPr>
          <w:rFonts w:ascii="Times New Roman" w:hAnsi="Times New Roman"/>
        </w:rPr>
        <w:t xml:space="preserve">the </w:t>
      </w:r>
      <w:r w:rsidR="009F3601" w:rsidRPr="00BA654C">
        <w:rPr>
          <w:rFonts w:ascii="Times New Roman" w:hAnsi="Times New Roman"/>
        </w:rPr>
        <w:t xml:space="preserve">subject </w:t>
      </w:r>
      <w:r w:rsidR="00C17F11" w:rsidRPr="00BA654C">
        <w:rPr>
          <w:rFonts w:ascii="Times New Roman" w:hAnsi="Times New Roman"/>
        </w:rPr>
        <w:t xml:space="preserve">of </w:t>
      </w:r>
      <w:r w:rsidR="009F3601" w:rsidRPr="00BA654C">
        <w:rPr>
          <w:rFonts w:ascii="Times New Roman" w:hAnsi="Times New Roman"/>
        </w:rPr>
        <w:t xml:space="preserve">an obvious </w:t>
      </w:r>
      <w:r w:rsidR="00C17F11" w:rsidRPr="00BA654C">
        <w:rPr>
          <w:rFonts w:ascii="Times New Roman" w:hAnsi="Times New Roman"/>
        </w:rPr>
        <w:t>inquiry</w:t>
      </w:r>
      <w:r w:rsidR="00FD5319" w:rsidRPr="00BA654C">
        <w:rPr>
          <w:rFonts w:ascii="Times New Roman" w:hAnsi="Times New Roman"/>
        </w:rPr>
        <w:t xml:space="preserve"> before making the decision. S</w:t>
      </w:r>
      <w:r w:rsidR="00C17F11" w:rsidRPr="00BA654C">
        <w:rPr>
          <w:rFonts w:ascii="Times New Roman" w:hAnsi="Times New Roman"/>
        </w:rPr>
        <w:t xml:space="preserve">econd, </w:t>
      </w:r>
      <w:r w:rsidR="00FD5319" w:rsidRPr="00BA654C">
        <w:rPr>
          <w:rFonts w:ascii="Times New Roman" w:hAnsi="Times New Roman"/>
        </w:rPr>
        <w:t>it is difficult, if not impossible, to characterise</w:t>
      </w:r>
      <w:r w:rsidR="00C17F11" w:rsidRPr="00BA654C">
        <w:rPr>
          <w:rFonts w:ascii="Times New Roman" w:hAnsi="Times New Roman"/>
        </w:rPr>
        <w:t xml:space="preserve"> this case </w:t>
      </w:r>
      <w:r w:rsidR="007C4DB2" w:rsidRPr="00BA654C">
        <w:rPr>
          <w:rFonts w:ascii="Times New Roman" w:hAnsi="Times New Roman"/>
        </w:rPr>
        <w:t xml:space="preserve">overall </w:t>
      </w:r>
      <w:r w:rsidR="00C17F11" w:rsidRPr="00BA654C">
        <w:rPr>
          <w:rFonts w:ascii="Times New Roman" w:hAnsi="Times New Roman"/>
        </w:rPr>
        <w:t xml:space="preserve">as out of the </w:t>
      </w:r>
      <w:r w:rsidR="00B61E58" w:rsidRPr="00BA654C">
        <w:rPr>
          <w:rFonts w:ascii="Times New Roman" w:hAnsi="Times New Roman"/>
        </w:rPr>
        <w:t>ordinary</w:t>
      </w:r>
      <w:r w:rsidR="00C17F11" w:rsidRPr="00BA654C">
        <w:rPr>
          <w:rFonts w:ascii="Times New Roman" w:hAnsi="Times New Roman"/>
        </w:rPr>
        <w:t xml:space="preserve"> course in which an applicant for a visa has simply failed to provide </w:t>
      </w:r>
      <w:r w:rsidR="001F7BC7" w:rsidRPr="00BA654C">
        <w:rPr>
          <w:rFonts w:ascii="Times New Roman" w:hAnsi="Times New Roman"/>
        </w:rPr>
        <w:t xml:space="preserve">any </w:t>
      </w:r>
      <w:r w:rsidR="00C17F11" w:rsidRPr="00BA654C">
        <w:rPr>
          <w:rFonts w:ascii="Times New Roman" w:hAnsi="Times New Roman"/>
        </w:rPr>
        <w:t xml:space="preserve">supporting </w:t>
      </w:r>
      <w:r w:rsidR="00B61E58" w:rsidRPr="00BA654C">
        <w:rPr>
          <w:rFonts w:ascii="Times New Roman" w:hAnsi="Times New Roman"/>
        </w:rPr>
        <w:t>information</w:t>
      </w:r>
      <w:r w:rsidR="001F7BC7" w:rsidRPr="00BA654C">
        <w:rPr>
          <w:rFonts w:ascii="Times New Roman" w:hAnsi="Times New Roman"/>
        </w:rPr>
        <w:t>. T</w:t>
      </w:r>
      <w:r w:rsidR="00B61E58" w:rsidRPr="00BA654C">
        <w:rPr>
          <w:rFonts w:ascii="Times New Roman" w:hAnsi="Times New Roman"/>
        </w:rPr>
        <w:t xml:space="preserve">hird, </w:t>
      </w:r>
      <w:r w:rsidR="001F7BC7" w:rsidRPr="00BA654C">
        <w:rPr>
          <w:rFonts w:ascii="Times New Roman" w:hAnsi="Times New Roman"/>
        </w:rPr>
        <w:t>it is difficult, if not impossible, to characterise</w:t>
      </w:r>
      <w:r w:rsidR="00B61E58" w:rsidRPr="00BA654C">
        <w:rPr>
          <w:rFonts w:ascii="Times New Roman" w:hAnsi="Times New Roman"/>
        </w:rPr>
        <w:t xml:space="preserve"> this case </w:t>
      </w:r>
      <w:r w:rsidR="007C4DB2" w:rsidRPr="00BA654C">
        <w:rPr>
          <w:rFonts w:ascii="Times New Roman" w:hAnsi="Times New Roman"/>
        </w:rPr>
        <w:t xml:space="preserve">overall </w:t>
      </w:r>
      <w:r w:rsidR="00B61E58" w:rsidRPr="00BA654C">
        <w:rPr>
          <w:rFonts w:ascii="Times New Roman" w:hAnsi="Times New Roman"/>
        </w:rPr>
        <w:t xml:space="preserve">as one meeting the high threshold applicable to a claim of jurisdictional error by reason of a decision-maker's failure to </w:t>
      </w:r>
      <w:r w:rsidR="001F7BC7" w:rsidRPr="00BA654C">
        <w:rPr>
          <w:rFonts w:ascii="Times New Roman" w:hAnsi="Times New Roman"/>
        </w:rPr>
        <w:t xml:space="preserve">make an obvious </w:t>
      </w:r>
      <w:r w:rsidR="00B61E58" w:rsidRPr="00BA654C">
        <w:rPr>
          <w:rFonts w:ascii="Times New Roman" w:hAnsi="Times New Roman"/>
        </w:rPr>
        <w:t>inquir</w:t>
      </w:r>
      <w:r w:rsidR="001F7BC7" w:rsidRPr="00BA654C">
        <w:rPr>
          <w:rFonts w:ascii="Times New Roman" w:hAnsi="Times New Roman"/>
        </w:rPr>
        <w:t>y about a fact critical to the decision</w:t>
      </w:r>
      <w:r w:rsidR="00B61E58" w:rsidRPr="00BA654C">
        <w:rPr>
          <w:rFonts w:ascii="Times New Roman" w:hAnsi="Times New Roman"/>
        </w:rPr>
        <w:t xml:space="preserve">. </w:t>
      </w:r>
    </w:p>
    <w:p w14:paraId="61E251DF" w14:textId="66BCD367" w:rsidR="00032B57"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032B57" w:rsidRPr="00BA654C">
        <w:rPr>
          <w:rFonts w:ascii="Times New Roman" w:hAnsi="Times New Roman"/>
        </w:rPr>
        <w:t>Nor is it apparent</w:t>
      </w:r>
      <w:r w:rsidR="00822526" w:rsidRPr="00BA654C">
        <w:rPr>
          <w:rFonts w:ascii="Times New Roman" w:hAnsi="Times New Roman"/>
        </w:rPr>
        <w:t xml:space="preserve"> from either the statutory scheme o</w:t>
      </w:r>
      <w:r w:rsidR="00BF4DED" w:rsidRPr="00BA654C">
        <w:rPr>
          <w:rFonts w:ascii="Times New Roman" w:hAnsi="Times New Roman"/>
        </w:rPr>
        <w:t>r</w:t>
      </w:r>
      <w:r w:rsidR="00822526" w:rsidRPr="00BA654C">
        <w:rPr>
          <w:rFonts w:ascii="Times New Roman" w:hAnsi="Times New Roman"/>
        </w:rPr>
        <w:t xml:space="preserve"> the factual context</w:t>
      </w:r>
      <w:r w:rsidR="00032B57" w:rsidRPr="00BA654C">
        <w:rPr>
          <w:rFonts w:ascii="Times New Roman" w:hAnsi="Times New Roman"/>
        </w:rPr>
        <w:t xml:space="preserve"> why the Department or delegate </w:t>
      </w:r>
      <w:r w:rsidR="00BF4DED" w:rsidRPr="00BA654C">
        <w:rPr>
          <w:rFonts w:ascii="Times New Roman" w:hAnsi="Times New Roman"/>
        </w:rPr>
        <w:t xml:space="preserve">would not have been </w:t>
      </w:r>
      <w:r w:rsidR="00032B57" w:rsidRPr="00BA654C">
        <w:rPr>
          <w:rFonts w:ascii="Times New Roman" w:hAnsi="Times New Roman"/>
        </w:rPr>
        <w:t xml:space="preserve">free to depart from any </w:t>
      </w:r>
      <w:r w:rsidR="000D7284" w:rsidRPr="00BA654C">
        <w:rPr>
          <w:rFonts w:ascii="Times New Roman" w:hAnsi="Times New Roman"/>
        </w:rPr>
        <w:t>"</w:t>
      </w:r>
      <w:r w:rsidR="00032B57" w:rsidRPr="00BA654C">
        <w:rPr>
          <w:rFonts w:ascii="Times New Roman" w:hAnsi="Times New Roman"/>
        </w:rPr>
        <w:t>general practice</w:t>
      </w:r>
      <w:r w:rsidR="000D7284" w:rsidRPr="00BA654C">
        <w:rPr>
          <w:rFonts w:ascii="Times New Roman" w:hAnsi="Times New Roman"/>
        </w:rPr>
        <w:t>"</w:t>
      </w:r>
      <w:r w:rsidR="00032B57" w:rsidRPr="00BA654C">
        <w:rPr>
          <w:rFonts w:ascii="Times New Roman" w:hAnsi="Times New Roman"/>
        </w:rPr>
        <w:t xml:space="preserve"> </w:t>
      </w:r>
      <w:r w:rsidR="000D7284" w:rsidRPr="00BA654C">
        <w:rPr>
          <w:rFonts w:ascii="Times New Roman" w:hAnsi="Times New Roman"/>
        </w:rPr>
        <w:t xml:space="preserve">such has been proved to exist, </w:t>
      </w:r>
      <w:r w:rsidR="00032B57" w:rsidRPr="00BA654C">
        <w:rPr>
          <w:rFonts w:ascii="Times New Roman" w:hAnsi="Times New Roman"/>
        </w:rPr>
        <w:t>given the information available to the plaintiffs and their migration agent, the effect of which was that all supporting information should be provided to the Department</w:t>
      </w:r>
      <w:r w:rsidR="000D7284" w:rsidRPr="00BA654C">
        <w:rPr>
          <w:rFonts w:ascii="Times New Roman" w:hAnsi="Times New Roman"/>
        </w:rPr>
        <w:t xml:space="preserve"> at the time of </w:t>
      </w:r>
      <w:r w:rsidR="00307214" w:rsidRPr="00BA654C">
        <w:rPr>
          <w:rFonts w:ascii="Times New Roman" w:hAnsi="Times New Roman"/>
        </w:rPr>
        <w:t xml:space="preserve">or after </w:t>
      </w:r>
      <w:r w:rsidR="000D7284" w:rsidRPr="00BA654C">
        <w:rPr>
          <w:rFonts w:ascii="Times New Roman" w:hAnsi="Times New Roman"/>
        </w:rPr>
        <w:t xml:space="preserve">the making of the application. </w:t>
      </w:r>
    </w:p>
    <w:p w14:paraId="39669F7F" w14:textId="398B5959" w:rsidR="00AE35E6" w:rsidRPr="00BA654C" w:rsidRDefault="000D7284" w:rsidP="00BA654C">
      <w:pPr>
        <w:pStyle w:val="FixListStyle"/>
        <w:spacing w:after="260" w:line="280" w:lineRule="exact"/>
        <w:ind w:right="0"/>
        <w:jc w:val="both"/>
        <w:rPr>
          <w:rFonts w:ascii="Times New Roman" w:hAnsi="Times New Roman"/>
        </w:rPr>
      </w:pPr>
      <w:r w:rsidRPr="00BA654C">
        <w:rPr>
          <w:rFonts w:ascii="Times New Roman" w:hAnsi="Times New Roman"/>
        </w:rPr>
        <w:tab/>
        <w:t>In short, f</w:t>
      </w:r>
      <w:r w:rsidR="006A1F50" w:rsidRPr="00BA654C">
        <w:rPr>
          <w:rFonts w:ascii="Times New Roman" w:hAnsi="Times New Roman"/>
        </w:rPr>
        <w:t xml:space="preserve">rom the information that was available and communicated to the plaintiffs and their migration agent before and after the </w:t>
      </w:r>
      <w:r w:rsidR="00697EFB" w:rsidRPr="00BA654C">
        <w:rPr>
          <w:rFonts w:ascii="Times New Roman" w:hAnsi="Times New Roman"/>
        </w:rPr>
        <w:t xml:space="preserve">visa </w:t>
      </w:r>
      <w:r w:rsidR="006A1F50" w:rsidRPr="00BA654C">
        <w:rPr>
          <w:rFonts w:ascii="Times New Roman" w:hAnsi="Times New Roman"/>
        </w:rPr>
        <w:t xml:space="preserve">application was submitted, it was clear that the plaintiffs were responsible for providing all relevant </w:t>
      </w:r>
      <w:r w:rsidR="00A92B0F" w:rsidRPr="00BA654C">
        <w:rPr>
          <w:rFonts w:ascii="Times New Roman" w:hAnsi="Times New Roman"/>
        </w:rPr>
        <w:t xml:space="preserve">material </w:t>
      </w:r>
      <w:r w:rsidR="006A1F50" w:rsidRPr="00BA654C">
        <w:rPr>
          <w:rFonts w:ascii="Times New Roman" w:hAnsi="Times New Roman"/>
        </w:rPr>
        <w:t xml:space="preserve">to support the grant of the visa and </w:t>
      </w:r>
      <w:r w:rsidR="00697EFB" w:rsidRPr="00BA654C">
        <w:rPr>
          <w:rFonts w:ascii="Times New Roman" w:hAnsi="Times New Roman"/>
        </w:rPr>
        <w:t xml:space="preserve">that </w:t>
      </w:r>
      <w:r w:rsidR="006A1F50" w:rsidRPr="00BA654C">
        <w:rPr>
          <w:rFonts w:ascii="Times New Roman" w:hAnsi="Times New Roman"/>
        </w:rPr>
        <w:t>a decision could be taken by the decision-maker at any time. The plaintiff</w:t>
      </w:r>
      <w:r w:rsidR="00307214" w:rsidRPr="00BA654C">
        <w:rPr>
          <w:rFonts w:ascii="Times New Roman" w:hAnsi="Times New Roman"/>
        </w:rPr>
        <w:t>s</w:t>
      </w:r>
      <w:r w:rsidR="006A1F50" w:rsidRPr="00BA654C">
        <w:rPr>
          <w:rFonts w:ascii="Times New Roman" w:hAnsi="Times New Roman"/>
        </w:rPr>
        <w:t xml:space="preserve"> could have submitted </w:t>
      </w:r>
      <w:r w:rsidR="00697EFB" w:rsidRPr="00BA654C">
        <w:rPr>
          <w:rFonts w:ascii="Times New Roman" w:hAnsi="Times New Roman"/>
        </w:rPr>
        <w:t xml:space="preserve">all supporting information, including the audited financial statements, </w:t>
      </w:r>
      <w:r w:rsidR="006A1F50" w:rsidRPr="00BA654C">
        <w:rPr>
          <w:rFonts w:ascii="Times New Roman" w:hAnsi="Times New Roman"/>
        </w:rPr>
        <w:t xml:space="preserve">at the time of application or at any time during the three years following its </w:t>
      </w:r>
      <w:r w:rsidR="00307214" w:rsidRPr="00BA654C">
        <w:rPr>
          <w:rFonts w:ascii="Times New Roman" w:hAnsi="Times New Roman"/>
        </w:rPr>
        <w:t>making</w:t>
      </w:r>
      <w:r w:rsidR="006A1F50" w:rsidRPr="00BA654C">
        <w:rPr>
          <w:rFonts w:ascii="Times New Roman" w:hAnsi="Times New Roman"/>
        </w:rPr>
        <w:t xml:space="preserve"> before </w:t>
      </w:r>
      <w:r w:rsidR="0086578B" w:rsidRPr="00BA654C">
        <w:rPr>
          <w:rFonts w:ascii="Times New Roman" w:hAnsi="Times New Roman"/>
        </w:rPr>
        <w:t>the delegate determined the application</w:t>
      </w:r>
      <w:r w:rsidR="00A92B0F" w:rsidRPr="00BA654C">
        <w:rPr>
          <w:rFonts w:ascii="Times New Roman" w:hAnsi="Times New Roman"/>
        </w:rPr>
        <w:t>, but did not do so.</w:t>
      </w:r>
      <w:r w:rsidR="007C5A0E" w:rsidRPr="00BA654C">
        <w:rPr>
          <w:rFonts w:ascii="Times New Roman" w:hAnsi="Times New Roman"/>
        </w:rPr>
        <w:t xml:space="preserve"> The plaintiff</w:t>
      </w:r>
      <w:r w:rsidR="00307214" w:rsidRPr="00BA654C">
        <w:rPr>
          <w:rFonts w:ascii="Times New Roman" w:hAnsi="Times New Roman"/>
        </w:rPr>
        <w:t>s</w:t>
      </w:r>
      <w:r w:rsidR="007C5A0E" w:rsidRPr="00BA654C">
        <w:rPr>
          <w:rFonts w:ascii="Times New Roman" w:hAnsi="Times New Roman"/>
        </w:rPr>
        <w:t xml:space="preserve"> did not do so</w:t>
      </w:r>
      <w:r w:rsidR="0009099B" w:rsidRPr="00BA654C">
        <w:rPr>
          <w:rFonts w:ascii="Times New Roman" w:hAnsi="Times New Roman"/>
        </w:rPr>
        <w:t xml:space="preserve"> in the face of </w:t>
      </w:r>
      <w:r w:rsidR="007B7A80" w:rsidRPr="00BA654C">
        <w:rPr>
          <w:rFonts w:ascii="Times New Roman" w:hAnsi="Times New Roman"/>
        </w:rPr>
        <w:t xml:space="preserve">consistent Departmental </w:t>
      </w:r>
      <w:r w:rsidR="00527D51" w:rsidRPr="00BA654C">
        <w:rPr>
          <w:rFonts w:ascii="Times New Roman" w:hAnsi="Times New Roman"/>
        </w:rPr>
        <w:t xml:space="preserve">information in writing </w:t>
      </w:r>
      <w:r w:rsidR="007B7A80" w:rsidRPr="00BA654C">
        <w:rPr>
          <w:rFonts w:ascii="Times New Roman" w:hAnsi="Times New Roman"/>
        </w:rPr>
        <w:t xml:space="preserve">that </w:t>
      </w:r>
      <w:r w:rsidR="00435E69" w:rsidRPr="00BA654C">
        <w:rPr>
          <w:rFonts w:ascii="Times New Roman" w:hAnsi="Times New Roman"/>
        </w:rPr>
        <w:t>supporting evidence of the first plaintiff's claims was required.</w:t>
      </w:r>
    </w:p>
    <w:p w14:paraId="67DAA5B6" w14:textId="31182BE0" w:rsidR="0086578B" w:rsidRPr="00BA654C" w:rsidRDefault="00AE35E6"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435E69" w:rsidRPr="00BA654C">
        <w:rPr>
          <w:rFonts w:ascii="Times New Roman" w:hAnsi="Times New Roman"/>
        </w:rPr>
        <w:t xml:space="preserve">To the extent </w:t>
      </w:r>
      <w:r w:rsidRPr="00BA654C">
        <w:rPr>
          <w:rFonts w:ascii="Times New Roman" w:hAnsi="Times New Roman"/>
        </w:rPr>
        <w:t xml:space="preserve">the plaintiffs relied on </w:t>
      </w:r>
      <w:r w:rsidR="00435E69" w:rsidRPr="00BA654C">
        <w:rPr>
          <w:rFonts w:ascii="Times New Roman" w:hAnsi="Times New Roman"/>
        </w:rPr>
        <w:t>a "general practice" not to do so until notified by a delegate that further information was required</w:t>
      </w:r>
      <w:r w:rsidR="00A94493" w:rsidRPr="00BA654C">
        <w:rPr>
          <w:rFonts w:ascii="Times New Roman" w:hAnsi="Times New Roman"/>
        </w:rPr>
        <w:t xml:space="preserve">, as noted, there is no evidence that the plaintiffs or their migration agent believed </w:t>
      </w:r>
      <w:r w:rsidR="00527D51" w:rsidRPr="00BA654C">
        <w:rPr>
          <w:rFonts w:ascii="Times New Roman" w:hAnsi="Times New Roman"/>
        </w:rPr>
        <w:t xml:space="preserve">that </w:t>
      </w:r>
      <w:r w:rsidR="00F54476" w:rsidRPr="00BA654C">
        <w:rPr>
          <w:rFonts w:ascii="Times New Roman" w:hAnsi="Times New Roman"/>
        </w:rPr>
        <w:t xml:space="preserve">any </w:t>
      </w:r>
      <w:r w:rsidR="00527D51" w:rsidRPr="00BA654C">
        <w:rPr>
          <w:rFonts w:ascii="Times New Roman" w:hAnsi="Times New Roman"/>
        </w:rPr>
        <w:t>"general practice" negated the consistent Departmental information in writing to the contrary or that</w:t>
      </w:r>
      <w:r w:rsidR="00C5717B" w:rsidRPr="00BA654C">
        <w:rPr>
          <w:rFonts w:ascii="Times New Roman" w:hAnsi="Times New Roman"/>
        </w:rPr>
        <w:t xml:space="preserve"> the described "general practice" </w:t>
      </w:r>
      <w:r w:rsidR="00344FA6" w:rsidRPr="00BA654C">
        <w:rPr>
          <w:rFonts w:ascii="Times New Roman" w:hAnsi="Times New Roman"/>
        </w:rPr>
        <w:t xml:space="preserve">applied rather than the "preferred method" of lodging a visa application which was "decision ready". </w:t>
      </w:r>
    </w:p>
    <w:p w14:paraId="24ED3051" w14:textId="7091B7D7" w:rsidR="006A1F50" w:rsidRPr="00BA654C" w:rsidRDefault="0086578B"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6A1F50" w:rsidRPr="00BA654C">
        <w:rPr>
          <w:rFonts w:ascii="Times New Roman" w:hAnsi="Times New Roman"/>
        </w:rPr>
        <w:t>In these circumstances, the decision of the delegate to refuse the plaintiffs</w:t>
      </w:r>
      <w:r w:rsidR="00582FF8" w:rsidRPr="00BA654C">
        <w:rPr>
          <w:rFonts w:ascii="Times New Roman" w:hAnsi="Times New Roman"/>
        </w:rPr>
        <w:t>'</w:t>
      </w:r>
      <w:r w:rsidR="006A1F50" w:rsidRPr="00BA654C">
        <w:rPr>
          <w:rFonts w:ascii="Times New Roman" w:hAnsi="Times New Roman"/>
        </w:rPr>
        <w:t xml:space="preserve"> </w:t>
      </w:r>
      <w:r w:rsidR="00552F2B" w:rsidRPr="00BA654C">
        <w:rPr>
          <w:rFonts w:ascii="Times New Roman" w:hAnsi="Times New Roman"/>
        </w:rPr>
        <w:t xml:space="preserve">application for the Subclass 132 </w:t>
      </w:r>
      <w:r w:rsidR="006A1F50" w:rsidRPr="00BA654C">
        <w:rPr>
          <w:rFonts w:ascii="Times New Roman" w:hAnsi="Times New Roman"/>
        </w:rPr>
        <w:t>visa was nothing more than the ordinary work</w:t>
      </w:r>
      <w:r w:rsidR="00AA49AE" w:rsidRPr="00BA654C">
        <w:rPr>
          <w:rFonts w:ascii="Times New Roman" w:hAnsi="Times New Roman"/>
        </w:rPr>
        <w:t>ing out</w:t>
      </w:r>
      <w:r w:rsidR="006A1F50" w:rsidRPr="00BA654C">
        <w:rPr>
          <w:rFonts w:ascii="Times New Roman" w:hAnsi="Times New Roman"/>
        </w:rPr>
        <w:t xml:space="preserve"> of the statutory scheme and one which was in all the circumstances reasonable.</w:t>
      </w:r>
      <w:r w:rsidR="002D454E" w:rsidRPr="00BA654C">
        <w:rPr>
          <w:rFonts w:ascii="Times New Roman" w:hAnsi="Times New Roman"/>
        </w:rPr>
        <w:t xml:space="preserve"> This suffices to require the application for the constitutional writ to be dismissed.</w:t>
      </w:r>
    </w:p>
    <w:p w14:paraId="08AF29F5" w14:textId="0FD02022" w:rsidR="00A75B86" w:rsidRPr="00BA654C" w:rsidRDefault="00A75B86" w:rsidP="00BA654C">
      <w:pPr>
        <w:pStyle w:val="HeadingL2"/>
        <w:spacing w:after="260" w:line="280" w:lineRule="exact"/>
        <w:ind w:right="0"/>
        <w:jc w:val="both"/>
        <w:rPr>
          <w:rFonts w:ascii="Times New Roman" w:hAnsi="Times New Roman"/>
        </w:rPr>
      </w:pPr>
      <w:r w:rsidRPr="00BA654C">
        <w:rPr>
          <w:rFonts w:ascii="Times New Roman" w:hAnsi="Times New Roman"/>
        </w:rPr>
        <w:lastRenderedPageBreak/>
        <w:t>Materiality</w:t>
      </w:r>
    </w:p>
    <w:p w14:paraId="2EBF2926" w14:textId="3E713CC7" w:rsidR="00582FF8"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5545EB" w:rsidRPr="00BA654C">
        <w:rPr>
          <w:rFonts w:ascii="Times New Roman" w:hAnsi="Times New Roman"/>
        </w:rPr>
        <w:t>Further or a</w:t>
      </w:r>
      <w:r w:rsidR="002D454E" w:rsidRPr="00BA654C">
        <w:rPr>
          <w:rFonts w:ascii="Times New Roman" w:hAnsi="Times New Roman"/>
        </w:rPr>
        <w:t>lternatively</w:t>
      </w:r>
      <w:r w:rsidRPr="00BA654C">
        <w:rPr>
          <w:rFonts w:ascii="Times New Roman" w:hAnsi="Times New Roman"/>
        </w:rPr>
        <w:t xml:space="preserve">, </w:t>
      </w:r>
      <w:r w:rsidR="004119E1" w:rsidRPr="00BA654C">
        <w:rPr>
          <w:rFonts w:ascii="Times New Roman" w:hAnsi="Times New Roman"/>
        </w:rPr>
        <w:t xml:space="preserve">for </w:t>
      </w:r>
      <w:r w:rsidRPr="00BA654C">
        <w:rPr>
          <w:rFonts w:ascii="Times New Roman" w:hAnsi="Times New Roman"/>
        </w:rPr>
        <w:t xml:space="preserve">jurisdictional error </w:t>
      </w:r>
      <w:r w:rsidR="004119E1" w:rsidRPr="00BA654C">
        <w:rPr>
          <w:rFonts w:ascii="Times New Roman" w:hAnsi="Times New Roman"/>
        </w:rPr>
        <w:t xml:space="preserve">to be established </w:t>
      </w:r>
      <w:r w:rsidRPr="00BA654C">
        <w:rPr>
          <w:rFonts w:ascii="Times New Roman" w:hAnsi="Times New Roman"/>
        </w:rPr>
        <w:t xml:space="preserve">it would be necessary </w:t>
      </w:r>
      <w:r w:rsidR="004119E1" w:rsidRPr="00BA654C">
        <w:rPr>
          <w:rFonts w:ascii="Times New Roman" w:hAnsi="Times New Roman"/>
        </w:rPr>
        <w:t xml:space="preserve">for the plaintiffs </w:t>
      </w:r>
      <w:r w:rsidRPr="00BA654C">
        <w:rPr>
          <w:rFonts w:ascii="Times New Roman" w:hAnsi="Times New Roman"/>
        </w:rPr>
        <w:t xml:space="preserve">to demonstrate that the delegate's failure to request the audited financial statements was material, in the sense that "there is a realistic possibility that the decision that was made in fact </w:t>
      </w:r>
      <w:r w:rsidRPr="00BA654C">
        <w:rPr>
          <w:rFonts w:ascii="Times New Roman" w:hAnsi="Times New Roman"/>
          <w:i/>
          <w:iCs/>
        </w:rPr>
        <w:t>could</w:t>
      </w:r>
      <w:r w:rsidRPr="00BA654C">
        <w:rPr>
          <w:rFonts w:ascii="Times New Roman" w:hAnsi="Times New Roman"/>
        </w:rPr>
        <w:t xml:space="preserve"> have been different if the error had not occurred".</w:t>
      </w:r>
      <w:r w:rsidRPr="00BA654C">
        <w:rPr>
          <w:rStyle w:val="FootnoteReference"/>
          <w:rFonts w:ascii="Times New Roman" w:hAnsi="Times New Roman"/>
          <w:sz w:val="24"/>
        </w:rPr>
        <w:footnoteReference w:id="16"/>
      </w:r>
      <w:r w:rsidRPr="00BA654C">
        <w:rPr>
          <w:rFonts w:ascii="Times New Roman" w:hAnsi="Times New Roman"/>
        </w:rPr>
        <w:t xml:space="preserve"> </w:t>
      </w:r>
      <w:r w:rsidR="00F26BFB" w:rsidRPr="00BA654C">
        <w:rPr>
          <w:rFonts w:ascii="Times New Roman" w:hAnsi="Times New Roman"/>
        </w:rPr>
        <w:t>This</w:t>
      </w:r>
      <w:r w:rsidR="00A674AB" w:rsidRPr="00BA654C">
        <w:rPr>
          <w:rFonts w:ascii="Times New Roman" w:hAnsi="Times New Roman"/>
        </w:rPr>
        <w:t xml:space="preserve"> </w:t>
      </w:r>
      <w:r w:rsidR="002E0AA3" w:rsidRPr="00BA654C">
        <w:rPr>
          <w:rFonts w:ascii="Times New Roman" w:hAnsi="Times New Roman"/>
        </w:rPr>
        <w:t xml:space="preserve">requirement </w:t>
      </w:r>
      <w:r w:rsidR="00A674AB" w:rsidRPr="00BA654C">
        <w:rPr>
          <w:rFonts w:ascii="Times New Roman" w:hAnsi="Times New Roman"/>
        </w:rPr>
        <w:t>is not "</w:t>
      </w:r>
      <w:r w:rsidR="00464BAC" w:rsidRPr="00BA654C">
        <w:rPr>
          <w:rFonts w:ascii="Times New Roman" w:hAnsi="Times New Roman"/>
        </w:rPr>
        <w:t>demanding or onerous"</w:t>
      </w:r>
      <w:r w:rsidR="002E0AA3" w:rsidRPr="00BA654C">
        <w:rPr>
          <w:rFonts w:ascii="Times New Roman" w:hAnsi="Times New Roman"/>
        </w:rPr>
        <w:t>,</w:t>
      </w:r>
      <w:r w:rsidR="00175F95" w:rsidRPr="00BA654C">
        <w:rPr>
          <w:rStyle w:val="FootnoteReference"/>
          <w:rFonts w:ascii="Times New Roman" w:hAnsi="Times New Roman"/>
          <w:sz w:val="24"/>
        </w:rPr>
        <w:footnoteReference w:id="17"/>
      </w:r>
      <w:r w:rsidR="002E0AA3" w:rsidRPr="00BA654C">
        <w:rPr>
          <w:rFonts w:ascii="Times New Roman" w:hAnsi="Times New Roman"/>
        </w:rPr>
        <w:t xml:space="preserve"> but its focus is the "decision made in fact"</w:t>
      </w:r>
      <w:r w:rsidR="001A5B32" w:rsidRPr="00BA654C">
        <w:rPr>
          <w:rFonts w:ascii="Times New Roman" w:hAnsi="Times New Roman"/>
        </w:rPr>
        <w:t>, not the reasons for the decision.</w:t>
      </w:r>
    </w:p>
    <w:p w14:paraId="1F53FAEA" w14:textId="5E8CDE27" w:rsidR="00464BAC" w:rsidRPr="00BA654C" w:rsidRDefault="00582FF8"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5A0B49" w:rsidRPr="00BA654C">
        <w:rPr>
          <w:rFonts w:ascii="Times New Roman" w:hAnsi="Times New Roman"/>
        </w:rPr>
        <w:t>T</w:t>
      </w:r>
      <w:r w:rsidR="001A5B32" w:rsidRPr="00BA654C">
        <w:rPr>
          <w:rFonts w:ascii="Times New Roman" w:hAnsi="Times New Roman"/>
        </w:rPr>
        <w:t xml:space="preserve">he decision made in fact in this case was to refuse the application for the Subclass 132 visa. </w:t>
      </w:r>
      <w:r w:rsidR="000A7871" w:rsidRPr="00BA654C">
        <w:rPr>
          <w:rFonts w:ascii="Times New Roman" w:hAnsi="Times New Roman"/>
        </w:rPr>
        <w:t xml:space="preserve">Although the delegate refused the application for the Subclass 132 visa </w:t>
      </w:r>
      <w:r w:rsidR="005A0B49" w:rsidRPr="00BA654C">
        <w:rPr>
          <w:rFonts w:ascii="Times New Roman" w:hAnsi="Times New Roman"/>
        </w:rPr>
        <w:t xml:space="preserve">because there was no information to support a finding that </w:t>
      </w:r>
      <w:r w:rsidR="00991EE3" w:rsidRPr="00BA654C">
        <w:rPr>
          <w:rFonts w:ascii="Times New Roman" w:hAnsi="Times New Roman"/>
        </w:rPr>
        <w:t xml:space="preserve">the primary criteria in </w:t>
      </w:r>
      <w:proofErr w:type="spellStart"/>
      <w:r w:rsidR="00991EE3" w:rsidRPr="00BA654C">
        <w:rPr>
          <w:rFonts w:ascii="Times New Roman" w:hAnsi="Times New Roman"/>
        </w:rPr>
        <w:t>Sub</w:t>
      </w:r>
      <w:r w:rsidR="004B4C4B" w:rsidRPr="00BA654C">
        <w:rPr>
          <w:rFonts w:ascii="Times New Roman" w:hAnsi="Times New Roman"/>
        </w:rPr>
        <w:t>d</w:t>
      </w:r>
      <w:r w:rsidR="00991EE3" w:rsidRPr="00BA654C">
        <w:rPr>
          <w:rFonts w:ascii="Times New Roman" w:hAnsi="Times New Roman"/>
        </w:rPr>
        <w:t>iv</w:t>
      </w:r>
      <w:proofErr w:type="spellEnd"/>
      <w:r w:rsidR="00991EE3" w:rsidRPr="00BA654C">
        <w:rPr>
          <w:rFonts w:ascii="Times New Roman" w:hAnsi="Times New Roman"/>
        </w:rPr>
        <w:t> 132.22</w:t>
      </w:r>
      <w:r w:rsidR="009048BB" w:rsidRPr="00BA654C">
        <w:rPr>
          <w:rFonts w:ascii="Times New Roman" w:hAnsi="Times New Roman"/>
        </w:rPr>
        <w:t>5</w:t>
      </w:r>
      <w:r w:rsidR="00991EE3" w:rsidRPr="00BA654C">
        <w:rPr>
          <w:rFonts w:ascii="Times New Roman" w:hAnsi="Times New Roman"/>
        </w:rPr>
        <w:t xml:space="preserve"> (the </w:t>
      </w:r>
      <w:r w:rsidR="00BE09C6" w:rsidRPr="00BA654C">
        <w:rPr>
          <w:rFonts w:ascii="Times New Roman" w:hAnsi="Times New Roman"/>
        </w:rPr>
        <w:t>turnover</w:t>
      </w:r>
      <w:r w:rsidR="00991EE3" w:rsidRPr="00BA654C">
        <w:rPr>
          <w:rFonts w:ascii="Times New Roman" w:hAnsi="Times New Roman"/>
        </w:rPr>
        <w:t xml:space="preserve"> criteria) </w:t>
      </w:r>
      <w:r w:rsidR="00BE09C6" w:rsidRPr="00BA654C">
        <w:rPr>
          <w:rFonts w:ascii="Times New Roman" w:hAnsi="Times New Roman"/>
        </w:rPr>
        <w:t>was satisfied, the plaintiffs have not proved that the delegate's decision in fact could have be</w:t>
      </w:r>
      <w:r w:rsidR="00615705" w:rsidRPr="00BA654C">
        <w:rPr>
          <w:rFonts w:ascii="Times New Roman" w:hAnsi="Times New Roman"/>
        </w:rPr>
        <w:t>e</w:t>
      </w:r>
      <w:r w:rsidR="00BE09C6" w:rsidRPr="00BA654C">
        <w:rPr>
          <w:rFonts w:ascii="Times New Roman" w:hAnsi="Times New Roman"/>
        </w:rPr>
        <w:t xml:space="preserve">n different at the time </w:t>
      </w:r>
      <w:r w:rsidR="00615705" w:rsidRPr="00BA654C">
        <w:rPr>
          <w:rFonts w:ascii="Times New Roman" w:hAnsi="Times New Roman"/>
        </w:rPr>
        <w:t>the decision</w:t>
      </w:r>
      <w:r w:rsidR="00BE09C6" w:rsidRPr="00BA654C">
        <w:rPr>
          <w:rFonts w:ascii="Times New Roman" w:hAnsi="Times New Roman"/>
        </w:rPr>
        <w:t xml:space="preserve"> was made. This is because the plaintiffs have not provided any </w:t>
      </w:r>
      <w:r w:rsidR="005648B1" w:rsidRPr="00BA654C">
        <w:rPr>
          <w:rFonts w:ascii="Times New Roman" w:hAnsi="Times New Roman"/>
        </w:rPr>
        <w:t xml:space="preserve">evidence capable of supporting an inference that, </w:t>
      </w:r>
      <w:r w:rsidR="000A39E2" w:rsidRPr="00BA654C">
        <w:rPr>
          <w:rFonts w:ascii="Times New Roman" w:hAnsi="Times New Roman"/>
        </w:rPr>
        <w:t xml:space="preserve">at the time of the decision, the </w:t>
      </w:r>
      <w:r w:rsidR="00615705" w:rsidRPr="00BA654C">
        <w:rPr>
          <w:rFonts w:ascii="Times New Roman" w:hAnsi="Times New Roman"/>
        </w:rPr>
        <w:t xml:space="preserve">first </w:t>
      </w:r>
      <w:r w:rsidR="000A39E2" w:rsidRPr="00BA654C">
        <w:rPr>
          <w:rFonts w:ascii="Times New Roman" w:hAnsi="Times New Roman"/>
        </w:rPr>
        <w:t xml:space="preserve">plaintiff would have satisfied the other </w:t>
      </w:r>
      <w:r w:rsidR="00E677B0" w:rsidRPr="00BA654C">
        <w:rPr>
          <w:rFonts w:ascii="Times New Roman" w:hAnsi="Times New Roman"/>
        </w:rPr>
        <w:t>primary</w:t>
      </w:r>
      <w:r w:rsidR="000A39E2" w:rsidRPr="00BA654C">
        <w:rPr>
          <w:rFonts w:ascii="Times New Roman" w:hAnsi="Times New Roman"/>
        </w:rPr>
        <w:t xml:space="preserve"> criteria in </w:t>
      </w:r>
      <w:proofErr w:type="spellStart"/>
      <w:r w:rsidR="000A39E2" w:rsidRPr="00BA654C">
        <w:rPr>
          <w:rFonts w:ascii="Times New Roman" w:hAnsi="Times New Roman"/>
        </w:rPr>
        <w:t>Subdivs</w:t>
      </w:r>
      <w:proofErr w:type="spellEnd"/>
      <w:r w:rsidR="000A39E2" w:rsidRPr="00BA654C">
        <w:rPr>
          <w:rFonts w:ascii="Times New Roman" w:hAnsi="Times New Roman"/>
        </w:rPr>
        <w:t> 132.</w:t>
      </w:r>
      <w:r w:rsidR="00E677B0" w:rsidRPr="00BA654C">
        <w:rPr>
          <w:rFonts w:ascii="Times New Roman" w:hAnsi="Times New Roman"/>
        </w:rPr>
        <w:t>21 and 132.22 as applicable.</w:t>
      </w:r>
    </w:p>
    <w:p w14:paraId="6E6843ED" w14:textId="344C790F" w:rsidR="004C3C5A" w:rsidRPr="00BA654C" w:rsidRDefault="00E677B0" w:rsidP="00BA654C">
      <w:pPr>
        <w:pStyle w:val="FixListStyle"/>
        <w:spacing w:after="260" w:line="280" w:lineRule="exact"/>
        <w:ind w:right="0"/>
        <w:jc w:val="both"/>
        <w:rPr>
          <w:rFonts w:ascii="Times New Roman" w:hAnsi="Times New Roman"/>
        </w:rPr>
      </w:pPr>
      <w:r w:rsidRPr="00BA654C">
        <w:rPr>
          <w:rFonts w:ascii="Times New Roman" w:hAnsi="Times New Roman"/>
        </w:rPr>
        <w:tab/>
        <w:t xml:space="preserve">The point is this. A plaintiff </w:t>
      </w:r>
      <w:r w:rsidR="0054290D" w:rsidRPr="00BA654C">
        <w:rPr>
          <w:rFonts w:ascii="Times New Roman" w:hAnsi="Times New Roman"/>
        </w:rPr>
        <w:t xml:space="preserve">does not establish that any error was material </w:t>
      </w:r>
      <w:r w:rsidR="005C2889" w:rsidRPr="00BA654C">
        <w:rPr>
          <w:rFonts w:ascii="Times New Roman" w:hAnsi="Times New Roman"/>
        </w:rPr>
        <w:t xml:space="preserve">to a decision to refuse the grant of a visa </w:t>
      </w:r>
      <w:r w:rsidR="0054290D" w:rsidRPr="00BA654C">
        <w:rPr>
          <w:rFonts w:ascii="Times New Roman" w:hAnsi="Times New Roman"/>
        </w:rPr>
        <w:t xml:space="preserve">merely by proving </w:t>
      </w:r>
      <w:r w:rsidR="000F54BD" w:rsidRPr="00BA654C">
        <w:rPr>
          <w:rFonts w:ascii="Times New Roman" w:hAnsi="Times New Roman"/>
        </w:rPr>
        <w:t xml:space="preserve">that </w:t>
      </w:r>
      <w:r w:rsidR="004C3C5A" w:rsidRPr="00BA654C">
        <w:rPr>
          <w:rFonts w:ascii="Times New Roman" w:hAnsi="Times New Roman"/>
        </w:rPr>
        <w:t>they</w:t>
      </w:r>
      <w:r w:rsidR="000F54BD" w:rsidRPr="00BA654C">
        <w:rPr>
          <w:rFonts w:ascii="Times New Roman" w:hAnsi="Times New Roman"/>
        </w:rPr>
        <w:t xml:space="preserve"> could and would have satisfied one criteri</w:t>
      </w:r>
      <w:r w:rsidR="005C2889" w:rsidRPr="00BA654C">
        <w:rPr>
          <w:rFonts w:ascii="Times New Roman" w:hAnsi="Times New Roman"/>
        </w:rPr>
        <w:t>on</w:t>
      </w:r>
      <w:r w:rsidR="000F54BD" w:rsidRPr="00BA654C">
        <w:rPr>
          <w:rFonts w:ascii="Times New Roman" w:hAnsi="Times New Roman"/>
        </w:rPr>
        <w:t xml:space="preserve"> for the making of a decision in the plaintiff's favour </w:t>
      </w:r>
      <w:r w:rsidR="004411A3" w:rsidRPr="00BA654C">
        <w:rPr>
          <w:rFonts w:ascii="Times New Roman" w:hAnsi="Times New Roman"/>
        </w:rPr>
        <w:t xml:space="preserve">if, </w:t>
      </w:r>
      <w:r w:rsidR="005C2889" w:rsidRPr="00BA654C">
        <w:rPr>
          <w:rFonts w:ascii="Times New Roman" w:hAnsi="Times New Roman"/>
        </w:rPr>
        <w:t>to</w:t>
      </w:r>
      <w:r w:rsidR="004411A3" w:rsidRPr="00BA654C">
        <w:rPr>
          <w:rFonts w:ascii="Times New Roman" w:hAnsi="Times New Roman"/>
        </w:rPr>
        <w:t xml:space="preserve"> obtain a favourable decision, there were other criteria the plaintiff also had to satisfy</w:t>
      </w:r>
      <w:r w:rsidR="005C2889" w:rsidRPr="00BA654C">
        <w:rPr>
          <w:rFonts w:ascii="Times New Roman" w:hAnsi="Times New Roman"/>
        </w:rPr>
        <w:t xml:space="preserve">. The question whether a decision in fact </w:t>
      </w:r>
      <w:r w:rsidR="005C2889" w:rsidRPr="00BA654C">
        <w:rPr>
          <w:rFonts w:ascii="Times New Roman" w:hAnsi="Times New Roman"/>
          <w:i/>
          <w:iCs/>
        </w:rPr>
        <w:t>could</w:t>
      </w:r>
      <w:r w:rsidR="005C2889" w:rsidRPr="00BA654C">
        <w:rPr>
          <w:rFonts w:ascii="Times New Roman" w:hAnsi="Times New Roman"/>
        </w:rPr>
        <w:t xml:space="preserve"> have been different </w:t>
      </w:r>
      <w:r w:rsidR="003E4F1C" w:rsidRPr="00BA654C">
        <w:rPr>
          <w:rFonts w:ascii="Times New Roman" w:hAnsi="Times New Roman"/>
        </w:rPr>
        <w:t>cannot be based on mere speculation.</w:t>
      </w:r>
      <w:r w:rsidR="003E4F1C" w:rsidRPr="00BA654C">
        <w:rPr>
          <w:rStyle w:val="FootnoteReference"/>
          <w:rFonts w:ascii="Times New Roman" w:hAnsi="Times New Roman"/>
          <w:sz w:val="24"/>
        </w:rPr>
        <w:footnoteReference w:id="18"/>
      </w:r>
      <w:r w:rsidR="003B5CF9" w:rsidRPr="00BA654C">
        <w:rPr>
          <w:rFonts w:ascii="Times New Roman" w:hAnsi="Times New Roman"/>
        </w:rPr>
        <w:t xml:space="preserve"> </w:t>
      </w:r>
      <w:r w:rsidR="00E504B9" w:rsidRPr="00BA654C">
        <w:rPr>
          <w:rFonts w:ascii="Times New Roman" w:hAnsi="Times New Roman"/>
        </w:rPr>
        <w:t xml:space="preserve">The required exercise is "wholly </w:t>
      </w:r>
      <w:r w:rsidR="00B523C2" w:rsidRPr="00BA654C">
        <w:rPr>
          <w:rFonts w:ascii="Times New Roman" w:hAnsi="Times New Roman"/>
        </w:rPr>
        <w:t>backward‑looking" to be performed "</w:t>
      </w:r>
      <w:r w:rsidR="00691B7F" w:rsidRPr="00BA654C">
        <w:rPr>
          <w:rFonts w:ascii="Times New Roman" w:hAnsi="Times New Roman"/>
        </w:rPr>
        <w:t>by reference to the decision that was made and, depending on the nature of the error, how that decision was made. Those are facts in respect of which the applicant for judicial review bears the onus of proof on the balance of probabilities."</w:t>
      </w:r>
      <w:r w:rsidR="00691B7F" w:rsidRPr="00BA654C">
        <w:rPr>
          <w:rStyle w:val="FootnoteReference"/>
          <w:rFonts w:ascii="Times New Roman" w:hAnsi="Times New Roman"/>
          <w:sz w:val="24"/>
        </w:rPr>
        <w:footnoteReference w:id="19"/>
      </w:r>
      <w:r w:rsidR="00E50B83" w:rsidRPr="00BA654C">
        <w:rPr>
          <w:rFonts w:ascii="Times New Roman" w:hAnsi="Times New Roman"/>
        </w:rPr>
        <w:t xml:space="preserve"> </w:t>
      </w:r>
    </w:p>
    <w:p w14:paraId="7883237B" w14:textId="6F0F9C21" w:rsidR="00E677B0" w:rsidRPr="00BA654C" w:rsidRDefault="004C3C5A" w:rsidP="00BA654C">
      <w:pPr>
        <w:pStyle w:val="FixListStyle"/>
        <w:spacing w:after="260" w:line="280" w:lineRule="exact"/>
        <w:ind w:right="0"/>
        <w:jc w:val="both"/>
        <w:rPr>
          <w:rFonts w:ascii="Times New Roman" w:hAnsi="Times New Roman"/>
        </w:rPr>
      </w:pPr>
      <w:r w:rsidRPr="00BA654C">
        <w:rPr>
          <w:rFonts w:ascii="Times New Roman" w:hAnsi="Times New Roman"/>
        </w:rPr>
        <w:tab/>
      </w:r>
      <w:r w:rsidR="00E50B83" w:rsidRPr="00BA654C">
        <w:rPr>
          <w:rFonts w:ascii="Times New Roman" w:hAnsi="Times New Roman"/>
        </w:rPr>
        <w:t xml:space="preserve">The decision that was made being refusal of the application for the Subclass 132 visa, the plaintiffs had to prove </w:t>
      </w:r>
      <w:r w:rsidR="001476DE" w:rsidRPr="00BA654C">
        <w:rPr>
          <w:rFonts w:ascii="Times New Roman" w:hAnsi="Times New Roman"/>
        </w:rPr>
        <w:t xml:space="preserve">that the decision, at </w:t>
      </w:r>
      <w:r w:rsidR="005545EB" w:rsidRPr="00BA654C">
        <w:rPr>
          <w:rFonts w:ascii="Times New Roman" w:hAnsi="Times New Roman"/>
        </w:rPr>
        <w:t>t</w:t>
      </w:r>
      <w:r w:rsidR="001476DE" w:rsidRPr="00BA654C">
        <w:rPr>
          <w:rFonts w:ascii="Times New Roman" w:hAnsi="Times New Roman"/>
        </w:rPr>
        <w:t xml:space="preserve">he time it was made, </w:t>
      </w:r>
      <w:r w:rsidR="001476DE" w:rsidRPr="00BA654C">
        <w:rPr>
          <w:rFonts w:ascii="Times New Roman" w:hAnsi="Times New Roman"/>
          <w:i/>
          <w:iCs/>
        </w:rPr>
        <w:t>could</w:t>
      </w:r>
      <w:r w:rsidR="001476DE" w:rsidRPr="00BA654C">
        <w:rPr>
          <w:rFonts w:ascii="Times New Roman" w:hAnsi="Times New Roman"/>
        </w:rPr>
        <w:t xml:space="preserve"> have been the grant of the </w:t>
      </w:r>
      <w:r w:rsidR="005545EB" w:rsidRPr="00BA654C">
        <w:rPr>
          <w:rFonts w:ascii="Times New Roman" w:hAnsi="Times New Roman"/>
        </w:rPr>
        <w:t>Subclass 132 visa</w:t>
      </w:r>
      <w:r w:rsidR="008858D5" w:rsidRPr="00BA654C">
        <w:rPr>
          <w:rFonts w:ascii="Times New Roman" w:hAnsi="Times New Roman"/>
        </w:rPr>
        <w:t>.</w:t>
      </w:r>
      <w:r w:rsidR="005545EB" w:rsidRPr="00BA654C">
        <w:rPr>
          <w:rFonts w:ascii="Times New Roman" w:hAnsi="Times New Roman"/>
        </w:rPr>
        <w:t xml:space="preserve"> </w:t>
      </w:r>
      <w:r w:rsidR="008858D5" w:rsidRPr="00BA654C">
        <w:rPr>
          <w:rFonts w:ascii="Times New Roman" w:hAnsi="Times New Roman"/>
        </w:rPr>
        <w:t>T</w:t>
      </w:r>
      <w:r w:rsidR="005545EB" w:rsidRPr="00BA654C">
        <w:rPr>
          <w:rFonts w:ascii="Times New Roman" w:hAnsi="Times New Roman"/>
        </w:rPr>
        <w:t xml:space="preserve">hat the plaintiffs have </w:t>
      </w:r>
      <w:r w:rsidR="005545EB" w:rsidRPr="00BA654C">
        <w:rPr>
          <w:rFonts w:ascii="Times New Roman" w:hAnsi="Times New Roman"/>
        </w:rPr>
        <w:lastRenderedPageBreak/>
        <w:t xml:space="preserve">not proved because no information was provided in support of the application for the Subclass 132 visa at all and it remains unknown whether the first plaintiff </w:t>
      </w:r>
      <w:r w:rsidR="005545EB" w:rsidRPr="00BA654C">
        <w:rPr>
          <w:rFonts w:ascii="Times New Roman" w:hAnsi="Times New Roman"/>
          <w:i/>
          <w:iCs/>
        </w:rPr>
        <w:t>could</w:t>
      </w:r>
      <w:r w:rsidR="005545EB" w:rsidRPr="00BA654C">
        <w:rPr>
          <w:rFonts w:ascii="Times New Roman" w:hAnsi="Times New Roman"/>
        </w:rPr>
        <w:t xml:space="preserve"> </w:t>
      </w:r>
      <w:r w:rsidR="00CE7BD1" w:rsidRPr="00BA654C">
        <w:rPr>
          <w:rFonts w:ascii="Times New Roman" w:hAnsi="Times New Roman"/>
        </w:rPr>
        <w:t xml:space="preserve">have </w:t>
      </w:r>
      <w:r w:rsidR="005545EB" w:rsidRPr="00BA654C">
        <w:rPr>
          <w:rFonts w:ascii="Times New Roman" w:hAnsi="Times New Roman"/>
        </w:rPr>
        <w:t>satisf</w:t>
      </w:r>
      <w:r w:rsidR="00CE7BD1" w:rsidRPr="00BA654C">
        <w:rPr>
          <w:rFonts w:ascii="Times New Roman" w:hAnsi="Times New Roman"/>
        </w:rPr>
        <w:t>ied</w:t>
      </w:r>
      <w:r w:rsidR="005545EB" w:rsidRPr="00BA654C">
        <w:rPr>
          <w:rFonts w:ascii="Times New Roman" w:hAnsi="Times New Roman"/>
        </w:rPr>
        <w:t xml:space="preserve"> the other primary criteria at the time the decision was made.</w:t>
      </w:r>
    </w:p>
    <w:p w14:paraId="1F02DB9E" w14:textId="77777777" w:rsidR="006A1F50" w:rsidRPr="00BA654C" w:rsidRDefault="006A1F50" w:rsidP="00BA654C">
      <w:pPr>
        <w:pStyle w:val="HeadingL1"/>
        <w:spacing w:after="260" w:line="280" w:lineRule="exact"/>
        <w:ind w:right="0"/>
        <w:jc w:val="both"/>
        <w:rPr>
          <w:rFonts w:ascii="Times New Roman" w:hAnsi="Times New Roman"/>
        </w:rPr>
      </w:pPr>
      <w:r w:rsidRPr="00BA654C">
        <w:rPr>
          <w:rFonts w:ascii="Times New Roman" w:hAnsi="Times New Roman"/>
        </w:rPr>
        <w:t>Conclusion and orders</w:t>
      </w:r>
    </w:p>
    <w:p w14:paraId="7A8ADF94" w14:textId="09DEAFA2" w:rsidR="00A73989" w:rsidRPr="00BA654C" w:rsidRDefault="006A1F50" w:rsidP="00BA654C">
      <w:pPr>
        <w:pStyle w:val="FixListStyle"/>
        <w:spacing w:after="260" w:line="280" w:lineRule="exact"/>
        <w:ind w:right="0"/>
        <w:jc w:val="both"/>
        <w:rPr>
          <w:rFonts w:ascii="Times New Roman" w:hAnsi="Times New Roman"/>
        </w:rPr>
      </w:pPr>
      <w:r w:rsidRPr="00BA654C">
        <w:rPr>
          <w:rFonts w:ascii="Times New Roman" w:hAnsi="Times New Roman"/>
        </w:rPr>
        <w:tab/>
        <w:t xml:space="preserve">For these reasons, the decision of the delegate to refuse each of the plaintiffs a visa </w:t>
      </w:r>
      <w:r w:rsidR="005545EB" w:rsidRPr="00BA654C">
        <w:rPr>
          <w:rFonts w:ascii="Times New Roman" w:hAnsi="Times New Roman"/>
        </w:rPr>
        <w:t xml:space="preserve">is </w:t>
      </w:r>
      <w:r w:rsidRPr="00BA654C">
        <w:rPr>
          <w:rFonts w:ascii="Times New Roman" w:hAnsi="Times New Roman"/>
        </w:rPr>
        <w:t>not vitiated by jurisdictional error. The plaintiffs' application must be dismissed. The plaintiffs should pay the defendant's costs.</w:t>
      </w:r>
    </w:p>
    <w:sectPr w:rsidR="00A73989" w:rsidRPr="00BA654C" w:rsidSect="00877397">
      <w:headerReference w:type="even" r:id="rId14"/>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3F4E" w14:textId="77777777" w:rsidR="003041E7" w:rsidRDefault="003041E7">
      <w:pPr>
        <w:spacing w:line="240" w:lineRule="auto"/>
      </w:pPr>
      <w:r>
        <w:separator/>
      </w:r>
    </w:p>
  </w:endnote>
  <w:endnote w:type="continuationSeparator" w:id="0">
    <w:p w14:paraId="25DEBB21" w14:textId="77777777" w:rsidR="003041E7" w:rsidRDefault="003041E7">
      <w:pPr>
        <w:spacing w:line="240" w:lineRule="auto"/>
      </w:pPr>
      <w:r>
        <w:continuationSeparator/>
      </w:r>
    </w:p>
  </w:endnote>
  <w:endnote w:type="continuationNotice" w:id="1">
    <w:p w14:paraId="401DA918" w14:textId="77777777" w:rsidR="003041E7" w:rsidRDefault="003041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645E" w14:textId="77777777" w:rsidR="003041E7" w:rsidRPr="00BA654C" w:rsidRDefault="003041E7" w:rsidP="00BA654C">
      <w:pPr>
        <w:pStyle w:val="Footer"/>
        <w:spacing w:before="120" w:after="20"/>
        <w:ind w:right="0"/>
        <w:rPr>
          <w:rFonts w:ascii="Times New Roman" w:hAnsi="Times New Roman"/>
        </w:rPr>
      </w:pPr>
      <w:r>
        <w:continuationSeparator/>
      </w:r>
    </w:p>
  </w:footnote>
  <w:footnote w:type="continuationSeparator" w:id="0">
    <w:p w14:paraId="58AC61A5" w14:textId="77777777" w:rsidR="003041E7" w:rsidRPr="00BA654C" w:rsidRDefault="003041E7" w:rsidP="00BA654C">
      <w:pPr>
        <w:pStyle w:val="Footer"/>
        <w:spacing w:before="120" w:after="20"/>
        <w:ind w:right="0"/>
        <w:rPr>
          <w:rFonts w:ascii="Times New Roman" w:hAnsi="Times New Roman"/>
        </w:rPr>
      </w:pPr>
      <w:r w:rsidRPr="00BA654C">
        <w:rPr>
          <w:rFonts w:ascii="Times New Roman" w:hAnsi="Times New Roman"/>
        </w:rPr>
        <w:continuationSeparator/>
      </w:r>
    </w:p>
  </w:footnote>
  <w:footnote w:type="continuationNotice" w:id="1">
    <w:p w14:paraId="4D957A75" w14:textId="77777777" w:rsidR="003041E7" w:rsidRPr="00BA654C" w:rsidRDefault="003041E7">
      <w:pPr>
        <w:jc w:val="right"/>
        <w:rPr>
          <w:rFonts w:ascii="Times Roman" w:hAnsi="Times Roman"/>
          <w:sz w:val="24"/>
        </w:rPr>
      </w:pPr>
    </w:p>
  </w:footnote>
  <w:footnote w:id="2">
    <w:p w14:paraId="1854385E" w14:textId="3DB101ED" w:rsidR="006D70D1" w:rsidRPr="00BA654C" w:rsidRDefault="006D70D1"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00AE15A4" w:rsidRPr="00BA654C">
        <w:rPr>
          <w:rFonts w:ascii="Times New Roman" w:hAnsi="Times New Roman"/>
          <w:sz w:val="24"/>
        </w:rPr>
        <w:t xml:space="preserve">The second to fourth </w:t>
      </w:r>
      <w:r w:rsidR="0098381F" w:rsidRPr="00BA654C">
        <w:rPr>
          <w:rFonts w:ascii="Times New Roman" w:hAnsi="Times New Roman"/>
          <w:sz w:val="24"/>
        </w:rPr>
        <w:t xml:space="preserve">plaintiffs </w:t>
      </w:r>
      <w:r w:rsidR="003633A3" w:rsidRPr="00BA654C">
        <w:rPr>
          <w:rFonts w:ascii="Times New Roman" w:hAnsi="Times New Roman"/>
          <w:sz w:val="24"/>
        </w:rPr>
        <w:t xml:space="preserve">are </w:t>
      </w:r>
      <w:r w:rsidR="0098381F" w:rsidRPr="00BA654C">
        <w:rPr>
          <w:rFonts w:ascii="Times New Roman" w:hAnsi="Times New Roman"/>
          <w:sz w:val="24"/>
        </w:rPr>
        <w:t>members of the first plaintiff's family</w:t>
      </w:r>
      <w:r w:rsidR="003C5689" w:rsidRPr="00BA654C">
        <w:rPr>
          <w:rFonts w:ascii="Times New Roman" w:hAnsi="Times New Roman"/>
          <w:sz w:val="24"/>
        </w:rPr>
        <w:t xml:space="preserve"> so </w:t>
      </w:r>
      <w:r w:rsidR="003633A3" w:rsidRPr="00BA654C">
        <w:rPr>
          <w:rFonts w:ascii="Times New Roman" w:hAnsi="Times New Roman"/>
          <w:sz w:val="24"/>
        </w:rPr>
        <w:t xml:space="preserve">a combined application </w:t>
      </w:r>
      <w:r w:rsidR="005E3D57" w:rsidRPr="00BA654C">
        <w:rPr>
          <w:rFonts w:ascii="Times New Roman" w:hAnsi="Times New Roman"/>
          <w:sz w:val="24"/>
        </w:rPr>
        <w:t xml:space="preserve">for the visa could </w:t>
      </w:r>
      <w:r w:rsidR="003633A3" w:rsidRPr="00BA654C">
        <w:rPr>
          <w:rFonts w:ascii="Times New Roman" w:hAnsi="Times New Roman"/>
          <w:sz w:val="24"/>
        </w:rPr>
        <w:t>be made</w:t>
      </w:r>
      <w:r w:rsidR="005E3D57" w:rsidRPr="00BA654C">
        <w:rPr>
          <w:rFonts w:ascii="Times New Roman" w:hAnsi="Times New Roman"/>
          <w:sz w:val="24"/>
        </w:rPr>
        <w:t>.</w:t>
      </w:r>
      <w:r w:rsidR="00623B09" w:rsidRPr="00BA654C">
        <w:rPr>
          <w:rFonts w:ascii="Times New Roman" w:hAnsi="Times New Roman"/>
          <w:sz w:val="24"/>
        </w:rPr>
        <w:t xml:space="preserve"> See </w:t>
      </w:r>
      <w:proofErr w:type="spellStart"/>
      <w:r w:rsidR="00623B09" w:rsidRPr="00BA654C">
        <w:rPr>
          <w:rFonts w:ascii="Times New Roman" w:hAnsi="Times New Roman"/>
          <w:sz w:val="24"/>
        </w:rPr>
        <w:t>Subdiv</w:t>
      </w:r>
      <w:proofErr w:type="spellEnd"/>
      <w:r w:rsidR="00623B09" w:rsidRPr="00BA654C">
        <w:rPr>
          <w:rFonts w:ascii="Times New Roman" w:hAnsi="Times New Roman"/>
          <w:sz w:val="24"/>
        </w:rPr>
        <w:t xml:space="preserve"> 132.311 of Sch 2 to the </w:t>
      </w:r>
      <w:r w:rsidR="00623B09" w:rsidRPr="00BA654C">
        <w:rPr>
          <w:rFonts w:ascii="Times New Roman" w:hAnsi="Times New Roman"/>
          <w:i/>
          <w:iCs/>
          <w:sz w:val="24"/>
        </w:rPr>
        <w:t>Migration Regulations 1994</w:t>
      </w:r>
      <w:r w:rsidR="00623B09" w:rsidRPr="00BA654C">
        <w:rPr>
          <w:rFonts w:ascii="Times New Roman" w:hAnsi="Times New Roman"/>
          <w:sz w:val="24"/>
        </w:rPr>
        <w:t xml:space="preserve"> (</w:t>
      </w:r>
      <w:proofErr w:type="spellStart"/>
      <w:r w:rsidR="00623B09" w:rsidRPr="00BA654C">
        <w:rPr>
          <w:rFonts w:ascii="Times New Roman" w:hAnsi="Times New Roman"/>
          <w:sz w:val="24"/>
        </w:rPr>
        <w:t>Cth</w:t>
      </w:r>
      <w:proofErr w:type="spellEnd"/>
      <w:r w:rsidR="00623B09" w:rsidRPr="00BA654C">
        <w:rPr>
          <w:rFonts w:ascii="Times New Roman" w:hAnsi="Times New Roman"/>
          <w:sz w:val="24"/>
        </w:rPr>
        <w:t>).</w:t>
      </w:r>
    </w:p>
  </w:footnote>
  <w:footnote w:id="3">
    <w:p w14:paraId="20693491" w14:textId="36B95C2C" w:rsidR="003E4F6E" w:rsidRPr="00BA654C" w:rsidRDefault="003E4F6E"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00926200" w:rsidRPr="00BA654C">
        <w:rPr>
          <w:rFonts w:ascii="Times New Roman" w:hAnsi="Times New Roman"/>
          <w:i/>
          <w:iCs/>
          <w:sz w:val="24"/>
        </w:rPr>
        <w:t>Migration Act</w:t>
      </w:r>
      <w:r w:rsidR="006743E6" w:rsidRPr="00BA654C">
        <w:rPr>
          <w:rFonts w:ascii="Times New Roman" w:hAnsi="Times New Roman"/>
          <w:i/>
          <w:iCs/>
          <w:sz w:val="24"/>
        </w:rPr>
        <w:t xml:space="preserve"> 1958</w:t>
      </w:r>
      <w:r w:rsidR="006743E6" w:rsidRPr="00BA654C">
        <w:rPr>
          <w:rFonts w:ascii="Times New Roman" w:hAnsi="Times New Roman"/>
          <w:sz w:val="24"/>
        </w:rPr>
        <w:t xml:space="preserve"> (</w:t>
      </w:r>
      <w:proofErr w:type="spellStart"/>
      <w:r w:rsidR="006743E6" w:rsidRPr="00BA654C">
        <w:rPr>
          <w:rFonts w:ascii="Times New Roman" w:hAnsi="Times New Roman"/>
          <w:sz w:val="24"/>
        </w:rPr>
        <w:t>Cth</w:t>
      </w:r>
      <w:proofErr w:type="spellEnd"/>
      <w:r w:rsidR="006743E6" w:rsidRPr="00BA654C">
        <w:rPr>
          <w:rFonts w:ascii="Times New Roman" w:hAnsi="Times New Roman"/>
          <w:sz w:val="24"/>
        </w:rPr>
        <w:t xml:space="preserve">), </w:t>
      </w:r>
      <w:r w:rsidR="00473503" w:rsidRPr="00BA654C">
        <w:rPr>
          <w:rFonts w:ascii="Times New Roman" w:hAnsi="Times New Roman"/>
          <w:sz w:val="24"/>
        </w:rPr>
        <w:t>ss</w:t>
      </w:r>
      <w:r w:rsidR="00623876" w:rsidRPr="00BA654C">
        <w:rPr>
          <w:rFonts w:ascii="Times New Roman" w:hAnsi="Times New Roman"/>
          <w:sz w:val="24"/>
        </w:rPr>
        <w:t> 476(2) and (4), s </w:t>
      </w:r>
      <w:r w:rsidR="00777070" w:rsidRPr="00BA654C">
        <w:rPr>
          <w:rFonts w:ascii="Times New Roman" w:hAnsi="Times New Roman"/>
          <w:sz w:val="24"/>
        </w:rPr>
        <w:t>476</w:t>
      </w:r>
      <w:proofErr w:type="gramStart"/>
      <w:r w:rsidR="00777070" w:rsidRPr="00BA654C">
        <w:rPr>
          <w:rFonts w:ascii="Times New Roman" w:hAnsi="Times New Roman"/>
          <w:sz w:val="24"/>
        </w:rPr>
        <w:t>B(</w:t>
      </w:r>
      <w:proofErr w:type="gramEnd"/>
      <w:r w:rsidR="00777070" w:rsidRPr="00BA654C">
        <w:rPr>
          <w:rFonts w:ascii="Times New Roman" w:hAnsi="Times New Roman"/>
          <w:sz w:val="24"/>
        </w:rPr>
        <w:t>2)</w:t>
      </w:r>
      <w:r w:rsidR="002C5EDE" w:rsidRPr="00BA654C">
        <w:rPr>
          <w:rFonts w:ascii="Times New Roman" w:hAnsi="Times New Roman"/>
          <w:sz w:val="24"/>
        </w:rPr>
        <w:t>.</w:t>
      </w:r>
    </w:p>
  </w:footnote>
  <w:footnote w:id="4">
    <w:p w14:paraId="398C1F49" w14:textId="77777777" w:rsidR="006A1F50" w:rsidRPr="00BA654C" w:rsidRDefault="006A1F50"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Pr="00BA654C">
        <w:rPr>
          <w:rFonts w:ascii="Times New Roman" w:hAnsi="Times New Roman"/>
          <w:i/>
          <w:iCs/>
          <w:sz w:val="24"/>
        </w:rPr>
        <w:t>Migration Act</w:t>
      </w:r>
      <w:r w:rsidRPr="00BA654C">
        <w:rPr>
          <w:rFonts w:ascii="Times New Roman" w:hAnsi="Times New Roman"/>
          <w:sz w:val="24"/>
        </w:rPr>
        <w:t>, ss 31, 46.</w:t>
      </w:r>
    </w:p>
  </w:footnote>
  <w:footnote w:id="5">
    <w:p w14:paraId="4F991081" w14:textId="77777777" w:rsidR="006A1F50" w:rsidRPr="00BA654C" w:rsidRDefault="006A1F50"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Pr="00BA654C">
        <w:rPr>
          <w:rFonts w:ascii="Times New Roman" w:hAnsi="Times New Roman"/>
          <w:i/>
          <w:iCs/>
          <w:sz w:val="24"/>
        </w:rPr>
        <w:t>Migration Act</w:t>
      </w:r>
      <w:r w:rsidRPr="00BA654C">
        <w:rPr>
          <w:rFonts w:ascii="Times New Roman" w:hAnsi="Times New Roman"/>
          <w:sz w:val="24"/>
        </w:rPr>
        <w:t>, s 46.</w:t>
      </w:r>
    </w:p>
  </w:footnote>
  <w:footnote w:id="6">
    <w:p w14:paraId="75630AB3" w14:textId="557AA997" w:rsidR="00915A15" w:rsidRPr="00BA654C" w:rsidRDefault="00915A15"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Pr="00BA654C">
        <w:rPr>
          <w:rFonts w:ascii="Times New Roman" w:hAnsi="Times New Roman"/>
          <w:i/>
          <w:iCs/>
          <w:sz w:val="24"/>
        </w:rPr>
        <w:t>Migration Regulations</w:t>
      </w:r>
      <w:r w:rsidRPr="00BA654C">
        <w:rPr>
          <w:rFonts w:ascii="Times New Roman" w:hAnsi="Times New Roman"/>
          <w:sz w:val="24"/>
        </w:rPr>
        <w:t>, r 2.01(1) and Sch</w:t>
      </w:r>
      <w:r w:rsidR="00004D07" w:rsidRPr="00BA654C">
        <w:rPr>
          <w:rFonts w:ascii="Times New Roman" w:hAnsi="Times New Roman"/>
          <w:sz w:val="24"/>
        </w:rPr>
        <w:t> </w:t>
      </w:r>
      <w:r w:rsidRPr="00BA654C">
        <w:rPr>
          <w:rFonts w:ascii="Times New Roman" w:hAnsi="Times New Roman"/>
          <w:sz w:val="24"/>
        </w:rPr>
        <w:t>1</w:t>
      </w:r>
      <w:r w:rsidR="00004D07" w:rsidRPr="00BA654C">
        <w:rPr>
          <w:rFonts w:ascii="Times New Roman" w:hAnsi="Times New Roman"/>
          <w:sz w:val="24"/>
        </w:rPr>
        <w:t xml:space="preserve"> Pt 1</w:t>
      </w:r>
      <w:r w:rsidRPr="00BA654C">
        <w:rPr>
          <w:rFonts w:ascii="Times New Roman" w:hAnsi="Times New Roman"/>
          <w:sz w:val="24"/>
        </w:rPr>
        <w:t xml:space="preserve"> </w:t>
      </w:r>
      <w:r w:rsidR="00A17A9E" w:rsidRPr="00BA654C">
        <w:rPr>
          <w:rFonts w:ascii="Times New Roman" w:hAnsi="Times New Roman"/>
          <w:sz w:val="24"/>
        </w:rPr>
        <w:t>Item</w:t>
      </w:r>
      <w:r w:rsidR="00267032" w:rsidRPr="00BA654C">
        <w:rPr>
          <w:rFonts w:ascii="Times New Roman" w:hAnsi="Times New Roman"/>
          <w:sz w:val="24"/>
        </w:rPr>
        <w:t> </w:t>
      </w:r>
      <w:r w:rsidRPr="00BA654C">
        <w:rPr>
          <w:rFonts w:ascii="Times New Roman" w:hAnsi="Times New Roman"/>
          <w:sz w:val="24"/>
        </w:rPr>
        <w:t>1104AA.</w:t>
      </w:r>
    </w:p>
  </w:footnote>
  <w:footnote w:id="7">
    <w:p w14:paraId="739E5F93" w14:textId="11D58254" w:rsidR="00915A15" w:rsidRPr="00BA654C" w:rsidRDefault="00915A15"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Pr="00BA654C">
        <w:rPr>
          <w:rFonts w:ascii="Times New Roman" w:hAnsi="Times New Roman"/>
          <w:i/>
          <w:iCs/>
          <w:sz w:val="24"/>
        </w:rPr>
        <w:t>Migration Regulations</w:t>
      </w:r>
      <w:r w:rsidRPr="00BA654C">
        <w:rPr>
          <w:rFonts w:ascii="Times New Roman" w:hAnsi="Times New Roman"/>
          <w:sz w:val="24"/>
        </w:rPr>
        <w:t>, r 2.02, Sch</w:t>
      </w:r>
      <w:r w:rsidR="00CA2CBB" w:rsidRPr="00BA654C">
        <w:rPr>
          <w:rFonts w:ascii="Times New Roman" w:hAnsi="Times New Roman"/>
          <w:sz w:val="24"/>
        </w:rPr>
        <w:t> </w:t>
      </w:r>
      <w:r w:rsidRPr="00BA654C">
        <w:rPr>
          <w:rFonts w:ascii="Times New Roman" w:hAnsi="Times New Roman"/>
          <w:sz w:val="24"/>
        </w:rPr>
        <w:t>1</w:t>
      </w:r>
      <w:r w:rsidR="00267032" w:rsidRPr="00BA654C">
        <w:rPr>
          <w:rFonts w:ascii="Times New Roman" w:hAnsi="Times New Roman"/>
          <w:sz w:val="24"/>
        </w:rPr>
        <w:t xml:space="preserve"> Pt 1 </w:t>
      </w:r>
      <w:r w:rsidR="00A17A9E" w:rsidRPr="00BA654C">
        <w:rPr>
          <w:rFonts w:ascii="Times New Roman" w:hAnsi="Times New Roman"/>
          <w:sz w:val="24"/>
        </w:rPr>
        <w:t>Item</w:t>
      </w:r>
      <w:r w:rsidR="00267032" w:rsidRPr="00BA654C">
        <w:rPr>
          <w:rFonts w:ascii="Times New Roman" w:hAnsi="Times New Roman"/>
          <w:sz w:val="24"/>
        </w:rPr>
        <w:t> </w:t>
      </w:r>
      <w:r w:rsidRPr="00BA654C">
        <w:rPr>
          <w:rFonts w:ascii="Times New Roman" w:hAnsi="Times New Roman"/>
          <w:sz w:val="24"/>
        </w:rPr>
        <w:t>1104</w:t>
      </w:r>
      <w:proofErr w:type="gramStart"/>
      <w:r w:rsidRPr="00BA654C">
        <w:rPr>
          <w:rFonts w:ascii="Times New Roman" w:hAnsi="Times New Roman"/>
          <w:sz w:val="24"/>
        </w:rPr>
        <w:t>AA(</w:t>
      </w:r>
      <w:proofErr w:type="gramEnd"/>
      <w:r w:rsidRPr="00BA654C">
        <w:rPr>
          <w:rFonts w:ascii="Times New Roman" w:hAnsi="Times New Roman"/>
          <w:sz w:val="24"/>
        </w:rPr>
        <w:t>6) and Sch</w:t>
      </w:r>
      <w:r w:rsidR="00267032" w:rsidRPr="00BA654C">
        <w:rPr>
          <w:rFonts w:ascii="Times New Roman" w:hAnsi="Times New Roman"/>
          <w:sz w:val="24"/>
        </w:rPr>
        <w:t> </w:t>
      </w:r>
      <w:r w:rsidRPr="00BA654C">
        <w:rPr>
          <w:rFonts w:ascii="Times New Roman" w:hAnsi="Times New Roman"/>
          <w:sz w:val="24"/>
        </w:rPr>
        <w:t xml:space="preserve">2 </w:t>
      </w:r>
      <w:proofErr w:type="spellStart"/>
      <w:r w:rsidR="00237D96" w:rsidRPr="00BA654C">
        <w:rPr>
          <w:rFonts w:ascii="Times New Roman" w:hAnsi="Times New Roman"/>
          <w:sz w:val="24"/>
        </w:rPr>
        <w:t>Subdiv</w:t>
      </w:r>
      <w:proofErr w:type="spellEnd"/>
      <w:r w:rsidRPr="00BA654C">
        <w:rPr>
          <w:rFonts w:ascii="Times New Roman" w:hAnsi="Times New Roman"/>
          <w:sz w:val="24"/>
        </w:rPr>
        <w:t xml:space="preserve"> 132.</w:t>
      </w:r>
      <w:r w:rsidR="00CF38BB" w:rsidRPr="00BA654C">
        <w:rPr>
          <w:rFonts w:ascii="Times New Roman" w:hAnsi="Times New Roman"/>
          <w:sz w:val="24"/>
        </w:rPr>
        <w:t xml:space="preserve"> </w:t>
      </w:r>
    </w:p>
  </w:footnote>
  <w:footnote w:id="8">
    <w:p w14:paraId="408B904E" w14:textId="14EBDA12" w:rsidR="006A1F50" w:rsidRPr="00BA654C" w:rsidRDefault="006A1F50"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004219C0" w:rsidRPr="00BA654C">
        <w:rPr>
          <w:rFonts w:ascii="Times New Roman" w:hAnsi="Times New Roman"/>
          <w:sz w:val="24"/>
        </w:rPr>
        <w:tab/>
      </w:r>
      <w:r w:rsidRPr="00BA654C">
        <w:rPr>
          <w:rFonts w:ascii="Times New Roman" w:hAnsi="Times New Roman"/>
          <w:i/>
          <w:iCs/>
          <w:sz w:val="24"/>
        </w:rPr>
        <w:t xml:space="preserve">Migration Regulations, </w:t>
      </w:r>
      <w:r w:rsidRPr="00BA654C">
        <w:rPr>
          <w:rFonts w:ascii="Times New Roman" w:hAnsi="Times New Roman"/>
          <w:sz w:val="24"/>
        </w:rPr>
        <w:t>Sch 1 Pt 1 Item 1104</w:t>
      </w:r>
      <w:proofErr w:type="gramStart"/>
      <w:r w:rsidRPr="00BA654C">
        <w:rPr>
          <w:rFonts w:ascii="Times New Roman" w:hAnsi="Times New Roman"/>
          <w:sz w:val="24"/>
        </w:rPr>
        <w:t>AA(</w:t>
      </w:r>
      <w:proofErr w:type="gramEnd"/>
      <w:r w:rsidRPr="00BA654C">
        <w:rPr>
          <w:rFonts w:ascii="Times New Roman" w:hAnsi="Times New Roman"/>
          <w:sz w:val="24"/>
        </w:rPr>
        <w:t>4).</w:t>
      </w:r>
    </w:p>
  </w:footnote>
  <w:footnote w:id="9">
    <w:p w14:paraId="347892B2" w14:textId="77777777" w:rsidR="00801DE3" w:rsidRPr="00BA654C" w:rsidRDefault="00801DE3"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Pr="00BA654C">
        <w:rPr>
          <w:rFonts w:ascii="Times New Roman" w:hAnsi="Times New Roman"/>
          <w:i/>
          <w:iCs/>
          <w:sz w:val="24"/>
        </w:rPr>
        <w:t>Migration Regulations</w:t>
      </w:r>
      <w:r w:rsidRPr="00BA654C">
        <w:rPr>
          <w:rFonts w:ascii="Times New Roman" w:hAnsi="Times New Roman"/>
          <w:sz w:val="24"/>
        </w:rPr>
        <w:t>, r 2.03.</w:t>
      </w:r>
    </w:p>
  </w:footnote>
  <w:footnote w:id="10">
    <w:p w14:paraId="6B0B3E1C" w14:textId="7CC2BA63" w:rsidR="007F38C4" w:rsidRPr="00BA654C" w:rsidRDefault="007F38C4"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t xml:space="preserve">"Main business" was defined in r 1.11 of the </w:t>
      </w:r>
      <w:r w:rsidRPr="00BA654C">
        <w:rPr>
          <w:rFonts w:ascii="Times New Roman" w:hAnsi="Times New Roman"/>
          <w:i/>
          <w:iCs/>
          <w:sz w:val="24"/>
        </w:rPr>
        <w:t>Migration Regulations</w:t>
      </w:r>
      <w:r w:rsidRPr="00BA654C">
        <w:rPr>
          <w:rFonts w:ascii="Times New Roman" w:hAnsi="Times New Roman"/>
          <w:sz w:val="24"/>
        </w:rPr>
        <w:t xml:space="preserve">. </w:t>
      </w:r>
    </w:p>
  </w:footnote>
  <w:footnote w:id="11">
    <w:p w14:paraId="114039E2" w14:textId="652B737F" w:rsidR="00C821B3" w:rsidRPr="00BA654C" w:rsidRDefault="00C821B3"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rPr>
        <w:footnoteRef/>
      </w:r>
      <w:r w:rsidRPr="00BA654C">
        <w:rPr>
          <w:rFonts w:ascii="Times New Roman" w:hAnsi="Times New Roman"/>
          <w:sz w:val="24"/>
        </w:rPr>
        <w:t xml:space="preserve"> </w:t>
      </w:r>
      <w:r w:rsidRPr="00BA654C">
        <w:rPr>
          <w:rFonts w:ascii="Times New Roman" w:hAnsi="Times New Roman"/>
          <w:sz w:val="24"/>
        </w:rPr>
        <w:tab/>
      </w:r>
      <w:r w:rsidRPr="00BA654C">
        <w:rPr>
          <w:rFonts w:ascii="Times New Roman" w:hAnsi="Times New Roman"/>
          <w:i/>
          <w:iCs/>
          <w:sz w:val="24"/>
        </w:rPr>
        <w:t>Ismail v Minister for Immigration</w:t>
      </w:r>
      <w:r w:rsidRPr="00BA654C">
        <w:rPr>
          <w:rFonts w:ascii="Times New Roman" w:hAnsi="Times New Roman"/>
          <w:sz w:val="24"/>
        </w:rPr>
        <w:t xml:space="preserve"> (2024) 98 ALJR 196 at 202-203 [25]; 417 ALR 36 at 44, referring to </w:t>
      </w:r>
      <w:r w:rsidRPr="00BA654C">
        <w:rPr>
          <w:rFonts w:ascii="Times New Roman" w:hAnsi="Times New Roman"/>
          <w:i/>
          <w:iCs/>
          <w:sz w:val="24"/>
        </w:rPr>
        <w:t>Minister for Immigration and Citizenship v SZIAI</w:t>
      </w:r>
      <w:r w:rsidRPr="00BA654C">
        <w:rPr>
          <w:rFonts w:ascii="Times New Roman" w:hAnsi="Times New Roman"/>
          <w:sz w:val="24"/>
        </w:rPr>
        <w:t xml:space="preserve"> (2009) 83 ALJR 1123 at 1129 [25]; 259 ALR 429 at 436; </w:t>
      </w:r>
      <w:r w:rsidRPr="00BA654C">
        <w:rPr>
          <w:rFonts w:ascii="Times New Roman" w:hAnsi="Times New Roman"/>
          <w:i/>
          <w:iCs/>
          <w:sz w:val="24"/>
        </w:rPr>
        <w:t>Minister for Immigration and Ethnic Affairs v Teoh</w:t>
      </w:r>
      <w:r w:rsidRPr="00BA654C">
        <w:rPr>
          <w:rFonts w:ascii="Times New Roman" w:hAnsi="Times New Roman"/>
          <w:sz w:val="24"/>
        </w:rPr>
        <w:t xml:space="preserve"> (1995) 183 CLR 273 at 289-290, 321; </w:t>
      </w:r>
      <w:r w:rsidRPr="00BA654C">
        <w:rPr>
          <w:rFonts w:ascii="Times New Roman" w:hAnsi="Times New Roman"/>
          <w:i/>
          <w:iCs/>
          <w:sz w:val="24"/>
        </w:rPr>
        <w:t>Minister for Home Affairs v DUA16</w:t>
      </w:r>
      <w:r w:rsidRPr="00BA654C">
        <w:rPr>
          <w:rFonts w:ascii="Times New Roman" w:hAnsi="Times New Roman"/>
          <w:sz w:val="24"/>
        </w:rPr>
        <w:t xml:space="preserve"> (2020) 271 CLR 550 at 563‑564 [26]‑[27]; </w:t>
      </w:r>
      <w:r w:rsidRPr="00BA654C">
        <w:rPr>
          <w:rFonts w:ascii="Times New Roman" w:hAnsi="Times New Roman"/>
          <w:i/>
          <w:iCs/>
          <w:sz w:val="24"/>
        </w:rPr>
        <w:t>Prasad v Minister for Immigration and Ethnic Affairs</w:t>
      </w:r>
      <w:r w:rsidRPr="00BA654C">
        <w:rPr>
          <w:rFonts w:ascii="Times New Roman" w:hAnsi="Times New Roman"/>
          <w:sz w:val="24"/>
        </w:rPr>
        <w:t xml:space="preserve"> (1985) 6 FCR 155 at 169; </w:t>
      </w:r>
      <w:r w:rsidRPr="00BA654C">
        <w:rPr>
          <w:rFonts w:ascii="Times New Roman" w:hAnsi="Times New Roman"/>
          <w:i/>
          <w:iCs/>
          <w:sz w:val="24"/>
        </w:rPr>
        <w:t>Minister for Immigration and Border Protection v SZVFW</w:t>
      </w:r>
      <w:r w:rsidRPr="00BA654C">
        <w:rPr>
          <w:rFonts w:ascii="Times New Roman" w:hAnsi="Times New Roman"/>
          <w:sz w:val="24"/>
        </w:rPr>
        <w:t xml:space="preserve"> (2018) 264 CLR 541 at 551 [11], 564 [52], 575 [89], 586 [135]. See also </w:t>
      </w:r>
      <w:r w:rsidRPr="00BA654C">
        <w:rPr>
          <w:rFonts w:ascii="Times New Roman" w:hAnsi="Times New Roman"/>
          <w:i/>
          <w:iCs/>
          <w:sz w:val="24"/>
        </w:rPr>
        <w:t>Wei v Minister for Immigration and Border Protection</w:t>
      </w:r>
      <w:r w:rsidRPr="00BA654C">
        <w:rPr>
          <w:rFonts w:ascii="Times New Roman" w:hAnsi="Times New Roman"/>
          <w:sz w:val="24"/>
        </w:rPr>
        <w:t xml:space="preserve"> (2015) 257 CLR 22 at 40-41 [51].</w:t>
      </w:r>
    </w:p>
  </w:footnote>
  <w:footnote w:id="12">
    <w:p w14:paraId="651958BF" w14:textId="55757042" w:rsidR="006F4A0F" w:rsidRPr="00BA654C" w:rsidRDefault="006F4A0F"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00876A93" w:rsidRPr="00BA654C">
        <w:rPr>
          <w:rFonts w:ascii="Times New Roman" w:hAnsi="Times New Roman"/>
          <w:i/>
          <w:iCs/>
          <w:sz w:val="24"/>
        </w:rPr>
        <w:t>Minister for Home Affairs v DUA16</w:t>
      </w:r>
      <w:r w:rsidR="00876A93" w:rsidRPr="00BA654C">
        <w:rPr>
          <w:rFonts w:ascii="Times New Roman" w:hAnsi="Times New Roman"/>
          <w:sz w:val="24"/>
        </w:rPr>
        <w:t xml:space="preserve"> (2020) 271 CLR 550 at </w:t>
      </w:r>
      <w:r w:rsidR="001A4AA9" w:rsidRPr="00BA654C">
        <w:rPr>
          <w:rFonts w:ascii="Times New Roman" w:hAnsi="Times New Roman"/>
          <w:sz w:val="24"/>
        </w:rPr>
        <w:t>563</w:t>
      </w:r>
      <w:r w:rsidR="00876A93" w:rsidRPr="00BA654C">
        <w:rPr>
          <w:rFonts w:ascii="Times New Roman" w:hAnsi="Times New Roman"/>
          <w:sz w:val="24"/>
        </w:rPr>
        <w:t xml:space="preserve"> [26]</w:t>
      </w:r>
      <w:r w:rsidR="001A4AA9" w:rsidRPr="00BA654C">
        <w:rPr>
          <w:rFonts w:ascii="Times New Roman" w:hAnsi="Times New Roman"/>
          <w:sz w:val="24"/>
        </w:rPr>
        <w:t xml:space="preserve">, quoting </w:t>
      </w:r>
      <w:r w:rsidR="00B55106" w:rsidRPr="00BA654C">
        <w:rPr>
          <w:rFonts w:ascii="Times New Roman" w:hAnsi="Times New Roman"/>
          <w:i/>
          <w:iCs/>
          <w:sz w:val="24"/>
        </w:rPr>
        <w:t>Minister for Immigration and Citizenship v Li</w:t>
      </w:r>
      <w:r w:rsidR="00B55106" w:rsidRPr="00BA654C">
        <w:rPr>
          <w:rFonts w:ascii="Times New Roman" w:hAnsi="Times New Roman"/>
          <w:sz w:val="24"/>
        </w:rPr>
        <w:t xml:space="preserve"> (2013) 249 CLR 332 at 367 [76]</w:t>
      </w:r>
      <w:r w:rsidR="00876A93" w:rsidRPr="00BA654C">
        <w:rPr>
          <w:rFonts w:ascii="Times New Roman" w:hAnsi="Times New Roman"/>
          <w:sz w:val="24"/>
        </w:rPr>
        <w:t>.</w:t>
      </w:r>
    </w:p>
  </w:footnote>
  <w:footnote w:id="13">
    <w:p w14:paraId="60983420" w14:textId="2B2550BB" w:rsidR="002F2D2D" w:rsidRPr="00BA654C" w:rsidRDefault="002F2D2D"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00611B0C" w:rsidRPr="00BA654C">
        <w:rPr>
          <w:rFonts w:ascii="Times New Roman" w:hAnsi="Times New Roman"/>
          <w:i/>
          <w:iCs/>
          <w:sz w:val="24"/>
        </w:rPr>
        <w:t xml:space="preserve">Re Minister for Immigration and Multicultural Affairs; Ex </w:t>
      </w:r>
      <w:proofErr w:type="spellStart"/>
      <w:r w:rsidR="00611B0C" w:rsidRPr="00BA654C">
        <w:rPr>
          <w:rFonts w:ascii="Times New Roman" w:hAnsi="Times New Roman"/>
          <w:i/>
          <w:iCs/>
          <w:sz w:val="24"/>
        </w:rPr>
        <w:t>parte</w:t>
      </w:r>
      <w:proofErr w:type="spellEnd"/>
      <w:r w:rsidR="00611B0C" w:rsidRPr="00BA654C">
        <w:rPr>
          <w:rFonts w:ascii="Times New Roman" w:hAnsi="Times New Roman"/>
          <w:i/>
          <w:iCs/>
          <w:sz w:val="24"/>
        </w:rPr>
        <w:t xml:space="preserve"> Miah</w:t>
      </w:r>
      <w:r w:rsidR="00611B0C" w:rsidRPr="00BA654C">
        <w:rPr>
          <w:rFonts w:ascii="Times New Roman" w:hAnsi="Times New Roman"/>
          <w:sz w:val="24"/>
        </w:rPr>
        <w:t xml:space="preserve"> (2001) 206 CLR 57 at 74 [49].</w:t>
      </w:r>
      <w:r w:rsidRPr="00BA654C">
        <w:rPr>
          <w:rFonts w:ascii="Times New Roman" w:hAnsi="Times New Roman"/>
          <w:sz w:val="24"/>
        </w:rPr>
        <w:t xml:space="preserve"> </w:t>
      </w:r>
    </w:p>
  </w:footnote>
  <w:footnote w:id="14">
    <w:p w14:paraId="29DFC8BB" w14:textId="6CC31C3A" w:rsidR="00B57F4A" w:rsidRPr="00BA654C" w:rsidRDefault="00B57F4A"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00B42D07" w:rsidRPr="00BA654C">
        <w:rPr>
          <w:rFonts w:ascii="Times New Roman" w:hAnsi="Times New Roman"/>
          <w:i/>
          <w:iCs/>
          <w:sz w:val="24"/>
        </w:rPr>
        <w:t>Ismail v Minister for Immigration</w:t>
      </w:r>
      <w:r w:rsidR="00B42D07" w:rsidRPr="00BA654C">
        <w:rPr>
          <w:rFonts w:ascii="Times New Roman" w:hAnsi="Times New Roman"/>
          <w:sz w:val="24"/>
        </w:rPr>
        <w:t xml:space="preserve"> (2024) 98 ALJR 196 at 20</w:t>
      </w:r>
      <w:r w:rsidR="00AF2F42" w:rsidRPr="00BA654C">
        <w:rPr>
          <w:rFonts w:ascii="Times New Roman" w:hAnsi="Times New Roman"/>
          <w:sz w:val="24"/>
        </w:rPr>
        <w:t>3</w:t>
      </w:r>
      <w:r w:rsidR="00B42D07" w:rsidRPr="00BA654C">
        <w:rPr>
          <w:rFonts w:ascii="Times New Roman" w:hAnsi="Times New Roman"/>
          <w:sz w:val="24"/>
        </w:rPr>
        <w:t xml:space="preserve"> [25]; 417 ALR 36 at 44; </w:t>
      </w:r>
      <w:r w:rsidR="00B42D07" w:rsidRPr="00BA654C">
        <w:rPr>
          <w:rFonts w:ascii="Times New Roman" w:hAnsi="Times New Roman"/>
          <w:i/>
          <w:iCs/>
          <w:sz w:val="24"/>
        </w:rPr>
        <w:t>Minister for Home Affairs v DUA16</w:t>
      </w:r>
      <w:r w:rsidR="00B42D07" w:rsidRPr="00BA654C">
        <w:rPr>
          <w:rFonts w:ascii="Times New Roman" w:hAnsi="Times New Roman"/>
          <w:sz w:val="24"/>
        </w:rPr>
        <w:t xml:space="preserve"> (2020) 271 CLR 550 at </w:t>
      </w:r>
      <w:r w:rsidR="00EB2C55" w:rsidRPr="00BA654C">
        <w:rPr>
          <w:rFonts w:ascii="Times New Roman" w:hAnsi="Times New Roman"/>
          <w:sz w:val="24"/>
        </w:rPr>
        <w:t>563</w:t>
      </w:r>
      <w:r w:rsidR="00B42D07" w:rsidRPr="00BA654C">
        <w:rPr>
          <w:rFonts w:ascii="Times New Roman" w:hAnsi="Times New Roman"/>
          <w:sz w:val="24"/>
        </w:rPr>
        <w:t xml:space="preserve"> [26].</w:t>
      </w:r>
    </w:p>
  </w:footnote>
  <w:footnote w:id="15">
    <w:p w14:paraId="4D022C5B" w14:textId="006B7809" w:rsidR="0071367B" w:rsidRPr="00BA654C" w:rsidRDefault="0071367B"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Pr="00BA654C">
        <w:rPr>
          <w:rFonts w:ascii="Times New Roman" w:hAnsi="Times New Roman"/>
          <w:i/>
          <w:iCs/>
          <w:sz w:val="24"/>
        </w:rPr>
        <w:t>Minister for Home Affairs v DUA16</w:t>
      </w:r>
      <w:r w:rsidRPr="00BA654C">
        <w:rPr>
          <w:rFonts w:ascii="Times New Roman" w:hAnsi="Times New Roman"/>
          <w:sz w:val="24"/>
        </w:rPr>
        <w:t xml:space="preserve"> (2020) 271 CLR 550 at 563 [26].</w:t>
      </w:r>
    </w:p>
  </w:footnote>
  <w:footnote w:id="16">
    <w:p w14:paraId="13B427CE" w14:textId="77777777" w:rsidR="006A1F50" w:rsidRPr="00BA654C" w:rsidRDefault="006A1F50"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Pr="00BA654C">
        <w:rPr>
          <w:rFonts w:ascii="Times New Roman" w:hAnsi="Times New Roman"/>
          <w:i/>
          <w:iCs/>
          <w:sz w:val="24"/>
        </w:rPr>
        <w:t>LPDT v Minister for Immigration, Citizenship, Migrant Services and Multicultural Affairs</w:t>
      </w:r>
      <w:r w:rsidRPr="00BA654C">
        <w:rPr>
          <w:rFonts w:ascii="Times New Roman" w:hAnsi="Times New Roman"/>
          <w:sz w:val="24"/>
        </w:rPr>
        <w:t xml:space="preserve"> (2024) 98 ALJR 610 at 614 [7]; 418 ALR 152 at 155 (emphasis in original).</w:t>
      </w:r>
    </w:p>
  </w:footnote>
  <w:footnote w:id="17">
    <w:p w14:paraId="528320AD" w14:textId="3AFEEE4D" w:rsidR="00175F95" w:rsidRPr="00BA654C" w:rsidRDefault="00175F95"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Pr="00BA654C">
        <w:rPr>
          <w:rFonts w:ascii="Times New Roman" w:hAnsi="Times New Roman"/>
          <w:i/>
          <w:iCs/>
          <w:sz w:val="24"/>
        </w:rPr>
        <w:t>LPDT v Minister for Immigration, Citizenship, Migrant Services and Multicultural Affairs</w:t>
      </w:r>
      <w:r w:rsidRPr="00BA654C">
        <w:rPr>
          <w:rFonts w:ascii="Times New Roman" w:hAnsi="Times New Roman"/>
          <w:sz w:val="24"/>
        </w:rPr>
        <w:t xml:space="preserve"> (2024) 98 ALJR 610 at 615 [14]; 418 ALR 152 at </w:t>
      </w:r>
      <w:r w:rsidR="00A46A41" w:rsidRPr="00BA654C">
        <w:rPr>
          <w:rFonts w:ascii="Times New Roman" w:hAnsi="Times New Roman"/>
          <w:sz w:val="24"/>
        </w:rPr>
        <w:t>157</w:t>
      </w:r>
      <w:r w:rsidRPr="00BA654C">
        <w:rPr>
          <w:rFonts w:ascii="Times New Roman" w:hAnsi="Times New Roman"/>
          <w:sz w:val="24"/>
        </w:rPr>
        <w:t>.</w:t>
      </w:r>
    </w:p>
  </w:footnote>
  <w:footnote w:id="18">
    <w:p w14:paraId="25F4917D" w14:textId="28099B3C" w:rsidR="003E4F1C" w:rsidRPr="00BA654C" w:rsidRDefault="003E4F1C"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Pr="00BA654C">
        <w:rPr>
          <w:rFonts w:ascii="Times New Roman" w:hAnsi="Times New Roman"/>
          <w:i/>
          <w:iCs/>
          <w:sz w:val="24"/>
        </w:rPr>
        <w:t>LPDT v Minister for Immigration, Citizenship, Migrant Services and Multicultural Affairs</w:t>
      </w:r>
      <w:r w:rsidRPr="00BA654C">
        <w:rPr>
          <w:rFonts w:ascii="Times New Roman" w:hAnsi="Times New Roman"/>
          <w:sz w:val="24"/>
        </w:rPr>
        <w:t xml:space="preserve"> (2024) 98 ALJR 610 at </w:t>
      </w:r>
      <w:r w:rsidR="008D7F44" w:rsidRPr="00BA654C">
        <w:rPr>
          <w:rFonts w:ascii="Times New Roman" w:hAnsi="Times New Roman"/>
          <w:sz w:val="24"/>
        </w:rPr>
        <w:t>619</w:t>
      </w:r>
      <w:r w:rsidRPr="00BA654C">
        <w:rPr>
          <w:rFonts w:ascii="Times New Roman" w:hAnsi="Times New Roman"/>
          <w:sz w:val="24"/>
        </w:rPr>
        <w:t xml:space="preserve"> [</w:t>
      </w:r>
      <w:r w:rsidR="00E50B83" w:rsidRPr="00BA654C">
        <w:rPr>
          <w:rFonts w:ascii="Times New Roman" w:hAnsi="Times New Roman"/>
          <w:sz w:val="24"/>
        </w:rPr>
        <w:t>36</w:t>
      </w:r>
      <w:r w:rsidRPr="00BA654C">
        <w:rPr>
          <w:rFonts w:ascii="Times New Roman" w:hAnsi="Times New Roman"/>
          <w:sz w:val="24"/>
        </w:rPr>
        <w:t xml:space="preserve">]; 418 ALR 152 at </w:t>
      </w:r>
      <w:r w:rsidR="00CA6729" w:rsidRPr="00BA654C">
        <w:rPr>
          <w:rFonts w:ascii="Times New Roman" w:hAnsi="Times New Roman"/>
          <w:sz w:val="24"/>
        </w:rPr>
        <w:t>161</w:t>
      </w:r>
      <w:r w:rsidRPr="00BA654C">
        <w:rPr>
          <w:rFonts w:ascii="Times New Roman" w:hAnsi="Times New Roman"/>
          <w:sz w:val="24"/>
        </w:rPr>
        <w:t>.</w:t>
      </w:r>
    </w:p>
  </w:footnote>
  <w:footnote w:id="19">
    <w:p w14:paraId="4C7CD5A5" w14:textId="5674AC62" w:rsidR="00691B7F" w:rsidRPr="00BA654C" w:rsidRDefault="00691B7F" w:rsidP="00BA654C">
      <w:pPr>
        <w:pStyle w:val="FootnoteText"/>
        <w:spacing w:line="280" w:lineRule="exact"/>
        <w:ind w:right="0"/>
        <w:jc w:val="both"/>
        <w:rPr>
          <w:rFonts w:ascii="Times New Roman" w:hAnsi="Times New Roman"/>
          <w:sz w:val="24"/>
        </w:rPr>
      </w:pPr>
      <w:r w:rsidRPr="00BA654C">
        <w:rPr>
          <w:rStyle w:val="FootnoteReference"/>
          <w:rFonts w:ascii="Times New Roman" w:hAnsi="Times New Roman"/>
          <w:sz w:val="22"/>
          <w:vertAlign w:val="baseline"/>
        </w:rPr>
        <w:footnoteRef/>
      </w:r>
      <w:r w:rsidRPr="00BA654C">
        <w:rPr>
          <w:rFonts w:ascii="Times New Roman" w:hAnsi="Times New Roman"/>
          <w:sz w:val="24"/>
        </w:rPr>
        <w:t xml:space="preserve"> </w:t>
      </w:r>
      <w:r w:rsidRPr="00BA654C">
        <w:rPr>
          <w:rFonts w:ascii="Times New Roman" w:hAnsi="Times New Roman"/>
          <w:sz w:val="24"/>
        </w:rPr>
        <w:tab/>
      </w:r>
      <w:r w:rsidRPr="00BA654C">
        <w:rPr>
          <w:rFonts w:ascii="Times New Roman" w:hAnsi="Times New Roman"/>
          <w:i/>
          <w:iCs/>
          <w:sz w:val="24"/>
        </w:rPr>
        <w:t>LPDT v Minister for Immigration, Citizenship, Migrant Services and Multicultural Affairs</w:t>
      </w:r>
      <w:r w:rsidRPr="00BA654C">
        <w:rPr>
          <w:rFonts w:ascii="Times New Roman" w:hAnsi="Times New Roman"/>
          <w:sz w:val="24"/>
        </w:rPr>
        <w:t xml:space="preserve"> (2024) 98 ALJR 610 at </w:t>
      </w:r>
      <w:r w:rsidR="008D7F44" w:rsidRPr="00BA654C">
        <w:rPr>
          <w:rFonts w:ascii="Times New Roman" w:hAnsi="Times New Roman"/>
          <w:sz w:val="24"/>
        </w:rPr>
        <w:t>615</w:t>
      </w:r>
      <w:r w:rsidRPr="00BA654C">
        <w:rPr>
          <w:rFonts w:ascii="Times New Roman" w:hAnsi="Times New Roman"/>
          <w:sz w:val="24"/>
        </w:rPr>
        <w:t xml:space="preserve"> [</w:t>
      </w:r>
      <w:r w:rsidR="00E50B83" w:rsidRPr="00BA654C">
        <w:rPr>
          <w:rFonts w:ascii="Times New Roman" w:hAnsi="Times New Roman"/>
          <w:sz w:val="24"/>
        </w:rPr>
        <w:t>10</w:t>
      </w:r>
      <w:r w:rsidRPr="00BA654C">
        <w:rPr>
          <w:rFonts w:ascii="Times New Roman" w:hAnsi="Times New Roman"/>
          <w:sz w:val="24"/>
        </w:rPr>
        <w:t xml:space="preserve">]; 418 ALR 152 at </w:t>
      </w:r>
      <w:r w:rsidR="009C4751" w:rsidRPr="00BA654C">
        <w:rPr>
          <w:rFonts w:ascii="Times New Roman" w:hAnsi="Times New Roman"/>
          <w:sz w:val="24"/>
        </w:rPr>
        <w:t>156</w:t>
      </w:r>
      <w:r w:rsidRPr="00BA654C">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8115" w14:textId="4B07454D" w:rsidR="00BA654C" w:rsidRPr="00BA654C" w:rsidRDefault="00BA654C" w:rsidP="00BA654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CEBB" w14:textId="77777777" w:rsidR="00BA654C" w:rsidRDefault="00BA654C" w:rsidP="00BA654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07560B71" w14:textId="1F85E444" w:rsidR="00BA654C" w:rsidRDefault="00BA654C" w:rsidP="00BA654C">
    <w:pPr>
      <w:pStyle w:val="Header"/>
      <w:tabs>
        <w:tab w:val="clear" w:pos="4153"/>
        <w:tab w:val="clear" w:pos="8306"/>
        <w:tab w:val="left" w:pos="7200"/>
        <w:tab w:val="right" w:pos="8504"/>
      </w:tabs>
      <w:spacing w:line="280" w:lineRule="exact"/>
      <w:jc w:val="right"/>
      <w:rPr>
        <w:rFonts w:ascii="Times New Roman" w:hAnsi="Times New Roman"/>
        <w:i/>
        <w:sz w:val="22"/>
      </w:rPr>
    </w:pPr>
  </w:p>
  <w:p w14:paraId="721DA027" w14:textId="7C10DC1E" w:rsidR="00BA654C" w:rsidRDefault="00BA654C" w:rsidP="00BA654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9A96DB7" w14:textId="77777777" w:rsidR="00BA654C" w:rsidRPr="00BA654C" w:rsidRDefault="00BA654C" w:rsidP="00BA654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CE13" w14:textId="77777777" w:rsidR="00BA654C" w:rsidRDefault="00BA654C" w:rsidP="00BA654C">
    <w:pPr>
      <w:pStyle w:val="Header"/>
      <w:tabs>
        <w:tab w:val="clear" w:pos="4153"/>
        <w:tab w:val="clear" w:pos="8306"/>
        <w:tab w:val="center" w:pos="1134"/>
      </w:tabs>
      <w:spacing w:line="280" w:lineRule="exact"/>
      <w:ind w:firstLine="0"/>
      <w:rPr>
        <w:rFonts w:ascii="Times New Roman" w:hAnsi="Times New Roman"/>
        <w:i/>
        <w:sz w:val="22"/>
      </w:rPr>
    </w:pPr>
  </w:p>
  <w:p w14:paraId="5D74EDAB" w14:textId="77777777" w:rsidR="00BA654C" w:rsidRDefault="00BA654C" w:rsidP="00BA654C">
    <w:pPr>
      <w:pStyle w:val="Header"/>
      <w:tabs>
        <w:tab w:val="clear" w:pos="4153"/>
        <w:tab w:val="clear" w:pos="8306"/>
        <w:tab w:val="center" w:pos="1134"/>
      </w:tabs>
      <w:spacing w:line="280" w:lineRule="exact"/>
      <w:ind w:firstLine="0"/>
      <w:rPr>
        <w:rFonts w:ascii="Times New Roman" w:hAnsi="Times New Roman"/>
        <w:i/>
        <w:sz w:val="22"/>
      </w:rPr>
    </w:pPr>
  </w:p>
  <w:p w14:paraId="34C07ADA" w14:textId="77777777" w:rsidR="00BA654C" w:rsidRDefault="00BA654C" w:rsidP="00BA654C">
    <w:pPr>
      <w:pStyle w:val="Header"/>
      <w:tabs>
        <w:tab w:val="clear" w:pos="4153"/>
        <w:tab w:val="clear" w:pos="8306"/>
        <w:tab w:val="center" w:pos="1134"/>
      </w:tabs>
      <w:spacing w:line="280" w:lineRule="exact"/>
      <w:ind w:firstLine="0"/>
      <w:rPr>
        <w:rFonts w:ascii="Times New Roman" w:hAnsi="Times New Roman"/>
        <w:i/>
        <w:sz w:val="22"/>
      </w:rPr>
    </w:pPr>
  </w:p>
  <w:p w14:paraId="0406C529" w14:textId="69CE91E9" w:rsidR="006A1F50" w:rsidRPr="00BA654C" w:rsidRDefault="006A1F50" w:rsidP="00BA654C">
    <w:pPr>
      <w:pStyle w:val="Header"/>
      <w:tabs>
        <w:tab w:val="clear" w:pos="4153"/>
        <w:tab w:val="clear" w:pos="8306"/>
        <w:tab w:val="center" w:pos="1134"/>
      </w:tabs>
      <w:spacing w:line="280" w:lineRule="exact"/>
      <w:ind w:firstLine="0"/>
      <w:rPr>
        <w:rFonts w:ascii="Times New Roman" w:hAnsi="Times New Roman"/>
        <w:i/>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3403" w14:textId="77777777" w:rsidR="00F64584" w:rsidRDefault="00F64584" w:rsidP="00BA654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40EF23E4" w14:textId="77777777" w:rsidR="00F64584" w:rsidRDefault="00F64584" w:rsidP="00BA654C">
    <w:pPr>
      <w:pStyle w:val="Header"/>
      <w:tabs>
        <w:tab w:val="clear" w:pos="4153"/>
        <w:tab w:val="clear" w:pos="8306"/>
        <w:tab w:val="right" w:pos="1304"/>
      </w:tabs>
      <w:spacing w:line="280" w:lineRule="exact"/>
      <w:ind w:firstLine="0"/>
      <w:rPr>
        <w:rFonts w:ascii="Times New Roman" w:hAnsi="Times New Roman"/>
        <w:i/>
        <w:sz w:val="22"/>
      </w:rPr>
    </w:pPr>
  </w:p>
  <w:p w14:paraId="3140C2A3" w14:textId="77777777" w:rsidR="00F64584" w:rsidRDefault="00F64584" w:rsidP="00BA654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C77B4C5" w14:textId="77777777" w:rsidR="00F64584" w:rsidRPr="00BA654C" w:rsidRDefault="00F64584" w:rsidP="00BA654C">
    <w:pPr>
      <w:pStyle w:val="Header"/>
      <w:tabs>
        <w:tab w:val="clear" w:pos="4153"/>
        <w:tab w:val="clear" w:pos="8306"/>
        <w:tab w:val="right" w:pos="1304"/>
      </w:tabs>
      <w:spacing w:line="280" w:lineRule="exact"/>
      <w:ind w:firstLine="0"/>
      <w:jc w:val="cent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A7C01DE4"/>
    <w:lvl w:ilvl="0" w:tplc="2AE60F2A">
      <w:start w:val="1"/>
      <w:numFmt w:val="decimal"/>
      <w:pStyle w:val="NormalHC"/>
      <w:lvlText w:val="%1."/>
      <w:lvlJc w:val="left"/>
      <w:pPr>
        <w:ind w:left="720" w:hanging="1440"/>
      </w:pPr>
      <w:rPr>
        <w:rFonts w:hint="default"/>
        <w:sz w:val="26"/>
        <w:szCs w:val="26"/>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A2E79DD"/>
    <w:multiLevelType w:val="hybridMultilevel"/>
    <w:tmpl w:val="CC767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8"/>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2774183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50"/>
    <w:rsid w:val="00002069"/>
    <w:rsid w:val="00002CE6"/>
    <w:rsid w:val="00002F41"/>
    <w:rsid w:val="0000316A"/>
    <w:rsid w:val="00003F20"/>
    <w:rsid w:val="000049B7"/>
    <w:rsid w:val="00004D07"/>
    <w:rsid w:val="000141CA"/>
    <w:rsid w:val="00014B34"/>
    <w:rsid w:val="000168C9"/>
    <w:rsid w:val="00016C20"/>
    <w:rsid w:val="00016DBB"/>
    <w:rsid w:val="00017144"/>
    <w:rsid w:val="00022A53"/>
    <w:rsid w:val="000250AF"/>
    <w:rsid w:val="00025490"/>
    <w:rsid w:val="0002561E"/>
    <w:rsid w:val="00025BBF"/>
    <w:rsid w:val="00025D2D"/>
    <w:rsid w:val="000262AE"/>
    <w:rsid w:val="000268E1"/>
    <w:rsid w:val="00032B57"/>
    <w:rsid w:val="0003575A"/>
    <w:rsid w:val="000360EB"/>
    <w:rsid w:val="00037A5F"/>
    <w:rsid w:val="00037D87"/>
    <w:rsid w:val="00037ED7"/>
    <w:rsid w:val="00040FE7"/>
    <w:rsid w:val="00041577"/>
    <w:rsid w:val="00042EF3"/>
    <w:rsid w:val="00042F9A"/>
    <w:rsid w:val="00043880"/>
    <w:rsid w:val="00043D2C"/>
    <w:rsid w:val="00046812"/>
    <w:rsid w:val="000477C1"/>
    <w:rsid w:val="00053535"/>
    <w:rsid w:val="00055ACD"/>
    <w:rsid w:val="00056F27"/>
    <w:rsid w:val="000573AF"/>
    <w:rsid w:val="0006169E"/>
    <w:rsid w:val="000626A9"/>
    <w:rsid w:val="000626FD"/>
    <w:rsid w:val="00062AC1"/>
    <w:rsid w:val="0006375D"/>
    <w:rsid w:val="0006432B"/>
    <w:rsid w:val="000653D4"/>
    <w:rsid w:val="00071C35"/>
    <w:rsid w:val="00075F50"/>
    <w:rsid w:val="000774F8"/>
    <w:rsid w:val="00080A04"/>
    <w:rsid w:val="00080D77"/>
    <w:rsid w:val="0008435D"/>
    <w:rsid w:val="0008558C"/>
    <w:rsid w:val="00085F13"/>
    <w:rsid w:val="0009099B"/>
    <w:rsid w:val="00091E43"/>
    <w:rsid w:val="000945A6"/>
    <w:rsid w:val="000A28D4"/>
    <w:rsid w:val="000A2EB4"/>
    <w:rsid w:val="000A39E2"/>
    <w:rsid w:val="000A3DA3"/>
    <w:rsid w:val="000A63C6"/>
    <w:rsid w:val="000A7871"/>
    <w:rsid w:val="000B4630"/>
    <w:rsid w:val="000B497F"/>
    <w:rsid w:val="000B4DE8"/>
    <w:rsid w:val="000B710D"/>
    <w:rsid w:val="000B7558"/>
    <w:rsid w:val="000C04DC"/>
    <w:rsid w:val="000C0D98"/>
    <w:rsid w:val="000C175D"/>
    <w:rsid w:val="000C70EC"/>
    <w:rsid w:val="000D25E6"/>
    <w:rsid w:val="000D4C8B"/>
    <w:rsid w:val="000D53C8"/>
    <w:rsid w:val="000D5EA4"/>
    <w:rsid w:val="000D7284"/>
    <w:rsid w:val="000E46FB"/>
    <w:rsid w:val="000E65F7"/>
    <w:rsid w:val="000F1345"/>
    <w:rsid w:val="000F22B4"/>
    <w:rsid w:val="000F3BB3"/>
    <w:rsid w:val="000F54BD"/>
    <w:rsid w:val="001001B9"/>
    <w:rsid w:val="00100F6E"/>
    <w:rsid w:val="00102254"/>
    <w:rsid w:val="0010702C"/>
    <w:rsid w:val="001074FB"/>
    <w:rsid w:val="00110970"/>
    <w:rsid w:val="00111568"/>
    <w:rsid w:val="001120C0"/>
    <w:rsid w:val="001150BF"/>
    <w:rsid w:val="00115EB0"/>
    <w:rsid w:val="001168F2"/>
    <w:rsid w:val="00120207"/>
    <w:rsid w:val="00123C1B"/>
    <w:rsid w:val="0012562F"/>
    <w:rsid w:val="00125E3C"/>
    <w:rsid w:val="0012712B"/>
    <w:rsid w:val="00130CAE"/>
    <w:rsid w:val="00133E7E"/>
    <w:rsid w:val="00133F1E"/>
    <w:rsid w:val="0013456F"/>
    <w:rsid w:val="001366B0"/>
    <w:rsid w:val="00142072"/>
    <w:rsid w:val="00143FCB"/>
    <w:rsid w:val="00144FEF"/>
    <w:rsid w:val="00145627"/>
    <w:rsid w:val="00146A41"/>
    <w:rsid w:val="001472E8"/>
    <w:rsid w:val="001476DE"/>
    <w:rsid w:val="0015031C"/>
    <w:rsid w:val="00150CD5"/>
    <w:rsid w:val="001510E6"/>
    <w:rsid w:val="00151679"/>
    <w:rsid w:val="00151A11"/>
    <w:rsid w:val="0015318E"/>
    <w:rsid w:val="00163D92"/>
    <w:rsid w:val="00164144"/>
    <w:rsid w:val="001708DE"/>
    <w:rsid w:val="0017198F"/>
    <w:rsid w:val="00172ADE"/>
    <w:rsid w:val="00173C2A"/>
    <w:rsid w:val="00175703"/>
    <w:rsid w:val="001758DE"/>
    <w:rsid w:val="00175F95"/>
    <w:rsid w:val="00176D25"/>
    <w:rsid w:val="0018342E"/>
    <w:rsid w:val="001840C2"/>
    <w:rsid w:val="00184B46"/>
    <w:rsid w:val="00184BAB"/>
    <w:rsid w:val="00185939"/>
    <w:rsid w:val="001876F6"/>
    <w:rsid w:val="001879D5"/>
    <w:rsid w:val="00190B31"/>
    <w:rsid w:val="00191E23"/>
    <w:rsid w:val="00194861"/>
    <w:rsid w:val="001953B1"/>
    <w:rsid w:val="00195D19"/>
    <w:rsid w:val="001963C0"/>
    <w:rsid w:val="00197956"/>
    <w:rsid w:val="001A0FE7"/>
    <w:rsid w:val="001A409D"/>
    <w:rsid w:val="001A446E"/>
    <w:rsid w:val="001A4AA9"/>
    <w:rsid w:val="001A5B32"/>
    <w:rsid w:val="001B1676"/>
    <w:rsid w:val="001B17A8"/>
    <w:rsid w:val="001B404A"/>
    <w:rsid w:val="001B4E5E"/>
    <w:rsid w:val="001B55C8"/>
    <w:rsid w:val="001B63C6"/>
    <w:rsid w:val="001C2BCB"/>
    <w:rsid w:val="001C2E37"/>
    <w:rsid w:val="001C48D4"/>
    <w:rsid w:val="001C5761"/>
    <w:rsid w:val="001C7C93"/>
    <w:rsid w:val="001D36CD"/>
    <w:rsid w:val="001D4F49"/>
    <w:rsid w:val="001D509C"/>
    <w:rsid w:val="001D7982"/>
    <w:rsid w:val="001E1D3D"/>
    <w:rsid w:val="001E47D1"/>
    <w:rsid w:val="001E54D4"/>
    <w:rsid w:val="001E6A64"/>
    <w:rsid w:val="001E75C5"/>
    <w:rsid w:val="001F1B5F"/>
    <w:rsid w:val="001F2C71"/>
    <w:rsid w:val="001F3F2A"/>
    <w:rsid w:val="001F69C2"/>
    <w:rsid w:val="001F7BC7"/>
    <w:rsid w:val="00202674"/>
    <w:rsid w:val="00203C68"/>
    <w:rsid w:val="002048D1"/>
    <w:rsid w:val="002079CB"/>
    <w:rsid w:val="0021096E"/>
    <w:rsid w:val="00210DE8"/>
    <w:rsid w:val="00211D73"/>
    <w:rsid w:val="00212A3E"/>
    <w:rsid w:val="00214BF2"/>
    <w:rsid w:val="00215A7F"/>
    <w:rsid w:val="00216522"/>
    <w:rsid w:val="00220D40"/>
    <w:rsid w:val="00221D19"/>
    <w:rsid w:val="00222598"/>
    <w:rsid w:val="0022666B"/>
    <w:rsid w:val="0022734D"/>
    <w:rsid w:val="0023447F"/>
    <w:rsid w:val="002350B3"/>
    <w:rsid w:val="0023798E"/>
    <w:rsid w:val="00237D96"/>
    <w:rsid w:val="00242EE4"/>
    <w:rsid w:val="0024462E"/>
    <w:rsid w:val="0024593F"/>
    <w:rsid w:val="00246AF1"/>
    <w:rsid w:val="002474FA"/>
    <w:rsid w:val="00247A8B"/>
    <w:rsid w:val="00253493"/>
    <w:rsid w:val="00253DE9"/>
    <w:rsid w:val="00257AFB"/>
    <w:rsid w:val="00261FDB"/>
    <w:rsid w:val="0026293D"/>
    <w:rsid w:val="00262FB9"/>
    <w:rsid w:val="00265982"/>
    <w:rsid w:val="00265D52"/>
    <w:rsid w:val="00266562"/>
    <w:rsid w:val="00267032"/>
    <w:rsid w:val="0026712E"/>
    <w:rsid w:val="00270154"/>
    <w:rsid w:val="00271F70"/>
    <w:rsid w:val="0027408B"/>
    <w:rsid w:val="00276B56"/>
    <w:rsid w:val="00280F46"/>
    <w:rsid w:val="002819FD"/>
    <w:rsid w:val="002837FC"/>
    <w:rsid w:val="002840C6"/>
    <w:rsid w:val="0028583A"/>
    <w:rsid w:val="00287368"/>
    <w:rsid w:val="00287873"/>
    <w:rsid w:val="002916CC"/>
    <w:rsid w:val="0029278C"/>
    <w:rsid w:val="00292E65"/>
    <w:rsid w:val="0029697C"/>
    <w:rsid w:val="002979F1"/>
    <w:rsid w:val="00297BF9"/>
    <w:rsid w:val="002A0FDF"/>
    <w:rsid w:val="002A13E1"/>
    <w:rsid w:val="002A3248"/>
    <w:rsid w:val="002A58B7"/>
    <w:rsid w:val="002B0846"/>
    <w:rsid w:val="002B0C36"/>
    <w:rsid w:val="002B1304"/>
    <w:rsid w:val="002B26C0"/>
    <w:rsid w:val="002B77A1"/>
    <w:rsid w:val="002C1E90"/>
    <w:rsid w:val="002C1EDE"/>
    <w:rsid w:val="002C5981"/>
    <w:rsid w:val="002C5EDE"/>
    <w:rsid w:val="002C7307"/>
    <w:rsid w:val="002D0410"/>
    <w:rsid w:val="002D0899"/>
    <w:rsid w:val="002D0EED"/>
    <w:rsid w:val="002D1707"/>
    <w:rsid w:val="002D17E2"/>
    <w:rsid w:val="002D27F8"/>
    <w:rsid w:val="002D3F5B"/>
    <w:rsid w:val="002D454E"/>
    <w:rsid w:val="002D4C66"/>
    <w:rsid w:val="002D502C"/>
    <w:rsid w:val="002E0AA3"/>
    <w:rsid w:val="002E0EC8"/>
    <w:rsid w:val="002E278F"/>
    <w:rsid w:val="002E3B4D"/>
    <w:rsid w:val="002E6059"/>
    <w:rsid w:val="002E6E55"/>
    <w:rsid w:val="002F0522"/>
    <w:rsid w:val="002F0734"/>
    <w:rsid w:val="002F2D2D"/>
    <w:rsid w:val="0030026A"/>
    <w:rsid w:val="00301975"/>
    <w:rsid w:val="003041E7"/>
    <w:rsid w:val="0030542C"/>
    <w:rsid w:val="00307214"/>
    <w:rsid w:val="00310418"/>
    <w:rsid w:val="00311C9C"/>
    <w:rsid w:val="00312FFC"/>
    <w:rsid w:val="003150BF"/>
    <w:rsid w:val="003150CE"/>
    <w:rsid w:val="00315E92"/>
    <w:rsid w:val="0031788D"/>
    <w:rsid w:val="00320BAF"/>
    <w:rsid w:val="0032192B"/>
    <w:rsid w:val="00323B9E"/>
    <w:rsid w:val="00330804"/>
    <w:rsid w:val="00334A6B"/>
    <w:rsid w:val="00334BF4"/>
    <w:rsid w:val="003366B2"/>
    <w:rsid w:val="00340066"/>
    <w:rsid w:val="0034122D"/>
    <w:rsid w:val="0034288B"/>
    <w:rsid w:val="0034332B"/>
    <w:rsid w:val="0034354D"/>
    <w:rsid w:val="00344FA6"/>
    <w:rsid w:val="0034681C"/>
    <w:rsid w:val="0035400A"/>
    <w:rsid w:val="00356D1E"/>
    <w:rsid w:val="003600A8"/>
    <w:rsid w:val="0036284D"/>
    <w:rsid w:val="003633A3"/>
    <w:rsid w:val="00364194"/>
    <w:rsid w:val="00366524"/>
    <w:rsid w:val="00373E58"/>
    <w:rsid w:val="00376073"/>
    <w:rsid w:val="00376CCC"/>
    <w:rsid w:val="00376D5D"/>
    <w:rsid w:val="0037701A"/>
    <w:rsid w:val="00377452"/>
    <w:rsid w:val="00381223"/>
    <w:rsid w:val="00381849"/>
    <w:rsid w:val="003823A0"/>
    <w:rsid w:val="00384F36"/>
    <w:rsid w:val="00385271"/>
    <w:rsid w:val="00385B20"/>
    <w:rsid w:val="0039226E"/>
    <w:rsid w:val="00392CC8"/>
    <w:rsid w:val="003931EE"/>
    <w:rsid w:val="00393A0E"/>
    <w:rsid w:val="00395C08"/>
    <w:rsid w:val="00396948"/>
    <w:rsid w:val="00396C7E"/>
    <w:rsid w:val="00397708"/>
    <w:rsid w:val="00397C22"/>
    <w:rsid w:val="003A2017"/>
    <w:rsid w:val="003A28F2"/>
    <w:rsid w:val="003A48CC"/>
    <w:rsid w:val="003A72EF"/>
    <w:rsid w:val="003A7E21"/>
    <w:rsid w:val="003B4EED"/>
    <w:rsid w:val="003B5CF9"/>
    <w:rsid w:val="003B6B2C"/>
    <w:rsid w:val="003B6B89"/>
    <w:rsid w:val="003C2214"/>
    <w:rsid w:val="003C266A"/>
    <w:rsid w:val="003C38C6"/>
    <w:rsid w:val="003C5689"/>
    <w:rsid w:val="003C602A"/>
    <w:rsid w:val="003D154E"/>
    <w:rsid w:val="003D1759"/>
    <w:rsid w:val="003D1896"/>
    <w:rsid w:val="003D19E3"/>
    <w:rsid w:val="003D1A48"/>
    <w:rsid w:val="003D1B12"/>
    <w:rsid w:val="003D3575"/>
    <w:rsid w:val="003D3B14"/>
    <w:rsid w:val="003D62F7"/>
    <w:rsid w:val="003E04E2"/>
    <w:rsid w:val="003E0852"/>
    <w:rsid w:val="003E1035"/>
    <w:rsid w:val="003E17F2"/>
    <w:rsid w:val="003E19F7"/>
    <w:rsid w:val="003E1EB2"/>
    <w:rsid w:val="003E492C"/>
    <w:rsid w:val="003E4F1C"/>
    <w:rsid w:val="003E4F6E"/>
    <w:rsid w:val="003E710D"/>
    <w:rsid w:val="003E7A9C"/>
    <w:rsid w:val="003F328F"/>
    <w:rsid w:val="003F51DC"/>
    <w:rsid w:val="003F531A"/>
    <w:rsid w:val="003F7067"/>
    <w:rsid w:val="003F7C9E"/>
    <w:rsid w:val="00401CDF"/>
    <w:rsid w:val="004025E8"/>
    <w:rsid w:val="00402768"/>
    <w:rsid w:val="004036DA"/>
    <w:rsid w:val="00403884"/>
    <w:rsid w:val="00404C36"/>
    <w:rsid w:val="00406F38"/>
    <w:rsid w:val="004107CA"/>
    <w:rsid w:val="004111BC"/>
    <w:rsid w:val="004114CB"/>
    <w:rsid w:val="004119E1"/>
    <w:rsid w:val="00412118"/>
    <w:rsid w:val="004125F4"/>
    <w:rsid w:val="004126D4"/>
    <w:rsid w:val="004144AC"/>
    <w:rsid w:val="00414703"/>
    <w:rsid w:val="00415D2B"/>
    <w:rsid w:val="00416C0A"/>
    <w:rsid w:val="004176B4"/>
    <w:rsid w:val="0042032A"/>
    <w:rsid w:val="00421941"/>
    <w:rsid w:val="004219C0"/>
    <w:rsid w:val="00424DE2"/>
    <w:rsid w:val="004264B4"/>
    <w:rsid w:val="0043029F"/>
    <w:rsid w:val="00432528"/>
    <w:rsid w:val="00432836"/>
    <w:rsid w:val="00435E69"/>
    <w:rsid w:val="004373D1"/>
    <w:rsid w:val="0043778D"/>
    <w:rsid w:val="004411A3"/>
    <w:rsid w:val="004454C2"/>
    <w:rsid w:val="00447347"/>
    <w:rsid w:val="00447F33"/>
    <w:rsid w:val="00450A27"/>
    <w:rsid w:val="00451EC2"/>
    <w:rsid w:val="00463357"/>
    <w:rsid w:val="00463A04"/>
    <w:rsid w:val="00464BAC"/>
    <w:rsid w:val="00465255"/>
    <w:rsid w:val="00472C0A"/>
    <w:rsid w:val="00473503"/>
    <w:rsid w:val="00473718"/>
    <w:rsid w:val="00473869"/>
    <w:rsid w:val="0047410E"/>
    <w:rsid w:val="0048054A"/>
    <w:rsid w:val="004818E8"/>
    <w:rsid w:val="00482F67"/>
    <w:rsid w:val="00483006"/>
    <w:rsid w:val="0048426B"/>
    <w:rsid w:val="00484915"/>
    <w:rsid w:val="00485961"/>
    <w:rsid w:val="00487387"/>
    <w:rsid w:val="00490E50"/>
    <w:rsid w:val="004919FD"/>
    <w:rsid w:val="00492D3B"/>
    <w:rsid w:val="00492DC2"/>
    <w:rsid w:val="00495760"/>
    <w:rsid w:val="00496667"/>
    <w:rsid w:val="004A06FC"/>
    <w:rsid w:val="004A132C"/>
    <w:rsid w:val="004A79B9"/>
    <w:rsid w:val="004B26D9"/>
    <w:rsid w:val="004B2C5E"/>
    <w:rsid w:val="004B45B7"/>
    <w:rsid w:val="004B4C4B"/>
    <w:rsid w:val="004B774B"/>
    <w:rsid w:val="004C3C5A"/>
    <w:rsid w:val="004C4629"/>
    <w:rsid w:val="004C4B71"/>
    <w:rsid w:val="004C64C5"/>
    <w:rsid w:val="004D087E"/>
    <w:rsid w:val="004D19DB"/>
    <w:rsid w:val="004D1E88"/>
    <w:rsid w:val="004D3CD7"/>
    <w:rsid w:val="004D3EDC"/>
    <w:rsid w:val="004D57D5"/>
    <w:rsid w:val="004D58DE"/>
    <w:rsid w:val="004D63E2"/>
    <w:rsid w:val="004D69A8"/>
    <w:rsid w:val="004E3F30"/>
    <w:rsid w:val="004E46F8"/>
    <w:rsid w:val="004E50C8"/>
    <w:rsid w:val="004E653E"/>
    <w:rsid w:val="004E65F5"/>
    <w:rsid w:val="004F066B"/>
    <w:rsid w:val="004F1FF7"/>
    <w:rsid w:val="004F2D77"/>
    <w:rsid w:val="004F3C00"/>
    <w:rsid w:val="004F3E28"/>
    <w:rsid w:val="004F472A"/>
    <w:rsid w:val="004F4CED"/>
    <w:rsid w:val="004F621F"/>
    <w:rsid w:val="00502EAE"/>
    <w:rsid w:val="00503A1B"/>
    <w:rsid w:val="00504703"/>
    <w:rsid w:val="0050500F"/>
    <w:rsid w:val="00505279"/>
    <w:rsid w:val="00505CD4"/>
    <w:rsid w:val="005063E1"/>
    <w:rsid w:val="00507CC5"/>
    <w:rsid w:val="0051036A"/>
    <w:rsid w:val="0051239B"/>
    <w:rsid w:val="005127EA"/>
    <w:rsid w:val="00513ACD"/>
    <w:rsid w:val="00516BBB"/>
    <w:rsid w:val="00523CA8"/>
    <w:rsid w:val="00523E83"/>
    <w:rsid w:val="005248BB"/>
    <w:rsid w:val="00525EBA"/>
    <w:rsid w:val="00526B68"/>
    <w:rsid w:val="00527D51"/>
    <w:rsid w:val="005308A5"/>
    <w:rsid w:val="005314E9"/>
    <w:rsid w:val="00531723"/>
    <w:rsid w:val="0053275E"/>
    <w:rsid w:val="005330A8"/>
    <w:rsid w:val="0053324F"/>
    <w:rsid w:val="005348BF"/>
    <w:rsid w:val="0054153A"/>
    <w:rsid w:val="00541E10"/>
    <w:rsid w:val="00541EF9"/>
    <w:rsid w:val="0054290D"/>
    <w:rsid w:val="005431CF"/>
    <w:rsid w:val="00543D0A"/>
    <w:rsid w:val="005440C8"/>
    <w:rsid w:val="00544EFB"/>
    <w:rsid w:val="005454F3"/>
    <w:rsid w:val="005455E5"/>
    <w:rsid w:val="0054681B"/>
    <w:rsid w:val="0054779A"/>
    <w:rsid w:val="00547BA1"/>
    <w:rsid w:val="00552F2B"/>
    <w:rsid w:val="0055408E"/>
    <w:rsid w:val="005545EB"/>
    <w:rsid w:val="00556101"/>
    <w:rsid w:val="00557CB1"/>
    <w:rsid w:val="0056072C"/>
    <w:rsid w:val="0056091E"/>
    <w:rsid w:val="00561371"/>
    <w:rsid w:val="0056172D"/>
    <w:rsid w:val="00562FDB"/>
    <w:rsid w:val="005635F3"/>
    <w:rsid w:val="0056411C"/>
    <w:rsid w:val="00564648"/>
    <w:rsid w:val="005648B1"/>
    <w:rsid w:val="005649ED"/>
    <w:rsid w:val="00565B4C"/>
    <w:rsid w:val="005663FF"/>
    <w:rsid w:val="00567758"/>
    <w:rsid w:val="005677E5"/>
    <w:rsid w:val="00570D24"/>
    <w:rsid w:val="00574C1A"/>
    <w:rsid w:val="00577E4E"/>
    <w:rsid w:val="00580EEB"/>
    <w:rsid w:val="00580FCF"/>
    <w:rsid w:val="00582FF8"/>
    <w:rsid w:val="00583673"/>
    <w:rsid w:val="00583D08"/>
    <w:rsid w:val="00587382"/>
    <w:rsid w:val="00587BE7"/>
    <w:rsid w:val="00587CBC"/>
    <w:rsid w:val="00590AB2"/>
    <w:rsid w:val="00591DB8"/>
    <w:rsid w:val="00595DF1"/>
    <w:rsid w:val="00596524"/>
    <w:rsid w:val="00596FD1"/>
    <w:rsid w:val="00597D35"/>
    <w:rsid w:val="005A0B49"/>
    <w:rsid w:val="005A210A"/>
    <w:rsid w:val="005A4A36"/>
    <w:rsid w:val="005A4F4A"/>
    <w:rsid w:val="005A6D6D"/>
    <w:rsid w:val="005A7264"/>
    <w:rsid w:val="005B1601"/>
    <w:rsid w:val="005B4B87"/>
    <w:rsid w:val="005B4CFC"/>
    <w:rsid w:val="005B58B0"/>
    <w:rsid w:val="005B6E0D"/>
    <w:rsid w:val="005C0298"/>
    <w:rsid w:val="005C0769"/>
    <w:rsid w:val="005C2889"/>
    <w:rsid w:val="005C360A"/>
    <w:rsid w:val="005C4ED1"/>
    <w:rsid w:val="005C7EE9"/>
    <w:rsid w:val="005D1C98"/>
    <w:rsid w:val="005D221C"/>
    <w:rsid w:val="005D2A43"/>
    <w:rsid w:val="005D4A82"/>
    <w:rsid w:val="005D6EA0"/>
    <w:rsid w:val="005E2766"/>
    <w:rsid w:val="005E3188"/>
    <w:rsid w:val="005E3D57"/>
    <w:rsid w:val="005E76E2"/>
    <w:rsid w:val="005E7B36"/>
    <w:rsid w:val="005F02E6"/>
    <w:rsid w:val="005F09F3"/>
    <w:rsid w:val="005F10F1"/>
    <w:rsid w:val="005F1911"/>
    <w:rsid w:val="005F2CBA"/>
    <w:rsid w:val="005F3216"/>
    <w:rsid w:val="005F4DFE"/>
    <w:rsid w:val="005F4EF9"/>
    <w:rsid w:val="005F5C68"/>
    <w:rsid w:val="005F7CB6"/>
    <w:rsid w:val="006015AE"/>
    <w:rsid w:val="006017B1"/>
    <w:rsid w:val="006056F3"/>
    <w:rsid w:val="0060685F"/>
    <w:rsid w:val="00607066"/>
    <w:rsid w:val="00607197"/>
    <w:rsid w:val="00607A16"/>
    <w:rsid w:val="006109F8"/>
    <w:rsid w:val="00610C23"/>
    <w:rsid w:val="006117E9"/>
    <w:rsid w:val="00611B0C"/>
    <w:rsid w:val="006147EA"/>
    <w:rsid w:val="00615705"/>
    <w:rsid w:val="006178C4"/>
    <w:rsid w:val="00623075"/>
    <w:rsid w:val="00623876"/>
    <w:rsid w:val="00623910"/>
    <w:rsid w:val="00623B09"/>
    <w:rsid w:val="00624A27"/>
    <w:rsid w:val="00624D74"/>
    <w:rsid w:val="00625FDC"/>
    <w:rsid w:val="0062716D"/>
    <w:rsid w:val="00627AF2"/>
    <w:rsid w:val="00632F94"/>
    <w:rsid w:val="00634F12"/>
    <w:rsid w:val="0063632F"/>
    <w:rsid w:val="00640E38"/>
    <w:rsid w:val="00647FBF"/>
    <w:rsid w:val="00650C56"/>
    <w:rsid w:val="0065240B"/>
    <w:rsid w:val="00652858"/>
    <w:rsid w:val="006558DC"/>
    <w:rsid w:val="00656B27"/>
    <w:rsid w:val="00657F8B"/>
    <w:rsid w:val="00660401"/>
    <w:rsid w:val="006618FC"/>
    <w:rsid w:val="00663D00"/>
    <w:rsid w:val="00663E86"/>
    <w:rsid w:val="00671B7E"/>
    <w:rsid w:val="006743E6"/>
    <w:rsid w:val="006767BC"/>
    <w:rsid w:val="00680D58"/>
    <w:rsid w:val="006812C3"/>
    <w:rsid w:val="00681D75"/>
    <w:rsid w:val="0068242E"/>
    <w:rsid w:val="00684BAF"/>
    <w:rsid w:val="00691B7F"/>
    <w:rsid w:val="0069273F"/>
    <w:rsid w:val="00693F60"/>
    <w:rsid w:val="00696471"/>
    <w:rsid w:val="00696EBB"/>
    <w:rsid w:val="00697EFB"/>
    <w:rsid w:val="006A16A5"/>
    <w:rsid w:val="006A1F10"/>
    <w:rsid w:val="006A1F50"/>
    <w:rsid w:val="006A4D4E"/>
    <w:rsid w:val="006B1018"/>
    <w:rsid w:val="006B56D4"/>
    <w:rsid w:val="006B630A"/>
    <w:rsid w:val="006B6E73"/>
    <w:rsid w:val="006B76BA"/>
    <w:rsid w:val="006B7C24"/>
    <w:rsid w:val="006C126C"/>
    <w:rsid w:val="006C1332"/>
    <w:rsid w:val="006C1577"/>
    <w:rsid w:val="006C1A37"/>
    <w:rsid w:val="006C1D7A"/>
    <w:rsid w:val="006C3686"/>
    <w:rsid w:val="006C5ACD"/>
    <w:rsid w:val="006C6300"/>
    <w:rsid w:val="006C68B7"/>
    <w:rsid w:val="006D0240"/>
    <w:rsid w:val="006D1544"/>
    <w:rsid w:val="006D36B7"/>
    <w:rsid w:val="006D3A49"/>
    <w:rsid w:val="006D57EE"/>
    <w:rsid w:val="006D686D"/>
    <w:rsid w:val="006D70D1"/>
    <w:rsid w:val="006D7C24"/>
    <w:rsid w:val="006E1200"/>
    <w:rsid w:val="006E16F1"/>
    <w:rsid w:val="006E1F76"/>
    <w:rsid w:val="006E2ED8"/>
    <w:rsid w:val="006E34C2"/>
    <w:rsid w:val="006E359B"/>
    <w:rsid w:val="006E75BF"/>
    <w:rsid w:val="006F09B5"/>
    <w:rsid w:val="006F1349"/>
    <w:rsid w:val="006F201F"/>
    <w:rsid w:val="006F2C03"/>
    <w:rsid w:val="006F337C"/>
    <w:rsid w:val="006F3A98"/>
    <w:rsid w:val="006F48B3"/>
    <w:rsid w:val="006F48B8"/>
    <w:rsid w:val="006F4A0F"/>
    <w:rsid w:val="006F4ACE"/>
    <w:rsid w:val="006F553C"/>
    <w:rsid w:val="006F5924"/>
    <w:rsid w:val="006F6258"/>
    <w:rsid w:val="006F65E1"/>
    <w:rsid w:val="006F7F8E"/>
    <w:rsid w:val="00701552"/>
    <w:rsid w:val="00704074"/>
    <w:rsid w:val="00704FDE"/>
    <w:rsid w:val="00705448"/>
    <w:rsid w:val="00705F3C"/>
    <w:rsid w:val="00705FCA"/>
    <w:rsid w:val="007079BE"/>
    <w:rsid w:val="007122EC"/>
    <w:rsid w:val="0071367B"/>
    <w:rsid w:val="00714504"/>
    <w:rsid w:val="00715847"/>
    <w:rsid w:val="0071742A"/>
    <w:rsid w:val="00723A1F"/>
    <w:rsid w:val="007261EA"/>
    <w:rsid w:val="00730E8F"/>
    <w:rsid w:val="00731D48"/>
    <w:rsid w:val="0073355B"/>
    <w:rsid w:val="00733D9F"/>
    <w:rsid w:val="00734484"/>
    <w:rsid w:val="0073546C"/>
    <w:rsid w:val="00740C46"/>
    <w:rsid w:val="00742076"/>
    <w:rsid w:val="00743F01"/>
    <w:rsid w:val="00745136"/>
    <w:rsid w:val="00745A15"/>
    <w:rsid w:val="00745AFA"/>
    <w:rsid w:val="00745DD2"/>
    <w:rsid w:val="0075055F"/>
    <w:rsid w:val="00751354"/>
    <w:rsid w:val="007523EB"/>
    <w:rsid w:val="00753BE1"/>
    <w:rsid w:val="00756909"/>
    <w:rsid w:val="00760D10"/>
    <w:rsid w:val="00762108"/>
    <w:rsid w:val="007649EF"/>
    <w:rsid w:val="00766613"/>
    <w:rsid w:val="00767E40"/>
    <w:rsid w:val="00770E38"/>
    <w:rsid w:val="00774A83"/>
    <w:rsid w:val="007751DE"/>
    <w:rsid w:val="00776AF1"/>
    <w:rsid w:val="00777070"/>
    <w:rsid w:val="00777803"/>
    <w:rsid w:val="0078133D"/>
    <w:rsid w:val="00781E34"/>
    <w:rsid w:val="00782E14"/>
    <w:rsid w:val="00783345"/>
    <w:rsid w:val="00785785"/>
    <w:rsid w:val="00791DED"/>
    <w:rsid w:val="00792AA8"/>
    <w:rsid w:val="00793AAE"/>
    <w:rsid w:val="00793DDF"/>
    <w:rsid w:val="00794972"/>
    <w:rsid w:val="00796EE7"/>
    <w:rsid w:val="00797022"/>
    <w:rsid w:val="007A2706"/>
    <w:rsid w:val="007A3ABE"/>
    <w:rsid w:val="007A4CB0"/>
    <w:rsid w:val="007A5B52"/>
    <w:rsid w:val="007A60F8"/>
    <w:rsid w:val="007A62C3"/>
    <w:rsid w:val="007A6CA6"/>
    <w:rsid w:val="007B341B"/>
    <w:rsid w:val="007B4102"/>
    <w:rsid w:val="007B651A"/>
    <w:rsid w:val="007B6648"/>
    <w:rsid w:val="007B6669"/>
    <w:rsid w:val="007B7A80"/>
    <w:rsid w:val="007C05CA"/>
    <w:rsid w:val="007C311B"/>
    <w:rsid w:val="007C462E"/>
    <w:rsid w:val="007C4DB2"/>
    <w:rsid w:val="007C506B"/>
    <w:rsid w:val="007C5A0E"/>
    <w:rsid w:val="007C5E41"/>
    <w:rsid w:val="007D0986"/>
    <w:rsid w:val="007D422F"/>
    <w:rsid w:val="007D46B6"/>
    <w:rsid w:val="007D59A7"/>
    <w:rsid w:val="007D698B"/>
    <w:rsid w:val="007D7B61"/>
    <w:rsid w:val="007D7BB6"/>
    <w:rsid w:val="007E2E21"/>
    <w:rsid w:val="007E5D35"/>
    <w:rsid w:val="007E723D"/>
    <w:rsid w:val="007E7950"/>
    <w:rsid w:val="007F38C4"/>
    <w:rsid w:val="007F52A6"/>
    <w:rsid w:val="007F5789"/>
    <w:rsid w:val="007F68DA"/>
    <w:rsid w:val="007F7741"/>
    <w:rsid w:val="008004E7"/>
    <w:rsid w:val="00801DE3"/>
    <w:rsid w:val="0080276C"/>
    <w:rsid w:val="00802E8B"/>
    <w:rsid w:val="008060C8"/>
    <w:rsid w:val="00810F5C"/>
    <w:rsid w:val="008116EB"/>
    <w:rsid w:val="00812723"/>
    <w:rsid w:val="00814A6A"/>
    <w:rsid w:val="00814ED4"/>
    <w:rsid w:val="008152E3"/>
    <w:rsid w:val="0081557C"/>
    <w:rsid w:val="008159B1"/>
    <w:rsid w:val="00820282"/>
    <w:rsid w:val="00820651"/>
    <w:rsid w:val="0082117F"/>
    <w:rsid w:val="00822526"/>
    <w:rsid w:val="00823B48"/>
    <w:rsid w:val="0082619C"/>
    <w:rsid w:val="00831A0D"/>
    <w:rsid w:val="00831EED"/>
    <w:rsid w:val="00836AD2"/>
    <w:rsid w:val="008375CC"/>
    <w:rsid w:val="0084109F"/>
    <w:rsid w:val="008415CC"/>
    <w:rsid w:val="00842862"/>
    <w:rsid w:val="00844A64"/>
    <w:rsid w:val="00845199"/>
    <w:rsid w:val="00847DFE"/>
    <w:rsid w:val="00851111"/>
    <w:rsid w:val="008525CF"/>
    <w:rsid w:val="008542CC"/>
    <w:rsid w:val="00855005"/>
    <w:rsid w:val="00857804"/>
    <w:rsid w:val="00857D39"/>
    <w:rsid w:val="00860973"/>
    <w:rsid w:val="00860B77"/>
    <w:rsid w:val="0086183E"/>
    <w:rsid w:val="0086480D"/>
    <w:rsid w:val="008648B5"/>
    <w:rsid w:val="0086578B"/>
    <w:rsid w:val="00865A78"/>
    <w:rsid w:val="0086641A"/>
    <w:rsid w:val="00867F68"/>
    <w:rsid w:val="008737D3"/>
    <w:rsid w:val="00873E0E"/>
    <w:rsid w:val="00875704"/>
    <w:rsid w:val="00876A93"/>
    <w:rsid w:val="0087700A"/>
    <w:rsid w:val="00877397"/>
    <w:rsid w:val="00877CBF"/>
    <w:rsid w:val="00882D53"/>
    <w:rsid w:val="00883437"/>
    <w:rsid w:val="008834C5"/>
    <w:rsid w:val="00883C24"/>
    <w:rsid w:val="008853F8"/>
    <w:rsid w:val="008858D5"/>
    <w:rsid w:val="008867C8"/>
    <w:rsid w:val="00887605"/>
    <w:rsid w:val="00894B92"/>
    <w:rsid w:val="008953BD"/>
    <w:rsid w:val="008962A7"/>
    <w:rsid w:val="008A1679"/>
    <w:rsid w:val="008A3DF7"/>
    <w:rsid w:val="008A4628"/>
    <w:rsid w:val="008A6EB7"/>
    <w:rsid w:val="008A7C42"/>
    <w:rsid w:val="008B327E"/>
    <w:rsid w:val="008B3A21"/>
    <w:rsid w:val="008B47B5"/>
    <w:rsid w:val="008B47CB"/>
    <w:rsid w:val="008B6A6C"/>
    <w:rsid w:val="008C15BB"/>
    <w:rsid w:val="008C2899"/>
    <w:rsid w:val="008C28E5"/>
    <w:rsid w:val="008C41AF"/>
    <w:rsid w:val="008C4E5F"/>
    <w:rsid w:val="008C6886"/>
    <w:rsid w:val="008C6C82"/>
    <w:rsid w:val="008C6D81"/>
    <w:rsid w:val="008C7FA2"/>
    <w:rsid w:val="008D15F7"/>
    <w:rsid w:val="008D1FDE"/>
    <w:rsid w:val="008D351D"/>
    <w:rsid w:val="008D3EB2"/>
    <w:rsid w:val="008D7F44"/>
    <w:rsid w:val="008E1604"/>
    <w:rsid w:val="008E1C45"/>
    <w:rsid w:val="008E242E"/>
    <w:rsid w:val="008E3893"/>
    <w:rsid w:val="008E647B"/>
    <w:rsid w:val="008E7B61"/>
    <w:rsid w:val="008F3AE2"/>
    <w:rsid w:val="008F6221"/>
    <w:rsid w:val="008F722B"/>
    <w:rsid w:val="008F777B"/>
    <w:rsid w:val="008F7CCE"/>
    <w:rsid w:val="009048BB"/>
    <w:rsid w:val="00904E5E"/>
    <w:rsid w:val="009064E2"/>
    <w:rsid w:val="009077C7"/>
    <w:rsid w:val="0091220E"/>
    <w:rsid w:val="0091465A"/>
    <w:rsid w:val="00915A15"/>
    <w:rsid w:val="00920216"/>
    <w:rsid w:val="00920463"/>
    <w:rsid w:val="00922626"/>
    <w:rsid w:val="009231E5"/>
    <w:rsid w:val="009238C7"/>
    <w:rsid w:val="00923D68"/>
    <w:rsid w:val="009245CA"/>
    <w:rsid w:val="00926200"/>
    <w:rsid w:val="00926E4D"/>
    <w:rsid w:val="00926F55"/>
    <w:rsid w:val="0093352D"/>
    <w:rsid w:val="009376FF"/>
    <w:rsid w:val="00937BCA"/>
    <w:rsid w:val="00940185"/>
    <w:rsid w:val="00940BCD"/>
    <w:rsid w:val="00941279"/>
    <w:rsid w:val="00941941"/>
    <w:rsid w:val="009462D5"/>
    <w:rsid w:val="00952350"/>
    <w:rsid w:val="00953EB6"/>
    <w:rsid w:val="0095456C"/>
    <w:rsid w:val="009547B3"/>
    <w:rsid w:val="009556DF"/>
    <w:rsid w:val="00956905"/>
    <w:rsid w:val="009614C6"/>
    <w:rsid w:val="00962BFB"/>
    <w:rsid w:val="00962E1C"/>
    <w:rsid w:val="0096349D"/>
    <w:rsid w:val="00964387"/>
    <w:rsid w:val="00964954"/>
    <w:rsid w:val="00966DEC"/>
    <w:rsid w:val="0097673B"/>
    <w:rsid w:val="00981667"/>
    <w:rsid w:val="0098381F"/>
    <w:rsid w:val="00986FE3"/>
    <w:rsid w:val="00987C7D"/>
    <w:rsid w:val="00990380"/>
    <w:rsid w:val="0099102F"/>
    <w:rsid w:val="00991EE3"/>
    <w:rsid w:val="009921DB"/>
    <w:rsid w:val="009940EF"/>
    <w:rsid w:val="00994A8D"/>
    <w:rsid w:val="00994D06"/>
    <w:rsid w:val="00995A01"/>
    <w:rsid w:val="00997CF0"/>
    <w:rsid w:val="009A0BBC"/>
    <w:rsid w:val="009A47BB"/>
    <w:rsid w:val="009A5AFD"/>
    <w:rsid w:val="009A5C21"/>
    <w:rsid w:val="009A60E0"/>
    <w:rsid w:val="009A6EFD"/>
    <w:rsid w:val="009B2F80"/>
    <w:rsid w:val="009B39DC"/>
    <w:rsid w:val="009B61E7"/>
    <w:rsid w:val="009B6966"/>
    <w:rsid w:val="009C0087"/>
    <w:rsid w:val="009C4751"/>
    <w:rsid w:val="009C50B7"/>
    <w:rsid w:val="009C541E"/>
    <w:rsid w:val="009C64A0"/>
    <w:rsid w:val="009C6E72"/>
    <w:rsid w:val="009D0D84"/>
    <w:rsid w:val="009D2B49"/>
    <w:rsid w:val="009D3C3F"/>
    <w:rsid w:val="009D4D67"/>
    <w:rsid w:val="009D635B"/>
    <w:rsid w:val="009D66DC"/>
    <w:rsid w:val="009D7F6F"/>
    <w:rsid w:val="009E0393"/>
    <w:rsid w:val="009E07D3"/>
    <w:rsid w:val="009E1F78"/>
    <w:rsid w:val="009F06F2"/>
    <w:rsid w:val="009F3601"/>
    <w:rsid w:val="009F635E"/>
    <w:rsid w:val="00A02C5D"/>
    <w:rsid w:val="00A06915"/>
    <w:rsid w:val="00A10390"/>
    <w:rsid w:val="00A125A9"/>
    <w:rsid w:val="00A1371A"/>
    <w:rsid w:val="00A140D3"/>
    <w:rsid w:val="00A1446B"/>
    <w:rsid w:val="00A167F2"/>
    <w:rsid w:val="00A17A9E"/>
    <w:rsid w:val="00A17EFE"/>
    <w:rsid w:val="00A20C78"/>
    <w:rsid w:val="00A2312E"/>
    <w:rsid w:val="00A237F0"/>
    <w:rsid w:val="00A24323"/>
    <w:rsid w:val="00A250B7"/>
    <w:rsid w:val="00A2512C"/>
    <w:rsid w:val="00A2515B"/>
    <w:rsid w:val="00A2588E"/>
    <w:rsid w:val="00A26EDF"/>
    <w:rsid w:val="00A273EE"/>
    <w:rsid w:val="00A34789"/>
    <w:rsid w:val="00A3630E"/>
    <w:rsid w:val="00A37BB8"/>
    <w:rsid w:val="00A37D74"/>
    <w:rsid w:val="00A41FF8"/>
    <w:rsid w:val="00A42D87"/>
    <w:rsid w:val="00A42FF0"/>
    <w:rsid w:val="00A44BD3"/>
    <w:rsid w:val="00A4521D"/>
    <w:rsid w:val="00A46A41"/>
    <w:rsid w:val="00A46D6F"/>
    <w:rsid w:val="00A51AB0"/>
    <w:rsid w:val="00A51F0A"/>
    <w:rsid w:val="00A54EF2"/>
    <w:rsid w:val="00A55D48"/>
    <w:rsid w:val="00A57BEB"/>
    <w:rsid w:val="00A61673"/>
    <w:rsid w:val="00A64926"/>
    <w:rsid w:val="00A665CF"/>
    <w:rsid w:val="00A674AB"/>
    <w:rsid w:val="00A67CA7"/>
    <w:rsid w:val="00A70C3B"/>
    <w:rsid w:val="00A7144C"/>
    <w:rsid w:val="00A72084"/>
    <w:rsid w:val="00A73989"/>
    <w:rsid w:val="00A7501F"/>
    <w:rsid w:val="00A75B86"/>
    <w:rsid w:val="00A76E95"/>
    <w:rsid w:val="00A7752F"/>
    <w:rsid w:val="00A8437C"/>
    <w:rsid w:val="00A855EC"/>
    <w:rsid w:val="00A85C35"/>
    <w:rsid w:val="00A85F14"/>
    <w:rsid w:val="00A8696C"/>
    <w:rsid w:val="00A92061"/>
    <w:rsid w:val="00A92B0F"/>
    <w:rsid w:val="00A94249"/>
    <w:rsid w:val="00A94493"/>
    <w:rsid w:val="00A94BC9"/>
    <w:rsid w:val="00A9580A"/>
    <w:rsid w:val="00A959BC"/>
    <w:rsid w:val="00AA0A4A"/>
    <w:rsid w:val="00AA1752"/>
    <w:rsid w:val="00AA2562"/>
    <w:rsid w:val="00AA3C60"/>
    <w:rsid w:val="00AA49AE"/>
    <w:rsid w:val="00AA52E9"/>
    <w:rsid w:val="00AB2E85"/>
    <w:rsid w:val="00AB2FF4"/>
    <w:rsid w:val="00AB5927"/>
    <w:rsid w:val="00AB5F9C"/>
    <w:rsid w:val="00AB677E"/>
    <w:rsid w:val="00AB790F"/>
    <w:rsid w:val="00AC1AD6"/>
    <w:rsid w:val="00AC7CEC"/>
    <w:rsid w:val="00AD53C7"/>
    <w:rsid w:val="00AD64DF"/>
    <w:rsid w:val="00AE1025"/>
    <w:rsid w:val="00AE15A4"/>
    <w:rsid w:val="00AE35E6"/>
    <w:rsid w:val="00AE3F03"/>
    <w:rsid w:val="00AE40AC"/>
    <w:rsid w:val="00AE64F0"/>
    <w:rsid w:val="00AF23C8"/>
    <w:rsid w:val="00AF2AE2"/>
    <w:rsid w:val="00AF2F42"/>
    <w:rsid w:val="00AF3F10"/>
    <w:rsid w:val="00B0377E"/>
    <w:rsid w:val="00B06885"/>
    <w:rsid w:val="00B07BA9"/>
    <w:rsid w:val="00B10055"/>
    <w:rsid w:val="00B1141E"/>
    <w:rsid w:val="00B1278B"/>
    <w:rsid w:val="00B1486D"/>
    <w:rsid w:val="00B17295"/>
    <w:rsid w:val="00B17EF7"/>
    <w:rsid w:val="00B215F5"/>
    <w:rsid w:val="00B22F75"/>
    <w:rsid w:val="00B2354C"/>
    <w:rsid w:val="00B26B62"/>
    <w:rsid w:val="00B27A54"/>
    <w:rsid w:val="00B30783"/>
    <w:rsid w:val="00B41F0F"/>
    <w:rsid w:val="00B42560"/>
    <w:rsid w:val="00B42D07"/>
    <w:rsid w:val="00B44E21"/>
    <w:rsid w:val="00B450D0"/>
    <w:rsid w:val="00B455AA"/>
    <w:rsid w:val="00B45778"/>
    <w:rsid w:val="00B457A1"/>
    <w:rsid w:val="00B4630F"/>
    <w:rsid w:val="00B464B1"/>
    <w:rsid w:val="00B47A4A"/>
    <w:rsid w:val="00B47B99"/>
    <w:rsid w:val="00B506F2"/>
    <w:rsid w:val="00B510E3"/>
    <w:rsid w:val="00B521AC"/>
    <w:rsid w:val="00B523C2"/>
    <w:rsid w:val="00B52702"/>
    <w:rsid w:val="00B53276"/>
    <w:rsid w:val="00B53550"/>
    <w:rsid w:val="00B5498D"/>
    <w:rsid w:val="00B5501D"/>
    <w:rsid w:val="00B55106"/>
    <w:rsid w:val="00B55458"/>
    <w:rsid w:val="00B57F4A"/>
    <w:rsid w:val="00B6151E"/>
    <w:rsid w:val="00B615B0"/>
    <w:rsid w:val="00B61E58"/>
    <w:rsid w:val="00B64962"/>
    <w:rsid w:val="00B676EC"/>
    <w:rsid w:val="00B7016C"/>
    <w:rsid w:val="00B7039B"/>
    <w:rsid w:val="00B716C8"/>
    <w:rsid w:val="00B74993"/>
    <w:rsid w:val="00B74D1E"/>
    <w:rsid w:val="00B76A18"/>
    <w:rsid w:val="00B80CA7"/>
    <w:rsid w:val="00B84C6C"/>
    <w:rsid w:val="00B90B9D"/>
    <w:rsid w:val="00B92687"/>
    <w:rsid w:val="00B94248"/>
    <w:rsid w:val="00B942A1"/>
    <w:rsid w:val="00B94B4F"/>
    <w:rsid w:val="00B95BE2"/>
    <w:rsid w:val="00B976F6"/>
    <w:rsid w:val="00BA1623"/>
    <w:rsid w:val="00BA17F6"/>
    <w:rsid w:val="00BA5F41"/>
    <w:rsid w:val="00BA654C"/>
    <w:rsid w:val="00BA7385"/>
    <w:rsid w:val="00BB187C"/>
    <w:rsid w:val="00BB27D5"/>
    <w:rsid w:val="00BB296B"/>
    <w:rsid w:val="00BB2A9C"/>
    <w:rsid w:val="00BB3622"/>
    <w:rsid w:val="00BB682C"/>
    <w:rsid w:val="00BB7B9C"/>
    <w:rsid w:val="00BB7CA9"/>
    <w:rsid w:val="00BC236B"/>
    <w:rsid w:val="00BC2BB4"/>
    <w:rsid w:val="00BC4BA9"/>
    <w:rsid w:val="00BC65D9"/>
    <w:rsid w:val="00BC7C52"/>
    <w:rsid w:val="00BD0947"/>
    <w:rsid w:val="00BD0CF6"/>
    <w:rsid w:val="00BD1471"/>
    <w:rsid w:val="00BD14C5"/>
    <w:rsid w:val="00BD196A"/>
    <w:rsid w:val="00BD2081"/>
    <w:rsid w:val="00BD2311"/>
    <w:rsid w:val="00BD3288"/>
    <w:rsid w:val="00BD6262"/>
    <w:rsid w:val="00BD7960"/>
    <w:rsid w:val="00BD7EED"/>
    <w:rsid w:val="00BE09C6"/>
    <w:rsid w:val="00BE48D4"/>
    <w:rsid w:val="00BE4C48"/>
    <w:rsid w:val="00BE59DC"/>
    <w:rsid w:val="00BE61C1"/>
    <w:rsid w:val="00BE64AF"/>
    <w:rsid w:val="00BE6717"/>
    <w:rsid w:val="00BE675A"/>
    <w:rsid w:val="00BF0381"/>
    <w:rsid w:val="00BF05B5"/>
    <w:rsid w:val="00BF3BB7"/>
    <w:rsid w:val="00BF446E"/>
    <w:rsid w:val="00BF4DED"/>
    <w:rsid w:val="00BF6E7B"/>
    <w:rsid w:val="00C01021"/>
    <w:rsid w:val="00C0141F"/>
    <w:rsid w:val="00C048AF"/>
    <w:rsid w:val="00C05D37"/>
    <w:rsid w:val="00C06E73"/>
    <w:rsid w:val="00C077E0"/>
    <w:rsid w:val="00C07DE6"/>
    <w:rsid w:val="00C154B5"/>
    <w:rsid w:val="00C17872"/>
    <w:rsid w:val="00C17F11"/>
    <w:rsid w:val="00C205E9"/>
    <w:rsid w:val="00C212FC"/>
    <w:rsid w:val="00C22103"/>
    <w:rsid w:val="00C23F48"/>
    <w:rsid w:val="00C25714"/>
    <w:rsid w:val="00C25E4D"/>
    <w:rsid w:val="00C262BD"/>
    <w:rsid w:val="00C30E04"/>
    <w:rsid w:val="00C310C2"/>
    <w:rsid w:val="00C36525"/>
    <w:rsid w:val="00C40EB3"/>
    <w:rsid w:val="00C41BD9"/>
    <w:rsid w:val="00C4297C"/>
    <w:rsid w:val="00C434FD"/>
    <w:rsid w:val="00C4350E"/>
    <w:rsid w:val="00C44ACD"/>
    <w:rsid w:val="00C47AC7"/>
    <w:rsid w:val="00C47C17"/>
    <w:rsid w:val="00C47E9A"/>
    <w:rsid w:val="00C5192E"/>
    <w:rsid w:val="00C52DE6"/>
    <w:rsid w:val="00C54CFC"/>
    <w:rsid w:val="00C55DB2"/>
    <w:rsid w:val="00C562C0"/>
    <w:rsid w:val="00C5717B"/>
    <w:rsid w:val="00C6016B"/>
    <w:rsid w:val="00C634A7"/>
    <w:rsid w:val="00C638D7"/>
    <w:rsid w:val="00C638DF"/>
    <w:rsid w:val="00C642EA"/>
    <w:rsid w:val="00C64720"/>
    <w:rsid w:val="00C6517F"/>
    <w:rsid w:val="00C67BA6"/>
    <w:rsid w:val="00C70DA3"/>
    <w:rsid w:val="00C71920"/>
    <w:rsid w:val="00C72A63"/>
    <w:rsid w:val="00C73ECB"/>
    <w:rsid w:val="00C7647F"/>
    <w:rsid w:val="00C772E7"/>
    <w:rsid w:val="00C77A70"/>
    <w:rsid w:val="00C80AE4"/>
    <w:rsid w:val="00C81D88"/>
    <w:rsid w:val="00C821B3"/>
    <w:rsid w:val="00C857F1"/>
    <w:rsid w:val="00C871C4"/>
    <w:rsid w:val="00C905C6"/>
    <w:rsid w:val="00C97301"/>
    <w:rsid w:val="00C97A4E"/>
    <w:rsid w:val="00CA1130"/>
    <w:rsid w:val="00CA2CBB"/>
    <w:rsid w:val="00CA415F"/>
    <w:rsid w:val="00CA529D"/>
    <w:rsid w:val="00CA5EA7"/>
    <w:rsid w:val="00CA6729"/>
    <w:rsid w:val="00CB026C"/>
    <w:rsid w:val="00CB11C5"/>
    <w:rsid w:val="00CB2565"/>
    <w:rsid w:val="00CB2C14"/>
    <w:rsid w:val="00CB5A49"/>
    <w:rsid w:val="00CB5C15"/>
    <w:rsid w:val="00CB678B"/>
    <w:rsid w:val="00CC1228"/>
    <w:rsid w:val="00CC1A21"/>
    <w:rsid w:val="00CC53EB"/>
    <w:rsid w:val="00CC66DE"/>
    <w:rsid w:val="00CC76DE"/>
    <w:rsid w:val="00CC7C0C"/>
    <w:rsid w:val="00CD5694"/>
    <w:rsid w:val="00CD75E3"/>
    <w:rsid w:val="00CE2627"/>
    <w:rsid w:val="00CE2EB2"/>
    <w:rsid w:val="00CE37AA"/>
    <w:rsid w:val="00CE4526"/>
    <w:rsid w:val="00CE525D"/>
    <w:rsid w:val="00CE55C1"/>
    <w:rsid w:val="00CE5C99"/>
    <w:rsid w:val="00CE7BD1"/>
    <w:rsid w:val="00CF23EE"/>
    <w:rsid w:val="00CF38BB"/>
    <w:rsid w:val="00CF41D3"/>
    <w:rsid w:val="00D00F69"/>
    <w:rsid w:val="00D01246"/>
    <w:rsid w:val="00D02398"/>
    <w:rsid w:val="00D02703"/>
    <w:rsid w:val="00D02CB5"/>
    <w:rsid w:val="00D0326B"/>
    <w:rsid w:val="00D03581"/>
    <w:rsid w:val="00D11357"/>
    <w:rsid w:val="00D126F7"/>
    <w:rsid w:val="00D129F5"/>
    <w:rsid w:val="00D12ED9"/>
    <w:rsid w:val="00D141DD"/>
    <w:rsid w:val="00D1494A"/>
    <w:rsid w:val="00D21887"/>
    <w:rsid w:val="00D266DE"/>
    <w:rsid w:val="00D31689"/>
    <w:rsid w:val="00D325D3"/>
    <w:rsid w:val="00D355E8"/>
    <w:rsid w:val="00D37A93"/>
    <w:rsid w:val="00D43DD6"/>
    <w:rsid w:val="00D450B0"/>
    <w:rsid w:val="00D454EC"/>
    <w:rsid w:val="00D47C32"/>
    <w:rsid w:val="00D51C2C"/>
    <w:rsid w:val="00D52858"/>
    <w:rsid w:val="00D55A36"/>
    <w:rsid w:val="00D5689A"/>
    <w:rsid w:val="00D57072"/>
    <w:rsid w:val="00D61249"/>
    <w:rsid w:val="00D61AE5"/>
    <w:rsid w:val="00D64636"/>
    <w:rsid w:val="00D6544C"/>
    <w:rsid w:val="00D668E4"/>
    <w:rsid w:val="00D67466"/>
    <w:rsid w:val="00D67CA6"/>
    <w:rsid w:val="00D7047B"/>
    <w:rsid w:val="00D70735"/>
    <w:rsid w:val="00D72157"/>
    <w:rsid w:val="00D729A9"/>
    <w:rsid w:val="00D7394B"/>
    <w:rsid w:val="00D741F4"/>
    <w:rsid w:val="00D74FEC"/>
    <w:rsid w:val="00D75505"/>
    <w:rsid w:val="00D76695"/>
    <w:rsid w:val="00D77DAB"/>
    <w:rsid w:val="00D80998"/>
    <w:rsid w:val="00D8228F"/>
    <w:rsid w:val="00D83A1F"/>
    <w:rsid w:val="00D83CB1"/>
    <w:rsid w:val="00D862DA"/>
    <w:rsid w:val="00D8640C"/>
    <w:rsid w:val="00D86456"/>
    <w:rsid w:val="00D870BD"/>
    <w:rsid w:val="00D87DCF"/>
    <w:rsid w:val="00D90ED8"/>
    <w:rsid w:val="00D936C9"/>
    <w:rsid w:val="00D9439B"/>
    <w:rsid w:val="00D96930"/>
    <w:rsid w:val="00D97446"/>
    <w:rsid w:val="00DA3D7B"/>
    <w:rsid w:val="00DA6721"/>
    <w:rsid w:val="00DA6760"/>
    <w:rsid w:val="00DA6F05"/>
    <w:rsid w:val="00DA7189"/>
    <w:rsid w:val="00DA7370"/>
    <w:rsid w:val="00DB0F81"/>
    <w:rsid w:val="00DB1190"/>
    <w:rsid w:val="00DB4594"/>
    <w:rsid w:val="00DB4AA3"/>
    <w:rsid w:val="00DB68FF"/>
    <w:rsid w:val="00DB7230"/>
    <w:rsid w:val="00DC1A30"/>
    <w:rsid w:val="00DC281E"/>
    <w:rsid w:val="00DC32BA"/>
    <w:rsid w:val="00DC5353"/>
    <w:rsid w:val="00DC5FD8"/>
    <w:rsid w:val="00DC7337"/>
    <w:rsid w:val="00DD1F9B"/>
    <w:rsid w:val="00DD6518"/>
    <w:rsid w:val="00DD6537"/>
    <w:rsid w:val="00DD6667"/>
    <w:rsid w:val="00DD74A2"/>
    <w:rsid w:val="00DE383B"/>
    <w:rsid w:val="00DE49BE"/>
    <w:rsid w:val="00DE6576"/>
    <w:rsid w:val="00DE7C03"/>
    <w:rsid w:val="00DF4614"/>
    <w:rsid w:val="00DF59E5"/>
    <w:rsid w:val="00DF6D10"/>
    <w:rsid w:val="00DF7B25"/>
    <w:rsid w:val="00E009EC"/>
    <w:rsid w:val="00E00B67"/>
    <w:rsid w:val="00E01B5A"/>
    <w:rsid w:val="00E04840"/>
    <w:rsid w:val="00E135A1"/>
    <w:rsid w:val="00E1496E"/>
    <w:rsid w:val="00E1531D"/>
    <w:rsid w:val="00E16EF1"/>
    <w:rsid w:val="00E177A0"/>
    <w:rsid w:val="00E17F63"/>
    <w:rsid w:val="00E20422"/>
    <w:rsid w:val="00E219F4"/>
    <w:rsid w:val="00E23B9F"/>
    <w:rsid w:val="00E270FC"/>
    <w:rsid w:val="00E339C5"/>
    <w:rsid w:val="00E33B8D"/>
    <w:rsid w:val="00E352FF"/>
    <w:rsid w:val="00E368C3"/>
    <w:rsid w:val="00E37360"/>
    <w:rsid w:val="00E3764A"/>
    <w:rsid w:val="00E43C06"/>
    <w:rsid w:val="00E449B1"/>
    <w:rsid w:val="00E46D71"/>
    <w:rsid w:val="00E47B31"/>
    <w:rsid w:val="00E501F7"/>
    <w:rsid w:val="00E504B9"/>
    <w:rsid w:val="00E50759"/>
    <w:rsid w:val="00E5082D"/>
    <w:rsid w:val="00E50B83"/>
    <w:rsid w:val="00E518E7"/>
    <w:rsid w:val="00E55806"/>
    <w:rsid w:val="00E55981"/>
    <w:rsid w:val="00E574A9"/>
    <w:rsid w:val="00E61355"/>
    <w:rsid w:val="00E613BC"/>
    <w:rsid w:val="00E61F1E"/>
    <w:rsid w:val="00E6549F"/>
    <w:rsid w:val="00E65ED2"/>
    <w:rsid w:val="00E66861"/>
    <w:rsid w:val="00E66D6F"/>
    <w:rsid w:val="00E66E21"/>
    <w:rsid w:val="00E67063"/>
    <w:rsid w:val="00E677B0"/>
    <w:rsid w:val="00E70F38"/>
    <w:rsid w:val="00E710FC"/>
    <w:rsid w:val="00E71915"/>
    <w:rsid w:val="00E741F2"/>
    <w:rsid w:val="00E75843"/>
    <w:rsid w:val="00E80916"/>
    <w:rsid w:val="00E840DF"/>
    <w:rsid w:val="00E8452A"/>
    <w:rsid w:val="00E84B3F"/>
    <w:rsid w:val="00E8560F"/>
    <w:rsid w:val="00E86049"/>
    <w:rsid w:val="00E86A5A"/>
    <w:rsid w:val="00E8780A"/>
    <w:rsid w:val="00E902E8"/>
    <w:rsid w:val="00E957FC"/>
    <w:rsid w:val="00EA0289"/>
    <w:rsid w:val="00EB0E0F"/>
    <w:rsid w:val="00EB11D1"/>
    <w:rsid w:val="00EB181B"/>
    <w:rsid w:val="00EB1CA4"/>
    <w:rsid w:val="00EB2C55"/>
    <w:rsid w:val="00EB2DEA"/>
    <w:rsid w:val="00EB47AC"/>
    <w:rsid w:val="00EB793F"/>
    <w:rsid w:val="00EC0612"/>
    <w:rsid w:val="00EC341C"/>
    <w:rsid w:val="00ED1657"/>
    <w:rsid w:val="00ED5637"/>
    <w:rsid w:val="00ED65DC"/>
    <w:rsid w:val="00ED6618"/>
    <w:rsid w:val="00EE05C0"/>
    <w:rsid w:val="00EE62E7"/>
    <w:rsid w:val="00EE71C9"/>
    <w:rsid w:val="00EF0E0C"/>
    <w:rsid w:val="00EF352D"/>
    <w:rsid w:val="00EF3B1E"/>
    <w:rsid w:val="00EF4AEE"/>
    <w:rsid w:val="00EF6E41"/>
    <w:rsid w:val="00F01498"/>
    <w:rsid w:val="00F03BF4"/>
    <w:rsid w:val="00F03F3B"/>
    <w:rsid w:val="00F063A0"/>
    <w:rsid w:val="00F07468"/>
    <w:rsid w:val="00F11DDC"/>
    <w:rsid w:val="00F12723"/>
    <w:rsid w:val="00F1302B"/>
    <w:rsid w:val="00F13F76"/>
    <w:rsid w:val="00F153C1"/>
    <w:rsid w:val="00F20FF5"/>
    <w:rsid w:val="00F2176B"/>
    <w:rsid w:val="00F217E8"/>
    <w:rsid w:val="00F22D82"/>
    <w:rsid w:val="00F22FE8"/>
    <w:rsid w:val="00F23A8E"/>
    <w:rsid w:val="00F26BFB"/>
    <w:rsid w:val="00F26D40"/>
    <w:rsid w:val="00F27E27"/>
    <w:rsid w:val="00F340B6"/>
    <w:rsid w:val="00F361B7"/>
    <w:rsid w:val="00F4085A"/>
    <w:rsid w:val="00F40BAE"/>
    <w:rsid w:val="00F41282"/>
    <w:rsid w:val="00F41D1A"/>
    <w:rsid w:val="00F43D59"/>
    <w:rsid w:val="00F45A07"/>
    <w:rsid w:val="00F4742D"/>
    <w:rsid w:val="00F52F93"/>
    <w:rsid w:val="00F531ED"/>
    <w:rsid w:val="00F54476"/>
    <w:rsid w:val="00F54608"/>
    <w:rsid w:val="00F54D53"/>
    <w:rsid w:val="00F552F2"/>
    <w:rsid w:val="00F55E52"/>
    <w:rsid w:val="00F56166"/>
    <w:rsid w:val="00F57EF0"/>
    <w:rsid w:val="00F60CDA"/>
    <w:rsid w:val="00F627E2"/>
    <w:rsid w:val="00F64584"/>
    <w:rsid w:val="00F65B20"/>
    <w:rsid w:val="00F66DFC"/>
    <w:rsid w:val="00F713CF"/>
    <w:rsid w:val="00F71520"/>
    <w:rsid w:val="00F735AB"/>
    <w:rsid w:val="00F7590F"/>
    <w:rsid w:val="00F75FE2"/>
    <w:rsid w:val="00F772CC"/>
    <w:rsid w:val="00F8569E"/>
    <w:rsid w:val="00F85A14"/>
    <w:rsid w:val="00F90708"/>
    <w:rsid w:val="00F90EB0"/>
    <w:rsid w:val="00F913C6"/>
    <w:rsid w:val="00F91CFB"/>
    <w:rsid w:val="00F94864"/>
    <w:rsid w:val="00F95489"/>
    <w:rsid w:val="00F95BDD"/>
    <w:rsid w:val="00F9631D"/>
    <w:rsid w:val="00FA02EE"/>
    <w:rsid w:val="00FA33A6"/>
    <w:rsid w:val="00FA5ABA"/>
    <w:rsid w:val="00FA6288"/>
    <w:rsid w:val="00FA68D9"/>
    <w:rsid w:val="00FA745E"/>
    <w:rsid w:val="00FA7B80"/>
    <w:rsid w:val="00FB0B18"/>
    <w:rsid w:val="00FB18EA"/>
    <w:rsid w:val="00FB2309"/>
    <w:rsid w:val="00FB2678"/>
    <w:rsid w:val="00FB2ACA"/>
    <w:rsid w:val="00FB673E"/>
    <w:rsid w:val="00FB753B"/>
    <w:rsid w:val="00FC10E4"/>
    <w:rsid w:val="00FC2AE6"/>
    <w:rsid w:val="00FC3D57"/>
    <w:rsid w:val="00FC3EB4"/>
    <w:rsid w:val="00FC4E27"/>
    <w:rsid w:val="00FC51B8"/>
    <w:rsid w:val="00FC5FD1"/>
    <w:rsid w:val="00FC6C2D"/>
    <w:rsid w:val="00FD16AB"/>
    <w:rsid w:val="00FD2D58"/>
    <w:rsid w:val="00FD2E3A"/>
    <w:rsid w:val="00FD38DC"/>
    <w:rsid w:val="00FD5319"/>
    <w:rsid w:val="00FD6457"/>
    <w:rsid w:val="00FD755E"/>
    <w:rsid w:val="00FD7CD3"/>
    <w:rsid w:val="00FE410C"/>
    <w:rsid w:val="00FE44C5"/>
    <w:rsid w:val="00FF1021"/>
    <w:rsid w:val="00FF102C"/>
    <w:rsid w:val="00FF10BB"/>
    <w:rsid w:val="00FF141F"/>
    <w:rsid w:val="00FF406D"/>
    <w:rsid w:val="00FF4A17"/>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1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6A1F50"/>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table" w:styleId="TableGrid">
    <w:name w:val="Table Grid"/>
    <w:basedOn w:val="TableNormal"/>
    <w:uiPriority w:val="59"/>
    <w:locked/>
    <w:rsid w:val="006A1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07A87834-8F25-4E92-B317-ADEB5468CE4C}"/>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a53eb4-5ba1-498b-a0d3-d589036531b6"/>
    <ds:schemaRef ds:uri="10f79a86-695f-47ec-b340-f86fc946019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16</Pages>
  <Words>4901</Words>
  <Characters>25339</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2025-05-12T04:34:00Z</dcterms:created>
  <dcterms:modified xsi:type="dcterms:W3CDTF">2025-05-13T00:48:00Z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