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281E" w14:textId="77777777" w:rsidR="00271BA7" w:rsidRPr="00704FF8" w:rsidRDefault="00271BA7" w:rsidP="00704FF8">
      <w:pPr>
        <w:pStyle w:val="OrdersTopLine"/>
      </w:pPr>
      <w:r w:rsidRPr="00704FF8">
        <w:t>HIGH COURT OF AUSTRALIA</w:t>
      </w:r>
    </w:p>
    <w:p w14:paraId="07DCF220" w14:textId="77777777" w:rsidR="00271BA7" w:rsidRPr="00704FF8" w:rsidRDefault="00271BA7" w:rsidP="00704FF8">
      <w:pPr>
        <w:pStyle w:val="OrderCentre"/>
      </w:pPr>
    </w:p>
    <w:p w14:paraId="42416654" w14:textId="77777777" w:rsidR="00271BA7" w:rsidRPr="00C46004" w:rsidRDefault="00271BA7" w:rsidP="00704FF8">
      <w:pPr>
        <w:pStyle w:val="OrderCentre"/>
        <w:rPr>
          <w:spacing w:val="-4"/>
          <w:sz w:val="24"/>
          <w:szCs w:val="24"/>
        </w:rPr>
      </w:pPr>
      <w:r w:rsidRPr="00C46004">
        <w:rPr>
          <w:spacing w:val="-4"/>
          <w:sz w:val="24"/>
          <w:szCs w:val="24"/>
        </w:rPr>
        <w:t>GAGELER CJ,</w:t>
      </w:r>
    </w:p>
    <w:p w14:paraId="61FF80E7" w14:textId="77777777" w:rsidR="00271BA7" w:rsidRPr="00704FF8" w:rsidRDefault="00271BA7"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2200F656" w14:textId="77777777" w:rsidR="00271BA7" w:rsidRPr="00427F3A" w:rsidRDefault="00271BA7" w:rsidP="00EE5374">
      <w:pPr>
        <w:pStyle w:val="Centre"/>
        <w:rPr>
          <w:lang w:val="en-AU"/>
        </w:rPr>
      </w:pPr>
    </w:p>
    <w:p w14:paraId="19F7019C" w14:textId="77777777" w:rsidR="00271BA7" w:rsidRPr="00704FF8" w:rsidRDefault="00271BA7" w:rsidP="00704FF8">
      <w:pPr>
        <w:pStyle w:val="OrdersCenteredBorder"/>
      </w:pPr>
    </w:p>
    <w:p w14:paraId="34057246" w14:textId="77777777" w:rsidR="00271BA7" w:rsidRPr="00A825FF" w:rsidRDefault="00271BA7" w:rsidP="00A825FF">
      <w:pPr>
        <w:pStyle w:val="OrdersBodyHeading"/>
      </w:pPr>
    </w:p>
    <w:p w14:paraId="4FFDAE89" w14:textId="77777777" w:rsidR="00271BA7" w:rsidRPr="00A825FF" w:rsidRDefault="00271BA7" w:rsidP="00A825FF">
      <w:pPr>
        <w:pStyle w:val="OrdersPartyName"/>
        <w:ind w:right="-1"/>
        <w:rPr>
          <w:b/>
        </w:rPr>
      </w:pPr>
      <w:r w:rsidRPr="00A825FF">
        <w:rPr>
          <w:b/>
        </w:rPr>
        <w:t>Matter No S146/2024</w:t>
      </w:r>
    </w:p>
    <w:p w14:paraId="521DA612" w14:textId="77777777" w:rsidR="00271BA7" w:rsidRPr="00A825FF" w:rsidRDefault="00271BA7" w:rsidP="00A825FF">
      <w:pPr>
        <w:pStyle w:val="OrdersPartyName"/>
        <w:ind w:right="-1"/>
      </w:pPr>
    </w:p>
    <w:p w14:paraId="5678D462" w14:textId="77777777" w:rsidR="00271BA7" w:rsidRPr="00A825FF" w:rsidRDefault="00271BA7" w:rsidP="00A825FF">
      <w:pPr>
        <w:pStyle w:val="OrdersPartyName"/>
        <w:ind w:right="-1"/>
      </w:pPr>
      <w:r w:rsidRPr="00A825FF">
        <w:t>JOHN BRUCE KAIN</w:t>
      </w:r>
      <w:r w:rsidRPr="00A825FF">
        <w:tab/>
        <w:t>APPELLANT</w:t>
      </w:r>
    </w:p>
    <w:p w14:paraId="74789741" w14:textId="77777777" w:rsidR="00271BA7" w:rsidRPr="00A825FF" w:rsidRDefault="00271BA7" w:rsidP="00A825FF">
      <w:pPr>
        <w:pStyle w:val="OrdersPartyName"/>
        <w:ind w:right="-1"/>
      </w:pPr>
    </w:p>
    <w:p w14:paraId="514F88C8" w14:textId="77777777" w:rsidR="00271BA7" w:rsidRPr="00A825FF" w:rsidRDefault="00271BA7" w:rsidP="00A825FF">
      <w:pPr>
        <w:pStyle w:val="OrdersPartyName"/>
        <w:ind w:right="-1"/>
      </w:pPr>
      <w:r w:rsidRPr="00A825FF">
        <w:t>AND</w:t>
      </w:r>
    </w:p>
    <w:p w14:paraId="733F3758" w14:textId="77777777" w:rsidR="00271BA7" w:rsidRPr="00A825FF" w:rsidRDefault="00271BA7" w:rsidP="00A825FF">
      <w:pPr>
        <w:pStyle w:val="OrdersPartyName"/>
        <w:ind w:right="-1"/>
      </w:pPr>
    </w:p>
    <w:p w14:paraId="5B3B313D" w14:textId="77777777" w:rsidR="00271BA7" w:rsidRDefault="00271BA7" w:rsidP="00A825FF">
      <w:pPr>
        <w:pStyle w:val="OrdersPartyName"/>
        <w:ind w:right="-1"/>
      </w:pPr>
      <w:r w:rsidRPr="00A825FF">
        <w:t xml:space="preserve">R&amp;B INVESTMENTS PTY LTD AS TRUSTEE FOR </w:t>
      </w:r>
    </w:p>
    <w:p w14:paraId="08DCDE2F" w14:textId="77777777" w:rsidR="00271BA7" w:rsidRPr="00A825FF" w:rsidRDefault="00271BA7" w:rsidP="00A825FF">
      <w:pPr>
        <w:pStyle w:val="OrdersPartyName"/>
        <w:ind w:right="-1"/>
      </w:pPr>
      <w:r w:rsidRPr="00A825FF">
        <w:t>THE R&amp;B PENSION FUND &amp; ORS</w:t>
      </w:r>
      <w:r w:rsidRPr="00A825FF">
        <w:tab/>
        <w:t>RESPONDENTS</w:t>
      </w:r>
    </w:p>
    <w:p w14:paraId="1C446F91" w14:textId="77777777" w:rsidR="00271BA7" w:rsidRPr="00A825FF" w:rsidRDefault="00271BA7" w:rsidP="00A825FF">
      <w:pPr>
        <w:pStyle w:val="OrdersBodyHeading"/>
      </w:pPr>
    </w:p>
    <w:p w14:paraId="0878D3E3" w14:textId="77777777" w:rsidR="00271BA7" w:rsidRPr="00A825FF" w:rsidRDefault="00271BA7" w:rsidP="00A825FF">
      <w:pPr>
        <w:pStyle w:val="OrdersPartyName"/>
        <w:ind w:right="-1"/>
        <w:rPr>
          <w:b/>
        </w:rPr>
      </w:pPr>
      <w:r w:rsidRPr="00A825FF">
        <w:rPr>
          <w:b/>
        </w:rPr>
        <w:t>Matter No S144/2024</w:t>
      </w:r>
    </w:p>
    <w:p w14:paraId="1E656683" w14:textId="77777777" w:rsidR="00271BA7" w:rsidRPr="00A825FF" w:rsidRDefault="00271BA7" w:rsidP="00A825FF">
      <w:pPr>
        <w:pStyle w:val="OrdersPartyName"/>
        <w:ind w:right="-1"/>
      </w:pPr>
    </w:p>
    <w:p w14:paraId="331A6829" w14:textId="77777777" w:rsidR="00271BA7" w:rsidRPr="00A825FF" w:rsidRDefault="00271BA7" w:rsidP="00A825FF">
      <w:pPr>
        <w:pStyle w:val="OrdersPartyName"/>
        <w:ind w:right="-1"/>
      </w:pPr>
      <w:r w:rsidRPr="00A825FF">
        <w:t>ERNST &amp; YOUNG (A FIRM)</w:t>
      </w:r>
      <w:r w:rsidRPr="00A825FF">
        <w:tab/>
        <w:t>APPELLANT</w:t>
      </w:r>
    </w:p>
    <w:p w14:paraId="171ACC0E" w14:textId="77777777" w:rsidR="00271BA7" w:rsidRPr="00A825FF" w:rsidRDefault="00271BA7" w:rsidP="00A825FF">
      <w:pPr>
        <w:pStyle w:val="OrdersPartyName"/>
        <w:ind w:right="-1"/>
      </w:pPr>
    </w:p>
    <w:p w14:paraId="7A1302C9" w14:textId="77777777" w:rsidR="00271BA7" w:rsidRPr="00A825FF" w:rsidRDefault="00271BA7" w:rsidP="00A825FF">
      <w:pPr>
        <w:pStyle w:val="OrdersPartyName"/>
        <w:ind w:right="-1"/>
      </w:pPr>
      <w:r w:rsidRPr="00A825FF">
        <w:t>AND</w:t>
      </w:r>
    </w:p>
    <w:p w14:paraId="465EC0B8" w14:textId="77777777" w:rsidR="00271BA7" w:rsidRPr="00A825FF" w:rsidRDefault="00271BA7" w:rsidP="00A825FF">
      <w:pPr>
        <w:pStyle w:val="OrdersPartyName"/>
        <w:ind w:right="-1"/>
      </w:pPr>
    </w:p>
    <w:p w14:paraId="3C143BAB" w14:textId="77777777" w:rsidR="00271BA7" w:rsidRDefault="00271BA7" w:rsidP="00A825FF">
      <w:pPr>
        <w:pStyle w:val="OrdersPartyName"/>
        <w:ind w:right="-1"/>
      </w:pPr>
      <w:r w:rsidRPr="00A825FF">
        <w:t xml:space="preserve">R&amp;B INVESTMENTS PTY LTD AS TRUSTEE FOR </w:t>
      </w:r>
    </w:p>
    <w:p w14:paraId="6F41ED61" w14:textId="77777777" w:rsidR="00271BA7" w:rsidRPr="00A825FF" w:rsidRDefault="00271BA7" w:rsidP="00A825FF">
      <w:pPr>
        <w:pStyle w:val="OrdersPartyName"/>
        <w:ind w:right="-1"/>
      </w:pPr>
      <w:r w:rsidRPr="00A825FF">
        <w:t>THE R&amp;B PENSION FUND &amp; ORS</w:t>
      </w:r>
      <w:r w:rsidRPr="00A825FF">
        <w:tab/>
        <w:t>RESPONDENTS</w:t>
      </w:r>
    </w:p>
    <w:p w14:paraId="4F3C8F69" w14:textId="77777777" w:rsidR="00271BA7" w:rsidRPr="00A825FF" w:rsidRDefault="00271BA7" w:rsidP="00A825FF">
      <w:pPr>
        <w:pStyle w:val="OrdersBodyHeading"/>
      </w:pPr>
    </w:p>
    <w:p w14:paraId="61567BA5" w14:textId="77777777" w:rsidR="00271BA7" w:rsidRPr="00A825FF" w:rsidRDefault="00271BA7" w:rsidP="00A825FF">
      <w:pPr>
        <w:pStyle w:val="OrdersPartyName"/>
        <w:ind w:right="-1"/>
        <w:rPr>
          <w:b/>
        </w:rPr>
      </w:pPr>
      <w:r w:rsidRPr="00A825FF">
        <w:rPr>
          <w:b/>
        </w:rPr>
        <w:t>Matter No S143/2024</w:t>
      </w:r>
    </w:p>
    <w:p w14:paraId="4DD2543D" w14:textId="77777777" w:rsidR="00271BA7" w:rsidRPr="00A825FF" w:rsidRDefault="00271BA7" w:rsidP="00A825FF">
      <w:pPr>
        <w:pStyle w:val="OrdersPartyName"/>
        <w:ind w:right="-1"/>
      </w:pPr>
    </w:p>
    <w:p w14:paraId="18F68633" w14:textId="77777777" w:rsidR="00271BA7" w:rsidRPr="00A825FF" w:rsidRDefault="00271BA7" w:rsidP="00A825FF">
      <w:pPr>
        <w:pStyle w:val="OrdersPartyName"/>
        <w:ind w:right="-1"/>
      </w:pPr>
      <w:r w:rsidRPr="00A825FF">
        <w:t>ROBERT WARNER SHAND</w:t>
      </w:r>
      <w:r w:rsidRPr="00A825FF">
        <w:tab/>
        <w:t>APPELLANT</w:t>
      </w:r>
    </w:p>
    <w:p w14:paraId="4487046E" w14:textId="77777777" w:rsidR="00271BA7" w:rsidRPr="00A825FF" w:rsidRDefault="00271BA7" w:rsidP="00A825FF">
      <w:pPr>
        <w:pStyle w:val="OrdersPartyName"/>
        <w:ind w:right="-1"/>
      </w:pPr>
    </w:p>
    <w:p w14:paraId="0AC1C8C1" w14:textId="77777777" w:rsidR="00271BA7" w:rsidRPr="00A825FF" w:rsidRDefault="00271BA7" w:rsidP="00A825FF">
      <w:pPr>
        <w:pStyle w:val="OrdersPartyName"/>
        <w:ind w:right="-1"/>
      </w:pPr>
      <w:r w:rsidRPr="00A825FF">
        <w:t>AND</w:t>
      </w:r>
    </w:p>
    <w:p w14:paraId="473F50F4" w14:textId="77777777" w:rsidR="00271BA7" w:rsidRPr="00A825FF" w:rsidRDefault="00271BA7" w:rsidP="00A825FF">
      <w:pPr>
        <w:pStyle w:val="OrdersPartyName"/>
        <w:ind w:right="-1"/>
      </w:pPr>
    </w:p>
    <w:p w14:paraId="63118D5C" w14:textId="77777777" w:rsidR="00271BA7" w:rsidRDefault="00271BA7" w:rsidP="00A825FF">
      <w:pPr>
        <w:pStyle w:val="OrdersPartyName"/>
        <w:ind w:right="-1"/>
      </w:pPr>
      <w:r w:rsidRPr="00A825FF">
        <w:t xml:space="preserve">R&amp;B INVESTMENTS PTY LTD AS TRUSTEE FOR </w:t>
      </w:r>
    </w:p>
    <w:p w14:paraId="3368F1C4" w14:textId="77777777" w:rsidR="00271BA7" w:rsidRPr="00A825FF" w:rsidRDefault="00271BA7" w:rsidP="00A825FF">
      <w:pPr>
        <w:pStyle w:val="OrdersPartyName"/>
        <w:ind w:right="-1"/>
      </w:pPr>
      <w:r w:rsidRPr="00A825FF">
        <w:t>THE R&amp;B PENSION FUND &amp; ORS</w:t>
      </w:r>
      <w:r w:rsidRPr="00A825FF">
        <w:tab/>
        <w:t>RESPONDENTS</w:t>
      </w:r>
    </w:p>
    <w:p w14:paraId="5C0FC2E5" w14:textId="77777777" w:rsidR="00271BA7" w:rsidRPr="00A825FF" w:rsidRDefault="00271BA7" w:rsidP="00AF0A5E">
      <w:pPr>
        <w:pStyle w:val="BodyHeading"/>
      </w:pPr>
    </w:p>
    <w:p w14:paraId="63B4AB19" w14:textId="77777777" w:rsidR="00271BA7" w:rsidRPr="00A825FF" w:rsidRDefault="00271BA7" w:rsidP="00BE0A6C">
      <w:pPr>
        <w:pStyle w:val="BodyHeading"/>
      </w:pPr>
    </w:p>
    <w:p w14:paraId="2514CB1B" w14:textId="77777777" w:rsidR="00271BA7" w:rsidRDefault="00271BA7" w:rsidP="00EE5374">
      <w:pPr>
        <w:pStyle w:val="CentreItalics"/>
      </w:pPr>
      <w:r w:rsidRPr="00960C5D">
        <w:t>Kain v R&amp;B Investments Pty Ltd</w:t>
      </w:r>
    </w:p>
    <w:p w14:paraId="29C0894D" w14:textId="77777777" w:rsidR="00271BA7" w:rsidRDefault="00271BA7" w:rsidP="00EE5374">
      <w:pPr>
        <w:pStyle w:val="CentreItalics"/>
      </w:pPr>
      <w:r w:rsidRPr="00960C5D">
        <w:t xml:space="preserve">Ernst &amp; Young </w:t>
      </w:r>
      <w:r>
        <w:t xml:space="preserve">(a firm) </w:t>
      </w:r>
      <w:r w:rsidRPr="00960C5D">
        <w:t>v R&amp;B Investments Pty Ltd</w:t>
      </w:r>
    </w:p>
    <w:p w14:paraId="5A60152E" w14:textId="77777777" w:rsidR="00271BA7" w:rsidRPr="00960C5D" w:rsidRDefault="00271BA7" w:rsidP="00EE5374">
      <w:pPr>
        <w:pStyle w:val="CentreItalics"/>
      </w:pPr>
      <w:r w:rsidRPr="00960C5D">
        <w:t>Shand v R&amp;B Investments Pty Ltd</w:t>
      </w:r>
    </w:p>
    <w:p w14:paraId="3319671E" w14:textId="77777777" w:rsidR="00271BA7" w:rsidRPr="00427F3A" w:rsidRDefault="00271BA7" w:rsidP="00E90E4F">
      <w:pPr>
        <w:pStyle w:val="OrdersCentre"/>
      </w:pPr>
      <w:r w:rsidRPr="00960C5D">
        <w:t xml:space="preserve">[2025] HCA </w:t>
      </w:r>
      <w:r>
        <w:t>28</w:t>
      </w:r>
    </w:p>
    <w:p w14:paraId="7095C8D4" w14:textId="77777777" w:rsidR="00271BA7" w:rsidRDefault="00271BA7" w:rsidP="00E90E4F">
      <w:pPr>
        <w:pStyle w:val="OrdersCentreItalics"/>
      </w:pPr>
      <w:r>
        <w:t xml:space="preserve">Date of Hearing: </w:t>
      </w:r>
      <w:r w:rsidRPr="00A825FF">
        <w:t xml:space="preserve">4 </w:t>
      </w:r>
      <w:r>
        <w:t xml:space="preserve">&amp; 5 </w:t>
      </w:r>
      <w:r w:rsidRPr="00A825FF">
        <w:t>March 2025</w:t>
      </w:r>
    </w:p>
    <w:p w14:paraId="3D46728A" w14:textId="77777777" w:rsidR="00271BA7" w:rsidRPr="00427F3A" w:rsidRDefault="00271BA7" w:rsidP="00E90E4F">
      <w:pPr>
        <w:pStyle w:val="OrdersCentreItalics"/>
      </w:pPr>
      <w:r>
        <w:t>Date of Judgment: 6 August 2025</w:t>
      </w:r>
    </w:p>
    <w:p w14:paraId="52A4E5FC" w14:textId="77777777" w:rsidR="00271BA7" w:rsidRDefault="00271BA7" w:rsidP="00E90E4F">
      <w:pPr>
        <w:pStyle w:val="OrdersCentre"/>
      </w:pPr>
      <w:r w:rsidRPr="00A825FF">
        <w:t>S14</w:t>
      </w:r>
      <w:r>
        <w:t>6</w:t>
      </w:r>
      <w:r w:rsidRPr="00A825FF">
        <w:t>/2024</w:t>
      </w:r>
      <w:r>
        <w:t xml:space="preserve">, </w:t>
      </w:r>
      <w:r w:rsidRPr="00A825FF">
        <w:t>S14</w:t>
      </w:r>
      <w:r>
        <w:t>4</w:t>
      </w:r>
      <w:r w:rsidRPr="00A825FF">
        <w:t>/2024</w:t>
      </w:r>
      <w:r>
        <w:t xml:space="preserve"> &amp;</w:t>
      </w:r>
      <w:r w:rsidRPr="00A825FF">
        <w:t xml:space="preserve"> S143/2024</w:t>
      </w:r>
    </w:p>
    <w:p w14:paraId="1B17C3D3" w14:textId="0AD856D7"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28882F8A" w14:textId="0B947987"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5A06F9D9" w14:textId="77777777" w:rsidR="00271BA7" w:rsidRPr="00427F3A" w:rsidRDefault="00271BA7" w:rsidP="00E90E4F">
      <w:pPr>
        <w:pStyle w:val="OrdersCentre"/>
      </w:pPr>
    </w:p>
    <w:p w14:paraId="79C02FDE" w14:textId="77777777" w:rsidR="00271BA7" w:rsidRPr="00BE0A6C" w:rsidRDefault="00271BA7" w:rsidP="002A30F0">
      <w:pPr>
        <w:pStyle w:val="OrderCentreBold"/>
        <w:keepNext/>
      </w:pPr>
      <w:r w:rsidRPr="00BE0A6C">
        <w:t>ORDER</w:t>
      </w:r>
    </w:p>
    <w:p w14:paraId="5CF95D05" w14:textId="77777777" w:rsidR="00271BA7" w:rsidRPr="00427F3A" w:rsidRDefault="00271BA7" w:rsidP="00736C52">
      <w:pPr>
        <w:pStyle w:val="Centre"/>
        <w:rPr>
          <w:lang w:val="en-AU"/>
        </w:rPr>
      </w:pPr>
    </w:p>
    <w:p w14:paraId="65726EF1" w14:textId="77777777" w:rsidR="00271BA7" w:rsidRPr="00D3641F" w:rsidRDefault="00271BA7" w:rsidP="00D3641F">
      <w:pPr>
        <w:pStyle w:val="OrdersText"/>
        <w:rPr>
          <w:b/>
          <w:bCs/>
          <w:i w:val="0"/>
          <w:iCs/>
        </w:rPr>
      </w:pPr>
      <w:r>
        <w:rPr>
          <w:b/>
          <w:bCs/>
          <w:i w:val="0"/>
          <w:iCs/>
        </w:rPr>
        <w:t>Matter No S146/2024</w:t>
      </w:r>
      <w:r w:rsidRPr="00D3641F">
        <w:rPr>
          <w:b/>
          <w:bCs/>
          <w:i w:val="0"/>
          <w:iCs/>
        </w:rPr>
        <w:t>:</w:t>
      </w:r>
    </w:p>
    <w:p w14:paraId="7217037E" w14:textId="77777777" w:rsidR="00271BA7" w:rsidRPr="00D3641F" w:rsidRDefault="00271BA7" w:rsidP="00D3641F">
      <w:pPr>
        <w:pStyle w:val="OrdersText"/>
        <w:rPr>
          <w:b/>
          <w:bCs/>
          <w:i w:val="0"/>
          <w:iCs/>
        </w:rPr>
      </w:pPr>
    </w:p>
    <w:p w14:paraId="77EDE0D9" w14:textId="77777777" w:rsidR="00271BA7" w:rsidRDefault="00271BA7" w:rsidP="00D3641F">
      <w:pPr>
        <w:pStyle w:val="OrdersText"/>
      </w:pPr>
      <w:r>
        <w:t>1.</w:t>
      </w:r>
      <w:r>
        <w:tab/>
        <w:t>Appeal allowed.</w:t>
      </w:r>
    </w:p>
    <w:p w14:paraId="7BD7CA35" w14:textId="77777777" w:rsidR="00271BA7" w:rsidRDefault="00271BA7" w:rsidP="00D3641F">
      <w:pPr>
        <w:pStyle w:val="OrdersText"/>
      </w:pPr>
    </w:p>
    <w:p w14:paraId="20754A51" w14:textId="77777777" w:rsidR="00271BA7" w:rsidRDefault="00271BA7" w:rsidP="00D3641F">
      <w:pPr>
        <w:pStyle w:val="OrdersText"/>
      </w:pPr>
      <w:r>
        <w:t>2.</w:t>
      </w:r>
      <w:r>
        <w:tab/>
      </w:r>
      <w:r w:rsidRPr="00411D24">
        <w:t>Set aside paragraphs 2 and 3 of the Orders of the Full Court of the Federal Court of Australia made on 5 July 2024 and, in their place, order that:</w:t>
      </w:r>
    </w:p>
    <w:p w14:paraId="4EB0D107" w14:textId="77777777" w:rsidR="00271BA7" w:rsidRDefault="00271BA7" w:rsidP="00D3641F">
      <w:pPr>
        <w:pStyle w:val="OrdersText"/>
      </w:pPr>
    </w:p>
    <w:p w14:paraId="704FDDF2" w14:textId="77777777" w:rsidR="00271BA7" w:rsidRDefault="00271BA7" w:rsidP="00770E26">
      <w:pPr>
        <w:pStyle w:val="OrdersText"/>
        <w:ind w:left="1418"/>
      </w:pPr>
      <w:r w:rsidRPr="00411D24">
        <w:t>(a)</w:t>
      </w:r>
      <w:r>
        <w:tab/>
      </w:r>
      <w:r w:rsidRPr="00411D24">
        <w:t>the question reserved in paragraph 1 of the Orders of the Full Court made on 5 July 2024 be answered:</w:t>
      </w:r>
    </w:p>
    <w:p w14:paraId="4302760A" w14:textId="77777777" w:rsidR="00271BA7" w:rsidRPr="00411D24" w:rsidRDefault="00271BA7" w:rsidP="00D3641F">
      <w:pPr>
        <w:pStyle w:val="OrdersText"/>
      </w:pPr>
    </w:p>
    <w:p w14:paraId="5077317A" w14:textId="77777777" w:rsidR="00271BA7" w:rsidRDefault="00271BA7" w:rsidP="00AF10AA">
      <w:pPr>
        <w:pStyle w:val="OrdersText"/>
        <w:ind w:left="2160" w:firstLine="0"/>
      </w:pPr>
      <w:r w:rsidRPr="00411D24">
        <w:t xml:space="preserve">"Where the solicitor acting for the representative party or a group member is subject to the </w:t>
      </w:r>
      <w:r w:rsidRPr="00761684">
        <w:rPr>
          <w:i w:val="0"/>
          <w:iCs/>
        </w:rPr>
        <w:t xml:space="preserve">Legal Profession Uniform Law </w:t>
      </w:r>
      <w:r w:rsidRPr="00411D24">
        <w:t>(NSW), then the Federal Court of Australia may not make an order under s 33V(2) or s</w:t>
      </w:r>
      <w:r>
        <w:t> </w:t>
      </w:r>
      <w:r w:rsidRPr="00411D24">
        <w:t xml:space="preserve">33Z(1)(g) of the </w:t>
      </w:r>
      <w:r w:rsidRPr="00761684">
        <w:rPr>
          <w:i w:val="0"/>
          <w:iCs/>
        </w:rPr>
        <w:t>Federal Court of Australia Act 1976</w:t>
      </w:r>
      <w:r w:rsidRPr="00411D24">
        <w:t xml:space="preserve"> (</w:t>
      </w:r>
      <w:proofErr w:type="spellStart"/>
      <w:r w:rsidRPr="00411D24">
        <w:t>Cth</w:t>
      </w:r>
      <w:proofErr w:type="spellEnd"/>
      <w:r w:rsidRPr="00411D24">
        <w:t>) that an amount be paid to or for the benefit of the solicitor calculated by reference to the amount that might be or is to be paid under a settlement or an award of damages or the value of any property that may be recovered in the proceedings. The question is otherwise inappropriate to answer."; and</w:t>
      </w:r>
    </w:p>
    <w:p w14:paraId="07B1F8FB" w14:textId="77777777" w:rsidR="00271BA7" w:rsidRPr="00411D24" w:rsidRDefault="00271BA7" w:rsidP="00D3641F">
      <w:pPr>
        <w:pStyle w:val="OrdersText"/>
      </w:pPr>
    </w:p>
    <w:p w14:paraId="51A958A0" w14:textId="77777777" w:rsidR="00271BA7" w:rsidRDefault="00271BA7" w:rsidP="006E0992">
      <w:pPr>
        <w:pStyle w:val="OrdersText"/>
        <w:ind w:left="1418"/>
      </w:pPr>
      <w:r w:rsidRPr="00411D24">
        <w:t>(b)</w:t>
      </w:r>
      <w:r>
        <w:tab/>
      </w:r>
      <w:r w:rsidRPr="00411D24">
        <w:t xml:space="preserve">the </w:t>
      </w:r>
      <w:r>
        <w:t>applicants pay the second, ninth and twelfth</w:t>
      </w:r>
      <w:r w:rsidRPr="00411D24">
        <w:t xml:space="preserve"> respondents' costs of and incidental to the hearing of the reserved question.</w:t>
      </w:r>
    </w:p>
    <w:p w14:paraId="68B9C8BD" w14:textId="77777777" w:rsidR="00271BA7" w:rsidRDefault="00271BA7" w:rsidP="00D3641F">
      <w:pPr>
        <w:pStyle w:val="OrdersText"/>
      </w:pPr>
    </w:p>
    <w:p w14:paraId="3A56F9F7" w14:textId="77777777" w:rsidR="00271BA7" w:rsidRPr="009C0DE5" w:rsidRDefault="00271BA7" w:rsidP="00D3641F">
      <w:pPr>
        <w:pStyle w:val="OrdersText"/>
      </w:pPr>
      <w:r>
        <w:t>3.</w:t>
      </w:r>
      <w:r>
        <w:tab/>
      </w:r>
      <w:r w:rsidRPr="009C0DE5">
        <w:t>The first and second respondents pay the appellant's and the fourth and fifth respondents' costs of the appeal.</w:t>
      </w:r>
    </w:p>
    <w:p w14:paraId="35C04383" w14:textId="77777777" w:rsidR="00271BA7" w:rsidRDefault="00271BA7" w:rsidP="00EE5374">
      <w:pPr>
        <w:pStyle w:val="Body"/>
      </w:pPr>
    </w:p>
    <w:p w14:paraId="2BEAB6B5" w14:textId="77777777" w:rsidR="00271BA7" w:rsidRDefault="00271BA7" w:rsidP="00EE5374">
      <w:pPr>
        <w:pStyle w:val="Body"/>
      </w:pPr>
    </w:p>
    <w:p w14:paraId="6670077B" w14:textId="77777777" w:rsidR="00271BA7" w:rsidRPr="00D3641F" w:rsidRDefault="00271BA7" w:rsidP="00FF5B59">
      <w:pPr>
        <w:pStyle w:val="OrdersText"/>
        <w:rPr>
          <w:b/>
          <w:bCs/>
          <w:i w:val="0"/>
          <w:iCs/>
        </w:rPr>
      </w:pPr>
      <w:r>
        <w:rPr>
          <w:b/>
          <w:bCs/>
          <w:i w:val="0"/>
          <w:iCs/>
        </w:rPr>
        <w:t>Matter No S144/2024:</w:t>
      </w:r>
    </w:p>
    <w:p w14:paraId="72DBEFB1" w14:textId="77777777" w:rsidR="00271BA7" w:rsidRPr="00D3641F" w:rsidRDefault="00271BA7" w:rsidP="00FF5B59">
      <w:pPr>
        <w:pStyle w:val="OrdersText"/>
        <w:rPr>
          <w:b/>
          <w:bCs/>
          <w:i w:val="0"/>
          <w:iCs/>
        </w:rPr>
      </w:pPr>
    </w:p>
    <w:p w14:paraId="7A875CB9" w14:textId="77777777" w:rsidR="00271BA7" w:rsidRDefault="00271BA7" w:rsidP="00BE6D14">
      <w:pPr>
        <w:pStyle w:val="OrdersText"/>
      </w:pPr>
      <w:r>
        <w:t>1.</w:t>
      </w:r>
      <w:r>
        <w:tab/>
        <w:t>Appeal allowed.</w:t>
      </w:r>
    </w:p>
    <w:p w14:paraId="35FD1620" w14:textId="77777777" w:rsidR="00271BA7" w:rsidRDefault="00271BA7" w:rsidP="00BE6D14">
      <w:pPr>
        <w:pStyle w:val="OrdersText"/>
      </w:pPr>
    </w:p>
    <w:p w14:paraId="49469946" w14:textId="77777777" w:rsidR="00271BA7" w:rsidRDefault="00271BA7" w:rsidP="00BE6D14">
      <w:pPr>
        <w:pStyle w:val="OrdersText"/>
      </w:pPr>
      <w:r>
        <w:t>2.</w:t>
      </w:r>
      <w:r>
        <w:tab/>
      </w:r>
      <w:r w:rsidRPr="00411D24">
        <w:t>Set aside paragraphs 2 and 3 of the Orders of the Full Court of the Federal Court of Australia made on 5 July 2024 and, in their place, order that:</w:t>
      </w:r>
    </w:p>
    <w:p w14:paraId="3472EF7E" w14:textId="77777777" w:rsidR="00271BA7" w:rsidRDefault="00271BA7" w:rsidP="00BE6D14">
      <w:pPr>
        <w:pStyle w:val="OrdersText"/>
      </w:pPr>
    </w:p>
    <w:p w14:paraId="385A7F2E" w14:textId="77777777" w:rsidR="00271BA7" w:rsidRDefault="00271BA7" w:rsidP="00FD6103">
      <w:pPr>
        <w:pStyle w:val="OrdersText"/>
        <w:ind w:left="1418"/>
      </w:pPr>
      <w:r w:rsidRPr="00411D24">
        <w:t>(a)</w:t>
      </w:r>
      <w:r>
        <w:tab/>
      </w:r>
      <w:r w:rsidRPr="00411D24">
        <w:t>the question reserved in paragraph 1 of the Orders of the Full Court made on 5 July 2024 be answered:</w:t>
      </w:r>
    </w:p>
    <w:p w14:paraId="02CDC95A" w14:textId="75422540"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059BFE44" w14:textId="4C762D7A"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CBB72B1" w14:textId="77777777" w:rsidR="00271BA7" w:rsidRPr="00411D24" w:rsidRDefault="00271BA7" w:rsidP="00BE6D14">
      <w:pPr>
        <w:pStyle w:val="OrdersText"/>
      </w:pPr>
    </w:p>
    <w:p w14:paraId="2BB239AB" w14:textId="77777777" w:rsidR="00271BA7" w:rsidRDefault="00271BA7" w:rsidP="003F4660">
      <w:pPr>
        <w:pStyle w:val="OrdersText"/>
        <w:ind w:left="2160" w:firstLine="0"/>
      </w:pPr>
      <w:r w:rsidRPr="00411D24">
        <w:t xml:space="preserve">"Where the solicitor acting for the representative party or a group member is subject to the </w:t>
      </w:r>
      <w:r w:rsidRPr="00FD6103">
        <w:rPr>
          <w:i w:val="0"/>
          <w:iCs/>
        </w:rPr>
        <w:t>Legal Profession Uniform Law</w:t>
      </w:r>
      <w:r w:rsidRPr="00411D24">
        <w:t xml:space="preserve"> (NSW), then the Federal Court of Australia may not make an order under s 33V(2) or s</w:t>
      </w:r>
      <w:r>
        <w:t> </w:t>
      </w:r>
      <w:r w:rsidRPr="00411D24">
        <w:t xml:space="preserve">33Z(1)(g) of the </w:t>
      </w:r>
      <w:r w:rsidRPr="00FD6103">
        <w:rPr>
          <w:i w:val="0"/>
          <w:iCs/>
        </w:rPr>
        <w:t xml:space="preserve">Federal Court of Australia Act 1976 </w:t>
      </w:r>
      <w:r w:rsidRPr="00411D24">
        <w:t>(</w:t>
      </w:r>
      <w:proofErr w:type="spellStart"/>
      <w:r w:rsidRPr="00411D24">
        <w:t>Cth</w:t>
      </w:r>
      <w:proofErr w:type="spellEnd"/>
      <w:r w:rsidRPr="00411D24">
        <w:t>) that an amount be paid to or for the benefit of the solicitor calculated by reference to the amount that might be or is to be paid under a settlement or an award of damages or the value of any property that may be recovered in the proceedings. The question is otherwise inappropriate to answer."; and</w:t>
      </w:r>
    </w:p>
    <w:p w14:paraId="6F5B22E5" w14:textId="77777777" w:rsidR="00271BA7" w:rsidRPr="00411D24" w:rsidRDefault="00271BA7" w:rsidP="00BE6D14">
      <w:pPr>
        <w:pStyle w:val="OrdersText"/>
      </w:pPr>
    </w:p>
    <w:p w14:paraId="1656B0DE" w14:textId="77777777" w:rsidR="00271BA7" w:rsidRDefault="00271BA7" w:rsidP="00521431">
      <w:pPr>
        <w:pStyle w:val="OrdersText"/>
        <w:ind w:left="1418"/>
      </w:pPr>
      <w:r w:rsidRPr="00411D24">
        <w:t>(b)</w:t>
      </w:r>
      <w:r>
        <w:tab/>
      </w:r>
      <w:r w:rsidRPr="00411D24">
        <w:t xml:space="preserve">the </w:t>
      </w:r>
      <w:r>
        <w:t>applicants pay the second, ninth and twelfth</w:t>
      </w:r>
      <w:r w:rsidRPr="00411D24">
        <w:t xml:space="preserve"> respondents' costs of and incidental to the hearing of the reserved question.</w:t>
      </w:r>
    </w:p>
    <w:p w14:paraId="16CBE9ED" w14:textId="77777777" w:rsidR="00271BA7" w:rsidRDefault="00271BA7" w:rsidP="00BE6D14">
      <w:pPr>
        <w:pStyle w:val="OrdersText"/>
      </w:pPr>
    </w:p>
    <w:p w14:paraId="27D9E232" w14:textId="77777777" w:rsidR="00271BA7" w:rsidRPr="009C0DE5" w:rsidRDefault="00271BA7" w:rsidP="00BE6D14">
      <w:pPr>
        <w:pStyle w:val="OrdersText"/>
      </w:pPr>
      <w:r>
        <w:t>3.</w:t>
      </w:r>
      <w:r>
        <w:tab/>
      </w:r>
      <w:r w:rsidRPr="009C0DE5">
        <w:t>The first and second respondents pay the appellant's and the fourth and fifth respondents' costs of the appeal.</w:t>
      </w:r>
    </w:p>
    <w:p w14:paraId="6CC75B5F" w14:textId="77777777" w:rsidR="00271BA7" w:rsidRDefault="00271BA7" w:rsidP="00EE5374">
      <w:pPr>
        <w:pStyle w:val="Body"/>
      </w:pPr>
    </w:p>
    <w:p w14:paraId="37094918" w14:textId="77777777" w:rsidR="00271BA7" w:rsidRDefault="00271BA7" w:rsidP="00EE5374">
      <w:pPr>
        <w:pStyle w:val="Body"/>
      </w:pPr>
    </w:p>
    <w:p w14:paraId="7A45E1AD" w14:textId="77777777" w:rsidR="00271BA7" w:rsidRPr="00D3641F" w:rsidRDefault="00271BA7" w:rsidP="00521431">
      <w:pPr>
        <w:pStyle w:val="OrdersText"/>
        <w:rPr>
          <w:b/>
          <w:bCs/>
          <w:i w:val="0"/>
          <w:iCs/>
        </w:rPr>
      </w:pPr>
      <w:r>
        <w:rPr>
          <w:b/>
          <w:bCs/>
          <w:i w:val="0"/>
          <w:iCs/>
        </w:rPr>
        <w:t>Matter No S143/2024:</w:t>
      </w:r>
    </w:p>
    <w:p w14:paraId="65EFA062" w14:textId="77777777" w:rsidR="00271BA7" w:rsidRPr="00D3641F" w:rsidRDefault="00271BA7" w:rsidP="00521431">
      <w:pPr>
        <w:pStyle w:val="OrdersText"/>
        <w:rPr>
          <w:b/>
          <w:bCs/>
          <w:i w:val="0"/>
          <w:iCs/>
        </w:rPr>
      </w:pPr>
    </w:p>
    <w:p w14:paraId="34E8B73A" w14:textId="77777777" w:rsidR="00271BA7" w:rsidRDefault="00271BA7" w:rsidP="00A9211B">
      <w:pPr>
        <w:pStyle w:val="OrdersText"/>
      </w:pPr>
      <w:r>
        <w:t>1.</w:t>
      </w:r>
      <w:r>
        <w:tab/>
        <w:t>Appeal allowed.</w:t>
      </w:r>
    </w:p>
    <w:p w14:paraId="5ECA0DED" w14:textId="77777777" w:rsidR="00271BA7" w:rsidRDefault="00271BA7" w:rsidP="00A9211B">
      <w:pPr>
        <w:pStyle w:val="OrdersText"/>
      </w:pPr>
    </w:p>
    <w:p w14:paraId="08851F7B" w14:textId="77777777" w:rsidR="00271BA7" w:rsidRDefault="00271BA7" w:rsidP="00A9211B">
      <w:pPr>
        <w:pStyle w:val="OrdersText"/>
      </w:pPr>
      <w:r>
        <w:t>2.</w:t>
      </w:r>
      <w:r>
        <w:tab/>
      </w:r>
      <w:r w:rsidRPr="00411D24">
        <w:t>Set aside paragraphs 2 and 3 of the Orders of the Full Court of the Federal Court of Australia made on 5 July 2024 and, in their place, order that:</w:t>
      </w:r>
    </w:p>
    <w:p w14:paraId="7615781D" w14:textId="77777777" w:rsidR="00271BA7" w:rsidRDefault="00271BA7" w:rsidP="00A9211B">
      <w:pPr>
        <w:pStyle w:val="OrdersText"/>
      </w:pPr>
    </w:p>
    <w:p w14:paraId="30ADE6D9" w14:textId="77777777" w:rsidR="00271BA7" w:rsidRDefault="00271BA7" w:rsidP="008203FC">
      <w:pPr>
        <w:pStyle w:val="OrdersText"/>
        <w:ind w:left="1418"/>
      </w:pPr>
      <w:r w:rsidRPr="00411D24">
        <w:t>(a)</w:t>
      </w:r>
      <w:r>
        <w:tab/>
      </w:r>
      <w:r w:rsidRPr="00411D24">
        <w:t>the question reserved in paragraph 1 of the Orders of the Full Court made on 5 July 2024 be answered:</w:t>
      </w:r>
    </w:p>
    <w:p w14:paraId="1A7DE57B" w14:textId="77777777" w:rsidR="00271BA7" w:rsidRPr="00411D24" w:rsidRDefault="00271BA7" w:rsidP="00A9211B">
      <w:pPr>
        <w:pStyle w:val="OrdersText"/>
      </w:pPr>
    </w:p>
    <w:p w14:paraId="6AD96092" w14:textId="77777777" w:rsidR="00271BA7" w:rsidRDefault="00271BA7" w:rsidP="003F4660">
      <w:pPr>
        <w:pStyle w:val="OrdersText"/>
        <w:ind w:left="2160" w:firstLine="0"/>
      </w:pPr>
      <w:r w:rsidRPr="00411D24">
        <w:t xml:space="preserve">"Where the solicitor acting for the representative party or a group member is subject to the </w:t>
      </w:r>
      <w:r w:rsidRPr="008203FC">
        <w:rPr>
          <w:i w:val="0"/>
          <w:iCs/>
        </w:rPr>
        <w:t>Legal Profession Uniform Law</w:t>
      </w:r>
      <w:r w:rsidRPr="00411D24">
        <w:t xml:space="preserve"> (NSW), then the Federal Court of Australia may not make an order under s 33V(2) or s</w:t>
      </w:r>
      <w:r>
        <w:t> </w:t>
      </w:r>
      <w:r w:rsidRPr="00411D24">
        <w:t xml:space="preserve">33Z(1)(g) of the </w:t>
      </w:r>
      <w:r w:rsidRPr="00B15DB8">
        <w:rPr>
          <w:i w:val="0"/>
          <w:iCs/>
        </w:rPr>
        <w:t xml:space="preserve">Federal Court of Australia Act 1976 </w:t>
      </w:r>
      <w:r w:rsidRPr="00411D24">
        <w:t>(</w:t>
      </w:r>
      <w:proofErr w:type="spellStart"/>
      <w:r w:rsidRPr="00411D24">
        <w:t>Cth</w:t>
      </w:r>
      <w:proofErr w:type="spellEnd"/>
      <w:r w:rsidRPr="00411D24">
        <w:t>) that an amount be paid to or for the benefit of the solicitor calculated by reference to the amount that might be or is to be paid under a settlement or an award of damages or the value of any property that may be recovered in the proceedings. The question is otherwise inappropriate to answer."; and</w:t>
      </w:r>
    </w:p>
    <w:p w14:paraId="305AA66B" w14:textId="536EDAFF"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5ED44C71" w14:textId="118562CC"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52BD41F" w14:textId="77777777" w:rsidR="00271BA7" w:rsidRPr="00411D24" w:rsidRDefault="00271BA7" w:rsidP="00A9211B">
      <w:pPr>
        <w:pStyle w:val="OrdersText"/>
      </w:pPr>
    </w:p>
    <w:p w14:paraId="20AF2792" w14:textId="77777777" w:rsidR="00271BA7" w:rsidRDefault="00271BA7" w:rsidP="00B15DB8">
      <w:pPr>
        <w:pStyle w:val="OrdersText"/>
        <w:ind w:left="1418"/>
      </w:pPr>
      <w:r w:rsidRPr="00411D24">
        <w:t>(b)</w:t>
      </w:r>
      <w:r>
        <w:tab/>
      </w:r>
      <w:r w:rsidRPr="00411D24">
        <w:t xml:space="preserve">the </w:t>
      </w:r>
      <w:r>
        <w:t>applicants pay the second, ninth and twelfth</w:t>
      </w:r>
      <w:r w:rsidRPr="00411D24">
        <w:t xml:space="preserve"> respondents' costs of and incidental to the hearing of the reserved question.</w:t>
      </w:r>
    </w:p>
    <w:p w14:paraId="7A8DD790" w14:textId="77777777" w:rsidR="00271BA7" w:rsidRDefault="00271BA7" w:rsidP="00A9211B">
      <w:pPr>
        <w:pStyle w:val="OrdersText"/>
      </w:pPr>
    </w:p>
    <w:p w14:paraId="2E93B31D" w14:textId="77777777" w:rsidR="00271BA7" w:rsidRPr="009C0DE5" w:rsidRDefault="00271BA7" w:rsidP="00A9211B">
      <w:pPr>
        <w:pStyle w:val="OrdersText"/>
      </w:pPr>
      <w:r>
        <w:t>3.</w:t>
      </w:r>
      <w:r>
        <w:tab/>
      </w:r>
      <w:r w:rsidRPr="009C0DE5">
        <w:t>The first and second respondents pay the appellant's and the fourth and fifth respondents' costs of the appeal.</w:t>
      </w:r>
    </w:p>
    <w:p w14:paraId="734B267D" w14:textId="77777777" w:rsidR="00271BA7" w:rsidRPr="00427F3A" w:rsidRDefault="00271BA7" w:rsidP="00EE5374">
      <w:pPr>
        <w:pStyle w:val="Body"/>
      </w:pPr>
    </w:p>
    <w:p w14:paraId="25108A24" w14:textId="77777777" w:rsidR="00271BA7" w:rsidRPr="0053240B" w:rsidRDefault="00271BA7" w:rsidP="0032341F">
      <w:pPr>
        <w:pStyle w:val="OrdersBody"/>
      </w:pPr>
      <w:r w:rsidRPr="0053240B">
        <w:t>On appeal from the Federal Court of Australia</w:t>
      </w:r>
    </w:p>
    <w:p w14:paraId="06903CF5" w14:textId="77777777" w:rsidR="00271BA7" w:rsidRPr="0053240B" w:rsidRDefault="00271BA7" w:rsidP="00EE5374">
      <w:pPr>
        <w:pStyle w:val="Body"/>
      </w:pPr>
    </w:p>
    <w:p w14:paraId="667F271E" w14:textId="77777777" w:rsidR="00271BA7" w:rsidRPr="0053240B" w:rsidRDefault="00271BA7" w:rsidP="00EE5374">
      <w:pPr>
        <w:pStyle w:val="Body"/>
      </w:pPr>
    </w:p>
    <w:p w14:paraId="370C98DE" w14:textId="77777777" w:rsidR="00271BA7" w:rsidRPr="0053240B" w:rsidRDefault="00271BA7" w:rsidP="00E90E4F">
      <w:pPr>
        <w:pStyle w:val="OrdersBodyHeading"/>
      </w:pPr>
      <w:r w:rsidRPr="0053240B">
        <w:t>Representation</w:t>
      </w:r>
    </w:p>
    <w:p w14:paraId="795156DC" w14:textId="77777777" w:rsidR="00271BA7" w:rsidRPr="0053240B" w:rsidRDefault="00271BA7" w:rsidP="00EE5374">
      <w:pPr>
        <w:pStyle w:val="Body"/>
      </w:pPr>
    </w:p>
    <w:p w14:paraId="407E2A70" w14:textId="77777777" w:rsidR="00271BA7" w:rsidRPr="0053240B" w:rsidRDefault="00271BA7" w:rsidP="00E90E4F">
      <w:pPr>
        <w:pStyle w:val="OrdersBody"/>
      </w:pPr>
      <w:r w:rsidRPr="0053240B">
        <w:t xml:space="preserve">R M Foreman SC with R K Jameson for the </w:t>
      </w:r>
      <w:bookmarkStart w:id="0" w:name="_Hlk192685925"/>
      <w:r w:rsidRPr="0053240B">
        <w:t>appellant in S146/</w:t>
      </w:r>
      <w:bookmarkStart w:id="1" w:name="_Hlk192687100"/>
      <w:r w:rsidRPr="0053240B">
        <w:t>2024</w:t>
      </w:r>
      <w:r>
        <w:t xml:space="preserve">, the fourth respondent in </w:t>
      </w:r>
      <w:r w:rsidRPr="000B7434">
        <w:t>S143/2024</w:t>
      </w:r>
      <w:r>
        <w:t xml:space="preserve"> and the fifth respondent in </w:t>
      </w:r>
      <w:r w:rsidRPr="000B7434">
        <w:rPr>
          <w:lang w:val="en-AU"/>
        </w:rPr>
        <w:t>S14</w:t>
      </w:r>
      <w:r>
        <w:rPr>
          <w:lang w:val="en-AU"/>
        </w:rPr>
        <w:t>4</w:t>
      </w:r>
      <w:r w:rsidRPr="000B7434">
        <w:rPr>
          <w:lang w:val="en-AU"/>
        </w:rPr>
        <w:t>/2024</w:t>
      </w:r>
      <w:r w:rsidRPr="0053240B">
        <w:t xml:space="preserve"> </w:t>
      </w:r>
      <w:bookmarkEnd w:id="0"/>
      <w:bookmarkEnd w:id="1"/>
      <w:r w:rsidRPr="0053240B">
        <w:t xml:space="preserve">(instructed by Arnold Bloch </w:t>
      </w:r>
      <w:proofErr w:type="spellStart"/>
      <w:r w:rsidRPr="0053240B">
        <w:t>Leibler</w:t>
      </w:r>
      <w:proofErr w:type="spellEnd"/>
      <w:r w:rsidRPr="0053240B">
        <w:t>)</w:t>
      </w:r>
    </w:p>
    <w:p w14:paraId="432ECF8C" w14:textId="77777777" w:rsidR="00271BA7" w:rsidRPr="0053240B" w:rsidRDefault="00271BA7" w:rsidP="001B3C97">
      <w:pPr>
        <w:pStyle w:val="Body"/>
      </w:pPr>
    </w:p>
    <w:p w14:paraId="75DD04EC" w14:textId="77777777" w:rsidR="00271BA7" w:rsidRPr="0053240B" w:rsidRDefault="00271BA7" w:rsidP="00960C5D">
      <w:pPr>
        <w:pStyle w:val="OrdersBody"/>
      </w:pPr>
      <w:r w:rsidRPr="0053240B">
        <w:t xml:space="preserve">M R Hodge KC with G B Westgarth for the </w:t>
      </w:r>
      <w:r w:rsidRPr="0079110A">
        <w:t>appellant in S14</w:t>
      </w:r>
      <w:r>
        <w:t>3</w:t>
      </w:r>
      <w:r w:rsidRPr="0079110A">
        <w:t>/</w:t>
      </w:r>
      <w:r w:rsidRPr="000B7434">
        <w:t xml:space="preserve">2024 </w:t>
      </w:r>
      <w:r>
        <w:t xml:space="preserve">and the </w:t>
      </w:r>
      <w:r w:rsidRPr="000B7434">
        <w:t>fourth respondent in S14</w:t>
      </w:r>
      <w:r>
        <w:t>4</w:t>
      </w:r>
      <w:r w:rsidRPr="000B7434">
        <w:t>/2024 and S14</w:t>
      </w:r>
      <w:r>
        <w:t>6</w:t>
      </w:r>
      <w:r w:rsidRPr="000B7434">
        <w:t xml:space="preserve">/2024 </w:t>
      </w:r>
      <w:r w:rsidRPr="0053240B">
        <w:t>(instructed by GRT Lawyers)</w:t>
      </w:r>
    </w:p>
    <w:p w14:paraId="3B12D47C" w14:textId="77777777" w:rsidR="00271BA7" w:rsidRPr="0053240B" w:rsidRDefault="00271BA7" w:rsidP="00960C5D">
      <w:pPr>
        <w:pStyle w:val="Body"/>
      </w:pPr>
    </w:p>
    <w:p w14:paraId="5C6E7189" w14:textId="77777777" w:rsidR="00271BA7" w:rsidRPr="0053240B" w:rsidRDefault="00271BA7" w:rsidP="00960C5D">
      <w:pPr>
        <w:pStyle w:val="OrdersBody"/>
      </w:pPr>
      <w:r w:rsidRPr="0053240B">
        <w:t xml:space="preserve">S A Lawrance SC with A E Smith for the </w:t>
      </w:r>
      <w:r w:rsidRPr="0079110A">
        <w:t>appellant in S14</w:t>
      </w:r>
      <w:r>
        <w:t>4</w:t>
      </w:r>
      <w:r w:rsidRPr="0079110A">
        <w:t>/</w:t>
      </w:r>
      <w:r w:rsidRPr="000B7434">
        <w:t xml:space="preserve">2024 and </w:t>
      </w:r>
      <w:r>
        <w:t xml:space="preserve">the </w:t>
      </w:r>
      <w:r w:rsidRPr="000B7434">
        <w:t>fifth respondent in S14</w:t>
      </w:r>
      <w:r>
        <w:t>3</w:t>
      </w:r>
      <w:r w:rsidRPr="000B7434">
        <w:t>/2024</w:t>
      </w:r>
      <w:r>
        <w:t xml:space="preserve"> and </w:t>
      </w:r>
      <w:r w:rsidRPr="000B7434">
        <w:t>S14</w:t>
      </w:r>
      <w:r>
        <w:t>6</w:t>
      </w:r>
      <w:r w:rsidRPr="000B7434">
        <w:t xml:space="preserve">/2024 </w:t>
      </w:r>
      <w:r w:rsidRPr="0053240B">
        <w:t>(instructed by Corrs Chambers Westgarth)</w:t>
      </w:r>
    </w:p>
    <w:p w14:paraId="14068278" w14:textId="77777777" w:rsidR="00271BA7" w:rsidRPr="0053240B" w:rsidRDefault="00271BA7" w:rsidP="00960C5D">
      <w:pPr>
        <w:pStyle w:val="Body"/>
      </w:pPr>
    </w:p>
    <w:p w14:paraId="58C7E612" w14:textId="77777777" w:rsidR="00271BA7" w:rsidRPr="0053240B" w:rsidRDefault="00271BA7" w:rsidP="00E0050E">
      <w:pPr>
        <w:pStyle w:val="OrdersBody"/>
      </w:pPr>
      <w:r w:rsidRPr="0053240B">
        <w:t xml:space="preserve">J T Gleeson SC </w:t>
      </w:r>
      <w:r>
        <w:t>and</w:t>
      </w:r>
      <w:r w:rsidRPr="0053240B">
        <w:t xml:space="preserve"> S H Hartford Davis</w:t>
      </w:r>
      <w:r>
        <w:t xml:space="preserve"> with</w:t>
      </w:r>
      <w:r w:rsidRPr="0053240B">
        <w:t xml:space="preserve"> D S Morris and O J Ronan for the first and second respondents in each appeal (instructed by Banton Group and Shine Lawyers)</w:t>
      </w:r>
    </w:p>
    <w:p w14:paraId="07D22E63" w14:textId="77777777" w:rsidR="00271BA7" w:rsidRPr="0053240B" w:rsidRDefault="00271BA7" w:rsidP="00960C5D">
      <w:pPr>
        <w:pStyle w:val="Body"/>
      </w:pPr>
    </w:p>
    <w:p w14:paraId="254A4A62" w14:textId="77777777" w:rsidR="00271BA7" w:rsidRPr="0053240B" w:rsidRDefault="00271BA7" w:rsidP="00EB2770">
      <w:pPr>
        <w:pStyle w:val="OrdersBody"/>
      </w:pPr>
      <w:r w:rsidRPr="0053240B">
        <w:t>C L Lenehan SC with R Harvey for the Association of Litigation Funders of Australia, intervening in S146/2024 (instructed by William Roberts Lawyers)</w:t>
      </w:r>
    </w:p>
    <w:p w14:paraId="2E1450D8" w14:textId="77777777" w:rsidR="00271BA7" w:rsidRPr="0053240B" w:rsidRDefault="00271BA7" w:rsidP="00EB2770">
      <w:pPr>
        <w:pStyle w:val="OrdersBody"/>
      </w:pPr>
    </w:p>
    <w:p w14:paraId="5C6E2DA2" w14:textId="77777777" w:rsidR="00271BA7" w:rsidRPr="0053240B" w:rsidRDefault="00271BA7" w:rsidP="00E90E4F">
      <w:pPr>
        <w:pStyle w:val="OrdersBody"/>
      </w:pPr>
      <w:r w:rsidRPr="0053240B">
        <w:t>Submitting appearance for the third respondent</w:t>
      </w:r>
      <w:r>
        <w:t xml:space="preserve"> </w:t>
      </w:r>
      <w:r w:rsidRPr="0053240B">
        <w:t>in each appeal</w:t>
      </w:r>
    </w:p>
    <w:p w14:paraId="09D97E6A" w14:textId="77777777" w:rsidR="00271BA7" w:rsidRPr="0053240B" w:rsidRDefault="00271BA7" w:rsidP="00A01277">
      <w:pPr>
        <w:pStyle w:val="Body"/>
      </w:pPr>
    </w:p>
    <w:p w14:paraId="77D364D2" w14:textId="77777777" w:rsidR="00271BA7" w:rsidRDefault="00271BA7" w:rsidP="00E90E4F">
      <w:pPr>
        <w:pStyle w:val="OrdersBody"/>
      </w:pPr>
      <w:r w:rsidRPr="0053240B">
        <w:t>No appearance for the sixth to ninth respondents</w:t>
      </w:r>
      <w:r>
        <w:t xml:space="preserve"> </w:t>
      </w:r>
      <w:r w:rsidRPr="0053240B">
        <w:t>in each appeal</w:t>
      </w:r>
    </w:p>
    <w:p w14:paraId="03CFD4F6" w14:textId="77777777" w:rsidR="00271BA7" w:rsidRDefault="00271BA7" w:rsidP="00A01277">
      <w:pPr>
        <w:pStyle w:val="Body"/>
      </w:pPr>
    </w:p>
    <w:p w14:paraId="5729A0D5" w14:textId="77777777" w:rsidR="00271BA7" w:rsidRDefault="00271BA7" w:rsidP="00EE5374">
      <w:pPr>
        <w:pStyle w:val="Body"/>
      </w:pPr>
    </w:p>
    <w:p w14:paraId="730BDF72" w14:textId="77777777" w:rsidR="00271BA7" w:rsidRDefault="00271BA7" w:rsidP="00EE5374">
      <w:pPr>
        <w:pStyle w:val="Body"/>
      </w:pPr>
    </w:p>
    <w:p w14:paraId="298810FA" w14:textId="77777777" w:rsidR="00271BA7" w:rsidRDefault="00271BA7" w:rsidP="00EE5374">
      <w:pPr>
        <w:pStyle w:val="Body"/>
      </w:pPr>
    </w:p>
    <w:p w14:paraId="64000456" w14:textId="77777777" w:rsidR="00271BA7" w:rsidRPr="00427F3A" w:rsidRDefault="00271BA7" w:rsidP="00EE5374">
      <w:pPr>
        <w:pStyle w:val="Body"/>
      </w:pPr>
    </w:p>
    <w:p w14:paraId="6FB335F3" w14:textId="77777777" w:rsidR="00271BA7" w:rsidRPr="00427F3A" w:rsidRDefault="00271BA7" w:rsidP="00F9713B">
      <w:pPr>
        <w:pStyle w:val="Notice"/>
        <w:rPr>
          <w:lang w:val="en-AU"/>
        </w:rPr>
      </w:pPr>
      <w:r w:rsidRPr="00427F3A">
        <w:rPr>
          <w:lang w:val="en-AU"/>
        </w:rPr>
        <w:t>Notice:  This copy of the Court's Reasons for Judgment is subject to formal revision prior to publication in the Commonwealth Law Reports.</w:t>
      </w:r>
    </w:p>
    <w:p w14:paraId="4E22432C" w14:textId="44E05C2E"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4CF0328" w14:textId="77777777"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271BA7" w:rsidSect="00271BA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CA470BF" w14:textId="77777777" w:rsidR="00271BA7" w:rsidRPr="00054C14" w:rsidRDefault="00271BA7" w:rsidP="0083454F">
      <w:pPr>
        <w:pStyle w:val="CatchwordsBold"/>
      </w:pPr>
      <w:r w:rsidRPr="00054C14">
        <w:lastRenderedPageBreak/>
        <w:t>CATCHWORDS</w:t>
      </w:r>
    </w:p>
    <w:p w14:paraId="3B860795" w14:textId="77777777" w:rsidR="00271BA7" w:rsidRPr="00054C14" w:rsidRDefault="00271BA7" w:rsidP="0083454F">
      <w:pPr>
        <w:pStyle w:val="CatchwordsBold"/>
      </w:pPr>
    </w:p>
    <w:p w14:paraId="1FDDC1D0" w14:textId="77777777" w:rsidR="00271BA7" w:rsidRDefault="00271BA7" w:rsidP="0083454F">
      <w:pPr>
        <w:pStyle w:val="CatchwordsBold"/>
      </w:pPr>
      <w:r>
        <w:t>Kain v R&amp;B Investments Pty Ltd</w:t>
      </w:r>
    </w:p>
    <w:p w14:paraId="19610482" w14:textId="77777777" w:rsidR="00271BA7" w:rsidRDefault="00271BA7" w:rsidP="0083454F">
      <w:pPr>
        <w:pStyle w:val="CatchwordsBold"/>
      </w:pPr>
      <w:r>
        <w:t>Ernst &amp; Young (a firm) v R&amp;B Investments Pty Ltd</w:t>
      </w:r>
    </w:p>
    <w:p w14:paraId="39F6AEB1" w14:textId="77777777" w:rsidR="00271BA7" w:rsidRDefault="00271BA7" w:rsidP="0083454F">
      <w:pPr>
        <w:pStyle w:val="CatchwordsBold"/>
      </w:pPr>
      <w:r>
        <w:t>Shand v R&amp;B Investments Pty Ltd</w:t>
      </w:r>
    </w:p>
    <w:p w14:paraId="4798905F" w14:textId="77777777" w:rsidR="00271BA7" w:rsidRDefault="00271BA7" w:rsidP="00271BA7">
      <w:pPr>
        <w:spacing w:line="240" w:lineRule="auto"/>
        <w:ind w:right="0" w:firstLine="0"/>
        <w:jc w:val="both"/>
        <w:rPr>
          <w:rFonts w:ascii="Times New Roman" w:hAnsi="Times New Roman"/>
        </w:rPr>
      </w:pPr>
    </w:p>
    <w:p w14:paraId="42E75EB5" w14:textId="77777777" w:rsidR="00271BA7" w:rsidRPr="00FC29C9" w:rsidRDefault="00271BA7" w:rsidP="00FC29C9">
      <w:pPr>
        <w:pStyle w:val="CatchwordsText"/>
      </w:pPr>
      <w:r w:rsidRPr="00FC29C9">
        <w:t xml:space="preserve">Practice and procedure – Representative action – Orders – Where s 33V(2) of </w:t>
      </w:r>
      <w:r w:rsidRPr="00FC29C9">
        <w:rPr>
          <w:i/>
          <w:iCs/>
        </w:rPr>
        <w:t>Federal Court of Australia Act 1976</w:t>
      </w:r>
      <w:r w:rsidRPr="00FC29C9">
        <w:t xml:space="preserve"> (</w:t>
      </w:r>
      <w:proofErr w:type="spellStart"/>
      <w:r w:rsidRPr="00FC29C9">
        <w:t>Cth</w:t>
      </w:r>
      <w:proofErr w:type="spellEnd"/>
      <w:r w:rsidRPr="00FC29C9">
        <w:t xml:space="preserve">) provides that in representative proceedings Federal Court may make such orders as are just with respect to distribution of any money paid under settlement or paid into Court – Where s 33Z(1)(g) of </w:t>
      </w:r>
      <w:r w:rsidRPr="00FC29C9">
        <w:rPr>
          <w:i/>
          <w:iCs/>
        </w:rPr>
        <w:t>Federal Court of Australia Act</w:t>
      </w:r>
      <w:r w:rsidRPr="00FC29C9">
        <w:t xml:space="preserve"> provides Court may in determining matter in representative proceeding make such other order as Court thinks just – Where s 183 of </w:t>
      </w:r>
      <w:r w:rsidRPr="00FC29C9">
        <w:rPr>
          <w:i/>
          <w:iCs/>
        </w:rPr>
        <w:t>Legal Profession Uniform Law</w:t>
      </w:r>
      <w:r w:rsidRPr="00FC29C9">
        <w:t xml:space="preserve"> (NSW) provides law practice must not enter into costs agreement under which amount payable is calculated by reference to amount of any award or settlement – Where applicants in representative proceeding proposed to provide notice of intention to seek common fund order in favour of law practice at settlement or judgment – Where costs agreements to be amended to provide for common fund order in favour of law practice if notice approved – Whether s 33V or s 33Z of </w:t>
      </w:r>
      <w:r w:rsidRPr="00E01FA8">
        <w:rPr>
          <w:i/>
          <w:iCs/>
        </w:rPr>
        <w:t>Federal Court of Australia Act</w:t>
      </w:r>
      <w:r w:rsidRPr="00FC29C9">
        <w:t xml:space="preserve"> empowers Federal Court to make common fund order at settlement or judgment in favour of law practice.</w:t>
      </w:r>
    </w:p>
    <w:p w14:paraId="4129298F" w14:textId="77777777" w:rsidR="00271BA7" w:rsidRPr="00FC29C9" w:rsidRDefault="00271BA7" w:rsidP="00FC29C9">
      <w:pPr>
        <w:pStyle w:val="CatchwordsText"/>
      </w:pPr>
    </w:p>
    <w:p w14:paraId="632C2AB0" w14:textId="77777777" w:rsidR="00271BA7" w:rsidRPr="00FC29C9" w:rsidRDefault="00271BA7" w:rsidP="00FC29C9">
      <w:pPr>
        <w:pStyle w:val="CatchwordsText"/>
      </w:pPr>
      <w:r w:rsidRPr="00FC29C9">
        <w:t>Words and phrases – "commencement CFO", "common fund order", "concept of justice", "contingency fee", "costs agreement", "distribution", "federal jurisdiction", "funding commission", "funding equalisation order", "group costs order", "just", "legal costs", "litigation funding", "new legal rights", "payment for costs and disbursements", "regulation of the legal profession", "remuneration for risk", "representative proceeding", "requirements of State law", "settlement CFO", "solicitors' CFO", "solicitors' common fund order".</w:t>
      </w:r>
    </w:p>
    <w:p w14:paraId="306E96AD" w14:textId="77777777" w:rsidR="00271BA7" w:rsidRPr="00FC29C9" w:rsidRDefault="00271BA7" w:rsidP="00FC29C9">
      <w:pPr>
        <w:pStyle w:val="CatchwordsText"/>
      </w:pPr>
    </w:p>
    <w:p w14:paraId="1D97448A" w14:textId="77777777" w:rsidR="00271BA7" w:rsidRPr="00FC29C9" w:rsidRDefault="00271BA7" w:rsidP="00FC29C9">
      <w:pPr>
        <w:pStyle w:val="CatchwordsText"/>
      </w:pPr>
      <w:r w:rsidRPr="00E01FA8">
        <w:rPr>
          <w:i/>
          <w:iCs/>
        </w:rPr>
        <w:t>Federal Court of Australia Act 1976</w:t>
      </w:r>
      <w:r w:rsidRPr="00FC29C9">
        <w:t xml:space="preserve"> (</w:t>
      </w:r>
      <w:proofErr w:type="spellStart"/>
      <w:r w:rsidRPr="00FC29C9">
        <w:t>Cth</w:t>
      </w:r>
      <w:proofErr w:type="spellEnd"/>
      <w:r w:rsidRPr="00FC29C9">
        <w:t>), Pt IVA, ss 33J, 33V, 33Z, 33ZF, 33ZJ.</w:t>
      </w:r>
    </w:p>
    <w:p w14:paraId="4F2D25DE" w14:textId="77777777" w:rsidR="00271BA7" w:rsidRPr="00FC29C9" w:rsidRDefault="00271BA7" w:rsidP="00FC29C9">
      <w:pPr>
        <w:pStyle w:val="CatchwordsText"/>
      </w:pPr>
      <w:r w:rsidRPr="00E01FA8">
        <w:rPr>
          <w:i/>
          <w:iCs/>
        </w:rPr>
        <w:t>Legal Profession Uniform Law</w:t>
      </w:r>
      <w:r w:rsidRPr="00FC29C9">
        <w:t xml:space="preserve"> (NSW), ss 3, 6, 169, 172, 179, 180, 181, 182, 183, 185.</w:t>
      </w:r>
    </w:p>
    <w:p w14:paraId="6E3D2F6B" w14:textId="3C510C7D" w:rsidR="00271BA7" w:rsidRDefault="00271BA7" w:rsidP="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C58F18D" w14:textId="72D7384C"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5979E71" w14:textId="64A61F01" w:rsidR="00271BA7" w:rsidRDefault="00271BA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4004DEB" w14:textId="77777777" w:rsidR="00271BA7" w:rsidRDefault="00271BA7" w:rsidP="00393E7E">
      <w:pPr>
        <w:pStyle w:val="FixListStyle"/>
        <w:tabs>
          <w:tab w:val="clear" w:pos="720"/>
          <w:tab w:val="left" w:pos="0"/>
        </w:tabs>
        <w:spacing w:after="260" w:line="280" w:lineRule="exact"/>
        <w:ind w:right="0"/>
        <w:jc w:val="both"/>
        <w:rPr>
          <w:rFonts w:ascii="Times New Roman" w:hAnsi="Times New Roman"/>
        </w:rPr>
        <w:sectPr w:rsidR="00271BA7" w:rsidSect="00271BA7">
          <w:pgSz w:w="11907" w:h="16839" w:code="9"/>
          <w:pgMar w:top="1440" w:right="1701" w:bottom="1984" w:left="1701" w:header="720" w:footer="720" w:gutter="0"/>
          <w:pgNumType w:start="1"/>
          <w:cols w:space="720"/>
          <w:titlePg/>
          <w:docGrid w:linePitch="354"/>
        </w:sectPr>
      </w:pPr>
    </w:p>
    <w:p w14:paraId="7B769660" w14:textId="5DBF1F72" w:rsidR="00A73989" w:rsidRPr="008F63AA" w:rsidRDefault="00C86A14" w:rsidP="00393E7E">
      <w:pPr>
        <w:pStyle w:val="FixListStyle"/>
        <w:tabs>
          <w:tab w:val="clear" w:pos="720"/>
          <w:tab w:val="left" w:pos="0"/>
        </w:tabs>
        <w:spacing w:after="260" w:line="280" w:lineRule="exact"/>
        <w:ind w:right="0"/>
        <w:jc w:val="both"/>
        <w:rPr>
          <w:rFonts w:ascii="Times New Roman" w:hAnsi="Times New Roman"/>
        </w:rPr>
      </w:pPr>
      <w:r w:rsidRPr="00C86A14">
        <w:rPr>
          <w:rFonts w:ascii="Times New Roman" w:hAnsi="Times New Roman"/>
        </w:rPr>
        <w:lastRenderedPageBreak/>
        <w:t xml:space="preserve">GAGELER CJ.   </w:t>
      </w:r>
      <w:r w:rsidR="00A31A21" w:rsidRPr="008F63AA">
        <w:rPr>
          <w:rFonts w:ascii="Times New Roman" w:hAnsi="Times New Roman"/>
        </w:rPr>
        <w:t xml:space="preserve">Funded representative proceedings constitute a form of civil litigation the prevalence of which has increased and the incidents of which have </w:t>
      </w:r>
      <w:r w:rsidR="00AA3059" w:rsidRPr="008F63AA">
        <w:rPr>
          <w:rFonts w:ascii="Times New Roman" w:hAnsi="Times New Roman"/>
        </w:rPr>
        <w:t xml:space="preserve">varied </w:t>
      </w:r>
      <w:r w:rsidR="00A31A21" w:rsidRPr="008F63AA">
        <w:rPr>
          <w:rFonts w:ascii="Times New Roman" w:hAnsi="Times New Roman"/>
        </w:rPr>
        <w:t>over the two decades since</w:t>
      </w:r>
      <w:r w:rsidR="00CB431C" w:rsidRPr="008F63AA">
        <w:rPr>
          <w:rFonts w:ascii="Times New Roman" w:hAnsi="Times New Roman"/>
        </w:rPr>
        <w:t xml:space="preserve"> litigation funding was held to be permissible in</w:t>
      </w:r>
      <w:r w:rsidR="00A31A21" w:rsidRPr="008F63AA">
        <w:rPr>
          <w:rFonts w:ascii="Times New Roman" w:hAnsi="Times New Roman"/>
          <w:i/>
          <w:iCs/>
        </w:rPr>
        <w:t xml:space="preserve"> Campbells Cash </w:t>
      </w:r>
      <w:r w:rsidR="000C4A67" w:rsidRPr="008F63AA">
        <w:rPr>
          <w:rFonts w:ascii="Times New Roman" w:hAnsi="Times New Roman"/>
          <w:i/>
          <w:iCs/>
        </w:rPr>
        <w:t>and</w:t>
      </w:r>
      <w:r w:rsidR="00A31A21" w:rsidRPr="008F63AA">
        <w:rPr>
          <w:rFonts w:ascii="Times New Roman" w:hAnsi="Times New Roman"/>
          <w:i/>
          <w:iCs/>
        </w:rPr>
        <w:t xml:space="preserve"> Carry Pty Ltd</w:t>
      </w:r>
      <w:r w:rsidR="00E33117" w:rsidRPr="008F63AA">
        <w:rPr>
          <w:rFonts w:ascii="Times New Roman" w:hAnsi="Times New Roman"/>
          <w:i/>
          <w:iCs/>
        </w:rPr>
        <w:t xml:space="preserve"> v </w:t>
      </w:r>
      <w:proofErr w:type="spellStart"/>
      <w:r w:rsidR="00E33117" w:rsidRPr="008F63AA">
        <w:rPr>
          <w:rFonts w:ascii="Times New Roman" w:hAnsi="Times New Roman"/>
          <w:i/>
          <w:iCs/>
        </w:rPr>
        <w:t>Fostif</w:t>
      </w:r>
      <w:proofErr w:type="spellEnd"/>
      <w:r w:rsidR="00E33117" w:rsidRPr="008F63AA">
        <w:rPr>
          <w:rFonts w:ascii="Times New Roman" w:hAnsi="Times New Roman"/>
          <w:i/>
          <w:iCs/>
        </w:rPr>
        <w:t xml:space="preserve"> Pty Ltd</w:t>
      </w:r>
      <w:r w:rsidR="00A31A21" w:rsidRPr="008F63AA">
        <w:rPr>
          <w:rFonts w:ascii="Times New Roman" w:hAnsi="Times New Roman"/>
        </w:rPr>
        <w:t>.</w:t>
      </w:r>
      <w:r w:rsidR="00880C87" w:rsidRPr="00C86A14">
        <w:rPr>
          <w:rStyle w:val="FootnoteReference"/>
          <w:rFonts w:ascii="Times New Roman" w:hAnsi="Times New Roman"/>
          <w:sz w:val="24"/>
        </w:rPr>
        <w:footnoteReference w:id="2"/>
      </w:r>
      <w:r w:rsidR="00B93F59" w:rsidRPr="008F63AA">
        <w:rPr>
          <w:rFonts w:ascii="Times New Roman" w:hAnsi="Times New Roman"/>
        </w:rPr>
        <w:t xml:space="preserve"> </w:t>
      </w:r>
      <w:r w:rsidR="00A31A21" w:rsidRPr="008F63AA">
        <w:rPr>
          <w:rFonts w:ascii="Times New Roman" w:hAnsi="Times New Roman"/>
        </w:rPr>
        <w:t xml:space="preserve">The litigious form </w:t>
      </w:r>
      <w:r w:rsidR="00CB431C" w:rsidRPr="008F63AA">
        <w:rPr>
          <w:rFonts w:ascii="Times New Roman" w:hAnsi="Times New Roman"/>
        </w:rPr>
        <w:t xml:space="preserve">of the funded </w:t>
      </w:r>
      <w:r w:rsidR="00AA3059" w:rsidRPr="008F63AA">
        <w:rPr>
          <w:rFonts w:ascii="Times New Roman" w:hAnsi="Times New Roman"/>
        </w:rPr>
        <w:t>representative proceeding</w:t>
      </w:r>
      <w:r w:rsidR="00CB431C" w:rsidRPr="008F63AA">
        <w:rPr>
          <w:rFonts w:ascii="Times New Roman" w:hAnsi="Times New Roman"/>
        </w:rPr>
        <w:t xml:space="preserve"> </w:t>
      </w:r>
      <w:r w:rsidR="00A31A21" w:rsidRPr="008F63AA">
        <w:rPr>
          <w:rFonts w:ascii="Times New Roman" w:hAnsi="Times New Roman"/>
        </w:rPr>
        <w:t xml:space="preserve">has attracted coteries of specialist legal practitioners and has led to the establishment within courts of panels of specialist judges. Together, they have developed specialist terminology </w:t>
      </w:r>
      <w:r w:rsidR="00842B56" w:rsidRPr="008F63AA">
        <w:rPr>
          <w:rFonts w:ascii="Times New Roman" w:hAnsi="Times New Roman"/>
        </w:rPr>
        <w:t>incomprehensible</w:t>
      </w:r>
      <w:r w:rsidR="00A31A21" w:rsidRPr="008F63AA">
        <w:rPr>
          <w:rFonts w:ascii="Times New Roman" w:hAnsi="Times New Roman"/>
        </w:rPr>
        <w:t xml:space="preserve"> to the non</w:t>
      </w:r>
      <w:r w:rsidR="00BA2891" w:rsidRPr="008F63AA">
        <w:rPr>
          <w:rFonts w:ascii="Times New Roman" w:hAnsi="Times New Roman"/>
        </w:rPr>
        <w:t>-</w:t>
      </w:r>
      <w:r w:rsidR="00A31A21" w:rsidRPr="008F63AA">
        <w:rPr>
          <w:rFonts w:ascii="Times New Roman" w:hAnsi="Times New Roman"/>
        </w:rPr>
        <w:t>c</w:t>
      </w:r>
      <w:r w:rsidR="0021002D" w:rsidRPr="008F63AA">
        <w:rPr>
          <w:rFonts w:ascii="Times New Roman" w:hAnsi="Times New Roman"/>
        </w:rPr>
        <w:t>ognoscenti</w:t>
      </w:r>
      <w:r w:rsidR="00A31A21" w:rsidRPr="008F63AA">
        <w:rPr>
          <w:rFonts w:ascii="Times New Roman" w:hAnsi="Times New Roman"/>
        </w:rPr>
        <w:t>.</w:t>
      </w:r>
    </w:p>
    <w:p w14:paraId="44BA30CD" w14:textId="03109F22" w:rsidR="00CB31D6" w:rsidRPr="00C86A14" w:rsidRDefault="00CB31D6"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A56CAE" w:rsidRPr="00C86A14">
        <w:rPr>
          <w:rFonts w:ascii="Times New Roman" w:hAnsi="Times New Roman"/>
        </w:rPr>
        <w:t xml:space="preserve">These </w:t>
      </w:r>
      <w:r w:rsidR="00EF338C" w:rsidRPr="00C86A14">
        <w:rPr>
          <w:rFonts w:ascii="Times New Roman" w:hAnsi="Times New Roman"/>
        </w:rPr>
        <w:t>appeal</w:t>
      </w:r>
      <w:r w:rsidR="00A56CAE" w:rsidRPr="00C86A14">
        <w:rPr>
          <w:rFonts w:ascii="Times New Roman" w:hAnsi="Times New Roman"/>
        </w:rPr>
        <w:t>s</w:t>
      </w:r>
      <w:r w:rsidR="00EF338C" w:rsidRPr="00C86A14">
        <w:rPr>
          <w:rFonts w:ascii="Times New Roman" w:hAnsi="Times New Roman"/>
        </w:rPr>
        <w:t xml:space="preserve"> </w:t>
      </w:r>
      <w:r w:rsidR="00A56CAE" w:rsidRPr="00C86A14">
        <w:rPr>
          <w:rFonts w:ascii="Times New Roman" w:hAnsi="Times New Roman"/>
        </w:rPr>
        <w:t xml:space="preserve">are </w:t>
      </w:r>
      <w:r w:rsidR="005E0C1D" w:rsidRPr="00C86A14">
        <w:rPr>
          <w:rFonts w:ascii="Times New Roman" w:hAnsi="Times New Roman"/>
        </w:rPr>
        <w:t xml:space="preserve">from a judgment of the Full Court of the Federal Court </w:t>
      </w:r>
      <w:r w:rsidR="00F270A7" w:rsidRPr="00C86A14">
        <w:rPr>
          <w:rFonts w:ascii="Times New Roman" w:hAnsi="Times New Roman"/>
        </w:rPr>
        <w:t xml:space="preserve">of Australia </w:t>
      </w:r>
      <w:r w:rsidR="00DF5FAA" w:rsidRPr="00C86A14">
        <w:rPr>
          <w:rFonts w:ascii="Times New Roman" w:hAnsi="Times New Roman"/>
        </w:rPr>
        <w:t>(</w:t>
      </w:r>
      <w:r w:rsidR="00796DAF" w:rsidRPr="00C86A14">
        <w:rPr>
          <w:rFonts w:ascii="Times New Roman" w:hAnsi="Times New Roman"/>
        </w:rPr>
        <w:t>Murphy, Beach and Lee JJ</w:t>
      </w:r>
      <w:r w:rsidR="00DF5FAA" w:rsidRPr="00C86A14">
        <w:rPr>
          <w:rFonts w:ascii="Times New Roman" w:hAnsi="Times New Roman"/>
        </w:rPr>
        <w:t>)</w:t>
      </w:r>
      <w:r w:rsidR="00DF5FAA" w:rsidRPr="00C86A14">
        <w:rPr>
          <w:rStyle w:val="FootnoteReference"/>
          <w:rFonts w:ascii="Times New Roman" w:hAnsi="Times New Roman"/>
          <w:sz w:val="24"/>
        </w:rPr>
        <w:footnoteReference w:id="3"/>
      </w:r>
      <w:r w:rsidR="00DF5FAA" w:rsidRPr="00C86A14">
        <w:rPr>
          <w:rFonts w:ascii="Times New Roman" w:hAnsi="Times New Roman"/>
        </w:rPr>
        <w:t xml:space="preserve"> </w:t>
      </w:r>
      <w:r w:rsidR="001A396F" w:rsidRPr="00C86A14">
        <w:rPr>
          <w:rFonts w:ascii="Times New Roman" w:hAnsi="Times New Roman"/>
        </w:rPr>
        <w:t xml:space="preserve">which </w:t>
      </w:r>
      <w:r w:rsidR="006F3188" w:rsidRPr="00C86A14">
        <w:rPr>
          <w:rFonts w:ascii="Times New Roman" w:hAnsi="Times New Roman"/>
        </w:rPr>
        <w:t>determin</w:t>
      </w:r>
      <w:r w:rsidR="001A396F" w:rsidRPr="00C86A14">
        <w:rPr>
          <w:rFonts w:ascii="Times New Roman" w:hAnsi="Times New Roman"/>
        </w:rPr>
        <w:t>ed</w:t>
      </w:r>
      <w:r w:rsidR="00C45A5C" w:rsidRPr="00C86A14">
        <w:rPr>
          <w:rFonts w:ascii="Times New Roman" w:hAnsi="Times New Roman"/>
        </w:rPr>
        <w:t xml:space="preserve"> </w:t>
      </w:r>
      <w:r w:rsidR="00F270A7" w:rsidRPr="00C86A14">
        <w:rPr>
          <w:rFonts w:ascii="Times New Roman" w:hAnsi="Times New Roman"/>
        </w:rPr>
        <w:t xml:space="preserve">a </w:t>
      </w:r>
      <w:r w:rsidRPr="00C86A14">
        <w:rPr>
          <w:rFonts w:ascii="Times New Roman" w:hAnsi="Times New Roman"/>
        </w:rPr>
        <w:t xml:space="preserve">question reserved under s 25(6) of the </w:t>
      </w:r>
      <w:r w:rsidRPr="00C86A14">
        <w:rPr>
          <w:rFonts w:ascii="Times New Roman" w:hAnsi="Times New Roman"/>
          <w:i/>
          <w:iCs/>
        </w:rPr>
        <w:t>Federal Court of Australia Act 1976</w:t>
      </w:r>
      <w:r w:rsidRPr="00C86A14">
        <w:rPr>
          <w:rFonts w:ascii="Times New Roman" w:hAnsi="Times New Roman"/>
        </w:rPr>
        <w:t xml:space="preserve"> (</w:t>
      </w:r>
      <w:proofErr w:type="spellStart"/>
      <w:r w:rsidRPr="00C86A14">
        <w:rPr>
          <w:rFonts w:ascii="Times New Roman" w:hAnsi="Times New Roman"/>
        </w:rPr>
        <w:t>Cth</w:t>
      </w:r>
      <w:proofErr w:type="spellEnd"/>
      <w:r w:rsidRPr="00C86A14">
        <w:rPr>
          <w:rFonts w:ascii="Times New Roman" w:hAnsi="Times New Roman"/>
        </w:rPr>
        <w:t>) ("the FCA")</w:t>
      </w:r>
      <w:r w:rsidR="00C040E0" w:rsidRPr="00C86A14">
        <w:rPr>
          <w:rFonts w:ascii="Times New Roman" w:hAnsi="Times New Roman"/>
        </w:rPr>
        <w:t>. The</w:t>
      </w:r>
      <w:r w:rsidR="001E18A9" w:rsidRPr="00C86A14">
        <w:rPr>
          <w:rFonts w:ascii="Times New Roman" w:hAnsi="Times New Roman"/>
        </w:rPr>
        <w:t xml:space="preserve"> question</w:t>
      </w:r>
      <w:r w:rsidR="00CC5151" w:rsidRPr="00C86A14">
        <w:rPr>
          <w:rFonts w:ascii="Times New Roman" w:hAnsi="Times New Roman"/>
        </w:rPr>
        <w:t xml:space="preserve"> was reserved</w:t>
      </w:r>
      <w:r w:rsidRPr="00C86A14">
        <w:rPr>
          <w:rFonts w:ascii="Times New Roman" w:hAnsi="Times New Roman"/>
        </w:rPr>
        <w:t xml:space="preserve"> in consolidated representative proceedings in the original jurisdiction of the Federal Court under Pt IVA of the FCA</w:t>
      </w:r>
      <w:r w:rsidR="00ED7B66" w:rsidRPr="00C86A14">
        <w:rPr>
          <w:rFonts w:ascii="Times New Roman" w:hAnsi="Times New Roman"/>
        </w:rPr>
        <w:t xml:space="preserve">. </w:t>
      </w:r>
      <w:r w:rsidR="0089365A" w:rsidRPr="00C86A14">
        <w:rPr>
          <w:rFonts w:ascii="Times New Roman" w:hAnsi="Times New Roman"/>
        </w:rPr>
        <w:t>Cutting through</w:t>
      </w:r>
      <w:r w:rsidR="00EF338C" w:rsidRPr="00C86A14">
        <w:rPr>
          <w:rFonts w:ascii="Times New Roman" w:hAnsi="Times New Roman"/>
        </w:rPr>
        <w:t xml:space="preserve"> the jargon, </w:t>
      </w:r>
      <w:r w:rsidR="00ED7B66" w:rsidRPr="00C86A14">
        <w:rPr>
          <w:rFonts w:ascii="Times New Roman" w:hAnsi="Times New Roman"/>
        </w:rPr>
        <w:t xml:space="preserve">the question </w:t>
      </w:r>
      <w:r w:rsidRPr="00C86A14">
        <w:rPr>
          <w:rFonts w:ascii="Times New Roman" w:hAnsi="Times New Roman"/>
        </w:rPr>
        <w:t>can be restated in two parts</w:t>
      </w:r>
      <w:r w:rsidR="00064233" w:rsidRPr="00C86A14">
        <w:rPr>
          <w:rFonts w:ascii="Times New Roman" w:hAnsi="Times New Roman"/>
        </w:rPr>
        <w:t>. T</w:t>
      </w:r>
      <w:r w:rsidRPr="00C86A14">
        <w:rPr>
          <w:rFonts w:ascii="Times New Roman" w:hAnsi="Times New Roman"/>
        </w:rPr>
        <w:t xml:space="preserve">he </w:t>
      </w:r>
      <w:r w:rsidR="00DA6586" w:rsidRPr="00C86A14">
        <w:rPr>
          <w:rFonts w:ascii="Times New Roman" w:hAnsi="Times New Roman"/>
        </w:rPr>
        <w:t xml:space="preserve">first part </w:t>
      </w:r>
      <w:r w:rsidR="00064233" w:rsidRPr="00C86A14">
        <w:rPr>
          <w:rFonts w:ascii="Times New Roman" w:hAnsi="Times New Roman"/>
        </w:rPr>
        <w:t xml:space="preserve">is </w:t>
      </w:r>
      <w:r w:rsidRPr="00C86A14">
        <w:rPr>
          <w:rFonts w:ascii="Times New Roman" w:hAnsi="Times New Roman"/>
        </w:rPr>
        <w:t>general</w:t>
      </w:r>
      <w:r w:rsidR="002555ED" w:rsidRPr="00C86A14">
        <w:rPr>
          <w:rFonts w:ascii="Times New Roman" w:hAnsi="Times New Roman"/>
        </w:rPr>
        <w:t>; t</w:t>
      </w:r>
      <w:r w:rsidR="00DA6586" w:rsidRPr="00C86A14">
        <w:rPr>
          <w:rFonts w:ascii="Times New Roman" w:hAnsi="Times New Roman"/>
        </w:rPr>
        <w:t xml:space="preserve">he second </w:t>
      </w:r>
      <w:r w:rsidR="00064233" w:rsidRPr="00C86A14">
        <w:rPr>
          <w:rFonts w:ascii="Times New Roman" w:hAnsi="Times New Roman"/>
        </w:rPr>
        <w:t>part is</w:t>
      </w:r>
      <w:r w:rsidR="000E2C92" w:rsidRPr="00C86A14">
        <w:rPr>
          <w:rFonts w:ascii="Times New Roman" w:hAnsi="Times New Roman"/>
        </w:rPr>
        <w:t xml:space="preserve"> </w:t>
      </w:r>
      <w:r w:rsidRPr="00C86A14">
        <w:rPr>
          <w:rFonts w:ascii="Times New Roman" w:hAnsi="Times New Roman"/>
        </w:rPr>
        <w:t xml:space="preserve">specific. </w:t>
      </w:r>
    </w:p>
    <w:p w14:paraId="50E5A7AC" w14:textId="17BB9533" w:rsidR="0078032D" w:rsidRPr="00C86A14" w:rsidRDefault="00403F91"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CB31D6" w:rsidRPr="00C86A14">
        <w:rPr>
          <w:rFonts w:ascii="Times New Roman" w:hAnsi="Times New Roman"/>
        </w:rPr>
        <w:t>The general part of the question is</w:t>
      </w:r>
      <w:r w:rsidR="0078032D" w:rsidRPr="00C86A14">
        <w:rPr>
          <w:rFonts w:ascii="Times New Roman" w:hAnsi="Times New Roman"/>
        </w:rPr>
        <w:t xml:space="preserve"> this</w:t>
      </w:r>
      <w:r w:rsidR="008C3211" w:rsidRPr="00C86A14">
        <w:rPr>
          <w:rFonts w:ascii="Times New Roman" w:hAnsi="Times New Roman"/>
        </w:rPr>
        <w:t>: d</w:t>
      </w:r>
      <w:r w:rsidR="00CB31D6" w:rsidRPr="00C86A14">
        <w:rPr>
          <w:rFonts w:ascii="Times New Roman" w:hAnsi="Times New Roman"/>
        </w:rPr>
        <w:t>oes the Federal Court have power, under s</w:t>
      </w:r>
      <w:r w:rsidR="009C2FB3" w:rsidRPr="00C86A14">
        <w:rPr>
          <w:rFonts w:ascii="Times New Roman" w:hAnsi="Times New Roman"/>
        </w:rPr>
        <w:t> </w:t>
      </w:r>
      <w:r w:rsidR="00CB31D6" w:rsidRPr="00C86A14">
        <w:rPr>
          <w:rFonts w:ascii="Times New Roman" w:hAnsi="Times New Roman"/>
        </w:rPr>
        <w:t xml:space="preserve">33V(2) of the FCA (in the event of </w:t>
      </w:r>
      <w:r w:rsidR="00A831DD" w:rsidRPr="00C86A14">
        <w:rPr>
          <w:rFonts w:ascii="Times New Roman" w:hAnsi="Times New Roman"/>
        </w:rPr>
        <w:t>a representative</w:t>
      </w:r>
      <w:r w:rsidR="00CB31D6" w:rsidRPr="00C86A14">
        <w:rPr>
          <w:rFonts w:ascii="Times New Roman" w:hAnsi="Times New Roman"/>
        </w:rPr>
        <w:t xml:space="preserve"> proceeding being concluded by settlement) or under s</w:t>
      </w:r>
      <w:r w:rsidR="009C2FB3" w:rsidRPr="00C86A14">
        <w:rPr>
          <w:rFonts w:ascii="Times New Roman" w:hAnsi="Times New Roman"/>
        </w:rPr>
        <w:t> </w:t>
      </w:r>
      <w:r w:rsidR="00CB31D6" w:rsidRPr="00C86A14">
        <w:rPr>
          <w:rFonts w:ascii="Times New Roman" w:hAnsi="Times New Roman"/>
        </w:rPr>
        <w:t xml:space="preserve">33Z(1)(g) of the FCA (in the event of </w:t>
      </w:r>
      <w:r w:rsidR="00A831DD" w:rsidRPr="00C86A14">
        <w:rPr>
          <w:rFonts w:ascii="Times New Roman" w:hAnsi="Times New Roman"/>
        </w:rPr>
        <w:t>a</w:t>
      </w:r>
      <w:r w:rsidR="00CB31D6" w:rsidRPr="00C86A14">
        <w:rPr>
          <w:rFonts w:ascii="Times New Roman" w:hAnsi="Times New Roman"/>
        </w:rPr>
        <w:t xml:space="preserve"> </w:t>
      </w:r>
      <w:r w:rsidR="00A831DD" w:rsidRPr="00C86A14">
        <w:rPr>
          <w:rFonts w:ascii="Times New Roman" w:hAnsi="Times New Roman"/>
        </w:rPr>
        <w:t xml:space="preserve">representative </w:t>
      </w:r>
      <w:r w:rsidR="00CB31D6" w:rsidRPr="00C86A14">
        <w:rPr>
          <w:rFonts w:ascii="Times New Roman" w:hAnsi="Times New Roman"/>
        </w:rPr>
        <w:t xml:space="preserve">proceeding being concluded by judgment), to make an order that requires all members of the group on whose behalf </w:t>
      </w:r>
      <w:r w:rsidR="00A831DD" w:rsidRPr="00C86A14">
        <w:rPr>
          <w:rFonts w:ascii="Times New Roman" w:hAnsi="Times New Roman"/>
        </w:rPr>
        <w:t>the</w:t>
      </w:r>
      <w:r w:rsidR="00CB31D6" w:rsidRPr="00C86A14">
        <w:rPr>
          <w:rFonts w:ascii="Times New Roman" w:hAnsi="Times New Roman"/>
        </w:rPr>
        <w:t xml:space="preserve"> representative proceeding has been commenced</w:t>
      </w:r>
      <w:r w:rsidR="00565A35" w:rsidRPr="00C86A14">
        <w:rPr>
          <w:rFonts w:ascii="Times New Roman" w:hAnsi="Times New Roman"/>
        </w:rPr>
        <w:t>,</w:t>
      </w:r>
      <w:r w:rsidR="00CB31D6" w:rsidRPr="00C86A14">
        <w:rPr>
          <w:rFonts w:ascii="Times New Roman" w:hAnsi="Times New Roman"/>
        </w:rPr>
        <w:t xml:space="preserve"> who have not opted out of the proceeding by the date fixed under s</w:t>
      </w:r>
      <w:r w:rsidR="009C2FB3" w:rsidRPr="00C86A14">
        <w:rPr>
          <w:rFonts w:ascii="Times New Roman" w:hAnsi="Times New Roman"/>
        </w:rPr>
        <w:t> </w:t>
      </w:r>
      <w:r w:rsidR="00CB31D6" w:rsidRPr="00C86A14">
        <w:rPr>
          <w:rFonts w:ascii="Times New Roman" w:hAnsi="Times New Roman"/>
        </w:rPr>
        <w:t>33J and notified under s</w:t>
      </w:r>
      <w:r w:rsidR="009C2FB3" w:rsidRPr="00C86A14">
        <w:rPr>
          <w:rFonts w:ascii="Times New Roman" w:hAnsi="Times New Roman"/>
        </w:rPr>
        <w:t> </w:t>
      </w:r>
      <w:r w:rsidR="00CB31D6" w:rsidRPr="00C86A14">
        <w:rPr>
          <w:rFonts w:ascii="Times New Roman" w:hAnsi="Times New Roman"/>
        </w:rPr>
        <w:t>33X</w:t>
      </w:r>
      <w:r w:rsidR="00565A35" w:rsidRPr="00C86A14">
        <w:rPr>
          <w:rFonts w:ascii="Times New Roman" w:hAnsi="Times New Roman"/>
        </w:rPr>
        <w:t>,</w:t>
      </w:r>
      <w:r w:rsidR="00CB31D6" w:rsidRPr="00C86A14">
        <w:rPr>
          <w:rFonts w:ascii="Times New Roman" w:hAnsi="Times New Roman"/>
        </w:rPr>
        <w:t xml:space="preserve"> to contribute equally to payment to a litigation funder of a funding commission which contains a premium for litigation risk and which is calculated as a percentage of the settlement or judgment sum? </w:t>
      </w:r>
      <w:r w:rsidR="00B50C9C" w:rsidRPr="00C86A14">
        <w:rPr>
          <w:rFonts w:ascii="Times New Roman" w:hAnsi="Times New Roman"/>
        </w:rPr>
        <w:t>In the vernacular of the speciality, an order of that kind</w:t>
      </w:r>
      <w:r w:rsidR="000A7134" w:rsidRPr="00C86A14">
        <w:rPr>
          <w:rFonts w:ascii="Times New Roman" w:hAnsi="Times New Roman"/>
        </w:rPr>
        <w:t xml:space="preserve"> is known as</w:t>
      </w:r>
      <w:r w:rsidR="00B50C9C" w:rsidRPr="00C86A14">
        <w:rPr>
          <w:rFonts w:ascii="Times New Roman" w:hAnsi="Times New Roman"/>
        </w:rPr>
        <w:t xml:space="preserve"> a "common fund order" or "CFO".</w:t>
      </w:r>
    </w:p>
    <w:p w14:paraId="2E551BEF" w14:textId="4860E385" w:rsidR="00CB31D6" w:rsidRPr="00C86A14" w:rsidRDefault="0078032D"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0D0FE9" w:rsidRPr="00C86A14">
        <w:rPr>
          <w:rFonts w:ascii="Times New Roman" w:hAnsi="Times New Roman"/>
        </w:rPr>
        <w:t>T</w:t>
      </w:r>
      <w:r w:rsidR="00CB31D6" w:rsidRPr="00C86A14">
        <w:rPr>
          <w:rFonts w:ascii="Times New Roman" w:hAnsi="Times New Roman"/>
        </w:rPr>
        <w:t>he making of a</w:t>
      </w:r>
      <w:r w:rsidR="00B50C9C" w:rsidRPr="00C86A14">
        <w:rPr>
          <w:rFonts w:ascii="Times New Roman" w:hAnsi="Times New Roman"/>
        </w:rPr>
        <w:t xml:space="preserve"> CFO</w:t>
      </w:r>
      <w:r w:rsidR="00CB31D6" w:rsidRPr="00C86A14">
        <w:rPr>
          <w:rFonts w:ascii="Times New Roman" w:hAnsi="Times New Roman"/>
        </w:rPr>
        <w:t xml:space="preserve"> under s</w:t>
      </w:r>
      <w:r w:rsidR="009C2FB3" w:rsidRPr="00C86A14">
        <w:rPr>
          <w:rFonts w:ascii="Times New Roman" w:hAnsi="Times New Roman"/>
        </w:rPr>
        <w:t> </w:t>
      </w:r>
      <w:r w:rsidR="00CB31D6" w:rsidRPr="00C86A14">
        <w:rPr>
          <w:rFonts w:ascii="Times New Roman" w:hAnsi="Times New Roman"/>
        </w:rPr>
        <w:t>33V(2)</w:t>
      </w:r>
      <w:r w:rsidR="00F7545D" w:rsidRPr="00C86A14">
        <w:rPr>
          <w:rFonts w:ascii="Times New Roman" w:hAnsi="Times New Roman"/>
        </w:rPr>
        <w:t xml:space="preserve"> of the FCA</w:t>
      </w:r>
      <w:r w:rsidR="00EE1245" w:rsidRPr="00C86A14">
        <w:rPr>
          <w:rFonts w:ascii="Times New Roman" w:hAnsi="Times New Roman"/>
        </w:rPr>
        <w:t xml:space="preserve">, </w:t>
      </w:r>
      <w:r w:rsidR="00CB31D6" w:rsidRPr="00C86A14">
        <w:rPr>
          <w:rFonts w:ascii="Times New Roman" w:hAnsi="Times New Roman"/>
        </w:rPr>
        <w:t>in the form of an order authorising and requiring payment to a litigation funder out of a settlement fund of a specified amount or of an amount to be calculated in a specified way</w:t>
      </w:r>
      <w:r w:rsidR="00EE1245" w:rsidRPr="00C86A14">
        <w:rPr>
          <w:rFonts w:ascii="Times New Roman" w:hAnsi="Times New Roman"/>
        </w:rPr>
        <w:t>,</w:t>
      </w:r>
      <w:r w:rsidR="00CB31D6" w:rsidRPr="00C86A14">
        <w:rPr>
          <w:rFonts w:ascii="Times New Roman" w:hAnsi="Times New Roman"/>
        </w:rPr>
        <w:t xml:space="preserve"> </w:t>
      </w:r>
      <w:r w:rsidR="00EE1245" w:rsidRPr="00C86A14">
        <w:rPr>
          <w:rFonts w:ascii="Times New Roman" w:hAnsi="Times New Roman"/>
        </w:rPr>
        <w:t xml:space="preserve">has </w:t>
      </w:r>
      <w:r w:rsidR="000D0FE9" w:rsidRPr="00C86A14">
        <w:rPr>
          <w:rFonts w:ascii="Times New Roman" w:hAnsi="Times New Roman"/>
        </w:rPr>
        <w:t xml:space="preserve">in practice </w:t>
      </w:r>
      <w:r w:rsidR="00EE1245" w:rsidRPr="00C86A14">
        <w:rPr>
          <w:rFonts w:ascii="Times New Roman" w:hAnsi="Times New Roman"/>
        </w:rPr>
        <w:t xml:space="preserve">become </w:t>
      </w:r>
      <w:r w:rsidR="000E2C92" w:rsidRPr="00C86A14">
        <w:rPr>
          <w:rFonts w:ascii="Times New Roman" w:hAnsi="Times New Roman"/>
        </w:rPr>
        <w:t>commonplace</w:t>
      </w:r>
      <w:r w:rsidR="00EE1245" w:rsidRPr="00C86A14">
        <w:rPr>
          <w:rFonts w:ascii="Times New Roman" w:hAnsi="Times New Roman"/>
        </w:rPr>
        <w:t xml:space="preserve"> in the five years since </w:t>
      </w:r>
      <w:r w:rsidR="00EE1245" w:rsidRPr="00C86A14">
        <w:rPr>
          <w:rFonts w:ascii="Times New Roman" w:hAnsi="Times New Roman"/>
          <w:i/>
          <w:iCs/>
        </w:rPr>
        <w:t>BMW Australia Ltd v Brewster</w:t>
      </w:r>
      <w:r w:rsidR="00EE1245" w:rsidRPr="00C86A14">
        <w:rPr>
          <w:rFonts w:ascii="Times New Roman" w:hAnsi="Times New Roman"/>
        </w:rPr>
        <w:t xml:space="preserve"> ("</w:t>
      </w:r>
      <w:r w:rsidR="00EE1245" w:rsidRPr="00C86A14">
        <w:rPr>
          <w:rFonts w:ascii="Times New Roman" w:hAnsi="Times New Roman"/>
          <w:i/>
          <w:iCs/>
        </w:rPr>
        <w:t>Brewster</w:t>
      </w:r>
      <w:r w:rsidR="00EE1245" w:rsidRPr="00C86A14">
        <w:rPr>
          <w:rFonts w:ascii="Times New Roman" w:hAnsi="Times New Roman"/>
        </w:rPr>
        <w:t>")</w:t>
      </w:r>
      <w:r w:rsidR="00EE1245" w:rsidRPr="00C86A14">
        <w:rPr>
          <w:rStyle w:val="FootnoteReference"/>
          <w:rFonts w:ascii="Times New Roman" w:hAnsi="Times New Roman"/>
          <w:sz w:val="24"/>
        </w:rPr>
        <w:footnoteReference w:id="4"/>
      </w:r>
      <w:r w:rsidR="00EE1245" w:rsidRPr="00C86A14">
        <w:rPr>
          <w:rFonts w:ascii="Times New Roman" w:hAnsi="Times New Roman"/>
        </w:rPr>
        <w:t xml:space="preserve"> </w:t>
      </w:r>
      <w:r w:rsidR="00BF4E3F" w:rsidRPr="00C86A14">
        <w:rPr>
          <w:rFonts w:ascii="Times New Roman" w:hAnsi="Times New Roman"/>
        </w:rPr>
        <w:t xml:space="preserve">and </w:t>
      </w:r>
      <w:r w:rsidR="000E2C92" w:rsidRPr="00C86A14">
        <w:rPr>
          <w:rFonts w:ascii="Times New Roman" w:hAnsi="Times New Roman"/>
        </w:rPr>
        <w:t>has</w:t>
      </w:r>
      <w:r w:rsidR="00BF4E3F" w:rsidRPr="00C86A14">
        <w:rPr>
          <w:rFonts w:ascii="Times New Roman" w:hAnsi="Times New Roman"/>
        </w:rPr>
        <w:t xml:space="preserve"> </w:t>
      </w:r>
      <w:r w:rsidR="00015519" w:rsidRPr="00C86A14">
        <w:rPr>
          <w:rFonts w:ascii="Times New Roman" w:hAnsi="Times New Roman"/>
        </w:rPr>
        <w:t>come to be known</w:t>
      </w:r>
      <w:r w:rsidR="001B324A" w:rsidRPr="00C86A14">
        <w:rPr>
          <w:rFonts w:ascii="Times New Roman" w:hAnsi="Times New Roman"/>
        </w:rPr>
        <w:t xml:space="preserve"> </w:t>
      </w:r>
      <w:r w:rsidR="00FC2E78" w:rsidRPr="00C86A14">
        <w:rPr>
          <w:rFonts w:ascii="Times New Roman" w:hAnsi="Times New Roman"/>
        </w:rPr>
        <w:t>as a "</w:t>
      </w:r>
      <w:r w:rsidR="00D70710" w:rsidRPr="00C86A14">
        <w:rPr>
          <w:rFonts w:ascii="Times New Roman" w:hAnsi="Times New Roman"/>
        </w:rPr>
        <w:t>settlement</w:t>
      </w:r>
      <w:r w:rsidR="00FC2E78" w:rsidRPr="00C86A14">
        <w:rPr>
          <w:rFonts w:ascii="Times New Roman" w:hAnsi="Times New Roman"/>
        </w:rPr>
        <w:t xml:space="preserve"> CFO".</w:t>
      </w:r>
      <w:r w:rsidR="009A3810" w:rsidRPr="00C86A14">
        <w:rPr>
          <w:rFonts w:ascii="Times New Roman" w:hAnsi="Times New Roman"/>
        </w:rPr>
        <w:t xml:space="preserve"> </w:t>
      </w:r>
      <w:r w:rsidR="00015519" w:rsidRPr="00C86A14">
        <w:rPr>
          <w:rFonts w:ascii="Times New Roman" w:hAnsi="Times New Roman"/>
        </w:rPr>
        <w:t>A</w:t>
      </w:r>
      <w:r w:rsidR="00950BC8" w:rsidRPr="00C86A14">
        <w:rPr>
          <w:rFonts w:ascii="Times New Roman" w:hAnsi="Times New Roman"/>
        </w:rPr>
        <w:t xml:space="preserve"> </w:t>
      </w:r>
      <w:r w:rsidR="00015519" w:rsidRPr="00C86A14">
        <w:rPr>
          <w:rFonts w:ascii="Times New Roman" w:hAnsi="Times New Roman"/>
        </w:rPr>
        <w:t>CFO</w:t>
      </w:r>
      <w:r w:rsidR="00950BC8" w:rsidRPr="00C86A14">
        <w:rPr>
          <w:rFonts w:ascii="Times New Roman" w:hAnsi="Times New Roman"/>
        </w:rPr>
        <w:t xml:space="preserve"> </w:t>
      </w:r>
      <w:r w:rsidR="00950BC8" w:rsidRPr="00C86A14">
        <w:rPr>
          <w:rFonts w:ascii="Times New Roman" w:hAnsi="Times New Roman"/>
        </w:rPr>
        <w:lastRenderedPageBreak/>
        <w:t xml:space="preserve">under </w:t>
      </w:r>
      <w:r w:rsidR="000F5ABB" w:rsidRPr="00C86A14">
        <w:rPr>
          <w:rFonts w:ascii="Times New Roman" w:hAnsi="Times New Roman"/>
        </w:rPr>
        <w:t xml:space="preserve">s 33Z(1)(g) authorising and requiring payment to a litigation funder out of a </w:t>
      </w:r>
      <w:r w:rsidR="00A636AC" w:rsidRPr="00C86A14">
        <w:rPr>
          <w:rFonts w:ascii="Times New Roman" w:hAnsi="Times New Roman"/>
        </w:rPr>
        <w:t>judgment sum</w:t>
      </w:r>
      <w:r w:rsidR="004F70B9" w:rsidRPr="00C86A14">
        <w:rPr>
          <w:rFonts w:ascii="Times New Roman" w:hAnsi="Times New Roman"/>
        </w:rPr>
        <w:t xml:space="preserve"> </w:t>
      </w:r>
      <w:r w:rsidR="00E3485F" w:rsidRPr="00C86A14">
        <w:rPr>
          <w:rFonts w:ascii="Times New Roman" w:hAnsi="Times New Roman"/>
        </w:rPr>
        <w:t xml:space="preserve">has been described </w:t>
      </w:r>
      <w:r w:rsidR="00015519" w:rsidRPr="00C86A14">
        <w:rPr>
          <w:rFonts w:ascii="Times New Roman" w:hAnsi="Times New Roman"/>
        </w:rPr>
        <w:t xml:space="preserve">by parity of language </w:t>
      </w:r>
      <w:r w:rsidR="00E3485F" w:rsidRPr="00C86A14">
        <w:rPr>
          <w:rFonts w:ascii="Times New Roman" w:hAnsi="Times New Roman"/>
        </w:rPr>
        <w:t>as a "judgment CFO"</w:t>
      </w:r>
      <w:r w:rsidR="00120DC0" w:rsidRPr="00C86A14">
        <w:rPr>
          <w:rFonts w:ascii="Times New Roman" w:hAnsi="Times New Roman"/>
        </w:rPr>
        <w:t>.</w:t>
      </w:r>
      <w:r w:rsidR="00DA2674" w:rsidRPr="00C86A14">
        <w:rPr>
          <w:rStyle w:val="FootnoteReference"/>
          <w:rFonts w:ascii="Times New Roman" w:hAnsi="Times New Roman"/>
          <w:sz w:val="24"/>
        </w:rPr>
        <w:footnoteReference w:id="5"/>
      </w:r>
    </w:p>
    <w:p w14:paraId="1BFB9989" w14:textId="4537D1FC" w:rsidR="00D23F7D" w:rsidRPr="00C86A14" w:rsidRDefault="00403F91"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CB31D6" w:rsidRPr="00C86A14">
        <w:rPr>
          <w:rFonts w:ascii="Times New Roman" w:hAnsi="Times New Roman"/>
        </w:rPr>
        <w:t xml:space="preserve">The specific part of the question </w:t>
      </w:r>
      <w:r w:rsidR="00AA2D3D" w:rsidRPr="00C86A14">
        <w:rPr>
          <w:rFonts w:ascii="Times New Roman" w:hAnsi="Times New Roman"/>
        </w:rPr>
        <w:t>only arises if</w:t>
      </w:r>
      <w:r w:rsidR="00CB31D6" w:rsidRPr="00C86A14">
        <w:rPr>
          <w:rFonts w:ascii="Times New Roman" w:hAnsi="Times New Roman"/>
        </w:rPr>
        <w:t xml:space="preserve"> an affirmative answer </w:t>
      </w:r>
      <w:r w:rsidR="00CB5D51" w:rsidRPr="00C86A14">
        <w:rPr>
          <w:rFonts w:ascii="Times New Roman" w:hAnsi="Times New Roman"/>
        </w:rPr>
        <w:t xml:space="preserve">is given </w:t>
      </w:r>
      <w:r w:rsidR="00CB31D6" w:rsidRPr="00C86A14">
        <w:rPr>
          <w:rFonts w:ascii="Times New Roman" w:hAnsi="Times New Roman"/>
        </w:rPr>
        <w:t>to the general part of the question</w:t>
      </w:r>
      <w:r w:rsidR="00D23F7D" w:rsidRPr="00C86A14">
        <w:rPr>
          <w:rFonts w:ascii="Times New Roman" w:hAnsi="Times New Roman"/>
        </w:rPr>
        <w:t>.</w:t>
      </w:r>
      <w:r w:rsidR="00761AC8" w:rsidRPr="00C86A14">
        <w:rPr>
          <w:rFonts w:ascii="Times New Roman" w:hAnsi="Times New Roman"/>
        </w:rPr>
        <w:t xml:space="preserve"> </w:t>
      </w:r>
      <w:r w:rsidR="00D23F7D" w:rsidRPr="00C86A14">
        <w:rPr>
          <w:rFonts w:ascii="Times New Roman" w:hAnsi="Times New Roman"/>
        </w:rPr>
        <w:t>T</w:t>
      </w:r>
      <w:r w:rsidR="006970FC" w:rsidRPr="00C86A14">
        <w:rPr>
          <w:rFonts w:ascii="Times New Roman" w:hAnsi="Times New Roman"/>
        </w:rPr>
        <w:t xml:space="preserve">hat is to say, </w:t>
      </w:r>
      <w:r w:rsidR="00F561D0" w:rsidRPr="00C86A14">
        <w:rPr>
          <w:rFonts w:ascii="Times New Roman" w:hAnsi="Times New Roman"/>
        </w:rPr>
        <w:t>the specific part of the question</w:t>
      </w:r>
      <w:r w:rsidR="006970FC" w:rsidRPr="00C86A14">
        <w:rPr>
          <w:rFonts w:ascii="Times New Roman" w:hAnsi="Times New Roman"/>
        </w:rPr>
        <w:t xml:space="preserve"> </w:t>
      </w:r>
      <w:r w:rsidR="00CB5D51" w:rsidRPr="00C86A14">
        <w:rPr>
          <w:rFonts w:ascii="Times New Roman" w:hAnsi="Times New Roman"/>
        </w:rPr>
        <w:t>only arises if</w:t>
      </w:r>
      <w:r w:rsidR="00761AC8" w:rsidRPr="00C86A14">
        <w:rPr>
          <w:rFonts w:ascii="Times New Roman" w:hAnsi="Times New Roman"/>
        </w:rPr>
        <w:t xml:space="preserve"> the Federal Court has power </w:t>
      </w:r>
      <w:r w:rsidR="00BE14BF" w:rsidRPr="00C86A14">
        <w:rPr>
          <w:rFonts w:ascii="Times New Roman" w:hAnsi="Times New Roman"/>
        </w:rPr>
        <w:t xml:space="preserve">to make a CFO </w:t>
      </w:r>
      <w:r w:rsidR="00761AC8" w:rsidRPr="00C86A14">
        <w:rPr>
          <w:rFonts w:ascii="Times New Roman" w:hAnsi="Times New Roman"/>
        </w:rPr>
        <w:t>under s</w:t>
      </w:r>
      <w:r w:rsidR="009C2FB3" w:rsidRPr="00C86A14">
        <w:rPr>
          <w:rFonts w:ascii="Times New Roman" w:hAnsi="Times New Roman"/>
        </w:rPr>
        <w:t> </w:t>
      </w:r>
      <w:r w:rsidR="00761AC8" w:rsidRPr="00C86A14">
        <w:rPr>
          <w:rFonts w:ascii="Times New Roman" w:hAnsi="Times New Roman"/>
        </w:rPr>
        <w:t>33</w:t>
      </w:r>
      <w:proofErr w:type="gramStart"/>
      <w:r w:rsidR="00761AC8" w:rsidRPr="00C86A14">
        <w:rPr>
          <w:rFonts w:ascii="Times New Roman" w:hAnsi="Times New Roman"/>
        </w:rPr>
        <w:t>V(</w:t>
      </w:r>
      <w:proofErr w:type="gramEnd"/>
      <w:r w:rsidR="00761AC8" w:rsidRPr="00C86A14">
        <w:rPr>
          <w:rFonts w:ascii="Times New Roman" w:hAnsi="Times New Roman"/>
        </w:rPr>
        <w:t>2) and s</w:t>
      </w:r>
      <w:r w:rsidR="009C2FB3" w:rsidRPr="00C86A14">
        <w:rPr>
          <w:rFonts w:ascii="Times New Roman" w:hAnsi="Times New Roman"/>
        </w:rPr>
        <w:t> </w:t>
      </w:r>
      <w:r w:rsidR="00761AC8" w:rsidRPr="00C86A14">
        <w:rPr>
          <w:rFonts w:ascii="Times New Roman" w:hAnsi="Times New Roman"/>
        </w:rPr>
        <w:t xml:space="preserve">33Z(1)(g) of the FCA. </w:t>
      </w:r>
    </w:p>
    <w:p w14:paraId="76CFA39D" w14:textId="7F974864" w:rsidR="00C55FA9" w:rsidRPr="00C86A14" w:rsidRDefault="00D23F7D"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CB31D6" w:rsidRPr="00C86A14">
        <w:rPr>
          <w:rFonts w:ascii="Times New Roman" w:hAnsi="Times New Roman"/>
        </w:rPr>
        <w:t>The specific part of the question is</w:t>
      </w:r>
      <w:r w:rsidR="00F561D0" w:rsidRPr="00C86A14">
        <w:rPr>
          <w:rFonts w:ascii="Times New Roman" w:hAnsi="Times New Roman"/>
        </w:rPr>
        <w:t xml:space="preserve"> this</w:t>
      </w:r>
      <w:r w:rsidR="00BD58BB" w:rsidRPr="00C86A14">
        <w:rPr>
          <w:rFonts w:ascii="Times New Roman" w:hAnsi="Times New Roman"/>
        </w:rPr>
        <w:t>:</w:t>
      </w:r>
      <w:r w:rsidR="00CB31D6" w:rsidRPr="00C86A14">
        <w:rPr>
          <w:rFonts w:ascii="Times New Roman" w:hAnsi="Times New Roman"/>
        </w:rPr>
        <w:t xml:space="preserve"> </w:t>
      </w:r>
      <w:r w:rsidR="00BD58BB" w:rsidRPr="00C86A14">
        <w:rPr>
          <w:rFonts w:ascii="Times New Roman" w:hAnsi="Times New Roman"/>
        </w:rPr>
        <w:t>d</w:t>
      </w:r>
      <w:r w:rsidR="00CB31D6" w:rsidRPr="00C86A14">
        <w:rPr>
          <w:rFonts w:ascii="Times New Roman" w:hAnsi="Times New Roman"/>
        </w:rPr>
        <w:t xml:space="preserve">oes the power </w:t>
      </w:r>
      <w:r w:rsidR="00761AC8" w:rsidRPr="00C86A14">
        <w:rPr>
          <w:rFonts w:ascii="Times New Roman" w:hAnsi="Times New Roman"/>
        </w:rPr>
        <w:t xml:space="preserve">of the Federal Court </w:t>
      </w:r>
      <w:r w:rsidR="00CB31D6" w:rsidRPr="00C86A14">
        <w:rPr>
          <w:rFonts w:ascii="Times New Roman" w:hAnsi="Times New Roman"/>
        </w:rPr>
        <w:t xml:space="preserve">to make a CFO </w:t>
      </w:r>
      <w:r w:rsidR="00DB58B7" w:rsidRPr="00C86A14">
        <w:rPr>
          <w:rFonts w:ascii="Times New Roman" w:hAnsi="Times New Roman"/>
        </w:rPr>
        <w:t>under s</w:t>
      </w:r>
      <w:r w:rsidR="009C2FB3" w:rsidRPr="00C86A14">
        <w:rPr>
          <w:rFonts w:ascii="Times New Roman" w:hAnsi="Times New Roman"/>
        </w:rPr>
        <w:t> </w:t>
      </w:r>
      <w:r w:rsidR="00DB58B7" w:rsidRPr="00C86A14">
        <w:rPr>
          <w:rFonts w:ascii="Times New Roman" w:hAnsi="Times New Roman"/>
        </w:rPr>
        <w:t>33V(2) and s</w:t>
      </w:r>
      <w:r w:rsidR="009C2FB3" w:rsidRPr="00C86A14">
        <w:rPr>
          <w:rFonts w:ascii="Times New Roman" w:hAnsi="Times New Roman"/>
        </w:rPr>
        <w:t> </w:t>
      </w:r>
      <w:r w:rsidR="00DB58B7" w:rsidRPr="00C86A14">
        <w:rPr>
          <w:rFonts w:ascii="Times New Roman" w:hAnsi="Times New Roman"/>
        </w:rPr>
        <w:t xml:space="preserve">33Z(1)(g) extend to making a CFO in circumstances </w:t>
      </w:r>
      <w:r w:rsidR="00CB31D6" w:rsidRPr="00C86A14">
        <w:rPr>
          <w:rFonts w:ascii="Times New Roman" w:hAnsi="Times New Roman"/>
        </w:rPr>
        <w:t xml:space="preserve">where the litigation funder is a law practice </w:t>
      </w:r>
      <w:r w:rsidR="001402CE" w:rsidRPr="00C86A14">
        <w:rPr>
          <w:rFonts w:ascii="Times New Roman" w:hAnsi="Times New Roman"/>
        </w:rPr>
        <w:t>regulated</w:t>
      </w:r>
      <w:r w:rsidR="00CB31D6" w:rsidRPr="00C86A14">
        <w:rPr>
          <w:rFonts w:ascii="Times New Roman" w:hAnsi="Times New Roman"/>
        </w:rPr>
        <w:t xml:space="preserve"> by the </w:t>
      </w:r>
      <w:r w:rsidR="00CB31D6" w:rsidRPr="00C86A14">
        <w:rPr>
          <w:rFonts w:ascii="Times New Roman" w:hAnsi="Times New Roman"/>
          <w:i/>
          <w:iCs/>
        </w:rPr>
        <w:t>Legal Profession Uniform Law</w:t>
      </w:r>
      <w:r w:rsidR="00CB31D6" w:rsidRPr="00C86A14">
        <w:rPr>
          <w:rFonts w:ascii="Times New Roman" w:hAnsi="Times New Roman"/>
        </w:rPr>
        <w:t xml:space="preserve"> (NSW) ("the Legal Profession Uniform Law")</w:t>
      </w:r>
      <w:r w:rsidR="00777B18" w:rsidRPr="00C86A14">
        <w:rPr>
          <w:rFonts w:ascii="Times New Roman" w:hAnsi="Times New Roman"/>
        </w:rPr>
        <w:t xml:space="preserve"> </w:t>
      </w:r>
      <w:r w:rsidR="00203E7D" w:rsidRPr="00C86A14">
        <w:rPr>
          <w:rFonts w:ascii="Times New Roman" w:hAnsi="Times New Roman"/>
        </w:rPr>
        <w:t xml:space="preserve">as </w:t>
      </w:r>
      <w:r w:rsidR="00CB31D6" w:rsidRPr="00C86A14">
        <w:rPr>
          <w:rFonts w:ascii="Times New Roman" w:hAnsi="Times New Roman"/>
        </w:rPr>
        <w:t xml:space="preserve">given force by the </w:t>
      </w:r>
      <w:r w:rsidR="00CB31D6" w:rsidRPr="00C86A14">
        <w:rPr>
          <w:rFonts w:ascii="Times New Roman" w:hAnsi="Times New Roman"/>
          <w:i/>
          <w:iCs/>
        </w:rPr>
        <w:t>Legal Profession Uniform Law Application Act 2014</w:t>
      </w:r>
      <w:r w:rsidR="00CB31D6" w:rsidRPr="00C86A14">
        <w:rPr>
          <w:rFonts w:ascii="Times New Roman" w:hAnsi="Times New Roman"/>
        </w:rPr>
        <w:t xml:space="preserve"> (NSW)</w:t>
      </w:r>
      <w:r w:rsidR="00C55FA9" w:rsidRPr="00C86A14">
        <w:rPr>
          <w:rFonts w:ascii="Times New Roman" w:hAnsi="Times New Roman"/>
        </w:rPr>
        <w:t>?</w:t>
      </w:r>
      <w:r w:rsidR="00CB31D6" w:rsidRPr="00C86A14">
        <w:rPr>
          <w:rFonts w:ascii="Times New Roman" w:hAnsi="Times New Roman"/>
        </w:rPr>
        <w:t xml:space="preserve"> </w:t>
      </w:r>
    </w:p>
    <w:p w14:paraId="0C19CB3D" w14:textId="6FAA09E8" w:rsidR="00CB31D6" w:rsidRPr="00C86A14" w:rsidRDefault="00C55FA9"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CB31D6" w:rsidRPr="00C86A14">
        <w:rPr>
          <w:rFonts w:ascii="Times New Roman" w:hAnsi="Times New Roman"/>
        </w:rPr>
        <w:t xml:space="preserve">The making of a CFO </w:t>
      </w:r>
      <w:r w:rsidR="00015CAB" w:rsidRPr="00C86A14">
        <w:rPr>
          <w:rFonts w:ascii="Times New Roman" w:hAnsi="Times New Roman"/>
        </w:rPr>
        <w:t xml:space="preserve">in such circumstances </w:t>
      </w:r>
      <w:r w:rsidR="00CB31D6" w:rsidRPr="00C86A14">
        <w:rPr>
          <w:rFonts w:ascii="Times New Roman" w:hAnsi="Times New Roman"/>
        </w:rPr>
        <w:t>would be novel</w:t>
      </w:r>
      <w:r w:rsidR="001C7BF9" w:rsidRPr="00C86A14">
        <w:rPr>
          <w:rFonts w:ascii="Times New Roman" w:hAnsi="Times New Roman"/>
        </w:rPr>
        <w:t>.</w:t>
      </w:r>
      <w:r w:rsidR="00CE12A2" w:rsidRPr="00C86A14">
        <w:rPr>
          <w:rStyle w:val="FootnoteReference"/>
          <w:rFonts w:ascii="Times New Roman" w:hAnsi="Times New Roman"/>
          <w:sz w:val="24"/>
        </w:rPr>
        <w:footnoteReference w:id="6"/>
      </w:r>
      <w:r w:rsidR="00CB31D6" w:rsidRPr="00C86A14">
        <w:rPr>
          <w:rFonts w:ascii="Times New Roman" w:hAnsi="Times New Roman"/>
        </w:rPr>
        <w:t xml:space="preserve"> In the course of </w:t>
      </w:r>
      <w:r w:rsidR="00206DB2" w:rsidRPr="00C86A14">
        <w:rPr>
          <w:rFonts w:ascii="Times New Roman" w:hAnsi="Times New Roman"/>
        </w:rPr>
        <w:t xml:space="preserve">the consolidated representative </w:t>
      </w:r>
      <w:r w:rsidR="00CB31D6" w:rsidRPr="00C86A14">
        <w:rPr>
          <w:rFonts w:ascii="Times New Roman" w:hAnsi="Times New Roman"/>
        </w:rPr>
        <w:t>proceedings</w:t>
      </w:r>
      <w:r w:rsidR="00206DB2" w:rsidRPr="00C86A14">
        <w:rPr>
          <w:rFonts w:ascii="Times New Roman" w:hAnsi="Times New Roman"/>
        </w:rPr>
        <w:t xml:space="preserve"> in the Federal Court in which the question was reserved for determination by the Full Court</w:t>
      </w:r>
      <w:r w:rsidR="00CB31D6" w:rsidRPr="00C86A14">
        <w:rPr>
          <w:rFonts w:ascii="Times New Roman" w:hAnsi="Times New Roman"/>
        </w:rPr>
        <w:t xml:space="preserve">, </w:t>
      </w:r>
      <w:r w:rsidR="008F5B2E" w:rsidRPr="00C86A14">
        <w:rPr>
          <w:rFonts w:ascii="Times New Roman" w:hAnsi="Times New Roman"/>
        </w:rPr>
        <w:t xml:space="preserve">a </w:t>
      </w:r>
      <w:r w:rsidR="003924BB" w:rsidRPr="00C86A14">
        <w:rPr>
          <w:rFonts w:ascii="Times New Roman" w:hAnsi="Times New Roman"/>
        </w:rPr>
        <w:t xml:space="preserve">settlement </w:t>
      </w:r>
      <w:r w:rsidR="008F5B2E" w:rsidRPr="00C86A14">
        <w:rPr>
          <w:rFonts w:ascii="Times New Roman" w:hAnsi="Times New Roman"/>
        </w:rPr>
        <w:t>CFO</w:t>
      </w:r>
      <w:r w:rsidR="0053529E" w:rsidRPr="00C86A14">
        <w:rPr>
          <w:rFonts w:ascii="Times New Roman" w:hAnsi="Times New Roman"/>
        </w:rPr>
        <w:t xml:space="preserve"> </w:t>
      </w:r>
      <w:r w:rsidR="003924BB" w:rsidRPr="00C86A14">
        <w:rPr>
          <w:rFonts w:ascii="Times New Roman" w:hAnsi="Times New Roman"/>
        </w:rPr>
        <w:t xml:space="preserve">or judgment </w:t>
      </w:r>
      <w:r w:rsidR="00181575" w:rsidRPr="00C86A14">
        <w:rPr>
          <w:rFonts w:ascii="Times New Roman" w:hAnsi="Times New Roman"/>
        </w:rPr>
        <w:t xml:space="preserve">CFO </w:t>
      </w:r>
      <w:r w:rsidR="00235A9C" w:rsidRPr="00C86A14">
        <w:rPr>
          <w:rFonts w:ascii="Times New Roman" w:hAnsi="Times New Roman"/>
        </w:rPr>
        <w:t>putatively mad</w:t>
      </w:r>
      <w:r w:rsidR="00475BC3" w:rsidRPr="00C86A14">
        <w:rPr>
          <w:rFonts w:ascii="Times New Roman" w:hAnsi="Times New Roman"/>
        </w:rPr>
        <w:t xml:space="preserve">e in such circumstances </w:t>
      </w:r>
      <w:r w:rsidR="002825EB" w:rsidRPr="00C86A14">
        <w:rPr>
          <w:rFonts w:ascii="Times New Roman" w:hAnsi="Times New Roman"/>
        </w:rPr>
        <w:t>came to be known as</w:t>
      </w:r>
      <w:r w:rsidR="00CB31D6" w:rsidRPr="00C86A14">
        <w:rPr>
          <w:rFonts w:ascii="Times New Roman" w:hAnsi="Times New Roman"/>
        </w:rPr>
        <w:t xml:space="preserve"> a "solicitor's CFO".</w:t>
      </w:r>
    </w:p>
    <w:p w14:paraId="333FB8CE" w14:textId="38A13747" w:rsidR="00CB31D6" w:rsidRPr="00C86A14" w:rsidRDefault="0070582F"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CB31D6" w:rsidRPr="00C86A14">
        <w:rPr>
          <w:rFonts w:ascii="Times New Roman" w:hAnsi="Times New Roman"/>
        </w:rPr>
        <w:t>The Full Court answered both parts of the question reserved in the affirmative.</w:t>
      </w:r>
      <w:r w:rsidR="00665379" w:rsidRPr="00C86A14">
        <w:rPr>
          <w:rStyle w:val="FootnoteReference"/>
          <w:rFonts w:ascii="Times New Roman" w:hAnsi="Times New Roman"/>
          <w:sz w:val="24"/>
        </w:rPr>
        <w:footnoteReference w:id="7"/>
      </w:r>
      <w:r w:rsidR="00402C43" w:rsidRPr="00C86A14">
        <w:rPr>
          <w:rFonts w:ascii="Times New Roman" w:hAnsi="Times New Roman"/>
        </w:rPr>
        <w:t xml:space="preserve"> </w:t>
      </w:r>
      <w:r w:rsidR="00DE0AD0" w:rsidRPr="00C86A14">
        <w:rPr>
          <w:rFonts w:ascii="Times New Roman" w:hAnsi="Times New Roman"/>
        </w:rPr>
        <w:t>In relation to the general part of the question, t</w:t>
      </w:r>
      <w:r w:rsidR="00CB31D6" w:rsidRPr="00C86A14">
        <w:rPr>
          <w:rFonts w:ascii="Times New Roman" w:hAnsi="Times New Roman"/>
        </w:rPr>
        <w:t xml:space="preserve">he Full Court </w:t>
      </w:r>
      <w:r w:rsidR="00F95AD5" w:rsidRPr="00C86A14">
        <w:rPr>
          <w:rFonts w:ascii="Times New Roman" w:hAnsi="Times New Roman"/>
        </w:rPr>
        <w:t xml:space="preserve">followed its earlier decision in </w:t>
      </w:r>
      <w:r w:rsidR="00F95AD5" w:rsidRPr="00C86A14">
        <w:rPr>
          <w:rFonts w:ascii="Times New Roman" w:hAnsi="Times New Roman"/>
          <w:i/>
          <w:iCs/>
        </w:rPr>
        <w:t>Elliott-Carde v McDonald's Australia Ltd</w:t>
      </w:r>
      <w:r w:rsidR="006A583D" w:rsidRPr="00C86A14">
        <w:rPr>
          <w:rStyle w:val="FootnoteReference"/>
          <w:rFonts w:ascii="Times New Roman" w:hAnsi="Times New Roman"/>
          <w:sz w:val="24"/>
        </w:rPr>
        <w:footnoteReference w:id="8"/>
      </w:r>
      <w:r w:rsidR="00F95AD5" w:rsidRPr="00C86A14">
        <w:rPr>
          <w:rFonts w:ascii="Times New Roman" w:hAnsi="Times New Roman"/>
        </w:rPr>
        <w:t xml:space="preserve"> </w:t>
      </w:r>
      <w:r w:rsidR="006A583D" w:rsidRPr="00C86A14">
        <w:rPr>
          <w:rFonts w:ascii="Times New Roman" w:hAnsi="Times New Roman"/>
        </w:rPr>
        <w:t xml:space="preserve">in </w:t>
      </w:r>
      <w:r w:rsidR="00CB31D6" w:rsidRPr="00C86A14">
        <w:rPr>
          <w:rFonts w:ascii="Times New Roman" w:hAnsi="Times New Roman"/>
        </w:rPr>
        <w:t>consider</w:t>
      </w:r>
      <w:r w:rsidR="006A583D" w:rsidRPr="00C86A14">
        <w:rPr>
          <w:rFonts w:ascii="Times New Roman" w:hAnsi="Times New Roman"/>
        </w:rPr>
        <w:t>ing</w:t>
      </w:r>
      <w:r w:rsidR="00CB31D6" w:rsidRPr="00C86A14">
        <w:rPr>
          <w:rFonts w:ascii="Times New Roman" w:hAnsi="Times New Roman"/>
        </w:rPr>
        <w:t xml:space="preserve"> that the Federal Court has power under s</w:t>
      </w:r>
      <w:r w:rsidR="009C2FB3" w:rsidRPr="00C86A14">
        <w:rPr>
          <w:rFonts w:ascii="Times New Roman" w:hAnsi="Times New Roman"/>
        </w:rPr>
        <w:t> </w:t>
      </w:r>
      <w:r w:rsidR="00CB31D6" w:rsidRPr="00C86A14">
        <w:rPr>
          <w:rFonts w:ascii="Times New Roman" w:hAnsi="Times New Roman"/>
        </w:rPr>
        <w:t>33V(2) and s</w:t>
      </w:r>
      <w:r w:rsidR="009C2FB3" w:rsidRPr="00C86A14">
        <w:rPr>
          <w:rFonts w:ascii="Times New Roman" w:hAnsi="Times New Roman"/>
        </w:rPr>
        <w:t> </w:t>
      </w:r>
      <w:r w:rsidR="00CB31D6" w:rsidRPr="00C86A14">
        <w:rPr>
          <w:rFonts w:ascii="Times New Roman" w:hAnsi="Times New Roman"/>
        </w:rPr>
        <w:t>33Z(1)(g) of the FCA to make a CFO</w:t>
      </w:r>
      <w:r w:rsidR="00382708" w:rsidRPr="00C86A14">
        <w:rPr>
          <w:rFonts w:ascii="Times New Roman" w:hAnsi="Times New Roman"/>
        </w:rPr>
        <w:t xml:space="preserve"> upon settlement or judgment</w:t>
      </w:r>
      <w:r w:rsidR="006A583D" w:rsidRPr="00C86A14">
        <w:rPr>
          <w:rFonts w:ascii="Times New Roman" w:hAnsi="Times New Roman"/>
        </w:rPr>
        <w:t>.</w:t>
      </w:r>
      <w:r w:rsidR="009729CD" w:rsidRPr="00C86A14">
        <w:rPr>
          <w:rStyle w:val="FootnoteReference"/>
          <w:rFonts w:ascii="Times New Roman" w:hAnsi="Times New Roman"/>
          <w:sz w:val="24"/>
        </w:rPr>
        <w:footnoteReference w:id="9"/>
      </w:r>
      <w:r w:rsidR="00CB31D6" w:rsidRPr="00C86A14">
        <w:rPr>
          <w:rFonts w:ascii="Times New Roman" w:hAnsi="Times New Roman"/>
        </w:rPr>
        <w:t xml:space="preserve"> </w:t>
      </w:r>
      <w:r w:rsidR="00466E46" w:rsidRPr="00C86A14">
        <w:rPr>
          <w:rFonts w:ascii="Times New Roman" w:hAnsi="Times New Roman"/>
        </w:rPr>
        <w:t>Building on that earlier decision</w:t>
      </w:r>
      <w:r w:rsidR="00D86EEE" w:rsidRPr="00C86A14">
        <w:rPr>
          <w:rFonts w:ascii="Times New Roman" w:hAnsi="Times New Roman"/>
        </w:rPr>
        <w:t xml:space="preserve"> in relation </w:t>
      </w:r>
      <w:r w:rsidR="00D86EEE" w:rsidRPr="00C86A14">
        <w:rPr>
          <w:rFonts w:ascii="Times New Roman" w:hAnsi="Times New Roman"/>
        </w:rPr>
        <w:lastRenderedPageBreak/>
        <w:t>to the</w:t>
      </w:r>
      <w:r w:rsidR="008E5607" w:rsidRPr="00C86A14">
        <w:rPr>
          <w:rFonts w:ascii="Times New Roman" w:hAnsi="Times New Roman"/>
        </w:rPr>
        <w:t xml:space="preserve"> </w:t>
      </w:r>
      <w:r w:rsidR="00D86EEE" w:rsidRPr="00C86A14">
        <w:rPr>
          <w:rFonts w:ascii="Times New Roman" w:hAnsi="Times New Roman"/>
        </w:rPr>
        <w:t>specific part of the question</w:t>
      </w:r>
      <w:r w:rsidR="00466E46" w:rsidRPr="00C86A14">
        <w:rPr>
          <w:rFonts w:ascii="Times New Roman" w:hAnsi="Times New Roman"/>
        </w:rPr>
        <w:t>, the Full Court</w:t>
      </w:r>
      <w:r w:rsidR="00CB31D6" w:rsidRPr="00C86A14">
        <w:rPr>
          <w:rFonts w:ascii="Times New Roman" w:hAnsi="Times New Roman"/>
        </w:rPr>
        <w:t xml:space="preserve"> </w:t>
      </w:r>
      <w:r w:rsidR="00A72BE7" w:rsidRPr="00C86A14">
        <w:rPr>
          <w:rFonts w:ascii="Times New Roman" w:hAnsi="Times New Roman"/>
        </w:rPr>
        <w:t xml:space="preserve">considered </w:t>
      </w:r>
      <w:r w:rsidR="00CB31D6" w:rsidRPr="00C86A14">
        <w:rPr>
          <w:rFonts w:ascii="Times New Roman" w:hAnsi="Times New Roman"/>
        </w:rPr>
        <w:t>th</w:t>
      </w:r>
      <w:r w:rsidR="00067B81" w:rsidRPr="00C86A14">
        <w:rPr>
          <w:rFonts w:ascii="Times New Roman" w:hAnsi="Times New Roman"/>
        </w:rPr>
        <w:t>ose</w:t>
      </w:r>
      <w:r w:rsidR="00CB31D6" w:rsidRPr="00C86A14">
        <w:rPr>
          <w:rFonts w:ascii="Times New Roman" w:hAnsi="Times New Roman"/>
        </w:rPr>
        <w:t xml:space="preserve"> power</w:t>
      </w:r>
      <w:r w:rsidR="00067B81" w:rsidRPr="00C86A14">
        <w:rPr>
          <w:rFonts w:ascii="Times New Roman" w:hAnsi="Times New Roman"/>
        </w:rPr>
        <w:t>s</w:t>
      </w:r>
      <w:r w:rsidR="00CB31D6" w:rsidRPr="00C86A14">
        <w:rPr>
          <w:rFonts w:ascii="Times New Roman" w:hAnsi="Times New Roman"/>
        </w:rPr>
        <w:t xml:space="preserve"> </w:t>
      </w:r>
      <w:r w:rsidR="00067B81" w:rsidRPr="00C86A14">
        <w:rPr>
          <w:rFonts w:ascii="Times New Roman" w:hAnsi="Times New Roman"/>
        </w:rPr>
        <w:t xml:space="preserve">to make </w:t>
      </w:r>
      <w:r w:rsidR="00382708" w:rsidRPr="00C86A14">
        <w:rPr>
          <w:rFonts w:ascii="Times New Roman" w:hAnsi="Times New Roman"/>
        </w:rPr>
        <w:t>such</w:t>
      </w:r>
      <w:r w:rsidR="00067B81" w:rsidRPr="00C86A14">
        <w:rPr>
          <w:rFonts w:ascii="Times New Roman" w:hAnsi="Times New Roman"/>
        </w:rPr>
        <w:t xml:space="preserve"> a CFO sufficient to </w:t>
      </w:r>
      <w:r w:rsidR="00CB31D6" w:rsidRPr="00C86A14">
        <w:rPr>
          <w:rFonts w:ascii="Times New Roman" w:hAnsi="Times New Roman"/>
        </w:rPr>
        <w:t>encompass power to make a solicitor's CFO.</w:t>
      </w:r>
      <w:r w:rsidR="00880C87" w:rsidRPr="00C86A14">
        <w:rPr>
          <w:rStyle w:val="FootnoteReference"/>
          <w:rFonts w:ascii="Times New Roman" w:hAnsi="Times New Roman"/>
          <w:sz w:val="24"/>
        </w:rPr>
        <w:footnoteReference w:id="10"/>
      </w:r>
      <w:r w:rsidR="00CB31D6" w:rsidRPr="00C86A14">
        <w:rPr>
          <w:rFonts w:ascii="Times New Roman" w:hAnsi="Times New Roman"/>
        </w:rPr>
        <w:t xml:space="preserve">  </w:t>
      </w:r>
    </w:p>
    <w:p w14:paraId="0751ED5C" w14:textId="33E57B5B" w:rsidR="00CB31D6" w:rsidRPr="00C86A14" w:rsidRDefault="00EF3BF2"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E64C2E" w:rsidRPr="00C86A14">
        <w:rPr>
          <w:rFonts w:ascii="Times New Roman" w:hAnsi="Times New Roman"/>
        </w:rPr>
        <w:t>T</w:t>
      </w:r>
      <w:r w:rsidR="00310211" w:rsidRPr="00C86A14">
        <w:rPr>
          <w:rFonts w:ascii="Times New Roman" w:hAnsi="Times New Roman"/>
        </w:rPr>
        <w:t xml:space="preserve">he consequence </w:t>
      </w:r>
      <w:r w:rsidR="000C4241" w:rsidRPr="00C86A14">
        <w:rPr>
          <w:rFonts w:ascii="Times New Roman" w:hAnsi="Times New Roman"/>
        </w:rPr>
        <w:t xml:space="preserve">of </w:t>
      </w:r>
      <w:r w:rsidR="00577854" w:rsidRPr="00C86A14">
        <w:rPr>
          <w:rFonts w:ascii="Times New Roman" w:hAnsi="Times New Roman"/>
        </w:rPr>
        <w:t xml:space="preserve">the judgment of the Full Court embodying those answers </w:t>
      </w:r>
      <w:r w:rsidR="000C3B8D" w:rsidRPr="00C86A14">
        <w:rPr>
          <w:rFonts w:ascii="Times New Roman" w:hAnsi="Times New Roman"/>
        </w:rPr>
        <w:t>for</w:t>
      </w:r>
      <w:r w:rsidR="003E0481" w:rsidRPr="00C86A14">
        <w:rPr>
          <w:rFonts w:ascii="Times New Roman" w:hAnsi="Times New Roman"/>
        </w:rPr>
        <w:t xml:space="preserve"> the conduct </w:t>
      </w:r>
      <w:r w:rsidR="00CB31D6" w:rsidRPr="00C86A14">
        <w:rPr>
          <w:rFonts w:ascii="Times New Roman" w:hAnsi="Times New Roman"/>
        </w:rPr>
        <w:t>of th</w:t>
      </w:r>
      <w:r w:rsidR="00335582" w:rsidRPr="00C86A14">
        <w:rPr>
          <w:rFonts w:ascii="Times New Roman" w:hAnsi="Times New Roman"/>
        </w:rPr>
        <w:t>e consolidated representative</w:t>
      </w:r>
      <w:r w:rsidR="00CB31D6" w:rsidRPr="00C86A14">
        <w:rPr>
          <w:rFonts w:ascii="Times New Roman" w:hAnsi="Times New Roman"/>
        </w:rPr>
        <w:t xml:space="preserve"> proceedings</w:t>
      </w:r>
      <w:r w:rsidR="000C4241" w:rsidRPr="00C86A14">
        <w:rPr>
          <w:rFonts w:ascii="Times New Roman" w:hAnsi="Times New Roman"/>
        </w:rPr>
        <w:t xml:space="preserve"> </w:t>
      </w:r>
      <w:r w:rsidR="001635BC" w:rsidRPr="00C86A14">
        <w:rPr>
          <w:rFonts w:ascii="Times New Roman" w:hAnsi="Times New Roman"/>
        </w:rPr>
        <w:t>is</w:t>
      </w:r>
      <w:r w:rsidR="00CB31D6" w:rsidRPr="00C86A14">
        <w:rPr>
          <w:rFonts w:ascii="Times New Roman" w:hAnsi="Times New Roman"/>
        </w:rPr>
        <w:t xml:space="preserve"> to pave the way for the inclusion in a notice to group members to be approved by the Federal Court under s</w:t>
      </w:r>
      <w:r w:rsidR="009C2FB3" w:rsidRPr="00C86A14">
        <w:rPr>
          <w:rFonts w:ascii="Times New Roman" w:hAnsi="Times New Roman"/>
        </w:rPr>
        <w:t> </w:t>
      </w:r>
      <w:r w:rsidR="00CB31D6" w:rsidRPr="00C86A14">
        <w:rPr>
          <w:rFonts w:ascii="Times New Roman" w:hAnsi="Times New Roman"/>
        </w:rPr>
        <w:t>33X of the FCA of a statement of the intention of the applicants to seek a</w:t>
      </w:r>
      <w:r w:rsidR="00C0464D" w:rsidRPr="00C86A14">
        <w:rPr>
          <w:rFonts w:ascii="Times New Roman" w:hAnsi="Times New Roman"/>
        </w:rPr>
        <w:t xml:space="preserve"> solicitor's CFO </w:t>
      </w:r>
      <w:r w:rsidR="00CB31D6" w:rsidRPr="00C86A14">
        <w:rPr>
          <w:rFonts w:ascii="Times New Roman" w:hAnsi="Times New Roman"/>
        </w:rPr>
        <w:t>in the event of settlement or judgment</w:t>
      </w:r>
      <w:r w:rsidR="00836A2F" w:rsidRPr="00C86A14">
        <w:rPr>
          <w:rFonts w:ascii="Times New Roman" w:hAnsi="Times New Roman"/>
        </w:rPr>
        <w:t xml:space="preserve">. </w:t>
      </w:r>
      <w:r w:rsidR="00DB57FB" w:rsidRPr="00C86A14">
        <w:rPr>
          <w:rFonts w:ascii="Times New Roman" w:hAnsi="Times New Roman"/>
        </w:rPr>
        <w:t>Against the background described by Gordon, Steward</w:t>
      </w:r>
      <w:r w:rsidR="00711435" w:rsidRPr="00C86A14">
        <w:rPr>
          <w:rFonts w:ascii="Times New Roman" w:hAnsi="Times New Roman"/>
        </w:rPr>
        <w:t>, Gleeson</w:t>
      </w:r>
      <w:r w:rsidR="00DB57FB" w:rsidRPr="00C86A14">
        <w:rPr>
          <w:rFonts w:ascii="Times New Roman" w:hAnsi="Times New Roman"/>
        </w:rPr>
        <w:t xml:space="preserve"> and Beech-Jones JJ and by Jagot J, t</w:t>
      </w:r>
      <w:r w:rsidR="00836A2F" w:rsidRPr="00C86A14">
        <w:rPr>
          <w:rFonts w:ascii="Times New Roman" w:hAnsi="Times New Roman"/>
        </w:rPr>
        <w:t>he</w:t>
      </w:r>
      <w:r w:rsidR="00E2155F" w:rsidRPr="00C86A14">
        <w:rPr>
          <w:rFonts w:ascii="Times New Roman" w:hAnsi="Times New Roman"/>
        </w:rPr>
        <w:t xml:space="preserve"> solicitor's CFO to be </w:t>
      </w:r>
      <w:r w:rsidR="008F3203" w:rsidRPr="00C86A14">
        <w:rPr>
          <w:rFonts w:ascii="Times New Roman" w:hAnsi="Times New Roman"/>
        </w:rPr>
        <w:t xml:space="preserve">so </w:t>
      </w:r>
      <w:r w:rsidR="00E2155F" w:rsidRPr="00C86A14">
        <w:rPr>
          <w:rFonts w:ascii="Times New Roman" w:hAnsi="Times New Roman"/>
        </w:rPr>
        <w:t xml:space="preserve">sought </w:t>
      </w:r>
      <w:r w:rsidR="002A10BE" w:rsidRPr="00C86A14">
        <w:rPr>
          <w:rFonts w:ascii="Times New Roman" w:hAnsi="Times New Roman"/>
        </w:rPr>
        <w:t xml:space="preserve">by the applicants </w:t>
      </w:r>
      <w:r w:rsidR="008F3203" w:rsidRPr="00C86A14">
        <w:rPr>
          <w:rFonts w:ascii="Times New Roman" w:hAnsi="Times New Roman"/>
        </w:rPr>
        <w:t xml:space="preserve">in the </w:t>
      </w:r>
      <w:r w:rsidR="00CE65F9" w:rsidRPr="00C86A14">
        <w:rPr>
          <w:rFonts w:ascii="Times New Roman" w:hAnsi="Times New Roman"/>
        </w:rPr>
        <w:t>consolidated proceedings</w:t>
      </w:r>
      <w:r w:rsidR="002A10BE" w:rsidRPr="00C86A14">
        <w:rPr>
          <w:rFonts w:ascii="Times New Roman" w:hAnsi="Times New Roman"/>
        </w:rPr>
        <w:t xml:space="preserve"> </w:t>
      </w:r>
      <w:r w:rsidR="008F3203" w:rsidRPr="00C86A14">
        <w:rPr>
          <w:rFonts w:ascii="Times New Roman" w:hAnsi="Times New Roman"/>
        </w:rPr>
        <w:t xml:space="preserve">in the event of settlement or judgment </w:t>
      </w:r>
      <w:r w:rsidR="00BF1F70" w:rsidRPr="00C86A14">
        <w:rPr>
          <w:rFonts w:ascii="Times New Roman" w:hAnsi="Times New Roman"/>
        </w:rPr>
        <w:t xml:space="preserve">would </w:t>
      </w:r>
      <w:r w:rsidR="004D4A4B" w:rsidRPr="00C86A14">
        <w:rPr>
          <w:rFonts w:ascii="Times New Roman" w:hAnsi="Times New Roman"/>
        </w:rPr>
        <w:t xml:space="preserve">be governed by the terms </w:t>
      </w:r>
      <w:r w:rsidR="00A97FAC" w:rsidRPr="00C86A14">
        <w:rPr>
          <w:rFonts w:ascii="Times New Roman" w:hAnsi="Times New Roman"/>
        </w:rPr>
        <w:t xml:space="preserve">of the </w:t>
      </w:r>
      <w:r w:rsidR="00454AA4" w:rsidRPr="00C86A14">
        <w:rPr>
          <w:rFonts w:ascii="Times New Roman" w:hAnsi="Times New Roman"/>
        </w:rPr>
        <w:t xml:space="preserve">written </w:t>
      </w:r>
      <w:r w:rsidR="000F17FA" w:rsidRPr="00C86A14">
        <w:rPr>
          <w:rFonts w:ascii="Times New Roman" w:hAnsi="Times New Roman"/>
        </w:rPr>
        <w:t xml:space="preserve">contract of </w:t>
      </w:r>
      <w:r w:rsidR="00A97FAC" w:rsidRPr="00C86A14">
        <w:rPr>
          <w:rFonts w:ascii="Times New Roman" w:hAnsi="Times New Roman"/>
        </w:rPr>
        <w:t xml:space="preserve">retainer </w:t>
      </w:r>
      <w:r w:rsidR="002A10BE" w:rsidRPr="00C86A14">
        <w:rPr>
          <w:rFonts w:ascii="Times New Roman" w:hAnsi="Times New Roman"/>
        </w:rPr>
        <w:t>between the applicants and</w:t>
      </w:r>
      <w:r w:rsidR="000F17FA" w:rsidRPr="00C86A14">
        <w:rPr>
          <w:rFonts w:ascii="Times New Roman" w:hAnsi="Times New Roman"/>
        </w:rPr>
        <w:t xml:space="preserve"> </w:t>
      </w:r>
      <w:r w:rsidR="00531EEC" w:rsidRPr="00C86A14">
        <w:rPr>
          <w:rFonts w:ascii="Times New Roman" w:hAnsi="Times New Roman"/>
        </w:rPr>
        <w:t>their</w:t>
      </w:r>
      <w:r w:rsidR="00454AA4" w:rsidRPr="00C86A14">
        <w:rPr>
          <w:rFonts w:ascii="Times New Roman" w:hAnsi="Times New Roman"/>
        </w:rPr>
        <w:t xml:space="preserve"> solicitors</w:t>
      </w:r>
      <w:r w:rsidR="000E2056" w:rsidRPr="00C86A14">
        <w:rPr>
          <w:rFonts w:ascii="Times New Roman" w:hAnsi="Times New Roman"/>
        </w:rPr>
        <w:t>,</w:t>
      </w:r>
      <w:r w:rsidR="00454AA4" w:rsidRPr="00C86A14">
        <w:rPr>
          <w:rFonts w:ascii="Times New Roman" w:hAnsi="Times New Roman"/>
        </w:rPr>
        <w:t xml:space="preserve"> </w:t>
      </w:r>
      <w:r w:rsidR="002169C9" w:rsidRPr="00C86A14">
        <w:rPr>
          <w:rFonts w:ascii="Times New Roman" w:hAnsi="Times New Roman"/>
        </w:rPr>
        <w:t xml:space="preserve">as those terms would </w:t>
      </w:r>
      <w:r w:rsidR="00847E52" w:rsidRPr="00C86A14">
        <w:rPr>
          <w:rFonts w:ascii="Times New Roman" w:hAnsi="Times New Roman"/>
        </w:rPr>
        <w:t xml:space="preserve">come </w:t>
      </w:r>
      <w:r w:rsidR="00C46868" w:rsidRPr="00C86A14">
        <w:rPr>
          <w:rFonts w:ascii="Times New Roman" w:hAnsi="Times New Roman"/>
        </w:rPr>
        <w:t>by agreement</w:t>
      </w:r>
      <w:r w:rsidR="00847E52" w:rsidRPr="00C86A14">
        <w:rPr>
          <w:rFonts w:ascii="Times New Roman" w:hAnsi="Times New Roman"/>
        </w:rPr>
        <w:t xml:space="preserve"> to</w:t>
      </w:r>
      <w:r w:rsidR="00C46868" w:rsidRPr="00C86A14">
        <w:rPr>
          <w:rFonts w:ascii="Times New Roman" w:hAnsi="Times New Roman"/>
        </w:rPr>
        <w:t xml:space="preserve"> be amended upon the making </w:t>
      </w:r>
      <w:r w:rsidR="000D1BF9" w:rsidRPr="00C86A14">
        <w:rPr>
          <w:rFonts w:ascii="Times New Roman" w:hAnsi="Times New Roman"/>
        </w:rPr>
        <w:t xml:space="preserve">of the order for the giving of the notice. </w:t>
      </w:r>
      <w:r w:rsidR="009B16EE" w:rsidRPr="00C86A14">
        <w:rPr>
          <w:rFonts w:ascii="Times New Roman" w:hAnsi="Times New Roman"/>
        </w:rPr>
        <w:t xml:space="preserve">The precise </w:t>
      </w:r>
      <w:r w:rsidR="00F3003F" w:rsidRPr="00C86A14">
        <w:rPr>
          <w:rFonts w:ascii="Times New Roman" w:hAnsi="Times New Roman"/>
        </w:rPr>
        <w:t>form</w:t>
      </w:r>
      <w:r w:rsidR="009B16EE" w:rsidRPr="00C86A14">
        <w:rPr>
          <w:rFonts w:ascii="Times New Roman" w:hAnsi="Times New Roman"/>
        </w:rPr>
        <w:t xml:space="preserve"> of the solicitor's CFO to be sought in accordance</w:t>
      </w:r>
      <w:r w:rsidR="00A9350A" w:rsidRPr="00C86A14">
        <w:rPr>
          <w:rFonts w:ascii="Times New Roman" w:hAnsi="Times New Roman"/>
        </w:rPr>
        <w:t xml:space="preserve"> with</w:t>
      </w:r>
      <w:r w:rsidR="009B16EE" w:rsidRPr="00C86A14">
        <w:rPr>
          <w:rFonts w:ascii="Times New Roman" w:hAnsi="Times New Roman"/>
        </w:rPr>
        <w:t xml:space="preserve"> </w:t>
      </w:r>
      <w:r w:rsidR="00F3003F" w:rsidRPr="00C86A14">
        <w:rPr>
          <w:rFonts w:ascii="Times New Roman" w:hAnsi="Times New Roman"/>
        </w:rPr>
        <w:t>the terms of the retainer as</w:t>
      </w:r>
      <w:r w:rsidR="00847E52" w:rsidRPr="00C86A14">
        <w:rPr>
          <w:rFonts w:ascii="Times New Roman" w:hAnsi="Times New Roman"/>
        </w:rPr>
        <w:t xml:space="preserve"> </w:t>
      </w:r>
      <w:r w:rsidR="00F3003F" w:rsidRPr="00C86A14">
        <w:rPr>
          <w:rFonts w:ascii="Times New Roman" w:hAnsi="Times New Roman"/>
        </w:rPr>
        <w:t>amended</w:t>
      </w:r>
      <w:r w:rsidR="00E95CFE" w:rsidRPr="00C86A14">
        <w:rPr>
          <w:rFonts w:ascii="Times New Roman" w:hAnsi="Times New Roman"/>
        </w:rPr>
        <w:t xml:space="preserve"> </w:t>
      </w:r>
      <w:r w:rsidR="009B16EE" w:rsidRPr="00C86A14">
        <w:rPr>
          <w:rFonts w:ascii="Times New Roman" w:hAnsi="Times New Roman"/>
        </w:rPr>
        <w:t xml:space="preserve">would be </w:t>
      </w:r>
      <w:r w:rsidR="00CB31D6" w:rsidRPr="00C86A14">
        <w:rPr>
          <w:rFonts w:ascii="Times New Roman" w:hAnsi="Times New Roman"/>
        </w:rPr>
        <w:t xml:space="preserve">that the solicitors be paid out of </w:t>
      </w:r>
      <w:r w:rsidR="00847E52" w:rsidRPr="00C86A14">
        <w:rPr>
          <w:rFonts w:ascii="Times New Roman" w:hAnsi="Times New Roman"/>
        </w:rPr>
        <w:t>the</w:t>
      </w:r>
      <w:r w:rsidR="00CB31D6" w:rsidRPr="00C86A14">
        <w:rPr>
          <w:rFonts w:ascii="Times New Roman" w:hAnsi="Times New Roman"/>
        </w:rPr>
        <w:t xml:space="preserve"> settlement or judgment sum</w:t>
      </w:r>
      <w:r w:rsidR="00C0464D" w:rsidRPr="00C86A14">
        <w:rPr>
          <w:rFonts w:ascii="Times New Roman" w:hAnsi="Times New Roman"/>
        </w:rPr>
        <w:t xml:space="preserve"> </w:t>
      </w:r>
      <w:r w:rsidR="00CB31D6" w:rsidRPr="00C86A14">
        <w:rPr>
          <w:rFonts w:ascii="Times New Roman" w:hAnsi="Times New Roman"/>
        </w:rPr>
        <w:t>such amount (being not greater than 30% of the settlement or judgment sum) as the Federal Court</w:t>
      </w:r>
      <w:r w:rsidR="00F3003F" w:rsidRPr="00C86A14">
        <w:rPr>
          <w:rFonts w:ascii="Times New Roman" w:hAnsi="Times New Roman"/>
        </w:rPr>
        <w:t xml:space="preserve"> </w:t>
      </w:r>
      <w:r w:rsidR="00CB31D6" w:rsidRPr="00C86A14">
        <w:rPr>
          <w:rFonts w:ascii="Times New Roman" w:hAnsi="Times New Roman"/>
        </w:rPr>
        <w:t xml:space="preserve">considers </w:t>
      </w:r>
      <w:r w:rsidR="009C3AC9" w:rsidRPr="00C86A14">
        <w:rPr>
          <w:rFonts w:ascii="Times New Roman" w:hAnsi="Times New Roman"/>
        </w:rPr>
        <w:t xml:space="preserve">at the time of making the CFO to be </w:t>
      </w:r>
      <w:r w:rsidR="00CB31D6" w:rsidRPr="00C86A14">
        <w:rPr>
          <w:rFonts w:ascii="Times New Roman" w:hAnsi="Times New Roman"/>
        </w:rPr>
        <w:t>fair and reasonable in all the circumstances</w:t>
      </w:r>
      <w:r w:rsidR="00C0464D" w:rsidRPr="00C86A14">
        <w:rPr>
          <w:rFonts w:ascii="Times New Roman" w:hAnsi="Times New Roman"/>
        </w:rPr>
        <w:t xml:space="preserve"> </w:t>
      </w:r>
      <w:r w:rsidR="001B5EC9" w:rsidRPr="00C86A14">
        <w:rPr>
          <w:rFonts w:ascii="Times New Roman" w:hAnsi="Times New Roman"/>
        </w:rPr>
        <w:t>in addition to</w:t>
      </w:r>
      <w:r w:rsidR="00C0464D" w:rsidRPr="00C86A14">
        <w:rPr>
          <w:rFonts w:ascii="Times New Roman" w:hAnsi="Times New Roman"/>
        </w:rPr>
        <w:t xml:space="preserve"> professional costs and disbursements incurred by the solicitors in acting for the applicants</w:t>
      </w:r>
      <w:r w:rsidR="00CB31D6" w:rsidRPr="00C86A14">
        <w:rPr>
          <w:rFonts w:ascii="Times New Roman" w:hAnsi="Times New Roman"/>
        </w:rPr>
        <w:t>.</w:t>
      </w:r>
    </w:p>
    <w:p w14:paraId="70A208CD" w14:textId="35BAB022" w:rsidR="00CB31D6" w:rsidRPr="00C86A14" w:rsidRDefault="00EF3BF2"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3F13CA" w:rsidRPr="00C86A14">
        <w:rPr>
          <w:rFonts w:ascii="Times New Roman" w:hAnsi="Times New Roman"/>
        </w:rPr>
        <w:t>In my opinion, t</w:t>
      </w:r>
      <w:r w:rsidR="00CB31D6" w:rsidRPr="00C86A14">
        <w:rPr>
          <w:rFonts w:ascii="Times New Roman" w:hAnsi="Times New Roman"/>
        </w:rPr>
        <w:t>he Full Court</w:t>
      </w:r>
      <w:r w:rsidR="002E1B31" w:rsidRPr="00C86A14">
        <w:rPr>
          <w:rFonts w:ascii="Times New Roman" w:hAnsi="Times New Roman"/>
        </w:rPr>
        <w:t xml:space="preserve">'s </w:t>
      </w:r>
      <w:r w:rsidR="00CB31D6" w:rsidRPr="00C86A14">
        <w:rPr>
          <w:rFonts w:ascii="Times New Roman" w:hAnsi="Times New Roman"/>
        </w:rPr>
        <w:t>answer to the general part of the question</w:t>
      </w:r>
      <w:r w:rsidR="002E1B31" w:rsidRPr="00C86A14">
        <w:rPr>
          <w:rFonts w:ascii="Times New Roman" w:hAnsi="Times New Roman"/>
        </w:rPr>
        <w:t xml:space="preserve"> was</w:t>
      </w:r>
      <w:r w:rsidR="001F4162" w:rsidRPr="00C86A14">
        <w:rPr>
          <w:rFonts w:ascii="Times New Roman" w:hAnsi="Times New Roman"/>
        </w:rPr>
        <w:t xml:space="preserve"> </w:t>
      </w:r>
      <w:r w:rsidR="002E1B31" w:rsidRPr="00C86A14">
        <w:rPr>
          <w:rFonts w:ascii="Times New Roman" w:hAnsi="Times New Roman"/>
        </w:rPr>
        <w:t>correct</w:t>
      </w:r>
      <w:r w:rsidR="00A81BF1" w:rsidRPr="00C86A14">
        <w:rPr>
          <w:rFonts w:ascii="Times New Roman" w:hAnsi="Times New Roman"/>
        </w:rPr>
        <w:t>.</w:t>
      </w:r>
      <w:r w:rsidR="00CB31D6" w:rsidRPr="00C86A14">
        <w:rPr>
          <w:rFonts w:ascii="Times New Roman" w:hAnsi="Times New Roman"/>
        </w:rPr>
        <w:t xml:space="preserve"> </w:t>
      </w:r>
      <w:r w:rsidR="00A81BF1" w:rsidRPr="00C86A14">
        <w:rPr>
          <w:rFonts w:ascii="Times New Roman" w:hAnsi="Times New Roman"/>
        </w:rPr>
        <w:t>T</w:t>
      </w:r>
      <w:r w:rsidR="00CB31D6" w:rsidRPr="00C86A14">
        <w:rPr>
          <w:rFonts w:ascii="Times New Roman" w:hAnsi="Times New Roman"/>
        </w:rPr>
        <w:t>he power conferred on the Federal Court by s</w:t>
      </w:r>
      <w:r w:rsidR="00942B5B" w:rsidRPr="00C86A14">
        <w:rPr>
          <w:rFonts w:ascii="Times New Roman" w:hAnsi="Times New Roman"/>
        </w:rPr>
        <w:t> </w:t>
      </w:r>
      <w:r w:rsidR="00CB31D6" w:rsidRPr="00C86A14">
        <w:rPr>
          <w:rFonts w:ascii="Times New Roman" w:hAnsi="Times New Roman"/>
        </w:rPr>
        <w:t>33</w:t>
      </w:r>
      <w:proofErr w:type="gramStart"/>
      <w:r w:rsidR="00CB31D6" w:rsidRPr="00C86A14">
        <w:rPr>
          <w:rFonts w:ascii="Times New Roman" w:hAnsi="Times New Roman"/>
        </w:rPr>
        <w:t>V(</w:t>
      </w:r>
      <w:proofErr w:type="gramEnd"/>
      <w:r w:rsidR="00CB31D6" w:rsidRPr="00C86A14">
        <w:rPr>
          <w:rFonts w:ascii="Times New Roman" w:hAnsi="Times New Roman"/>
        </w:rPr>
        <w:t>2) of the FCA, to "make such orders as are just with respect to the distribution of any money paid under a settlement", is broad enough to empower the</w:t>
      </w:r>
      <w:r w:rsidR="005642DC" w:rsidRPr="00C86A14">
        <w:rPr>
          <w:rFonts w:ascii="Times New Roman" w:hAnsi="Times New Roman"/>
        </w:rPr>
        <w:t xml:space="preserve"> Federal Court to make a</w:t>
      </w:r>
      <w:r w:rsidR="00CA3089" w:rsidRPr="00C86A14">
        <w:rPr>
          <w:rFonts w:ascii="Times New Roman" w:hAnsi="Times New Roman"/>
        </w:rPr>
        <w:t xml:space="preserve"> settlement</w:t>
      </w:r>
      <w:r w:rsidR="005642DC" w:rsidRPr="00C86A14">
        <w:rPr>
          <w:rFonts w:ascii="Times New Roman" w:hAnsi="Times New Roman"/>
        </w:rPr>
        <w:t xml:space="preserve"> </w:t>
      </w:r>
      <w:r w:rsidR="00CB31D6" w:rsidRPr="00C86A14">
        <w:rPr>
          <w:rFonts w:ascii="Times New Roman" w:hAnsi="Times New Roman"/>
        </w:rPr>
        <w:t>CFO</w:t>
      </w:r>
      <w:r w:rsidR="0025295A" w:rsidRPr="00C86A14">
        <w:rPr>
          <w:rFonts w:ascii="Times New Roman" w:hAnsi="Times New Roman"/>
        </w:rPr>
        <w:t xml:space="preserve">. </w:t>
      </w:r>
      <w:r w:rsidR="00FA7C36" w:rsidRPr="00C86A14">
        <w:rPr>
          <w:rFonts w:ascii="Times New Roman" w:hAnsi="Times New Roman"/>
        </w:rPr>
        <w:t>Likewise, t</w:t>
      </w:r>
      <w:r w:rsidR="00CB31D6" w:rsidRPr="00C86A14">
        <w:rPr>
          <w:rFonts w:ascii="Times New Roman" w:hAnsi="Times New Roman"/>
        </w:rPr>
        <w:t>he power conferred on the Federal Court by s</w:t>
      </w:r>
      <w:r w:rsidR="00942B5B" w:rsidRPr="00C86A14">
        <w:rPr>
          <w:rFonts w:ascii="Times New Roman" w:hAnsi="Times New Roman"/>
        </w:rPr>
        <w:t> </w:t>
      </w:r>
      <w:r w:rsidR="00CB31D6" w:rsidRPr="00C86A14">
        <w:rPr>
          <w:rFonts w:ascii="Times New Roman" w:hAnsi="Times New Roman"/>
        </w:rPr>
        <w:t xml:space="preserve">33Z(1)(g) of the FCA, to "make such other order as the Court thinks just" in "determining a matter in a representative proceeding", is broad enough to empower the making of a </w:t>
      </w:r>
      <w:r w:rsidR="00CA3089" w:rsidRPr="00C86A14">
        <w:rPr>
          <w:rFonts w:ascii="Times New Roman" w:hAnsi="Times New Roman"/>
        </w:rPr>
        <w:t xml:space="preserve">judgment </w:t>
      </w:r>
      <w:r w:rsidR="00CB31D6" w:rsidRPr="00C86A14">
        <w:rPr>
          <w:rFonts w:ascii="Times New Roman" w:hAnsi="Times New Roman"/>
        </w:rPr>
        <w:t>CFO. In</w:t>
      </w:r>
      <w:r w:rsidR="00A9350A" w:rsidRPr="00C86A14">
        <w:rPr>
          <w:rFonts w:ascii="Times New Roman" w:hAnsi="Times New Roman"/>
        </w:rPr>
        <w:t xml:space="preserve"> the</w:t>
      </w:r>
      <w:r w:rsidR="00CB31D6" w:rsidRPr="00C86A14">
        <w:rPr>
          <w:rFonts w:ascii="Times New Roman" w:hAnsi="Times New Roman"/>
        </w:rPr>
        <w:t xml:space="preserve"> t</w:t>
      </w:r>
      <w:r w:rsidR="00A136FA" w:rsidRPr="00C86A14">
        <w:rPr>
          <w:rFonts w:ascii="Times New Roman" w:hAnsi="Times New Roman"/>
        </w:rPr>
        <w:t>erminology</w:t>
      </w:r>
      <w:r w:rsidR="00CB31D6" w:rsidRPr="00C86A14">
        <w:rPr>
          <w:rFonts w:ascii="Times New Roman" w:hAnsi="Times New Roman"/>
        </w:rPr>
        <w:t xml:space="preserve"> of the separate question, the making of a CFO is "licit".</w:t>
      </w:r>
    </w:p>
    <w:p w14:paraId="29419979" w14:textId="05BF778D" w:rsidR="001F5131" w:rsidRPr="00C86A14" w:rsidRDefault="00EF3BF2"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0F26DD" w:rsidRPr="00C86A14">
        <w:rPr>
          <w:rFonts w:ascii="Times New Roman" w:hAnsi="Times New Roman"/>
        </w:rPr>
        <w:t>I</w:t>
      </w:r>
      <w:r w:rsidR="00372F9A" w:rsidRPr="00C86A14">
        <w:rPr>
          <w:rFonts w:ascii="Times New Roman" w:hAnsi="Times New Roman"/>
        </w:rPr>
        <w:t>n my o</w:t>
      </w:r>
      <w:r w:rsidR="00BD5D41" w:rsidRPr="00C86A14">
        <w:rPr>
          <w:rFonts w:ascii="Times New Roman" w:hAnsi="Times New Roman"/>
        </w:rPr>
        <w:t>pinion</w:t>
      </w:r>
      <w:r w:rsidR="00632079" w:rsidRPr="00C86A14">
        <w:rPr>
          <w:rFonts w:ascii="Times New Roman" w:hAnsi="Times New Roman"/>
        </w:rPr>
        <w:t>,</w:t>
      </w:r>
      <w:r w:rsidR="00BD5D41" w:rsidRPr="00C86A14">
        <w:rPr>
          <w:rFonts w:ascii="Times New Roman" w:hAnsi="Times New Roman"/>
        </w:rPr>
        <w:t xml:space="preserve"> </w:t>
      </w:r>
      <w:r w:rsidR="000F26DD" w:rsidRPr="00C86A14">
        <w:rPr>
          <w:rFonts w:ascii="Times New Roman" w:hAnsi="Times New Roman"/>
        </w:rPr>
        <w:t xml:space="preserve">however, </w:t>
      </w:r>
      <w:r w:rsidR="00BD5D41" w:rsidRPr="00C86A14">
        <w:rPr>
          <w:rFonts w:ascii="Times New Roman" w:hAnsi="Times New Roman"/>
        </w:rPr>
        <w:t>t</w:t>
      </w:r>
      <w:r w:rsidR="00CB31D6" w:rsidRPr="00C86A14">
        <w:rPr>
          <w:rFonts w:ascii="Times New Roman" w:hAnsi="Times New Roman"/>
        </w:rPr>
        <w:t>he Full Court</w:t>
      </w:r>
      <w:r w:rsidR="00632079" w:rsidRPr="00C86A14">
        <w:rPr>
          <w:rFonts w:ascii="Times New Roman" w:hAnsi="Times New Roman"/>
        </w:rPr>
        <w:t>'s</w:t>
      </w:r>
      <w:r w:rsidR="00CB31D6" w:rsidRPr="00C86A14">
        <w:rPr>
          <w:rFonts w:ascii="Times New Roman" w:hAnsi="Times New Roman"/>
        </w:rPr>
        <w:t xml:space="preserve"> answer to the</w:t>
      </w:r>
      <w:r w:rsidR="00372F9A" w:rsidRPr="00C86A14">
        <w:rPr>
          <w:rFonts w:ascii="Times New Roman" w:hAnsi="Times New Roman"/>
        </w:rPr>
        <w:t xml:space="preserve"> </w:t>
      </w:r>
      <w:r w:rsidR="00CB31D6" w:rsidRPr="00C86A14">
        <w:rPr>
          <w:rFonts w:ascii="Times New Roman" w:hAnsi="Times New Roman"/>
        </w:rPr>
        <w:t>specific part of the question</w:t>
      </w:r>
      <w:r w:rsidR="00632079" w:rsidRPr="00C86A14">
        <w:rPr>
          <w:rFonts w:ascii="Times New Roman" w:hAnsi="Times New Roman"/>
        </w:rPr>
        <w:t xml:space="preserve"> was incorrect</w:t>
      </w:r>
      <w:r w:rsidR="00CB31D6" w:rsidRPr="00C86A14">
        <w:rPr>
          <w:rFonts w:ascii="Times New Roman" w:hAnsi="Times New Roman"/>
        </w:rPr>
        <w:t xml:space="preserve">. </w:t>
      </w:r>
      <w:r w:rsidR="00F71CE3" w:rsidRPr="00C86A14">
        <w:rPr>
          <w:rFonts w:ascii="Times New Roman" w:hAnsi="Times New Roman"/>
        </w:rPr>
        <w:t>My</w:t>
      </w:r>
      <w:r w:rsidR="008E523D" w:rsidRPr="00C86A14">
        <w:rPr>
          <w:rFonts w:ascii="Times New Roman" w:hAnsi="Times New Roman"/>
        </w:rPr>
        <w:t xml:space="preserve"> view is </w:t>
      </w:r>
      <w:r w:rsidR="00F71CE3" w:rsidRPr="00C86A14">
        <w:rPr>
          <w:rFonts w:ascii="Times New Roman" w:hAnsi="Times New Roman"/>
        </w:rPr>
        <w:t>that a</w:t>
      </w:r>
      <w:r w:rsidR="00CB31D6" w:rsidRPr="00C86A14">
        <w:rPr>
          <w:rFonts w:ascii="Times New Roman" w:hAnsi="Times New Roman"/>
        </w:rPr>
        <w:t>n order under s</w:t>
      </w:r>
      <w:r w:rsidR="00251EC5" w:rsidRPr="00C86A14">
        <w:rPr>
          <w:rFonts w:ascii="Times New Roman" w:hAnsi="Times New Roman"/>
        </w:rPr>
        <w:t> </w:t>
      </w:r>
      <w:r w:rsidR="00CB31D6" w:rsidRPr="00C86A14">
        <w:rPr>
          <w:rFonts w:ascii="Times New Roman" w:hAnsi="Times New Roman"/>
        </w:rPr>
        <w:t>33</w:t>
      </w:r>
      <w:proofErr w:type="gramStart"/>
      <w:r w:rsidR="00CB31D6" w:rsidRPr="00C86A14">
        <w:rPr>
          <w:rFonts w:ascii="Times New Roman" w:hAnsi="Times New Roman"/>
        </w:rPr>
        <w:t>V(</w:t>
      </w:r>
      <w:proofErr w:type="gramEnd"/>
      <w:r w:rsidR="00CB31D6" w:rsidRPr="00C86A14">
        <w:rPr>
          <w:rFonts w:ascii="Times New Roman" w:hAnsi="Times New Roman"/>
        </w:rPr>
        <w:t>2) or s</w:t>
      </w:r>
      <w:r w:rsidR="00251EC5" w:rsidRPr="00C86A14">
        <w:rPr>
          <w:rFonts w:ascii="Times New Roman" w:hAnsi="Times New Roman"/>
        </w:rPr>
        <w:t> </w:t>
      </w:r>
      <w:r w:rsidR="00CB31D6" w:rsidRPr="00C86A14">
        <w:rPr>
          <w:rFonts w:ascii="Times New Roman" w:hAnsi="Times New Roman"/>
        </w:rPr>
        <w:t>33Z(1)(g) of the FCA c</w:t>
      </w:r>
      <w:r w:rsidR="00C156D8" w:rsidRPr="00C86A14">
        <w:rPr>
          <w:rFonts w:ascii="Times New Roman" w:hAnsi="Times New Roman"/>
        </w:rPr>
        <w:t>ould not properly</w:t>
      </w:r>
      <w:r w:rsidR="00CB31D6" w:rsidRPr="00C86A14">
        <w:rPr>
          <w:rFonts w:ascii="Times New Roman" w:hAnsi="Times New Roman"/>
        </w:rPr>
        <w:t xml:space="preserve"> be </w:t>
      </w:r>
      <w:r w:rsidR="00C156D8" w:rsidRPr="00C86A14">
        <w:rPr>
          <w:rFonts w:ascii="Times New Roman" w:hAnsi="Times New Roman"/>
        </w:rPr>
        <w:t xml:space="preserve">thought </w:t>
      </w:r>
      <w:r w:rsidR="00CB31D6" w:rsidRPr="00C86A14">
        <w:rPr>
          <w:rFonts w:ascii="Times New Roman" w:hAnsi="Times New Roman"/>
        </w:rPr>
        <w:t>"just" if seek</w:t>
      </w:r>
      <w:r w:rsidR="00E53F93" w:rsidRPr="00C86A14">
        <w:rPr>
          <w:rFonts w:ascii="Times New Roman" w:hAnsi="Times New Roman"/>
        </w:rPr>
        <w:t>ing</w:t>
      </w:r>
      <w:r w:rsidR="00CB31D6" w:rsidRPr="00C86A14">
        <w:rPr>
          <w:rFonts w:ascii="Times New Roman" w:hAnsi="Times New Roman"/>
        </w:rPr>
        <w:t xml:space="preserve"> or giv</w:t>
      </w:r>
      <w:r w:rsidR="00E53F93" w:rsidRPr="00C86A14">
        <w:rPr>
          <w:rFonts w:ascii="Times New Roman" w:hAnsi="Times New Roman"/>
        </w:rPr>
        <w:t>ing</w:t>
      </w:r>
      <w:r w:rsidR="00CB31D6" w:rsidRPr="00C86A14">
        <w:rPr>
          <w:rFonts w:ascii="Times New Roman" w:hAnsi="Times New Roman"/>
        </w:rPr>
        <w:t xml:space="preserve"> effect to the order would involve a contravention of</w:t>
      </w:r>
      <w:r w:rsidR="002A2D1A" w:rsidRPr="00C86A14">
        <w:rPr>
          <w:rFonts w:ascii="Times New Roman" w:hAnsi="Times New Roman"/>
        </w:rPr>
        <w:t xml:space="preserve"> the Legal Profession Uniform Law</w:t>
      </w:r>
      <w:r w:rsidR="00CB31D6" w:rsidRPr="00C86A14">
        <w:rPr>
          <w:rFonts w:ascii="Times New Roman" w:hAnsi="Times New Roman"/>
        </w:rPr>
        <w:t xml:space="preserve">. </w:t>
      </w:r>
      <w:r w:rsidR="00197F39" w:rsidRPr="00C86A14">
        <w:rPr>
          <w:rFonts w:ascii="Times New Roman" w:hAnsi="Times New Roman"/>
        </w:rPr>
        <w:t>The making of the</w:t>
      </w:r>
      <w:r w:rsidR="00A95709" w:rsidRPr="00C86A14">
        <w:rPr>
          <w:rFonts w:ascii="Times New Roman" w:hAnsi="Times New Roman"/>
        </w:rPr>
        <w:t xml:space="preserve"> solicitor's CFO foreshadowed in the present case would not be </w:t>
      </w:r>
      <w:r w:rsidR="00CD400D" w:rsidRPr="00C86A14">
        <w:rPr>
          <w:rFonts w:ascii="Times New Roman" w:hAnsi="Times New Roman"/>
        </w:rPr>
        <w:t>"</w:t>
      </w:r>
      <w:r w:rsidR="00A95709" w:rsidRPr="00C86A14">
        <w:rPr>
          <w:rFonts w:ascii="Times New Roman" w:hAnsi="Times New Roman"/>
        </w:rPr>
        <w:t>just</w:t>
      </w:r>
      <w:r w:rsidR="00CD400D" w:rsidRPr="00C86A14">
        <w:rPr>
          <w:rFonts w:ascii="Times New Roman" w:hAnsi="Times New Roman"/>
        </w:rPr>
        <w:t>"</w:t>
      </w:r>
      <w:r w:rsidR="00A95709" w:rsidRPr="00C86A14">
        <w:rPr>
          <w:rFonts w:ascii="Times New Roman" w:hAnsi="Times New Roman"/>
        </w:rPr>
        <w:t xml:space="preserve"> according to that stan</w:t>
      </w:r>
      <w:r w:rsidR="00C737A7" w:rsidRPr="00C86A14">
        <w:rPr>
          <w:rFonts w:ascii="Times New Roman" w:hAnsi="Times New Roman"/>
        </w:rPr>
        <w:t xml:space="preserve">dard. </w:t>
      </w:r>
      <w:r w:rsidR="00194B20" w:rsidRPr="00C86A14">
        <w:rPr>
          <w:rFonts w:ascii="Times New Roman" w:hAnsi="Times New Roman"/>
        </w:rPr>
        <w:t>T</w:t>
      </w:r>
      <w:r w:rsidR="00C737A7" w:rsidRPr="00C86A14">
        <w:rPr>
          <w:rFonts w:ascii="Times New Roman" w:hAnsi="Times New Roman"/>
        </w:rPr>
        <w:t>ha</w:t>
      </w:r>
      <w:r w:rsidR="006E29EF" w:rsidRPr="00C86A14">
        <w:rPr>
          <w:rFonts w:ascii="Times New Roman" w:hAnsi="Times New Roman"/>
        </w:rPr>
        <w:t>t</w:t>
      </w:r>
      <w:r w:rsidR="00C737A7" w:rsidRPr="00C86A14">
        <w:rPr>
          <w:rFonts w:ascii="Times New Roman" w:hAnsi="Times New Roman"/>
        </w:rPr>
        <w:t xml:space="preserve"> is because, t</w:t>
      </w:r>
      <w:r w:rsidR="00194B20" w:rsidRPr="00C86A14">
        <w:rPr>
          <w:rFonts w:ascii="Times New Roman" w:hAnsi="Times New Roman"/>
        </w:rPr>
        <w:t xml:space="preserve">o </w:t>
      </w:r>
      <w:r w:rsidR="00FD70F8" w:rsidRPr="00C86A14">
        <w:rPr>
          <w:rFonts w:ascii="Times New Roman" w:hAnsi="Times New Roman"/>
        </w:rPr>
        <w:t>provide</w:t>
      </w:r>
      <w:r w:rsidR="009C600E" w:rsidRPr="00C86A14">
        <w:rPr>
          <w:rFonts w:ascii="Times New Roman" w:hAnsi="Times New Roman"/>
        </w:rPr>
        <w:t xml:space="preserve"> </w:t>
      </w:r>
      <w:r w:rsidR="00B71E9F" w:rsidRPr="00C86A14">
        <w:rPr>
          <w:rFonts w:ascii="Times New Roman" w:hAnsi="Times New Roman"/>
        </w:rPr>
        <w:t>in the terms of the written retainer</w:t>
      </w:r>
      <w:r w:rsidR="00C737A7" w:rsidRPr="00C86A14">
        <w:rPr>
          <w:rFonts w:ascii="Times New Roman" w:hAnsi="Times New Roman"/>
        </w:rPr>
        <w:t xml:space="preserve">, </w:t>
      </w:r>
      <w:r w:rsidR="00B71E9F" w:rsidRPr="00C86A14">
        <w:rPr>
          <w:rFonts w:ascii="Times New Roman" w:hAnsi="Times New Roman"/>
        </w:rPr>
        <w:t>as</w:t>
      </w:r>
      <w:r w:rsidR="00574887" w:rsidRPr="00C86A14">
        <w:rPr>
          <w:rFonts w:ascii="Times New Roman" w:hAnsi="Times New Roman"/>
        </w:rPr>
        <w:t xml:space="preserve"> proposed to be amended</w:t>
      </w:r>
      <w:r w:rsidR="00D2594E" w:rsidRPr="00C86A14">
        <w:rPr>
          <w:rFonts w:ascii="Times New Roman" w:hAnsi="Times New Roman"/>
        </w:rPr>
        <w:t xml:space="preserve"> </w:t>
      </w:r>
      <w:r w:rsidR="009C600E" w:rsidRPr="00C86A14">
        <w:rPr>
          <w:rFonts w:ascii="Times New Roman" w:hAnsi="Times New Roman"/>
        </w:rPr>
        <w:t>upon the making of the order under s</w:t>
      </w:r>
      <w:r w:rsidR="00942B5B" w:rsidRPr="00C86A14">
        <w:rPr>
          <w:rFonts w:ascii="Times New Roman" w:hAnsi="Times New Roman"/>
        </w:rPr>
        <w:t> </w:t>
      </w:r>
      <w:r w:rsidR="009C600E" w:rsidRPr="00C86A14">
        <w:rPr>
          <w:rFonts w:ascii="Times New Roman" w:hAnsi="Times New Roman"/>
        </w:rPr>
        <w:t xml:space="preserve">33X for the giving of notice to group members, </w:t>
      </w:r>
      <w:r w:rsidR="00D2594E" w:rsidRPr="00C86A14">
        <w:rPr>
          <w:rFonts w:ascii="Times New Roman" w:hAnsi="Times New Roman"/>
        </w:rPr>
        <w:t xml:space="preserve">for the applicant to apply to the Federal Court </w:t>
      </w:r>
      <w:r w:rsidR="00C737A7" w:rsidRPr="00C86A14">
        <w:rPr>
          <w:rFonts w:ascii="Times New Roman" w:hAnsi="Times New Roman"/>
        </w:rPr>
        <w:t>for the</w:t>
      </w:r>
      <w:r w:rsidR="00D2594E" w:rsidRPr="00C86A14">
        <w:rPr>
          <w:rFonts w:ascii="Times New Roman" w:hAnsi="Times New Roman"/>
        </w:rPr>
        <w:t xml:space="preserve"> solicitor's CFO </w:t>
      </w:r>
      <w:r w:rsidR="00CB31D6" w:rsidRPr="00C86A14">
        <w:rPr>
          <w:rFonts w:ascii="Times New Roman" w:hAnsi="Times New Roman"/>
        </w:rPr>
        <w:t xml:space="preserve">would involve </w:t>
      </w:r>
      <w:r w:rsidR="00FD70F8" w:rsidRPr="00C86A14">
        <w:rPr>
          <w:rFonts w:ascii="Times New Roman" w:hAnsi="Times New Roman"/>
        </w:rPr>
        <w:t>the solicitors</w:t>
      </w:r>
      <w:r w:rsidR="00CB31D6" w:rsidRPr="00C86A14">
        <w:rPr>
          <w:rFonts w:ascii="Times New Roman" w:hAnsi="Times New Roman"/>
        </w:rPr>
        <w:t xml:space="preserve"> in a contravention of s</w:t>
      </w:r>
      <w:r w:rsidR="00942B5B" w:rsidRPr="00C86A14">
        <w:rPr>
          <w:rFonts w:ascii="Times New Roman" w:hAnsi="Times New Roman"/>
        </w:rPr>
        <w:t> </w:t>
      </w:r>
      <w:r w:rsidR="00CB31D6" w:rsidRPr="00C86A14">
        <w:rPr>
          <w:rFonts w:ascii="Times New Roman" w:hAnsi="Times New Roman"/>
        </w:rPr>
        <w:t xml:space="preserve">183 of the Legal Profession Uniform Law. In </w:t>
      </w:r>
      <w:r w:rsidR="00363B16" w:rsidRPr="00C86A14">
        <w:rPr>
          <w:rFonts w:ascii="Times New Roman" w:hAnsi="Times New Roman"/>
        </w:rPr>
        <w:t xml:space="preserve">the </w:t>
      </w:r>
      <w:r w:rsidR="002373E4" w:rsidRPr="00C86A14">
        <w:rPr>
          <w:rFonts w:ascii="Times New Roman" w:hAnsi="Times New Roman"/>
        </w:rPr>
        <w:t>terminology</w:t>
      </w:r>
      <w:r w:rsidR="00CB31D6" w:rsidRPr="00C86A14">
        <w:rPr>
          <w:rFonts w:ascii="Times New Roman" w:hAnsi="Times New Roman"/>
        </w:rPr>
        <w:t xml:space="preserve"> of the separate question, </w:t>
      </w:r>
      <w:r w:rsidR="00C737A7" w:rsidRPr="00C86A14">
        <w:rPr>
          <w:rFonts w:ascii="Times New Roman" w:hAnsi="Times New Roman"/>
        </w:rPr>
        <w:t>the</w:t>
      </w:r>
      <w:r w:rsidR="00CB31D6" w:rsidRPr="00C86A14">
        <w:rPr>
          <w:rFonts w:ascii="Times New Roman" w:hAnsi="Times New Roman"/>
        </w:rPr>
        <w:t xml:space="preserve"> </w:t>
      </w:r>
      <w:r w:rsidR="00E62354" w:rsidRPr="00C86A14">
        <w:rPr>
          <w:rFonts w:ascii="Times New Roman" w:hAnsi="Times New Roman"/>
        </w:rPr>
        <w:t xml:space="preserve">making of the </w:t>
      </w:r>
      <w:r w:rsidR="00CB31D6" w:rsidRPr="00C86A14">
        <w:rPr>
          <w:rFonts w:ascii="Times New Roman" w:hAnsi="Times New Roman"/>
        </w:rPr>
        <w:t xml:space="preserve">solicitor's CFO </w:t>
      </w:r>
      <w:r w:rsidR="00C737A7" w:rsidRPr="00C86A14">
        <w:rPr>
          <w:rFonts w:ascii="Times New Roman" w:hAnsi="Times New Roman"/>
        </w:rPr>
        <w:t>would</w:t>
      </w:r>
      <w:r w:rsidR="00CB31D6" w:rsidRPr="00C86A14">
        <w:rPr>
          <w:rFonts w:ascii="Times New Roman" w:hAnsi="Times New Roman"/>
        </w:rPr>
        <w:t xml:space="preserve"> </w:t>
      </w:r>
      <w:r w:rsidR="006E29EF" w:rsidRPr="00C86A14">
        <w:rPr>
          <w:rFonts w:ascii="Times New Roman" w:hAnsi="Times New Roman"/>
        </w:rPr>
        <w:t xml:space="preserve">be </w:t>
      </w:r>
      <w:r w:rsidR="00CB31D6" w:rsidRPr="00C86A14">
        <w:rPr>
          <w:rFonts w:ascii="Times New Roman" w:hAnsi="Times New Roman"/>
        </w:rPr>
        <w:t>"illicit".</w:t>
      </w:r>
    </w:p>
    <w:p w14:paraId="103A4EF3" w14:textId="52F86F5E" w:rsidR="00CB31D6" w:rsidRPr="00C86A14" w:rsidRDefault="00CB31D6" w:rsidP="00C86A14">
      <w:pPr>
        <w:pStyle w:val="HeadingL1"/>
        <w:spacing w:after="260" w:line="280" w:lineRule="exact"/>
        <w:ind w:right="0"/>
        <w:jc w:val="both"/>
        <w:rPr>
          <w:rFonts w:ascii="Times New Roman" w:hAnsi="Times New Roman"/>
        </w:rPr>
      </w:pPr>
      <w:r w:rsidRPr="00C86A14">
        <w:rPr>
          <w:rFonts w:ascii="Times New Roman" w:hAnsi="Times New Roman"/>
        </w:rPr>
        <w:lastRenderedPageBreak/>
        <w:t>CFO</w:t>
      </w:r>
    </w:p>
    <w:p w14:paraId="40534CD2" w14:textId="6EDABD37" w:rsidR="00403F91" w:rsidRPr="00C86A14" w:rsidRDefault="00EF3BF2"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403F91" w:rsidRPr="00C86A14">
        <w:rPr>
          <w:rFonts w:ascii="Times New Roman" w:hAnsi="Times New Roman"/>
        </w:rPr>
        <w:t xml:space="preserve">With the support of the Association of Litigation Funders of Australia, which </w:t>
      </w:r>
      <w:r w:rsidR="00607D09" w:rsidRPr="00C86A14">
        <w:rPr>
          <w:rFonts w:ascii="Times New Roman" w:hAnsi="Times New Roman"/>
        </w:rPr>
        <w:t>applied for</w:t>
      </w:r>
      <w:r w:rsidR="00403F91" w:rsidRPr="00C86A14">
        <w:rPr>
          <w:rFonts w:ascii="Times New Roman" w:hAnsi="Times New Roman"/>
        </w:rPr>
        <w:t xml:space="preserve"> and was granted </w:t>
      </w:r>
      <w:r w:rsidR="00456DD5" w:rsidRPr="00C86A14">
        <w:rPr>
          <w:rFonts w:ascii="Times New Roman" w:hAnsi="Times New Roman"/>
        </w:rPr>
        <w:t xml:space="preserve">unopposed </w:t>
      </w:r>
      <w:r w:rsidR="00403F91" w:rsidRPr="00C86A14">
        <w:rPr>
          <w:rFonts w:ascii="Times New Roman" w:hAnsi="Times New Roman"/>
        </w:rPr>
        <w:t xml:space="preserve">leave to intervene in the appeals, those of the </w:t>
      </w:r>
      <w:r w:rsidR="00A8012D" w:rsidRPr="00C86A14">
        <w:rPr>
          <w:rFonts w:ascii="Times New Roman" w:hAnsi="Times New Roman"/>
        </w:rPr>
        <w:t>parties</w:t>
      </w:r>
      <w:r w:rsidR="00403F91" w:rsidRPr="00C86A14">
        <w:rPr>
          <w:rFonts w:ascii="Times New Roman" w:hAnsi="Times New Roman"/>
        </w:rPr>
        <w:t xml:space="preserve"> who sought to defend the Full Court's determination of the question reserved pursued an application to reopen </w:t>
      </w:r>
      <w:r w:rsidR="00403F91" w:rsidRPr="00C86A14">
        <w:rPr>
          <w:rFonts w:ascii="Times New Roman" w:hAnsi="Times New Roman"/>
          <w:i/>
          <w:iCs/>
        </w:rPr>
        <w:t>Brewster</w:t>
      </w:r>
      <w:r w:rsidR="00403F91" w:rsidRPr="00C86A14">
        <w:rPr>
          <w:rFonts w:ascii="Times New Roman" w:hAnsi="Times New Roman"/>
        </w:rPr>
        <w:t>. However, the</w:t>
      </w:r>
      <w:r w:rsidR="00FD39D1" w:rsidRPr="00C86A14">
        <w:rPr>
          <w:rFonts w:ascii="Times New Roman" w:hAnsi="Times New Roman"/>
        </w:rPr>
        <w:t xml:space="preserve"> </w:t>
      </w:r>
      <w:r w:rsidR="00403F91" w:rsidRPr="00C86A14">
        <w:rPr>
          <w:rFonts w:ascii="Times New Roman" w:hAnsi="Times New Roman"/>
        </w:rPr>
        <w:t xml:space="preserve">correctness of </w:t>
      </w:r>
      <w:r w:rsidR="00403F91" w:rsidRPr="00C86A14">
        <w:rPr>
          <w:rFonts w:ascii="Times New Roman" w:hAnsi="Times New Roman"/>
          <w:i/>
          <w:iCs/>
        </w:rPr>
        <w:t>Brewster</w:t>
      </w:r>
      <w:r w:rsidR="00403F91" w:rsidRPr="00C86A14">
        <w:rPr>
          <w:rFonts w:ascii="Times New Roman" w:hAnsi="Times New Roman"/>
        </w:rPr>
        <w:t xml:space="preserve"> does not squarely arise in the appeals, and the application to reopen </w:t>
      </w:r>
      <w:r w:rsidR="00403F91" w:rsidRPr="00C86A14">
        <w:rPr>
          <w:rFonts w:ascii="Times New Roman" w:hAnsi="Times New Roman"/>
          <w:i/>
          <w:iCs/>
        </w:rPr>
        <w:t>Brewster</w:t>
      </w:r>
      <w:r w:rsidR="00403F91" w:rsidRPr="00C86A14">
        <w:rPr>
          <w:rFonts w:ascii="Times New Roman" w:hAnsi="Times New Roman"/>
        </w:rPr>
        <w:t xml:space="preserve"> is for that reason inappropriate to be considered.</w:t>
      </w:r>
    </w:p>
    <w:p w14:paraId="10C1820C" w14:textId="6B6A8176" w:rsidR="00A66EDE" w:rsidRPr="00C86A14" w:rsidRDefault="00EF3BF2"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403F91" w:rsidRPr="00C86A14">
        <w:rPr>
          <w:rFonts w:ascii="Times New Roman" w:hAnsi="Times New Roman"/>
        </w:rPr>
        <w:t xml:space="preserve">The holding in </w:t>
      </w:r>
      <w:r w:rsidR="00403F91" w:rsidRPr="00C86A14">
        <w:rPr>
          <w:rFonts w:ascii="Times New Roman" w:hAnsi="Times New Roman"/>
          <w:i/>
          <w:iCs/>
        </w:rPr>
        <w:t>Brewster</w:t>
      </w:r>
      <w:r w:rsidR="00403F91" w:rsidRPr="00C86A14">
        <w:rPr>
          <w:rFonts w:ascii="Times New Roman" w:hAnsi="Times New Roman"/>
        </w:rPr>
        <w:t xml:space="preserve"> was that s 33ZF of the FCA does not empower the making of an order of a </w:t>
      </w:r>
      <w:r w:rsidR="000624F0" w:rsidRPr="00C86A14">
        <w:rPr>
          <w:rFonts w:ascii="Times New Roman" w:hAnsi="Times New Roman"/>
        </w:rPr>
        <w:t>kind</w:t>
      </w:r>
      <w:r w:rsidR="00403F91" w:rsidRPr="00C86A14">
        <w:rPr>
          <w:rFonts w:ascii="Times New Roman" w:hAnsi="Times New Roman"/>
        </w:rPr>
        <w:t xml:space="preserve"> there described as a "CFO",</w:t>
      </w:r>
      <w:r w:rsidR="00FD373A" w:rsidRPr="00C86A14">
        <w:rPr>
          <w:rStyle w:val="FootnoteReference"/>
          <w:rFonts w:ascii="Times New Roman" w:hAnsi="Times New Roman"/>
          <w:sz w:val="24"/>
        </w:rPr>
        <w:footnoteReference w:id="11"/>
      </w:r>
      <w:r w:rsidR="00FD373A" w:rsidRPr="00C86A14">
        <w:rPr>
          <w:rFonts w:ascii="Times New Roman" w:hAnsi="Times New Roman"/>
        </w:rPr>
        <w:t xml:space="preserve"> </w:t>
      </w:r>
      <w:r w:rsidR="00403F91" w:rsidRPr="00C86A14">
        <w:rPr>
          <w:rFonts w:ascii="Times New Roman" w:hAnsi="Times New Roman"/>
        </w:rPr>
        <w:t>but which has</w:t>
      </w:r>
      <w:r w:rsidR="000624F0" w:rsidRPr="00C86A14">
        <w:rPr>
          <w:rFonts w:ascii="Times New Roman" w:hAnsi="Times New Roman"/>
        </w:rPr>
        <w:t xml:space="preserve"> since and</w:t>
      </w:r>
      <w:r w:rsidR="00403F91" w:rsidRPr="00C86A14">
        <w:rPr>
          <w:rFonts w:ascii="Times New Roman" w:hAnsi="Times New Roman"/>
        </w:rPr>
        <w:t xml:space="preserve"> in retrospect</w:t>
      </w:r>
      <w:r w:rsidR="000624F0" w:rsidRPr="00C86A14">
        <w:rPr>
          <w:rFonts w:ascii="Times New Roman" w:hAnsi="Times New Roman"/>
        </w:rPr>
        <w:t xml:space="preserve"> </w:t>
      </w:r>
      <w:r w:rsidR="00403F91" w:rsidRPr="00C86A14">
        <w:rPr>
          <w:rFonts w:ascii="Times New Roman" w:hAnsi="Times New Roman"/>
        </w:rPr>
        <w:t>be</w:t>
      </w:r>
      <w:r w:rsidR="00703ADC" w:rsidRPr="00C86A14">
        <w:rPr>
          <w:rFonts w:ascii="Times New Roman" w:hAnsi="Times New Roman"/>
        </w:rPr>
        <w:t>en</w:t>
      </w:r>
      <w:r w:rsidR="00403F91" w:rsidRPr="00C86A14">
        <w:rPr>
          <w:rFonts w:ascii="Times New Roman" w:hAnsi="Times New Roman"/>
        </w:rPr>
        <w:t xml:space="preserve"> described with more precision as a "commencement CFO"</w:t>
      </w:r>
      <w:r w:rsidR="0021394E" w:rsidRPr="00C86A14">
        <w:rPr>
          <w:rFonts w:ascii="Times New Roman" w:hAnsi="Times New Roman"/>
        </w:rPr>
        <w:t xml:space="preserve"> to distinguish it from a "settlement CFO" or a "judgment CFO"</w:t>
      </w:r>
      <w:r w:rsidR="000624F0" w:rsidRPr="00C86A14">
        <w:rPr>
          <w:rFonts w:ascii="Times New Roman" w:hAnsi="Times New Roman"/>
        </w:rPr>
        <w:t>.</w:t>
      </w:r>
      <w:r w:rsidR="00703ADC" w:rsidRPr="00C86A14">
        <w:rPr>
          <w:rStyle w:val="FootnoteReference"/>
          <w:rFonts w:ascii="Times New Roman" w:hAnsi="Times New Roman"/>
          <w:sz w:val="24"/>
        </w:rPr>
        <w:footnoteReference w:id="12"/>
      </w:r>
      <w:r w:rsidR="00FD373A" w:rsidRPr="00C86A14">
        <w:rPr>
          <w:rFonts w:ascii="Times New Roman" w:hAnsi="Times New Roman"/>
        </w:rPr>
        <w:t xml:space="preserve"> </w:t>
      </w:r>
      <w:r w:rsidR="005D3048" w:rsidRPr="00C86A14">
        <w:rPr>
          <w:rFonts w:ascii="Times New Roman" w:hAnsi="Times New Roman"/>
        </w:rPr>
        <w:t>The commencement CFO</w:t>
      </w:r>
      <w:r w:rsidR="0021394E" w:rsidRPr="00C86A14">
        <w:rPr>
          <w:rFonts w:ascii="Times New Roman" w:hAnsi="Times New Roman"/>
        </w:rPr>
        <w:t xml:space="preserve"> </w:t>
      </w:r>
      <w:r w:rsidR="005D3048" w:rsidRPr="00C86A14">
        <w:rPr>
          <w:rFonts w:ascii="Times New Roman" w:hAnsi="Times New Roman"/>
        </w:rPr>
        <w:t>there in question</w:t>
      </w:r>
      <w:r w:rsidR="0021394E" w:rsidRPr="00C86A14">
        <w:rPr>
          <w:rFonts w:ascii="Times New Roman" w:hAnsi="Times New Roman"/>
        </w:rPr>
        <w:t xml:space="preserve"> </w:t>
      </w:r>
      <w:r w:rsidR="005D3048" w:rsidRPr="00C86A14">
        <w:rPr>
          <w:rFonts w:ascii="Times New Roman" w:hAnsi="Times New Roman"/>
        </w:rPr>
        <w:t xml:space="preserve">was </w:t>
      </w:r>
      <w:r w:rsidR="00403F91" w:rsidRPr="00C86A14">
        <w:rPr>
          <w:rFonts w:ascii="Times New Roman" w:hAnsi="Times New Roman"/>
        </w:rPr>
        <w:t>an interlocutory order made on the application</w:t>
      </w:r>
      <w:r w:rsidR="00A9350A" w:rsidRPr="00C86A14">
        <w:rPr>
          <w:rFonts w:ascii="Times New Roman" w:hAnsi="Times New Roman"/>
        </w:rPr>
        <w:t xml:space="preserve"> of</w:t>
      </w:r>
      <w:r w:rsidR="00403F91" w:rsidRPr="00C86A14">
        <w:rPr>
          <w:rFonts w:ascii="Times New Roman" w:hAnsi="Times New Roman"/>
        </w:rPr>
        <w:t xml:space="preserve"> a representative applicant </w:t>
      </w:r>
      <w:r w:rsidR="00E57E58" w:rsidRPr="00C86A14">
        <w:rPr>
          <w:rFonts w:ascii="Times New Roman" w:hAnsi="Times New Roman"/>
        </w:rPr>
        <w:t xml:space="preserve">and </w:t>
      </w:r>
      <w:r w:rsidR="00403F91" w:rsidRPr="00C86A14">
        <w:rPr>
          <w:rFonts w:ascii="Times New Roman" w:hAnsi="Times New Roman"/>
        </w:rPr>
        <w:t>in a</w:t>
      </w:r>
      <w:r w:rsidR="00A012D2" w:rsidRPr="00C86A14">
        <w:rPr>
          <w:rFonts w:ascii="Times New Roman" w:hAnsi="Times New Roman"/>
        </w:rPr>
        <w:t xml:space="preserve">ccordance with the terms of a funding </w:t>
      </w:r>
      <w:r w:rsidR="00403F91" w:rsidRPr="00C86A14">
        <w:rPr>
          <w:rFonts w:ascii="Times New Roman" w:hAnsi="Times New Roman"/>
        </w:rPr>
        <w:t xml:space="preserve">agreement </w:t>
      </w:r>
      <w:r w:rsidR="00A012D2" w:rsidRPr="00C86A14">
        <w:rPr>
          <w:rFonts w:ascii="Times New Roman" w:hAnsi="Times New Roman"/>
        </w:rPr>
        <w:t>between the applicant and</w:t>
      </w:r>
      <w:r w:rsidR="00403F91" w:rsidRPr="00C86A14">
        <w:rPr>
          <w:rFonts w:ascii="Times New Roman" w:hAnsi="Times New Roman"/>
        </w:rPr>
        <w:t xml:space="preserve"> a litigation funder</w:t>
      </w:r>
      <w:r w:rsidR="00A012D2" w:rsidRPr="00C86A14">
        <w:rPr>
          <w:rFonts w:ascii="Times New Roman" w:hAnsi="Times New Roman"/>
        </w:rPr>
        <w:t xml:space="preserve">, </w:t>
      </w:r>
      <w:r w:rsidR="00403F91" w:rsidRPr="00C86A14">
        <w:rPr>
          <w:rFonts w:ascii="Times New Roman" w:hAnsi="Times New Roman"/>
        </w:rPr>
        <w:t>before the fixing of an opt-out date under s</w:t>
      </w:r>
      <w:r w:rsidR="00942B5B" w:rsidRPr="00C86A14">
        <w:rPr>
          <w:rFonts w:ascii="Times New Roman" w:hAnsi="Times New Roman"/>
        </w:rPr>
        <w:t> </w:t>
      </w:r>
      <w:r w:rsidR="00403F91" w:rsidRPr="00C86A14">
        <w:rPr>
          <w:rFonts w:ascii="Times New Roman" w:hAnsi="Times New Roman"/>
        </w:rPr>
        <w:t>33J</w:t>
      </w:r>
      <w:r w:rsidR="00E57E58" w:rsidRPr="00C86A14">
        <w:rPr>
          <w:rFonts w:ascii="Times New Roman" w:hAnsi="Times New Roman"/>
        </w:rPr>
        <w:t>,</w:t>
      </w:r>
      <w:r w:rsidR="00403F91" w:rsidRPr="00C86A14">
        <w:rPr>
          <w:rFonts w:ascii="Times New Roman" w:hAnsi="Times New Roman"/>
        </w:rPr>
        <w:t xml:space="preserve"> by force of which the applicant and group members were </w:t>
      </w:r>
      <w:r w:rsidR="00E57E58" w:rsidRPr="00C86A14">
        <w:rPr>
          <w:rFonts w:ascii="Times New Roman" w:hAnsi="Times New Roman"/>
        </w:rPr>
        <w:t xml:space="preserve">to be </w:t>
      </w:r>
      <w:r w:rsidR="00403F91" w:rsidRPr="00C86A14">
        <w:rPr>
          <w:rFonts w:ascii="Times New Roman" w:hAnsi="Times New Roman"/>
        </w:rPr>
        <w:t xml:space="preserve">required to pay to the litigation funder out of any settlement or judgment sum amounts by way of reimbursement for funded costs and funding commission (which included a premium for litigation risk) as were identified in the funding agreement. </w:t>
      </w:r>
    </w:p>
    <w:p w14:paraId="433BF543" w14:textId="3D6CE27B" w:rsidR="00403F91" w:rsidRPr="00C86A14" w:rsidRDefault="00A66EDE"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403F91" w:rsidRPr="00C86A14">
        <w:rPr>
          <w:rFonts w:ascii="Times New Roman" w:hAnsi="Times New Roman"/>
        </w:rPr>
        <w:t>The essential reason for th</w:t>
      </w:r>
      <w:r w:rsidRPr="00C86A14">
        <w:rPr>
          <w:rFonts w:ascii="Times New Roman" w:hAnsi="Times New Roman"/>
        </w:rPr>
        <w:t>e</w:t>
      </w:r>
      <w:r w:rsidR="00403F91" w:rsidRPr="00C86A14">
        <w:rPr>
          <w:rFonts w:ascii="Times New Roman" w:hAnsi="Times New Roman"/>
        </w:rPr>
        <w:t xml:space="preserve"> holding </w:t>
      </w:r>
      <w:r w:rsidRPr="00C86A14">
        <w:rPr>
          <w:rFonts w:ascii="Times New Roman" w:hAnsi="Times New Roman"/>
        </w:rPr>
        <w:t>that s</w:t>
      </w:r>
      <w:r w:rsidR="00942B5B" w:rsidRPr="00C86A14">
        <w:rPr>
          <w:rFonts w:ascii="Times New Roman" w:hAnsi="Times New Roman"/>
        </w:rPr>
        <w:t> </w:t>
      </w:r>
      <w:r w:rsidRPr="00C86A14">
        <w:rPr>
          <w:rFonts w:ascii="Times New Roman" w:hAnsi="Times New Roman"/>
        </w:rPr>
        <w:t xml:space="preserve">33ZF of the FCA does not empower the making of an order of that kind </w:t>
      </w:r>
      <w:r w:rsidR="00403F91" w:rsidRPr="00C86A14">
        <w:rPr>
          <w:rFonts w:ascii="Times New Roman" w:hAnsi="Times New Roman"/>
        </w:rPr>
        <w:t xml:space="preserve">given by all members of the majority </w:t>
      </w:r>
      <w:r w:rsidRPr="00C86A14">
        <w:rPr>
          <w:rFonts w:ascii="Times New Roman" w:hAnsi="Times New Roman"/>
        </w:rPr>
        <w:t xml:space="preserve">in </w:t>
      </w:r>
      <w:r w:rsidRPr="00C86A14">
        <w:rPr>
          <w:rFonts w:ascii="Times New Roman" w:hAnsi="Times New Roman"/>
          <w:i/>
          <w:iCs/>
        </w:rPr>
        <w:t>Brewster</w:t>
      </w:r>
      <w:r w:rsidRPr="00C86A14">
        <w:rPr>
          <w:rFonts w:ascii="Times New Roman" w:hAnsi="Times New Roman"/>
        </w:rPr>
        <w:t xml:space="preserve"> </w:t>
      </w:r>
      <w:r w:rsidR="00403F91" w:rsidRPr="00C86A14">
        <w:rPr>
          <w:rFonts w:ascii="Times New Roman" w:hAnsi="Times New Roman"/>
        </w:rPr>
        <w:t xml:space="preserve">was that the power </w:t>
      </w:r>
      <w:r w:rsidR="00E20AF1" w:rsidRPr="00C86A14">
        <w:rPr>
          <w:rFonts w:ascii="Times New Roman" w:hAnsi="Times New Roman"/>
        </w:rPr>
        <w:t>the section</w:t>
      </w:r>
      <w:r w:rsidRPr="00C86A14">
        <w:rPr>
          <w:rFonts w:ascii="Times New Roman" w:hAnsi="Times New Roman"/>
        </w:rPr>
        <w:t xml:space="preserve"> </w:t>
      </w:r>
      <w:r w:rsidR="00403F91" w:rsidRPr="00C86A14">
        <w:rPr>
          <w:rFonts w:ascii="Times New Roman" w:hAnsi="Times New Roman"/>
        </w:rPr>
        <w:t>confer</w:t>
      </w:r>
      <w:r w:rsidRPr="00C86A14">
        <w:rPr>
          <w:rFonts w:ascii="Times New Roman" w:hAnsi="Times New Roman"/>
        </w:rPr>
        <w:t>s</w:t>
      </w:r>
      <w:r w:rsidR="00403F91" w:rsidRPr="00C86A14">
        <w:rPr>
          <w:rFonts w:ascii="Times New Roman" w:hAnsi="Times New Roman"/>
        </w:rPr>
        <w:t xml:space="preserve"> to "make any order the </w:t>
      </w:r>
      <w:r w:rsidR="004C15A3" w:rsidRPr="00C86A14">
        <w:rPr>
          <w:rFonts w:ascii="Times New Roman" w:hAnsi="Times New Roman"/>
        </w:rPr>
        <w:t>C</w:t>
      </w:r>
      <w:r w:rsidR="00403F91" w:rsidRPr="00C86A14">
        <w:rPr>
          <w:rFonts w:ascii="Times New Roman" w:hAnsi="Times New Roman"/>
        </w:rPr>
        <w:t>ourt thinks appropriate or necessary to ensure that justice is done in the proceeding" is limited to making an order directed to the just and efficient resolution of an issue that has arisen between the parties in a representative proceeding. The majority considered that the making of a commencement CFO was beyond the scope of th</w:t>
      </w:r>
      <w:r w:rsidR="00094962" w:rsidRPr="00C86A14">
        <w:rPr>
          <w:rFonts w:ascii="Times New Roman" w:hAnsi="Times New Roman"/>
        </w:rPr>
        <w:t>e</w:t>
      </w:r>
      <w:r w:rsidR="00403F91" w:rsidRPr="00C86A14">
        <w:rPr>
          <w:rFonts w:ascii="Times New Roman" w:hAnsi="Times New Roman"/>
        </w:rPr>
        <w:t xml:space="preserve"> powe</w:t>
      </w:r>
      <w:r w:rsidR="00A1293F" w:rsidRPr="00C86A14">
        <w:rPr>
          <w:rFonts w:ascii="Times New Roman" w:hAnsi="Times New Roman"/>
        </w:rPr>
        <w:t>r</w:t>
      </w:r>
      <w:r w:rsidR="00094962" w:rsidRPr="00C86A14">
        <w:rPr>
          <w:rFonts w:ascii="Times New Roman" w:hAnsi="Times New Roman"/>
        </w:rPr>
        <w:t xml:space="preserve"> so limited</w:t>
      </w:r>
      <w:r w:rsidR="00403F91" w:rsidRPr="00C86A14">
        <w:rPr>
          <w:rFonts w:ascii="Times New Roman" w:hAnsi="Times New Roman"/>
        </w:rPr>
        <w:t xml:space="preserve"> because the central concern </w:t>
      </w:r>
      <w:r w:rsidR="001365FA" w:rsidRPr="00C86A14">
        <w:rPr>
          <w:rFonts w:ascii="Times New Roman" w:hAnsi="Times New Roman"/>
        </w:rPr>
        <w:t>of an applicant</w:t>
      </w:r>
      <w:r w:rsidR="00403F91" w:rsidRPr="00C86A14">
        <w:rPr>
          <w:rFonts w:ascii="Times New Roman" w:hAnsi="Times New Roman"/>
        </w:rPr>
        <w:t xml:space="preserve"> seekin</w:t>
      </w:r>
      <w:r w:rsidR="001365FA" w:rsidRPr="00C86A14">
        <w:rPr>
          <w:rFonts w:ascii="Times New Roman" w:hAnsi="Times New Roman"/>
        </w:rPr>
        <w:t>g</w:t>
      </w:r>
      <w:r w:rsidR="00403F91" w:rsidRPr="00C86A14">
        <w:rPr>
          <w:rFonts w:ascii="Times New Roman" w:hAnsi="Times New Roman"/>
        </w:rPr>
        <w:t xml:space="preserve"> such an order was with the "radically different" question of whether the representative proceeding </w:t>
      </w:r>
      <w:r w:rsidR="00040BA7" w:rsidRPr="00C86A14">
        <w:rPr>
          <w:rFonts w:ascii="Times New Roman" w:hAnsi="Times New Roman"/>
        </w:rPr>
        <w:t xml:space="preserve">which had been commenced but </w:t>
      </w:r>
      <w:r w:rsidR="00B27F9B" w:rsidRPr="00C86A14">
        <w:rPr>
          <w:rFonts w:ascii="Times New Roman" w:hAnsi="Times New Roman"/>
        </w:rPr>
        <w:t xml:space="preserve">which had </w:t>
      </w:r>
      <w:r w:rsidR="00040BA7" w:rsidRPr="00C86A14">
        <w:rPr>
          <w:rFonts w:ascii="Times New Roman" w:hAnsi="Times New Roman"/>
        </w:rPr>
        <w:t xml:space="preserve">not </w:t>
      </w:r>
      <w:r w:rsidR="00B27F9B" w:rsidRPr="00C86A14">
        <w:rPr>
          <w:rFonts w:ascii="Times New Roman" w:hAnsi="Times New Roman"/>
        </w:rPr>
        <w:t xml:space="preserve">been </w:t>
      </w:r>
      <w:r w:rsidR="00040BA7" w:rsidRPr="00C86A14">
        <w:rPr>
          <w:rFonts w:ascii="Times New Roman" w:hAnsi="Times New Roman"/>
        </w:rPr>
        <w:t xml:space="preserve">determined </w:t>
      </w:r>
      <w:r w:rsidR="00403F91" w:rsidRPr="00C86A14">
        <w:rPr>
          <w:rFonts w:ascii="Times New Roman" w:hAnsi="Times New Roman"/>
        </w:rPr>
        <w:t>was a viable vehicle for the doing of justice between the parties at all.</w:t>
      </w:r>
      <w:r w:rsidR="00A10C6A" w:rsidRPr="00C86A14">
        <w:rPr>
          <w:rStyle w:val="FootnoteReference"/>
          <w:rFonts w:ascii="Times New Roman" w:hAnsi="Times New Roman"/>
          <w:sz w:val="24"/>
        </w:rPr>
        <w:footnoteReference w:id="13"/>
      </w:r>
      <w:r w:rsidR="00403F91" w:rsidRPr="00C86A14">
        <w:rPr>
          <w:rFonts w:ascii="Times New Roman" w:hAnsi="Times New Roman"/>
        </w:rPr>
        <w:t xml:space="preserve">  </w:t>
      </w:r>
    </w:p>
    <w:p w14:paraId="5585BDEA" w14:textId="48BDA91C" w:rsidR="00CB31D6" w:rsidRPr="00C86A14" w:rsidRDefault="00A10C6A"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403F91" w:rsidRPr="00C86A14">
        <w:rPr>
          <w:rFonts w:ascii="Times New Roman" w:hAnsi="Times New Roman"/>
        </w:rPr>
        <w:t xml:space="preserve">Neither the holding in </w:t>
      </w:r>
      <w:r w:rsidR="00403F91" w:rsidRPr="00C86A14">
        <w:rPr>
          <w:rFonts w:ascii="Times New Roman" w:hAnsi="Times New Roman"/>
          <w:i/>
          <w:iCs/>
        </w:rPr>
        <w:t>Brewster</w:t>
      </w:r>
      <w:r w:rsidR="00403F91" w:rsidRPr="00C86A14">
        <w:rPr>
          <w:rFonts w:ascii="Times New Roman" w:hAnsi="Times New Roman"/>
        </w:rPr>
        <w:t xml:space="preserve"> concerning the </w:t>
      </w:r>
      <w:r w:rsidR="00F64B4D" w:rsidRPr="00C86A14">
        <w:rPr>
          <w:rFonts w:ascii="Times New Roman" w:hAnsi="Times New Roman"/>
        </w:rPr>
        <w:t xml:space="preserve">limited </w:t>
      </w:r>
      <w:r w:rsidR="00403F91" w:rsidRPr="00C86A14">
        <w:rPr>
          <w:rFonts w:ascii="Times New Roman" w:hAnsi="Times New Roman"/>
        </w:rPr>
        <w:t>scope of the power conferred by s</w:t>
      </w:r>
      <w:r w:rsidR="00942B5B" w:rsidRPr="00C86A14">
        <w:rPr>
          <w:rFonts w:ascii="Times New Roman" w:hAnsi="Times New Roman"/>
        </w:rPr>
        <w:t> </w:t>
      </w:r>
      <w:r w:rsidR="00403F91" w:rsidRPr="00C86A14">
        <w:rPr>
          <w:rFonts w:ascii="Times New Roman" w:hAnsi="Times New Roman"/>
        </w:rPr>
        <w:t xml:space="preserve">33ZF of the FCA nor the reason for that holding </w:t>
      </w:r>
      <w:r w:rsidR="006836CB" w:rsidRPr="00C86A14">
        <w:rPr>
          <w:rFonts w:ascii="Times New Roman" w:hAnsi="Times New Roman"/>
        </w:rPr>
        <w:t xml:space="preserve">has </w:t>
      </w:r>
      <w:r w:rsidR="001B3040" w:rsidRPr="00C86A14">
        <w:rPr>
          <w:rFonts w:ascii="Times New Roman" w:hAnsi="Times New Roman"/>
        </w:rPr>
        <w:t xml:space="preserve">any </w:t>
      </w:r>
      <w:r w:rsidR="00403F91" w:rsidRPr="00C86A14">
        <w:rPr>
          <w:rFonts w:ascii="Times New Roman" w:hAnsi="Times New Roman"/>
        </w:rPr>
        <w:t xml:space="preserve">impact on the </w:t>
      </w:r>
      <w:r w:rsidR="00F64B4D" w:rsidRPr="00C86A14">
        <w:rPr>
          <w:rFonts w:ascii="Times New Roman" w:hAnsi="Times New Roman"/>
        </w:rPr>
        <w:t>present</w:t>
      </w:r>
      <w:r w:rsidR="00403F91" w:rsidRPr="00C86A14">
        <w:rPr>
          <w:rFonts w:ascii="Times New Roman" w:hAnsi="Times New Roman"/>
        </w:rPr>
        <w:t xml:space="preserve"> question of whether the making of a CFO </w:t>
      </w:r>
      <w:r w:rsidR="00A705E9" w:rsidRPr="00C86A14">
        <w:rPr>
          <w:rFonts w:ascii="Times New Roman" w:hAnsi="Times New Roman"/>
        </w:rPr>
        <w:t xml:space="preserve">in the form of </w:t>
      </w:r>
      <w:r w:rsidR="00867277" w:rsidRPr="00C86A14">
        <w:rPr>
          <w:rFonts w:ascii="Times New Roman" w:hAnsi="Times New Roman"/>
        </w:rPr>
        <w:t>a "</w:t>
      </w:r>
      <w:r w:rsidR="00A705E9" w:rsidRPr="00C86A14">
        <w:rPr>
          <w:rFonts w:ascii="Times New Roman" w:hAnsi="Times New Roman"/>
        </w:rPr>
        <w:t>settlement CFO" or a "judgment CFO</w:t>
      </w:r>
      <w:r w:rsidR="00867277" w:rsidRPr="00C86A14">
        <w:rPr>
          <w:rFonts w:ascii="Times New Roman" w:hAnsi="Times New Roman"/>
        </w:rPr>
        <w:t>"</w:t>
      </w:r>
      <w:r w:rsidR="00A705E9" w:rsidRPr="00C86A14">
        <w:rPr>
          <w:rFonts w:ascii="Times New Roman" w:hAnsi="Times New Roman"/>
        </w:rPr>
        <w:t xml:space="preserve"> </w:t>
      </w:r>
      <w:r w:rsidR="00403F91" w:rsidRPr="00C86A14">
        <w:rPr>
          <w:rFonts w:ascii="Times New Roman" w:hAnsi="Times New Roman"/>
        </w:rPr>
        <w:t>is empowered by differently worded provisions operat</w:t>
      </w:r>
      <w:r w:rsidR="00382477" w:rsidRPr="00C86A14">
        <w:rPr>
          <w:rFonts w:ascii="Times New Roman" w:hAnsi="Times New Roman"/>
        </w:rPr>
        <w:t>ing</w:t>
      </w:r>
      <w:r w:rsidR="00403F91" w:rsidRPr="00C86A14">
        <w:rPr>
          <w:rFonts w:ascii="Times New Roman" w:hAnsi="Times New Roman"/>
        </w:rPr>
        <w:t xml:space="preserve"> within the scheme of Pt IVA at a different </w:t>
      </w:r>
      <w:r w:rsidR="00D72E79" w:rsidRPr="00C86A14">
        <w:rPr>
          <w:rFonts w:ascii="Times New Roman" w:hAnsi="Times New Roman"/>
        </w:rPr>
        <w:t xml:space="preserve">and later </w:t>
      </w:r>
      <w:r w:rsidR="00403F91" w:rsidRPr="00C86A14">
        <w:rPr>
          <w:rFonts w:ascii="Times New Roman" w:hAnsi="Times New Roman"/>
        </w:rPr>
        <w:t xml:space="preserve">stage of a </w:t>
      </w:r>
      <w:r w:rsidR="00403F91" w:rsidRPr="00C86A14">
        <w:rPr>
          <w:rFonts w:ascii="Times New Roman" w:hAnsi="Times New Roman"/>
        </w:rPr>
        <w:lastRenderedPageBreak/>
        <w:t xml:space="preserve">representative proceeding, </w:t>
      </w:r>
      <w:r w:rsidR="001B3040" w:rsidRPr="00C86A14">
        <w:rPr>
          <w:rFonts w:ascii="Times New Roman" w:hAnsi="Times New Roman"/>
        </w:rPr>
        <w:t xml:space="preserve">those provisions </w:t>
      </w:r>
      <w:r w:rsidR="00403F91" w:rsidRPr="00C86A14">
        <w:rPr>
          <w:rFonts w:ascii="Times New Roman" w:hAnsi="Times New Roman"/>
        </w:rPr>
        <w:t>being s</w:t>
      </w:r>
      <w:r w:rsidR="00942B5B" w:rsidRPr="00C86A14">
        <w:rPr>
          <w:rFonts w:ascii="Times New Roman" w:hAnsi="Times New Roman"/>
        </w:rPr>
        <w:t> </w:t>
      </w:r>
      <w:r w:rsidR="00403F91" w:rsidRPr="00C86A14">
        <w:rPr>
          <w:rFonts w:ascii="Times New Roman" w:hAnsi="Times New Roman"/>
        </w:rPr>
        <w:t>33V(2)</w:t>
      </w:r>
      <w:r w:rsidR="00AE3621" w:rsidRPr="00C86A14">
        <w:rPr>
          <w:rFonts w:ascii="Times New Roman" w:hAnsi="Times New Roman"/>
        </w:rPr>
        <w:t>,</w:t>
      </w:r>
      <w:r w:rsidR="00403F91" w:rsidRPr="00C86A14">
        <w:rPr>
          <w:rFonts w:ascii="Times New Roman" w:hAnsi="Times New Roman"/>
        </w:rPr>
        <w:t xml:space="preserve"> operating on</w:t>
      </w:r>
      <w:r w:rsidR="00140590" w:rsidRPr="00C86A14">
        <w:rPr>
          <w:rFonts w:ascii="Times New Roman" w:hAnsi="Times New Roman"/>
        </w:rPr>
        <w:t xml:space="preserve">ly </w:t>
      </w:r>
      <w:r w:rsidR="00323458" w:rsidRPr="00C86A14">
        <w:rPr>
          <w:rFonts w:ascii="Times New Roman" w:hAnsi="Times New Roman"/>
        </w:rPr>
        <w:t>if there is a</w:t>
      </w:r>
      <w:r w:rsidR="00403F91" w:rsidRPr="00C86A14">
        <w:rPr>
          <w:rFonts w:ascii="Times New Roman" w:hAnsi="Times New Roman"/>
        </w:rPr>
        <w:t xml:space="preserve"> settlement</w:t>
      </w:r>
      <w:r w:rsidR="00AE3621" w:rsidRPr="00C86A14">
        <w:rPr>
          <w:rFonts w:ascii="Times New Roman" w:hAnsi="Times New Roman"/>
        </w:rPr>
        <w:t>,</w:t>
      </w:r>
      <w:r w:rsidR="00403F91" w:rsidRPr="00C86A14">
        <w:rPr>
          <w:rFonts w:ascii="Times New Roman" w:hAnsi="Times New Roman"/>
        </w:rPr>
        <w:t xml:space="preserve"> </w:t>
      </w:r>
      <w:r w:rsidR="001B3040" w:rsidRPr="00C86A14">
        <w:rPr>
          <w:rFonts w:ascii="Times New Roman" w:hAnsi="Times New Roman"/>
        </w:rPr>
        <w:t>and</w:t>
      </w:r>
      <w:r w:rsidR="00403F91" w:rsidRPr="00C86A14">
        <w:rPr>
          <w:rFonts w:ascii="Times New Roman" w:hAnsi="Times New Roman"/>
        </w:rPr>
        <w:t xml:space="preserve"> s</w:t>
      </w:r>
      <w:r w:rsidR="00942B5B" w:rsidRPr="00C86A14">
        <w:rPr>
          <w:rFonts w:ascii="Times New Roman" w:hAnsi="Times New Roman"/>
        </w:rPr>
        <w:t> </w:t>
      </w:r>
      <w:r w:rsidR="00403F91" w:rsidRPr="00C86A14">
        <w:rPr>
          <w:rFonts w:ascii="Times New Roman" w:hAnsi="Times New Roman"/>
        </w:rPr>
        <w:t>33Z(1)(g)</w:t>
      </w:r>
      <w:r w:rsidR="00AE3621" w:rsidRPr="00C86A14">
        <w:rPr>
          <w:rFonts w:ascii="Times New Roman" w:hAnsi="Times New Roman"/>
        </w:rPr>
        <w:t>,</w:t>
      </w:r>
      <w:r w:rsidR="00403F91" w:rsidRPr="00C86A14">
        <w:rPr>
          <w:rFonts w:ascii="Times New Roman" w:hAnsi="Times New Roman"/>
        </w:rPr>
        <w:t xml:space="preserve"> operating </w:t>
      </w:r>
      <w:r w:rsidR="00323458" w:rsidRPr="00C86A14">
        <w:rPr>
          <w:rFonts w:ascii="Times New Roman" w:hAnsi="Times New Roman"/>
        </w:rPr>
        <w:t>only if there is a</w:t>
      </w:r>
      <w:r w:rsidR="00403F91" w:rsidRPr="00C86A14">
        <w:rPr>
          <w:rFonts w:ascii="Times New Roman" w:hAnsi="Times New Roman"/>
        </w:rPr>
        <w:t xml:space="preserve"> judgment.</w:t>
      </w:r>
    </w:p>
    <w:p w14:paraId="29AACD93" w14:textId="5BA86C6D" w:rsidR="00E52541" w:rsidRPr="00C86A14" w:rsidRDefault="00E52541" w:rsidP="00C86A14">
      <w:pPr>
        <w:pStyle w:val="FixListStyle"/>
        <w:spacing w:after="260" w:line="280" w:lineRule="exact"/>
        <w:ind w:right="0"/>
        <w:jc w:val="both"/>
        <w:rPr>
          <w:rFonts w:ascii="Times New Roman" w:hAnsi="Times New Roman"/>
        </w:rPr>
      </w:pPr>
      <w:r w:rsidRPr="00C86A14">
        <w:rPr>
          <w:rFonts w:ascii="Times New Roman" w:hAnsi="Times New Roman"/>
        </w:rPr>
        <w:tab/>
        <w:t>No party dispute</w:t>
      </w:r>
      <w:r w:rsidR="00323458" w:rsidRPr="00C86A14">
        <w:rPr>
          <w:rFonts w:ascii="Times New Roman" w:hAnsi="Times New Roman"/>
        </w:rPr>
        <w:t>d</w:t>
      </w:r>
      <w:r w:rsidRPr="00C86A14">
        <w:rPr>
          <w:rFonts w:ascii="Times New Roman" w:hAnsi="Times New Roman"/>
        </w:rPr>
        <w:t xml:space="preserve"> the application to</w:t>
      </w:r>
      <w:r w:rsidR="00DD7118" w:rsidRPr="00C86A14">
        <w:rPr>
          <w:rFonts w:ascii="Times New Roman" w:hAnsi="Times New Roman"/>
        </w:rPr>
        <w:t xml:space="preserve"> each of s</w:t>
      </w:r>
      <w:r w:rsidR="00942B5B" w:rsidRPr="00C86A14">
        <w:rPr>
          <w:rFonts w:ascii="Times New Roman" w:hAnsi="Times New Roman"/>
        </w:rPr>
        <w:t> </w:t>
      </w:r>
      <w:r w:rsidR="00DD7118" w:rsidRPr="00C86A14">
        <w:rPr>
          <w:rFonts w:ascii="Times New Roman" w:hAnsi="Times New Roman"/>
        </w:rPr>
        <w:t>33V(2) and s</w:t>
      </w:r>
      <w:r w:rsidR="00942B5B" w:rsidRPr="00C86A14">
        <w:rPr>
          <w:rFonts w:ascii="Times New Roman" w:hAnsi="Times New Roman"/>
        </w:rPr>
        <w:t> </w:t>
      </w:r>
      <w:r w:rsidR="00DD7118" w:rsidRPr="00C86A14">
        <w:rPr>
          <w:rFonts w:ascii="Times New Roman" w:hAnsi="Times New Roman"/>
        </w:rPr>
        <w:t xml:space="preserve">33Z(1)(g) of the FCA of the general principle of </w:t>
      </w:r>
      <w:r w:rsidR="00C777C9" w:rsidRPr="00C86A14">
        <w:rPr>
          <w:rFonts w:ascii="Times New Roman" w:hAnsi="Times New Roman"/>
        </w:rPr>
        <w:t xml:space="preserve">construction that </w:t>
      </w:r>
      <w:r w:rsidR="000E7825" w:rsidRPr="00C86A14">
        <w:rPr>
          <w:rFonts w:ascii="Times New Roman" w:hAnsi="Times New Roman"/>
        </w:rPr>
        <w:t xml:space="preserve">makes </w:t>
      </w:r>
      <w:r w:rsidR="00C777C9" w:rsidRPr="00C86A14">
        <w:rPr>
          <w:rFonts w:ascii="Times New Roman" w:hAnsi="Times New Roman"/>
        </w:rPr>
        <w:t xml:space="preserve">it </w:t>
      </w:r>
      <w:r w:rsidR="007C03C2" w:rsidRPr="00C86A14">
        <w:rPr>
          <w:rFonts w:ascii="Times New Roman" w:hAnsi="Times New Roman"/>
        </w:rPr>
        <w:t>"</w:t>
      </w:r>
      <w:r w:rsidR="00C777C9" w:rsidRPr="00C86A14">
        <w:rPr>
          <w:rFonts w:ascii="Times New Roman" w:hAnsi="Times New Roman"/>
        </w:rPr>
        <w:t>inappropriate to read provisions conferring jurisdiction or granting powers</w:t>
      </w:r>
      <w:r w:rsidR="007C03C2" w:rsidRPr="00C86A14">
        <w:rPr>
          <w:rFonts w:ascii="Times New Roman" w:hAnsi="Times New Roman"/>
        </w:rPr>
        <w:t xml:space="preserve"> to a court by making implications or imposing limitations which are not found in the express words".</w:t>
      </w:r>
      <w:r w:rsidR="007C03C2" w:rsidRPr="00C86A14">
        <w:rPr>
          <w:rStyle w:val="FootnoteReference"/>
          <w:rFonts w:ascii="Times New Roman" w:hAnsi="Times New Roman"/>
          <w:sz w:val="24"/>
        </w:rPr>
        <w:footnoteReference w:id="14"/>
      </w:r>
      <w:r w:rsidRPr="00C86A14">
        <w:rPr>
          <w:rFonts w:ascii="Times New Roman" w:hAnsi="Times New Roman"/>
        </w:rPr>
        <w:t xml:space="preserve"> </w:t>
      </w:r>
      <w:r w:rsidR="001138C0" w:rsidRPr="00C86A14">
        <w:rPr>
          <w:rFonts w:ascii="Times New Roman" w:hAnsi="Times New Roman"/>
        </w:rPr>
        <w:t>That is hardly surprising given the</w:t>
      </w:r>
      <w:r w:rsidR="003615D4" w:rsidRPr="00C86A14">
        <w:rPr>
          <w:rFonts w:ascii="Times New Roman" w:hAnsi="Times New Roman"/>
        </w:rPr>
        <w:t xml:space="preserve"> </w:t>
      </w:r>
      <w:r w:rsidR="004B1E61" w:rsidRPr="00C86A14">
        <w:rPr>
          <w:rFonts w:ascii="Times New Roman" w:hAnsi="Times New Roman"/>
        </w:rPr>
        <w:t>observ</w:t>
      </w:r>
      <w:r w:rsidR="001138C0" w:rsidRPr="00C86A14">
        <w:rPr>
          <w:rFonts w:ascii="Times New Roman" w:hAnsi="Times New Roman"/>
        </w:rPr>
        <w:t>ation</w:t>
      </w:r>
      <w:r w:rsidR="004B1E61" w:rsidRPr="00C86A14">
        <w:rPr>
          <w:rFonts w:ascii="Times New Roman" w:hAnsi="Times New Roman"/>
        </w:rPr>
        <w:t xml:space="preserve"> in </w:t>
      </w:r>
      <w:r w:rsidR="004B1E61" w:rsidRPr="00C86A14">
        <w:rPr>
          <w:rFonts w:ascii="Times New Roman" w:hAnsi="Times New Roman"/>
          <w:i/>
          <w:iCs/>
        </w:rPr>
        <w:t xml:space="preserve">Wong v </w:t>
      </w:r>
      <w:proofErr w:type="spellStart"/>
      <w:r w:rsidR="004B1E61" w:rsidRPr="00C86A14">
        <w:rPr>
          <w:rFonts w:ascii="Times New Roman" w:hAnsi="Times New Roman"/>
          <w:i/>
          <w:iCs/>
        </w:rPr>
        <w:t>Silkfield</w:t>
      </w:r>
      <w:proofErr w:type="spellEnd"/>
      <w:r w:rsidR="004B1E61" w:rsidRPr="00C86A14">
        <w:rPr>
          <w:rFonts w:ascii="Times New Roman" w:hAnsi="Times New Roman"/>
          <w:i/>
          <w:iCs/>
        </w:rPr>
        <w:t xml:space="preserve"> Pty Ltd</w:t>
      </w:r>
      <w:r w:rsidR="001138C0" w:rsidRPr="00C86A14">
        <w:rPr>
          <w:rStyle w:val="FootnoteReference"/>
          <w:rFonts w:ascii="Times New Roman" w:hAnsi="Times New Roman"/>
          <w:sz w:val="24"/>
        </w:rPr>
        <w:footnoteReference w:id="15"/>
      </w:r>
      <w:r w:rsidR="004B1E61" w:rsidRPr="00C86A14">
        <w:rPr>
          <w:rFonts w:ascii="Times New Roman" w:hAnsi="Times New Roman"/>
        </w:rPr>
        <w:t xml:space="preserve"> </w:t>
      </w:r>
      <w:r w:rsidR="00B37DE3" w:rsidRPr="00C86A14">
        <w:rPr>
          <w:rFonts w:ascii="Times New Roman" w:hAnsi="Times New Roman"/>
        </w:rPr>
        <w:t>that "[l]</w:t>
      </w:r>
      <w:proofErr w:type="spellStart"/>
      <w:r w:rsidR="00B37DE3" w:rsidRPr="00C86A14">
        <w:rPr>
          <w:rFonts w:ascii="Times New Roman" w:hAnsi="Times New Roman"/>
        </w:rPr>
        <w:t>ike</w:t>
      </w:r>
      <w:proofErr w:type="spellEnd"/>
      <w:r w:rsidR="009245E2" w:rsidRPr="00C86A14">
        <w:rPr>
          <w:rFonts w:ascii="Times New Roman" w:hAnsi="Times New Roman"/>
        </w:rPr>
        <w:t xml:space="preserve"> other provisions conferring jurisdiction upon or granting powers to a court, Pt IVA is not to be read by making implications or imposing limitations not found in the words used</w:t>
      </w:r>
      <w:r w:rsidR="00A87623" w:rsidRPr="00C86A14">
        <w:rPr>
          <w:rFonts w:ascii="Times New Roman" w:hAnsi="Times New Roman"/>
        </w:rPr>
        <w:t>" and that</w:t>
      </w:r>
      <w:r w:rsidR="009245E2" w:rsidRPr="00C86A14">
        <w:rPr>
          <w:rFonts w:ascii="Times New Roman" w:hAnsi="Times New Roman"/>
        </w:rPr>
        <w:t xml:space="preserve"> </w:t>
      </w:r>
      <w:r w:rsidR="00A87623" w:rsidRPr="00C86A14">
        <w:rPr>
          <w:rFonts w:ascii="Times New Roman" w:hAnsi="Times New Roman"/>
        </w:rPr>
        <w:t>"</w:t>
      </w:r>
      <w:r w:rsidR="009245E2" w:rsidRPr="00C86A14">
        <w:rPr>
          <w:rFonts w:ascii="Times New Roman" w:hAnsi="Times New Roman"/>
        </w:rPr>
        <w:t>this is so even if the evident purpose of the statute is to displace generally understood procedures".</w:t>
      </w:r>
    </w:p>
    <w:p w14:paraId="297FCC2D" w14:textId="2FBE15ED" w:rsidR="002415DE" w:rsidRPr="00C86A14" w:rsidRDefault="002415DE"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FC5B64" w:rsidRPr="00C86A14">
        <w:rPr>
          <w:rFonts w:ascii="Times New Roman" w:hAnsi="Times New Roman"/>
        </w:rPr>
        <w:t>Rather, o</w:t>
      </w:r>
      <w:r w:rsidR="00BC4DE0" w:rsidRPr="00C86A14">
        <w:rPr>
          <w:rFonts w:ascii="Times New Roman" w:hAnsi="Times New Roman"/>
        </w:rPr>
        <w:t xml:space="preserve">nce </w:t>
      </w:r>
      <w:r w:rsidR="00EF22FE" w:rsidRPr="00C86A14">
        <w:rPr>
          <w:rFonts w:ascii="Times New Roman" w:hAnsi="Times New Roman"/>
          <w:i/>
          <w:iCs/>
        </w:rPr>
        <w:t xml:space="preserve">Brewster </w:t>
      </w:r>
      <w:r w:rsidR="006E1C88" w:rsidRPr="00C86A14">
        <w:rPr>
          <w:rFonts w:ascii="Times New Roman" w:hAnsi="Times New Roman"/>
        </w:rPr>
        <w:t>was</w:t>
      </w:r>
      <w:r w:rsidR="00EF22FE" w:rsidRPr="00C86A14">
        <w:rPr>
          <w:rFonts w:ascii="Times New Roman" w:hAnsi="Times New Roman"/>
        </w:rPr>
        <w:t xml:space="preserve"> put to one side</w:t>
      </w:r>
      <w:r w:rsidR="0004768D" w:rsidRPr="00C86A14">
        <w:rPr>
          <w:rFonts w:ascii="Times New Roman" w:hAnsi="Times New Roman"/>
        </w:rPr>
        <w:t xml:space="preserve">, </w:t>
      </w:r>
      <w:r w:rsidR="00FC649E" w:rsidRPr="00C86A14">
        <w:rPr>
          <w:rFonts w:ascii="Times New Roman" w:hAnsi="Times New Roman"/>
        </w:rPr>
        <w:t xml:space="preserve">the argument of </w:t>
      </w:r>
      <w:r w:rsidR="00A8012D" w:rsidRPr="00C86A14">
        <w:rPr>
          <w:rFonts w:ascii="Times New Roman" w:hAnsi="Times New Roman"/>
        </w:rPr>
        <w:t xml:space="preserve">those of the parties who sought to </w:t>
      </w:r>
      <w:r w:rsidR="00FC649E" w:rsidRPr="00C86A14">
        <w:rPr>
          <w:rFonts w:ascii="Times New Roman" w:hAnsi="Times New Roman"/>
        </w:rPr>
        <w:t>challenge</w:t>
      </w:r>
      <w:r w:rsidR="00A8012D" w:rsidRPr="00C86A14">
        <w:rPr>
          <w:rFonts w:ascii="Times New Roman" w:hAnsi="Times New Roman"/>
        </w:rPr>
        <w:t xml:space="preserve"> the Full Court's determination of the question reserved</w:t>
      </w:r>
      <w:r w:rsidR="00FC649E" w:rsidRPr="00C86A14">
        <w:rPr>
          <w:rFonts w:ascii="Times New Roman" w:hAnsi="Times New Roman"/>
        </w:rPr>
        <w:t xml:space="preserve"> by </w:t>
      </w:r>
      <w:r w:rsidR="009B2AE3" w:rsidRPr="00C86A14">
        <w:rPr>
          <w:rFonts w:ascii="Times New Roman" w:hAnsi="Times New Roman"/>
        </w:rPr>
        <w:t>denying the power of the Federal Court to make a</w:t>
      </w:r>
      <w:r w:rsidR="0072533D" w:rsidRPr="00C86A14">
        <w:rPr>
          <w:rFonts w:ascii="Times New Roman" w:hAnsi="Times New Roman"/>
        </w:rPr>
        <w:t>ny</w:t>
      </w:r>
      <w:r w:rsidR="009B2AE3" w:rsidRPr="00C86A14">
        <w:rPr>
          <w:rFonts w:ascii="Times New Roman" w:hAnsi="Times New Roman"/>
        </w:rPr>
        <w:t xml:space="preserve"> CFO </w:t>
      </w:r>
      <w:r w:rsidR="0072533D" w:rsidRPr="00C86A14">
        <w:rPr>
          <w:rFonts w:ascii="Times New Roman" w:hAnsi="Times New Roman"/>
        </w:rPr>
        <w:t xml:space="preserve">at all </w:t>
      </w:r>
      <w:r w:rsidR="00CA00B9" w:rsidRPr="00C86A14">
        <w:rPr>
          <w:rFonts w:ascii="Times New Roman" w:hAnsi="Times New Roman"/>
        </w:rPr>
        <w:t xml:space="preserve">under </w:t>
      </w:r>
      <w:r w:rsidR="009B2AE3" w:rsidRPr="00C86A14">
        <w:rPr>
          <w:rFonts w:ascii="Times New Roman" w:hAnsi="Times New Roman"/>
        </w:rPr>
        <w:t>s</w:t>
      </w:r>
      <w:r w:rsidR="00942B5B" w:rsidRPr="00C86A14">
        <w:rPr>
          <w:rFonts w:ascii="Times New Roman" w:hAnsi="Times New Roman"/>
        </w:rPr>
        <w:t> </w:t>
      </w:r>
      <w:r w:rsidR="009B2AE3" w:rsidRPr="00C86A14">
        <w:rPr>
          <w:rFonts w:ascii="Times New Roman" w:hAnsi="Times New Roman"/>
        </w:rPr>
        <w:t>33V(2) or s</w:t>
      </w:r>
      <w:r w:rsidR="00942B5B" w:rsidRPr="00C86A14">
        <w:rPr>
          <w:rFonts w:ascii="Times New Roman" w:hAnsi="Times New Roman"/>
        </w:rPr>
        <w:t> </w:t>
      </w:r>
      <w:r w:rsidR="009B2AE3" w:rsidRPr="00C86A14">
        <w:rPr>
          <w:rFonts w:ascii="Times New Roman" w:hAnsi="Times New Roman"/>
        </w:rPr>
        <w:t>33Z(1)(g) of the FCA</w:t>
      </w:r>
      <w:r w:rsidR="00070899" w:rsidRPr="00C86A14">
        <w:rPr>
          <w:rFonts w:ascii="Times New Roman" w:hAnsi="Times New Roman"/>
        </w:rPr>
        <w:t xml:space="preserve"> </w:t>
      </w:r>
      <w:r w:rsidR="001721AA" w:rsidRPr="00C86A14">
        <w:rPr>
          <w:rFonts w:ascii="Times New Roman" w:hAnsi="Times New Roman"/>
        </w:rPr>
        <w:t xml:space="preserve">was </w:t>
      </w:r>
      <w:r w:rsidR="00CA00B9" w:rsidRPr="00C86A14">
        <w:rPr>
          <w:rFonts w:ascii="Times New Roman" w:hAnsi="Times New Roman"/>
        </w:rPr>
        <w:t>reduce</w:t>
      </w:r>
      <w:r w:rsidR="00D442AB" w:rsidRPr="00C86A14">
        <w:rPr>
          <w:rFonts w:ascii="Times New Roman" w:hAnsi="Times New Roman"/>
        </w:rPr>
        <w:t>d</w:t>
      </w:r>
      <w:r w:rsidR="00CA00B9" w:rsidRPr="00C86A14">
        <w:rPr>
          <w:rFonts w:ascii="Times New Roman" w:hAnsi="Times New Roman"/>
        </w:rPr>
        <w:t xml:space="preserve"> to </w:t>
      </w:r>
      <w:r w:rsidR="009501D1" w:rsidRPr="00C86A14">
        <w:rPr>
          <w:rFonts w:ascii="Times New Roman" w:hAnsi="Times New Roman"/>
        </w:rPr>
        <w:t xml:space="preserve">the </w:t>
      </w:r>
      <w:r w:rsidR="001B4EDF" w:rsidRPr="00C86A14">
        <w:rPr>
          <w:rFonts w:ascii="Times New Roman" w:hAnsi="Times New Roman"/>
        </w:rPr>
        <w:t xml:space="preserve">proposition that </w:t>
      </w:r>
      <w:r w:rsidR="00C36F76" w:rsidRPr="00C86A14">
        <w:rPr>
          <w:rFonts w:ascii="Times New Roman" w:hAnsi="Times New Roman"/>
        </w:rPr>
        <w:t xml:space="preserve">the power conferred by each of </w:t>
      </w:r>
      <w:r w:rsidR="001B4EDF" w:rsidRPr="00C86A14">
        <w:rPr>
          <w:rFonts w:ascii="Times New Roman" w:hAnsi="Times New Roman"/>
        </w:rPr>
        <w:t xml:space="preserve">those provisions </w:t>
      </w:r>
      <w:r w:rsidR="00850D67" w:rsidRPr="00C86A14">
        <w:rPr>
          <w:rFonts w:ascii="Times New Roman" w:hAnsi="Times New Roman"/>
        </w:rPr>
        <w:t>w</w:t>
      </w:r>
      <w:r w:rsidR="00C36F76" w:rsidRPr="00C86A14">
        <w:rPr>
          <w:rFonts w:ascii="Times New Roman" w:hAnsi="Times New Roman"/>
        </w:rPr>
        <w:t>as</w:t>
      </w:r>
      <w:r w:rsidR="00850D67" w:rsidRPr="00C86A14">
        <w:rPr>
          <w:rFonts w:ascii="Times New Roman" w:hAnsi="Times New Roman"/>
        </w:rPr>
        <w:t xml:space="preserve"> not to be read </w:t>
      </w:r>
      <w:r w:rsidR="00530E92" w:rsidRPr="00C86A14">
        <w:rPr>
          <w:rFonts w:ascii="Times New Roman" w:hAnsi="Times New Roman"/>
        </w:rPr>
        <w:t xml:space="preserve">as </w:t>
      </w:r>
      <w:r w:rsidR="007903DE" w:rsidRPr="00C86A14">
        <w:rPr>
          <w:rFonts w:ascii="Times New Roman" w:hAnsi="Times New Roman"/>
        </w:rPr>
        <w:t xml:space="preserve">a </w:t>
      </w:r>
      <w:r w:rsidR="00530E92" w:rsidRPr="00C86A14">
        <w:rPr>
          <w:rFonts w:ascii="Times New Roman" w:hAnsi="Times New Roman"/>
        </w:rPr>
        <w:t xml:space="preserve">power to create </w:t>
      </w:r>
      <w:r w:rsidR="00BB30E1" w:rsidRPr="00C86A14">
        <w:rPr>
          <w:rFonts w:ascii="Times New Roman" w:hAnsi="Times New Roman"/>
        </w:rPr>
        <w:t xml:space="preserve">and confer </w:t>
      </w:r>
      <w:r w:rsidR="002632CB" w:rsidRPr="00C86A14">
        <w:rPr>
          <w:rFonts w:ascii="Times New Roman" w:hAnsi="Times New Roman"/>
        </w:rPr>
        <w:t xml:space="preserve">a </w:t>
      </w:r>
      <w:r w:rsidR="00530E92" w:rsidRPr="00C86A14">
        <w:rPr>
          <w:rFonts w:ascii="Times New Roman" w:hAnsi="Times New Roman"/>
        </w:rPr>
        <w:t>new legal right</w:t>
      </w:r>
      <w:r w:rsidR="00531324" w:rsidRPr="00C86A14">
        <w:rPr>
          <w:rFonts w:ascii="Times New Roman" w:hAnsi="Times New Roman"/>
        </w:rPr>
        <w:t xml:space="preserve"> </w:t>
      </w:r>
      <w:r w:rsidR="008E4830" w:rsidRPr="00C86A14">
        <w:rPr>
          <w:rFonts w:ascii="Times New Roman" w:hAnsi="Times New Roman"/>
        </w:rPr>
        <w:t xml:space="preserve">on a third party based on a norm of what is </w:t>
      </w:r>
      <w:r w:rsidR="002918FB" w:rsidRPr="00C86A14">
        <w:rPr>
          <w:rFonts w:ascii="Times New Roman" w:hAnsi="Times New Roman"/>
        </w:rPr>
        <w:t>"</w:t>
      </w:r>
      <w:r w:rsidR="008E4830" w:rsidRPr="00C86A14">
        <w:rPr>
          <w:rFonts w:ascii="Times New Roman" w:hAnsi="Times New Roman"/>
        </w:rPr>
        <w:t>just</w:t>
      </w:r>
      <w:r w:rsidR="002918FB" w:rsidRPr="00C86A14">
        <w:rPr>
          <w:rFonts w:ascii="Times New Roman" w:hAnsi="Times New Roman"/>
        </w:rPr>
        <w:t>",</w:t>
      </w:r>
      <w:r w:rsidR="007903DE" w:rsidRPr="00C86A14">
        <w:rPr>
          <w:rFonts w:ascii="Times New Roman" w:hAnsi="Times New Roman"/>
        </w:rPr>
        <w:t xml:space="preserve"> but rather as a power to give effect </w:t>
      </w:r>
      <w:r w:rsidR="00891C86" w:rsidRPr="00C86A14">
        <w:rPr>
          <w:rFonts w:ascii="Times New Roman" w:hAnsi="Times New Roman"/>
        </w:rPr>
        <w:t>to an entitlement</w:t>
      </w:r>
      <w:r w:rsidR="003D0D1D" w:rsidRPr="00C86A14">
        <w:rPr>
          <w:rFonts w:ascii="Times New Roman" w:hAnsi="Times New Roman"/>
        </w:rPr>
        <w:t xml:space="preserve"> arising at law or in equity. </w:t>
      </w:r>
      <w:r w:rsidR="000468BC" w:rsidRPr="00C86A14">
        <w:rPr>
          <w:rFonts w:ascii="Times New Roman" w:hAnsi="Times New Roman"/>
        </w:rPr>
        <w:t>By reason of</w:t>
      </w:r>
      <w:r w:rsidR="003D0D1D" w:rsidRPr="00C86A14">
        <w:rPr>
          <w:rFonts w:ascii="Times New Roman" w:hAnsi="Times New Roman"/>
        </w:rPr>
        <w:t xml:space="preserve"> that </w:t>
      </w:r>
      <w:r w:rsidR="000468BC" w:rsidRPr="00C86A14">
        <w:rPr>
          <w:rFonts w:ascii="Times New Roman" w:hAnsi="Times New Roman"/>
        </w:rPr>
        <w:t>inherent limitation</w:t>
      </w:r>
      <w:r w:rsidR="003D0D1D" w:rsidRPr="00C86A14">
        <w:rPr>
          <w:rFonts w:ascii="Times New Roman" w:hAnsi="Times New Roman"/>
        </w:rPr>
        <w:t xml:space="preserve">, </w:t>
      </w:r>
      <w:r w:rsidR="00070899" w:rsidRPr="00C86A14">
        <w:rPr>
          <w:rFonts w:ascii="Times New Roman" w:hAnsi="Times New Roman"/>
        </w:rPr>
        <w:t xml:space="preserve">so </w:t>
      </w:r>
      <w:r w:rsidR="002F7A2B" w:rsidRPr="00C86A14">
        <w:rPr>
          <w:rFonts w:ascii="Times New Roman" w:hAnsi="Times New Roman"/>
        </w:rPr>
        <w:t>the</w:t>
      </w:r>
      <w:r w:rsidR="003D0D1D" w:rsidRPr="00C86A14">
        <w:rPr>
          <w:rFonts w:ascii="Times New Roman" w:hAnsi="Times New Roman"/>
        </w:rPr>
        <w:t xml:space="preserve"> argu</w:t>
      </w:r>
      <w:r w:rsidR="002F7A2B" w:rsidRPr="00C86A14">
        <w:rPr>
          <w:rFonts w:ascii="Times New Roman" w:hAnsi="Times New Roman"/>
        </w:rPr>
        <w:t>ment went</w:t>
      </w:r>
      <w:r w:rsidR="003D0D1D" w:rsidRPr="00C86A14">
        <w:rPr>
          <w:rFonts w:ascii="Times New Roman" w:hAnsi="Times New Roman"/>
        </w:rPr>
        <w:t>, the</w:t>
      </w:r>
      <w:r w:rsidR="00A75B3F" w:rsidRPr="00C86A14">
        <w:rPr>
          <w:rFonts w:ascii="Times New Roman" w:hAnsi="Times New Roman"/>
        </w:rPr>
        <w:t xml:space="preserve"> powers </w:t>
      </w:r>
      <w:r w:rsidR="00287BD9" w:rsidRPr="00C86A14">
        <w:rPr>
          <w:rFonts w:ascii="Times New Roman" w:hAnsi="Times New Roman"/>
        </w:rPr>
        <w:t>do not</w:t>
      </w:r>
      <w:r w:rsidR="00514DFF" w:rsidRPr="00C86A14">
        <w:rPr>
          <w:rFonts w:ascii="Times New Roman" w:hAnsi="Times New Roman"/>
        </w:rPr>
        <w:t xml:space="preserve"> </w:t>
      </w:r>
      <w:r w:rsidR="009630F5" w:rsidRPr="00C86A14">
        <w:rPr>
          <w:rFonts w:ascii="Times New Roman" w:hAnsi="Times New Roman"/>
        </w:rPr>
        <w:t xml:space="preserve">extend to conferring a right to payment on a </w:t>
      </w:r>
      <w:r w:rsidR="00514DFF" w:rsidRPr="00C86A14">
        <w:rPr>
          <w:rFonts w:ascii="Times New Roman" w:hAnsi="Times New Roman"/>
        </w:rPr>
        <w:t>litigation funder against unfunded group members</w:t>
      </w:r>
      <w:r w:rsidR="00690916" w:rsidRPr="00C86A14">
        <w:rPr>
          <w:rFonts w:ascii="Times New Roman" w:hAnsi="Times New Roman"/>
        </w:rPr>
        <w:t xml:space="preserve"> with whom the litigation funder is not in a contractual </w:t>
      </w:r>
      <w:r w:rsidR="009C00F1" w:rsidRPr="00C86A14">
        <w:rPr>
          <w:rFonts w:ascii="Times New Roman" w:hAnsi="Times New Roman"/>
        </w:rPr>
        <w:t>or other relationship recognised at law or in equity.</w:t>
      </w:r>
    </w:p>
    <w:p w14:paraId="6CD68684" w14:textId="3535EB7B" w:rsidR="00E62347" w:rsidRPr="00C86A14" w:rsidRDefault="00E62347" w:rsidP="00C86A14">
      <w:pPr>
        <w:pStyle w:val="FixListStyle"/>
        <w:spacing w:after="260" w:line="280" w:lineRule="exact"/>
        <w:ind w:right="0"/>
        <w:jc w:val="both"/>
        <w:rPr>
          <w:rFonts w:ascii="Times New Roman" w:hAnsi="Times New Roman"/>
        </w:rPr>
      </w:pPr>
      <w:r w:rsidRPr="00C86A14">
        <w:rPr>
          <w:rFonts w:ascii="Times New Roman" w:hAnsi="Times New Roman"/>
        </w:rPr>
        <w:tab/>
        <w:t xml:space="preserve">The argument accordingly treated </w:t>
      </w:r>
      <w:r w:rsidR="00723FC1" w:rsidRPr="00C86A14">
        <w:rPr>
          <w:rFonts w:ascii="Times New Roman" w:hAnsi="Times New Roman"/>
        </w:rPr>
        <w:t>the powers conferred by ss</w:t>
      </w:r>
      <w:r w:rsidR="00942B5B" w:rsidRPr="00C86A14">
        <w:rPr>
          <w:rFonts w:ascii="Times New Roman" w:hAnsi="Times New Roman"/>
        </w:rPr>
        <w:t> </w:t>
      </w:r>
      <w:r w:rsidR="00723FC1" w:rsidRPr="00C86A14">
        <w:rPr>
          <w:rFonts w:ascii="Times New Roman" w:hAnsi="Times New Roman"/>
        </w:rPr>
        <w:t xml:space="preserve">33V(2) and 33Z(1)(g) of the FCA, to "make such orders as are just with respect to the distribution of any money paid under a settlement" and to "make such other order as the Court thinks just" in "determining a matter in a representative proceeding" respectively, as akin to the power </w:t>
      </w:r>
      <w:r w:rsidR="004D785C" w:rsidRPr="00C86A14">
        <w:rPr>
          <w:rFonts w:ascii="Times New Roman" w:hAnsi="Times New Roman"/>
        </w:rPr>
        <w:t>conferred by s</w:t>
      </w:r>
      <w:r w:rsidR="00942B5B" w:rsidRPr="00C86A14">
        <w:rPr>
          <w:rFonts w:ascii="Times New Roman" w:hAnsi="Times New Roman"/>
        </w:rPr>
        <w:t> </w:t>
      </w:r>
      <w:r w:rsidR="004D785C" w:rsidRPr="00C86A14">
        <w:rPr>
          <w:rFonts w:ascii="Times New Roman" w:hAnsi="Times New Roman"/>
        </w:rPr>
        <w:t>16</w:t>
      </w:r>
      <w:r w:rsidR="00FC03A6" w:rsidRPr="00C86A14">
        <w:rPr>
          <w:rFonts w:ascii="Times New Roman" w:hAnsi="Times New Roman"/>
        </w:rPr>
        <w:t>(1)(d)</w:t>
      </w:r>
      <w:r w:rsidR="00E4243F" w:rsidRPr="00C86A14">
        <w:rPr>
          <w:rFonts w:ascii="Times New Roman" w:hAnsi="Times New Roman"/>
        </w:rPr>
        <w:t xml:space="preserve"> of the </w:t>
      </w:r>
      <w:r w:rsidR="00E4243F" w:rsidRPr="00C86A14">
        <w:rPr>
          <w:rFonts w:ascii="Times New Roman" w:hAnsi="Times New Roman"/>
          <w:i/>
          <w:iCs/>
        </w:rPr>
        <w:t xml:space="preserve">Administrative Decisions (Judicial Review) Act </w:t>
      </w:r>
      <w:r w:rsidR="005278E0" w:rsidRPr="00C86A14">
        <w:rPr>
          <w:rFonts w:ascii="Times New Roman" w:hAnsi="Times New Roman"/>
          <w:i/>
          <w:iCs/>
        </w:rPr>
        <w:t>1977</w:t>
      </w:r>
      <w:r w:rsidR="005278E0" w:rsidRPr="00C86A14">
        <w:rPr>
          <w:rFonts w:ascii="Times New Roman" w:hAnsi="Times New Roman"/>
        </w:rPr>
        <w:t xml:space="preserve"> (</w:t>
      </w:r>
      <w:proofErr w:type="spellStart"/>
      <w:r w:rsidR="005278E0" w:rsidRPr="00C86A14">
        <w:rPr>
          <w:rFonts w:ascii="Times New Roman" w:hAnsi="Times New Roman"/>
        </w:rPr>
        <w:t>Cth</w:t>
      </w:r>
      <w:proofErr w:type="spellEnd"/>
      <w:r w:rsidR="005278E0" w:rsidRPr="00C86A14">
        <w:rPr>
          <w:rFonts w:ascii="Times New Roman" w:hAnsi="Times New Roman"/>
        </w:rPr>
        <w:t xml:space="preserve">) </w:t>
      </w:r>
      <w:r w:rsidR="00B600CE" w:rsidRPr="00C86A14">
        <w:rPr>
          <w:rFonts w:ascii="Times New Roman" w:hAnsi="Times New Roman"/>
        </w:rPr>
        <w:t>to make an</w:t>
      </w:r>
      <w:r w:rsidR="00DB2031" w:rsidRPr="00C86A14">
        <w:rPr>
          <w:rFonts w:ascii="Times New Roman" w:hAnsi="Times New Roman"/>
        </w:rPr>
        <w:t>y</w:t>
      </w:r>
      <w:r w:rsidR="00B600CE" w:rsidRPr="00C86A14">
        <w:rPr>
          <w:rFonts w:ascii="Times New Roman" w:hAnsi="Times New Roman"/>
        </w:rPr>
        <w:t xml:space="preserve"> order </w:t>
      </w:r>
      <w:r w:rsidR="00D61E8D" w:rsidRPr="00C86A14">
        <w:rPr>
          <w:rFonts w:ascii="Times New Roman" w:hAnsi="Times New Roman"/>
        </w:rPr>
        <w:t xml:space="preserve">directing any party </w:t>
      </w:r>
      <w:r w:rsidR="00730EE2" w:rsidRPr="00C86A14">
        <w:rPr>
          <w:rFonts w:ascii="Times New Roman" w:hAnsi="Times New Roman"/>
        </w:rPr>
        <w:t xml:space="preserve">to do or refrain from doing an act or thing </w:t>
      </w:r>
      <w:r w:rsidR="00DB2031" w:rsidRPr="00C86A14">
        <w:rPr>
          <w:rFonts w:ascii="Times New Roman" w:hAnsi="Times New Roman"/>
        </w:rPr>
        <w:t>"</w:t>
      </w:r>
      <w:r w:rsidR="00725779" w:rsidRPr="00C86A14">
        <w:rPr>
          <w:rFonts w:ascii="Times New Roman" w:hAnsi="Times New Roman"/>
        </w:rPr>
        <w:t xml:space="preserve">which the </w:t>
      </w:r>
      <w:r w:rsidR="006F20C1" w:rsidRPr="00C86A14">
        <w:rPr>
          <w:rFonts w:ascii="Times New Roman" w:hAnsi="Times New Roman"/>
        </w:rPr>
        <w:t>c</w:t>
      </w:r>
      <w:r w:rsidR="00725779" w:rsidRPr="00C86A14">
        <w:rPr>
          <w:rFonts w:ascii="Times New Roman" w:hAnsi="Times New Roman"/>
        </w:rPr>
        <w:t>ourt considers necessary to do justice between the parties</w:t>
      </w:r>
      <w:r w:rsidR="00C664E5" w:rsidRPr="00C86A14">
        <w:rPr>
          <w:rFonts w:ascii="Times New Roman" w:hAnsi="Times New Roman"/>
        </w:rPr>
        <w:t xml:space="preserve">". </w:t>
      </w:r>
      <w:r w:rsidR="00E42E65" w:rsidRPr="00C86A14">
        <w:rPr>
          <w:rFonts w:ascii="Times New Roman" w:hAnsi="Times New Roman"/>
        </w:rPr>
        <w:t>I</w:t>
      </w:r>
      <w:r w:rsidR="000910BF" w:rsidRPr="00C86A14">
        <w:rPr>
          <w:rFonts w:ascii="Times New Roman" w:hAnsi="Times New Roman"/>
        </w:rPr>
        <w:t xml:space="preserve">n </w:t>
      </w:r>
      <w:r w:rsidR="000910BF" w:rsidRPr="00C86A14">
        <w:rPr>
          <w:rFonts w:ascii="Times New Roman" w:hAnsi="Times New Roman"/>
          <w:i/>
          <w:iCs/>
        </w:rPr>
        <w:t>Johns v Australian Sec</w:t>
      </w:r>
      <w:r w:rsidR="00F352FF" w:rsidRPr="00C86A14">
        <w:rPr>
          <w:rFonts w:ascii="Times New Roman" w:hAnsi="Times New Roman"/>
          <w:i/>
          <w:iCs/>
        </w:rPr>
        <w:t>urities Commission</w:t>
      </w:r>
      <w:r w:rsidR="007441F9" w:rsidRPr="00C86A14">
        <w:rPr>
          <w:rFonts w:ascii="Times New Roman" w:hAnsi="Times New Roman"/>
        </w:rPr>
        <w:t>,</w:t>
      </w:r>
      <w:r w:rsidR="00F352FF" w:rsidRPr="00C86A14">
        <w:rPr>
          <w:rStyle w:val="FootnoteReference"/>
          <w:rFonts w:ascii="Times New Roman" w:hAnsi="Times New Roman"/>
          <w:sz w:val="24"/>
        </w:rPr>
        <w:footnoteReference w:id="16"/>
      </w:r>
      <w:r w:rsidR="005C4280" w:rsidRPr="00C86A14">
        <w:rPr>
          <w:rFonts w:ascii="Times New Roman" w:hAnsi="Times New Roman"/>
        </w:rPr>
        <w:t xml:space="preserve"> that power</w:t>
      </w:r>
      <w:r w:rsidR="00E42E65" w:rsidRPr="00C86A14">
        <w:rPr>
          <w:rFonts w:ascii="Times New Roman" w:hAnsi="Times New Roman"/>
        </w:rPr>
        <w:t xml:space="preserve"> was </w:t>
      </w:r>
      <w:r w:rsidR="00433B98" w:rsidRPr="00C86A14">
        <w:rPr>
          <w:rFonts w:ascii="Times New Roman" w:hAnsi="Times New Roman"/>
        </w:rPr>
        <w:t xml:space="preserve">construed </w:t>
      </w:r>
      <w:r w:rsidR="003906D1" w:rsidRPr="00C86A14">
        <w:rPr>
          <w:rFonts w:ascii="Times New Roman" w:hAnsi="Times New Roman"/>
        </w:rPr>
        <w:t xml:space="preserve">not </w:t>
      </w:r>
      <w:r w:rsidR="007441F9" w:rsidRPr="00C86A14">
        <w:rPr>
          <w:rFonts w:ascii="Times New Roman" w:hAnsi="Times New Roman"/>
        </w:rPr>
        <w:t xml:space="preserve">to </w:t>
      </w:r>
      <w:r w:rsidR="000B2192" w:rsidRPr="00C86A14">
        <w:rPr>
          <w:rFonts w:ascii="Times New Roman" w:hAnsi="Times New Roman"/>
        </w:rPr>
        <w:t xml:space="preserve">"set the </w:t>
      </w:r>
      <w:r w:rsidR="005C4280" w:rsidRPr="00C86A14">
        <w:rPr>
          <w:rFonts w:ascii="Times New Roman" w:hAnsi="Times New Roman"/>
        </w:rPr>
        <w:t>C</w:t>
      </w:r>
      <w:r w:rsidR="000B2192" w:rsidRPr="00C86A14">
        <w:rPr>
          <w:rFonts w:ascii="Times New Roman" w:hAnsi="Times New Roman"/>
        </w:rPr>
        <w:t>ourt on an uncharted course without legal reference points by which to steer</w:t>
      </w:r>
      <w:r w:rsidR="00A317AF" w:rsidRPr="00C86A14">
        <w:rPr>
          <w:rFonts w:ascii="Times New Roman" w:hAnsi="Times New Roman"/>
        </w:rPr>
        <w:t>"</w:t>
      </w:r>
      <w:r w:rsidR="00A317AF" w:rsidRPr="00C86A14">
        <w:rPr>
          <w:rStyle w:val="FootnoteReference"/>
          <w:rFonts w:ascii="Times New Roman" w:hAnsi="Times New Roman"/>
          <w:sz w:val="24"/>
        </w:rPr>
        <w:footnoteReference w:id="17"/>
      </w:r>
      <w:r w:rsidR="00A317AF" w:rsidRPr="00C86A14">
        <w:rPr>
          <w:rFonts w:ascii="Times New Roman" w:hAnsi="Times New Roman"/>
        </w:rPr>
        <w:t xml:space="preserve"> but </w:t>
      </w:r>
      <w:r w:rsidR="005C4280" w:rsidRPr="00C86A14">
        <w:rPr>
          <w:rFonts w:ascii="Times New Roman" w:hAnsi="Times New Roman"/>
        </w:rPr>
        <w:t>merely</w:t>
      </w:r>
      <w:r w:rsidR="00A317AF" w:rsidRPr="00C86A14">
        <w:rPr>
          <w:rFonts w:ascii="Times New Roman" w:hAnsi="Times New Roman"/>
        </w:rPr>
        <w:t xml:space="preserve"> to </w:t>
      </w:r>
      <w:r w:rsidR="00612337" w:rsidRPr="00C86A14">
        <w:rPr>
          <w:rFonts w:ascii="Times New Roman" w:hAnsi="Times New Roman"/>
        </w:rPr>
        <w:t>authorise the making of an order against a party only if a ground for relief</w:t>
      </w:r>
      <w:r w:rsidR="00B750E0" w:rsidRPr="00C86A14">
        <w:rPr>
          <w:rFonts w:ascii="Times New Roman" w:hAnsi="Times New Roman"/>
        </w:rPr>
        <w:t xml:space="preserve"> under the general law was established </w:t>
      </w:r>
      <w:r w:rsidR="00B750E0" w:rsidRPr="00C86A14">
        <w:rPr>
          <w:rFonts w:ascii="Times New Roman" w:hAnsi="Times New Roman"/>
        </w:rPr>
        <w:lastRenderedPageBreak/>
        <w:t>against that party</w:t>
      </w:r>
      <w:r w:rsidR="003925A0" w:rsidRPr="00C86A14">
        <w:rPr>
          <w:rFonts w:ascii="Times New Roman" w:hAnsi="Times New Roman"/>
        </w:rPr>
        <w:t>, the word "justice" being taken to mean "justice according to law"</w:t>
      </w:r>
      <w:r w:rsidR="00B750E0" w:rsidRPr="00C86A14">
        <w:rPr>
          <w:rFonts w:ascii="Times New Roman" w:hAnsi="Times New Roman"/>
        </w:rPr>
        <w:t>.</w:t>
      </w:r>
      <w:r w:rsidR="003925A0" w:rsidRPr="00C86A14">
        <w:rPr>
          <w:rStyle w:val="FootnoteReference"/>
          <w:rFonts w:ascii="Times New Roman" w:hAnsi="Times New Roman"/>
          <w:sz w:val="24"/>
        </w:rPr>
        <w:footnoteReference w:id="18"/>
      </w:r>
    </w:p>
    <w:p w14:paraId="67163710" w14:textId="44D2FBE8" w:rsidR="005216B1" w:rsidRPr="00C86A14" w:rsidRDefault="000D311A"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3A6C47" w:rsidRPr="00C86A14">
        <w:rPr>
          <w:rFonts w:ascii="Times New Roman" w:hAnsi="Times New Roman"/>
        </w:rPr>
        <w:t>T</w:t>
      </w:r>
      <w:r w:rsidR="00AD395D" w:rsidRPr="00C86A14">
        <w:rPr>
          <w:rFonts w:ascii="Times New Roman" w:hAnsi="Times New Roman"/>
        </w:rPr>
        <w:t xml:space="preserve">he context </w:t>
      </w:r>
      <w:r w:rsidR="005615BB" w:rsidRPr="00C86A14">
        <w:rPr>
          <w:rFonts w:ascii="Times New Roman" w:hAnsi="Times New Roman"/>
        </w:rPr>
        <w:t>in which</w:t>
      </w:r>
      <w:r w:rsidR="00AD395D" w:rsidRPr="00C86A14">
        <w:rPr>
          <w:rFonts w:ascii="Times New Roman" w:hAnsi="Times New Roman"/>
        </w:rPr>
        <w:t xml:space="preserve"> </w:t>
      </w:r>
      <w:r w:rsidR="007054C0" w:rsidRPr="00C86A14">
        <w:rPr>
          <w:rFonts w:ascii="Times New Roman" w:hAnsi="Times New Roman"/>
        </w:rPr>
        <w:t>ss</w:t>
      </w:r>
      <w:r w:rsidR="00B33C74" w:rsidRPr="00C86A14">
        <w:rPr>
          <w:rFonts w:ascii="Times New Roman" w:hAnsi="Times New Roman"/>
        </w:rPr>
        <w:t> </w:t>
      </w:r>
      <w:r w:rsidR="007054C0" w:rsidRPr="00C86A14">
        <w:rPr>
          <w:rFonts w:ascii="Times New Roman" w:hAnsi="Times New Roman"/>
        </w:rPr>
        <w:t>33V(2) and 33Z(1)(g) of the FCA</w:t>
      </w:r>
      <w:r w:rsidR="005615BB" w:rsidRPr="00C86A14">
        <w:rPr>
          <w:rFonts w:ascii="Times New Roman" w:hAnsi="Times New Roman"/>
        </w:rPr>
        <w:t xml:space="preserve"> </w:t>
      </w:r>
      <w:r w:rsidR="00D65884" w:rsidRPr="00C86A14">
        <w:rPr>
          <w:rFonts w:ascii="Times New Roman" w:hAnsi="Times New Roman"/>
        </w:rPr>
        <w:t xml:space="preserve">will have scope to </w:t>
      </w:r>
      <w:r w:rsidR="008257EA" w:rsidRPr="00C86A14">
        <w:rPr>
          <w:rFonts w:ascii="Times New Roman" w:hAnsi="Times New Roman"/>
        </w:rPr>
        <w:t>operat</w:t>
      </w:r>
      <w:r w:rsidR="005615BB" w:rsidRPr="00C86A14">
        <w:rPr>
          <w:rFonts w:ascii="Times New Roman" w:hAnsi="Times New Roman"/>
        </w:rPr>
        <w:t>e</w:t>
      </w:r>
      <w:r w:rsidR="00A244A2" w:rsidRPr="00C86A14">
        <w:rPr>
          <w:rFonts w:ascii="Times New Roman" w:hAnsi="Times New Roman"/>
        </w:rPr>
        <w:t>,</w:t>
      </w:r>
      <w:r w:rsidR="008257EA" w:rsidRPr="00C86A14">
        <w:rPr>
          <w:rFonts w:ascii="Times New Roman" w:hAnsi="Times New Roman"/>
        </w:rPr>
        <w:t xml:space="preserve"> where </w:t>
      </w:r>
      <w:r w:rsidR="002832FA" w:rsidRPr="00C86A14">
        <w:rPr>
          <w:rFonts w:ascii="Times New Roman" w:hAnsi="Times New Roman"/>
        </w:rPr>
        <w:t>group members on whose behalf a representative proceeding has been</w:t>
      </w:r>
      <w:r w:rsidR="006542D8" w:rsidRPr="00C86A14">
        <w:rPr>
          <w:rFonts w:ascii="Times New Roman" w:hAnsi="Times New Roman"/>
        </w:rPr>
        <w:t xml:space="preserve"> pursued to settlement or judgment stand </w:t>
      </w:r>
      <w:r w:rsidR="004E20F4" w:rsidRPr="00C86A14">
        <w:rPr>
          <w:rFonts w:ascii="Times New Roman" w:hAnsi="Times New Roman"/>
        </w:rPr>
        <w:t xml:space="preserve">to benefit from </w:t>
      </w:r>
      <w:r w:rsidR="005615BB" w:rsidRPr="00C86A14">
        <w:rPr>
          <w:rFonts w:ascii="Times New Roman" w:hAnsi="Times New Roman"/>
        </w:rPr>
        <w:t>the</w:t>
      </w:r>
      <w:r w:rsidR="004E20F4" w:rsidRPr="00C86A14">
        <w:rPr>
          <w:rFonts w:ascii="Times New Roman" w:hAnsi="Times New Roman"/>
        </w:rPr>
        <w:t xml:space="preserve"> </w:t>
      </w:r>
      <w:r w:rsidR="00543BD5" w:rsidRPr="00C86A14">
        <w:rPr>
          <w:rFonts w:ascii="Times New Roman" w:hAnsi="Times New Roman"/>
        </w:rPr>
        <w:t xml:space="preserve">settlement or </w:t>
      </w:r>
      <w:r w:rsidR="004E20F4" w:rsidRPr="00C86A14">
        <w:rPr>
          <w:rFonts w:ascii="Times New Roman" w:hAnsi="Times New Roman"/>
        </w:rPr>
        <w:t xml:space="preserve">judgment </w:t>
      </w:r>
      <w:r w:rsidR="00157D6F" w:rsidRPr="00C86A14">
        <w:rPr>
          <w:rFonts w:ascii="Times New Roman" w:hAnsi="Times New Roman"/>
        </w:rPr>
        <w:t xml:space="preserve">without </w:t>
      </w:r>
      <w:r w:rsidR="002F115C" w:rsidRPr="00C86A14">
        <w:rPr>
          <w:rFonts w:ascii="Times New Roman" w:hAnsi="Times New Roman"/>
        </w:rPr>
        <w:t xml:space="preserve">necessarily </w:t>
      </w:r>
      <w:r w:rsidR="00157D6F" w:rsidRPr="00C86A14">
        <w:rPr>
          <w:rFonts w:ascii="Times New Roman" w:hAnsi="Times New Roman"/>
        </w:rPr>
        <w:t xml:space="preserve">having incurred </w:t>
      </w:r>
      <w:r w:rsidR="00A73360" w:rsidRPr="00C86A14">
        <w:rPr>
          <w:rFonts w:ascii="Times New Roman" w:hAnsi="Times New Roman"/>
        </w:rPr>
        <w:t xml:space="preserve">the costs and without </w:t>
      </w:r>
      <w:r w:rsidR="002F115C" w:rsidRPr="00C86A14">
        <w:rPr>
          <w:rFonts w:ascii="Times New Roman" w:hAnsi="Times New Roman"/>
        </w:rPr>
        <w:t xml:space="preserve">necessarily </w:t>
      </w:r>
      <w:r w:rsidR="00A73360" w:rsidRPr="00C86A14">
        <w:rPr>
          <w:rFonts w:ascii="Times New Roman" w:hAnsi="Times New Roman"/>
        </w:rPr>
        <w:t xml:space="preserve">having been exposed </w:t>
      </w:r>
      <w:r w:rsidR="005615BB" w:rsidRPr="00C86A14">
        <w:rPr>
          <w:rFonts w:ascii="Times New Roman" w:hAnsi="Times New Roman"/>
        </w:rPr>
        <w:t>to</w:t>
      </w:r>
      <w:r w:rsidR="004E24C7" w:rsidRPr="00C86A14">
        <w:rPr>
          <w:rFonts w:ascii="Times New Roman" w:hAnsi="Times New Roman"/>
        </w:rPr>
        <w:t xml:space="preserve"> litigation</w:t>
      </w:r>
      <w:r w:rsidR="00557F74" w:rsidRPr="00C86A14">
        <w:rPr>
          <w:rFonts w:ascii="Times New Roman" w:hAnsi="Times New Roman"/>
        </w:rPr>
        <w:t xml:space="preserve"> </w:t>
      </w:r>
      <w:r w:rsidR="005615BB" w:rsidRPr="00C86A14">
        <w:rPr>
          <w:rFonts w:ascii="Times New Roman" w:hAnsi="Times New Roman"/>
        </w:rPr>
        <w:t>risk</w:t>
      </w:r>
      <w:r w:rsidR="00A244A2" w:rsidRPr="00C86A14">
        <w:rPr>
          <w:rFonts w:ascii="Times New Roman" w:hAnsi="Times New Roman"/>
        </w:rPr>
        <w:t>,</w:t>
      </w:r>
      <w:r w:rsidR="005615BB" w:rsidRPr="00C86A14">
        <w:rPr>
          <w:rFonts w:ascii="Times New Roman" w:hAnsi="Times New Roman"/>
        </w:rPr>
        <w:t xml:space="preserve"> tells against</w:t>
      </w:r>
      <w:r w:rsidR="00557F74" w:rsidRPr="00C86A14">
        <w:rPr>
          <w:rFonts w:ascii="Times New Roman" w:hAnsi="Times New Roman"/>
        </w:rPr>
        <w:t xml:space="preserve"> </w:t>
      </w:r>
      <w:r w:rsidR="005615BB" w:rsidRPr="00C86A14">
        <w:rPr>
          <w:rFonts w:ascii="Times New Roman" w:hAnsi="Times New Roman"/>
        </w:rPr>
        <w:t>confining</w:t>
      </w:r>
      <w:r w:rsidR="003A6C47" w:rsidRPr="00C86A14">
        <w:rPr>
          <w:rFonts w:ascii="Times New Roman" w:hAnsi="Times New Roman"/>
        </w:rPr>
        <w:t xml:space="preserve"> what is "just" within the meaning of those provisions</w:t>
      </w:r>
      <w:r w:rsidR="00A419EB" w:rsidRPr="00C86A14">
        <w:rPr>
          <w:rFonts w:ascii="Times New Roman" w:hAnsi="Times New Roman"/>
        </w:rPr>
        <w:t xml:space="preserve"> to what is necessary or appropriate to give effect to an entitlement arising at law or in equity</w:t>
      </w:r>
      <w:r w:rsidR="00F349DE" w:rsidRPr="00C86A14">
        <w:rPr>
          <w:rFonts w:ascii="Times New Roman" w:hAnsi="Times New Roman"/>
        </w:rPr>
        <w:t>.</w:t>
      </w:r>
      <w:r w:rsidR="002832FA" w:rsidRPr="00C86A14">
        <w:rPr>
          <w:rFonts w:ascii="Times New Roman" w:hAnsi="Times New Roman"/>
        </w:rPr>
        <w:t xml:space="preserve"> </w:t>
      </w:r>
      <w:r w:rsidR="00FF5877" w:rsidRPr="00C86A14">
        <w:rPr>
          <w:rFonts w:ascii="Times New Roman" w:hAnsi="Times New Roman"/>
        </w:rPr>
        <w:t xml:space="preserve">Especially </w:t>
      </w:r>
      <w:r w:rsidR="00C85096" w:rsidRPr="00C86A14">
        <w:rPr>
          <w:rFonts w:ascii="Times New Roman" w:hAnsi="Times New Roman"/>
        </w:rPr>
        <w:t>when</w:t>
      </w:r>
      <w:r w:rsidR="00FF5877" w:rsidRPr="00C86A14">
        <w:rPr>
          <w:rFonts w:ascii="Times New Roman" w:hAnsi="Times New Roman"/>
        </w:rPr>
        <w:t xml:space="preserve"> regard </w:t>
      </w:r>
      <w:r w:rsidR="00C85096" w:rsidRPr="00C86A14">
        <w:rPr>
          <w:rFonts w:ascii="Times New Roman" w:hAnsi="Times New Roman"/>
        </w:rPr>
        <w:t xml:space="preserve">is had </w:t>
      </w:r>
      <w:r w:rsidR="00FF5877" w:rsidRPr="00C86A14">
        <w:rPr>
          <w:rFonts w:ascii="Times New Roman" w:hAnsi="Times New Roman"/>
        </w:rPr>
        <w:t xml:space="preserve">to the equitable </w:t>
      </w:r>
      <w:r w:rsidR="00C85096" w:rsidRPr="00C86A14">
        <w:rPr>
          <w:rFonts w:ascii="Times New Roman" w:hAnsi="Times New Roman"/>
        </w:rPr>
        <w:t xml:space="preserve">procedures </w:t>
      </w:r>
      <w:r w:rsidR="001179DE" w:rsidRPr="00C86A14">
        <w:rPr>
          <w:rFonts w:ascii="Times New Roman" w:hAnsi="Times New Roman"/>
        </w:rPr>
        <w:t xml:space="preserve">which </w:t>
      </w:r>
      <w:r w:rsidR="00C85096" w:rsidRPr="00C86A14">
        <w:rPr>
          <w:rFonts w:ascii="Times New Roman" w:hAnsi="Times New Roman"/>
        </w:rPr>
        <w:t>Pt</w:t>
      </w:r>
      <w:r w:rsidR="00B33C74" w:rsidRPr="00C86A14">
        <w:rPr>
          <w:rFonts w:ascii="Times New Roman" w:hAnsi="Times New Roman"/>
        </w:rPr>
        <w:t> </w:t>
      </w:r>
      <w:r w:rsidR="00C85096" w:rsidRPr="00C86A14">
        <w:rPr>
          <w:rFonts w:ascii="Times New Roman" w:hAnsi="Times New Roman"/>
        </w:rPr>
        <w:t>IVA was designed to supersede,</w:t>
      </w:r>
      <w:r w:rsidR="00C85096" w:rsidRPr="00C86A14">
        <w:rPr>
          <w:rStyle w:val="FootnoteReference"/>
          <w:rFonts w:ascii="Times New Roman" w:hAnsi="Times New Roman"/>
          <w:sz w:val="24"/>
        </w:rPr>
        <w:footnoteReference w:id="19"/>
      </w:r>
      <w:r w:rsidR="00C85096" w:rsidRPr="00C86A14">
        <w:rPr>
          <w:rFonts w:ascii="Times New Roman" w:hAnsi="Times New Roman"/>
        </w:rPr>
        <w:t xml:space="preserve"> </w:t>
      </w:r>
      <w:r w:rsidR="00E00B10" w:rsidRPr="00C86A14">
        <w:rPr>
          <w:rFonts w:ascii="Times New Roman" w:hAnsi="Times New Roman"/>
        </w:rPr>
        <w:t xml:space="preserve">the concept of what is "just" in those provisions cannot be </w:t>
      </w:r>
      <w:r w:rsidR="006D61FF" w:rsidRPr="00C86A14">
        <w:rPr>
          <w:rFonts w:ascii="Times New Roman" w:hAnsi="Times New Roman"/>
        </w:rPr>
        <w:t>conceived of so narrowly</w:t>
      </w:r>
      <w:r w:rsidR="000F076C" w:rsidRPr="00C86A14">
        <w:rPr>
          <w:rFonts w:ascii="Times New Roman" w:hAnsi="Times New Roman"/>
        </w:rPr>
        <w:t xml:space="preserve"> as to </w:t>
      </w:r>
      <w:r w:rsidR="004B2875" w:rsidRPr="00C86A14">
        <w:rPr>
          <w:rFonts w:ascii="Times New Roman" w:hAnsi="Times New Roman"/>
        </w:rPr>
        <w:t>deny</w:t>
      </w:r>
      <w:r w:rsidR="0052581C" w:rsidRPr="00C86A14">
        <w:rPr>
          <w:rFonts w:ascii="Times New Roman" w:hAnsi="Times New Roman"/>
        </w:rPr>
        <w:t xml:space="preserve"> </w:t>
      </w:r>
      <w:r w:rsidR="004B2875" w:rsidRPr="00C86A14">
        <w:rPr>
          <w:rFonts w:ascii="Times New Roman" w:hAnsi="Times New Roman"/>
        </w:rPr>
        <w:t xml:space="preserve">the </w:t>
      </w:r>
      <w:r w:rsidR="00A9350A" w:rsidRPr="00C86A14">
        <w:rPr>
          <w:rFonts w:ascii="Times New Roman" w:hAnsi="Times New Roman"/>
        </w:rPr>
        <w:t xml:space="preserve">Federal </w:t>
      </w:r>
      <w:r w:rsidR="004B2875" w:rsidRPr="00C86A14">
        <w:rPr>
          <w:rFonts w:ascii="Times New Roman" w:hAnsi="Times New Roman"/>
        </w:rPr>
        <w:t xml:space="preserve">Court the capacity to </w:t>
      </w:r>
      <w:r w:rsidR="001D565C" w:rsidRPr="00C86A14">
        <w:rPr>
          <w:rFonts w:ascii="Times New Roman" w:hAnsi="Times New Roman"/>
        </w:rPr>
        <w:t>recognise and</w:t>
      </w:r>
      <w:r w:rsidR="000654F6" w:rsidRPr="00C86A14">
        <w:rPr>
          <w:rFonts w:ascii="Times New Roman" w:hAnsi="Times New Roman"/>
        </w:rPr>
        <w:t>,</w:t>
      </w:r>
      <w:r w:rsidR="004B2875" w:rsidRPr="00C86A14">
        <w:rPr>
          <w:rFonts w:ascii="Times New Roman" w:hAnsi="Times New Roman"/>
        </w:rPr>
        <w:t xml:space="preserve"> </w:t>
      </w:r>
      <w:r w:rsidR="001D565C" w:rsidRPr="00C86A14">
        <w:rPr>
          <w:rFonts w:ascii="Times New Roman" w:hAnsi="Times New Roman"/>
        </w:rPr>
        <w:t>where appropriate</w:t>
      </w:r>
      <w:r w:rsidR="000654F6" w:rsidRPr="00C86A14">
        <w:rPr>
          <w:rFonts w:ascii="Times New Roman" w:hAnsi="Times New Roman"/>
        </w:rPr>
        <w:t>,</w:t>
      </w:r>
      <w:r w:rsidR="001D565C" w:rsidRPr="00C86A14">
        <w:rPr>
          <w:rFonts w:ascii="Times New Roman" w:hAnsi="Times New Roman"/>
        </w:rPr>
        <w:t xml:space="preserve"> compensate</w:t>
      </w:r>
      <w:r w:rsidR="005F6C07" w:rsidRPr="00C86A14">
        <w:rPr>
          <w:rFonts w:ascii="Times New Roman" w:hAnsi="Times New Roman"/>
        </w:rPr>
        <w:t xml:space="preserve"> a third party </w:t>
      </w:r>
      <w:r w:rsidR="00FD6FF2" w:rsidRPr="00C86A14">
        <w:rPr>
          <w:rFonts w:ascii="Times New Roman" w:hAnsi="Times New Roman"/>
        </w:rPr>
        <w:t xml:space="preserve">for what </w:t>
      </w:r>
      <w:r w:rsidR="00045F3D" w:rsidRPr="00C86A14">
        <w:rPr>
          <w:rFonts w:ascii="Times New Roman" w:hAnsi="Times New Roman"/>
        </w:rPr>
        <w:t xml:space="preserve">that third party </w:t>
      </w:r>
      <w:r w:rsidR="00FD6FF2" w:rsidRPr="00C86A14">
        <w:rPr>
          <w:rFonts w:ascii="Times New Roman" w:hAnsi="Times New Roman"/>
        </w:rPr>
        <w:t>has</w:t>
      </w:r>
      <w:r w:rsidR="000654F6" w:rsidRPr="00C86A14">
        <w:rPr>
          <w:rFonts w:ascii="Times New Roman" w:hAnsi="Times New Roman"/>
        </w:rPr>
        <w:t xml:space="preserve"> </w:t>
      </w:r>
      <w:r w:rsidR="008C059D" w:rsidRPr="00C86A14">
        <w:rPr>
          <w:rFonts w:ascii="Times New Roman" w:hAnsi="Times New Roman"/>
        </w:rPr>
        <w:t>done and</w:t>
      </w:r>
      <w:r w:rsidR="00592A7A" w:rsidRPr="00C86A14">
        <w:rPr>
          <w:rFonts w:ascii="Times New Roman" w:hAnsi="Times New Roman"/>
        </w:rPr>
        <w:t xml:space="preserve"> risked</w:t>
      </w:r>
      <w:r w:rsidR="00FD6FF2" w:rsidRPr="00C86A14">
        <w:rPr>
          <w:rFonts w:ascii="Times New Roman" w:hAnsi="Times New Roman"/>
        </w:rPr>
        <w:t xml:space="preserve"> </w:t>
      </w:r>
      <w:r w:rsidR="00115793" w:rsidRPr="00C86A14">
        <w:rPr>
          <w:rFonts w:ascii="Times New Roman" w:hAnsi="Times New Roman"/>
        </w:rPr>
        <w:t xml:space="preserve">in </w:t>
      </w:r>
      <w:r w:rsidR="006F20C1" w:rsidRPr="00C86A14">
        <w:rPr>
          <w:rFonts w:ascii="Times New Roman" w:hAnsi="Times New Roman"/>
        </w:rPr>
        <w:t>bringing</w:t>
      </w:r>
      <w:r w:rsidR="00115793" w:rsidRPr="00C86A14">
        <w:rPr>
          <w:rFonts w:ascii="Times New Roman" w:hAnsi="Times New Roman"/>
        </w:rPr>
        <w:t xml:space="preserve"> into existence the settlement or judgment</w:t>
      </w:r>
      <w:r w:rsidR="00BE50A0" w:rsidRPr="00C86A14">
        <w:rPr>
          <w:rFonts w:ascii="Times New Roman" w:hAnsi="Times New Roman"/>
        </w:rPr>
        <w:t xml:space="preserve"> from which the group members stand to benefit.</w:t>
      </w:r>
      <w:r w:rsidR="005216B1" w:rsidRPr="00C86A14">
        <w:rPr>
          <w:rFonts w:ascii="Times New Roman" w:hAnsi="Times New Roman"/>
        </w:rPr>
        <w:t xml:space="preserve"> </w:t>
      </w:r>
    </w:p>
    <w:p w14:paraId="50D84FD5" w14:textId="0DBA84E0" w:rsidR="00E16F61" w:rsidRPr="00C86A14" w:rsidRDefault="00E16F61"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790233" w:rsidRPr="00C86A14">
        <w:rPr>
          <w:rFonts w:ascii="Times New Roman" w:hAnsi="Times New Roman"/>
        </w:rPr>
        <w:t xml:space="preserve">Nothing in the </w:t>
      </w:r>
      <w:r w:rsidR="004A5C00" w:rsidRPr="00C86A14">
        <w:rPr>
          <w:rFonts w:ascii="Times New Roman" w:hAnsi="Times New Roman"/>
        </w:rPr>
        <w:t>text</w:t>
      </w:r>
      <w:r w:rsidR="00790233" w:rsidRPr="00C86A14">
        <w:rPr>
          <w:rFonts w:ascii="Times New Roman" w:hAnsi="Times New Roman"/>
        </w:rPr>
        <w:t xml:space="preserve"> or </w:t>
      </w:r>
      <w:r w:rsidR="004A5C00" w:rsidRPr="00C86A14">
        <w:rPr>
          <w:rFonts w:ascii="Times New Roman" w:hAnsi="Times New Roman"/>
        </w:rPr>
        <w:t xml:space="preserve">structure of </w:t>
      </w:r>
      <w:r w:rsidR="00DE4F72" w:rsidRPr="00C86A14">
        <w:rPr>
          <w:rFonts w:ascii="Times New Roman" w:hAnsi="Times New Roman"/>
        </w:rPr>
        <w:t>s</w:t>
      </w:r>
      <w:r w:rsidR="00942B5B" w:rsidRPr="00C86A14">
        <w:rPr>
          <w:rFonts w:ascii="Times New Roman" w:hAnsi="Times New Roman"/>
        </w:rPr>
        <w:t> </w:t>
      </w:r>
      <w:r w:rsidR="00DE4F72" w:rsidRPr="00C86A14">
        <w:rPr>
          <w:rFonts w:ascii="Times New Roman" w:hAnsi="Times New Roman"/>
        </w:rPr>
        <w:t>33</w:t>
      </w:r>
      <w:proofErr w:type="gramStart"/>
      <w:r w:rsidR="00DE4F72" w:rsidRPr="00C86A14">
        <w:rPr>
          <w:rFonts w:ascii="Times New Roman" w:hAnsi="Times New Roman"/>
        </w:rPr>
        <w:t>V(</w:t>
      </w:r>
      <w:proofErr w:type="gramEnd"/>
      <w:r w:rsidR="00DE4F72" w:rsidRPr="00C86A14">
        <w:rPr>
          <w:rFonts w:ascii="Times New Roman" w:hAnsi="Times New Roman"/>
        </w:rPr>
        <w:t>1) and (2)</w:t>
      </w:r>
      <w:r w:rsidR="00FE1DD0" w:rsidRPr="00C86A14">
        <w:rPr>
          <w:rFonts w:ascii="Times New Roman" w:hAnsi="Times New Roman"/>
        </w:rPr>
        <w:t xml:space="preserve"> or</w:t>
      </w:r>
      <w:r w:rsidR="00DE4F72" w:rsidRPr="00C86A14">
        <w:rPr>
          <w:rFonts w:ascii="Times New Roman" w:hAnsi="Times New Roman"/>
        </w:rPr>
        <w:t xml:space="preserve"> </w:t>
      </w:r>
      <w:r w:rsidR="004A5C00" w:rsidRPr="00C86A14">
        <w:rPr>
          <w:rFonts w:ascii="Times New Roman" w:hAnsi="Times New Roman"/>
        </w:rPr>
        <w:t>s</w:t>
      </w:r>
      <w:r w:rsidR="00942B5B" w:rsidRPr="00C86A14">
        <w:rPr>
          <w:rFonts w:ascii="Times New Roman" w:hAnsi="Times New Roman"/>
        </w:rPr>
        <w:t> </w:t>
      </w:r>
      <w:r w:rsidR="004A5C00" w:rsidRPr="00C86A14">
        <w:rPr>
          <w:rFonts w:ascii="Times New Roman" w:hAnsi="Times New Roman"/>
        </w:rPr>
        <w:t xml:space="preserve">33Z(1) and (2) </w:t>
      </w:r>
      <w:r w:rsidR="00D7058F" w:rsidRPr="00C86A14">
        <w:rPr>
          <w:rFonts w:ascii="Times New Roman" w:hAnsi="Times New Roman"/>
        </w:rPr>
        <w:t>compels a narrower reading</w:t>
      </w:r>
      <w:r w:rsidR="00333DDD" w:rsidRPr="00C86A14">
        <w:rPr>
          <w:rFonts w:ascii="Times New Roman" w:hAnsi="Times New Roman"/>
        </w:rPr>
        <w:t xml:space="preserve"> so as to confine </w:t>
      </w:r>
      <w:r w:rsidR="00FA6CC8" w:rsidRPr="00C86A14">
        <w:rPr>
          <w:rFonts w:ascii="Times New Roman" w:hAnsi="Times New Roman"/>
        </w:rPr>
        <w:t>those provisions to</w:t>
      </w:r>
      <w:r w:rsidR="00422D2A" w:rsidRPr="00C86A14">
        <w:rPr>
          <w:rFonts w:ascii="Times New Roman" w:hAnsi="Times New Roman"/>
        </w:rPr>
        <w:t xml:space="preserve"> making orders</w:t>
      </w:r>
      <w:r w:rsidR="00FA6CC8" w:rsidRPr="00C86A14">
        <w:rPr>
          <w:rFonts w:ascii="Times New Roman" w:hAnsi="Times New Roman"/>
        </w:rPr>
        <w:t xml:space="preserve"> necessary to </w:t>
      </w:r>
      <w:r w:rsidR="00B45A22" w:rsidRPr="00C86A14">
        <w:rPr>
          <w:rFonts w:ascii="Times New Roman" w:hAnsi="Times New Roman"/>
        </w:rPr>
        <w:t xml:space="preserve">do justice only between group members or parties </w:t>
      </w:r>
      <w:r w:rsidR="00063F82" w:rsidRPr="00C86A14">
        <w:rPr>
          <w:rFonts w:ascii="Times New Roman" w:hAnsi="Times New Roman"/>
        </w:rPr>
        <w:t>to the representative proceeding</w:t>
      </w:r>
      <w:r w:rsidR="00D7058F" w:rsidRPr="00C86A14">
        <w:rPr>
          <w:rFonts w:ascii="Times New Roman" w:hAnsi="Times New Roman"/>
        </w:rPr>
        <w:t>.</w:t>
      </w:r>
      <w:r w:rsidR="00DE4F72" w:rsidRPr="00C86A14">
        <w:rPr>
          <w:rFonts w:ascii="Times New Roman" w:hAnsi="Times New Roman"/>
        </w:rPr>
        <w:t xml:space="preserve"> </w:t>
      </w:r>
      <w:r w:rsidR="00D7058F" w:rsidRPr="00C86A14">
        <w:rPr>
          <w:rFonts w:ascii="Times New Roman" w:hAnsi="Times New Roman"/>
        </w:rPr>
        <w:t xml:space="preserve">Nor </w:t>
      </w:r>
      <w:r w:rsidR="00063F82" w:rsidRPr="00C86A14">
        <w:rPr>
          <w:rFonts w:ascii="Times New Roman" w:hAnsi="Times New Roman"/>
        </w:rPr>
        <w:t>is a narrower reading suggested by</w:t>
      </w:r>
      <w:r w:rsidR="00D7058F" w:rsidRPr="00C86A14">
        <w:rPr>
          <w:rFonts w:ascii="Times New Roman" w:hAnsi="Times New Roman"/>
        </w:rPr>
        <w:t xml:space="preserve"> the presence of s</w:t>
      </w:r>
      <w:r w:rsidR="00942B5B" w:rsidRPr="00C86A14">
        <w:rPr>
          <w:rFonts w:ascii="Times New Roman" w:hAnsi="Times New Roman"/>
        </w:rPr>
        <w:t> </w:t>
      </w:r>
      <w:r w:rsidR="00D7058F" w:rsidRPr="00C86A14">
        <w:rPr>
          <w:rFonts w:ascii="Times New Roman" w:hAnsi="Times New Roman"/>
        </w:rPr>
        <w:t>33ZJ, which</w:t>
      </w:r>
      <w:r w:rsidR="00FC2CED" w:rsidRPr="00C86A14">
        <w:rPr>
          <w:rFonts w:ascii="Times New Roman" w:hAnsi="Times New Roman"/>
        </w:rPr>
        <w:t xml:space="preserve"> </w:t>
      </w:r>
      <w:r w:rsidR="000946FD" w:rsidRPr="00C86A14">
        <w:rPr>
          <w:rFonts w:ascii="Times New Roman" w:hAnsi="Times New Roman"/>
        </w:rPr>
        <w:t>by s</w:t>
      </w:r>
      <w:r w:rsidR="00942B5B" w:rsidRPr="00C86A14">
        <w:rPr>
          <w:rFonts w:ascii="Times New Roman" w:hAnsi="Times New Roman"/>
        </w:rPr>
        <w:t> </w:t>
      </w:r>
      <w:r w:rsidR="00E94335" w:rsidRPr="00C86A14">
        <w:rPr>
          <w:rFonts w:ascii="Times New Roman" w:hAnsi="Times New Roman"/>
        </w:rPr>
        <w:t>33</w:t>
      </w:r>
      <w:r w:rsidR="002051D2" w:rsidRPr="00C86A14">
        <w:rPr>
          <w:rFonts w:ascii="Times New Roman" w:hAnsi="Times New Roman"/>
        </w:rPr>
        <w:t>Z</w:t>
      </w:r>
      <w:r w:rsidR="00E94335" w:rsidRPr="00C86A14">
        <w:rPr>
          <w:rFonts w:ascii="Times New Roman" w:hAnsi="Times New Roman"/>
        </w:rPr>
        <w:t xml:space="preserve">J(2) </w:t>
      </w:r>
      <w:r w:rsidR="00FC2CED" w:rsidRPr="00C86A14">
        <w:rPr>
          <w:rFonts w:ascii="Times New Roman" w:hAnsi="Times New Roman"/>
        </w:rPr>
        <w:t>confers a specific power</w:t>
      </w:r>
      <w:r w:rsidR="00641608" w:rsidRPr="00C86A14">
        <w:rPr>
          <w:rFonts w:ascii="Times New Roman" w:hAnsi="Times New Roman"/>
        </w:rPr>
        <w:t xml:space="preserve"> </w:t>
      </w:r>
      <w:r w:rsidR="00D253D8" w:rsidRPr="00C86A14">
        <w:rPr>
          <w:rFonts w:ascii="Times New Roman" w:hAnsi="Times New Roman"/>
        </w:rPr>
        <w:t xml:space="preserve">on the Federal Court </w:t>
      </w:r>
      <w:r w:rsidR="00641608" w:rsidRPr="00C86A14">
        <w:rPr>
          <w:rFonts w:ascii="Times New Roman" w:hAnsi="Times New Roman"/>
        </w:rPr>
        <w:t>to order</w:t>
      </w:r>
      <w:r w:rsidR="00A91484" w:rsidRPr="00C86A14">
        <w:rPr>
          <w:rFonts w:ascii="Times New Roman" w:hAnsi="Times New Roman"/>
        </w:rPr>
        <w:t xml:space="preserve"> payment </w:t>
      </w:r>
      <w:r w:rsidR="00641608" w:rsidRPr="00C86A14">
        <w:rPr>
          <w:rFonts w:ascii="Times New Roman" w:hAnsi="Times New Roman"/>
        </w:rPr>
        <w:t xml:space="preserve">of a representative party's </w:t>
      </w:r>
      <w:r w:rsidR="00A91484" w:rsidRPr="00C86A14">
        <w:rPr>
          <w:rFonts w:ascii="Times New Roman" w:hAnsi="Times New Roman"/>
        </w:rPr>
        <w:t xml:space="preserve">anticipated </w:t>
      </w:r>
      <w:r w:rsidR="00641608" w:rsidRPr="00C86A14">
        <w:rPr>
          <w:rFonts w:ascii="Times New Roman" w:hAnsi="Times New Roman"/>
        </w:rPr>
        <w:t>costs</w:t>
      </w:r>
      <w:r w:rsidR="00E94335" w:rsidRPr="00C86A14">
        <w:rPr>
          <w:rFonts w:ascii="Times New Roman" w:hAnsi="Times New Roman"/>
        </w:rPr>
        <w:t xml:space="preserve"> </w:t>
      </w:r>
      <w:r w:rsidR="00B00915" w:rsidRPr="00C86A14">
        <w:rPr>
          <w:rFonts w:ascii="Times New Roman" w:hAnsi="Times New Roman"/>
        </w:rPr>
        <w:t xml:space="preserve">out of damages that have been awarded </w:t>
      </w:r>
      <w:r w:rsidR="00ED3322" w:rsidRPr="00C86A14">
        <w:rPr>
          <w:rFonts w:ascii="Times New Roman" w:hAnsi="Times New Roman"/>
        </w:rPr>
        <w:t>and by s</w:t>
      </w:r>
      <w:r w:rsidR="00942B5B" w:rsidRPr="00C86A14">
        <w:rPr>
          <w:rFonts w:ascii="Times New Roman" w:hAnsi="Times New Roman"/>
        </w:rPr>
        <w:t> </w:t>
      </w:r>
      <w:r w:rsidR="00ED3322" w:rsidRPr="00C86A14">
        <w:rPr>
          <w:rFonts w:ascii="Times New Roman" w:hAnsi="Times New Roman"/>
        </w:rPr>
        <w:t>33</w:t>
      </w:r>
      <w:r w:rsidR="002051D2" w:rsidRPr="00C86A14">
        <w:rPr>
          <w:rFonts w:ascii="Times New Roman" w:hAnsi="Times New Roman"/>
        </w:rPr>
        <w:t>Z</w:t>
      </w:r>
      <w:r w:rsidR="00ED3322" w:rsidRPr="00C86A14">
        <w:rPr>
          <w:rFonts w:ascii="Times New Roman" w:hAnsi="Times New Roman"/>
        </w:rPr>
        <w:t xml:space="preserve">J(3) </w:t>
      </w:r>
      <w:r w:rsidR="00422D2A" w:rsidRPr="00C86A14">
        <w:rPr>
          <w:rFonts w:ascii="Times New Roman" w:hAnsi="Times New Roman"/>
        </w:rPr>
        <w:t>itself</w:t>
      </w:r>
      <w:r w:rsidR="00D65E0E" w:rsidRPr="00C86A14">
        <w:rPr>
          <w:rFonts w:ascii="Times New Roman" w:hAnsi="Times New Roman"/>
        </w:rPr>
        <w:t xml:space="preserve"> </w:t>
      </w:r>
      <w:r w:rsidR="00D253D8" w:rsidRPr="00C86A14">
        <w:rPr>
          <w:rFonts w:ascii="Times New Roman" w:hAnsi="Times New Roman"/>
        </w:rPr>
        <w:t xml:space="preserve">empowers the Federal Court on an application under that section </w:t>
      </w:r>
      <w:r w:rsidR="00957B42" w:rsidRPr="00C86A14">
        <w:rPr>
          <w:rFonts w:ascii="Times New Roman" w:hAnsi="Times New Roman"/>
        </w:rPr>
        <w:t xml:space="preserve">to "make any </w:t>
      </w:r>
      <w:r w:rsidR="008B63FD" w:rsidRPr="00C86A14">
        <w:rPr>
          <w:rFonts w:ascii="Times New Roman" w:hAnsi="Times New Roman"/>
        </w:rPr>
        <w:t xml:space="preserve">other </w:t>
      </w:r>
      <w:r w:rsidR="00957B42" w:rsidRPr="00C86A14">
        <w:rPr>
          <w:rFonts w:ascii="Times New Roman" w:hAnsi="Times New Roman"/>
        </w:rPr>
        <w:t>order it thinks just".</w:t>
      </w:r>
      <w:r w:rsidR="00D65E0E" w:rsidRPr="00C86A14">
        <w:rPr>
          <w:rFonts w:ascii="Times New Roman" w:hAnsi="Times New Roman"/>
        </w:rPr>
        <w:t xml:space="preserve">  </w:t>
      </w:r>
    </w:p>
    <w:p w14:paraId="5A4B4045" w14:textId="20885BC3" w:rsidR="005216B1" w:rsidRPr="00C86A14" w:rsidRDefault="00A478B1"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422D2A" w:rsidRPr="00C86A14">
        <w:rPr>
          <w:rFonts w:ascii="Times New Roman" w:hAnsi="Times New Roman"/>
        </w:rPr>
        <w:t>W</w:t>
      </w:r>
      <w:r w:rsidR="005216B1" w:rsidRPr="00C86A14">
        <w:rPr>
          <w:rFonts w:ascii="Times New Roman" w:hAnsi="Times New Roman"/>
        </w:rPr>
        <w:t xml:space="preserve">hat is </w:t>
      </w:r>
      <w:r w:rsidRPr="00C86A14">
        <w:rPr>
          <w:rFonts w:ascii="Times New Roman" w:hAnsi="Times New Roman"/>
        </w:rPr>
        <w:t>"</w:t>
      </w:r>
      <w:r w:rsidR="005216B1" w:rsidRPr="00C86A14">
        <w:rPr>
          <w:rFonts w:ascii="Times New Roman" w:hAnsi="Times New Roman"/>
        </w:rPr>
        <w:t>just</w:t>
      </w:r>
      <w:r w:rsidRPr="00C86A14">
        <w:rPr>
          <w:rFonts w:ascii="Times New Roman" w:hAnsi="Times New Roman"/>
        </w:rPr>
        <w:t>" for the purposes</w:t>
      </w:r>
      <w:r w:rsidR="005216B1" w:rsidRPr="00C86A14">
        <w:rPr>
          <w:rFonts w:ascii="Times New Roman" w:hAnsi="Times New Roman"/>
        </w:rPr>
        <w:t xml:space="preserve"> </w:t>
      </w:r>
      <w:r w:rsidRPr="00C86A14">
        <w:rPr>
          <w:rFonts w:ascii="Times New Roman" w:hAnsi="Times New Roman"/>
        </w:rPr>
        <w:t>ss</w:t>
      </w:r>
      <w:r w:rsidR="00B33C74" w:rsidRPr="00C86A14">
        <w:rPr>
          <w:rFonts w:ascii="Times New Roman" w:hAnsi="Times New Roman"/>
        </w:rPr>
        <w:t> </w:t>
      </w:r>
      <w:r w:rsidRPr="00C86A14">
        <w:rPr>
          <w:rFonts w:ascii="Times New Roman" w:hAnsi="Times New Roman"/>
        </w:rPr>
        <w:t>33</w:t>
      </w:r>
      <w:proofErr w:type="gramStart"/>
      <w:r w:rsidRPr="00C86A14">
        <w:rPr>
          <w:rFonts w:ascii="Times New Roman" w:hAnsi="Times New Roman"/>
        </w:rPr>
        <w:t>V(</w:t>
      </w:r>
      <w:proofErr w:type="gramEnd"/>
      <w:r w:rsidRPr="00C86A14">
        <w:rPr>
          <w:rFonts w:ascii="Times New Roman" w:hAnsi="Times New Roman"/>
        </w:rPr>
        <w:t>2) and 33Z(1)(g)</w:t>
      </w:r>
      <w:r w:rsidR="00333DDD" w:rsidRPr="00C86A14">
        <w:rPr>
          <w:rFonts w:ascii="Times New Roman" w:hAnsi="Times New Roman"/>
        </w:rPr>
        <w:t xml:space="preserve"> </w:t>
      </w:r>
      <w:r w:rsidR="00532926" w:rsidRPr="00C86A14">
        <w:rPr>
          <w:rFonts w:ascii="Times New Roman" w:hAnsi="Times New Roman"/>
        </w:rPr>
        <w:t>is not</w:t>
      </w:r>
      <w:r w:rsidR="005216B1" w:rsidRPr="00C86A14">
        <w:rPr>
          <w:rFonts w:ascii="Times New Roman" w:hAnsi="Times New Roman"/>
        </w:rPr>
        <w:t xml:space="preserve"> confined to what is independently required at law or in equity. </w:t>
      </w:r>
      <w:r w:rsidR="00FA1775" w:rsidRPr="00C86A14">
        <w:rPr>
          <w:rFonts w:ascii="Times New Roman" w:hAnsi="Times New Roman"/>
        </w:rPr>
        <w:t xml:space="preserve">What is "just" for the purposes of those provisions </w:t>
      </w:r>
      <w:r w:rsidR="00957B42" w:rsidRPr="00C86A14">
        <w:rPr>
          <w:rFonts w:ascii="Times New Roman" w:hAnsi="Times New Roman"/>
        </w:rPr>
        <w:t xml:space="preserve">can </w:t>
      </w:r>
      <w:r w:rsidR="00FA1775" w:rsidRPr="00C86A14">
        <w:rPr>
          <w:rFonts w:ascii="Times New Roman" w:hAnsi="Times New Roman"/>
        </w:rPr>
        <w:t>encompass recognising and compensating</w:t>
      </w:r>
      <w:r w:rsidR="005216B1" w:rsidRPr="00C86A14">
        <w:rPr>
          <w:rFonts w:ascii="Times New Roman" w:hAnsi="Times New Roman"/>
        </w:rPr>
        <w:t xml:space="preserve"> </w:t>
      </w:r>
      <w:r w:rsidR="00754D63" w:rsidRPr="00C86A14">
        <w:rPr>
          <w:rFonts w:ascii="Times New Roman" w:hAnsi="Times New Roman"/>
        </w:rPr>
        <w:t xml:space="preserve">from the settlement or judgment to be distributed amongst group members </w:t>
      </w:r>
      <w:r w:rsidR="005216B1" w:rsidRPr="00C86A14">
        <w:rPr>
          <w:rFonts w:ascii="Times New Roman" w:hAnsi="Times New Roman"/>
        </w:rPr>
        <w:t>those whose efforts ha</w:t>
      </w:r>
      <w:r w:rsidR="00FA1775" w:rsidRPr="00C86A14">
        <w:rPr>
          <w:rFonts w:ascii="Times New Roman" w:hAnsi="Times New Roman"/>
        </w:rPr>
        <w:t>ve</w:t>
      </w:r>
      <w:r w:rsidR="005216B1" w:rsidRPr="00C86A14">
        <w:rPr>
          <w:rFonts w:ascii="Times New Roman" w:hAnsi="Times New Roman"/>
        </w:rPr>
        <w:t xml:space="preserve"> resulted </w:t>
      </w:r>
      <w:r w:rsidR="00822F04" w:rsidRPr="00C86A14">
        <w:rPr>
          <w:rFonts w:ascii="Times New Roman" w:hAnsi="Times New Roman"/>
        </w:rPr>
        <w:t xml:space="preserve">in the coming into existence of </w:t>
      </w:r>
      <w:r w:rsidR="006E6DAA" w:rsidRPr="00C86A14">
        <w:rPr>
          <w:rFonts w:ascii="Times New Roman" w:hAnsi="Times New Roman"/>
        </w:rPr>
        <w:t xml:space="preserve">the settlement or judgment </w:t>
      </w:r>
      <w:r w:rsidR="00754D63" w:rsidRPr="00C86A14">
        <w:rPr>
          <w:rFonts w:ascii="Times New Roman" w:hAnsi="Times New Roman"/>
        </w:rPr>
        <w:t xml:space="preserve">that is </w:t>
      </w:r>
      <w:r w:rsidR="005216B1" w:rsidRPr="00C86A14">
        <w:rPr>
          <w:rFonts w:ascii="Times New Roman" w:hAnsi="Times New Roman"/>
        </w:rPr>
        <w:t>to be distributed</w:t>
      </w:r>
      <w:r w:rsidR="006E6DAA" w:rsidRPr="00C86A14">
        <w:rPr>
          <w:rFonts w:ascii="Times New Roman" w:hAnsi="Times New Roman"/>
        </w:rPr>
        <w:t xml:space="preserve"> amongst group members</w:t>
      </w:r>
      <w:r w:rsidR="005216B1" w:rsidRPr="00C86A14">
        <w:rPr>
          <w:rFonts w:ascii="Times New Roman" w:hAnsi="Times New Roman"/>
        </w:rPr>
        <w:t>.</w:t>
      </w:r>
    </w:p>
    <w:p w14:paraId="12B8A6DD" w14:textId="3E5691B3" w:rsidR="00D20A5C" w:rsidRPr="00C86A14" w:rsidRDefault="00D20A5C" w:rsidP="00C86A14">
      <w:pPr>
        <w:pStyle w:val="FixListStyle"/>
        <w:spacing w:after="260" w:line="280" w:lineRule="exact"/>
        <w:ind w:right="0"/>
        <w:jc w:val="both"/>
        <w:rPr>
          <w:rFonts w:ascii="Times New Roman" w:hAnsi="Times New Roman"/>
        </w:rPr>
      </w:pPr>
      <w:r w:rsidRPr="00C86A14">
        <w:rPr>
          <w:rFonts w:ascii="Times New Roman" w:hAnsi="Times New Roman"/>
        </w:rPr>
        <w:tab/>
        <w:t>The making of a CFO, in the sense of a settlement CFO under s</w:t>
      </w:r>
      <w:r w:rsidR="00942B5B" w:rsidRPr="00C86A14">
        <w:rPr>
          <w:rFonts w:ascii="Times New Roman" w:hAnsi="Times New Roman"/>
        </w:rPr>
        <w:t> </w:t>
      </w:r>
      <w:r w:rsidRPr="00C86A14">
        <w:rPr>
          <w:rFonts w:ascii="Times New Roman" w:hAnsi="Times New Roman"/>
        </w:rPr>
        <w:t>33</w:t>
      </w:r>
      <w:proofErr w:type="gramStart"/>
      <w:r w:rsidRPr="00C86A14">
        <w:rPr>
          <w:rFonts w:ascii="Times New Roman" w:hAnsi="Times New Roman"/>
        </w:rPr>
        <w:t>V(</w:t>
      </w:r>
      <w:proofErr w:type="gramEnd"/>
      <w:r w:rsidRPr="00C86A14">
        <w:rPr>
          <w:rFonts w:ascii="Times New Roman" w:hAnsi="Times New Roman"/>
        </w:rPr>
        <w:t>2) of the FCA or a judgment CFO under s</w:t>
      </w:r>
      <w:r w:rsidR="00942B5B" w:rsidRPr="00C86A14">
        <w:rPr>
          <w:rFonts w:ascii="Times New Roman" w:hAnsi="Times New Roman"/>
        </w:rPr>
        <w:t> </w:t>
      </w:r>
      <w:r w:rsidRPr="00C86A14">
        <w:rPr>
          <w:rFonts w:ascii="Times New Roman" w:hAnsi="Times New Roman"/>
        </w:rPr>
        <w:t>33Z(1)(g) of the FCA</w:t>
      </w:r>
      <w:r w:rsidR="008B63FD" w:rsidRPr="00C86A14">
        <w:rPr>
          <w:rFonts w:ascii="Times New Roman" w:hAnsi="Times New Roman"/>
        </w:rPr>
        <w:t>,</w:t>
      </w:r>
      <w:r w:rsidRPr="00C86A14">
        <w:rPr>
          <w:rFonts w:ascii="Times New Roman" w:hAnsi="Times New Roman"/>
        </w:rPr>
        <w:t xml:space="preserve"> is permissible even though, on the authority of </w:t>
      </w:r>
      <w:r w:rsidRPr="00C86A14">
        <w:rPr>
          <w:rFonts w:ascii="Times New Roman" w:hAnsi="Times New Roman"/>
          <w:i/>
          <w:iCs/>
        </w:rPr>
        <w:t>Brewster</w:t>
      </w:r>
      <w:r w:rsidRPr="00C86A14">
        <w:rPr>
          <w:rFonts w:ascii="Times New Roman" w:hAnsi="Times New Roman"/>
        </w:rPr>
        <w:t>,</w:t>
      </w:r>
      <w:r w:rsidRPr="00C86A14">
        <w:rPr>
          <w:rFonts w:ascii="Times New Roman" w:hAnsi="Times New Roman"/>
          <w:i/>
          <w:iCs/>
        </w:rPr>
        <w:t xml:space="preserve"> </w:t>
      </w:r>
      <w:r w:rsidRPr="00C86A14">
        <w:rPr>
          <w:rFonts w:ascii="Times New Roman" w:hAnsi="Times New Roman"/>
        </w:rPr>
        <w:t>the making of a commencement CFO under s</w:t>
      </w:r>
      <w:r w:rsidR="00942B5B" w:rsidRPr="00C86A14">
        <w:rPr>
          <w:rFonts w:ascii="Times New Roman" w:hAnsi="Times New Roman"/>
        </w:rPr>
        <w:t> </w:t>
      </w:r>
      <w:r w:rsidRPr="00C86A14">
        <w:rPr>
          <w:rFonts w:ascii="Times New Roman" w:hAnsi="Times New Roman"/>
        </w:rPr>
        <w:t>33ZF of the FCA is not.</w:t>
      </w:r>
    </w:p>
    <w:p w14:paraId="6925C069" w14:textId="7E70DE90" w:rsidR="004D703E" w:rsidRPr="00C86A14" w:rsidRDefault="004D703E" w:rsidP="00C86A14">
      <w:pPr>
        <w:pStyle w:val="HeadingL1"/>
        <w:spacing w:after="260" w:line="280" w:lineRule="exact"/>
        <w:ind w:right="0"/>
        <w:jc w:val="both"/>
        <w:rPr>
          <w:rFonts w:ascii="Times New Roman" w:hAnsi="Times New Roman"/>
          <w:b w:val="0"/>
        </w:rPr>
      </w:pPr>
      <w:r w:rsidRPr="00C86A14">
        <w:rPr>
          <w:rFonts w:ascii="Times New Roman" w:hAnsi="Times New Roman"/>
        </w:rPr>
        <w:lastRenderedPageBreak/>
        <w:t>Solicitor's CFO</w:t>
      </w:r>
    </w:p>
    <w:p w14:paraId="258CF5E7" w14:textId="1E532924" w:rsidR="00CC5FE8" w:rsidRPr="00C86A14" w:rsidRDefault="00781A7B" w:rsidP="00C86A14">
      <w:pPr>
        <w:pStyle w:val="FixListStyle"/>
        <w:spacing w:after="260" w:line="280" w:lineRule="exact"/>
        <w:ind w:right="0"/>
        <w:jc w:val="both"/>
        <w:rPr>
          <w:rFonts w:ascii="Times New Roman" w:hAnsi="Times New Roman"/>
        </w:rPr>
      </w:pPr>
      <w:r w:rsidRPr="00C86A14">
        <w:rPr>
          <w:rFonts w:ascii="Times New Roman" w:hAnsi="Times New Roman"/>
        </w:rPr>
        <w:tab/>
        <w:t xml:space="preserve">In </w:t>
      </w:r>
      <w:r w:rsidRPr="00C86A14">
        <w:rPr>
          <w:rFonts w:ascii="Times New Roman" w:hAnsi="Times New Roman"/>
          <w:i/>
          <w:iCs/>
        </w:rPr>
        <w:t>P v P</w:t>
      </w:r>
      <w:r w:rsidRPr="00C86A14">
        <w:rPr>
          <w:rFonts w:ascii="Times New Roman" w:hAnsi="Times New Roman"/>
        </w:rPr>
        <w:t>,</w:t>
      </w:r>
      <w:r w:rsidRPr="00C86A14">
        <w:rPr>
          <w:rStyle w:val="FootnoteReference"/>
          <w:rFonts w:ascii="Times New Roman" w:hAnsi="Times New Roman"/>
          <w:sz w:val="24"/>
        </w:rPr>
        <w:footnoteReference w:id="20"/>
      </w:r>
      <w:r w:rsidR="0058599D" w:rsidRPr="00C86A14">
        <w:rPr>
          <w:rFonts w:ascii="Times New Roman" w:hAnsi="Times New Roman"/>
        </w:rPr>
        <w:t xml:space="preserve"> </w:t>
      </w:r>
      <w:r w:rsidR="00DA797B" w:rsidRPr="00C86A14">
        <w:rPr>
          <w:rFonts w:ascii="Times New Roman" w:hAnsi="Times New Roman"/>
        </w:rPr>
        <w:t xml:space="preserve">four members of this Court </w:t>
      </w:r>
      <w:r w:rsidR="005A5B82" w:rsidRPr="00C86A14">
        <w:rPr>
          <w:rFonts w:ascii="Times New Roman" w:hAnsi="Times New Roman"/>
        </w:rPr>
        <w:t xml:space="preserve">explained that </w:t>
      </w:r>
      <w:r w:rsidR="00A967BE" w:rsidRPr="00C86A14">
        <w:rPr>
          <w:rFonts w:ascii="Times New Roman" w:hAnsi="Times New Roman"/>
        </w:rPr>
        <w:t xml:space="preserve">a </w:t>
      </w:r>
      <w:r w:rsidR="00301084" w:rsidRPr="00C86A14">
        <w:rPr>
          <w:rFonts w:ascii="Times New Roman" w:hAnsi="Times New Roman"/>
        </w:rPr>
        <w:t xml:space="preserve">"law of the Parliament conferring jurisdiction upon a federal court in general terms will, in the absence of a clear legislative intent to the contrary, ordinarily be construed as not intended to confer jurisdiction to make an order authorizing or requiring the doing of an act which is specifically prohibited and rendered criminal by the ordinary criminal law of the State or Territory in which the act would be done". The explanation continued </w:t>
      </w:r>
      <w:r w:rsidR="006F3AE1" w:rsidRPr="00C86A14">
        <w:rPr>
          <w:rFonts w:ascii="Times New Roman" w:hAnsi="Times New Roman"/>
        </w:rPr>
        <w:t>that "the reason why a law conferring jurisdiction in general terms is to be construed in the manner indicated is that it is ordinarily to be presumed that it is the intent of the Parliament that jurisdiction conferred in general terms will be exercised in the context of, and within the confines imposed by, the ordinary criminal law of the relevant State or Territory".</w:t>
      </w:r>
      <w:r w:rsidR="00003919" w:rsidRPr="00C86A14">
        <w:rPr>
          <w:rFonts w:ascii="Times New Roman" w:hAnsi="Times New Roman"/>
        </w:rPr>
        <w:t xml:space="preserve"> A reference to the doing of an act specifically prohibited by a law of the State or Territory operating within a general field of regulation can be added, for essentially the same reason, to the reference in that statement of principle to the doing of an act specifically prohibited and rendered criminal by the ordinary criminal law of the State or Territory.</w:t>
      </w:r>
      <w:r w:rsidR="00B12DFA" w:rsidRPr="00C86A14">
        <w:rPr>
          <w:rStyle w:val="FootnoteReference"/>
          <w:rFonts w:ascii="Times New Roman" w:hAnsi="Times New Roman"/>
          <w:sz w:val="24"/>
        </w:rPr>
        <w:footnoteReference w:id="21"/>
      </w:r>
    </w:p>
    <w:p w14:paraId="7B09C451" w14:textId="082AAE40" w:rsidR="00E82B6A" w:rsidRPr="00C86A14" w:rsidRDefault="00E82B6A"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1D4623" w:rsidRPr="00C86A14">
        <w:rPr>
          <w:rFonts w:ascii="Times New Roman" w:hAnsi="Times New Roman"/>
        </w:rPr>
        <w:t>One such general field of regulation</w:t>
      </w:r>
      <w:r w:rsidR="00257C34" w:rsidRPr="00C86A14">
        <w:rPr>
          <w:rFonts w:ascii="Times New Roman" w:hAnsi="Times New Roman"/>
        </w:rPr>
        <w:t xml:space="preserve"> </w:t>
      </w:r>
      <w:r w:rsidR="00140165" w:rsidRPr="00C86A14">
        <w:rPr>
          <w:rFonts w:ascii="Times New Roman" w:hAnsi="Times New Roman"/>
        </w:rPr>
        <w:t>in which</w:t>
      </w:r>
      <w:r w:rsidR="00257C34" w:rsidRPr="00C86A14">
        <w:rPr>
          <w:rFonts w:ascii="Times New Roman" w:hAnsi="Times New Roman"/>
        </w:rPr>
        <w:t xml:space="preserve"> State </w:t>
      </w:r>
      <w:r w:rsidR="00140165" w:rsidRPr="00C86A14">
        <w:rPr>
          <w:rFonts w:ascii="Times New Roman" w:hAnsi="Times New Roman"/>
        </w:rPr>
        <w:t xml:space="preserve">and Territory laws operate </w:t>
      </w:r>
      <w:r w:rsidR="00534EEF" w:rsidRPr="00C86A14">
        <w:rPr>
          <w:rFonts w:ascii="Times New Roman" w:hAnsi="Times New Roman"/>
        </w:rPr>
        <w:t xml:space="preserve">is the regulation of </w:t>
      </w:r>
      <w:r w:rsidR="0008740A" w:rsidRPr="00C86A14">
        <w:rPr>
          <w:rFonts w:ascii="Times New Roman" w:hAnsi="Times New Roman"/>
        </w:rPr>
        <w:t>the legal profession</w:t>
      </w:r>
      <w:r w:rsidR="00F34B8F" w:rsidRPr="00C86A14">
        <w:rPr>
          <w:rFonts w:ascii="Times New Roman" w:hAnsi="Times New Roman"/>
        </w:rPr>
        <w:t>,</w:t>
      </w:r>
      <w:r w:rsidR="0008740A" w:rsidRPr="00C86A14">
        <w:rPr>
          <w:rFonts w:ascii="Times New Roman" w:hAnsi="Times New Roman"/>
        </w:rPr>
        <w:t xml:space="preserve"> </w:t>
      </w:r>
      <w:r w:rsidR="00411B9B" w:rsidRPr="00C86A14">
        <w:rPr>
          <w:rFonts w:ascii="Times New Roman" w:hAnsi="Times New Roman"/>
        </w:rPr>
        <w:t xml:space="preserve">which </w:t>
      </w:r>
      <w:r w:rsidR="000B7FBF" w:rsidRPr="00C86A14">
        <w:rPr>
          <w:rFonts w:ascii="Times New Roman" w:hAnsi="Times New Roman"/>
        </w:rPr>
        <w:t>characteristically involv</w:t>
      </w:r>
      <w:r w:rsidR="00411B9B" w:rsidRPr="00C86A14">
        <w:rPr>
          <w:rFonts w:ascii="Times New Roman" w:hAnsi="Times New Roman"/>
        </w:rPr>
        <w:t>es</w:t>
      </w:r>
      <w:r w:rsidR="000B7FBF" w:rsidRPr="00C86A14">
        <w:rPr>
          <w:rFonts w:ascii="Times New Roman" w:hAnsi="Times New Roman"/>
        </w:rPr>
        <w:t xml:space="preserve"> </w:t>
      </w:r>
      <w:r w:rsidR="00386E01" w:rsidRPr="00C86A14">
        <w:rPr>
          <w:rFonts w:ascii="Times New Roman" w:hAnsi="Times New Roman"/>
        </w:rPr>
        <w:t>"legislative frameworks for disciplining practitioners under the supervision of the Supreme Courts of the States and Territories".</w:t>
      </w:r>
      <w:r w:rsidR="00386E01" w:rsidRPr="00C86A14">
        <w:rPr>
          <w:rStyle w:val="FootnoteReference"/>
          <w:rFonts w:ascii="Times New Roman" w:hAnsi="Times New Roman"/>
          <w:sz w:val="24"/>
        </w:rPr>
        <w:footnoteReference w:id="22"/>
      </w:r>
      <w:r w:rsidR="00411B9B" w:rsidRPr="00C86A14">
        <w:rPr>
          <w:rFonts w:ascii="Times New Roman" w:hAnsi="Times New Roman"/>
        </w:rPr>
        <w:t xml:space="preserve"> </w:t>
      </w:r>
      <w:r w:rsidR="00FA090B" w:rsidRPr="00C86A14">
        <w:rPr>
          <w:rFonts w:ascii="Times New Roman" w:hAnsi="Times New Roman"/>
        </w:rPr>
        <w:t xml:space="preserve">The FCA is framed </w:t>
      </w:r>
      <w:r w:rsidR="00496AC3" w:rsidRPr="00C86A14">
        <w:rPr>
          <w:rFonts w:ascii="Times New Roman" w:hAnsi="Times New Roman"/>
        </w:rPr>
        <w:t>on the assumption</w:t>
      </w:r>
      <w:r w:rsidR="00FA090B" w:rsidRPr="00C86A14">
        <w:rPr>
          <w:rFonts w:ascii="Times New Roman" w:hAnsi="Times New Roman"/>
        </w:rPr>
        <w:t xml:space="preserve"> of the continuing application of those </w:t>
      </w:r>
      <w:r w:rsidR="00CB440F" w:rsidRPr="00C86A14">
        <w:rPr>
          <w:rFonts w:ascii="Times New Roman" w:hAnsi="Times New Roman"/>
        </w:rPr>
        <w:t xml:space="preserve">laws </w:t>
      </w:r>
      <w:r w:rsidR="0020100A" w:rsidRPr="00C86A14">
        <w:rPr>
          <w:rFonts w:ascii="Times New Roman" w:hAnsi="Times New Roman"/>
        </w:rPr>
        <w:t>to legal practi</w:t>
      </w:r>
      <w:r w:rsidR="00637ADA" w:rsidRPr="00C86A14">
        <w:rPr>
          <w:rFonts w:ascii="Times New Roman" w:hAnsi="Times New Roman"/>
        </w:rPr>
        <w:t xml:space="preserve">tioners retained by parties to proceedings </w:t>
      </w:r>
      <w:r w:rsidR="00496AC3" w:rsidRPr="00C86A14">
        <w:rPr>
          <w:rFonts w:ascii="Times New Roman" w:hAnsi="Times New Roman"/>
        </w:rPr>
        <w:t>before the Federal Court</w:t>
      </w:r>
      <w:r w:rsidR="00FB0BCC" w:rsidRPr="00C86A14">
        <w:rPr>
          <w:rFonts w:ascii="Times New Roman" w:hAnsi="Times New Roman"/>
        </w:rPr>
        <w:t>. That</w:t>
      </w:r>
      <w:r w:rsidR="00496AC3" w:rsidRPr="00C86A14">
        <w:rPr>
          <w:rFonts w:ascii="Times New Roman" w:hAnsi="Times New Roman"/>
        </w:rPr>
        <w:t xml:space="preserve"> is c</w:t>
      </w:r>
      <w:r w:rsidR="00FB0BCC" w:rsidRPr="00C86A14">
        <w:rPr>
          <w:rFonts w:ascii="Times New Roman" w:hAnsi="Times New Roman"/>
        </w:rPr>
        <w:t>onfirmed by</w:t>
      </w:r>
      <w:r w:rsidR="00496AC3" w:rsidRPr="00C86A14">
        <w:rPr>
          <w:rFonts w:ascii="Times New Roman" w:hAnsi="Times New Roman"/>
        </w:rPr>
        <w:t xml:space="preserve"> </w:t>
      </w:r>
      <w:r w:rsidR="009A5B1B" w:rsidRPr="00C86A14">
        <w:rPr>
          <w:rFonts w:ascii="Times New Roman" w:hAnsi="Times New Roman"/>
        </w:rPr>
        <w:t xml:space="preserve">provisions of the </w:t>
      </w:r>
      <w:r w:rsidR="009A5B1B" w:rsidRPr="00C86A14">
        <w:rPr>
          <w:rFonts w:ascii="Times New Roman" w:hAnsi="Times New Roman"/>
          <w:i/>
          <w:iCs/>
        </w:rPr>
        <w:t xml:space="preserve">Judiciary Act </w:t>
      </w:r>
      <w:r w:rsidR="006C53E7" w:rsidRPr="00C86A14">
        <w:rPr>
          <w:rFonts w:ascii="Times New Roman" w:hAnsi="Times New Roman"/>
          <w:i/>
          <w:iCs/>
        </w:rPr>
        <w:t>1903</w:t>
      </w:r>
      <w:r w:rsidR="006C53E7" w:rsidRPr="00C86A14">
        <w:rPr>
          <w:rFonts w:ascii="Times New Roman" w:hAnsi="Times New Roman"/>
        </w:rPr>
        <w:t xml:space="preserve"> (</w:t>
      </w:r>
      <w:proofErr w:type="spellStart"/>
      <w:r w:rsidR="006C53E7" w:rsidRPr="00C86A14">
        <w:rPr>
          <w:rFonts w:ascii="Times New Roman" w:hAnsi="Times New Roman"/>
        </w:rPr>
        <w:t>Cth</w:t>
      </w:r>
      <w:proofErr w:type="spellEnd"/>
      <w:r w:rsidR="006C53E7" w:rsidRPr="00C86A14">
        <w:rPr>
          <w:rFonts w:ascii="Times New Roman" w:hAnsi="Times New Roman"/>
        </w:rPr>
        <w:t xml:space="preserve">) which make </w:t>
      </w:r>
      <w:r w:rsidR="00AA4C3E" w:rsidRPr="00C86A14">
        <w:rPr>
          <w:rFonts w:ascii="Times New Roman" w:hAnsi="Times New Roman"/>
        </w:rPr>
        <w:t xml:space="preserve">the entitlement of </w:t>
      </w:r>
      <w:r w:rsidR="004C065B" w:rsidRPr="00C86A14">
        <w:rPr>
          <w:rFonts w:ascii="Times New Roman" w:hAnsi="Times New Roman"/>
        </w:rPr>
        <w:t xml:space="preserve">a </w:t>
      </w:r>
      <w:r w:rsidR="00AA4C3E" w:rsidRPr="00C86A14">
        <w:rPr>
          <w:rFonts w:ascii="Times New Roman" w:hAnsi="Times New Roman"/>
        </w:rPr>
        <w:t>legal practitioner to practi</w:t>
      </w:r>
      <w:r w:rsidR="00F71067" w:rsidRPr="00C86A14">
        <w:rPr>
          <w:rFonts w:ascii="Times New Roman" w:hAnsi="Times New Roman"/>
        </w:rPr>
        <w:t>s</w:t>
      </w:r>
      <w:r w:rsidR="00AA4C3E" w:rsidRPr="00C86A14">
        <w:rPr>
          <w:rFonts w:ascii="Times New Roman" w:hAnsi="Times New Roman"/>
        </w:rPr>
        <w:t xml:space="preserve">e and appear in </w:t>
      </w:r>
      <w:r w:rsidR="004C065B" w:rsidRPr="00C86A14">
        <w:rPr>
          <w:rFonts w:ascii="Times New Roman" w:hAnsi="Times New Roman"/>
        </w:rPr>
        <w:t xml:space="preserve">a </w:t>
      </w:r>
      <w:r w:rsidR="00AA4C3E" w:rsidRPr="00C86A14">
        <w:rPr>
          <w:rFonts w:ascii="Times New Roman" w:hAnsi="Times New Roman"/>
        </w:rPr>
        <w:t xml:space="preserve">federal court </w:t>
      </w:r>
      <w:r w:rsidR="00FD5BC0" w:rsidRPr="00C86A14">
        <w:rPr>
          <w:rFonts w:ascii="Times New Roman" w:hAnsi="Times New Roman"/>
        </w:rPr>
        <w:t xml:space="preserve">ordinarily </w:t>
      </w:r>
      <w:r w:rsidR="004C065B" w:rsidRPr="00C86A14">
        <w:rPr>
          <w:rFonts w:ascii="Times New Roman" w:hAnsi="Times New Roman"/>
        </w:rPr>
        <w:t>dependent on the legal practitioner</w:t>
      </w:r>
      <w:r w:rsidR="00D4104F" w:rsidRPr="00C86A14">
        <w:rPr>
          <w:rFonts w:ascii="Times New Roman" w:hAnsi="Times New Roman"/>
        </w:rPr>
        <w:t xml:space="preserve"> being admitted and having a </w:t>
      </w:r>
      <w:r w:rsidR="001A0144" w:rsidRPr="00C86A14">
        <w:rPr>
          <w:rFonts w:ascii="Times New Roman" w:hAnsi="Times New Roman"/>
        </w:rPr>
        <w:t>current entitlement to practi</w:t>
      </w:r>
      <w:r w:rsidR="003D626F" w:rsidRPr="00C86A14">
        <w:rPr>
          <w:rFonts w:ascii="Times New Roman" w:hAnsi="Times New Roman"/>
        </w:rPr>
        <w:t>s</w:t>
      </w:r>
      <w:r w:rsidR="001A0144" w:rsidRPr="00C86A14">
        <w:rPr>
          <w:rFonts w:ascii="Times New Roman" w:hAnsi="Times New Roman"/>
        </w:rPr>
        <w:t>e in the Supreme Court of a State</w:t>
      </w:r>
      <w:r w:rsidR="00F34B8F" w:rsidRPr="00C86A14">
        <w:rPr>
          <w:rFonts w:ascii="Times New Roman" w:hAnsi="Times New Roman"/>
        </w:rPr>
        <w:t xml:space="preserve"> or Territory</w:t>
      </w:r>
      <w:r w:rsidR="00FD5BC0" w:rsidRPr="00C86A14">
        <w:rPr>
          <w:rFonts w:ascii="Times New Roman" w:hAnsi="Times New Roman"/>
        </w:rPr>
        <w:t>.</w:t>
      </w:r>
      <w:r w:rsidR="00FD5BC0" w:rsidRPr="00C86A14">
        <w:rPr>
          <w:rStyle w:val="FootnoteReference"/>
          <w:rFonts w:ascii="Times New Roman" w:hAnsi="Times New Roman"/>
          <w:sz w:val="24"/>
        </w:rPr>
        <w:footnoteReference w:id="23"/>
      </w:r>
    </w:p>
    <w:p w14:paraId="58C3D789" w14:textId="328142CD" w:rsidR="00BC56BC" w:rsidRPr="00C86A14" w:rsidRDefault="00BC56BC"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93354F" w:rsidRPr="00C86A14">
        <w:rPr>
          <w:rFonts w:ascii="Times New Roman" w:hAnsi="Times New Roman"/>
        </w:rPr>
        <w:t>Th</w:t>
      </w:r>
      <w:r w:rsidR="00293140" w:rsidRPr="00C86A14">
        <w:rPr>
          <w:rFonts w:ascii="Times New Roman" w:hAnsi="Times New Roman"/>
        </w:rPr>
        <w:t>us</w:t>
      </w:r>
      <w:r w:rsidR="0093354F" w:rsidRPr="00C86A14">
        <w:rPr>
          <w:rFonts w:ascii="Times New Roman" w:hAnsi="Times New Roman"/>
        </w:rPr>
        <w:t>, w</w:t>
      </w:r>
      <w:r w:rsidR="00975494" w:rsidRPr="00C86A14">
        <w:rPr>
          <w:rFonts w:ascii="Times New Roman" w:hAnsi="Times New Roman"/>
        </w:rPr>
        <w:t>hilst the power of the Federal Court to make any CFO under s</w:t>
      </w:r>
      <w:r w:rsidR="00046C51" w:rsidRPr="00C86A14">
        <w:rPr>
          <w:rFonts w:ascii="Times New Roman" w:hAnsi="Times New Roman"/>
        </w:rPr>
        <w:t> </w:t>
      </w:r>
      <w:r w:rsidR="00975494" w:rsidRPr="00C86A14">
        <w:rPr>
          <w:rFonts w:ascii="Times New Roman" w:hAnsi="Times New Roman"/>
        </w:rPr>
        <w:t>33V(2) or s</w:t>
      </w:r>
      <w:r w:rsidR="00046C51" w:rsidRPr="00C86A14">
        <w:rPr>
          <w:rFonts w:ascii="Times New Roman" w:hAnsi="Times New Roman"/>
        </w:rPr>
        <w:t> </w:t>
      </w:r>
      <w:r w:rsidR="00975494" w:rsidRPr="00C86A14">
        <w:rPr>
          <w:rFonts w:ascii="Times New Roman" w:hAnsi="Times New Roman"/>
        </w:rPr>
        <w:t xml:space="preserve">33Z(1)(g) of the FCA </w:t>
      </w:r>
      <w:r w:rsidR="0019647D" w:rsidRPr="00C86A14">
        <w:rPr>
          <w:rFonts w:ascii="Times New Roman" w:hAnsi="Times New Roman"/>
        </w:rPr>
        <w:t xml:space="preserve">is not limited to </w:t>
      </w:r>
      <w:r w:rsidR="002373E4" w:rsidRPr="00C86A14">
        <w:rPr>
          <w:rFonts w:ascii="Times New Roman" w:hAnsi="Times New Roman"/>
        </w:rPr>
        <w:t>mak</w:t>
      </w:r>
      <w:r w:rsidR="00F93292" w:rsidRPr="00C86A14">
        <w:rPr>
          <w:rFonts w:ascii="Times New Roman" w:hAnsi="Times New Roman"/>
        </w:rPr>
        <w:t>ing</w:t>
      </w:r>
      <w:r w:rsidR="002373E4" w:rsidRPr="00C86A14">
        <w:rPr>
          <w:rFonts w:ascii="Times New Roman" w:hAnsi="Times New Roman"/>
        </w:rPr>
        <w:t xml:space="preserve"> an order which </w:t>
      </w:r>
      <w:r w:rsidR="00975494" w:rsidRPr="00C86A14">
        <w:rPr>
          <w:rFonts w:ascii="Times New Roman" w:hAnsi="Times New Roman"/>
        </w:rPr>
        <w:t>give</w:t>
      </w:r>
      <w:r w:rsidR="002373E4" w:rsidRPr="00C86A14">
        <w:rPr>
          <w:rFonts w:ascii="Times New Roman" w:hAnsi="Times New Roman"/>
        </w:rPr>
        <w:t>s</w:t>
      </w:r>
      <w:r w:rsidR="00975494" w:rsidRPr="00C86A14">
        <w:rPr>
          <w:rFonts w:ascii="Times New Roman" w:hAnsi="Times New Roman"/>
        </w:rPr>
        <w:t xml:space="preserve"> effect to an entitlement arising at law or in equity</w:t>
      </w:r>
      <w:r w:rsidR="005541BE" w:rsidRPr="00C86A14">
        <w:rPr>
          <w:rFonts w:ascii="Times New Roman" w:hAnsi="Times New Roman"/>
        </w:rPr>
        <w:t xml:space="preserve">, </w:t>
      </w:r>
      <w:r w:rsidR="00EE1B7B" w:rsidRPr="00C86A14">
        <w:rPr>
          <w:rFonts w:ascii="Times New Roman" w:hAnsi="Times New Roman"/>
        </w:rPr>
        <w:t xml:space="preserve">the </w:t>
      </w:r>
      <w:r w:rsidR="00002233" w:rsidRPr="00C86A14">
        <w:rPr>
          <w:rFonts w:ascii="Times New Roman" w:hAnsi="Times New Roman"/>
        </w:rPr>
        <w:t xml:space="preserve">discretion </w:t>
      </w:r>
      <w:r w:rsidR="0016629D" w:rsidRPr="00C86A14">
        <w:rPr>
          <w:rFonts w:ascii="Times New Roman" w:hAnsi="Times New Roman"/>
        </w:rPr>
        <w:t xml:space="preserve">conferred on the </w:t>
      </w:r>
      <w:r w:rsidR="0087119F" w:rsidRPr="00C86A14">
        <w:rPr>
          <w:rFonts w:ascii="Times New Roman" w:hAnsi="Times New Roman"/>
        </w:rPr>
        <w:t>Federal C</w:t>
      </w:r>
      <w:r w:rsidR="0016629D" w:rsidRPr="00C86A14">
        <w:rPr>
          <w:rFonts w:ascii="Times New Roman" w:hAnsi="Times New Roman"/>
        </w:rPr>
        <w:t xml:space="preserve">ourt </w:t>
      </w:r>
      <w:r w:rsidR="00002233" w:rsidRPr="00C86A14">
        <w:rPr>
          <w:rFonts w:ascii="Times New Roman" w:hAnsi="Times New Roman"/>
        </w:rPr>
        <w:t xml:space="preserve">to </w:t>
      </w:r>
      <w:r w:rsidR="00FF77EF" w:rsidRPr="00C86A14">
        <w:rPr>
          <w:rFonts w:ascii="Times New Roman" w:hAnsi="Times New Roman"/>
        </w:rPr>
        <w:t xml:space="preserve">make </w:t>
      </w:r>
      <w:r w:rsidR="0087119F" w:rsidRPr="00C86A14">
        <w:rPr>
          <w:rFonts w:ascii="Times New Roman" w:hAnsi="Times New Roman"/>
        </w:rPr>
        <w:t xml:space="preserve">any such </w:t>
      </w:r>
      <w:r w:rsidR="0084235F" w:rsidRPr="00C86A14">
        <w:rPr>
          <w:rFonts w:ascii="Times New Roman" w:hAnsi="Times New Roman"/>
        </w:rPr>
        <w:t xml:space="preserve">CFO </w:t>
      </w:r>
      <w:r w:rsidR="00FD3AAD" w:rsidRPr="00C86A14">
        <w:rPr>
          <w:rFonts w:ascii="Times New Roman" w:hAnsi="Times New Roman"/>
        </w:rPr>
        <w:t xml:space="preserve">would not be properly exercised if </w:t>
      </w:r>
      <w:r w:rsidR="00786AF9" w:rsidRPr="00C86A14">
        <w:rPr>
          <w:rFonts w:ascii="Times New Roman" w:hAnsi="Times New Roman"/>
        </w:rPr>
        <w:t>doing so w</w:t>
      </w:r>
      <w:r w:rsidR="0087119F" w:rsidRPr="00C86A14">
        <w:rPr>
          <w:rFonts w:ascii="Times New Roman" w:hAnsi="Times New Roman"/>
        </w:rPr>
        <w:t>ould not be "</w:t>
      </w:r>
      <w:r w:rsidR="0016629D" w:rsidRPr="00C86A14">
        <w:rPr>
          <w:rFonts w:ascii="Times New Roman" w:hAnsi="Times New Roman"/>
        </w:rPr>
        <w:t>just</w:t>
      </w:r>
      <w:r w:rsidR="0087119F" w:rsidRPr="00C86A14">
        <w:rPr>
          <w:rFonts w:ascii="Times New Roman" w:hAnsi="Times New Roman"/>
        </w:rPr>
        <w:t>"</w:t>
      </w:r>
      <w:r w:rsidR="0016629D" w:rsidRPr="00C86A14">
        <w:rPr>
          <w:rFonts w:ascii="Times New Roman" w:hAnsi="Times New Roman"/>
        </w:rPr>
        <w:t xml:space="preserve">. </w:t>
      </w:r>
      <w:r w:rsidR="00257ED0" w:rsidRPr="00C86A14">
        <w:rPr>
          <w:rFonts w:ascii="Times New Roman" w:hAnsi="Times New Roman"/>
        </w:rPr>
        <w:t>A</w:t>
      </w:r>
      <w:r w:rsidR="002373E4" w:rsidRPr="00C86A14">
        <w:rPr>
          <w:rFonts w:ascii="Times New Roman" w:hAnsi="Times New Roman"/>
        </w:rPr>
        <w:t>n order</w:t>
      </w:r>
      <w:r w:rsidR="00257ED0" w:rsidRPr="00C86A14">
        <w:rPr>
          <w:rFonts w:ascii="Times New Roman" w:hAnsi="Times New Roman"/>
        </w:rPr>
        <w:t>,</w:t>
      </w:r>
      <w:r w:rsidR="002373E4" w:rsidRPr="00C86A14">
        <w:rPr>
          <w:rFonts w:ascii="Times New Roman" w:hAnsi="Times New Roman"/>
        </w:rPr>
        <w:t xml:space="preserve"> </w:t>
      </w:r>
      <w:r w:rsidR="002A2D1A" w:rsidRPr="00C86A14">
        <w:rPr>
          <w:rFonts w:ascii="Times New Roman" w:hAnsi="Times New Roman"/>
        </w:rPr>
        <w:t>the seeking of or giving effect to which</w:t>
      </w:r>
      <w:r w:rsidR="005F2EF8" w:rsidRPr="00C86A14">
        <w:rPr>
          <w:rFonts w:ascii="Times New Roman" w:hAnsi="Times New Roman"/>
        </w:rPr>
        <w:t xml:space="preserve"> </w:t>
      </w:r>
      <w:r w:rsidR="002A2D1A" w:rsidRPr="00C86A14">
        <w:rPr>
          <w:rFonts w:ascii="Times New Roman" w:hAnsi="Times New Roman"/>
        </w:rPr>
        <w:t xml:space="preserve">would </w:t>
      </w:r>
      <w:r w:rsidR="002A2D1A" w:rsidRPr="00C86A14">
        <w:rPr>
          <w:rFonts w:ascii="Times New Roman" w:hAnsi="Times New Roman"/>
        </w:rPr>
        <w:lastRenderedPageBreak/>
        <w:t xml:space="preserve">involve contravention of </w:t>
      </w:r>
      <w:r w:rsidR="00FC2E92" w:rsidRPr="00C86A14">
        <w:rPr>
          <w:rFonts w:ascii="Times New Roman" w:hAnsi="Times New Roman"/>
        </w:rPr>
        <w:t xml:space="preserve">a State or Territory law </w:t>
      </w:r>
      <w:r w:rsidR="00EA06E1" w:rsidRPr="00C86A14">
        <w:rPr>
          <w:rFonts w:ascii="Times New Roman" w:hAnsi="Times New Roman"/>
        </w:rPr>
        <w:t>regulating the legal profession in that State or Territory</w:t>
      </w:r>
      <w:r w:rsidR="008C449F" w:rsidRPr="00C86A14">
        <w:rPr>
          <w:rFonts w:ascii="Times New Roman" w:hAnsi="Times New Roman"/>
        </w:rPr>
        <w:t>, although not beyond power,</w:t>
      </w:r>
      <w:r w:rsidR="008C449F" w:rsidRPr="00C86A14">
        <w:rPr>
          <w:rStyle w:val="FootnoteReference"/>
          <w:rFonts w:ascii="Times New Roman" w:hAnsi="Times New Roman"/>
          <w:sz w:val="24"/>
        </w:rPr>
        <w:footnoteReference w:id="24"/>
      </w:r>
      <w:r w:rsidR="008C449F" w:rsidRPr="00C86A14">
        <w:rPr>
          <w:rFonts w:ascii="Times New Roman" w:hAnsi="Times New Roman"/>
        </w:rPr>
        <w:t xml:space="preserve"> </w:t>
      </w:r>
      <w:r w:rsidR="002A4CE3" w:rsidRPr="00C86A14">
        <w:rPr>
          <w:rFonts w:ascii="Times New Roman" w:hAnsi="Times New Roman"/>
        </w:rPr>
        <w:t>would not properly be thought</w:t>
      </w:r>
      <w:r w:rsidR="00372C1A" w:rsidRPr="00C86A14">
        <w:rPr>
          <w:rFonts w:ascii="Times New Roman" w:hAnsi="Times New Roman"/>
        </w:rPr>
        <w:t xml:space="preserve"> </w:t>
      </w:r>
      <w:r w:rsidR="00A9350A" w:rsidRPr="00C86A14">
        <w:rPr>
          <w:rFonts w:ascii="Times New Roman" w:hAnsi="Times New Roman"/>
        </w:rPr>
        <w:t xml:space="preserve">of </w:t>
      </w:r>
      <w:r w:rsidR="00372C1A" w:rsidRPr="00C86A14">
        <w:rPr>
          <w:rFonts w:ascii="Times New Roman" w:hAnsi="Times New Roman"/>
        </w:rPr>
        <w:t>as</w:t>
      </w:r>
      <w:r w:rsidR="002A4CE3" w:rsidRPr="00C86A14">
        <w:rPr>
          <w:rFonts w:ascii="Times New Roman" w:hAnsi="Times New Roman"/>
        </w:rPr>
        <w:t xml:space="preserve"> </w:t>
      </w:r>
      <w:r w:rsidR="00D92414" w:rsidRPr="00C86A14">
        <w:rPr>
          <w:rFonts w:ascii="Times New Roman" w:hAnsi="Times New Roman"/>
        </w:rPr>
        <w:t>"just".</w:t>
      </w:r>
      <w:r w:rsidR="005E6B36" w:rsidRPr="00C86A14">
        <w:rPr>
          <w:rFonts w:ascii="Times New Roman" w:hAnsi="Times New Roman"/>
        </w:rPr>
        <w:t xml:space="preserve"> </w:t>
      </w:r>
    </w:p>
    <w:p w14:paraId="50C8A334" w14:textId="2A35044F" w:rsidR="00DD7307" w:rsidRPr="00C86A14" w:rsidRDefault="00DD7307"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F504C7" w:rsidRPr="00C86A14">
        <w:rPr>
          <w:rFonts w:ascii="Times New Roman" w:hAnsi="Times New Roman"/>
        </w:rPr>
        <w:t>Though the argument on the appeal</w:t>
      </w:r>
      <w:r w:rsidR="008138A6" w:rsidRPr="00C86A14">
        <w:rPr>
          <w:rFonts w:ascii="Times New Roman" w:hAnsi="Times New Roman"/>
        </w:rPr>
        <w:t>s</w:t>
      </w:r>
      <w:r w:rsidR="00F504C7" w:rsidRPr="00C86A14">
        <w:rPr>
          <w:rFonts w:ascii="Times New Roman" w:hAnsi="Times New Roman"/>
        </w:rPr>
        <w:t xml:space="preserve"> ranged more widely</w:t>
      </w:r>
      <w:r w:rsidR="00B22ABB" w:rsidRPr="00C86A14">
        <w:rPr>
          <w:rFonts w:ascii="Times New Roman" w:hAnsi="Times New Roman"/>
        </w:rPr>
        <w:t xml:space="preserve">, </w:t>
      </w:r>
      <w:r w:rsidR="00B94882" w:rsidRPr="00C86A14">
        <w:rPr>
          <w:rFonts w:ascii="Times New Roman" w:hAnsi="Times New Roman"/>
        </w:rPr>
        <w:t xml:space="preserve">it is not necessary </w:t>
      </w:r>
      <w:r w:rsidR="00F504C7" w:rsidRPr="00C86A14">
        <w:rPr>
          <w:rFonts w:ascii="Times New Roman" w:hAnsi="Times New Roman"/>
        </w:rPr>
        <w:t>for the resolution of the appeal</w:t>
      </w:r>
      <w:r w:rsidR="008138A6" w:rsidRPr="00C86A14">
        <w:rPr>
          <w:rFonts w:ascii="Times New Roman" w:hAnsi="Times New Roman"/>
        </w:rPr>
        <w:t>s</w:t>
      </w:r>
      <w:r w:rsidR="00F504C7" w:rsidRPr="00C86A14">
        <w:rPr>
          <w:rFonts w:ascii="Times New Roman" w:hAnsi="Times New Roman"/>
        </w:rPr>
        <w:t xml:space="preserve"> </w:t>
      </w:r>
      <w:r w:rsidR="00B94882" w:rsidRPr="00C86A14">
        <w:rPr>
          <w:rFonts w:ascii="Times New Roman" w:hAnsi="Times New Roman"/>
        </w:rPr>
        <w:t xml:space="preserve">to go beyond an examination of </w:t>
      </w:r>
      <w:r w:rsidR="009B78F6" w:rsidRPr="00C86A14">
        <w:rPr>
          <w:rFonts w:ascii="Times New Roman" w:hAnsi="Times New Roman"/>
        </w:rPr>
        <w:t xml:space="preserve">the operation of </w:t>
      </w:r>
      <w:r w:rsidR="00B94882" w:rsidRPr="00C86A14">
        <w:rPr>
          <w:rFonts w:ascii="Times New Roman" w:hAnsi="Times New Roman"/>
        </w:rPr>
        <w:t>s</w:t>
      </w:r>
      <w:r w:rsidR="00046C51" w:rsidRPr="00C86A14">
        <w:rPr>
          <w:rFonts w:ascii="Times New Roman" w:hAnsi="Times New Roman"/>
        </w:rPr>
        <w:t> </w:t>
      </w:r>
      <w:r w:rsidR="00CD6DD9" w:rsidRPr="00C86A14">
        <w:rPr>
          <w:rFonts w:ascii="Times New Roman" w:hAnsi="Times New Roman"/>
        </w:rPr>
        <w:t xml:space="preserve">183 of the </w:t>
      </w:r>
      <w:r w:rsidR="00FD374C" w:rsidRPr="00C86A14">
        <w:rPr>
          <w:rFonts w:ascii="Times New Roman" w:hAnsi="Times New Roman"/>
        </w:rPr>
        <w:t>Legal Profession Uniform Law</w:t>
      </w:r>
      <w:r w:rsidR="00B94882" w:rsidRPr="00C86A14">
        <w:rPr>
          <w:rFonts w:ascii="Times New Roman" w:hAnsi="Times New Roman"/>
        </w:rPr>
        <w:t>. That section</w:t>
      </w:r>
      <w:r w:rsidR="00B22B4A" w:rsidRPr="00C86A14">
        <w:rPr>
          <w:rFonts w:ascii="Times New Roman" w:hAnsi="Times New Roman"/>
        </w:rPr>
        <w:t>,</w:t>
      </w:r>
      <w:r w:rsidR="00160542" w:rsidRPr="00C86A14">
        <w:rPr>
          <w:rStyle w:val="FootnoteReference"/>
          <w:rFonts w:ascii="Times New Roman" w:hAnsi="Times New Roman"/>
          <w:sz w:val="24"/>
        </w:rPr>
        <w:footnoteReference w:id="25"/>
      </w:r>
      <w:r w:rsidR="00FD374C" w:rsidRPr="00C86A14">
        <w:rPr>
          <w:rFonts w:ascii="Times New Roman" w:hAnsi="Times New Roman"/>
        </w:rPr>
        <w:t xml:space="preserve"> as recently </w:t>
      </w:r>
      <w:r w:rsidR="00904EA0" w:rsidRPr="00C86A14">
        <w:rPr>
          <w:rFonts w:ascii="Times New Roman" w:hAnsi="Times New Roman"/>
        </w:rPr>
        <w:t xml:space="preserve">noted in </w:t>
      </w:r>
      <w:r w:rsidR="00904EA0" w:rsidRPr="00C86A14">
        <w:rPr>
          <w:rFonts w:ascii="Times New Roman" w:hAnsi="Times New Roman"/>
          <w:i/>
          <w:iCs/>
        </w:rPr>
        <w:t>Bogan v Estate of Smedley</w:t>
      </w:r>
      <w:r w:rsidR="00904EA0" w:rsidRPr="00C86A14">
        <w:rPr>
          <w:rFonts w:ascii="Times New Roman" w:hAnsi="Times New Roman"/>
        </w:rPr>
        <w:t>,</w:t>
      </w:r>
      <w:r w:rsidR="00262168" w:rsidRPr="00C86A14">
        <w:rPr>
          <w:rStyle w:val="FootnoteReference"/>
          <w:rFonts w:ascii="Times New Roman" w:hAnsi="Times New Roman"/>
          <w:sz w:val="24"/>
        </w:rPr>
        <w:footnoteReference w:id="26"/>
      </w:r>
      <w:r w:rsidR="00904EA0" w:rsidRPr="00C86A14">
        <w:rPr>
          <w:rFonts w:ascii="Times New Roman" w:hAnsi="Times New Roman"/>
        </w:rPr>
        <w:t xml:space="preserve"> </w:t>
      </w:r>
      <w:r w:rsidR="00B22B4A" w:rsidRPr="00C86A14">
        <w:rPr>
          <w:rFonts w:ascii="Times New Roman" w:hAnsi="Times New Roman"/>
        </w:rPr>
        <w:t>provides</w:t>
      </w:r>
      <w:r w:rsidR="00F64F11" w:rsidRPr="00C86A14">
        <w:rPr>
          <w:rFonts w:ascii="Times New Roman" w:hAnsi="Times New Roman"/>
        </w:rPr>
        <w:t xml:space="preserve"> that</w:t>
      </w:r>
      <w:r w:rsidR="00262168" w:rsidRPr="00C86A14">
        <w:rPr>
          <w:rFonts w:ascii="Times New Roman" w:hAnsi="Times New Roman"/>
        </w:rPr>
        <w:t xml:space="preserve"> a law practice </w:t>
      </w:r>
      <w:r w:rsidR="00F64F11" w:rsidRPr="00C86A14">
        <w:rPr>
          <w:rFonts w:ascii="Times New Roman" w:hAnsi="Times New Roman"/>
        </w:rPr>
        <w:t>"</w:t>
      </w:r>
      <w:r w:rsidR="005760F9" w:rsidRPr="00C86A14">
        <w:rPr>
          <w:rFonts w:ascii="Times New Roman" w:hAnsi="Times New Roman"/>
        </w:rPr>
        <w:t>must not enter into a costs agreement under which the amount payable to the law practice, or any part of that amount, is calculated by reference to the amount of any award or settlement or the value of any property that may be recovered in any proceedings to which the agreement relates"</w:t>
      </w:r>
      <w:r w:rsidR="00885BBF" w:rsidRPr="00C86A14">
        <w:rPr>
          <w:rFonts w:ascii="Times New Roman" w:hAnsi="Times New Roman"/>
        </w:rPr>
        <w:t>.</w:t>
      </w:r>
      <w:r w:rsidR="005760F9" w:rsidRPr="00C86A14">
        <w:rPr>
          <w:rFonts w:ascii="Times New Roman" w:hAnsi="Times New Roman"/>
        </w:rPr>
        <w:t xml:space="preserve"> </w:t>
      </w:r>
      <w:r w:rsidR="00A03969" w:rsidRPr="00C86A14">
        <w:rPr>
          <w:rFonts w:ascii="Times New Roman" w:hAnsi="Times New Roman"/>
        </w:rPr>
        <w:t>C</w:t>
      </w:r>
      <w:r w:rsidR="005760F9" w:rsidRPr="00C86A14">
        <w:rPr>
          <w:rFonts w:ascii="Times New Roman" w:hAnsi="Times New Roman"/>
        </w:rPr>
        <w:t xml:space="preserve">ontravention of </w:t>
      </w:r>
      <w:r w:rsidR="00A03969" w:rsidRPr="00C86A14">
        <w:rPr>
          <w:rFonts w:ascii="Times New Roman" w:hAnsi="Times New Roman"/>
        </w:rPr>
        <w:t xml:space="preserve">that </w:t>
      </w:r>
      <w:r w:rsidR="00B22B4A" w:rsidRPr="00C86A14">
        <w:rPr>
          <w:rFonts w:ascii="Times New Roman" w:hAnsi="Times New Roman"/>
        </w:rPr>
        <w:t>prohibition</w:t>
      </w:r>
      <w:r w:rsidR="005760F9" w:rsidRPr="00C86A14">
        <w:rPr>
          <w:rFonts w:ascii="Times New Roman" w:hAnsi="Times New Roman"/>
        </w:rPr>
        <w:t xml:space="preserve"> </w:t>
      </w:r>
      <w:r w:rsidR="00111E83" w:rsidRPr="00C86A14">
        <w:rPr>
          <w:rFonts w:ascii="Times New Roman" w:hAnsi="Times New Roman"/>
        </w:rPr>
        <w:t>by a law practice exposes the law practice to a civil penalty</w:t>
      </w:r>
      <w:r w:rsidR="000B524D" w:rsidRPr="00C86A14">
        <w:rPr>
          <w:rFonts w:ascii="Times New Roman" w:hAnsi="Times New Roman"/>
        </w:rPr>
        <w:t>,</w:t>
      </w:r>
      <w:r w:rsidR="00111E83" w:rsidRPr="00C86A14">
        <w:rPr>
          <w:rStyle w:val="FootnoteReference"/>
          <w:rFonts w:ascii="Times New Roman" w:hAnsi="Times New Roman"/>
          <w:sz w:val="24"/>
        </w:rPr>
        <w:footnoteReference w:id="27"/>
      </w:r>
      <w:r w:rsidR="00C33899" w:rsidRPr="00C86A14">
        <w:rPr>
          <w:rFonts w:ascii="Times New Roman" w:hAnsi="Times New Roman"/>
        </w:rPr>
        <w:t xml:space="preserve"> </w:t>
      </w:r>
      <w:r w:rsidR="00111E83" w:rsidRPr="00C86A14">
        <w:rPr>
          <w:rFonts w:ascii="Times New Roman" w:hAnsi="Times New Roman"/>
        </w:rPr>
        <w:t xml:space="preserve">is capable of constituting </w:t>
      </w:r>
      <w:r w:rsidR="00C33899" w:rsidRPr="00C86A14">
        <w:rPr>
          <w:rFonts w:ascii="Times New Roman" w:hAnsi="Times New Roman"/>
        </w:rPr>
        <w:t>"</w:t>
      </w:r>
      <w:r w:rsidR="00111E83" w:rsidRPr="00C86A14">
        <w:rPr>
          <w:rFonts w:ascii="Times New Roman" w:hAnsi="Times New Roman"/>
        </w:rPr>
        <w:t>unsatisfactory professional conduct or professional misconduct</w:t>
      </w:r>
      <w:r w:rsidR="00C33899" w:rsidRPr="00C86A14">
        <w:rPr>
          <w:rFonts w:ascii="Times New Roman" w:hAnsi="Times New Roman"/>
        </w:rPr>
        <w:t>"</w:t>
      </w:r>
      <w:r w:rsidR="00111E83" w:rsidRPr="00C86A14">
        <w:rPr>
          <w:rFonts w:ascii="Times New Roman" w:hAnsi="Times New Roman"/>
        </w:rPr>
        <w:t xml:space="preserve"> on the part of a principal of the law practice or </w:t>
      </w:r>
      <w:r w:rsidR="00CC5BB5" w:rsidRPr="00C86A14">
        <w:rPr>
          <w:rFonts w:ascii="Times New Roman" w:hAnsi="Times New Roman"/>
        </w:rPr>
        <w:t xml:space="preserve">any </w:t>
      </w:r>
      <w:r w:rsidR="00111E83" w:rsidRPr="00C86A14">
        <w:rPr>
          <w:rFonts w:ascii="Times New Roman" w:hAnsi="Times New Roman"/>
        </w:rPr>
        <w:t>legal practitioner associate involved in the contravention</w:t>
      </w:r>
      <w:r w:rsidR="00C33899" w:rsidRPr="00C86A14">
        <w:rPr>
          <w:rStyle w:val="FootnoteReference"/>
          <w:rFonts w:ascii="Times New Roman" w:hAnsi="Times New Roman"/>
          <w:sz w:val="24"/>
        </w:rPr>
        <w:footnoteReference w:id="28"/>
      </w:r>
      <w:r w:rsidR="00C33899" w:rsidRPr="00C86A14">
        <w:rPr>
          <w:rFonts w:ascii="Times New Roman" w:hAnsi="Times New Roman"/>
        </w:rPr>
        <w:t xml:space="preserve"> </w:t>
      </w:r>
      <w:r w:rsidR="00F0468D" w:rsidRPr="00C86A14">
        <w:rPr>
          <w:rFonts w:ascii="Times New Roman" w:hAnsi="Times New Roman"/>
        </w:rPr>
        <w:t>and renders the costs agreement void.</w:t>
      </w:r>
      <w:r w:rsidR="00F0468D" w:rsidRPr="00C86A14">
        <w:rPr>
          <w:rStyle w:val="FootnoteReference"/>
          <w:rFonts w:ascii="Times New Roman" w:hAnsi="Times New Roman"/>
          <w:sz w:val="24"/>
        </w:rPr>
        <w:footnoteReference w:id="29"/>
      </w:r>
    </w:p>
    <w:p w14:paraId="44EE75B9" w14:textId="49E67760" w:rsidR="00611BD4" w:rsidRPr="00C86A14" w:rsidRDefault="00611BD4"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FC583E" w:rsidRPr="00C86A14">
        <w:rPr>
          <w:rFonts w:ascii="Times New Roman" w:hAnsi="Times New Roman"/>
        </w:rPr>
        <w:t>The</w:t>
      </w:r>
      <w:r w:rsidR="008310DF" w:rsidRPr="00C86A14">
        <w:rPr>
          <w:rFonts w:ascii="Times New Roman" w:hAnsi="Times New Roman"/>
        </w:rPr>
        <w:t xml:space="preserve"> written contract of retainer between the applicants and their solicitors </w:t>
      </w:r>
      <w:r w:rsidR="008C2066" w:rsidRPr="00C86A14">
        <w:rPr>
          <w:rFonts w:ascii="Times New Roman" w:hAnsi="Times New Roman"/>
        </w:rPr>
        <w:t>answers the description of</w:t>
      </w:r>
      <w:r w:rsidR="008310DF" w:rsidRPr="00C86A14">
        <w:rPr>
          <w:rFonts w:ascii="Times New Roman" w:hAnsi="Times New Roman"/>
        </w:rPr>
        <w:t xml:space="preserve"> a "costs agreement"</w:t>
      </w:r>
      <w:r w:rsidR="008C2066" w:rsidRPr="00C86A14">
        <w:rPr>
          <w:rFonts w:ascii="Times New Roman" w:hAnsi="Times New Roman"/>
        </w:rPr>
        <w:t xml:space="preserve"> for the purposes</w:t>
      </w:r>
      <w:r w:rsidR="00155977" w:rsidRPr="00C86A14">
        <w:rPr>
          <w:rFonts w:ascii="Times New Roman" w:hAnsi="Times New Roman"/>
        </w:rPr>
        <w:t xml:space="preserve"> of the </w:t>
      </w:r>
      <w:r w:rsidR="00856E55" w:rsidRPr="00C86A14">
        <w:rPr>
          <w:rFonts w:ascii="Times New Roman" w:hAnsi="Times New Roman"/>
        </w:rPr>
        <w:t xml:space="preserve">Legal Profession Uniform Law </w:t>
      </w:r>
      <w:r w:rsidR="002B3A44" w:rsidRPr="00C86A14">
        <w:rPr>
          <w:rFonts w:ascii="Times New Roman" w:hAnsi="Times New Roman"/>
        </w:rPr>
        <w:t xml:space="preserve">and would continue </w:t>
      </w:r>
      <w:r w:rsidR="008C2066" w:rsidRPr="00C86A14">
        <w:rPr>
          <w:rFonts w:ascii="Times New Roman" w:hAnsi="Times New Roman"/>
        </w:rPr>
        <w:t xml:space="preserve">to answer that description </w:t>
      </w:r>
      <w:r w:rsidR="00B2344A" w:rsidRPr="00C86A14">
        <w:rPr>
          <w:rFonts w:ascii="Times New Roman" w:hAnsi="Times New Roman"/>
        </w:rPr>
        <w:t xml:space="preserve">even </w:t>
      </w:r>
      <w:r w:rsidR="008C2066" w:rsidRPr="00C86A14">
        <w:rPr>
          <w:rFonts w:ascii="Times New Roman" w:hAnsi="Times New Roman"/>
        </w:rPr>
        <w:t>as</w:t>
      </w:r>
      <w:r w:rsidR="00B2344A" w:rsidRPr="00C86A14">
        <w:rPr>
          <w:rFonts w:ascii="Times New Roman" w:hAnsi="Times New Roman"/>
        </w:rPr>
        <w:t xml:space="preserve"> it is</w:t>
      </w:r>
      <w:r w:rsidR="008C2066" w:rsidRPr="00C86A14">
        <w:rPr>
          <w:rFonts w:ascii="Times New Roman" w:hAnsi="Times New Roman"/>
        </w:rPr>
        <w:t xml:space="preserve"> proposed to be amended</w:t>
      </w:r>
      <w:r w:rsidR="006605CE" w:rsidRPr="00C86A14">
        <w:rPr>
          <w:rFonts w:ascii="Times New Roman" w:hAnsi="Times New Roman"/>
        </w:rPr>
        <w:t>. That is because</w:t>
      </w:r>
      <w:r w:rsidR="00856E55" w:rsidRPr="00C86A14">
        <w:rPr>
          <w:rFonts w:ascii="Times New Roman" w:hAnsi="Times New Roman"/>
        </w:rPr>
        <w:t xml:space="preserve"> </w:t>
      </w:r>
      <w:r w:rsidR="000C4CC4" w:rsidRPr="00C86A14">
        <w:rPr>
          <w:rFonts w:ascii="Times New Roman" w:hAnsi="Times New Roman"/>
        </w:rPr>
        <w:t xml:space="preserve">it relates </w:t>
      </w:r>
      <w:r w:rsidR="002B3A44" w:rsidRPr="00C86A14">
        <w:rPr>
          <w:rFonts w:ascii="Times New Roman" w:hAnsi="Times New Roman"/>
        </w:rPr>
        <w:t xml:space="preserve">and would continue to relate </w:t>
      </w:r>
      <w:r w:rsidR="000C4CC4" w:rsidRPr="00C86A14">
        <w:rPr>
          <w:rFonts w:ascii="Times New Roman" w:hAnsi="Times New Roman"/>
        </w:rPr>
        <w:t>to "legal costs"</w:t>
      </w:r>
      <w:r w:rsidR="00A40D93" w:rsidRPr="00C86A14">
        <w:rPr>
          <w:rStyle w:val="FootnoteReference"/>
          <w:rFonts w:ascii="Times New Roman" w:hAnsi="Times New Roman"/>
          <w:sz w:val="24"/>
        </w:rPr>
        <w:footnoteReference w:id="30"/>
      </w:r>
      <w:r w:rsidR="000C4CC4" w:rsidRPr="00C86A14">
        <w:rPr>
          <w:rFonts w:ascii="Times New Roman" w:hAnsi="Times New Roman"/>
        </w:rPr>
        <w:t xml:space="preserve"> </w:t>
      </w:r>
      <w:r w:rsidR="00552DB9" w:rsidRPr="00C86A14">
        <w:rPr>
          <w:rFonts w:ascii="Times New Roman" w:hAnsi="Times New Roman"/>
        </w:rPr>
        <w:t xml:space="preserve">("legal costs" </w:t>
      </w:r>
      <w:r w:rsidR="00B65215" w:rsidRPr="00C86A14">
        <w:rPr>
          <w:rFonts w:ascii="Times New Roman" w:hAnsi="Times New Roman"/>
        </w:rPr>
        <w:t xml:space="preserve">being </w:t>
      </w:r>
      <w:r w:rsidR="00A96563" w:rsidRPr="00C86A14">
        <w:rPr>
          <w:rFonts w:ascii="Times New Roman" w:hAnsi="Times New Roman"/>
        </w:rPr>
        <w:t xml:space="preserve">relevantly </w:t>
      </w:r>
      <w:r w:rsidR="00B65215" w:rsidRPr="00C86A14">
        <w:rPr>
          <w:rFonts w:ascii="Times New Roman" w:hAnsi="Times New Roman"/>
        </w:rPr>
        <w:t>"</w:t>
      </w:r>
      <w:r w:rsidR="00552DB9" w:rsidRPr="00C86A14">
        <w:rPr>
          <w:rFonts w:ascii="Times New Roman" w:hAnsi="Times New Roman"/>
        </w:rPr>
        <w:t>amounts that a person has been or may be charged by, or is or may become liable to pay to, a law practice for the provision of legal services"</w:t>
      </w:r>
      <w:r w:rsidR="00552DB9" w:rsidRPr="00C86A14">
        <w:rPr>
          <w:rStyle w:val="FootnoteReference"/>
          <w:rFonts w:ascii="Times New Roman" w:hAnsi="Times New Roman"/>
          <w:sz w:val="24"/>
        </w:rPr>
        <w:footnoteReference w:id="31"/>
      </w:r>
      <w:r w:rsidR="00552DB9" w:rsidRPr="00C86A14">
        <w:rPr>
          <w:rFonts w:ascii="Times New Roman" w:hAnsi="Times New Roman"/>
        </w:rPr>
        <w:t xml:space="preserve"> and "legal services" being </w:t>
      </w:r>
      <w:r w:rsidR="0055205B" w:rsidRPr="00C86A14">
        <w:rPr>
          <w:rFonts w:ascii="Times New Roman" w:hAnsi="Times New Roman"/>
        </w:rPr>
        <w:t>"work done, or business transacted, in the ordinary course of legal practice"</w:t>
      </w:r>
      <w:r w:rsidR="00A40D93" w:rsidRPr="00C86A14">
        <w:rPr>
          <w:rStyle w:val="FootnoteReference"/>
          <w:rFonts w:ascii="Times New Roman" w:hAnsi="Times New Roman"/>
          <w:sz w:val="24"/>
        </w:rPr>
        <w:footnoteReference w:id="32"/>
      </w:r>
      <w:r w:rsidR="0055205B" w:rsidRPr="00C86A14">
        <w:rPr>
          <w:rFonts w:ascii="Times New Roman" w:hAnsi="Times New Roman"/>
        </w:rPr>
        <w:t>)</w:t>
      </w:r>
      <w:r w:rsidR="00A40D93" w:rsidRPr="00C86A14">
        <w:rPr>
          <w:rFonts w:ascii="Times New Roman" w:hAnsi="Times New Roman"/>
        </w:rPr>
        <w:t xml:space="preserve">. </w:t>
      </w:r>
      <w:r w:rsidR="000F3B20" w:rsidRPr="00C86A14">
        <w:rPr>
          <w:rFonts w:ascii="Times New Roman" w:hAnsi="Times New Roman"/>
        </w:rPr>
        <w:t>Whether the amount (being not greater than 30% of the settlement or judgment sum) which the applicants would seek</w:t>
      </w:r>
      <w:r w:rsidR="00AF4029" w:rsidRPr="00C86A14">
        <w:rPr>
          <w:rFonts w:ascii="Times New Roman" w:hAnsi="Times New Roman"/>
        </w:rPr>
        <w:t xml:space="preserve"> </w:t>
      </w:r>
      <w:r w:rsidR="00162C1E" w:rsidRPr="00C86A14">
        <w:rPr>
          <w:rFonts w:ascii="Times New Roman" w:hAnsi="Times New Roman"/>
        </w:rPr>
        <w:t xml:space="preserve">to </w:t>
      </w:r>
      <w:r w:rsidR="00785823" w:rsidRPr="00C86A14">
        <w:rPr>
          <w:rFonts w:ascii="Times New Roman" w:hAnsi="Times New Roman"/>
        </w:rPr>
        <w:t>become payable</w:t>
      </w:r>
      <w:r w:rsidR="00162C1E" w:rsidRPr="00C86A14">
        <w:rPr>
          <w:rFonts w:ascii="Times New Roman" w:hAnsi="Times New Roman"/>
        </w:rPr>
        <w:t xml:space="preserve"> to the solicitors </w:t>
      </w:r>
      <w:r w:rsidR="00AF4029" w:rsidRPr="00C86A14">
        <w:rPr>
          <w:rFonts w:ascii="Times New Roman" w:hAnsi="Times New Roman"/>
        </w:rPr>
        <w:t xml:space="preserve">by </w:t>
      </w:r>
      <w:r w:rsidR="00785823" w:rsidRPr="00C86A14">
        <w:rPr>
          <w:rFonts w:ascii="Times New Roman" w:hAnsi="Times New Roman"/>
        </w:rPr>
        <w:t>force</w:t>
      </w:r>
      <w:r w:rsidR="00AF4029" w:rsidRPr="00C86A14">
        <w:rPr>
          <w:rFonts w:ascii="Times New Roman" w:hAnsi="Times New Roman"/>
        </w:rPr>
        <w:t xml:space="preserve"> of a solicitor's CFO </w:t>
      </w:r>
      <w:r w:rsidR="00162C1E" w:rsidRPr="00C86A14">
        <w:rPr>
          <w:rFonts w:ascii="Times New Roman" w:hAnsi="Times New Roman"/>
        </w:rPr>
        <w:t xml:space="preserve">to be made </w:t>
      </w:r>
      <w:r w:rsidR="00AF4029" w:rsidRPr="00C86A14">
        <w:rPr>
          <w:rFonts w:ascii="Times New Roman" w:hAnsi="Times New Roman"/>
        </w:rPr>
        <w:t>under s</w:t>
      </w:r>
      <w:r w:rsidR="00942B5B" w:rsidRPr="00C86A14">
        <w:rPr>
          <w:rFonts w:ascii="Times New Roman" w:hAnsi="Times New Roman"/>
        </w:rPr>
        <w:t> </w:t>
      </w:r>
      <w:r w:rsidR="00AF4029" w:rsidRPr="00C86A14">
        <w:rPr>
          <w:rFonts w:ascii="Times New Roman" w:hAnsi="Times New Roman"/>
        </w:rPr>
        <w:t>33V(2) or s</w:t>
      </w:r>
      <w:r w:rsidR="00942B5B" w:rsidRPr="00C86A14">
        <w:rPr>
          <w:rFonts w:ascii="Times New Roman" w:hAnsi="Times New Roman"/>
        </w:rPr>
        <w:t> </w:t>
      </w:r>
      <w:r w:rsidR="00AF4029" w:rsidRPr="00C86A14">
        <w:rPr>
          <w:rFonts w:ascii="Times New Roman" w:hAnsi="Times New Roman"/>
        </w:rPr>
        <w:t>33Z(1)(g) of the FCA on</w:t>
      </w:r>
      <w:r w:rsidR="00E1108A" w:rsidRPr="00C86A14">
        <w:rPr>
          <w:rFonts w:ascii="Times New Roman" w:hAnsi="Times New Roman"/>
        </w:rPr>
        <w:t xml:space="preserve"> application to the </w:t>
      </w:r>
      <w:r w:rsidR="000F3B20" w:rsidRPr="00C86A14">
        <w:rPr>
          <w:rFonts w:ascii="Times New Roman" w:hAnsi="Times New Roman"/>
        </w:rPr>
        <w:t xml:space="preserve">Federal Court </w:t>
      </w:r>
      <w:r w:rsidR="00E1108A" w:rsidRPr="00C86A14">
        <w:rPr>
          <w:rFonts w:ascii="Times New Roman" w:hAnsi="Times New Roman"/>
        </w:rPr>
        <w:lastRenderedPageBreak/>
        <w:t xml:space="preserve">in accordance </w:t>
      </w:r>
      <w:r w:rsidR="00C521D2" w:rsidRPr="00C86A14">
        <w:rPr>
          <w:rFonts w:ascii="Times New Roman" w:hAnsi="Times New Roman"/>
        </w:rPr>
        <w:t xml:space="preserve">with the </w:t>
      </w:r>
      <w:r w:rsidR="00871454" w:rsidRPr="00C86A14">
        <w:rPr>
          <w:rFonts w:ascii="Times New Roman" w:hAnsi="Times New Roman"/>
        </w:rPr>
        <w:t>retainer as proposed to be amended would itself meet the description "legal costs"</w:t>
      </w:r>
      <w:r w:rsidR="003571DE" w:rsidRPr="00C86A14">
        <w:rPr>
          <w:rFonts w:ascii="Times New Roman" w:hAnsi="Times New Roman"/>
        </w:rPr>
        <w:t xml:space="preserve"> need not be determined. </w:t>
      </w:r>
      <w:r w:rsidR="004E6C55" w:rsidRPr="00C86A14">
        <w:rPr>
          <w:rFonts w:ascii="Times New Roman" w:hAnsi="Times New Roman"/>
        </w:rPr>
        <w:t xml:space="preserve">Either way, </w:t>
      </w:r>
      <w:r w:rsidR="00CD295A" w:rsidRPr="00C86A14">
        <w:rPr>
          <w:rFonts w:ascii="Times New Roman" w:hAnsi="Times New Roman"/>
        </w:rPr>
        <w:t xml:space="preserve">the amount would answer the description in </w:t>
      </w:r>
      <w:r w:rsidR="006D6C64" w:rsidRPr="00C86A14">
        <w:rPr>
          <w:rFonts w:ascii="Times New Roman" w:hAnsi="Times New Roman"/>
        </w:rPr>
        <w:t>s</w:t>
      </w:r>
      <w:r w:rsidR="00942B5B" w:rsidRPr="00C86A14">
        <w:rPr>
          <w:rFonts w:ascii="Times New Roman" w:hAnsi="Times New Roman"/>
        </w:rPr>
        <w:t> </w:t>
      </w:r>
      <w:r w:rsidR="006D6C64" w:rsidRPr="00C86A14">
        <w:rPr>
          <w:rFonts w:ascii="Times New Roman" w:hAnsi="Times New Roman"/>
        </w:rPr>
        <w:t>183 of the Legal Profession Uniform Law of an</w:t>
      </w:r>
      <w:r w:rsidR="00CD295A" w:rsidRPr="00C86A14">
        <w:rPr>
          <w:rFonts w:ascii="Times New Roman" w:hAnsi="Times New Roman"/>
        </w:rPr>
        <w:t xml:space="preserve"> </w:t>
      </w:r>
      <w:r w:rsidR="006D6C64" w:rsidRPr="00C86A14">
        <w:rPr>
          <w:rFonts w:ascii="Times New Roman" w:hAnsi="Times New Roman"/>
        </w:rPr>
        <w:t>"</w:t>
      </w:r>
      <w:r w:rsidR="001473F8" w:rsidRPr="00C86A14">
        <w:rPr>
          <w:rFonts w:ascii="Times New Roman" w:hAnsi="Times New Roman"/>
        </w:rPr>
        <w:t>amount</w:t>
      </w:r>
      <w:r w:rsidR="006D6C64" w:rsidRPr="00C86A14">
        <w:rPr>
          <w:rFonts w:ascii="Times New Roman" w:hAnsi="Times New Roman"/>
        </w:rPr>
        <w:t xml:space="preserve">" or "part of </w:t>
      </w:r>
      <w:r w:rsidR="00B55A57" w:rsidRPr="00C86A14">
        <w:rPr>
          <w:rFonts w:ascii="Times New Roman" w:hAnsi="Times New Roman"/>
        </w:rPr>
        <w:t>[</w:t>
      </w:r>
      <w:r w:rsidR="006D6C64" w:rsidRPr="00C86A14">
        <w:rPr>
          <w:rFonts w:ascii="Times New Roman" w:hAnsi="Times New Roman"/>
        </w:rPr>
        <w:t>an</w:t>
      </w:r>
      <w:r w:rsidR="00B55A57" w:rsidRPr="00C86A14">
        <w:rPr>
          <w:rFonts w:ascii="Times New Roman" w:hAnsi="Times New Roman"/>
        </w:rPr>
        <w:t>]</w:t>
      </w:r>
      <w:r w:rsidR="006D6C64" w:rsidRPr="00C86A14">
        <w:rPr>
          <w:rFonts w:ascii="Times New Roman" w:hAnsi="Times New Roman"/>
        </w:rPr>
        <w:t xml:space="preserve"> amount"</w:t>
      </w:r>
      <w:r w:rsidR="001473F8" w:rsidRPr="00C86A14">
        <w:rPr>
          <w:rFonts w:ascii="Times New Roman" w:hAnsi="Times New Roman"/>
        </w:rPr>
        <w:t xml:space="preserve"> </w:t>
      </w:r>
      <w:r w:rsidR="006D6C64" w:rsidRPr="00C86A14">
        <w:rPr>
          <w:rFonts w:ascii="Times New Roman" w:hAnsi="Times New Roman"/>
        </w:rPr>
        <w:t>that would be "</w:t>
      </w:r>
      <w:r w:rsidR="001473F8" w:rsidRPr="00C86A14">
        <w:rPr>
          <w:rFonts w:ascii="Times New Roman" w:hAnsi="Times New Roman"/>
        </w:rPr>
        <w:t>payable to the law practice</w:t>
      </w:r>
      <w:r w:rsidR="006D6C64" w:rsidRPr="00C86A14">
        <w:rPr>
          <w:rFonts w:ascii="Times New Roman" w:hAnsi="Times New Roman"/>
        </w:rPr>
        <w:t>" and that would be</w:t>
      </w:r>
      <w:r w:rsidR="001473F8" w:rsidRPr="00C86A14">
        <w:rPr>
          <w:rFonts w:ascii="Times New Roman" w:hAnsi="Times New Roman"/>
        </w:rPr>
        <w:t xml:space="preserve"> </w:t>
      </w:r>
      <w:r w:rsidR="006D6C64" w:rsidRPr="00C86A14">
        <w:rPr>
          <w:rFonts w:ascii="Times New Roman" w:hAnsi="Times New Roman"/>
        </w:rPr>
        <w:t>"</w:t>
      </w:r>
      <w:r w:rsidR="001473F8" w:rsidRPr="00C86A14">
        <w:rPr>
          <w:rFonts w:ascii="Times New Roman" w:hAnsi="Times New Roman"/>
        </w:rPr>
        <w:t xml:space="preserve">calculated by reference to the amount of any award or settlement </w:t>
      </w:r>
      <w:r w:rsidR="00EC52CD" w:rsidRPr="00C86A14">
        <w:rPr>
          <w:rFonts w:ascii="Times New Roman" w:hAnsi="Times New Roman"/>
        </w:rPr>
        <w:t>...</w:t>
      </w:r>
      <w:r w:rsidR="001473F8" w:rsidRPr="00C86A14">
        <w:rPr>
          <w:rFonts w:ascii="Times New Roman" w:hAnsi="Times New Roman"/>
        </w:rPr>
        <w:t xml:space="preserve"> that may be recovered in any proceedings to which the agreement relates".</w:t>
      </w:r>
    </w:p>
    <w:p w14:paraId="294EAAF1" w14:textId="165A1118" w:rsidR="00D3277E" w:rsidRPr="00C86A14" w:rsidRDefault="004E6C55" w:rsidP="00C86A14">
      <w:pPr>
        <w:pStyle w:val="FixListStyle"/>
        <w:spacing w:after="260" w:line="280" w:lineRule="exact"/>
        <w:ind w:right="0"/>
        <w:jc w:val="both"/>
        <w:rPr>
          <w:rFonts w:ascii="Times New Roman" w:hAnsi="Times New Roman"/>
        </w:rPr>
      </w:pPr>
      <w:r w:rsidRPr="00C86A14">
        <w:rPr>
          <w:rFonts w:ascii="Times New Roman" w:hAnsi="Times New Roman"/>
        </w:rPr>
        <w:tab/>
        <w:t xml:space="preserve">The </w:t>
      </w:r>
      <w:r w:rsidR="00EC7ADA" w:rsidRPr="00C86A14">
        <w:rPr>
          <w:rFonts w:ascii="Times New Roman" w:hAnsi="Times New Roman"/>
        </w:rPr>
        <w:t>issue on which the application of the prohibition in s</w:t>
      </w:r>
      <w:r w:rsidR="00942B5B" w:rsidRPr="00C86A14">
        <w:rPr>
          <w:rFonts w:ascii="Times New Roman" w:hAnsi="Times New Roman"/>
        </w:rPr>
        <w:t> </w:t>
      </w:r>
      <w:r w:rsidR="00EC7ADA" w:rsidRPr="00C86A14">
        <w:rPr>
          <w:rFonts w:ascii="Times New Roman" w:hAnsi="Times New Roman"/>
        </w:rPr>
        <w:t xml:space="preserve">183 of the Legal Profession Uniform Law turns </w:t>
      </w:r>
      <w:r w:rsidR="000B309F" w:rsidRPr="00C86A14">
        <w:rPr>
          <w:rFonts w:ascii="Times New Roman" w:hAnsi="Times New Roman"/>
        </w:rPr>
        <w:t xml:space="preserve">is whether such an amount </w:t>
      </w:r>
      <w:r w:rsidR="00092A60" w:rsidRPr="00C86A14">
        <w:rPr>
          <w:rFonts w:ascii="Times New Roman" w:hAnsi="Times New Roman"/>
        </w:rPr>
        <w:t xml:space="preserve">would be payable "under" </w:t>
      </w:r>
      <w:r w:rsidR="005B54E7" w:rsidRPr="00C86A14">
        <w:rPr>
          <w:rFonts w:ascii="Times New Roman" w:hAnsi="Times New Roman"/>
        </w:rPr>
        <w:t xml:space="preserve">the </w:t>
      </w:r>
      <w:r w:rsidR="00545F23" w:rsidRPr="00C86A14">
        <w:rPr>
          <w:rFonts w:ascii="Times New Roman" w:hAnsi="Times New Roman"/>
        </w:rPr>
        <w:t xml:space="preserve">costs agreement </w:t>
      </w:r>
      <w:r w:rsidR="000A574A" w:rsidRPr="00C86A14">
        <w:rPr>
          <w:rFonts w:ascii="Times New Roman" w:hAnsi="Times New Roman"/>
        </w:rPr>
        <w:t>i</w:t>
      </w:r>
      <w:r w:rsidR="00694392" w:rsidRPr="00C86A14">
        <w:rPr>
          <w:rFonts w:ascii="Times New Roman" w:hAnsi="Times New Roman"/>
        </w:rPr>
        <w:t>f</w:t>
      </w:r>
      <w:r w:rsidR="000A574A" w:rsidRPr="00C86A14">
        <w:rPr>
          <w:rFonts w:ascii="Times New Roman" w:hAnsi="Times New Roman"/>
        </w:rPr>
        <w:t xml:space="preserve"> the solicitor's CFO to be applied for </w:t>
      </w:r>
      <w:r w:rsidR="000F72B8" w:rsidRPr="00C86A14">
        <w:rPr>
          <w:rFonts w:ascii="Times New Roman" w:hAnsi="Times New Roman"/>
        </w:rPr>
        <w:t xml:space="preserve">by the applicants </w:t>
      </w:r>
      <w:r w:rsidR="000A574A" w:rsidRPr="00C86A14">
        <w:rPr>
          <w:rFonts w:ascii="Times New Roman" w:hAnsi="Times New Roman"/>
        </w:rPr>
        <w:t xml:space="preserve">were to be made </w:t>
      </w:r>
      <w:r w:rsidR="000F72B8" w:rsidRPr="00C86A14">
        <w:rPr>
          <w:rFonts w:ascii="Times New Roman" w:hAnsi="Times New Roman"/>
        </w:rPr>
        <w:t xml:space="preserve">by the Federal Court </w:t>
      </w:r>
      <w:r w:rsidR="000A574A" w:rsidRPr="00C86A14">
        <w:rPr>
          <w:rFonts w:ascii="Times New Roman" w:hAnsi="Times New Roman"/>
        </w:rPr>
        <w:t>under s</w:t>
      </w:r>
      <w:r w:rsidR="00942B5B" w:rsidRPr="00C86A14">
        <w:rPr>
          <w:rFonts w:ascii="Times New Roman" w:hAnsi="Times New Roman"/>
        </w:rPr>
        <w:t> </w:t>
      </w:r>
      <w:r w:rsidR="000A574A" w:rsidRPr="00C86A14">
        <w:rPr>
          <w:rFonts w:ascii="Times New Roman" w:hAnsi="Times New Roman"/>
        </w:rPr>
        <w:t>33</w:t>
      </w:r>
      <w:proofErr w:type="gramStart"/>
      <w:r w:rsidR="000A574A" w:rsidRPr="00C86A14">
        <w:rPr>
          <w:rFonts w:ascii="Times New Roman" w:hAnsi="Times New Roman"/>
        </w:rPr>
        <w:t>V(</w:t>
      </w:r>
      <w:proofErr w:type="gramEnd"/>
      <w:r w:rsidR="000A574A" w:rsidRPr="00C86A14">
        <w:rPr>
          <w:rFonts w:ascii="Times New Roman" w:hAnsi="Times New Roman"/>
        </w:rPr>
        <w:t>2) or s</w:t>
      </w:r>
      <w:r w:rsidR="00942B5B" w:rsidRPr="00C86A14">
        <w:rPr>
          <w:rFonts w:ascii="Times New Roman" w:hAnsi="Times New Roman"/>
        </w:rPr>
        <w:t> </w:t>
      </w:r>
      <w:r w:rsidR="000A574A" w:rsidRPr="00C86A14">
        <w:rPr>
          <w:rFonts w:ascii="Times New Roman" w:hAnsi="Times New Roman"/>
        </w:rPr>
        <w:t>33Z(1)(g) of the FCA</w:t>
      </w:r>
      <w:r w:rsidR="000F72B8" w:rsidRPr="00C86A14">
        <w:rPr>
          <w:rFonts w:ascii="Times New Roman" w:hAnsi="Times New Roman"/>
        </w:rPr>
        <w:t xml:space="preserve">. </w:t>
      </w:r>
      <w:r w:rsidR="00585118" w:rsidRPr="00C86A14">
        <w:rPr>
          <w:rFonts w:ascii="Times New Roman" w:hAnsi="Times New Roman"/>
        </w:rPr>
        <w:t>In my opinion,</w:t>
      </w:r>
      <w:r w:rsidR="009E77ED" w:rsidRPr="00C86A14">
        <w:rPr>
          <w:rFonts w:ascii="Times New Roman" w:hAnsi="Times New Roman"/>
        </w:rPr>
        <w:t xml:space="preserve"> it would. </w:t>
      </w:r>
    </w:p>
    <w:p w14:paraId="0DEA1FA7" w14:textId="2FBAF047" w:rsidR="002055F1" w:rsidRPr="00C86A14" w:rsidRDefault="002055F1" w:rsidP="00C86A14">
      <w:pPr>
        <w:pStyle w:val="FixListStyle"/>
        <w:spacing w:after="260" w:line="280" w:lineRule="exact"/>
        <w:ind w:right="0"/>
        <w:jc w:val="both"/>
        <w:rPr>
          <w:rFonts w:ascii="Times New Roman" w:hAnsi="Times New Roman"/>
        </w:rPr>
      </w:pPr>
      <w:r w:rsidRPr="00C86A14">
        <w:rPr>
          <w:rFonts w:ascii="Times New Roman" w:hAnsi="Times New Roman"/>
        </w:rPr>
        <w:tab/>
        <w:t xml:space="preserve">The </w:t>
      </w:r>
      <w:r w:rsidR="00207550" w:rsidRPr="00C86A14">
        <w:rPr>
          <w:rFonts w:ascii="Times New Roman" w:hAnsi="Times New Roman"/>
        </w:rPr>
        <w:t xml:space="preserve">crux of the </w:t>
      </w:r>
      <w:r w:rsidRPr="00C86A14">
        <w:rPr>
          <w:rFonts w:ascii="Times New Roman" w:hAnsi="Times New Roman"/>
        </w:rPr>
        <w:t>Full Court</w:t>
      </w:r>
      <w:r w:rsidR="00207550" w:rsidRPr="00C86A14">
        <w:rPr>
          <w:rFonts w:ascii="Times New Roman" w:hAnsi="Times New Roman"/>
        </w:rPr>
        <w:t xml:space="preserve">'s reasoning </w:t>
      </w:r>
      <w:r w:rsidR="00AB2032" w:rsidRPr="00C86A14">
        <w:rPr>
          <w:rFonts w:ascii="Times New Roman" w:hAnsi="Times New Roman"/>
        </w:rPr>
        <w:t>to the contrary</w:t>
      </w:r>
      <w:r w:rsidR="0067275B" w:rsidRPr="00C86A14">
        <w:rPr>
          <w:rFonts w:ascii="Times New Roman" w:hAnsi="Times New Roman"/>
        </w:rPr>
        <w:t xml:space="preserve"> conclusion</w:t>
      </w:r>
      <w:r w:rsidR="00207550" w:rsidRPr="00C86A14">
        <w:rPr>
          <w:rFonts w:ascii="Times New Roman" w:hAnsi="Times New Roman"/>
        </w:rPr>
        <w:t xml:space="preserve"> </w:t>
      </w:r>
      <w:r w:rsidR="002975C0" w:rsidRPr="00C86A14">
        <w:rPr>
          <w:rFonts w:ascii="Times New Roman" w:hAnsi="Times New Roman"/>
        </w:rPr>
        <w:t xml:space="preserve">is contained in the observation it made in relation to </w:t>
      </w:r>
      <w:r w:rsidR="00C521D2" w:rsidRPr="00C86A14">
        <w:rPr>
          <w:rFonts w:ascii="Times New Roman" w:hAnsi="Times New Roman"/>
        </w:rPr>
        <w:t xml:space="preserve">the retainer as proposed to be amended that "[t]here </w:t>
      </w:r>
      <w:r w:rsidR="009D5E36" w:rsidRPr="00C86A14">
        <w:rPr>
          <w:rFonts w:ascii="Times New Roman" w:hAnsi="Times New Roman"/>
        </w:rPr>
        <w:t xml:space="preserve">is no promise to pay any amount; </w:t>
      </w:r>
      <w:r w:rsidR="00B07D55" w:rsidRPr="00C86A14">
        <w:rPr>
          <w:rFonts w:ascii="Times New Roman" w:hAnsi="Times New Roman"/>
        </w:rPr>
        <w:t>a</w:t>
      </w:r>
      <w:r w:rsidR="009D5E36" w:rsidRPr="00C86A14">
        <w:rPr>
          <w:rFonts w:ascii="Times New Roman" w:hAnsi="Times New Roman"/>
        </w:rPr>
        <w:t xml:space="preserve"> promise </w:t>
      </w:r>
      <w:r w:rsidR="009D5E36" w:rsidRPr="00C86A14">
        <w:rPr>
          <w:rFonts w:ascii="Times New Roman" w:hAnsi="Times New Roman"/>
          <w:i/>
          <w:iCs/>
        </w:rPr>
        <w:t>to make an application</w:t>
      </w:r>
      <w:r w:rsidR="009D5E36" w:rsidRPr="00C86A14">
        <w:rPr>
          <w:rFonts w:ascii="Times New Roman" w:hAnsi="Times New Roman"/>
        </w:rPr>
        <w:t xml:space="preserve"> for an order directing approved remuneration on a particular basis is a quite distinct notion".</w:t>
      </w:r>
      <w:r w:rsidR="009D5E36" w:rsidRPr="00C86A14">
        <w:rPr>
          <w:rStyle w:val="FootnoteReference"/>
          <w:rFonts w:ascii="Times New Roman" w:hAnsi="Times New Roman"/>
          <w:sz w:val="24"/>
        </w:rPr>
        <w:footnoteReference w:id="33"/>
      </w:r>
      <w:r w:rsidR="009D5E36" w:rsidRPr="00C86A14">
        <w:rPr>
          <w:rFonts w:ascii="Times New Roman" w:hAnsi="Times New Roman"/>
        </w:rPr>
        <w:t xml:space="preserve"> I accept the distinction drawn</w:t>
      </w:r>
      <w:r w:rsidR="000977CB" w:rsidRPr="00C86A14">
        <w:rPr>
          <w:rFonts w:ascii="Times New Roman" w:hAnsi="Times New Roman"/>
        </w:rPr>
        <w:t>. But I cannot regard the distinction as determinative.</w:t>
      </w:r>
    </w:p>
    <w:p w14:paraId="63B1D6CF" w14:textId="778D29DE" w:rsidR="00C16A0E" w:rsidRPr="00C86A14" w:rsidRDefault="00D3277E"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DF427B" w:rsidRPr="00C86A14">
        <w:rPr>
          <w:rFonts w:ascii="Times New Roman" w:hAnsi="Times New Roman"/>
        </w:rPr>
        <w:t xml:space="preserve">Like most prepositions, the </w:t>
      </w:r>
      <w:r w:rsidRPr="00C86A14">
        <w:rPr>
          <w:rFonts w:ascii="Times New Roman" w:hAnsi="Times New Roman"/>
        </w:rPr>
        <w:t>word "under"</w:t>
      </w:r>
      <w:r w:rsidR="00DF427B" w:rsidRPr="00C86A14">
        <w:rPr>
          <w:rFonts w:ascii="Times New Roman" w:hAnsi="Times New Roman"/>
        </w:rPr>
        <w:t xml:space="preserve"> </w:t>
      </w:r>
      <w:r w:rsidR="00CC7A19" w:rsidRPr="00C86A14">
        <w:rPr>
          <w:rFonts w:ascii="Times New Roman" w:hAnsi="Times New Roman"/>
        </w:rPr>
        <w:t>is</w:t>
      </w:r>
      <w:r w:rsidR="00756247" w:rsidRPr="00C86A14">
        <w:rPr>
          <w:rFonts w:ascii="Times New Roman" w:hAnsi="Times New Roman"/>
        </w:rPr>
        <w:t xml:space="preserve"> </w:t>
      </w:r>
      <w:r w:rsidR="008D5068" w:rsidRPr="00C86A14">
        <w:rPr>
          <w:rFonts w:ascii="Times New Roman" w:hAnsi="Times New Roman"/>
        </w:rPr>
        <w:t>mutable</w:t>
      </w:r>
      <w:r w:rsidR="00E2039A" w:rsidRPr="00C86A14">
        <w:rPr>
          <w:rFonts w:ascii="Times New Roman" w:hAnsi="Times New Roman"/>
        </w:rPr>
        <w:t xml:space="preserve"> and </w:t>
      </w:r>
      <w:r w:rsidR="002055F1" w:rsidRPr="00C86A14">
        <w:rPr>
          <w:rFonts w:ascii="Times New Roman" w:hAnsi="Times New Roman"/>
        </w:rPr>
        <w:t>must</w:t>
      </w:r>
      <w:r w:rsidR="00E2039A" w:rsidRPr="00C86A14">
        <w:rPr>
          <w:rFonts w:ascii="Times New Roman" w:hAnsi="Times New Roman"/>
        </w:rPr>
        <w:t xml:space="preserve"> be contextually and p</w:t>
      </w:r>
      <w:r w:rsidR="001F1628" w:rsidRPr="00C86A14">
        <w:rPr>
          <w:rFonts w:ascii="Times New Roman" w:hAnsi="Times New Roman"/>
        </w:rPr>
        <w:t>urposively construed</w:t>
      </w:r>
      <w:r w:rsidR="00756247" w:rsidRPr="00C86A14">
        <w:rPr>
          <w:rFonts w:ascii="Times New Roman" w:hAnsi="Times New Roman"/>
        </w:rPr>
        <w:t xml:space="preserve">. </w:t>
      </w:r>
      <w:r w:rsidR="007534BB" w:rsidRPr="00C86A14">
        <w:rPr>
          <w:rFonts w:ascii="Times New Roman" w:hAnsi="Times New Roman"/>
        </w:rPr>
        <w:t>I</w:t>
      </w:r>
      <w:r w:rsidR="00523B38" w:rsidRPr="00C86A14">
        <w:rPr>
          <w:rFonts w:ascii="Times New Roman" w:hAnsi="Times New Roman"/>
        </w:rPr>
        <w:t>n the context of s</w:t>
      </w:r>
      <w:r w:rsidR="00942B5B" w:rsidRPr="00C86A14">
        <w:rPr>
          <w:rFonts w:ascii="Times New Roman" w:hAnsi="Times New Roman"/>
        </w:rPr>
        <w:t> </w:t>
      </w:r>
      <w:r w:rsidR="00523B38" w:rsidRPr="00C86A14">
        <w:rPr>
          <w:rFonts w:ascii="Times New Roman" w:hAnsi="Times New Roman"/>
        </w:rPr>
        <w:t xml:space="preserve">183 of the Legal Profession </w:t>
      </w:r>
      <w:r w:rsidR="00AE4E7A" w:rsidRPr="00C86A14">
        <w:rPr>
          <w:rFonts w:ascii="Times New Roman" w:hAnsi="Times New Roman"/>
        </w:rPr>
        <w:t>Uniform Law</w:t>
      </w:r>
      <w:r w:rsidR="001F1628" w:rsidRPr="00C86A14">
        <w:rPr>
          <w:rFonts w:ascii="Times New Roman" w:hAnsi="Times New Roman"/>
        </w:rPr>
        <w:t>,</w:t>
      </w:r>
      <w:r w:rsidR="00523B38" w:rsidRPr="00C86A14">
        <w:rPr>
          <w:rFonts w:ascii="Times New Roman" w:hAnsi="Times New Roman"/>
        </w:rPr>
        <w:t xml:space="preserve"> </w:t>
      </w:r>
      <w:r w:rsidR="00DA5C47" w:rsidRPr="00C86A14">
        <w:rPr>
          <w:rFonts w:ascii="Times New Roman" w:hAnsi="Times New Roman"/>
        </w:rPr>
        <w:t>the word</w:t>
      </w:r>
      <w:r w:rsidR="001345F3" w:rsidRPr="00C86A14">
        <w:rPr>
          <w:rFonts w:ascii="Times New Roman" w:hAnsi="Times New Roman"/>
        </w:rPr>
        <w:t xml:space="preserve"> </w:t>
      </w:r>
      <w:r w:rsidR="00052A31" w:rsidRPr="00C86A14">
        <w:rPr>
          <w:rFonts w:ascii="Times New Roman" w:hAnsi="Times New Roman"/>
        </w:rPr>
        <w:t xml:space="preserve">connotes a </w:t>
      </w:r>
      <w:r w:rsidR="00AE694A" w:rsidRPr="00C86A14">
        <w:rPr>
          <w:rFonts w:ascii="Times New Roman" w:hAnsi="Times New Roman"/>
        </w:rPr>
        <w:t>relationship</w:t>
      </w:r>
      <w:r w:rsidR="00052A31" w:rsidRPr="00C86A14">
        <w:rPr>
          <w:rFonts w:ascii="Times New Roman" w:hAnsi="Times New Roman"/>
        </w:rPr>
        <w:t xml:space="preserve"> between the </w:t>
      </w:r>
      <w:r w:rsidR="00D96490" w:rsidRPr="00C86A14">
        <w:rPr>
          <w:rFonts w:ascii="Times New Roman" w:hAnsi="Times New Roman"/>
        </w:rPr>
        <w:t xml:space="preserve">costs agreement </w:t>
      </w:r>
      <w:r w:rsidR="00094E98" w:rsidRPr="00C86A14">
        <w:rPr>
          <w:rFonts w:ascii="Times New Roman" w:hAnsi="Times New Roman"/>
        </w:rPr>
        <w:t xml:space="preserve">and the amount </w:t>
      </w:r>
      <w:r w:rsidR="00CC7A19" w:rsidRPr="00C86A14">
        <w:rPr>
          <w:rFonts w:ascii="Times New Roman" w:hAnsi="Times New Roman"/>
        </w:rPr>
        <w:t xml:space="preserve">that is </w:t>
      </w:r>
      <w:r w:rsidR="00094E98" w:rsidRPr="00C86A14">
        <w:rPr>
          <w:rFonts w:ascii="Times New Roman" w:hAnsi="Times New Roman"/>
        </w:rPr>
        <w:t>payable to the law practice</w:t>
      </w:r>
      <w:r w:rsidR="001345F3" w:rsidRPr="00C86A14">
        <w:rPr>
          <w:rFonts w:ascii="Times New Roman" w:hAnsi="Times New Roman"/>
        </w:rPr>
        <w:t>.</w:t>
      </w:r>
      <w:r w:rsidR="00F641EF" w:rsidRPr="00C86A14">
        <w:rPr>
          <w:rFonts w:ascii="Times New Roman" w:hAnsi="Times New Roman"/>
        </w:rPr>
        <w:t xml:space="preserve"> </w:t>
      </w:r>
      <w:r w:rsidR="00424244" w:rsidRPr="00C86A14">
        <w:rPr>
          <w:rFonts w:ascii="Times New Roman" w:hAnsi="Times New Roman"/>
        </w:rPr>
        <w:t>N</w:t>
      </w:r>
      <w:r w:rsidR="00A256C9" w:rsidRPr="00C86A14">
        <w:rPr>
          <w:rFonts w:ascii="Times New Roman" w:hAnsi="Times New Roman"/>
        </w:rPr>
        <w:t xml:space="preserve">othing in the context </w:t>
      </w:r>
      <w:r w:rsidR="00C16A0E" w:rsidRPr="00C86A14">
        <w:rPr>
          <w:rFonts w:ascii="Times New Roman" w:hAnsi="Times New Roman"/>
        </w:rPr>
        <w:t>indicate</w:t>
      </w:r>
      <w:r w:rsidR="00424244" w:rsidRPr="00C86A14">
        <w:rPr>
          <w:rFonts w:ascii="Times New Roman" w:hAnsi="Times New Roman"/>
        </w:rPr>
        <w:t>s</w:t>
      </w:r>
      <w:r w:rsidR="00C16A0E" w:rsidRPr="00C86A14">
        <w:rPr>
          <w:rFonts w:ascii="Times New Roman" w:hAnsi="Times New Roman"/>
        </w:rPr>
        <w:t xml:space="preserve"> that </w:t>
      </w:r>
      <w:r w:rsidR="001345F3" w:rsidRPr="00C86A14">
        <w:rPr>
          <w:rFonts w:ascii="Times New Roman" w:hAnsi="Times New Roman"/>
        </w:rPr>
        <w:t>the</w:t>
      </w:r>
      <w:r w:rsidR="00524FD1" w:rsidRPr="00C86A14">
        <w:rPr>
          <w:rFonts w:ascii="Times New Roman" w:hAnsi="Times New Roman"/>
        </w:rPr>
        <w:t xml:space="preserve"> </w:t>
      </w:r>
      <w:r w:rsidR="001345F3" w:rsidRPr="00C86A14">
        <w:rPr>
          <w:rFonts w:ascii="Times New Roman" w:hAnsi="Times New Roman"/>
        </w:rPr>
        <w:t>relationship</w:t>
      </w:r>
      <w:r w:rsidR="00AE694A" w:rsidRPr="00C86A14">
        <w:rPr>
          <w:rFonts w:ascii="Times New Roman" w:hAnsi="Times New Roman"/>
        </w:rPr>
        <w:t xml:space="preserve"> </w:t>
      </w:r>
      <w:r w:rsidR="009177A1" w:rsidRPr="00C86A14">
        <w:rPr>
          <w:rFonts w:ascii="Times New Roman" w:hAnsi="Times New Roman"/>
        </w:rPr>
        <w:t>connoted</w:t>
      </w:r>
      <w:r w:rsidR="004B0D3F" w:rsidRPr="00C86A14">
        <w:rPr>
          <w:rFonts w:ascii="Times New Roman" w:hAnsi="Times New Roman"/>
        </w:rPr>
        <w:t xml:space="preserve"> is</w:t>
      </w:r>
      <w:r w:rsidR="00743F5F" w:rsidRPr="00C86A14">
        <w:rPr>
          <w:rFonts w:ascii="Times New Roman" w:hAnsi="Times New Roman"/>
        </w:rPr>
        <w:t xml:space="preserve"> </w:t>
      </w:r>
      <w:r w:rsidR="00AE694A" w:rsidRPr="00C86A14">
        <w:rPr>
          <w:rFonts w:ascii="Times New Roman" w:hAnsi="Times New Roman"/>
        </w:rPr>
        <w:t xml:space="preserve">confined </w:t>
      </w:r>
      <w:r w:rsidR="00524FD1" w:rsidRPr="00C86A14">
        <w:rPr>
          <w:rFonts w:ascii="Times New Roman" w:hAnsi="Times New Roman"/>
        </w:rPr>
        <w:t xml:space="preserve">to </w:t>
      </w:r>
      <w:r w:rsidR="00BC0A5C" w:rsidRPr="00C86A14">
        <w:rPr>
          <w:rFonts w:ascii="Times New Roman" w:hAnsi="Times New Roman"/>
        </w:rPr>
        <w:t xml:space="preserve">one </w:t>
      </w:r>
      <w:r w:rsidR="000323D7" w:rsidRPr="00C86A14">
        <w:rPr>
          <w:rFonts w:ascii="Times New Roman" w:hAnsi="Times New Roman"/>
        </w:rPr>
        <w:t>in which</w:t>
      </w:r>
      <w:r w:rsidR="004B0D3F" w:rsidRPr="00C86A14">
        <w:rPr>
          <w:rFonts w:ascii="Times New Roman" w:hAnsi="Times New Roman"/>
        </w:rPr>
        <w:t xml:space="preserve"> </w:t>
      </w:r>
      <w:r w:rsidR="00B66DFA" w:rsidRPr="00C86A14">
        <w:rPr>
          <w:rFonts w:ascii="Times New Roman" w:hAnsi="Times New Roman"/>
        </w:rPr>
        <w:t xml:space="preserve">the </w:t>
      </w:r>
      <w:r w:rsidR="004B0D3F" w:rsidRPr="00C86A14">
        <w:rPr>
          <w:rFonts w:ascii="Times New Roman" w:hAnsi="Times New Roman"/>
        </w:rPr>
        <w:t xml:space="preserve">obligation to pay the amount </w:t>
      </w:r>
      <w:r w:rsidR="006E0F75" w:rsidRPr="00C86A14">
        <w:rPr>
          <w:rFonts w:ascii="Times New Roman" w:hAnsi="Times New Roman"/>
        </w:rPr>
        <w:t>has</w:t>
      </w:r>
      <w:r w:rsidR="004B0D3F" w:rsidRPr="00C86A14">
        <w:rPr>
          <w:rFonts w:ascii="Times New Roman" w:hAnsi="Times New Roman"/>
        </w:rPr>
        <w:t xml:space="preserve"> </w:t>
      </w:r>
      <w:r w:rsidR="006E0F75" w:rsidRPr="00C86A14">
        <w:rPr>
          <w:rFonts w:ascii="Times New Roman" w:hAnsi="Times New Roman"/>
        </w:rPr>
        <w:t xml:space="preserve">its immediate source </w:t>
      </w:r>
      <w:r w:rsidR="004B0D3F" w:rsidRPr="00C86A14">
        <w:rPr>
          <w:rFonts w:ascii="Times New Roman" w:hAnsi="Times New Roman"/>
        </w:rPr>
        <w:t xml:space="preserve">in the </w:t>
      </w:r>
      <w:r w:rsidR="009177A1" w:rsidRPr="00C86A14">
        <w:rPr>
          <w:rFonts w:ascii="Times New Roman" w:hAnsi="Times New Roman"/>
        </w:rPr>
        <w:t xml:space="preserve">contractual force of the </w:t>
      </w:r>
      <w:proofErr w:type="gramStart"/>
      <w:r w:rsidR="001345F3" w:rsidRPr="00C86A14">
        <w:rPr>
          <w:rFonts w:ascii="Times New Roman" w:hAnsi="Times New Roman"/>
        </w:rPr>
        <w:t>costs</w:t>
      </w:r>
      <w:proofErr w:type="gramEnd"/>
      <w:r w:rsidR="001345F3" w:rsidRPr="00C86A14">
        <w:rPr>
          <w:rFonts w:ascii="Times New Roman" w:hAnsi="Times New Roman"/>
        </w:rPr>
        <w:t xml:space="preserve"> agreement. </w:t>
      </w:r>
      <w:r w:rsidR="00C64E98" w:rsidRPr="00C86A14">
        <w:rPr>
          <w:rFonts w:ascii="Times New Roman" w:hAnsi="Times New Roman"/>
        </w:rPr>
        <w:t>Significant in that respect is</w:t>
      </w:r>
      <w:r w:rsidR="003D7BAA" w:rsidRPr="00C86A14">
        <w:rPr>
          <w:rFonts w:ascii="Times New Roman" w:hAnsi="Times New Roman"/>
        </w:rPr>
        <w:t xml:space="preserve"> that s</w:t>
      </w:r>
      <w:r w:rsidR="00942B5B" w:rsidRPr="00C86A14">
        <w:rPr>
          <w:rFonts w:ascii="Times New Roman" w:hAnsi="Times New Roman"/>
        </w:rPr>
        <w:t> </w:t>
      </w:r>
      <w:r w:rsidR="003D7BAA" w:rsidRPr="00C86A14">
        <w:rPr>
          <w:rFonts w:ascii="Times New Roman" w:hAnsi="Times New Roman"/>
        </w:rPr>
        <w:t>183</w:t>
      </w:r>
      <w:r w:rsidR="00C81A6B" w:rsidRPr="00C86A14">
        <w:rPr>
          <w:rFonts w:ascii="Times New Roman" w:hAnsi="Times New Roman"/>
        </w:rPr>
        <w:t xml:space="preserve">, read </w:t>
      </w:r>
      <w:proofErr w:type="gramStart"/>
      <w:r w:rsidR="00C81A6B" w:rsidRPr="00C86A14">
        <w:rPr>
          <w:rFonts w:ascii="Times New Roman" w:hAnsi="Times New Roman"/>
        </w:rPr>
        <w:t>in light of</w:t>
      </w:r>
      <w:proofErr w:type="gramEnd"/>
      <w:r w:rsidR="00C81A6B" w:rsidRPr="00C86A14">
        <w:rPr>
          <w:rFonts w:ascii="Times New Roman" w:hAnsi="Times New Roman"/>
        </w:rPr>
        <w:t xml:space="preserve"> s</w:t>
      </w:r>
      <w:r w:rsidR="00942B5B" w:rsidRPr="00C86A14">
        <w:rPr>
          <w:rFonts w:ascii="Times New Roman" w:hAnsi="Times New Roman"/>
        </w:rPr>
        <w:t> </w:t>
      </w:r>
      <w:r w:rsidR="00C81A6B" w:rsidRPr="00C86A14">
        <w:rPr>
          <w:rFonts w:ascii="Times New Roman" w:hAnsi="Times New Roman"/>
        </w:rPr>
        <w:t>180(1),</w:t>
      </w:r>
      <w:r w:rsidR="003D7BAA" w:rsidRPr="00C86A14">
        <w:rPr>
          <w:rFonts w:ascii="Times New Roman" w:hAnsi="Times New Roman"/>
        </w:rPr>
        <w:t xml:space="preserve"> does not specify who</w:t>
      </w:r>
      <w:r w:rsidR="00083901" w:rsidRPr="00C86A14">
        <w:rPr>
          <w:rFonts w:ascii="Times New Roman" w:hAnsi="Times New Roman"/>
        </w:rPr>
        <w:t>m</w:t>
      </w:r>
      <w:r w:rsidR="003D7BAA" w:rsidRPr="00C86A14">
        <w:rPr>
          <w:rFonts w:ascii="Times New Roman" w:hAnsi="Times New Roman"/>
        </w:rPr>
        <w:t xml:space="preserve"> the amount</w:t>
      </w:r>
      <w:r w:rsidR="00A773F4" w:rsidRPr="00C86A14">
        <w:rPr>
          <w:rFonts w:ascii="Times New Roman" w:hAnsi="Times New Roman"/>
        </w:rPr>
        <w:t xml:space="preserve"> in question might</w:t>
      </w:r>
      <w:r w:rsidR="003D7BAA" w:rsidRPr="00C86A14">
        <w:rPr>
          <w:rFonts w:ascii="Times New Roman" w:hAnsi="Times New Roman"/>
        </w:rPr>
        <w:t xml:space="preserve"> be payable</w:t>
      </w:r>
      <w:r w:rsidR="00A773F4" w:rsidRPr="00C86A14">
        <w:rPr>
          <w:rFonts w:ascii="Times New Roman" w:hAnsi="Times New Roman"/>
        </w:rPr>
        <w:t xml:space="preserve"> by</w:t>
      </w:r>
      <w:r w:rsidR="003D7BAA" w:rsidRPr="00C86A14">
        <w:rPr>
          <w:rFonts w:ascii="Times New Roman" w:hAnsi="Times New Roman"/>
        </w:rPr>
        <w:t xml:space="preserve"> and does not </w:t>
      </w:r>
      <w:r w:rsidR="002055F1" w:rsidRPr="00C86A14">
        <w:rPr>
          <w:rFonts w:ascii="Times New Roman" w:hAnsi="Times New Roman"/>
        </w:rPr>
        <w:t xml:space="preserve">in terms </w:t>
      </w:r>
      <w:r w:rsidR="003D7BAA" w:rsidRPr="00C86A14">
        <w:rPr>
          <w:rFonts w:ascii="Times New Roman" w:hAnsi="Times New Roman"/>
        </w:rPr>
        <w:t xml:space="preserve">confine </w:t>
      </w:r>
      <w:r w:rsidR="00A773F4" w:rsidRPr="00C86A14">
        <w:rPr>
          <w:rFonts w:ascii="Times New Roman" w:hAnsi="Times New Roman"/>
        </w:rPr>
        <w:t xml:space="preserve">the amount payable to an amount payable by </w:t>
      </w:r>
      <w:r w:rsidR="00C65F7A" w:rsidRPr="00C86A14">
        <w:rPr>
          <w:rFonts w:ascii="Times New Roman" w:hAnsi="Times New Roman"/>
        </w:rPr>
        <w:t xml:space="preserve">the client </w:t>
      </w:r>
      <w:r w:rsidR="00DF3281" w:rsidRPr="00C86A14">
        <w:rPr>
          <w:rFonts w:ascii="Times New Roman" w:hAnsi="Times New Roman"/>
        </w:rPr>
        <w:t xml:space="preserve">or </w:t>
      </w:r>
      <w:r w:rsidR="00C65F7A" w:rsidRPr="00C86A14">
        <w:rPr>
          <w:rFonts w:ascii="Times New Roman" w:hAnsi="Times New Roman"/>
        </w:rPr>
        <w:t>another</w:t>
      </w:r>
      <w:r w:rsidR="002055F1" w:rsidRPr="00C86A14">
        <w:rPr>
          <w:rFonts w:ascii="Times New Roman" w:hAnsi="Times New Roman"/>
        </w:rPr>
        <w:t xml:space="preserve"> person who is </w:t>
      </w:r>
      <w:r w:rsidR="00CA7EAD" w:rsidRPr="00C86A14">
        <w:rPr>
          <w:rFonts w:ascii="Times New Roman" w:hAnsi="Times New Roman"/>
        </w:rPr>
        <w:t xml:space="preserve">party to the costs agreement. </w:t>
      </w:r>
      <w:r w:rsidR="008651CB" w:rsidRPr="00C86A14">
        <w:rPr>
          <w:rFonts w:ascii="Times New Roman" w:hAnsi="Times New Roman"/>
        </w:rPr>
        <w:t>The section</w:t>
      </w:r>
      <w:r w:rsidR="00C65F7A" w:rsidRPr="00C86A14">
        <w:rPr>
          <w:rFonts w:ascii="Times New Roman" w:hAnsi="Times New Roman"/>
        </w:rPr>
        <w:t xml:space="preserve"> therefore does not in terms exclude an amount payable by a group member </w:t>
      </w:r>
      <w:r w:rsidR="000855FA" w:rsidRPr="00C86A14">
        <w:rPr>
          <w:rFonts w:ascii="Times New Roman" w:hAnsi="Times New Roman"/>
        </w:rPr>
        <w:t>in a representative proceeding</w:t>
      </w:r>
      <w:r w:rsidR="00596AB4" w:rsidRPr="00C86A14">
        <w:rPr>
          <w:rFonts w:ascii="Times New Roman" w:hAnsi="Times New Roman"/>
        </w:rPr>
        <w:t xml:space="preserve"> with whom </w:t>
      </w:r>
      <w:r w:rsidR="009B724D" w:rsidRPr="00C86A14">
        <w:rPr>
          <w:rFonts w:ascii="Times New Roman" w:hAnsi="Times New Roman"/>
        </w:rPr>
        <w:t xml:space="preserve">the law practice has no </w:t>
      </w:r>
      <w:r w:rsidR="00C02F60" w:rsidRPr="00C86A14">
        <w:rPr>
          <w:rFonts w:ascii="Times New Roman" w:hAnsi="Times New Roman"/>
        </w:rPr>
        <w:t>contractual relationship</w:t>
      </w:r>
      <w:r w:rsidR="000855FA" w:rsidRPr="00C86A14">
        <w:rPr>
          <w:rFonts w:ascii="Times New Roman" w:hAnsi="Times New Roman"/>
        </w:rPr>
        <w:t>.</w:t>
      </w:r>
    </w:p>
    <w:p w14:paraId="5C3B7FC6" w14:textId="287F49B5" w:rsidR="004E6C55" w:rsidRPr="00C86A14" w:rsidRDefault="00C16A0E" w:rsidP="00C86A14">
      <w:pPr>
        <w:pStyle w:val="FixListStyle"/>
        <w:spacing w:after="260" w:line="280" w:lineRule="exact"/>
        <w:ind w:right="0"/>
        <w:jc w:val="both"/>
        <w:rPr>
          <w:rFonts w:ascii="Times New Roman" w:hAnsi="Times New Roman"/>
        </w:rPr>
      </w:pPr>
      <w:r w:rsidRPr="00C86A14">
        <w:rPr>
          <w:rFonts w:ascii="Times New Roman" w:hAnsi="Times New Roman"/>
        </w:rPr>
        <w:tab/>
      </w:r>
      <w:r w:rsidR="00F91C42" w:rsidRPr="00C86A14">
        <w:rPr>
          <w:rFonts w:ascii="Times New Roman" w:hAnsi="Times New Roman"/>
        </w:rPr>
        <w:t>As to purpose</w:t>
      </w:r>
      <w:r w:rsidR="001345F3" w:rsidRPr="00C86A14">
        <w:rPr>
          <w:rFonts w:ascii="Times New Roman" w:hAnsi="Times New Roman"/>
        </w:rPr>
        <w:t>,</w:t>
      </w:r>
      <w:r w:rsidR="00445DF7" w:rsidRPr="00C86A14">
        <w:rPr>
          <w:rFonts w:ascii="Times New Roman" w:hAnsi="Times New Roman"/>
        </w:rPr>
        <w:t xml:space="preserve"> </w:t>
      </w:r>
      <w:r w:rsidR="00C016C8" w:rsidRPr="00C86A14">
        <w:rPr>
          <w:rFonts w:ascii="Times New Roman" w:hAnsi="Times New Roman"/>
        </w:rPr>
        <w:t>s 183 is located in</w:t>
      </w:r>
      <w:r w:rsidR="0011037E" w:rsidRPr="00C86A14">
        <w:rPr>
          <w:rFonts w:ascii="Times New Roman" w:hAnsi="Times New Roman"/>
        </w:rPr>
        <w:t xml:space="preserve"> Pt 4.3 of the Legal Profession Uniform Law</w:t>
      </w:r>
      <w:r w:rsidR="00C32385" w:rsidRPr="00C86A14">
        <w:rPr>
          <w:rFonts w:ascii="Times New Roman" w:hAnsi="Times New Roman"/>
        </w:rPr>
        <w:t xml:space="preserve">, the stated objects of which </w:t>
      </w:r>
      <w:r w:rsidR="00350B32" w:rsidRPr="00C86A14">
        <w:rPr>
          <w:rFonts w:ascii="Times New Roman" w:hAnsi="Times New Roman"/>
        </w:rPr>
        <w:t>include</w:t>
      </w:r>
      <w:r w:rsidR="00743F5F" w:rsidRPr="00C86A14">
        <w:rPr>
          <w:rFonts w:ascii="Times New Roman" w:hAnsi="Times New Roman"/>
        </w:rPr>
        <w:t xml:space="preserve"> </w:t>
      </w:r>
      <w:r w:rsidR="004C2717" w:rsidRPr="00C86A14">
        <w:rPr>
          <w:rFonts w:ascii="Times New Roman" w:hAnsi="Times New Roman"/>
        </w:rPr>
        <w:t>"</w:t>
      </w:r>
      <w:r w:rsidR="004F1286" w:rsidRPr="00C86A14">
        <w:rPr>
          <w:rFonts w:ascii="Times New Roman" w:hAnsi="Times New Roman"/>
        </w:rPr>
        <w:t xml:space="preserve">to </w:t>
      </w:r>
      <w:r w:rsidR="004C2717" w:rsidRPr="00C86A14">
        <w:rPr>
          <w:rFonts w:ascii="Times New Roman" w:hAnsi="Times New Roman"/>
        </w:rPr>
        <w:t>ensure that clients of law practi</w:t>
      </w:r>
      <w:r w:rsidR="00893504" w:rsidRPr="00C86A14">
        <w:rPr>
          <w:rFonts w:ascii="Times New Roman" w:hAnsi="Times New Roman"/>
        </w:rPr>
        <w:t>c</w:t>
      </w:r>
      <w:r w:rsidR="004C2717" w:rsidRPr="00C86A14">
        <w:rPr>
          <w:rFonts w:ascii="Times New Roman" w:hAnsi="Times New Roman"/>
        </w:rPr>
        <w:t>es are able to make informed choices about their legal options and the costs associated with pursuing those options</w:t>
      </w:r>
      <w:r w:rsidR="00627489" w:rsidRPr="00C86A14">
        <w:rPr>
          <w:rFonts w:ascii="Times New Roman" w:hAnsi="Times New Roman"/>
        </w:rPr>
        <w:t>" and "to provide that law practi</w:t>
      </w:r>
      <w:r w:rsidR="00893504" w:rsidRPr="00C86A14">
        <w:rPr>
          <w:rFonts w:ascii="Times New Roman" w:hAnsi="Times New Roman"/>
        </w:rPr>
        <w:t>c</w:t>
      </w:r>
      <w:r w:rsidR="00627489" w:rsidRPr="00C86A14">
        <w:rPr>
          <w:rFonts w:ascii="Times New Roman" w:hAnsi="Times New Roman"/>
        </w:rPr>
        <w:t>es must not charge more than fair and reasonable amounts for legal costs"</w:t>
      </w:r>
      <w:r w:rsidR="00C32385" w:rsidRPr="00C86A14">
        <w:rPr>
          <w:rFonts w:ascii="Times New Roman" w:hAnsi="Times New Roman"/>
        </w:rPr>
        <w:t>.</w:t>
      </w:r>
      <w:r w:rsidR="00C32385" w:rsidRPr="00C86A14">
        <w:rPr>
          <w:rStyle w:val="FootnoteReference"/>
          <w:rFonts w:ascii="Times New Roman" w:hAnsi="Times New Roman"/>
          <w:sz w:val="24"/>
        </w:rPr>
        <w:footnoteReference w:id="34"/>
      </w:r>
      <w:r w:rsidR="00C32385" w:rsidRPr="00C86A14">
        <w:rPr>
          <w:rFonts w:ascii="Times New Roman" w:hAnsi="Times New Roman"/>
        </w:rPr>
        <w:t xml:space="preserve"> It is more consonant with those </w:t>
      </w:r>
      <w:r w:rsidR="009D0449" w:rsidRPr="00C86A14">
        <w:rPr>
          <w:rFonts w:ascii="Times New Roman" w:hAnsi="Times New Roman"/>
        </w:rPr>
        <w:t>objects</w:t>
      </w:r>
      <w:r w:rsidR="00627489" w:rsidRPr="00C86A14">
        <w:rPr>
          <w:rFonts w:ascii="Times New Roman" w:hAnsi="Times New Roman"/>
        </w:rPr>
        <w:t xml:space="preserve"> to </w:t>
      </w:r>
      <w:r w:rsidR="002502E0" w:rsidRPr="00C86A14">
        <w:rPr>
          <w:rFonts w:ascii="Times New Roman" w:hAnsi="Times New Roman"/>
        </w:rPr>
        <w:t>understand</w:t>
      </w:r>
      <w:r w:rsidR="00627489" w:rsidRPr="00C86A14">
        <w:rPr>
          <w:rFonts w:ascii="Times New Roman" w:hAnsi="Times New Roman"/>
        </w:rPr>
        <w:t xml:space="preserve"> </w:t>
      </w:r>
      <w:r w:rsidR="00E95B2B" w:rsidRPr="00C86A14">
        <w:rPr>
          <w:rFonts w:ascii="Times New Roman" w:hAnsi="Times New Roman"/>
        </w:rPr>
        <w:t xml:space="preserve">the relationship </w:t>
      </w:r>
      <w:r w:rsidR="00D47B0B" w:rsidRPr="00C86A14">
        <w:rPr>
          <w:rFonts w:ascii="Times New Roman" w:hAnsi="Times New Roman"/>
        </w:rPr>
        <w:t xml:space="preserve">connoted by the word </w:t>
      </w:r>
      <w:r w:rsidR="00627489" w:rsidRPr="00C86A14">
        <w:rPr>
          <w:rFonts w:ascii="Times New Roman" w:hAnsi="Times New Roman"/>
        </w:rPr>
        <w:t xml:space="preserve">"under" </w:t>
      </w:r>
      <w:r w:rsidR="00CA7EAD" w:rsidRPr="00C86A14">
        <w:rPr>
          <w:rFonts w:ascii="Times New Roman" w:hAnsi="Times New Roman"/>
        </w:rPr>
        <w:t xml:space="preserve">in the section </w:t>
      </w:r>
      <w:r w:rsidR="00E95B2B" w:rsidRPr="00C86A14">
        <w:rPr>
          <w:rFonts w:ascii="Times New Roman" w:hAnsi="Times New Roman"/>
        </w:rPr>
        <w:t xml:space="preserve">as encompassing </w:t>
      </w:r>
      <w:r w:rsidR="00CA7EAD" w:rsidRPr="00C86A14">
        <w:rPr>
          <w:rFonts w:ascii="Times New Roman" w:hAnsi="Times New Roman"/>
        </w:rPr>
        <w:t xml:space="preserve">not only </w:t>
      </w:r>
      <w:r w:rsidR="00D47B0B" w:rsidRPr="00C86A14">
        <w:rPr>
          <w:rFonts w:ascii="Times New Roman" w:hAnsi="Times New Roman"/>
        </w:rPr>
        <w:t xml:space="preserve">circumstances where the obligation to pay </w:t>
      </w:r>
      <w:r w:rsidR="00FD0795" w:rsidRPr="00C86A14">
        <w:rPr>
          <w:rFonts w:ascii="Times New Roman" w:hAnsi="Times New Roman"/>
        </w:rPr>
        <w:t>is "created by" the costs agreement but also</w:t>
      </w:r>
      <w:r w:rsidR="00501BE6" w:rsidRPr="00C86A14">
        <w:rPr>
          <w:rFonts w:ascii="Times New Roman" w:hAnsi="Times New Roman"/>
        </w:rPr>
        <w:t xml:space="preserve"> circumstances</w:t>
      </w:r>
      <w:r w:rsidR="00FD0795" w:rsidRPr="00C86A14">
        <w:rPr>
          <w:rFonts w:ascii="Times New Roman" w:hAnsi="Times New Roman"/>
        </w:rPr>
        <w:t xml:space="preserve"> where the obligation </w:t>
      </w:r>
      <w:r w:rsidR="00CA7EAD" w:rsidRPr="00C86A14">
        <w:rPr>
          <w:rFonts w:ascii="Times New Roman" w:hAnsi="Times New Roman"/>
        </w:rPr>
        <w:t xml:space="preserve">to </w:t>
      </w:r>
      <w:r w:rsidR="00CA7EAD" w:rsidRPr="00C86A14">
        <w:rPr>
          <w:rFonts w:ascii="Times New Roman" w:hAnsi="Times New Roman"/>
        </w:rPr>
        <w:lastRenderedPageBreak/>
        <w:t xml:space="preserve">pay is </w:t>
      </w:r>
      <w:r w:rsidR="00AD655C" w:rsidRPr="00C86A14">
        <w:rPr>
          <w:rFonts w:ascii="Times New Roman" w:hAnsi="Times New Roman"/>
        </w:rPr>
        <w:t xml:space="preserve">brought into existence </w:t>
      </w:r>
      <w:r w:rsidR="00756247" w:rsidRPr="00C86A14">
        <w:rPr>
          <w:rFonts w:ascii="Times New Roman" w:hAnsi="Times New Roman"/>
        </w:rPr>
        <w:t>"in accordance with, pursuant to or under the authority"</w:t>
      </w:r>
      <w:r w:rsidR="00AD655C" w:rsidRPr="00C86A14">
        <w:rPr>
          <w:rStyle w:val="FootnoteReference"/>
          <w:rFonts w:ascii="Times New Roman" w:hAnsi="Times New Roman"/>
          <w:sz w:val="24"/>
        </w:rPr>
        <w:footnoteReference w:id="35"/>
      </w:r>
      <w:r w:rsidR="00756247" w:rsidRPr="00C86A14">
        <w:rPr>
          <w:rFonts w:ascii="Times New Roman" w:hAnsi="Times New Roman"/>
        </w:rPr>
        <w:t xml:space="preserve"> of the costs agreement.</w:t>
      </w:r>
      <w:r w:rsidR="007E18FE" w:rsidRPr="00C86A14">
        <w:rPr>
          <w:rFonts w:ascii="Times New Roman" w:hAnsi="Times New Roman"/>
        </w:rPr>
        <w:t xml:space="preserve"> That, I am convinced, is the preferable construction.</w:t>
      </w:r>
    </w:p>
    <w:p w14:paraId="2C44A000" w14:textId="279E0A72" w:rsidR="00711104" w:rsidRPr="00C86A14" w:rsidRDefault="00711104" w:rsidP="00C86A14">
      <w:pPr>
        <w:pStyle w:val="FixListStyle"/>
        <w:spacing w:after="260" w:line="280" w:lineRule="exact"/>
        <w:ind w:right="0"/>
        <w:jc w:val="both"/>
        <w:rPr>
          <w:rFonts w:ascii="Times New Roman" w:hAnsi="Times New Roman"/>
        </w:rPr>
      </w:pPr>
      <w:r w:rsidRPr="00C86A14">
        <w:rPr>
          <w:rFonts w:ascii="Times New Roman" w:hAnsi="Times New Roman"/>
        </w:rPr>
        <w:tab/>
        <w:t xml:space="preserve">Accordingly, </w:t>
      </w:r>
      <w:r w:rsidR="00E06530" w:rsidRPr="00C86A14">
        <w:rPr>
          <w:rFonts w:ascii="Times New Roman" w:hAnsi="Times New Roman"/>
        </w:rPr>
        <w:t xml:space="preserve">in my opinion, </w:t>
      </w:r>
      <w:r w:rsidR="00FC4512" w:rsidRPr="00C86A14">
        <w:rPr>
          <w:rFonts w:ascii="Times New Roman" w:hAnsi="Times New Roman"/>
        </w:rPr>
        <w:t xml:space="preserve">to make provision </w:t>
      </w:r>
      <w:r w:rsidR="00E34E5C" w:rsidRPr="00C86A14">
        <w:rPr>
          <w:rFonts w:ascii="Times New Roman" w:hAnsi="Times New Roman"/>
        </w:rPr>
        <w:t xml:space="preserve">in the </w:t>
      </w:r>
      <w:r w:rsidR="00816229" w:rsidRPr="00C86A14">
        <w:rPr>
          <w:rFonts w:ascii="Times New Roman" w:hAnsi="Times New Roman"/>
        </w:rPr>
        <w:t xml:space="preserve">contract of retainer </w:t>
      </w:r>
      <w:r w:rsidR="00E06530" w:rsidRPr="00C86A14">
        <w:rPr>
          <w:rFonts w:ascii="Times New Roman" w:hAnsi="Times New Roman"/>
        </w:rPr>
        <w:t>for the applicant</w:t>
      </w:r>
      <w:r w:rsidR="006A3CD7" w:rsidRPr="00C86A14">
        <w:rPr>
          <w:rFonts w:ascii="Times New Roman" w:hAnsi="Times New Roman"/>
        </w:rPr>
        <w:t>s</w:t>
      </w:r>
      <w:r w:rsidR="00E06530" w:rsidRPr="00C86A14">
        <w:rPr>
          <w:rFonts w:ascii="Times New Roman" w:hAnsi="Times New Roman"/>
        </w:rPr>
        <w:t xml:space="preserve"> to apply to the Federal Court for </w:t>
      </w:r>
      <w:r w:rsidR="00382C8A" w:rsidRPr="00C86A14">
        <w:rPr>
          <w:rFonts w:ascii="Times New Roman" w:hAnsi="Times New Roman"/>
        </w:rPr>
        <w:t>a</w:t>
      </w:r>
      <w:r w:rsidR="00E06530" w:rsidRPr="00C86A14">
        <w:rPr>
          <w:rFonts w:ascii="Times New Roman" w:hAnsi="Times New Roman"/>
        </w:rPr>
        <w:t xml:space="preserve"> solicitor</w:t>
      </w:r>
      <w:r w:rsidR="00382C8A" w:rsidRPr="00C86A14">
        <w:rPr>
          <w:rFonts w:ascii="Times New Roman" w:hAnsi="Times New Roman"/>
        </w:rPr>
        <w:t>'</w:t>
      </w:r>
      <w:r w:rsidR="00E06530" w:rsidRPr="00C86A14">
        <w:rPr>
          <w:rFonts w:ascii="Times New Roman" w:hAnsi="Times New Roman"/>
        </w:rPr>
        <w:t>s CFO would involve the solicitors in a contravention of s</w:t>
      </w:r>
      <w:r w:rsidR="00942B5B" w:rsidRPr="00C86A14">
        <w:rPr>
          <w:rFonts w:ascii="Times New Roman" w:hAnsi="Times New Roman"/>
        </w:rPr>
        <w:t> </w:t>
      </w:r>
      <w:r w:rsidR="00E06530" w:rsidRPr="00C86A14">
        <w:rPr>
          <w:rFonts w:ascii="Times New Roman" w:hAnsi="Times New Roman"/>
        </w:rPr>
        <w:t>183 of the Legal Profession Uniform Law. For that reason</w:t>
      </w:r>
      <w:r w:rsidR="00DF0594" w:rsidRPr="00C86A14">
        <w:rPr>
          <w:rFonts w:ascii="Times New Roman" w:hAnsi="Times New Roman"/>
        </w:rPr>
        <w:t xml:space="preserve">, it would not be "just" to make the solicitor's </w:t>
      </w:r>
      <w:r w:rsidR="00E06530" w:rsidRPr="00C86A14">
        <w:rPr>
          <w:rFonts w:ascii="Times New Roman" w:hAnsi="Times New Roman"/>
        </w:rPr>
        <w:t xml:space="preserve">CFO under </w:t>
      </w:r>
      <w:r w:rsidR="00214939" w:rsidRPr="00C86A14">
        <w:rPr>
          <w:rFonts w:ascii="Times New Roman" w:hAnsi="Times New Roman"/>
        </w:rPr>
        <w:t xml:space="preserve">either </w:t>
      </w:r>
      <w:r w:rsidR="00E06530" w:rsidRPr="00C86A14">
        <w:rPr>
          <w:rFonts w:ascii="Times New Roman" w:hAnsi="Times New Roman"/>
        </w:rPr>
        <w:t>s</w:t>
      </w:r>
      <w:r w:rsidR="00942B5B" w:rsidRPr="00C86A14">
        <w:rPr>
          <w:rFonts w:ascii="Times New Roman" w:hAnsi="Times New Roman"/>
        </w:rPr>
        <w:t> </w:t>
      </w:r>
      <w:r w:rsidR="00E06530" w:rsidRPr="00C86A14">
        <w:rPr>
          <w:rFonts w:ascii="Times New Roman" w:hAnsi="Times New Roman"/>
        </w:rPr>
        <w:t>33</w:t>
      </w:r>
      <w:proofErr w:type="gramStart"/>
      <w:r w:rsidR="00E06530" w:rsidRPr="00C86A14">
        <w:rPr>
          <w:rFonts w:ascii="Times New Roman" w:hAnsi="Times New Roman"/>
        </w:rPr>
        <w:t>V(</w:t>
      </w:r>
      <w:proofErr w:type="gramEnd"/>
      <w:r w:rsidR="00E06530" w:rsidRPr="00C86A14">
        <w:rPr>
          <w:rFonts w:ascii="Times New Roman" w:hAnsi="Times New Roman"/>
        </w:rPr>
        <w:t>2) or s</w:t>
      </w:r>
      <w:r w:rsidR="00942B5B" w:rsidRPr="00C86A14">
        <w:rPr>
          <w:rFonts w:ascii="Times New Roman" w:hAnsi="Times New Roman"/>
        </w:rPr>
        <w:t> </w:t>
      </w:r>
      <w:r w:rsidR="00E06530" w:rsidRPr="00C86A14">
        <w:rPr>
          <w:rFonts w:ascii="Times New Roman" w:hAnsi="Times New Roman"/>
        </w:rPr>
        <w:t>33Z(1)(g) of the FCA.</w:t>
      </w:r>
    </w:p>
    <w:p w14:paraId="201BB7FD" w14:textId="52BBE843" w:rsidR="00C33899" w:rsidRPr="00C86A14" w:rsidRDefault="00C33899" w:rsidP="00C86A14">
      <w:pPr>
        <w:pStyle w:val="HeadingL1"/>
        <w:spacing w:after="260" w:line="280" w:lineRule="exact"/>
        <w:ind w:right="0"/>
        <w:jc w:val="both"/>
        <w:rPr>
          <w:rFonts w:ascii="Times New Roman" w:hAnsi="Times New Roman"/>
        </w:rPr>
      </w:pPr>
      <w:r w:rsidRPr="00C86A14">
        <w:rPr>
          <w:rFonts w:ascii="Times New Roman" w:hAnsi="Times New Roman"/>
        </w:rPr>
        <w:t>Conclusion and orders</w:t>
      </w:r>
    </w:p>
    <w:p w14:paraId="3FE1802D" w14:textId="77777777" w:rsidR="006F5E1E" w:rsidRDefault="00C33899" w:rsidP="00C86A14">
      <w:pPr>
        <w:pStyle w:val="FixListStyle"/>
        <w:spacing w:after="260" w:line="280" w:lineRule="exact"/>
        <w:ind w:right="0"/>
        <w:jc w:val="both"/>
        <w:rPr>
          <w:rFonts w:ascii="Times New Roman" w:hAnsi="Times New Roman"/>
        </w:rPr>
      </w:pPr>
      <w:r w:rsidRPr="00C86A14">
        <w:rPr>
          <w:rFonts w:ascii="Times New Roman" w:hAnsi="Times New Roman"/>
        </w:rPr>
        <w:tab/>
        <w:t>The appeal should be allowed</w:t>
      </w:r>
      <w:r w:rsidR="00F0468D" w:rsidRPr="00C86A14">
        <w:rPr>
          <w:rFonts w:ascii="Times New Roman" w:hAnsi="Times New Roman"/>
        </w:rPr>
        <w:t>,</w:t>
      </w:r>
      <w:r w:rsidRPr="00C86A14">
        <w:rPr>
          <w:rFonts w:ascii="Times New Roman" w:hAnsi="Times New Roman"/>
        </w:rPr>
        <w:t xml:space="preserve"> </w:t>
      </w:r>
      <w:r w:rsidR="00F74AD3" w:rsidRPr="00C86A14">
        <w:rPr>
          <w:rFonts w:ascii="Times New Roman" w:hAnsi="Times New Roman"/>
        </w:rPr>
        <w:t>and the consequential orders proposed by Gordon, Steward</w:t>
      </w:r>
      <w:r w:rsidR="003E0070" w:rsidRPr="00C86A14">
        <w:rPr>
          <w:rFonts w:ascii="Times New Roman" w:hAnsi="Times New Roman"/>
        </w:rPr>
        <w:t>, Gleeson</w:t>
      </w:r>
      <w:r w:rsidR="00F74AD3" w:rsidRPr="00C86A14">
        <w:rPr>
          <w:rFonts w:ascii="Times New Roman" w:hAnsi="Times New Roman"/>
        </w:rPr>
        <w:t xml:space="preserve"> and Beech-Jones JJ should be made.</w:t>
      </w:r>
    </w:p>
    <w:p w14:paraId="7B7E100F" w14:textId="77777777" w:rsidR="006F5E1E" w:rsidRDefault="006F5E1E" w:rsidP="00C86A14">
      <w:pPr>
        <w:pStyle w:val="FixListStyle"/>
        <w:spacing w:after="260" w:line="280" w:lineRule="exact"/>
        <w:ind w:right="0"/>
        <w:jc w:val="both"/>
        <w:rPr>
          <w:rFonts w:ascii="Times New Roman" w:hAnsi="Times New Roman"/>
        </w:rPr>
        <w:sectPr w:rsidR="006F5E1E" w:rsidSect="00271BA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EC7F23D" w14:textId="77777777" w:rsidR="006F5E1E" w:rsidRPr="00DC0A30" w:rsidRDefault="006F5E1E" w:rsidP="00DC0A30">
      <w:pPr>
        <w:pStyle w:val="FixListStyle"/>
        <w:tabs>
          <w:tab w:val="clear" w:pos="720"/>
          <w:tab w:val="left" w:pos="0"/>
        </w:tabs>
        <w:spacing w:after="260" w:line="280" w:lineRule="exact"/>
        <w:ind w:right="0"/>
        <w:jc w:val="both"/>
        <w:rPr>
          <w:rFonts w:ascii="Times New Roman" w:hAnsi="Times New Roman"/>
        </w:rPr>
      </w:pPr>
      <w:r w:rsidRPr="00DC0A30">
        <w:rPr>
          <w:rFonts w:ascii="Times New Roman" w:hAnsi="Times New Roman"/>
        </w:rPr>
        <w:lastRenderedPageBreak/>
        <w:t xml:space="preserve">GORDON, STEWARD, GLEESON AND BEECH-JONES JJ.   Can the Federal Court of Australia make orders under Pt IVA of the </w:t>
      </w:r>
      <w:r w:rsidRPr="00DC0A30">
        <w:rPr>
          <w:rFonts w:ascii="Times New Roman" w:hAnsi="Times New Roman"/>
          <w:i/>
          <w:iCs/>
        </w:rPr>
        <w:t xml:space="preserve">Federal Court of Australia Act 1976 </w:t>
      </w:r>
      <w:r w:rsidRPr="00DC0A30">
        <w:rPr>
          <w:rFonts w:ascii="Times New Roman" w:hAnsi="Times New Roman"/>
        </w:rPr>
        <w:t>(</w:t>
      </w:r>
      <w:proofErr w:type="spellStart"/>
      <w:r w:rsidRPr="00DC0A30">
        <w:rPr>
          <w:rFonts w:ascii="Times New Roman" w:hAnsi="Times New Roman"/>
        </w:rPr>
        <w:t>Cth</w:t>
      </w:r>
      <w:proofErr w:type="spellEnd"/>
      <w:r w:rsidRPr="00DC0A30">
        <w:rPr>
          <w:rFonts w:ascii="Times New Roman" w:hAnsi="Times New Roman"/>
        </w:rPr>
        <w:t>) ("the FCA Act"), upon the settlement of or judgment in a representative</w:t>
      </w:r>
      <w:r>
        <w:rPr>
          <w:rFonts w:ascii="Times New Roman" w:hAnsi="Times New Roman"/>
        </w:rPr>
        <w:t> </w:t>
      </w:r>
      <w:r w:rsidRPr="00DC0A30">
        <w:rPr>
          <w:rFonts w:ascii="Times New Roman" w:hAnsi="Times New Roman"/>
        </w:rPr>
        <w:t>proceeding, to approve the distribution of a sum described as a funding commission calculated as a percentage of the sum recovered in favour of a litigation funder or a law practice conducting the proceeding on behalf of the</w:t>
      </w:r>
      <w:r>
        <w:rPr>
          <w:rFonts w:ascii="Times New Roman" w:hAnsi="Times New Roman"/>
        </w:rPr>
        <w:t> </w:t>
      </w:r>
      <w:r w:rsidRPr="00DC0A30">
        <w:rPr>
          <w:rFonts w:ascii="Times New Roman" w:hAnsi="Times New Roman"/>
        </w:rPr>
        <w:t xml:space="preserve">representative party? </w:t>
      </w:r>
    </w:p>
    <w:p w14:paraId="07A51243"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As these reasons will explain, under ss 33</w:t>
      </w:r>
      <w:proofErr w:type="gramStart"/>
      <w:r w:rsidRPr="00DC0A30">
        <w:rPr>
          <w:rFonts w:ascii="Times New Roman" w:hAnsi="Times New Roman"/>
        </w:rPr>
        <w:t>V(</w:t>
      </w:r>
      <w:proofErr w:type="gramEnd"/>
      <w:r w:rsidRPr="00DC0A30">
        <w:rPr>
          <w:rFonts w:ascii="Times New Roman" w:hAnsi="Times New Roman"/>
        </w:rPr>
        <w:t>2) and 33Z(1)(g) in Pt IVA of the FCA Act, the Federal Court can make such an order in favour of a litigation funder but not a law practice conducting the representative proceeding. The</w:t>
      </w:r>
      <w:r>
        <w:rPr>
          <w:rFonts w:ascii="Times New Roman" w:hAnsi="Times New Roman"/>
        </w:rPr>
        <w:t> </w:t>
      </w:r>
      <w:r w:rsidRPr="00DC0A30">
        <w:rPr>
          <w:rFonts w:ascii="Times New Roman" w:hAnsi="Times New Roman"/>
        </w:rPr>
        <w:t>Federal Court exercises power in federal jurisdiction against the background of the scheme of regulation of the legal profession in the State or Territory in which the solicitors in the proceeding are practising.</w:t>
      </w:r>
      <w:r w:rsidRPr="00DC0A30">
        <w:rPr>
          <w:rStyle w:val="FootnoteReference"/>
          <w:rFonts w:ascii="Times New Roman" w:hAnsi="Times New Roman"/>
          <w:sz w:val="24"/>
        </w:rPr>
        <w:footnoteReference w:id="36"/>
      </w:r>
      <w:r w:rsidRPr="00DC0A30">
        <w:rPr>
          <w:rFonts w:ascii="Times New Roman" w:hAnsi="Times New Roman"/>
        </w:rPr>
        <w:t xml:space="preserve"> Where, as in these appeals, the</w:t>
      </w:r>
      <w:r>
        <w:rPr>
          <w:rFonts w:ascii="Times New Roman" w:hAnsi="Times New Roman"/>
        </w:rPr>
        <w:t> </w:t>
      </w:r>
      <w:r w:rsidRPr="00DC0A30">
        <w:rPr>
          <w:rFonts w:ascii="Times New Roman" w:hAnsi="Times New Roman"/>
        </w:rPr>
        <w:t xml:space="preserve">solicitors are practising in New South Wales, s 183 of the </w:t>
      </w:r>
      <w:r w:rsidRPr="00DC0A30">
        <w:rPr>
          <w:rFonts w:ascii="Times New Roman" w:hAnsi="Times New Roman"/>
          <w:i/>
          <w:iCs/>
        </w:rPr>
        <w:t xml:space="preserve">Legal Profession Uniform Law </w:t>
      </w:r>
      <w:r w:rsidRPr="00DC0A30">
        <w:rPr>
          <w:rFonts w:ascii="Times New Roman" w:hAnsi="Times New Roman"/>
        </w:rPr>
        <w:t xml:space="preserve">(NSW) ("the </w:t>
      </w:r>
      <w:r w:rsidRPr="00DC0A30">
        <w:rPr>
          <w:rFonts w:ascii="Times New Roman" w:hAnsi="Times New Roman"/>
          <w:bCs/>
        </w:rPr>
        <w:t>LPUL</w:t>
      </w:r>
      <w:r w:rsidRPr="00DC0A30">
        <w:rPr>
          <w:rFonts w:ascii="Times New Roman" w:hAnsi="Times New Roman"/>
        </w:rPr>
        <w:t>") prohibits contingency fees.</w:t>
      </w:r>
      <w:r w:rsidRPr="00DC0A30">
        <w:rPr>
          <w:rStyle w:val="FootnoteReference"/>
          <w:rFonts w:ascii="Times New Roman" w:hAnsi="Times New Roman"/>
          <w:sz w:val="24"/>
        </w:rPr>
        <w:footnoteReference w:id="37"/>
      </w:r>
      <w:r w:rsidRPr="00DC0A30">
        <w:rPr>
          <w:rFonts w:ascii="Times New Roman" w:hAnsi="Times New Roman"/>
        </w:rPr>
        <w:t xml:space="preserve"> The Federal Court cannot make such an order in favour of the law practice conducting the</w:t>
      </w:r>
      <w:r>
        <w:rPr>
          <w:rFonts w:ascii="Times New Roman" w:hAnsi="Times New Roman"/>
        </w:rPr>
        <w:t> </w:t>
      </w:r>
      <w:r w:rsidRPr="00DC0A30">
        <w:rPr>
          <w:rFonts w:ascii="Times New Roman" w:hAnsi="Times New Roman"/>
        </w:rPr>
        <w:t xml:space="preserve">representative proceeding because to do so would be contrary to s 183. </w:t>
      </w:r>
    </w:p>
    <w:p w14:paraId="62BA50CE" w14:textId="77777777" w:rsidR="006F5E1E" w:rsidRPr="00DC0A30" w:rsidRDefault="006F5E1E" w:rsidP="00DC0A30">
      <w:pPr>
        <w:pStyle w:val="HeadingL1"/>
        <w:spacing w:after="260" w:line="280" w:lineRule="exact"/>
        <w:ind w:right="0"/>
        <w:jc w:val="both"/>
        <w:rPr>
          <w:rFonts w:ascii="Times New Roman" w:hAnsi="Times New Roman"/>
        </w:rPr>
      </w:pPr>
      <w:r w:rsidRPr="00DC0A30">
        <w:rPr>
          <w:rFonts w:ascii="Times New Roman" w:hAnsi="Times New Roman"/>
        </w:rPr>
        <w:t>Background</w:t>
      </w:r>
    </w:p>
    <w:p w14:paraId="20BADF15"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Representative proceedings were brought in the Federal Court under Pt IVA of the FCA Act by the first and second respondents, R&amp;B Investments Pty Ltd and Mr David Furniss ("the Applicants"), against Blue Sky Alternative Investments Limited (In </w:t>
      </w:r>
      <w:proofErr w:type="spellStart"/>
      <w:r w:rsidRPr="00DC0A30">
        <w:rPr>
          <w:rFonts w:ascii="Times New Roman" w:hAnsi="Times New Roman"/>
        </w:rPr>
        <w:t>liq</w:t>
      </w:r>
      <w:proofErr w:type="spellEnd"/>
      <w:r w:rsidRPr="00DC0A30">
        <w:rPr>
          <w:rFonts w:ascii="Times New Roman" w:hAnsi="Times New Roman"/>
        </w:rPr>
        <w:t>) ("</w:t>
      </w:r>
      <w:r w:rsidRPr="00DC0A30">
        <w:rPr>
          <w:rFonts w:ascii="Times New Roman" w:hAnsi="Times New Roman"/>
          <w:bCs/>
        </w:rPr>
        <w:t>Blue Sky</w:t>
      </w:r>
      <w:r w:rsidRPr="00DC0A30">
        <w:rPr>
          <w:rFonts w:ascii="Times New Roman" w:hAnsi="Times New Roman"/>
        </w:rPr>
        <w:t>"), the third respondent, and some of Blue Sky's former directors (Mr John Kain and Mr Robert Shand) and Blue Sky's former auditor, Ernst &amp; Young ("EY"). The Applicants initially each brought competing representative proceedings. R&amp;B Investments was represented by Banton Group, and Mr Furniss by Shine Lawyers. The proceedings were consolidated ("the Consolidated Proceeding").</w:t>
      </w:r>
      <w:r w:rsidRPr="00DC0A30">
        <w:rPr>
          <w:rStyle w:val="FootnoteReference"/>
          <w:rFonts w:ascii="Times New Roman" w:hAnsi="Times New Roman"/>
          <w:sz w:val="24"/>
        </w:rPr>
        <w:footnoteReference w:id="38"/>
      </w:r>
      <w:r w:rsidRPr="00DC0A30">
        <w:rPr>
          <w:rFonts w:ascii="Times New Roman" w:hAnsi="Times New Roman"/>
        </w:rPr>
        <w:t xml:space="preserve"> </w:t>
      </w:r>
    </w:p>
    <w:p w14:paraId="3C0CDFDA"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lastRenderedPageBreak/>
        <w:tab/>
        <w:t>Banton Group and Shine Lawyers ("the Solicitors") reached an "in</w:t>
      </w:r>
      <w:r>
        <w:rPr>
          <w:rFonts w:ascii="Times New Roman" w:hAnsi="Times New Roman"/>
        </w:rPr>
        <w:t> </w:t>
      </w:r>
      <w:r w:rsidRPr="00DC0A30">
        <w:rPr>
          <w:rFonts w:ascii="Times New Roman" w:hAnsi="Times New Roman"/>
        </w:rPr>
        <w:t>principle" agreement to effectuate that consolidation and for the conduct of the</w:t>
      </w:r>
      <w:r>
        <w:rPr>
          <w:rFonts w:ascii="Times New Roman" w:hAnsi="Times New Roman"/>
        </w:rPr>
        <w:t> </w:t>
      </w:r>
      <w:r w:rsidRPr="00DC0A30">
        <w:rPr>
          <w:rFonts w:ascii="Times New Roman" w:hAnsi="Times New Roman"/>
        </w:rPr>
        <w:t>Consolidated Proceeding. They agreed upon the terms of a proposed "cooperative litigation protocol" ("the Protocol") that it is envisaged the Applicants will execute and the terms of a proposed "c</w:t>
      </w:r>
      <w:r w:rsidRPr="00DC0A30">
        <w:rPr>
          <w:rFonts w:ascii="Times New Roman" w:hAnsi="Times New Roman"/>
          <w:bCs/>
        </w:rPr>
        <w:t>onsolidation agreement</w:t>
      </w:r>
      <w:r w:rsidRPr="00DC0A30">
        <w:rPr>
          <w:rFonts w:ascii="Times New Roman" w:hAnsi="Times New Roman"/>
        </w:rPr>
        <w:t>" that the Solicitors will execute ("the Consolidation Agreement"). If executed, the</w:t>
      </w:r>
      <w:r>
        <w:t> </w:t>
      </w:r>
      <w:r w:rsidRPr="00DC0A30">
        <w:rPr>
          <w:rFonts w:ascii="Times New Roman" w:hAnsi="Times New Roman"/>
        </w:rPr>
        <w:t xml:space="preserve">Protocol will document the </w:t>
      </w:r>
      <w:proofErr w:type="gramStart"/>
      <w:r w:rsidRPr="00DC0A30">
        <w:rPr>
          <w:rFonts w:ascii="Times New Roman" w:hAnsi="Times New Roman"/>
        </w:rPr>
        <w:t>manner in which</w:t>
      </w:r>
      <w:proofErr w:type="gramEnd"/>
      <w:r w:rsidRPr="00DC0A30">
        <w:rPr>
          <w:rFonts w:ascii="Times New Roman" w:hAnsi="Times New Roman"/>
        </w:rPr>
        <w:t xml:space="preserve"> the Applicants and the Solicitors are to conduct the Consolidated Proceeding. The Protocol will also record that the</w:t>
      </w:r>
      <w:r>
        <w:rPr>
          <w:rFonts w:ascii="Times New Roman" w:hAnsi="Times New Roman"/>
        </w:rPr>
        <w:t> </w:t>
      </w:r>
      <w:r w:rsidRPr="00DC0A30">
        <w:rPr>
          <w:rFonts w:ascii="Times New Roman" w:hAnsi="Times New Roman"/>
        </w:rPr>
        <w:t>Applicants "have each given their instructions to be joint representative applicants in the Consolidated Proceeding" and that they consider that the Protocol "serves to benefit Group Members". Clause 5.1 of the Protocol records that the</w:t>
      </w:r>
      <w:r>
        <w:rPr>
          <w:rFonts w:ascii="Times New Roman" w:hAnsi="Times New Roman"/>
        </w:rPr>
        <w:t> </w:t>
      </w:r>
      <w:r w:rsidRPr="00DC0A30">
        <w:rPr>
          <w:rFonts w:ascii="Times New Roman" w:hAnsi="Times New Roman"/>
        </w:rPr>
        <w:t>Applicants will request the Federal Court:</w:t>
      </w:r>
    </w:p>
    <w:p w14:paraId="54F48303"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"a)</w:t>
      </w:r>
      <w:r w:rsidRPr="00DC0A30">
        <w:rPr>
          <w:rFonts w:ascii="Times New Roman" w:hAnsi="Times New Roman"/>
        </w:rPr>
        <w:tab/>
        <w:t>at an appropriate stage of the proceeding – to make orders that or to the effect that:</w:t>
      </w:r>
    </w:p>
    <w:p w14:paraId="4352FB9B"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proofErr w:type="spellStart"/>
      <w:r w:rsidRPr="00DC0A30">
        <w:rPr>
          <w:rFonts w:ascii="Times New Roman" w:hAnsi="Times New Roman"/>
        </w:rPr>
        <w:t>i</w:t>
      </w:r>
      <w:proofErr w:type="spellEnd"/>
      <w:r w:rsidRPr="00DC0A30">
        <w:rPr>
          <w:rFonts w:ascii="Times New Roman" w:hAnsi="Times New Roman"/>
        </w:rPr>
        <w:tab/>
        <w:t>legal costs and disbursements be shared among the Applicants and Group Members (</w:t>
      </w:r>
      <w:r w:rsidRPr="00DC0A30">
        <w:rPr>
          <w:rFonts w:ascii="Times New Roman" w:hAnsi="Times New Roman"/>
          <w:b/>
          <w:bCs/>
        </w:rPr>
        <w:t>Claimants</w:t>
      </w:r>
      <w:r w:rsidRPr="00DC0A30">
        <w:rPr>
          <w:rFonts w:ascii="Times New Roman" w:hAnsi="Times New Roman"/>
        </w:rPr>
        <w:t>) on a costs</w:t>
      </w:r>
      <w:r>
        <w:rPr>
          <w:rFonts w:ascii="Times New Roman" w:hAnsi="Times New Roman"/>
        </w:rPr>
        <w:noBreakHyphen/>
      </w:r>
      <w:r w:rsidRPr="00DC0A30">
        <w:rPr>
          <w:rFonts w:ascii="Times New Roman" w:hAnsi="Times New Roman"/>
        </w:rPr>
        <w:t>equalisation basis (for instance, but without limitation, under section 33ZJ of the [FCA] Act):</w:t>
      </w:r>
    </w:p>
    <w:p w14:paraId="618B4A44"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ii</w:t>
      </w:r>
      <w:r w:rsidRPr="00DC0A30">
        <w:rPr>
          <w:rFonts w:ascii="Times New Roman" w:hAnsi="Times New Roman"/>
        </w:rPr>
        <w:tab/>
        <w:t>[the Solicitors] be further remunerated for their risks in funding the legal costs and disbursements by payment of such percentage of the Resolution Sum as may be approved by the Court (</w:t>
      </w:r>
      <w:r w:rsidRPr="00DC0A30">
        <w:rPr>
          <w:rFonts w:ascii="Times New Roman" w:hAnsi="Times New Roman"/>
          <w:b/>
          <w:bCs/>
        </w:rPr>
        <w:t xml:space="preserve">Solicitors' Common Fund Order </w:t>
      </w:r>
      <w:r w:rsidRPr="00DC0A30">
        <w:rPr>
          <w:rFonts w:ascii="Times New Roman" w:hAnsi="Times New Roman"/>
        </w:rPr>
        <w:t xml:space="preserve">or </w:t>
      </w:r>
      <w:r w:rsidRPr="00DC0A30">
        <w:rPr>
          <w:rFonts w:ascii="Times New Roman" w:hAnsi="Times New Roman"/>
          <w:b/>
          <w:bCs/>
        </w:rPr>
        <w:t>Solicitors'</w:t>
      </w:r>
      <w:r>
        <w:rPr>
          <w:rFonts w:ascii="Times New Roman" w:hAnsi="Times New Roman"/>
          <w:b/>
          <w:bCs/>
        </w:rPr>
        <w:t> </w:t>
      </w:r>
      <w:r w:rsidRPr="00DC0A30">
        <w:rPr>
          <w:rFonts w:ascii="Times New Roman" w:hAnsi="Times New Roman"/>
          <w:b/>
          <w:bCs/>
        </w:rPr>
        <w:t>CFO</w:t>
      </w:r>
      <w:r w:rsidRPr="00DC0A30">
        <w:rPr>
          <w:rFonts w:ascii="Times New Roman" w:hAnsi="Times New Roman"/>
        </w:rPr>
        <w:t>); and</w:t>
      </w:r>
    </w:p>
    <w:p w14:paraId="37ACEE31" w14:textId="77777777" w:rsidR="006F5E1E"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b)</w:t>
      </w:r>
      <w:r w:rsidRPr="00DC0A30">
        <w:rPr>
          <w:rFonts w:ascii="Times New Roman" w:hAnsi="Times New Roman"/>
        </w:rPr>
        <w:tab/>
        <w:t xml:space="preserve">as early as practicable in the proceeding – orders that notice be given to the Claimants of the matters in (a) hereof." </w:t>
      </w:r>
    </w:p>
    <w:p w14:paraId="003A9F54" w14:textId="77777777" w:rsidR="006F5E1E" w:rsidRPr="00DC0A30" w:rsidRDefault="006F5E1E" w:rsidP="00DC0A30">
      <w:pPr>
        <w:pStyle w:val="NormalBody"/>
        <w:spacing w:after="260" w:line="280" w:lineRule="exact"/>
        <w:ind w:right="0"/>
        <w:jc w:val="both"/>
        <w:rPr>
          <w:rFonts w:ascii="Times New Roman" w:hAnsi="Times New Roman"/>
          <w:bCs/>
        </w:rPr>
      </w:pPr>
      <w:r w:rsidRPr="00DC0A30">
        <w:rPr>
          <w:rFonts w:ascii="Times New Roman" w:hAnsi="Times New Roman"/>
        </w:rPr>
        <w:t xml:space="preserve">"Resolution Sum" is defined to mean the sum recovered </w:t>
      </w:r>
      <w:proofErr w:type="gramStart"/>
      <w:r w:rsidRPr="00DC0A30">
        <w:rPr>
          <w:rFonts w:ascii="Times New Roman" w:hAnsi="Times New Roman"/>
        </w:rPr>
        <w:t>as a result of</w:t>
      </w:r>
      <w:proofErr w:type="gramEnd"/>
      <w:r w:rsidRPr="00DC0A30">
        <w:rPr>
          <w:rFonts w:ascii="Times New Roman" w:hAnsi="Times New Roman"/>
        </w:rPr>
        <w:t xml:space="preserve"> the</w:t>
      </w:r>
      <w:r>
        <w:rPr>
          <w:rFonts w:ascii="Times New Roman" w:hAnsi="Times New Roman"/>
        </w:rPr>
        <w:t> </w:t>
      </w:r>
      <w:r w:rsidRPr="00DC0A30">
        <w:rPr>
          <w:rFonts w:ascii="Times New Roman" w:hAnsi="Times New Roman"/>
        </w:rPr>
        <w:t>Consolidated Proceeding.</w:t>
      </w:r>
      <w:r w:rsidRPr="00DC0A30">
        <w:rPr>
          <w:rStyle w:val="FootnoteReference"/>
          <w:rFonts w:ascii="Times New Roman" w:hAnsi="Times New Roman"/>
          <w:sz w:val="24"/>
        </w:rPr>
        <w:footnoteReference w:id="39"/>
      </w:r>
    </w:p>
    <w:p w14:paraId="63FEFE9A"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In default of orders pursuant to cl 5.1(b), under the Protocol the Applicants agree to seek orders for the transfer of the Consolidated Proceeding to the Supreme Court of Victoria and, upon such transfer, a group costs order ("GCO") pursuant </w:t>
      </w:r>
      <w:r w:rsidRPr="00DC0A30">
        <w:rPr>
          <w:rFonts w:ascii="Times New Roman" w:hAnsi="Times New Roman"/>
        </w:rPr>
        <w:lastRenderedPageBreak/>
        <w:t xml:space="preserve">to s 33ZDA of the </w:t>
      </w:r>
      <w:r w:rsidRPr="00DC0A30">
        <w:rPr>
          <w:rFonts w:ascii="Times New Roman" w:hAnsi="Times New Roman"/>
          <w:i/>
          <w:iCs/>
        </w:rPr>
        <w:t>Supreme Court Act 1986</w:t>
      </w:r>
      <w:r w:rsidRPr="00DC0A30">
        <w:rPr>
          <w:rFonts w:ascii="Times New Roman" w:hAnsi="Times New Roman"/>
        </w:rPr>
        <w:t xml:space="preserve"> (Vic)</w:t>
      </w:r>
      <w:r w:rsidRPr="00DC0A30">
        <w:rPr>
          <w:rStyle w:val="FootnoteReference"/>
          <w:rFonts w:ascii="Times New Roman" w:hAnsi="Times New Roman"/>
          <w:sz w:val="24"/>
        </w:rPr>
        <w:footnoteReference w:id="40"/>
      </w:r>
      <w:r w:rsidRPr="00DC0A30">
        <w:rPr>
          <w:rFonts w:ascii="Times New Roman" w:hAnsi="Times New Roman"/>
        </w:rPr>
        <w:t xml:space="preserve"> or, alternatively, to seek commercial litigation funding.</w:t>
      </w:r>
    </w:p>
    <w:p w14:paraId="487A56C7"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r>
      <w:r w:rsidRPr="00DC0A30">
        <w:rPr>
          <w:rFonts w:ascii="Times New Roman" w:hAnsi="Times New Roman"/>
          <w:bCs/>
        </w:rPr>
        <w:t>If executed, the Consolidation Agreement will record, among other things, that the Applicants have reached agreement in principle to consolidate the</w:t>
      </w:r>
      <w:r>
        <w:rPr>
          <w:rFonts w:ascii="Times New Roman" w:hAnsi="Times New Roman"/>
          <w:bCs/>
        </w:rPr>
        <w:t> </w:t>
      </w:r>
      <w:r w:rsidRPr="00DC0A30">
        <w:rPr>
          <w:rFonts w:ascii="Times New Roman" w:hAnsi="Times New Roman"/>
          <w:bCs/>
        </w:rPr>
        <w:t>proceedings and that that agreement was recorded in a Protocol executed by the</w:t>
      </w:r>
      <w:r>
        <w:rPr>
          <w:rFonts w:ascii="Times New Roman" w:hAnsi="Times New Roman"/>
          <w:bCs/>
        </w:rPr>
        <w:t> </w:t>
      </w:r>
      <w:r w:rsidRPr="00DC0A30">
        <w:rPr>
          <w:rFonts w:ascii="Times New Roman" w:hAnsi="Times New Roman"/>
          <w:bCs/>
        </w:rPr>
        <w:t>Applicants. The recitals also record that the Protocol authorised and directed the</w:t>
      </w:r>
      <w:r>
        <w:rPr>
          <w:rFonts w:ascii="Times New Roman" w:hAnsi="Times New Roman"/>
          <w:bCs/>
        </w:rPr>
        <w:t> </w:t>
      </w:r>
      <w:r w:rsidRPr="00DC0A30">
        <w:rPr>
          <w:rFonts w:ascii="Times New Roman" w:hAnsi="Times New Roman"/>
          <w:bCs/>
        </w:rPr>
        <w:t>Solicitors to prepare terms governing the joint carriage of the</w:t>
      </w:r>
      <w:r>
        <w:rPr>
          <w:rFonts w:ascii="Times New Roman" w:hAnsi="Times New Roman"/>
          <w:bCs/>
        </w:rPr>
        <w:t> </w:t>
      </w:r>
      <w:r w:rsidRPr="00DC0A30">
        <w:rPr>
          <w:rFonts w:ascii="Times New Roman" w:hAnsi="Times New Roman"/>
          <w:bCs/>
        </w:rPr>
        <w:t>Consolidated</w:t>
      </w:r>
      <w:r>
        <w:rPr>
          <w:rFonts w:ascii="Times New Roman" w:hAnsi="Times New Roman"/>
          <w:bCs/>
        </w:rPr>
        <w:t> </w:t>
      </w:r>
      <w:r w:rsidRPr="00DC0A30">
        <w:rPr>
          <w:rFonts w:ascii="Times New Roman" w:hAnsi="Times New Roman"/>
          <w:bCs/>
        </w:rPr>
        <w:t>Proceeding and that the Solicitors had agreed to share carriage on the</w:t>
      </w:r>
      <w:r>
        <w:rPr>
          <w:rFonts w:ascii="Times New Roman" w:hAnsi="Times New Roman"/>
          <w:bCs/>
        </w:rPr>
        <w:t> </w:t>
      </w:r>
      <w:r w:rsidRPr="00DC0A30">
        <w:rPr>
          <w:rFonts w:ascii="Times New Roman" w:hAnsi="Times New Roman"/>
          <w:bCs/>
        </w:rPr>
        <w:t xml:space="preserve">terms set out in the Consolidation Agreement. </w:t>
      </w:r>
    </w:p>
    <w:p w14:paraId="185FE9AF"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bCs/>
        </w:rPr>
        <w:tab/>
        <w:t>On 10 March 2023, to facilitate performance of the Protocol and the</w:t>
      </w:r>
      <w:r>
        <w:rPr>
          <w:rFonts w:ascii="Times New Roman" w:hAnsi="Times New Roman"/>
          <w:bCs/>
        </w:rPr>
        <w:t> </w:t>
      </w:r>
      <w:r w:rsidRPr="00DC0A30">
        <w:rPr>
          <w:rFonts w:ascii="Times New Roman" w:hAnsi="Times New Roman"/>
          <w:bCs/>
        </w:rPr>
        <w:t>Consolidation Agreement when they are executed, the Applicants filed an interlocutory application seeking the Federal Court</w:t>
      </w:r>
      <w:r w:rsidRPr="00DC0A30">
        <w:rPr>
          <w:rFonts w:ascii="Times New Roman" w:hAnsi="Times New Roman"/>
        </w:rPr>
        <w:t>'s approval to distribute a notice to group members ("the Proposed Notice") pursuant to ss 33X and 33Y of the</w:t>
      </w:r>
      <w:r>
        <w:rPr>
          <w:rFonts w:ascii="Times New Roman" w:hAnsi="Times New Roman"/>
        </w:rPr>
        <w:t> </w:t>
      </w:r>
      <w:r w:rsidRPr="00DC0A30">
        <w:rPr>
          <w:rFonts w:ascii="Times New Roman" w:hAnsi="Times New Roman"/>
        </w:rPr>
        <w:t>FCA</w:t>
      </w:r>
      <w:r>
        <w:rPr>
          <w:rFonts w:ascii="Times New Roman" w:hAnsi="Times New Roman"/>
        </w:rPr>
        <w:t> </w:t>
      </w:r>
      <w:r w:rsidRPr="00DC0A30">
        <w:rPr>
          <w:rFonts w:ascii="Times New Roman" w:hAnsi="Times New Roman"/>
        </w:rPr>
        <w:t>Act which stated:</w:t>
      </w:r>
    </w:p>
    <w:p w14:paraId="3294ACCD" w14:textId="77777777" w:rsidR="006F5E1E" w:rsidRPr="00DC0A30" w:rsidRDefault="006F5E1E" w:rsidP="00DC0A30">
      <w:pPr>
        <w:pStyle w:val="leftright"/>
        <w:spacing w:before="0" w:after="260" w:line="280" w:lineRule="exact"/>
        <w:ind w:right="0"/>
        <w:jc w:val="both"/>
        <w:rPr>
          <w:rFonts w:ascii="Times New Roman" w:hAnsi="Times New Roman"/>
        </w:rPr>
      </w:pPr>
      <w:r w:rsidRPr="00DC0A30">
        <w:rPr>
          <w:rFonts w:ascii="Times New Roman" w:hAnsi="Times New Roman"/>
        </w:rPr>
        <w:t>"The solicitors for the Applicants are financing these proceedings, by</w:t>
      </w:r>
      <w:r>
        <w:rPr>
          <w:rFonts w:ascii="Times New Roman" w:hAnsi="Times New Roman"/>
        </w:rPr>
        <w:t> </w:t>
      </w:r>
      <w:r w:rsidRPr="00DC0A30">
        <w:rPr>
          <w:rFonts w:ascii="Times New Roman" w:hAnsi="Times New Roman"/>
        </w:rPr>
        <w:t>paying lawyers in their employ as well as barristers and other experts, and by taking on the financial risks of conducting the proceeding, including</w:t>
      </w:r>
      <w:r>
        <w:rPr>
          <w:rFonts w:ascii="Times New Roman" w:hAnsi="Times New Roman"/>
        </w:rPr>
        <w:t> </w:t>
      </w:r>
      <w:r w:rsidRPr="00DC0A30">
        <w:rPr>
          <w:rFonts w:ascii="Times New Roman" w:hAnsi="Times New Roman"/>
        </w:rPr>
        <w:t>by indemnifying the Applicants against adverse costs, and</w:t>
      </w:r>
      <w:r>
        <w:rPr>
          <w:rFonts w:ascii="Times New Roman" w:hAnsi="Times New Roman"/>
        </w:rPr>
        <w:t> </w:t>
      </w:r>
      <w:r w:rsidRPr="00DC0A30">
        <w:rPr>
          <w:rFonts w:ascii="Times New Roman" w:hAnsi="Times New Roman"/>
        </w:rPr>
        <w:t>furnishing any security for costs ordered by the Court.</w:t>
      </w:r>
    </w:p>
    <w:p w14:paraId="0CB6003B" w14:textId="77777777" w:rsidR="006F5E1E" w:rsidRPr="00DC0A30" w:rsidRDefault="006F5E1E" w:rsidP="00DC0A30">
      <w:pPr>
        <w:pStyle w:val="leftright"/>
        <w:spacing w:before="0" w:after="260" w:line="280" w:lineRule="exact"/>
        <w:ind w:right="0"/>
        <w:jc w:val="both"/>
        <w:rPr>
          <w:rFonts w:ascii="Times New Roman" w:hAnsi="Times New Roman"/>
        </w:rPr>
      </w:pPr>
      <w:r w:rsidRPr="00DC0A30">
        <w:rPr>
          <w:rFonts w:ascii="Times New Roman" w:hAnsi="Times New Roman"/>
        </w:rPr>
        <w:t>If a settlement or judgment in the Class Action results in compensation being payable to you, the Applicants will ask the Court (who has the power to make the below orders) to make an order that a portion of the</w:t>
      </w:r>
      <w:r>
        <w:rPr>
          <w:rFonts w:ascii="Times New Roman" w:hAnsi="Times New Roman"/>
        </w:rPr>
        <w:t> </w:t>
      </w:r>
      <w:r w:rsidRPr="00DC0A30">
        <w:rPr>
          <w:rFonts w:ascii="Times New Roman" w:hAnsi="Times New Roman"/>
        </w:rPr>
        <w:t>compensation be used to remunerate the [Solicitors] for the value of their work, the expenses and outgoings (disbursements) they incurred, and</w:t>
      </w:r>
      <w:r>
        <w:rPr>
          <w:rFonts w:ascii="Times New Roman" w:hAnsi="Times New Roman"/>
        </w:rPr>
        <w:t> </w:t>
      </w:r>
      <w:r w:rsidRPr="00DC0A30">
        <w:rPr>
          <w:rFonts w:ascii="Times New Roman" w:hAnsi="Times New Roman"/>
        </w:rPr>
        <w:t>the financial risks they took, in running the Class Action (a</w:t>
      </w:r>
      <w:r>
        <w:rPr>
          <w:rFonts w:ascii="Times New Roman" w:hAnsi="Times New Roman"/>
        </w:rPr>
        <w:t> </w:t>
      </w:r>
      <w:r w:rsidRPr="00DC0A30">
        <w:rPr>
          <w:rFonts w:ascii="Times New Roman" w:hAnsi="Times New Roman"/>
          <w:b/>
          <w:bCs/>
        </w:rPr>
        <w:t>Solicitors'</w:t>
      </w:r>
      <w:r>
        <w:rPr>
          <w:rFonts w:ascii="Times New Roman" w:hAnsi="Times New Roman"/>
          <w:b/>
          <w:bCs/>
        </w:rPr>
        <w:t> </w:t>
      </w:r>
      <w:r w:rsidRPr="00DC0A30">
        <w:rPr>
          <w:rFonts w:ascii="Times New Roman" w:hAnsi="Times New Roman"/>
          <w:b/>
          <w:bCs/>
        </w:rPr>
        <w:t>CFO</w:t>
      </w:r>
      <w:r w:rsidRPr="00DC0A30">
        <w:rPr>
          <w:rFonts w:ascii="Times New Roman" w:hAnsi="Times New Roman"/>
        </w:rPr>
        <w:t xml:space="preserve">). If it makes a Solicitors' CFO, the Court has power to decide what portion of the compensation should be paid to the </w:t>
      </w:r>
      <w:proofErr w:type="gramStart"/>
      <w:r w:rsidRPr="00DC0A30">
        <w:rPr>
          <w:rFonts w:ascii="Times New Roman" w:hAnsi="Times New Roman"/>
        </w:rPr>
        <w:t>solicitors, and</w:t>
      </w:r>
      <w:proofErr w:type="gramEnd"/>
      <w:r w:rsidRPr="00DC0A30">
        <w:rPr>
          <w:rFonts w:ascii="Times New Roman" w:hAnsi="Times New Roman"/>
        </w:rPr>
        <w:t xml:space="preserve"> will set a proportion that the Court considers fair and reasonable in all the circumstances. The solicitors will not ask the Court to approve an amount that is greater than what a </w:t>
      </w:r>
      <w:proofErr w:type="gramStart"/>
      <w:r w:rsidRPr="00DC0A30">
        <w:rPr>
          <w:rFonts w:ascii="Times New Roman" w:hAnsi="Times New Roman"/>
        </w:rPr>
        <w:t>third party</w:t>
      </w:r>
      <w:proofErr w:type="gramEnd"/>
      <w:r w:rsidRPr="00DC0A30">
        <w:rPr>
          <w:rFonts w:ascii="Times New Roman" w:hAnsi="Times New Roman"/>
        </w:rPr>
        <w:t xml:space="preserve"> litigation funder would seek for funding this proceeding, which is up to 30% of the total recovery plus reimbursement of its out-of-pocket costs.</w:t>
      </w:r>
    </w:p>
    <w:p w14:paraId="3D337D0C" w14:textId="77777777" w:rsidR="006F5E1E" w:rsidRDefault="006F5E1E" w:rsidP="00DC0A30">
      <w:pPr>
        <w:pStyle w:val="leftright"/>
        <w:spacing w:before="0" w:after="260" w:line="280" w:lineRule="exact"/>
        <w:ind w:right="0"/>
        <w:jc w:val="both"/>
        <w:rPr>
          <w:rFonts w:ascii="Times New Roman" w:hAnsi="Times New Roman"/>
        </w:rPr>
      </w:pPr>
      <w:r w:rsidRPr="00DC0A30">
        <w:rPr>
          <w:rFonts w:ascii="Times New Roman" w:hAnsi="Times New Roman"/>
        </w:rPr>
        <w:t xml:space="preserve">Some group members have previously entered 'litigation funding agreements' with International Litigation Partners No 10 Pte Ltd [('ILP')]. </w:t>
      </w:r>
      <w:r w:rsidRPr="00DC0A30">
        <w:rPr>
          <w:rFonts w:ascii="Times New Roman" w:hAnsi="Times New Roman"/>
        </w:rPr>
        <w:lastRenderedPageBreak/>
        <w:t xml:space="preserve">If the Solicitors' CFO is made, it will wholly replace the ILP funding agreements." </w:t>
      </w:r>
    </w:p>
    <w:p w14:paraId="7B51163D"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It is envisaged that if</w:t>
      </w:r>
      <w:r w:rsidRPr="00DC0A30" w:rsidDel="00F471BE">
        <w:rPr>
          <w:rFonts w:ascii="Times New Roman" w:hAnsi="Times New Roman"/>
        </w:rPr>
        <w:t xml:space="preserve"> </w:t>
      </w:r>
      <w:r w:rsidRPr="00DC0A30">
        <w:rPr>
          <w:rFonts w:ascii="Times New Roman" w:hAnsi="Times New Roman"/>
        </w:rPr>
        <w:t>the terms of the Proposed Notice are approved by the</w:t>
      </w:r>
      <w:r>
        <w:rPr>
          <w:rFonts w:ascii="Times New Roman" w:hAnsi="Times New Roman"/>
        </w:rPr>
        <w:t> </w:t>
      </w:r>
      <w:r w:rsidRPr="00DC0A30">
        <w:rPr>
          <w:rFonts w:ascii="Times New Roman" w:hAnsi="Times New Roman"/>
        </w:rPr>
        <w:t>Court, then, with the agreement of the Applicants, the terms of the existing costs agreement between each Applicant and their solicitor will be amended. In</w:t>
      </w:r>
      <w:r>
        <w:rPr>
          <w:rFonts w:ascii="Times New Roman" w:hAnsi="Times New Roman"/>
        </w:rPr>
        <w:t> </w:t>
      </w:r>
      <w:r w:rsidRPr="00DC0A30">
        <w:rPr>
          <w:rFonts w:ascii="Times New Roman" w:hAnsi="Times New Roman"/>
        </w:rPr>
        <w:t xml:space="preserve">the case of Banton Group, the existing costs agreement between Banton Group and R&amp;B Investments ("the Banton Costs Agreement") will be amended by an "Addendum" which was in evidence. </w:t>
      </w:r>
    </w:p>
    <w:p w14:paraId="70CF1D0A"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Banton Costs Agreement recorded that that agreement, together with Banton Group's "General Terms of Business", set out the terms of its offer to provide legal services to R&amp;B Investments and constituted its "costs agreement and disclosure pursuant to the [LPUL]". Clause 3.1 of the Banton Costs Agreement, under the heading "Funding Agreement", provided that:</w:t>
      </w:r>
    </w:p>
    <w:p w14:paraId="549A04A3" w14:textId="77777777" w:rsidR="006F5E1E" w:rsidRDefault="006F5E1E" w:rsidP="00DC0A30">
      <w:pPr>
        <w:pStyle w:val="leftright"/>
        <w:spacing w:before="0" w:after="260" w:line="280" w:lineRule="exact"/>
        <w:ind w:right="0"/>
        <w:jc w:val="both"/>
        <w:rPr>
          <w:rFonts w:ascii="Times New Roman" w:hAnsi="Times New Roman"/>
        </w:rPr>
      </w:pPr>
      <w:r w:rsidRPr="00DC0A30">
        <w:rPr>
          <w:rFonts w:ascii="Times New Roman" w:hAnsi="Times New Roman"/>
        </w:rPr>
        <w:t>"While you are primarily liable to this firm for the costs incurred in the</w:t>
      </w:r>
      <w:r>
        <w:rPr>
          <w:rFonts w:ascii="Times New Roman" w:hAnsi="Times New Roman"/>
        </w:rPr>
        <w:t> </w:t>
      </w:r>
      <w:r w:rsidRPr="00DC0A30">
        <w:rPr>
          <w:rFonts w:ascii="Times New Roman" w:hAnsi="Times New Roman"/>
        </w:rPr>
        <w:t>Proceedings, we understand you will sign a funding agreement with [ILP] and are in the process of arranging execution. Pursuant to this retainer and the funding agreement, this firm's invoices will be addressed to you, care of ILP and will be paid by ILP."</w:t>
      </w:r>
    </w:p>
    <w:p w14:paraId="33B0D2BB" w14:textId="77777777" w:rsidR="006F5E1E" w:rsidRPr="00DC0A30" w:rsidRDefault="006F5E1E" w:rsidP="00DC0A30">
      <w:pPr>
        <w:pStyle w:val="NormalBody"/>
        <w:spacing w:after="260" w:line="280" w:lineRule="exact"/>
        <w:ind w:right="0"/>
        <w:jc w:val="both"/>
        <w:rPr>
          <w:rFonts w:ascii="Times New Roman" w:hAnsi="Times New Roman"/>
        </w:rPr>
      </w:pPr>
      <w:r w:rsidRPr="00DC0A30">
        <w:rPr>
          <w:rFonts w:ascii="Times New Roman" w:hAnsi="Times New Roman"/>
        </w:rPr>
        <w:t>In the event ILP did not pay any of the firm's invoices, Banton Group confirmed that it would not enforce any of the costs against R&amp;B Investments.</w:t>
      </w:r>
      <w:r w:rsidRPr="00DC0A30">
        <w:rPr>
          <w:rStyle w:val="FootnoteReference"/>
          <w:rFonts w:ascii="Times New Roman" w:hAnsi="Times New Roman"/>
          <w:sz w:val="24"/>
        </w:rPr>
        <w:footnoteReference w:id="41"/>
      </w:r>
      <w:r w:rsidRPr="00DC0A30">
        <w:rPr>
          <w:rFonts w:ascii="Times New Roman" w:hAnsi="Times New Roman"/>
        </w:rPr>
        <w:t xml:space="preserve"> The basis on which its professional fees were charged and calculated on an hourly basis was then set out. Banton Group's General Terms of Business were annexed to the Banton Costs Agreement.</w:t>
      </w:r>
    </w:p>
    <w:p w14:paraId="219130E5"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proposed Addendum to the Banton Costs Agreement envisaged it being executed as an agreement between R&amp;B Investments and Banton Group. The</w:t>
      </w:r>
      <w:r>
        <w:rPr>
          <w:rFonts w:ascii="Times New Roman" w:hAnsi="Times New Roman"/>
        </w:rPr>
        <w:t> </w:t>
      </w:r>
      <w:r w:rsidRPr="00DC0A30">
        <w:rPr>
          <w:rFonts w:ascii="Times New Roman" w:hAnsi="Times New Roman"/>
        </w:rPr>
        <w:t>Addendum provided for amendments to the Banton Costs Agreement which relevantly provided that, after cl 3 of the Banton Costs Agreement, a new cl 3A be inserted as follows:</w:t>
      </w:r>
    </w:p>
    <w:p w14:paraId="5A0D7650" w14:textId="77777777" w:rsidR="006F5E1E" w:rsidRPr="00DC0A30" w:rsidRDefault="006F5E1E" w:rsidP="00DC0A30">
      <w:pPr>
        <w:pStyle w:val="leftright"/>
        <w:keepNext/>
        <w:spacing w:before="0" w:after="260" w:line="280" w:lineRule="exact"/>
        <w:ind w:right="0"/>
        <w:jc w:val="both"/>
        <w:rPr>
          <w:rFonts w:ascii="Times New Roman" w:hAnsi="Times New Roman"/>
        </w:rPr>
      </w:pPr>
      <w:r w:rsidRPr="00DC0A30">
        <w:rPr>
          <w:rFonts w:ascii="Times New Roman" w:hAnsi="Times New Roman"/>
        </w:rPr>
        <w:t>"</w:t>
      </w:r>
      <w:r w:rsidRPr="00DC0A30">
        <w:rPr>
          <w:rFonts w:ascii="Times New Roman" w:hAnsi="Times New Roman"/>
          <w:b/>
          <w:bCs/>
        </w:rPr>
        <w:t>3A.</w:t>
      </w:r>
      <w:r w:rsidRPr="00DC0A30">
        <w:rPr>
          <w:rFonts w:ascii="Times New Roman" w:hAnsi="Times New Roman"/>
          <w:b/>
          <w:bCs/>
        </w:rPr>
        <w:tab/>
        <w:t>ALTERNATIVE FUNDING ARRANGEMENTS</w:t>
      </w:r>
    </w:p>
    <w:p w14:paraId="5180D2F2" w14:textId="77777777" w:rsidR="006F5E1E" w:rsidRPr="00DC0A30" w:rsidRDefault="006F5E1E" w:rsidP="00DC0A30">
      <w:pPr>
        <w:pStyle w:val="leftright"/>
        <w:spacing w:before="0" w:after="260" w:line="280" w:lineRule="exact"/>
        <w:ind w:left="1440" w:right="0" w:hanging="720"/>
        <w:jc w:val="both"/>
        <w:rPr>
          <w:rFonts w:ascii="Times New Roman" w:hAnsi="Times New Roman"/>
          <w:i/>
          <w:iCs/>
        </w:rPr>
      </w:pPr>
      <w:r w:rsidRPr="00DC0A30">
        <w:rPr>
          <w:rFonts w:ascii="Times New Roman" w:hAnsi="Times New Roman"/>
        </w:rPr>
        <w:t>3A.1</w:t>
      </w:r>
      <w:r w:rsidRPr="00DC0A30">
        <w:rPr>
          <w:rFonts w:ascii="Times New Roman" w:hAnsi="Times New Roman"/>
        </w:rPr>
        <w:tab/>
        <w:t>You have instructed us to seek Court orders establishing a funding arrangement in substitution for the ILP Funding Agreement described in Section 3 above.</w:t>
      </w:r>
    </w:p>
    <w:p w14:paraId="56297FBB"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lastRenderedPageBreak/>
        <w:t>3A.2</w:t>
      </w:r>
      <w:r w:rsidRPr="00DC0A30">
        <w:rPr>
          <w:rFonts w:ascii="Times New Roman" w:hAnsi="Times New Roman"/>
        </w:rPr>
        <w:tab/>
        <w:t>Specifically, you have instructed us to:</w:t>
      </w:r>
    </w:p>
    <w:p w14:paraId="1115FF67"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w:t>
      </w:r>
    </w:p>
    <w:p w14:paraId="13F3DD6D"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(c)</w:t>
      </w:r>
      <w:r w:rsidRPr="00DC0A30">
        <w:rPr>
          <w:rFonts w:ascii="Times New Roman" w:hAnsi="Times New Roman"/>
        </w:rPr>
        <w:tab/>
        <w:t>at an appropriate stage of the proceeding – to the extent permitted by law seek orders that or to the effect that:</w:t>
      </w:r>
    </w:p>
    <w:p w14:paraId="0D824B42" w14:textId="77777777" w:rsidR="006F5E1E" w:rsidRPr="00DC0A30" w:rsidRDefault="006F5E1E" w:rsidP="00DC0A30">
      <w:pPr>
        <w:pStyle w:val="leftright"/>
        <w:spacing w:before="0" w:after="260" w:line="280" w:lineRule="exact"/>
        <w:ind w:left="2880" w:right="0" w:hanging="720"/>
        <w:jc w:val="both"/>
        <w:rPr>
          <w:rFonts w:ascii="Times New Roman" w:hAnsi="Times New Roman"/>
        </w:rPr>
      </w:pPr>
      <w:proofErr w:type="spellStart"/>
      <w:r w:rsidRPr="00DC0A30">
        <w:rPr>
          <w:rFonts w:ascii="Times New Roman" w:hAnsi="Times New Roman"/>
        </w:rPr>
        <w:t>i</w:t>
      </w:r>
      <w:proofErr w:type="spellEnd"/>
      <w:r w:rsidRPr="00DC0A30">
        <w:rPr>
          <w:rFonts w:ascii="Times New Roman" w:hAnsi="Times New Roman"/>
        </w:rPr>
        <w:t>.</w:t>
      </w:r>
      <w:r w:rsidRPr="00DC0A30">
        <w:rPr>
          <w:rFonts w:ascii="Times New Roman" w:hAnsi="Times New Roman"/>
        </w:rPr>
        <w:tab/>
        <w:t>legal costs and disbursements be shared between the [Applicants] and the group members in the</w:t>
      </w:r>
      <w:r>
        <w:rPr>
          <w:rFonts w:ascii="Times New Roman" w:hAnsi="Times New Roman"/>
        </w:rPr>
        <w:t> </w:t>
      </w:r>
      <w:r w:rsidRPr="00DC0A30">
        <w:rPr>
          <w:rFonts w:ascii="Times New Roman" w:hAnsi="Times New Roman"/>
        </w:rPr>
        <w:t xml:space="preserve">Consolidated Proceeding (together and severally </w:t>
      </w:r>
      <w:r w:rsidRPr="00DC0A30">
        <w:rPr>
          <w:rFonts w:ascii="Times New Roman" w:hAnsi="Times New Roman"/>
          <w:b/>
          <w:bCs/>
        </w:rPr>
        <w:t>Claimants</w:t>
      </w:r>
      <w:r w:rsidRPr="00DC0A30">
        <w:rPr>
          <w:rFonts w:ascii="Times New Roman" w:hAnsi="Times New Roman"/>
        </w:rPr>
        <w:t xml:space="preserve">) pro rata in proportion to their respective recoveries </w:t>
      </w:r>
      <w:proofErr w:type="gramStart"/>
      <w:r w:rsidRPr="00DC0A30">
        <w:rPr>
          <w:rFonts w:ascii="Times New Roman" w:hAnsi="Times New Roman"/>
        </w:rPr>
        <w:t>as a result of</w:t>
      </w:r>
      <w:proofErr w:type="gramEnd"/>
      <w:r w:rsidRPr="00DC0A30">
        <w:rPr>
          <w:rFonts w:ascii="Times New Roman" w:hAnsi="Times New Roman"/>
        </w:rPr>
        <w:t xml:space="preserve"> the proceeding or otherwise as the Court may direct (</w:t>
      </w:r>
      <w:r w:rsidRPr="00DC0A30">
        <w:rPr>
          <w:rFonts w:ascii="Times New Roman" w:hAnsi="Times New Roman"/>
          <w:b/>
          <w:bCs/>
        </w:rPr>
        <w:t>Costs Reimbursement</w:t>
      </w:r>
      <w:r w:rsidRPr="00DC0A30">
        <w:rPr>
          <w:rFonts w:ascii="Times New Roman" w:hAnsi="Times New Roman"/>
        </w:rPr>
        <w:t>); and</w:t>
      </w:r>
    </w:p>
    <w:p w14:paraId="5A8DE057" w14:textId="77777777" w:rsidR="006F5E1E" w:rsidRPr="00DC0A30" w:rsidRDefault="006F5E1E" w:rsidP="00DC0A30">
      <w:pPr>
        <w:pStyle w:val="leftright"/>
        <w:spacing w:before="0" w:after="260" w:line="280" w:lineRule="exact"/>
        <w:ind w:left="2880" w:right="0" w:hanging="720"/>
        <w:jc w:val="both"/>
        <w:rPr>
          <w:rFonts w:ascii="Times New Roman" w:hAnsi="Times New Roman"/>
        </w:rPr>
      </w:pPr>
      <w:r w:rsidRPr="00DC0A30">
        <w:rPr>
          <w:rFonts w:ascii="Times New Roman" w:hAnsi="Times New Roman"/>
        </w:rPr>
        <w:t>ii.</w:t>
      </w:r>
      <w:r w:rsidRPr="00DC0A30">
        <w:rPr>
          <w:rFonts w:ascii="Times New Roman" w:hAnsi="Times New Roman"/>
        </w:rPr>
        <w:tab/>
        <w:t>[the Solicitors] be remunerated for [their] risks in funding the legal costs and disbursements (pursuant to the agreement described in this clause 3A) by payment of such percentage of the sum recovered as a result of the Consolidated Proceeding (</w:t>
      </w:r>
      <w:r w:rsidRPr="00DC0A30">
        <w:rPr>
          <w:rFonts w:ascii="Times New Roman" w:hAnsi="Times New Roman"/>
          <w:b/>
        </w:rPr>
        <w:t>Resolution Sum</w:t>
      </w:r>
      <w:r w:rsidRPr="00DC0A30">
        <w:rPr>
          <w:rFonts w:ascii="Times New Roman" w:hAnsi="Times New Roman"/>
          <w:bCs/>
        </w:rPr>
        <w:t>)</w:t>
      </w:r>
      <w:r w:rsidRPr="00DC0A30">
        <w:rPr>
          <w:rFonts w:ascii="Times New Roman" w:hAnsi="Times New Roman"/>
        </w:rPr>
        <w:t xml:space="preserve"> as may be approved by the Court (</w:t>
      </w:r>
      <w:r w:rsidRPr="00DC0A30">
        <w:rPr>
          <w:rFonts w:ascii="Times New Roman" w:hAnsi="Times New Roman"/>
          <w:b/>
          <w:bCs/>
        </w:rPr>
        <w:t xml:space="preserve">Solicitors' Common Fund Order </w:t>
      </w:r>
      <w:r w:rsidRPr="00DC0A30">
        <w:rPr>
          <w:rFonts w:ascii="Times New Roman" w:hAnsi="Times New Roman"/>
        </w:rPr>
        <w:t xml:space="preserve">or </w:t>
      </w:r>
      <w:r w:rsidRPr="00DC0A30">
        <w:rPr>
          <w:rFonts w:ascii="Times New Roman" w:hAnsi="Times New Roman"/>
          <w:b/>
          <w:bCs/>
        </w:rPr>
        <w:t>Solicitors' CFO</w:t>
      </w:r>
      <w:proofErr w:type="gramStart"/>
      <w:r w:rsidRPr="00DC0A30">
        <w:rPr>
          <w:rFonts w:ascii="Times New Roman" w:hAnsi="Times New Roman"/>
        </w:rPr>
        <w:t>);</w:t>
      </w:r>
      <w:proofErr w:type="gramEnd"/>
    </w:p>
    <w:p w14:paraId="0FE460BF" w14:textId="77777777" w:rsidR="006F5E1E"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(d)</w:t>
      </w:r>
      <w:r w:rsidRPr="00DC0A30">
        <w:rPr>
          <w:rFonts w:ascii="Times New Roman" w:hAnsi="Times New Roman"/>
        </w:rPr>
        <w:tab/>
        <w:t xml:space="preserve">as soon as practicable in the proceeding – seek orders that notice be given to the Claimants of the matters in 3A.2(c)." </w:t>
      </w:r>
    </w:p>
    <w:p w14:paraId="47602B85"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In the event that the orders described in cl 3A.2(d) were made – being notice of those matters set out in cl 3A.2(c) – then cl 3A.3 provided</w:t>
      </w:r>
      <w:r w:rsidRPr="00DC0A30">
        <w:rPr>
          <w:rFonts w:ascii="Times New Roman" w:hAnsi="Times New Roman"/>
          <w:bCs/>
        </w:rPr>
        <w:t xml:space="preserve"> that</w:t>
      </w:r>
      <w:r w:rsidRPr="00DC0A30">
        <w:rPr>
          <w:rFonts w:ascii="Times New Roman" w:hAnsi="Times New Roman"/>
        </w:rPr>
        <w:t xml:space="preserve"> Banton Group would finance the Consolidated Proceeding (including security for costs and payment of any adverse costs orders against R&amp;B Investments) as required by the</w:t>
      </w:r>
      <w:r>
        <w:rPr>
          <w:rFonts w:ascii="Times New Roman" w:hAnsi="Times New Roman"/>
        </w:rPr>
        <w:t> </w:t>
      </w:r>
      <w:r w:rsidRPr="00DC0A30">
        <w:rPr>
          <w:rFonts w:ascii="Times New Roman" w:hAnsi="Times New Roman"/>
        </w:rPr>
        <w:t>Consolidation Agreement; Banton Group would indemnify R&amp;B Investments against any liability in respect of legal costs and disbursements, security for costs or adverse costs in or in connection with the Consolidated Proceeding; and in the</w:t>
      </w:r>
      <w:r>
        <w:rPr>
          <w:rFonts w:ascii="Times New Roman" w:hAnsi="Times New Roman"/>
        </w:rPr>
        <w:t> </w:t>
      </w:r>
      <w:r w:rsidRPr="00DC0A30">
        <w:rPr>
          <w:rFonts w:ascii="Times New Roman" w:hAnsi="Times New Roman"/>
        </w:rPr>
        <w:t>event that a Resolution Sum was obtained in the Consolidated Proceeding or otherwise in connection with the claims that are the subject of the</w:t>
      </w:r>
      <w:r>
        <w:rPr>
          <w:rFonts w:ascii="Times New Roman" w:hAnsi="Times New Roman"/>
        </w:rPr>
        <w:t> </w:t>
      </w:r>
      <w:r w:rsidRPr="00DC0A30">
        <w:rPr>
          <w:rFonts w:ascii="Times New Roman" w:hAnsi="Times New Roman"/>
        </w:rPr>
        <w:t>Consolidated</w:t>
      </w:r>
      <w:r>
        <w:rPr>
          <w:rFonts w:ascii="Times New Roman" w:hAnsi="Times New Roman"/>
        </w:rPr>
        <w:t> </w:t>
      </w:r>
      <w:r w:rsidRPr="00DC0A30">
        <w:rPr>
          <w:rFonts w:ascii="Times New Roman" w:hAnsi="Times New Roman"/>
        </w:rPr>
        <w:t>Proceeding (defined as "Claims"), Banton Group would seek the</w:t>
      </w:r>
      <w:r>
        <w:rPr>
          <w:rFonts w:ascii="Times New Roman" w:hAnsi="Times New Roman"/>
        </w:rPr>
        <w:t> </w:t>
      </w:r>
      <w:r w:rsidRPr="00DC0A30">
        <w:rPr>
          <w:rFonts w:ascii="Times New Roman" w:hAnsi="Times New Roman"/>
        </w:rPr>
        <w:t>"Costs</w:t>
      </w:r>
      <w:r>
        <w:rPr>
          <w:rFonts w:ascii="Times New Roman" w:hAnsi="Times New Roman"/>
        </w:rPr>
        <w:t> </w:t>
      </w:r>
      <w:r w:rsidRPr="00DC0A30">
        <w:rPr>
          <w:rFonts w:ascii="Times New Roman" w:hAnsi="Times New Roman"/>
        </w:rPr>
        <w:t>Reimbursement" and the "Solicitors' CFO". "Resolution Sum" was defined</w:t>
      </w:r>
      <w:r w:rsidRPr="00DC0A30">
        <w:rPr>
          <w:rStyle w:val="FootnoteReference"/>
          <w:rFonts w:ascii="Times New Roman" w:hAnsi="Times New Roman"/>
          <w:sz w:val="24"/>
        </w:rPr>
        <w:footnoteReference w:id="42"/>
      </w:r>
      <w:r w:rsidRPr="00DC0A30">
        <w:rPr>
          <w:rFonts w:ascii="Times New Roman" w:hAnsi="Times New Roman"/>
        </w:rPr>
        <w:t xml:space="preserve"> to mean "any amount or amounts, or the value of goods or services, to</w:t>
      </w:r>
      <w:r>
        <w:rPr>
          <w:rFonts w:ascii="Times New Roman" w:hAnsi="Times New Roman"/>
        </w:rPr>
        <w:t> </w:t>
      </w:r>
      <w:r w:rsidRPr="00DC0A30">
        <w:rPr>
          <w:rFonts w:ascii="Times New Roman" w:hAnsi="Times New Roman"/>
        </w:rPr>
        <w:t>which [R&amp;B</w:t>
      </w:r>
      <w:r>
        <w:rPr>
          <w:rFonts w:ascii="Times New Roman" w:hAnsi="Times New Roman"/>
        </w:rPr>
        <w:t> </w:t>
      </w:r>
      <w:r w:rsidRPr="00DC0A30">
        <w:rPr>
          <w:rFonts w:ascii="Times New Roman" w:hAnsi="Times New Roman"/>
        </w:rPr>
        <w:t>Investments] or a group member becomes entitled in connection with or satisfaction or part satisfaction of the Claims, including such amount/s or value: (</w:t>
      </w:r>
      <w:proofErr w:type="spellStart"/>
      <w:r w:rsidRPr="00DC0A30">
        <w:rPr>
          <w:rFonts w:ascii="Times New Roman" w:hAnsi="Times New Roman"/>
        </w:rPr>
        <w:t>i</w:t>
      </w:r>
      <w:proofErr w:type="spellEnd"/>
      <w:r w:rsidRPr="00DC0A30">
        <w:rPr>
          <w:rFonts w:ascii="Times New Roman" w:hAnsi="Times New Roman"/>
        </w:rPr>
        <w:t xml:space="preserve">) as a result of a settlement, judgment or arbitration; and (ii) provided by </w:t>
      </w:r>
      <w:r w:rsidRPr="00DC0A30">
        <w:rPr>
          <w:rFonts w:ascii="Times New Roman" w:hAnsi="Times New Roman"/>
        </w:rPr>
        <w:lastRenderedPageBreak/>
        <w:t>a respondent in the Consolidated Proceeding or any other person, including a person against whom any respondent claims any indemnity, apportionment or contribution".</w:t>
      </w:r>
    </w:p>
    <w:p w14:paraId="4F7266A1"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Clause 3A.4 of the Addendum recorded that, "[f]or the avoidance of doubt, by entering into this agreement" R&amp;B Investments (a) agrees that Banton Group are to seek orders as described in cl 3A; (b) does not agree to any particular remuneration, or form of remuneration, to be paid to Banton Group from the</w:t>
      </w:r>
      <w:r>
        <w:rPr>
          <w:rFonts w:ascii="Times New Roman" w:hAnsi="Times New Roman"/>
        </w:rPr>
        <w:t> </w:t>
      </w:r>
      <w:r w:rsidRPr="00DC0A30">
        <w:rPr>
          <w:rFonts w:ascii="Times New Roman" w:hAnsi="Times New Roman"/>
        </w:rPr>
        <w:t xml:space="preserve">Resolution Sum; and (c) agrees that the form and value of remuneration to be provided to Banton Group will be determined by, and take effect pursuant only to, any order for Costs Reimbursement or Solicitors' CFO. </w:t>
      </w:r>
    </w:p>
    <w:p w14:paraId="72D81C1B"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Three further matters about these arrangements should be noted. First,</w:t>
      </w:r>
      <w:r>
        <w:rPr>
          <w:rFonts w:ascii="Times New Roman" w:hAnsi="Times New Roman"/>
        </w:rPr>
        <w:t> </w:t>
      </w:r>
      <w:r w:rsidRPr="00DC0A30">
        <w:rPr>
          <w:rFonts w:ascii="Times New Roman" w:hAnsi="Times New Roman"/>
        </w:rPr>
        <w:t>Shine Lawyers intended to enter into an updated costs agreement with Mr</w:t>
      </w:r>
      <w:r>
        <w:rPr>
          <w:rFonts w:ascii="Times New Roman" w:hAnsi="Times New Roman"/>
        </w:rPr>
        <w:t> </w:t>
      </w:r>
      <w:r w:rsidRPr="00DC0A30">
        <w:rPr>
          <w:rFonts w:ascii="Times New Roman" w:hAnsi="Times New Roman"/>
        </w:rPr>
        <w:t>Furniss to substantially the same effect as the Addendum to the Banton Costs</w:t>
      </w:r>
      <w:r>
        <w:rPr>
          <w:rFonts w:ascii="Times New Roman" w:hAnsi="Times New Roman"/>
        </w:rPr>
        <w:t> </w:t>
      </w:r>
      <w:r w:rsidRPr="00DC0A30">
        <w:rPr>
          <w:rFonts w:ascii="Times New Roman" w:hAnsi="Times New Roman"/>
        </w:rPr>
        <w:t>Agreement. Second, the evidence before the Full Court of the Federal Court was to the effect that neither of the Solicitors was or is willing to conduct the</w:t>
      </w:r>
      <w:r>
        <w:rPr>
          <w:rFonts w:ascii="Times New Roman" w:hAnsi="Times New Roman"/>
        </w:rPr>
        <w:t> </w:t>
      </w:r>
      <w:r w:rsidRPr="00DC0A30">
        <w:rPr>
          <w:rFonts w:ascii="Times New Roman" w:hAnsi="Times New Roman"/>
        </w:rPr>
        <w:t xml:space="preserve">Consolidated Proceeding on a "no win, no fee" basis. The stated basis for that view was the "significant risks involved with outlaying legal </w:t>
      </w:r>
      <w:proofErr w:type="gramStart"/>
      <w:r w:rsidRPr="00DC0A30">
        <w:rPr>
          <w:rFonts w:ascii="Times New Roman" w:hAnsi="Times New Roman"/>
        </w:rPr>
        <w:t>costs, and</w:t>
      </w:r>
      <w:proofErr w:type="gramEnd"/>
      <w:r w:rsidRPr="00DC0A30">
        <w:rPr>
          <w:rFonts w:ascii="Times New Roman" w:hAnsi="Times New Roman"/>
        </w:rPr>
        <w:t xml:space="preserve"> taking responsibility for any adverse costs and security for costs (weighed against the likely uplift available on those fees)". Third, the evidence before the</w:t>
      </w:r>
      <w:r>
        <w:rPr>
          <w:rFonts w:ascii="Times New Roman" w:hAnsi="Times New Roman"/>
        </w:rPr>
        <w:t> </w:t>
      </w:r>
      <w:r w:rsidRPr="00DC0A30">
        <w:rPr>
          <w:rFonts w:ascii="Times New Roman" w:hAnsi="Times New Roman"/>
        </w:rPr>
        <w:t>Full</w:t>
      </w:r>
      <w:r>
        <w:rPr>
          <w:rFonts w:ascii="Times New Roman" w:hAnsi="Times New Roman"/>
        </w:rPr>
        <w:t> </w:t>
      </w:r>
      <w:r w:rsidRPr="00DC0A30">
        <w:rPr>
          <w:rFonts w:ascii="Times New Roman" w:hAnsi="Times New Roman"/>
        </w:rPr>
        <w:t>Court</w:t>
      </w:r>
      <w:r>
        <w:rPr>
          <w:rFonts w:ascii="Times New Roman" w:hAnsi="Times New Roman"/>
        </w:rPr>
        <w:t> </w:t>
      </w:r>
      <w:r w:rsidRPr="00DC0A30">
        <w:rPr>
          <w:rFonts w:ascii="Times New Roman" w:hAnsi="Times New Roman"/>
        </w:rPr>
        <w:t>was also to the effect that neither of the Solicitors was willing to conduct the Consolidated Proceeding on an ongoing basis without the</w:t>
      </w:r>
      <w:r>
        <w:rPr>
          <w:rFonts w:ascii="Times New Roman" w:hAnsi="Times New Roman"/>
        </w:rPr>
        <w:t> </w:t>
      </w:r>
      <w:r w:rsidRPr="00DC0A30">
        <w:rPr>
          <w:rFonts w:ascii="Times New Roman" w:hAnsi="Times New Roman"/>
        </w:rPr>
        <w:t>Federal</w:t>
      </w:r>
      <w:r>
        <w:rPr>
          <w:rFonts w:ascii="Times New Roman" w:hAnsi="Times New Roman"/>
        </w:rPr>
        <w:t> </w:t>
      </w:r>
      <w:r w:rsidRPr="00DC0A30">
        <w:rPr>
          <w:rFonts w:ascii="Times New Roman" w:hAnsi="Times New Roman"/>
        </w:rPr>
        <w:t>Court determining, at an early stage, whether the Court had power to make a Solicitors'</w:t>
      </w:r>
      <w:r>
        <w:rPr>
          <w:rFonts w:ascii="Times New Roman" w:hAnsi="Times New Roman"/>
        </w:rPr>
        <w:t> </w:t>
      </w:r>
      <w:r w:rsidRPr="00DC0A30">
        <w:rPr>
          <w:rFonts w:ascii="Times New Roman" w:hAnsi="Times New Roman"/>
        </w:rPr>
        <w:t>CFO.</w:t>
      </w:r>
    </w:p>
    <w:p w14:paraId="67BB2E0B"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Lastly, it must be emphasised that the phrase "Solicitors' CFO", as used in the Proposed Notice, the proposed agreements and the balance of this judgment, refers to an order authorising a payment to the solicitors for the applicants conducting the proceedings out of a settlement or judgment sum calculated by reference to a "percentage of the sum recovered" or the value of any property that may be recovered. It is not a reference to an order authorising a payment out of a settlement or judgment sum to the solicitors acting for a representative party representing their costs and disbursements paid by reference to a scale or hourly</w:t>
      </w:r>
      <w:r>
        <w:rPr>
          <w:rFonts w:ascii="Times New Roman" w:hAnsi="Times New Roman"/>
        </w:rPr>
        <w:t> </w:t>
      </w:r>
      <w:r w:rsidRPr="00DC0A30">
        <w:rPr>
          <w:rFonts w:ascii="Times New Roman" w:hAnsi="Times New Roman"/>
        </w:rPr>
        <w:t>rates.</w:t>
      </w:r>
    </w:p>
    <w:p w14:paraId="12E24E1D" w14:textId="77777777" w:rsidR="006F5E1E" w:rsidRPr="00DC0A30" w:rsidRDefault="006F5E1E" w:rsidP="00DC0A30">
      <w:pPr>
        <w:pStyle w:val="HeadingL1"/>
        <w:spacing w:after="260" w:line="280" w:lineRule="exact"/>
        <w:ind w:right="0"/>
        <w:jc w:val="both"/>
        <w:rPr>
          <w:rFonts w:ascii="Times New Roman" w:hAnsi="Times New Roman"/>
        </w:rPr>
      </w:pPr>
      <w:r w:rsidRPr="00DC0A30">
        <w:rPr>
          <w:rFonts w:ascii="Times New Roman" w:hAnsi="Times New Roman"/>
        </w:rPr>
        <w:t>Reserved question and the appeals</w:t>
      </w:r>
    </w:p>
    <w:p w14:paraId="0EDB7A84"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That was the background to the Applicants filing the interlocutory application in the Federal Court seeking the Court's approval to distribute the Proposed Notice to group members pursuant to ss 33X and 33Y of the FCA Act. In short, if the Proposed Notice was approved, the Solicitors would seek amendment of their costs agreements to include terms consistent with </w:t>
      </w:r>
      <w:proofErr w:type="spellStart"/>
      <w:r w:rsidRPr="00DC0A30">
        <w:rPr>
          <w:rFonts w:ascii="Times New Roman" w:hAnsi="Times New Roman"/>
        </w:rPr>
        <w:t>cll</w:t>
      </w:r>
      <w:proofErr w:type="spellEnd"/>
      <w:r w:rsidRPr="00DC0A30">
        <w:rPr>
          <w:rFonts w:ascii="Times New Roman" w:hAnsi="Times New Roman"/>
        </w:rPr>
        <w:t xml:space="preserve"> 3A.2, </w:t>
      </w:r>
      <w:r w:rsidRPr="00DC0A30">
        <w:rPr>
          <w:rFonts w:ascii="Times New Roman" w:hAnsi="Times New Roman"/>
        </w:rPr>
        <w:lastRenderedPageBreak/>
        <w:t>3A.3 and 3A.4 of the Addendum, including the Solicitors' right to recover the</w:t>
      </w:r>
      <w:r>
        <w:rPr>
          <w:rFonts w:ascii="Times New Roman" w:hAnsi="Times New Roman"/>
        </w:rPr>
        <w:t> </w:t>
      </w:r>
      <w:r w:rsidRPr="00DC0A30">
        <w:rPr>
          <w:rFonts w:ascii="Times New Roman" w:hAnsi="Times New Roman"/>
        </w:rPr>
        <w:t>Costs</w:t>
      </w:r>
      <w:r>
        <w:rPr>
          <w:rFonts w:ascii="Times New Roman" w:hAnsi="Times New Roman"/>
        </w:rPr>
        <w:t> </w:t>
      </w:r>
      <w:r w:rsidRPr="00DC0A30">
        <w:rPr>
          <w:rFonts w:ascii="Times New Roman" w:hAnsi="Times New Roman"/>
        </w:rPr>
        <w:t xml:space="preserve">Reimbursement and the Solicitors' CFO. </w:t>
      </w:r>
    </w:p>
    <w:p w14:paraId="14F7D47A"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interlocutory application came before Lee J, who made an order that the following question be reserved before the Full Court of the Federal Court pursuant to s 25(6) of the FCA Act:</w:t>
      </w:r>
      <w:r w:rsidRPr="00DC0A30">
        <w:rPr>
          <w:rStyle w:val="FootnoteReference"/>
          <w:rFonts w:ascii="Times New Roman" w:hAnsi="Times New Roman"/>
          <w:sz w:val="24"/>
        </w:rPr>
        <w:footnoteReference w:id="43"/>
      </w:r>
    </w:p>
    <w:p w14:paraId="029EFA7B" w14:textId="77777777" w:rsidR="006F5E1E" w:rsidRDefault="006F5E1E" w:rsidP="00DC0A30">
      <w:pPr>
        <w:pStyle w:val="leftright"/>
        <w:spacing w:before="0" w:after="260" w:line="280" w:lineRule="exact"/>
        <w:ind w:right="0"/>
        <w:jc w:val="both"/>
        <w:rPr>
          <w:rFonts w:ascii="Times New Roman" w:hAnsi="Times New Roman"/>
          <w:bCs/>
        </w:rPr>
      </w:pPr>
      <w:r w:rsidRPr="00DC0A30">
        <w:rPr>
          <w:rFonts w:ascii="Times New Roman" w:hAnsi="Times New Roman"/>
        </w:rPr>
        <w:t xml:space="preserve">"Is it a licit exercise of power, pursuant to statutory powers conferred within Pt IVA of the [FCA Act], </w:t>
      </w:r>
      <w:r w:rsidRPr="00DC0A30">
        <w:rPr>
          <w:rFonts w:ascii="Times New Roman" w:hAnsi="Times New Roman"/>
          <w:u w:val="single"/>
        </w:rPr>
        <w:t>or otherwise,</w:t>
      </w:r>
      <w:r w:rsidRPr="00DC0A30">
        <w:rPr>
          <w:rFonts w:ascii="Times New Roman" w:hAnsi="Times New Roman"/>
        </w:rPr>
        <w:t xml:space="preserve"> for the Court, upon the settlement or judgment of a representative proceeding, to make an order (being a 'common fund order', as that term is defined in </w:t>
      </w:r>
      <w:r w:rsidRPr="00DC0A30">
        <w:rPr>
          <w:rFonts w:ascii="Times New Roman" w:hAnsi="Times New Roman"/>
          <w:i/>
          <w:iCs/>
        </w:rPr>
        <w:t xml:space="preserve">Davaria Pty Ltd v 7-Eleven Stores Pty Ltd </w:t>
      </w:r>
      <w:r w:rsidRPr="00DC0A30">
        <w:rPr>
          <w:rFonts w:ascii="Times New Roman" w:hAnsi="Times New Roman"/>
        </w:rPr>
        <w:t xml:space="preserve">[2020] FCAFC 183; (2020) 281 FCR 501 at [19], [22]-[30]) which would provide for the distribution of funds </w:t>
      </w:r>
      <w:r w:rsidRPr="00DC0A30">
        <w:rPr>
          <w:rFonts w:ascii="Times New Roman" w:hAnsi="Times New Roman"/>
          <w:u w:val="single"/>
        </w:rPr>
        <w:t>or other property</w:t>
      </w:r>
      <w:r w:rsidRPr="00DC0A30">
        <w:rPr>
          <w:rFonts w:ascii="Times New Roman" w:hAnsi="Times New Roman"/>
        </w:rPr>
        <w:t xml:space="preserve"> to a solicitor otherwise than as payment for costs and disbursements incurred in relation to the conduct of the proceeding?"</w:t>
      </w:r>
    </w:p>
    <w:p w14:paraId="27FBEFF7"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Full Court answered the amended reserved question "Yes". In this Court, Mr Kain, Mr Shand and EY were granted special leave to appeal to challenge that answer. Their appeals were heard together. The Association of Litigation Funders of Australia was given leave to intervene on the hearing of the</w:t>
      </w:r>
      <w:r>
        <w:rPr>
          <w:rFonts w:ascii="Times New Roman" w:hAnsi="Times New Roman"/>
        </w:rPr>
        <w:t> </w:t>
      </w:r>
      <w:r w:rsidRPr="00DC0A30">
        <w:rPr>
          <w:rFonts w:ascii="Times New Roman" w:hAnsi="Times New Roman"/>
        </w:rPr>
        <w:t xml:space="preserve">appeals. </w:t>
      </w:r>
    </w:p>
    <w:p w14:paraId="0731A1D1"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r>
      <w:proofErr w:type="gramStart"/>
      <w:r w:rsidRPr="00DC0A30">
        <w:rPr>
          <w:rFonts w:ascii="Times New Roman" w:hAnsi="Times New Roman"/>
        </w:rPr>
        <w:t>During the course of</w:t>
      </w:r>
      <w:proofErr w:type="gramEnd"/>
      <w:r w:rsidRPr="00DC0A30">
        <w:rPr>
          <w:rFonts w:ascii="Times New Roman" w:hAnsi="Times New Roman"/>
        </w:rPr>
        <w:t xml:space="preserve"> the hearing of the appeals, a number of difficulties emerged with the reserved question. </w:t>
      </w:r>
    </w:p>
    <w:p w14:paraId="16197332"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First, the question posed was expressed as a question about the power of the Federal Court, upon the settlement of or judgment</w:t>
      </w:r>
      <w:r w:rsidRPr="00DC0A30" w:rsidDel="00DC4235">
        <w:rPr>
          <w:rFonts w:ascii="Times New Roman" w:hAnsi="Times New Roman"/>
        </w:rPr>
        <w:t xml:space="preserve"> </w:t>
      </w:r>
      <w:r w:rsidRPr="00DC0A30">
        <w:rPr>
          <w:rFonts w:ascii="Times New Roman" w:hAnsi="Times New Roman"/>
        </w:rPr>
        <w:t>in a representative proceeding, to make an order "which would provide for the distribution of funds ... to a solicitor otherwise than as payment for costs and disbursements incurred in relation to the</w:t>
      </w:r>
      <w:r>
        <w:rPr>
          <w:rFonts w:ascii="Times New Roman" w:hAnsi="Times New Roman"/>
        </w:rPr>
        <w:t> </w:t>
      </w:r>
      <w:r w:rsidRPr="00DC0A30">
        <w:rPr>
          <w:rFonts w:ascii="Times New Roman" w:hAnsi="Times New Roman"/>
        </w:rPr>
        <w:t>conduct of the proceeding". That last phrase did not squarely identify that the</w:t>
      </w:r>
      <w:r>
        <w:rPr>
          <w:rFonts w:ascii="Times New Roman" w:hAnsi="Times New Roman"/>
        </w:rPr>
        <w:t> </w:t>
      </w:r>
      <w:r w:rsidRPr="00DC0A30">
        <w:rPr>
          <w:rFonts w:ascii="Times New Roman" w:hAnsi="Times New Roman"/>
        </w:rPr>
        <w:t>real issue was whether the order that the Solicitors proposed that the</w:t>
      </w:r>
      <w:r>
        <w:rPr>
          <w:rFonts w:ascii="Times New Roman" w:hAnsi="Times New Roman"/>
        </w:rPr>
        <w:t> </w:t>
      </w:r>
      <w:r w:rsidRPr="00DC0A30">
        <w:rPr>
          <w:rFonts w:ascii="Times New Roman" w:hAnsi="Times New Roman"/>
        </w:rPr>
        <w:t>Federal</w:t>
      </w:r>
      <w:r>
        <w:rPr>
          <w:rFonts w:ascii="Times New Roman" w:hAnsi="Times New Roman"/>
        </w:rPr>
        <w:t> </w:t>
      </w:r>
      <w:r w:rsidRPr="00DC0A30">
        <w:rPr>
          <w:rFonts w:ascii="Times New Roman" w:hAnsi="Times New Roman"/>
        </w:rPr>
        <w:t xml:space="preserve">Court should make fell within the prohibition against solicitors charging contingency fees contrary to s 183 of the LPUL. </w:t>
      </w:r>
    </w:p>
    <w:p w14:paraId="6964F557"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Second, the question assumed that the payment which would be authorised would be "otherwise than" as payment for costs and disbursements incurred in </w:t>
      </w:r>
      <w:r w:rsidRPr="00DC0A30">
        <w:rPr>
          <w:rFonts w:ascii="Times New Roman" w:hAnsi="Times New Roman"/>
        </w:rPr>
        <w:lastRenderedPageBreak/>
        <w:t>relation to the Solicitors' conduct of the Consolidated Proceeding when, in fact, the</w:t>
      </w:r>
      <w:r>
        <w:rPr>
          <w:rFonts w:ascii="Times New Roman" w:hAnsi="Times New Roman"/>
        </w:rPr>
        <w:t> </w:t>
      </w:r>
      <w:r w:rsidRPr="00DC0A30">
        <w:rPr>
          <w:rFonts w:ascii="Times New Roman" w:hAnsi="Times New Roman"/>
        </w:rPr>
        <w:t>proposed payment would be a reward for the Solicitors amending the costs agreements and then continuing to prosecute the Consolidated Proceeding to the</w:t>
      </w:r>
      <w:r>
        <w:rPr>
          <w:rFonts w:ascii="Times New Roman" w:hAnsi="Times New Roman"/>
        </w:rPr>
        <w:t> </w:t>
      </w:r>
      <w:r w:rsidRPr="00DC0A30">
        <w:rPr>
          <w:rFonts w:ascii="Times New Roman" w:hAnsi="Times New Roman"/>
        </w:rPr>
        <w:t>point of recovery on the terms set out in the amended costs agreements. The consideration for the Solicitors' agreement to continue to prosecute the</w:t>
      </w:r>
      <w:r>
        <w:rPr>
          <w:rFonts w:ascii="Times New Roman" w:hAnsi="Times New Roman"/>
        </w:rPr>
        <w:t> </w:t>
      </w:r>
      <w:r w:rsidRPr="00DC0A30">
        <w:rPr>
          <w:rFonts w:ascii="Times New Roman" w:hAnsi="Times New Roman"/>
        </w:rPr>
        <w:t xml:space="preserve">Consolidated Proceeding to a successful outcome would be more than whatever sum was given the badge "costs and disbursements"; it would be </w:t>
      </w:r>
      <w:proofErr w:type="gramStart"/>
      <w:r w:rsidRPr="00DC0A30">
        <w:rPr>
          <w:rFonts w:ascii="Times New Roman" w:hAnsi="Times New Roman"/>
        </w:rPr>
        <w:t>all of</w:t>
      </w:r>
      <w:proofErr w:type="gramEnd"/>
      <w:r w:rsidRPr="00DC0A30">
        <w:rPr>
          <w:rFonts w:ascii="Times New Roman" w:hAnsi="Times New Roman"/>
        </w:rPr>
        <w:t xml:space="preserve"> the stipulations in the amended costs agreements. As explained later in these</w:t>
      </w:r>
      <w:r>
        <w:rPr>
          <w:rFonts w:ascii="Times New Roman" w:hAnsi="Times New Roman"/>
        </w:rPr>
        <w:t> </w:t>
      </w:r>
      <w:r w:rsidRPr="00DC0A30">
        <w:rPr>
          <w:rFonts w:ascii="Times New Roman" w:hAnsi="Times New Roman"/>
        </w:rPr>
        <w:t xml:space="preserve">reasons, no sum that would be paid under the amended costs agreements would be "otherwise than as payment </w:t>
      </w:r>
      <w:r w:rsidRPr="00DC0A30">
        <w:rPr>
          <w:rFonts w:ascii="Times New Roman" w:hAnsi="Times New Roman"/>
          <w:i/>
          <w:iCs/>
        </w:rPr>
        <w:t>for</w:t>
      </w:r>
      <w:r w:rsidRPr="00DC0A30">
        <w:rPr>
          <w:rFonts w:ascii="Times New Roman" w:hAnsi="Times New Roman"/>
        </w:rPr>
        <w:t xml:space="preserve"> costs and disbursements incurred in relation to the</w:t>
      </w:r>
      <w:r>
        <w:rPr>
          <w:rFonts w:ascii="Times New Roman" w:hAnsi="Times New Roman"/>
        </w:rPr>
        <w:t> </w:t>
      </w:r>
      <w:r w:rsidRPr="00DC0A30">
        <w:rPr>
          <w:rFonts w:ascii="Times New Roman" w:hAnsi="Times New Roman"/>
        </w:rPr>
        <w:t>conduct of the proceeding" (emphasis added) even if it were expressed in the</w:t>
      </w:r>
      <w:r>
        <w:rPr>
          <w:rFonts w:ascii="Times New Roman" w:hAnsi="Times New Roman"/>
        </w:rPr>
        <w:t> </w:t>
      </w:r>
      <w:r w:rsidRPr="00DC0A30">
        <w:rPr>
          <w:rFonts w:ascii="Times New Roman" w:hAnsi="Times New Roman"/>
        </w:rPr>
        <w:t xml:space="preserve">amended costs agreements as remuneration for assuming the risk of funding the legal costs and disbursements. </w:t>
      </w:r>
      <w:proofErr w:type="gramStart"/>
      <w:r w:rsidRPr="00DC0A30">
        <w:rPr>
          <w:rFonts w:ascii="Times New Roman" w:hAnsi="Times New Roman"/>
        </w:rPr>
        <w:t>All</w:t>
      </w:r>
      <w:r w:rsidRPr="00DC0A30" w:rsidDel="0056251A">
        <w:rPr>
          <w:rFonts w:ascii="Times New Roman" w:hAnsi="Times New Roman"/>
        </w:rPr>
        <w:t xml:space="preserve"> </w:t>
      </w:r>
      <w:r w:rsidRPr="00DC0A30">
        <w:rPr>
          <w:rFonts w:ascii="Times New Roman" w:hAnsi="Times New Roman"/>
        </w:rPr>
        <w:t>of</w:t>
      </w:r>
      <w:proofErr w:type="gramEnd"/>
      <w:r w:rsidRPr="00DC0A30">
        <w:rPr>
          <w:rFonts w:ascii="Times New Roman" w:hAnsi="Times New Roman"/>
        </w:rPr>
        <w:t xml:space="preserve"> the amounts for which the</w:t>
      </w:r>
      <w:r>
        <w:rPr>
          <w:rFonts w:ascii="Times New Roman" w:hAnsi="Times New Roman"/>
        </w:rPr>
        <w:t> </w:t>
      </w:r>
      <w:r w:rsidRPr="00DC0A30">
        <w:rPr>
          <w:rFonts w:ascii="Times New Roman" w:hAnsi="Times New Roman"/>
        </w:rPr>
        <w:t>amended costs</w:t>
      </w:r>
      <w:r>
        <w:rPr>
          <w:rFonts w:ascii="Times New Roman" w:hAnsi="Times New Roman"/>
        </w:rPr>
        <w:t> </w:t>
      </w:r>
      <w:r w:rsidRPr="00DC0A30">
        <w:rPr>
          <w:rFonts w:ascii="Times New Roman" w:hAnsi="Times New Roman"/>
        </w:rPr>
        <w:t>agreements would provide would be a reward for, or, at the very least, in</w:t>
      </w:r>
      <w:r>
        <w:rPr>
          <w:rFonts w:ascii="Times New Roman" w:hAnsi="Times New Roman"/>
        </w:rPr>
        <w:t> </w:t>
      </w:r>
      <w:r w:rsidRPr="00DC0A30">
        <w:rPr>
          <w:rFonts w:ascii="Times New Roman" w:hAnsi="Times New Roman"/>
        </w:rPr>
        <w:t xml:space="preserve">relation to, the performance of the Solicitors' legal services. That is why the supposed distinction drawn in the reserved question between "costs and disbursements" and amounts "otherwise than as payment for costs and disbursements incurred in relation to the conduct of the proceeding" is illusory. </w:t>
      </w:r>
    </w:p>
    <w:p w14:paraId="612502F0"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There is then a further difficulty about the reserved question which should be identified but is not determinative here. Questions about the ambit of a generally expressed discretionary power (here, a power to make such order as is just under s 33</w:t>
      </w:r>
      <w:proofErr w:type="gramStart"/>
      <w:r w:rsidRPr="00DC0A30">
        <w:rPr>
          <w:rFonts w:ascii="Times New Roman" w:hAnsi="Times New Roman"/>
        </w:rPr>
        <w:t>V(</w:t>
      </w:r>
      <w:proofErr w:type="gramEnd"/>
      <w:r w:rsidRPr="00DC0A30">
        <w:rPr>
          <w:rFonts w:ascii="Times New Roman" w:hAnsi="Times New Roman"/>
        </w:rPr>
        <w:t>2) or s 33Z(1)(g) of the FCA Act) will often overlap with questions about what factors may affect the exercise of the discretion. The bounds of a</w:t>
      </w:r>
      <w:r>
        <w:rPr>
          <w:rFonts w:ascii="Times New Roman" w:hAnsi="Times New Roman"/>
        </w:rPr>
        <w:t> </w:t>
      </w:r>
      <w:r w:rsidRPr="00DC0A30">
        <w:rPr>
          <w:rFonts w:ascii="Times New Roman" w:hAnsi="Times New Roman"/>
        </w:rPr>
        <w:t xml:space="preserve">discretionary power are not always sharply defined. But equally there are cases, of which this is one, where some exercises of the power fall outside the ambit of permissible discretion because the proposed exercise of the power is unlawful. </w:t>
      </w:r>
    </w:p>
    <w:p w14:paraId="63EEA673"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Finally, the specific form of order sought was not identified in the question. None of the identified passages in </w:t>
      </w:r>
      <w:r w:rsidRPr="00DC0A30">
        <w:rPr>
          <w:rFonts w:ascii="Times New Roman" w:hAnsi="Times New Roman"/>
          <w:i/>
          <w:iCs/>
        </w:rPr>
        <w:t>Davaria</w:t>
      </w:r>
      <w:r w:rsidRPr="00DC0A30">
        <w:rPr>
          <w:rStyle w:val="FootnoteReference"/>
          <w:rFonts w:ascii="Times New Roman" w:hAnsi="Times New Roman"/>
          <w:sz w:val="24"/>
        </w:rPr>
        <w:footnoteReference w:id="44"/>
      </w:r>
      <w:r w:rsidRPr="00DC0A30">
        <w:rPr>
          <w:rFonts w:ascii="Times New Roman" w:hAnsi="Times New Roman"/>
        </w:rPr>
        <w:t xml:space="preserve"> referred to in the question defined the</w:t>
      </w:r>
      <w:r>
        <w:rPr>
          <w:rFonts w:ascii="Times New Roman" w:hAnsi="Times New Roman"/>
        </w:rPr>
        <w:t> </w:t>
      </w:r>
      <w:r w:rsidRPr="00DC0A30">
        <w:rPr>
          <w:rFonts w:ascii="Times New Roman" w:hAnsi="Times New Roman"/>
        </w:rPr>
        <w:t>term "common fund order" (or "CFO") and, during the hearing, the parties could not precisely identify what was meant by that term or other terms – such as a "settlement CFO", a "judgment CFO" or a "funding equalisation order" (or</w:t>
      </w:r>
      <w:r>
        <w:rPr>
          <w:rFonts w:ascii="Times New Roman" w:hAnsi="Times New Roman"/>
        </w:rPr>
        <w:t> </w:t>
      </w:r>
      <w:r w:rsidRPr="00DC0A30">
        <w:rPr>
          <w:rFonts w:ascii="Times New Roman" w:hAnsi="Times New Roman"/>
        </w:rPr>
        <w:t xml:space="preserve">"FEO") – that were used in argument in this Court as well as in earlier cases. At the request of the Court, after the hearing the parties filed a joint note which </w:t>
      </w:r>
      <w:r w:rsidRPr="00DC0A30">
        <w:rPr>
          <w:rFonts w:ascii="Times New Roman" w:hAnsi="Times New Roman"/>
        </w:rPr>
        <w:lastRenderedPageBreak/>
        <w:t>provided a conceptual description of a CFO and an FEO, as well as examples of each form of order.</w:t>
      </w:r>
      <w:r w:rsidRPr="00DC0A30">
        <w:rPr>
          <w:rStyle w:val="FootnoteReference"/>
          <w:rFonts w:ascii="Times New Roman" w:hAnsi="Times New Roman"/>
          <w:sz w:val="24"/>
        </w:rPr>
        <w:footnoteReference w:id="45"/>
      </w:r>
    </w:p>
    <w:p w14:paraId="55746DE1"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A CFO was conceptually described as: </w:t>
      </w:r>
    </w:p>
    <w:p w14:paraId="6EA8445A" w14:textId="77777777" w:rsidR="006F5E1E" w:rsidRDefault="006F5E1E" w:rsidP="00DC0A30">
      <w:pPr>
        <w:pStyle w:val="leftright"/>
        <w:spacing w:before="0" w:after="260" w:line="280" w:lineRule="exact"/>
        <w:ind w:right="0"/>
        <w:jc w:val="both"/>
        <w:rPr>
          <w:rFonts w:ascii="Times New Roman" w:hAnsi="Times New Roman"/>
        </w:rPr>
      </w:pPr>
      <w:r w:rsidRPr="00DC0A30">
        <w:rPr>
          <w:rFonts w:ascii="Times New Roman" w:hAnsi="Times New Roman"/>
        </w:rPr>
        <w:t>"</w:t>
      </w:r>
      <w:proofErr w:type="gramStart"/>
      <w:r w:rsidRPr="00DC0A30">
        <w:rPr>
          <w:rFonts w:ascii="Times New Roman" w:hAnsi="Times New Roman"/>
        </w:rPr>
        <w:t>an</w:t>
      </w:r>
      <w:proofErr w:type="gramEnd"/>
      <w:r w:rsidRPr="00DC0A30">
        <w:rPr>
          <w:rFonts w:ascii="Times New Roman" w:hAnsi="Times New Roman"/>
        </w:rPr>
        <w:t xml:space="preserve"> order which requires all group members (including those who have not entered into a funding agreement) to contribute equally to a payment to the funder in respect of the funder's commission. It is generally made at the same time as orders dealing with other expenses incurred in the conduct of a class action, the most significant usually being legal costs. The funding commission, calculated as a percentage of the settlement or judgment sum, to be paid to the litigation funder includes a premium for litigation risk."</w:t>
      </w:r>
    </w:p>
    <w:p w14:paraId="485314F3" w14:textId="77777777" w:rsidR="006F5E1E" w:rsidRPr="00DC0A30" w:rsidRDefault="006F5E1E" w:rsidP="00DC0A30">
      <w:pPr>
        <w:pStyle w:val="NormalBody"/>
        <w:spacing w:after="260" w:line="280" w:lineRule="exact"/>
        <w:ind w:right="0"/>
        <w:jc w:val="both"/>
        <w:rPr>
          <w:rFonts w:ascii="Times New Roman" w:hAnsi="Times New Roman"/>
          <w:bCs/>
        </w:rPr>
      </w:pPr>
      <w:r w:rsidRPr="00DC0A30">
        <w:rPr>
          <w:rFonts w:ascii="Times New Roman" w:hAnsi="Times New Roman"/>
        </w:rPr>
        <w:t>Specific examples of settlement CFOs –</w:t>
      </w:r>
      <w:r w:rsidRPr="00DC0A30" w:rsidDel="00627B70">
        <w:rPr>
          <w:rFonts w:ascii="Times New Roman" w:hAnsi="Times New Roman"/>
        </w:rPr>
        <w:t xml:space="preserve"> </w:t>
      </w:r>
      <w:r w:rsidRPr="00DC0A30">
        <w:rPr>
          <w:rFonts w:ascii="Times New Roman" w:hAnsi="Times New Roman"/>
        </w:rPr>
        <w:t>a form of CFO made at settlement – were</w:t>
      </w:r>
      <w:r>
        <w:rPr>
          <w:rFonts w:ascii="Times New Roman" w:hAnsi="Times New Roman"/>
        </w:rPr>
        <w:t> </w:t>
      </w:r>
      <w:r w:rsidRPr="00DC0A30">
        <w:rPr>
          <w:rFonts w:ascii="Times New Roman" w:hAnsi="Times New Roman"/>
        </w:rPr>
        <w:t>provided.</w:t>
      </w:r>
      <w:r w:rsidRPr="00DC0A30">
        <w:rPr>
          <w:rStyle w:val="FootnoteReference"/>
          <w:rFonts w:ascii="Times New Roman" w:hAnsi="Times New Roman"/>
          <w:sz w:val="24"/>
        </w:rPr>
        <w:footnoteReference w:id="46"/>
      </w:r>
      <w:r w:rsidRPr="00DC0A30">
        <w:rPr>
          <w:rFonts w:ascii="Times New Roman" w:hAnsi="Times New Roman"/>
        </w:rPr>
        <w:t xml:space="preserve"> Those orders either authorised the payment of part of the total settlement sum to a funder</w:t>
      </w:r>
      <w:r w:rsidRPr="00DC0A30">
        <w:rPr>
          <w:rStyle w:val="FootnoteReference"/>
          <w:rFonts w:ascii="Times New Roman" w:hAnsi="Times New Roman"/>
          <w:sz w:val="24"/>
        </w:rPr>
        <w:footnoteReference w:id="47"/>
      </w:r>
      <w:r w:rsidRPr="00DC0A30">
        <w:rPr>
          <w:rFonts w:ascii="Times New Roman" w:hAnsi="Times New Roman"/>
        </w:rPr>
        <w:t xml:space="preserve"> or authorised a scheme administrator to deduct a proportion of the amount otherwise payable to a particular group member and pay it to the funder.</w:t>
      </w:r>
      <w:r w:rsidRPr="00DC0A30">
        <w:rPr>
          <w:rStyle w:val="FootnoteReference"/>
          <w:rFonts w:ascii="Times New Roman" w:hAnsi="Times New Roman"/>
          <w:sz w:val="24"/>
        </w:rPr>
        <w:footnoteReference w:id="48"/>
      </w:r>
      <w:r w:rsidRPr="00DC0A30">
        <w:rPr>
          <w:rFonts w:ascii="Times New Roman" w:hAnsi="Times New Roman"/>
        </w:rPr>
        <w:t xml:space="preserve"> Contrary to the above description of a CFO, neither order had the</w:t>
      </w:r>
      <w:r>
        <w:rPr>
          <w:rFonts w:ascii="Times New Roman" w:hAnsi="Times New Roman"/>
        </w:rPr>
        <w:t> </w:t>
      </w:r>
      <w:r w:rsidRPr="00DC0A30">
        <w:rPr>
          <w:rFonts w:ascii="Times New Roman" w:hAnsi="Times New Roman"/>
          <w:i/>
          <w:iCs/>
        </w:rPr>
        <w:t>legal effect</w:t>
      </w:r>
      <w:r w:rsidRPr="00DC0A30">
        <w:rPr>
          <w:rFonts w:ascii="Times New Roman" w:hAnsi="Times New Roman"/>
        </w:rPr>
        <w:t xml:space="preserve"> of "</w:t>
      </w:r>
      <w:proofErr w:type="spellStart"/>
      <w:r w:rsidRPr="00DC0A30">
        <w:rPr>
          <w:rFonts w:ascii="Times New Roman" w:hAnsi="Times New Roman"/>
        </w:rPr>
        <w:t>requir</w:t>
      </w:r>
      <w:proofErr w:type="spellEnd"/>
      <w:r w:rsidRPr="00DC0A30">
        <w:rPr>
          <w:rFonts w:ascii="Times New Roman" w:hAnsi="Times New Roman"/>
        </w:rPr>
        <w:t>[</w:t>
      </w:r>
      <w:proofErr w:type="spellStart"/>
      <w:r w:rsidRPr="00DC0A30">
        <w:rPr>
          <w:rFonts w:ascii="Times New Roman" w:hAnsi="Times New Roman"/>
        </w:rPr>
        <w:t>ing</w:t>
      </w:r>
      <w:proofErr w:type="spellEnd"/>
      <w:r w:rsidRPr="00DC0A30">
        <w:rPr>
          <w:rFonts w:ascii="Times New Roman" w:hAnsi="Times New Roman"/>
        </w:rPr>
        <w:t>]" group members to "contribute" to a payment. On</w:t>
      </w:r>
      <w:r>
        <w:rPr>
          <w:rFonts w:ascii="Times New Roman" w:hAnsi="Times New Roman"/>
        </w:rPr>
        <w:t> </w:t>
      </w:r>
      <w:r w:rsidRPr="00DC0A30">
        <w:rPr>
          <w:rFonts w:ascii="Times New Roman" w:hAnsi="Times New Roman"/>
        </w:rPr>
        <w:t>their face each order was "with respect to the distribution of any money paid under a settlement".</w:t>
      </w:r>
      <w:r w:rsidRPr="00DC0A30">
        <w:rPr>
          <w:rStyle w:val="FootnoteReference"/>
          <w:rFonts w:ascii="Times New Roman" w:hAnsi="Times New Roman"/>
          <w:sz w:val="24"/>
        </w:rPr>
        <w:footnoteReference w:id="49"/>
      </w:r>
      <w:r w:rsidRPr="00DC0A30">
        <w:rPr>
          <w:rFonts w:ascii="Times New Roman" w:hAnsi="Times New Roman"/>
        </w:rPr>
        <w:t xml:space="preserve"> The parties were unable to locate an example of a judgment CFO – a CFO made at judgment – with the parties noting their understanding that a judgment CFO has never been made.</w:t>
      </w:r>
    </w:p>
    <w:p w14:paraId="3657899E"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A funding equalisation order or FEO was conceptually described as "an</w:t>
      </w:r>
      <w:r>
        <w:rPr>
          <w:rFonts w:ascii="Times New Roman" w:hAnsi="Times New Roman"/>
        </w:rPr>
        <w:t> </w:t>
      </w:r>
      <w:r w:rsidRPr="00DC0A30">
        <w:rPr>
          <w:rFonts w:ascii="Times New Roman" w:hAnsi="Times New Roman"/>
        </w:rPr>
        <w:t xml:space="preserve">order that reduces unfunded group members' awards so as to spread the fee or commission payable to the litigation funder by funded group members across all group members". In </w:t>
      </w:r>
      <w:r w:rsidRPr="00DC0A30">
        <w:rPr>
          <w:rFonts w:ascii="Times New Roman" w:hAnsi="Times New Roman"/>
          <w:i/>
          <w:iCs/>
        </w:rPr>
        <w:t>Elliott-Carde v McDonald's Australia Ltd</w:t>
      </w:r>
      <w:r w:rsidRPr="00DC0A30">
        <w:rPr>
          <w:rFonts w:ascii="Times New Roman" w:hAnsi="Times New Roman"/>
        </w:rPr>
        <w:t xml:space="preserve">, Beach J explained his Honour's conception of an FEO as an order that could be made by either of two </w:t>
      </w:r>
      <w:r w:rsidRPr="00DC0A30">
        <w:rPr>
          <w:rFonts w:ascii="Times New Roman" w:hAnsi="Times New Roman"/>
        </w:rPr>
        <w:lastRenderedPageBreak/>
        <w:t>methods he referred to as "FEO method 1" and "FEO method 2".</w:t>
      </w:r>
      <w:r w:rsidRPr="00DC0A30">
        <w:rPr>
          <w:rStyle w:val="FootnoteReference"/>
          <w:rFonts w:ascii="Times New Roman" w:hAnsi="Times New Roman"/>
          <w:sz w:val="24"/>
        </w:rPr>
        <w:footnoteReference w:id="50"/>
      </w:r>
      <w:r w:rsidRPr="00DC0A30">
        <w:rPr>
          <w:rFonts w:ascii="Times New Roman" w:hAnsi="Times New Roman"/>
        </w:rPr>
        <w:t xml:space="preserve"> In this Court, the parties agreed that although both methods resulted in both funded and unfunded group members having amounts deducted from their recoveries for the payment of the funding commission, there were distinctions between the methods. Two were identified. The first is the starting point. In FEO method 1, the court first calculates the notional amount that unfunded group members would have paid in commission to the funder and then distributes those notional amounts across the whole class so that the net outcome for both the cohort of funded group members and the cohort of unfunded group members was the same.</w:t>
      </w:r>
      <w:r w:rsidRPr="00DC0A30">
        <w:rPr>
          <w:rStyle w:val="FootnoteReference"/>
          <w:rFonts w:ascii="Times New Roman" w:hAnsi="Times New Roman"/>
          <w:sz w:val="24"/>
        </w:rPr>
        <w:footnoteReference w:id="51"/>
      </w:r>
      <w:r w:rsidRPr="00DC0A30">
        <w:rPr>
          <w:rFonts w:ascii="Times New Roman" w:hAnsi="Times New Roman"/>
        </w:rPr>
        <w:t xml:space="preserve"> In FEO method 2, the court starts with the contracted funding commission actually incurred as between funded group members and the funder and distributes that contractual obligation equally amongst funded and unfunded group members after the litigation funder's commission is determined.</w:t>
      </w:r>
      <w:r w:rsidRPr="00DC0A30">
        <w:rPr>
          <w:rStyle w:val="FootnoteReference"/>
          <w:rFonts w:ascii="Times New Roman" w:hAnsi="Times New Roman"/>
          <w:sz w:val="24"/>
        </w:rPr>
        <w:footnoteReference w:id="52"/>
      </w:r>
      <w:r w:rsidRPr="00DC0A30">
        <w:rPr>
          <w:rFonts w:ascii="Times New Roman" w:hAnsi="Times New Roman"/>
        </w:rPr>
        <w:t xml:space="preserve"> The second distinction was said to be that, under FEO method 1, there is a prospect that a funder may seek commission on the notional incremental increase attributed to funded group members as part of the funding equalisation formula.</w:t>
      </w:r>
      <w:r w:rsidRPr="00DC0A30">
        <w:rPr>
          <w:rStyle w:val="FootnoteReference"/>
          <w:rFonts w:ascii="Times New Roman" w:hAnsi="Times New Roman"/>
          <w:sz w:val="24"/>
        </w:rPr>
        <w:footnoteReference w:id="53"/>
      </w:r>
      <w:r w:rsidRPr="00DC0A30">
        <w:rPr>
          <w:rFonts w:ascii="Times New Roman" w:hAnsi="Times New Roman"/>
        </w:rPr>
        <w:t xml:space="preserve"> </w:t>
      </w:r>
    </w:p>
    <w:p w14:paraId="574735FC"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In relation to FEO method 2, Order 12 in </w:t>
      </w:r>
      <w:r w:rsidRPr="00DC0A30">
        <w:rPr>
          <w:rFonts w:ascii="Times New Roman" w:hAnsi="Times New Roman"/>
          <w:i/>
          <w:iCs/>
        </w:rPr>
        <w:t xml:space="preserve">Equity Financial Planners Pty Ltd v AMP Financial Planning Pty Ltd </w:t>
      </w:r>
      <w:r w:rsidRPr="00DC0A30">
        <w:rPr>
          <w:rFonts w:ascii="Times New Roman" w:hAnsi="Times New Roman"/>
        </w:rPr>
        <w:t>was given as an example.</w:t>
      </w:r>
      <w:r w:rsidRPr="00DC0A30">
        <w:rPr>
          <w:rStyle w:val="FootnoteReference"/>
          <w:rFonts w:ascii="Times New Roman" w:hAnsi="Times New Roman"/>
          <w:sz w:val="24"/>
        </w:rPr>
        <w:footnoteReference w:id="54"/>
      </w:r>
      <w:r w:rsidRPr="00DC0A30">
        <w:rPr>
          <w:rFonts w:ascii="Times New Roman" w:hAnsi="Times New Roman"/>
        </w:rPr>
        <w:t xml:space="preserve"> In relation to FEO method 1, the joint note recorded that it was difficult to discern from the authorities whether an order reflected that method but gave two examples where that method </w:t>
      </w:r>
      <w:r w:rsidRPr="00DC0A30">
        <w:rPr>
          <w:rFonts w:ascii="Times New Roman" w:hAnsi="Times New Roman"/>
          <w:i/>
          <w:iCs/>
        </w:rPr>
        <w:t>may</w:t>
      </w:r>
      <w:r w:rsidRPr="00DC0A30">
        <w:rPr>
          <w:rFonts w:ascii="Times New Roman" w:hAnsi="Times New Roman"/>
        </w:rPr>
        <w:t xml:space="preserve"> have been used because each contained a reduction in the entitlement of unfunded group members which was then spread pro rata across funded and unfunded group members, thus incrementally increasing the return to funded group members who paid the funding commission to the funder.</w:t>
      </w:r>
      <w:r w:rsidRPr="00DC0A30">
        <w:rPr>
          <w:rStyle w:val="FootnoteReference"/>
          <w:rFonts w:ascii="Times New Roman" w:hAnsi="Times New Roman"/>
          <w:sz w:val="24"/>
        </w:rPr>
        <w:footnoteReference w:id="55"/>
      </w:r>
      <w:r w:rsidRPr="00DC0A30">
        <w:rPr>
          <w:rFonts w:ascii="Times New Roman" w:hAnsi="Times New Roman"/>
        </w:rPr>
        <w:t xml:space="preserve"> Similar to the</w:t>
      </w:r>
      <w:r>
        <w:rPr>
          <w:rFonts w:ascii="Times New Roman" w:hAnsi="Times New Roman"/>
        </w:rPr>
        <w:t> </w:t>
      </w:r>
      <w:r w:rsidRPr="00DC0A30">
        <w:rPr>
          <w:rFonts w:ascii="Times New Roman" w:hAnsi="Times New Roman"/>
        </w:rPr>
        <w:t>settlement CFOs, the legal effect of the orders made in the cases giving effect to FEOs to which this Court was referred was to distribute, or authorise the</w:t>
      </w:r>
      <w:r>
        <w:rPr>
          <w:rFonts w:ascii="Times New Roman" w:hAnsi="Times New Roman"/>
        </w:rPr>
        <w:t> </w:t>
      </w:r>
      <w:r w:rsidRPr="00DC0A30">
        <w:rPr>
          <w:rFonts w:ascii="Times New Roman" w:hAnsi="Times New Roman"/>
        </w:rPr>
        <w:t xml:space="preserve">distribution of, part of the settlement sum otherwise payable to unfunded group </w:t>
      </w:r>
      <w:r w:rsidRPr="00DC0A30">
        <w:rPr>
          <w:rFonts w:ascii="Times New Roman" w:hAnsi="Times New Roman"/>
        </w:rPr>
        <w:lastRenderedPageBreak/>
        <w:t>members to funded group members as reimbursement for the amounts paid or contractually owing by the latter to the funder.</w:t>
      </w:r>
      <w:r w:rsidRPr="00DC0A30">
        <w:rPr>
          <w:rStyle w:val="FootnoteReference"/>
          <w:rFonts w:ascii="Times New Roman" w:hAnsi="Times New Roman"/>
          <w:sz w:val="24"/>
        </w:rPr>
        <w:footnoteReference w:id="56"/>
      </w:r>
    </w:p>
    <w:p w14:paraId="61EED83D"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In these reasons, the conceptual description of a CFO and an FEO provided by the parties has been adopted. However, as has been explained, those conceptual descriptions are principally addressed to the manner of calculation of the various component payments to be made as part of any settlement of or judgment given in a representative proceeding rather than their legal effect. The reference to a "settlement" or "judgment" CFO or an FEO in the balance of these reasons also incorporates the legal effect of orders to give effect to those calculations by way of distributing part of the settlement (or judgment) sum to either the funder or funded group members to reflect those calculations. The same applies to a</w:t>
      </w:r>
      <w:r>
        <w:rPr>
          <w:rFonts w:ascii="Times New Roman" w:hAnsi="Times New Roman"/>
        </w:rPr>
        <w:t> </w:t>
      </w:r>
      <w:r w:rsidRPr="00DC0A30">
        <w:rPr>
          <w:rFonts w:ascii="Times New Roman" w:hAnsi="Times New Roman"/>
        </w:rPr>
        <w:t xml:space="preserve">Solicitors' CFO. These reasons do not address whether, to </w:t>
      </w:r>
      <w:proofErr w:type="gramStart"/>
      <w:r w:rsidRPr="00DC0A30">
        <w:rPr>
          <w:rFonts w:ascii="Times New Roman" w:hAnsi="Times New Roman"/>
        </w:rPr>
        <w:t>effect</w:t>
      </w:r>
      <w:proofErr w:type="gramEnd"/>
      <w:r w:rsidRPr="00DC0A30">
        <w:rPr>
          <w:rFonts w:ascii="Times New Roman" w:hAnsi="Times New Roman"/>
        </w:rPr>
        <w:t xml:space="preserve"> a settlement or judgment, orders can be made imposing liabilities on group members. </w:t>
      </w:r>
    </w:p>
    <w:p w14:paraId="22EA983E" w14:textId="77777777" w:rsidR="006F5E1E" w:rsidRPr="00DC0A30" w:rsidRDefault="006F5E1E" w:rsidP="00DC0A30">
      <w:pPr>
        <w:pStyle w:val="HeadingL1"/>
        <w:spacing w:after="260" w:line="280" w:lineRule="exact"/>
        <w:ind w:right="0"/>
        <w:jc w:val="both"/>
        <w:rPr>
          <w:rFonts w:ascii="Times New Roman" w:hAnsi="Times New Roman"/>
        </w:rPr>
      </w:pPr>
      <w:r w:rsidRPr="00DC0A30">
        <w:rPr>
          <w:rFonts w:ascii="Times New Roman" w:hAnsi="Times New Roman"/>
        </w:rPr>
        <w:t>Part IVA of the FCA Act</w:t>
      </w:r>
    </w:p>
    <w:p w14:paraId="1CDF5493"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Part IVA of the FCA Act has previously been considered by this Court.</w:t>
      </w:r>
      <w:r w:rsidRPr="00DC0A30">
        <w:rPr>
          <w:rStyle w:val="FootnoteReference"/>
          <w:rFonts w:ascii="Times New Roman" w:hAnsi="Times New Roman"/>
          <w:sz w:val="24"/>
        </w:rPr>
        <w:footnoteReference w:id="57"/>
      </w:r>
      <w:r w:rsidRPr="00DC0A30">
        <w:rPr>
          <w:rFonts w:ascii="Times New Roman" w:hAnsi="Times New Roman"/>
        </w:rPr>
        <w:t xml:space="preserve"> The answer to the real issues underlying the reserved question in these appeals concerns the proper construction of ss 33</w:t>
      </w:r>
      <w:proofErr w:type="gramStart"/>
      <w:r w:rsidRPr="00DC0A30">
        <w:rPr>
          <w:rFonts w:ascii="Times New Roman" w:hAnsi="Times New Roman"/>
        </w:rPr>
        <w:t>V(</w:t>
      </w:r>
      <w:proofErr w:type="gramEnd"/>
      <w:r w:rsidRPr="00DC0A30">
        <w:rPr>
          <w:rFonts w:ascii="Times New Roman" w:hAnsi="Times New Roman"/>
        </w:rPr>
        <w:t>2) and 33Z(1)(g) in Pt IVA. Each</w:t>
      </w:r>
      <w:r>
        <w:rPr>
          <w:rFonts w:ascii="Times New Roman" w:hAnsi="Times New Roman"/>
        </w:rPr>
        <w:t> </w:t>
      </w:r>
      <w:r w:rsidRPr="00DC0A30">
        <w:rPr>
          <w:rFonts w:ascii="Times New Roman" w:hAnsi="Times New Roman"/>
        </w:rPr>
        <w:t xml:space="preserve">provision is concerned with a representative proceeding coming to an end – s 33V by settlement; s 33Z by judgment. </w:t>
      </w:r>
    </w:p>
    <w:p w14:paraId="3EBC3AE8"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Section 33V is headed "Settlement and discontinuance – representative</w:t>
      </w:r>
      <w:r>
        <w:rPr>
          <w:rFonts w:ascii="Times New Roman" w:hAnsi="Times New Roman"/>
        </w:rPr>
        <w:t> </w:t>
      </w:r>
      <w:r w:rsidRPr="00DC0A30">
        <w:rPr>
          <w:rFonts w:ascii="Times New Roman" w:hAnsi="Times New Roman"/>
        </w:rPr>
        <w:t xml:space="preserve">proceeding". Sub-section (1) provides that a representative proceeding may not be </w:t>
      </w:r>
      <w:r w:rsidRPr="00DC0A30">
        <w:rPr>
          <w:rFonts w:ascii="Times New Roman" w:hAnsi="Times New Roman"/>
          <w:iCs/>
        </w:rPr>
        <w:t>settled or</w:t>
      </w:r>
      <w:r w:rsidRPr="00DC0A30">
        <w:rPr>
          <w:rFonts w:ascii="Times New Roman" w:hAnsi="Times New Roman"/>
        </w:rPr>
        <w:t xml:space="preserve"> discontinued without the approval of the Court. Sub-section (2) provides:</w:t>
      </w:r>
    </w:p>
    <w:p w14:paraId="562CB643" w14:textId="77777777" w:rsidR="006F5E1E" w:rsidRDefault="006F5E1E" w:rsidP="00DC0A30">
      <w:pPr>
        <w:pStyle w:val="leftright"/>
        <w:spacing w:before="0" w:after="260" w:line="280" w:lineRule="exact"/>
        <w:ind w:right="0"/>
        <w:jc w:val="both"/>
        <w:rPr>
          <w:rFonts w:ascii="Times New Roman" w:hAnsi="Times New Roman"/>
        </w:rPr>
      </w:pPr>
      <w:r w:rsidRPr="00DC0A30">
        <w:rPr>
          <w:rFonts w:ascii="Times New Roman" w:hAnsi="Times New Roman"/>
        </w:rPr>
        <w:t>"If the Court gives such an approval, it may make such orders as are just with respect to the distribution of any money paid under a settlement or paid into the Court."</w:t>
      </w:r>
    </w:p>
    <w:p w14:paraId="0C591C55"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lastRenderedPageBreak/>
        <w:tab/>
        <w:t xml:space="preserve">Section 33Z, headed "Judgment – powers of the Court", provides:  </w:t>
      </w:r>
    </w:p>
    <w:p w14:paraId="51A0A33F"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"(1)</w:t>
      </w:r>
      <w:r w:rsidRPr="00DC0A30">
        <w:rPr>
          <w:rFonts w:ascii="Times New Roman" w:hAnsi="Times New Roman"/>
        </w:rPr>
        <w:tab/>
        <w:t>The Court may, in determining a matter in a representative proceeding, do any one or more of the following:</w:t>
      </w:r>
    </w:p>
    <w:p w14:paraId="1AA394D6" w14:textId="77777777" w:rsidR="006F5E1E" w:rsidRPr="00DC0A30" w:rsidRDefault="006F5E1E" w:rsidP="00DC0A30">
      <w:pPr>
        <w:pStyle w:val="leftright"/>
        <w:spacing w:before="0" w:after="260" w:line="280" w:lineRule="exact"/>
        <w:ind w:left="1440" w:right="0"/>
        <w:jc w:val="both"/>
        <w:rPr>
          <w:rFonts w:ascii="Times New Roman" w:hAnsi="Times New Roman"/>
        </w:rPr>
      </w:pPr>
      <w:r w:rsidRPr="00DC0A30">
        <w:rPr>
          <w:rFonts w:ascii="Times New Roman" w:hAnsi="Times New Roman"/>
        </w:rPr>
        <w:t>(a)</w:t>
      </w:r>
      <w:r w:rsidRPr="00DC0A30">
        <w:rPr>
          <w:rFonts w:ascii="Times New Roman" w:hAnsi="Times New Roman"/>
        </w:rPr>
        <w:tab/>
        <w:t xml:space="preserve">determine an issue of </w:t>
      </w:r>
      <w:proofErr w:type="gramStart"/>
      <w:r w:rsidRPr="00DC0A30">
        <w:rPr>
          <w:rFonts w:ascii="Times New Roman" w:hAnsi="Times New Roman"/>
        </w:rPr>
        <w:t>law;</w:t>
      </w:r>
      <w:proofErr w:type="gramEnd"/>
    </w:p>
    <w:p w14:paraId="10918D44" w14:textId="77777777" w:rsidR="006F5E1E" w:rsidRPr="00DC0A30" w:rsidRDefault="006F5E1E" w:rsidP="00DC0A30">
      <w:pPr>
        <w:pStyle w:val="leftright"/>
        <w:spacing w:before="0" w:after="260" w:line="280" w:lineRule="exact"/>
        <w:ind w:left="1440" w:right="0"/>
        <w:jc w:val="both"/>
        <w:rPr>
          <w:rFonts w:ascii="Times New Roman" w:hAnsi="Times New Roman"/>
        </w:rPr>
      </w:pPr>
      <w:r w:rsidRPr="00DC0A30">
        <w:rPr>
          <w:rFonts w:ascii="Times New Roman" w:hAnsi="Times New Roman"/>
        </w:rPr>
        <w:t xml:space="preserve">(b) </w:t>
      </w:r>
      <w:r w:rsidRPr="00DC0A30">
        <w:rPr>
          <w:rFonts w:ascii="Times New Roman" w:hAnsi="Times New Roman"/>
        </w:rPr>
        <w:tab/>
        <w:t xml:space="preserve">determine an issue of </w:t>
      </w:r>
      <w:proofErr w:type="gramStart"/>
      <w:r w:rsidRPr="00DC0A30">
        <w:rPr>
          <w:rFonts w:ascii="Times New Roman" w:hAnsi="Times New Roman"/>
        </w:rPr>
        <w:t>fact;</w:t>
      </w:r>
      <w:proofErr w:type="gramEnd"/>
    </w:p>
    <w:p w14:paraId="3AE53408" w14:textId="77777777" w:rsidR="006F5E1E" w:rsidRPr="00DC0A30" w:rsidRDefault="006F5E1E" w:rsidP="00DC0A30">
      <w:pPr>
        <w:pStyle w:val="leftright"/>
        <w:spacing w:before="0" w:after="260" w:line="280" w:lineRule="exact"/>
        <w:ind w:left="1440" w:right="0"/>
        <w:jc w:val="both"/>
        <w:rPr>
          <w:rFonts w:ascii="Times New Roman" w:hAnsi="Times New Roman"/>
        </w:rPr>
      </w:pPr>
      <w:r w:rsidRPr="00DC0A30">
        <w:rPr>
          <w:rFonts w:ascii="Times New Roman" w:hAnsi="Times New Roman"/>
        </w:rPr>
        <w:t>(c)</w:t>
      </w:r>
      <w:r w:rsidRPr="00DC0A30">
        <w:rPr>
          <w:rFonts w:ascii="Times New Roman" w:hAnsi="Times New Roman"/>
        </w:rPr>
        <w:tab/>
        <w:t xml:space="preserve">make a declaration of </w:t>
      </w:r>
      <w:proofErr w:type="gramStart"/>
      <w:r w:rsidRPr="00DC0A30">
        <w:rPr>
          <w:rFonts w:ascii="Times New Roman" w:hAnsi="Times New Roman"/>
        </w:rPr>
        <w:t>liability;</w:t>
      </w:r>
      <w:proofErr w:type="gramEnd"/>
    </w:p>
    <w:p w14:paraId="0609F7F1" w14:textId="77777777" w:rsidR="006F5E1E" w:rsidRPr="00DC0A30" w:rsidRDefault="006F5E1E" w:rsidP="00DC0A30">
      <w:pPr>
        <w:pStyle w:val="leftright"/>
        <w:spacing w:before="0" w:after="260" w:line="280" w:lineRule="exact"/>
        <w:ind w:left="1440" w:right="0"/>
        <w:jc w:val="both"/>
        <w:rPr>
          <w:rFonts w:ascii="Times New Roman" w:hAnsi="Times New Roman"/>
        </w:rPr>
      </w:pPr>
      <w:r w:rsidRPr="00DC0A30">
        <w:rPr>
          <w:rFonts w:ascii="Times New Roman" w:hAnsi="Times New Roman"/>
        </w:rPr>
        <w:t xml:space="preserve">(d) </w:t>
      </w:r>
      <w:r w:rsidRPr="00DC0A30">
        <w:rPr>
          <w:rFonts w:ascii="Times New Roman" w:hAnsi="Times New Roman"/>
        </w:rPr>
        <w:tab/>
        <w:t xml:space="preserve">grant any equitable </w:t>
      </w:r>
      <w:proofErr w:type="gramStart"/>
      <w:r w:rsidRPr="00DC0A30">
        <w:rPr>
          <w:rFonts w:ascii="Times New Roman" w:hAnsi="Times New Roman"/>
        </w:rPr>
        <w:t>relief;</w:t>
      </w:r>
      <w:proofErr w:type="gramEnd"/>
    </w:p>
    <w:p w14:paraId="477994A5"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(e)</w:t>
      </w:r>
      <w:r w:rsidRPr="00DC0A30">
        <w:rPr>
          <w:rFonts w:ascii="Times New Roman" w:hAnsi="Times New Roman"/>
        </w:rPr>
        <w:tab/>
        <w:t xml:space="preserve">make an award of damages for group members, sub-group members or individual group members, being damages consisting of specified amounts or amounts worked out in such manner as the Court </w:t>
      </w:r>
      <w:proofErr w:type="gramStart"/>
      <w:r w:rsidRPr="00DC0A30">
        <w:rPr>
          <w:rFonts w:ascii="Times New Roman" w:hAnsi="Times New Roman"/>
        </w:rPr>
        <w:t>specifies;</w:t>
      </w:r>
      <w:proofErr w:type="gramEnd"/>
    </w:p>
    <w:p w14:paraId="1E484B58"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 xml:space="preserve">(f) </w:t>
      </w:r>
      <w:r w:rsidRPr="00DC0A30">
        <w:rPr>
          <w:rFonts w:ascii="Times New Roman" w:hAnsi="Times New Roman"/>
        </w:rPr>
        <w:tab/>
        <w:t xml:space="preserve">award damages in an aggregate amount without specifying amounts awarded in respect of individual group </w:t>
      </w:r>
      <w:proofErr w:type="gramStart"/>
      <w:r w:rsidRPr="00DC0A30">
        <w:rPr>
          <w:rFonts w:ascii="Times New Roman" w:hAnsi="Times New Roman"/>
        </w:rPr>
        <w:t>members;</w:t>
      </w:r>
      <w:proofErr w:type="gramEnd"/>
    </w:p>
    <w:p w14:paraId="567F3ACC"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(g)</w:t>
      </w:r>
      <w:r w:rsidRPr="00DC0A30">
        <w:rPr>
          <w:rFonts w:ascii="Times New Roman" w:hAnsi="Times New Roman"/>
        </w:rPr>
        <w:tab/>
      </w:r>
      <w:r w:rsidRPr="00DC0A30">
        <w:rPr>
          <w:rFonts w:ascii="Times New Roman" w:hAnsi="Times New Roman"/>
          <w:i/>
        </w:rPr>
        <w:t>make such other order as the Court thinks just</w:t>
      </w:r>
      <w:r w:rsidRPr="00DC0A30">
        <w:rPr>
          <w:rFonts w:ascii="Times New Roman" w:hAnsi="Times New Roman"/>
        </w:rPr>
        <w:t xml:space="preserve">. </w:t>
      </w:r>
    </w:p>
    <w:p w14:paraId="69FF770E"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(2)</w:t>
      </w:r>
      <w:r w:rsidRPr="00DC0A30">
        <w:rPr>
          <w:rFonts w:ascii="Times New Roman" w:hAnsi="Times New Roman"/>
        </w:rPr>
        <w:tab/>
        <w:t>In making an order for an award of damages, the Court must make provision for the payment or distribution of the money to the group members entitled.</w:t>
      </w:r>
    </w:p>
    <w:p w14:paraId="088730DA"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(3)</w:t>
      </w:r>
      <w:r w:rsidRPr="00DC0A30">
        <w:rPr>
          <w:rFonts w:ascii="Times New Roman" w:hAnsi="Times New Roman"/>
        </w:rPr>
        <w:tab/>
        <w:t>Subject to section 33V, the Court is not to make an award of damages under paragraph (1)(f) unless a reasonably accurate assessment can be made of the total amount to which group members will be entitled under the judgment.</w:t>
      </w:r>
    </w:p>
    <w:p w14:paraId="4569C9BA"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(4)</w:t>
      </w:r>
      <w:r w:rsidRPr="00DC0A30">
        <w:rPr>
          <w:rFonts w:ascii="Times New Roman" w:hAnsi="Times New Roman"/>
        </w:rPr>
        <w:tab/>
        <w:t>Where the Court has made an order for the award of damages, the</w:t>
      </w:r>
      <w:r>
        <w:rPr>
          <w:rFonts w:ascii="Times New Roman" w:hAnsi="Times New Roman"/>
        </w:rPr>
        <w:t> </w:t>
      </w:r>
      <w:r w:rsidRPr="00DC0A30">
        <w:rPr>
          <w:rFonts w:ascii="Times New Roman" w:hAnsi="Times New Roman"/>
        </w:rPr>
        <w:t>Court may give such directions (if any) as it thinks just in relation</w:t>
      </w:r>
      <w:r>
        <w:rPr>
          <w:rFonts w:ascii="Times New Roman" w:hAnsi="Times New Roman"/>
        </w:rPr>
        <w:t> </w:t>
      </w:r>
      <w:r w:rsidRPr="00DC0A30">
        <w:rPr>
          <w:rFonts w:ascii="Times New Roman" w:hAnsi="Times New Roman"/>
        </w:rPr>
        <w:t>to:</w:t>
      </w:r>
    </w:p>
    <w:p w14:paraId="066CB6B2"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(a)</w:t>
      </w:r>
      <w:r w:rsidRPr="00DC0A30">
        <w:rPr>
          <w:rFonts w:ascii="Times New Roman" w:hAnsi="Times New Roman"/>
        </w:rPr>
        <w:tab/>
        <w:t xml:space="preserve">the </w:t>
      </w:r>
      <w:proofErr w:type="gramStart"/>
      <w:r w:rsidRPr="00DC0A30">
        <w:rPr>
          <w:rFonts w:ascii="Times New Roman" w:hAnsi="Times New Roman"/>
        </w:rPr>
        <w:t>manner in which</w:t>
      </w:r>
      <w:proofErr w:type="gramEnd"/>
      <w:r w:rsidRPr="00DC0A30">
        <w:rPr>
          <w:rFonts w:ascii="Times New Roman" w:hAnsi="Times New Roman"/>
        </w:rPr>
        <w:t xml:space="preserve"> a group member is to establish his or her entitlement to share in the damages; and</w:t>
      </w:r>
    </w:p>
    <w:p w14:paraId="13A98124" w14:textId="77777777" w:rsidR="006F5E1E"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 xml:space="preserve">(b) </w:t>
      </w:r>
      <w:r w:rsidRPr="00DC0A30">
        <w:rPr>
          <w:rFonts w:ascii="Times New Roman" w:hAnsi="Times New Roman"/>
        </w:rPr>
        <w:tab/>
        <w:t>the manner in which any dispute regarding the entitlement of a group member to share in the damages is to be determined." (emphasis added)</w:t>
      </w:r>
    </w:p>
    <w:p w14:paraId="68CBF793"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b/>
          <w:bCs/>
        </w:rPr>
        <w:lastRenderedPageBreak/>
        <w:tab/>
      </w:r>
      <w:r w:rsidRPr="00DC0A30">
        <w:rPr>
          <w:rFonts w:ascii="Times New Roman" w:hAnsi="Times New Roman"/>
        </w:rPr>
        <w:t xml:space="preserve">As will be explained, where the solicitor acting for the representative party or a group member is subject to the LPUL, then the Federal Court may not make an order under s 33V(2) or s 33Z(1)(g) of the FCA Act under which an amount to be paid to or for the benefit of the solicitor is calculated by reference to the amount that might be paid or is to be paid as an award or under a settlement or the value of any property that may be recovered in the proceedings, including in the terms of the Solicitors' CFO. </w:t>
      </w:r>
    </w:p>
    <w:p w14:paraId="73E5B6C3"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Federal Court, however, does have power under ss 33</w:t>
      </w:r>
      <w:proofErr w:type="gramStart"/>
      <w:r w:rsidRPr="00DC0A30">
        <w:rPr>
          <w:rFonts w:ascii="Times New Roman" w:hAnsi="Times New Roman"/>
        </w:rPr>
        <w:t>V(</w:t>
      </w:r>
      <w:proofErr w:type="gramEnd"/>
      <w:r w:rsidRPr="00DC0A30">
        <w:rPr>
          <w:rFonts w:ascii="Times New Roman" w:hAnsi="Times New Roman"/>
        </w:rPr>
        <w:t>2) and 33Z(1)(g) of the FCA Act to make a settlement CFO or a judgment CFO in favour of a litigation funder, or an FEO. It is appropriate to address the power of the</w:t>
      </w:r>
      <w:r>
        <w:rPr>
          <w:rFonts w:ascii="Times New Roman" w:hAnsi="Times New Roman"/>
        </w:rPr>
        <w:t> </w:t>
      </w:r>
      <w:r w:rsidRPr="00DC0A30">
        <w:rPr>
          <w:rFonts w:ascii="Times New Roman" w:hAnsi="Times New Roman"/>
        </w:rPr>
        <w:t xml:space="preserve">Federal Court to make those orders before turning to the Solicitors' CFO that is the subject of these appeals. </w:t>
      </w:r>
    </w:p>
    <w:p w14:paraId="4EA15A6A" w14:textId="77777777" w:rsidR="006F5E1E" w:rsidRPr="00DC0A30" w:rsidRDefault="006F5E1E" w:rsidP="00DC0A30">
      <w:pPr>
        <w:pStyle w:val="HeadingL1"/>
        <w:spacing w:after="260" w:line="280" w:lineRule="exact"/>
        <w:ind w:right="0"/>
        <w:jc w:val="both"/>
        <w:rPr>
          <w:rFonts w:ascii="Times New Roman" w:hAnsi="Times New Roman"/>
          <w:i/>
          <w:iCs/>
        </w:rPr>
      </w:pPr>
      <w:bookmarkStart w:id="2" w:name="_Toc191415546"/>
      <w:bookmarkStart w:id="3" w:name="_Toc191455507"/>
      <w:r w:rsidRPr="00DC0A30">
        <w:rPr>
          <w:rFonts w:ascii="Times New Roman" w:hAnsi="Times New Roman"/>
        </w:rPr>
        <w:t xml:space="preserve">Notice of contention and </w:t>
      </w:r>
      <w:r w:rsidRPr="00DC0A30">
        <w:rPr>
          <w:rFonts w:ascii="Times New Roman" w:hAnsi="Times New Roman"/>
          <w:i/>
          <w:iCs/>
        </w:rPr>
        <w:t>Brewster</w:t>
      </w:r>
    </w:p>
    <w:p w14:paraId="1F166CDA"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Applicants filed a notice of contention</w:t>
      </w:r>
      <w:r w:rsidRPr="00DC0A30">
        <w:rPr>
          <w:rFonts w:ascii="Times New Roman" w:hAnsi="Times New Roman"/>
          <w:b/>
          <w:bCs/>
        </w:rPr>
        <w:t xml:space="preserve"> </w:t>
      </w:r>
      <w:r w:rsidRPr="00DC0A30">
        <w:rPr>
          <w:rFonts w:ascii="Times New Roman" w:hAnsi="Times New Roman"/>
        </w:rPr>
        <w:t>by</w:t>
      </w:r>
      <w:r w:rsidRPr="00DC0A30">
        <w:rPr>
          <w:rFonts w:ascii="Times New Roman" w:hAnsi="Times New Roman"/>
          <w:b/>
          <w:bCs/>
        </w:rPr>
        <w:t xml:space="preserve"> </w:t>
      </w:r>
      <w:r w:rsidRPr="00DC0A30">
        <w:rPr>
          <w:rFonts w:ascii="Times New Roman" w:hAnsi="Times New Roman"/>
        </w:rPr>
        <w:t>which they contended that the decision of the Full Court</w:t>
      </w:r>
      <w:r w:rsidRPr="00DC0A30" w:rsidDel="00A26567">
        <w:rPr>
          <w:rFonts w:ascii="Times New Roman" w:hAnsi="Times New Roman"/>
        </w:rPr>
        <w:t xml:space="preserve"> </w:t>
      </w:r>
      <w:r w:rsidRPr="00DC0A30">
        <w:rPr>
          <w:rFonts w:ascii="Times New Roman" w:hAnsi="Times New Roman"/>
        </w:rPr>
        <w:t>the subject of these appeals erroneously failed to decide that the Federal Court had power to make an order or orders relating to the remuneration of a litigation funder to be borne pro rata by the group members from a common fund of the proceeds to be recovered from the litigation, including at an early stage in the proceedings,</w:t>
      </w:r>
      <w:r w:rsidRPr="00DC0A30">
        <w:rPr>
          <w:rStyle w:val="FootnoteReference"/>
          <w:rFonts w:ascii="Times New Roman" w:hAnsi="Times New Roman"/>
          <w:sz w:val="24"/>
        </w:rPr>
        <w:footnoteReference w:id="58"/>
      </w:r>
      <w:r w:rsidRPr="00DC0A30">
        <w:rPr>
          <w:rFonts w:ascii="Times New Roman" w:hAnsi="Times New Roman"/>
        </w:rPr>
        <w:t xml:space="preserve"> and that this Court's decision in </w:t>
      </w:r>
      <w:r w:rsidRPr="00DC0A30">
        <w:rPr>
          <w:rFonts w:ascii="Times New Roman" w:hAnsi="Times New Roman"/>
          <w:i/>
          <w:iCs/>
        </w:rPr>
        <w:t>BMW Australia Ltd v Brewster</w:t>
      </w:r>
      <w:r w:rsidRPr="00DC0A30">
        <w:rPr>
          <w:rStyle w:val="FootnoteReference"/>
          <w:rFonts w:ascii="Times New Roman" w:hAnsi="Times New Roman"/>
          <w:sz w:val="24"/>
        </w:rPr>
        <w:footnoteReference w:id="59"/>
      </w:r>
      <w:r w:rsidRPr="00DC0A30">
        <w:rPr>
          <w:rFonts w:ascii="Times New Roman" w:hAnsi="Times New Roman"/>
        </w:rPr>
        <w:t xml:space="preserve"> should be reopened and overturned to the extent it holds to the</w:t>
      </w:r>
      <w:r>
        <w:rPr>
          <w:rFonts w:ascii="Times New Roman" w:hAnsi="Times New Roman"/>
        </w:rPr>
        <w:t> </w:t>
      </w:r>
      <w:r w:rsidRPr="00DC0A30">
        <w:rPr>
          <w:rFonts w:ascii="Times New Roman" w:hAnsi="Times New Roman"/>
        </w:rPr>
        <w:t xml:space="preserve">contrary. </w:t>
      </w:r>
    </w:p>
    <w:p w14:paraId="3A5AA097"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r>
      <w:r w:rsidRPr="00DC0A30">
        <w:rPr>
          <w:rFonts w:ascii="Times New Roman" w:hAnsi="Times New Roman"/>
          <w:i/>
          <w:iCs/>
        </w:rPr>
        <w:t>Brewster</w:t>
      </w:r>
      <w:r w:rsidRPr="00DC0A30">
        <w:rPr>
          <w:rFonts w:ascii="Times New Roman" w:hAnsi="Times New Roman"/>
        </w:rPr>
        <w:t xml:space="preserve"> did not address, let alone resolve, the power of the Federal Court under s 33V(2) or s 33Z(1)(g) of the FCA Act to make a settlement CFO or a judgment CFO in favour of a litigation funder, or a Solicitors' CFO.</w:t>
      </w:r>
      <w:r w:rsidRPr="00DC0A30">
        <w:rPr>
          <w:rStyle w:val="FootnoteReference"/>
          <w:rFonts w:ascii="Times New Roman" w:hAnsi="Times New Roman"/>
          <w:sz w:val="24"/>
        </w:rPr>
        <w:footnoteReference w:id="60"/>
      </w:r>
      <w:r w:rsidRPr="00DC0A30">
        <w:rPr>
          <w:rFonts w:ascii="Times New Roman" w:hAnsi="Times New Roman"/>
        </w:rPr>
        <w:t xml:space="preserve"> In </w:t>
      </w:r>
      <w:r w:rsidRPr="00DC0A30">
        <w:rPr>
          <w:rFonts w:ascii="Times New Roman" w:hAnsi="Times New Roman"/>
          <w:i/>
          <w:iCs/>
        </w:rPr>
        <w:t>Brewster</w:t>
      </w:r>
      <w:r w:rsidRPr="00DC0A30">
        <w:rPr>
          <w:rFonts w:ascii="Times New Roman" w:hAnsi="Times New Roman"/>
        </w:rPr>
        <w:t>, this Court considered s 33ZF(1) of the FCA Act (and its equivalent in s 183 of the</w:t>
      </w:r>
      <w:r>
        <w:rPr>
          <w:rFonts w:ascii="Times New Roman" w:hAnsi="Times New Roman"/>
        </w:rPr>
        <w:t> </w:t>
      </w:r>
      <w:r w:rsidRPr="00DC0A30">
        <w:rPr>
          <w:rFonts w:ascii="Times New Roman" w:hAnsi="Times New Roman"/>
          <w:i/>
          <w:iCs/>
        </w:rPr>
        <w:t xml:space="preserve">Civil Procedure Act 2005 </w:t>
      </w:r>
      <w:r w:rsidRPr="00DC0A30">
        <w:rPr>
          <w:rFonts w:ascii="Times New Roman" w:hAnsi="Times New Roman"/>
        </w:rPr>
        <w:t>(NSW)) and a majority held that those provisions did not empower the Federal Court (or the Supreme Court of New South Wales) to</w:t>
      </w:r>
      <w:r>
        <w:rPr>
          <w:rFonts w:ascii="Times New Roman" w:hAnsi="Times New Roman"/>
        </w:rPr>
        <w:t> </w:t>
      </w:r>
      <w:r w:rsidRPr="00DC0A30">
        <w:rPr>
          <w:rFonts w:ascii="Times New Roman" w:hAnsi="Times New Roman"/>
        </w:rPr>
        <w:t xml:space="preserve">make an order early in representative proceedings that allowed for part of a </w:t>
      </w:r>
      <w:r w:rsidRPr="00DC0A30">
        <w:rPr>
          <w:rFonts w:ascii="Times New Roman" w:hAnsi="Times New Roman"/>
        </w:rPr>
        <w:lastRenderedPageBreak/>
        <w:t>litigation funder's remuneration to be a proportion of moneys recovered in a settlement or judgment, with all group members (both funded and unfunded) bearing a proportionate share of liability.</w:t>
      </w:r>
      <w:r w:rsidRPr="00DC0A30">
        <w:rPr>
          <w:rStyle w:val="FootnoteReference"/>
          <w:rFonts w:ascii="Times New Roman" w:hAnsi="Times New Roman"/>
          <w:sz w:val="24"/>
        </w:rPr>
        <w:footnoteReference w:id="61"/>
      </w:r>
      <w:r w:rsidRPr="00DC0A30">
        <w:rPr>
          <w:rFonts w:ascii="Times New Roman" w:hAnsi="Times New Roman"/>
        </w:rPr>
        <w:t xml:space="preserve"> That was the ratio in </w:t>
      </w:r>
      <w:r w:rsidRPr="00DC0A30">
        <w:rPr>
          <w:rFonts w:ascii="Times New Roman" w:hAnsi="Times New Roman"/>
          <w:i/>
          <w:iCs/>
        </w:rPr>
        <w:t>Brewster</w:t>
      </w:r>
      <w:r w:rsidRPr="00DC0A30">
        <w:rPr>
          <w:rFonts w:ascii="Times New Roman" w:hAnsi="Times New Roman"/>
        </w:rPr>
        <w:t>.</w:t>
      </w:r>
    </w:p>
    <w:p w14:paraId="41CF9FF1"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The form of order sought in </w:t>
      </w:r>
      <w:r w:rsidRPr="00DC0A30">
        <w:rPr>
          <w:rFonts w:ascii="Times New Roman" w:hAnsi="Times New Roman"/>
          <w:i/>
          <w:iCs/>
        </w:rPr>
        <w:t xml:space="preserve">Brewster </w:t>
      </w:r>
      <w:r w:rsidRPr="00DC0A30">
        <w:rPr>
          <w:rFonts w:ascii="Times New Roman" w:hAnsi="Times New Roman"/>
        </w:rPr>
        <w:t>to make payments from moneys recovered in a settlement or judgment – a "commencement CFO" or an</w:t>
      </w:r>
      <w:r>
        <w:rPr>
          <w:rFonts w:ascii="Times New Roman" w:hAnsi="Times New Roman"/>
        </w:rPr>
        <w:t> </w:t>
      </w:r>
      <w:r w:rsidRPr="00DC0A30">
        <w:rPr>
          <w:rFonts w:ascii="Times New Roman" w:hAnsi="Times New Roman"/>
        </w:rPr>
        <w:t>"interim</w:t>
      </w:r>
      <w:r>
        <w:rPr>
          <w:rFonts w:ascii="Times New Roman" w:hAnsi="Times New Roman"/>
        </w:rPr>
        <w:t> </w:t>
      </w:r>
      <w:r w:rsidRPr="00DC0A30">
        <w:rPr>
          <w:rFonts w:ascii="Times New Roman" w:hAnsi="Times New Roman"/>
        </w:rPr>
        <w:t>CFO" – was distinct. Such orders are made early in the representative</w:t>
      </w:r>
      <w:r>
        <w:rPr>
          <w:rFonts w:ascii="Times New Roman" w:hAnsi="Times New Roman"/>
        </w:rPr>
        <w:t> </w:t>
      </w:r>
      <w:r w:rsidRPr="00DC0A30">
        <w:rPr>
          <w:rFonts w:ascii="Times New Roman" w:hAnsi="Times New Roman"/>
        </w:rPr>
        <w:t>proceeding, in interim form, and are usually made "subject to further order"</w:t>
      </w:r>
      <w:r w:rsidRPr="00DC0A30">
        <w:rPr>
          <w:rStyle w:val="FootnoteReference"/>
          <w:rFonts w:ascii="Times New Roman" w:hAnsi="Times New Roman"/>
          <w:sz w:val="24"/>
        </w:rPr>
        <w:footnoteReference w:id="62"/>
      </w:r>
      <w:r w:rsidRPr="00DC0A30">
        <w:rPr>
          <w:rFonts w:ascii="Times New Roman" w:hAnsi="Times New Roman"/>
        </w:rPr>
        <w:t xml:space="preserve"> and in some cases purport to impose substantive future liabilities on the representative party and group members.</w:t>
      </w:r>
      <w:r w:rsidRPr="00DC0A30">
        <w:rPr>
          <w:rStyle w:val="FootnoteReference"/>
          <w:rFonts w:ascii="Times New Roman" w:hAnsi="Times New Roman"/>
          <w:sz w:val="24"/>
        </w:rPr>
        <w:footnoteReference w:id="63"/>
      </w:r>
      <w:r w:rsidRPr="00DC0A30">
        <w:rPr>
          <w:rFonts w:ascii="Times New Roman" w:hAnsi="Times New Roman"/>
        </w:rPr>
        <w:t xml:space="preserve"> The judgments in </w:t>
      </w:r>
      <w:r w:rsidRPr="00DC0A30">
        <w:rPr>
          <w:rFonts w:ascii="Times New Roman" w:hAnsi="Times New Roman"/>
          <w:i/>
          <w:iCs/>
        </w:rPr>
        <w:t xml:space="preserve">Brewster </w:t>
      </w:r>
      <w:r w:rsidRPr="00DC0A30">
        <w:rPr>
          <w:rFonts w:ascii="Times New Roman" w:hAnsi="Times New Roman"/>
        </w:rPr>
        <w:t>described the orders as being made at an early stage of proceedings and reasoned on that basis.</w:t>
      </w:r>
      <w:r w:rsidRPr="00DC0A30">
        <w:rPr>
          <w:rStyle w:val="FootnoteReference"/>
          <w:rFonts w:ascii="Times New Roman" w:hAnsi="Times New Roman"/>
          <w:sz w:val="24"/>
        </w:rPr>
        <w:footnoteReference w:id="64"/>
      </w:r>
      <w:r w:rsidRPr="00DC0A30">
        <w:rPr>
          <w:rFonts w:ascii="Times New Roman" w:hAnsi="Times New Roman"/>
        </w:rPr>
        <w:t xml:space="preserve"> This is reinforced by the fact that the majority reasoned that s 33ZF(1) (which relevantly provides that "the Court may, of its own motion or on application by a party or a group member, make </w:t>
      </w:r>
      <w:r w:rsidRPr="00DC0A30">
        <w:rPr>
          <w:rFonts w:ascii="Times New Roman" w:hAnsi="Times New Roman"/>
          <w:iCs/>
        </w:rPr>
        <w:t xml:space="preserve">any order the Court thinks appropriate or necessary to ensure that justice is done in the proceeding") </w:t>
      </w:r>
      <w:r w:rsidRPr="00DC0A30">
        <w:rPr>
          <w:rFonts w:ascii="Times New Roman" w:hAnsi="Times New Roman"/>
        </w:rPr>
        <w:t>was concerned with justice in the proceeding, not whether a proceeding could proceed or be pursued at all.</w:t>
      </w:r>
      <w:r w:rsidRPr="00DC0A30">
        <w:rPr>
          <w:rStyle w:val="FootnoteReference"/>
          <w:rFonts w:ascii="Times New Roman" w:hAnsi="Times New Roman"/>
          <w:sz w:val="24"/>
        </w:rPr>
        <w:footnoteReference w:id="65"/>
      </w:r>
      <w:r w:rsidRPr="00DC0A30">
        <w:rPr>
          <w:rFonts w:ascii="Times New Roman" w:hAnsi="Times New Roman"/>
        </w:rPr>
        <w:t xml:space="preserve"> Further, the plurality considered it a "speculative exercise" to fix the litigation funder's rate of remuneration at the</w:t>
      </w:r>
      <w:r>
        <w:rPr>
          <w:rFonts w:ascii="Times New Roman" w:hAnsi="Times New Roman"/>
        </w:rPr>
        <w:t> </w:t>
      </w:r>
      <w:r w:rsidRPr="00DC0A30">
        <w:rPr>
          <w:rFonts w:ascii="Times New Roman" w:hAnsi="Times New Roman"/>
        </w:rPr>
        <w:t>commencement of the proceeding absent criteria to evaluate its appropriateness or necessity.</w:t>
      </w:r>
      <w:r w:rsidRPr="00DC0A30">
        <w:rPr>
          <w:rStyle w:val="FootnoteReference"/>
          <w:rFonts w:ascii="Times New Roman" w:hAnsi="Times New Roman"/>
          <w:sz w:val="24"/>
        </w:rPr>
        <w:footnoteReference w:id="66"/>
      </w:r>
      <w:r w:rsidRPr="00DC0A30">
        <w:rPr>
          <w:rFonts w:ascii="Times New Roman" w:hAnsi="Times New Roman"/>
        </w:rPr>
        <w:t xml:space="preserve"> In any event, the order sought in </w:t>
      </w:r>
      <w:r w:rsidRPr="00DC0A30">
        <w:rPr>
          <w:rFonts w:ascii="Times New Roman" w:hAnsi="Times New Roman"/>
          <w:i/>
          <w:iCs/>
        </w:rPr>
        <w:t xml:space="preserve">Brewster </w:t>
      </w:r>
      <w:r w:rsidRPr="00DC0A30">
        <w:rPr>
          <w:rFonts w:ascii="Times New Roman" w:hAnsi="Times New Roman"/>
        </w:rPr>
        <w:t>was directed to payments to litigation funders, not solicitors.</w:t>
      </w:r>
      <w:r w:rsidRPr="00DC0A30">
        <w:rPr>
          <w:rStyle w:val="FootnoteReference"/>
          <w:rFonts w:ascii="Times New Roman" w:hAnsi="Times New Roman"/>
          <w:sz w:val="24"/>
        </w:rPr>
        <w:footnoteReference w:id="67"/>
      </w:r>
      <w:r w:rsidRPr="00DC0A30">
        <w:rPr>
          <w:rFonts w:ascii="Times New Roman" w:hAnsi="Times New Roman"/>
        </w:rPr>
        <w:t xml:space="preserve"> </w:t>
      </w:r>
    </w:p>
    <w:p w14:paraId="5537A748"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lastRenderedPageBreak/>
        <w:tab/>
        <w:t xml:space="preserve">There is no basis to reopen </w:t>
      </w:r>
      <w:r w:rsidRPr="00DC0A30">
        <w:rPr>
          <w:rFonts w:ascii="Times New Roman" w:hAnsi="Times New Roman"/>
          <w:i/>
          <w:iCs/>
        </w:rPr>
        <w:t>Brewster</w:t>
      </w:r>
      <w:r w:rsidRPr="00DC0A30">
        <w:rPr>
          <w:rFonts w:ascii="Times New Roman" w:hAnsi="Times New Roman"/>
        </w:rPr>
        <w:t>.</w:t>
      </w:r>
      <w:r w:rsidRPr="00DC0A30">
        <w:rPr>
          <w:rStyle w:val="FootnoteReference"/>
          <w:rFonts w:ascii="Times New Roman" w:hAnsi="Times New Roman"/>
          <w:sz w:val="24"/>
        </w:rPr>
        <w:footnoteReference w:id="68"/>
      </w:r>
      <w:r w:rsidRPr="00DC0A30">
        <w:rPr>
          <w:rFonts w:ascii="Times New Roman" w:hAnsi="Times New Roman"/>
        </w:rPr>
        <w:t xml:space="preserve"> </w:t>
      </w:r>
      <w:r w:rsidRPr="00DC0A30">
        <w:rPr>
          <w:rFonts w:ascii="Times New Roman" w:hAnsi="Times New Roman"/>
          <w:i/>
          <w:iCs/>
        </w:rPr>
        <w:t xml:space="preserve">Brewster </w:t>
      </w:r>
      <w:r w:rsidRPr="00DC0A30">
        <w:rPr>
          <w:rFonts w:ascii="Times New Roman" w:hAnsi="Times New Roman"/>
        </w:rPr>
        <w:t>should not be reopened merely to permit re-agitation of arguments that did not prevail in favour of a "commencement CFO".</w:t>
      </w:r>
    </w:p>
    <w:p w14:paraId="531960FA" w14:textId="77777777" w:rsidR="006F5E1E" w:rsidRPr="00DC0A30" w:rsidRDefault="006F5E1E" w:rsidP="00DC0A30">
      <w:pPr>
        <w:pStyle w:val="HeadingL1"/>
        <w:spacing w:after="260" w:line="280" w:lineRule="exact"/>
        <w:ind w:right="0"/>
        <w:jc w:val="both"/>
        <w:rPr>
          <w:rFonts w:ascii="Times New Roman" w:hAnsi="Times New Roman"/>
          <w:iCs/>
        </w:rPr>
      </w:pPr>
      <w:r w:rsidRPr="00DC0A30">
        <w:rPr>
          <w:rFonts w:ascii="Times New Roman" w:hAnsi="Times New Roman"/>
        </w:rPr>
        <w:t>Sections 33</w:t>
      </w:r>
      <w:proofErr w:type="gramStart"/>
      <w:r w:rsidRPr="00DC0A30">
        <w:rPr>
          <w:rFonts w:ascii="Times New Roman" w:hAnsi="Times New Roman"/>
        </w:rPr>
        <w:t>V(</w:t>
      </w:r>
      <w:proofErr w:type="gramEnd"/>
      <w:r w:rsidRPr="00DC0A30">
        <w:rPr>
          <w:rFonts w:ascii="Times New Roman" w:hAnsi="Times New Roman"/>
        </w:rPr>
        <w:t>2) and 33Z(1)(g) in Pt </w:t>
      </w:r>
      <w:r w:rsidRPr="00DC0A30">
        <w:rPr>
          <w:rFonts w:ascii="Times New Roman" w:hAnsi="Times New Roman"/>
          <w:iCs/>
        </w:rPr>
        <w:t>IVA of the FCA Act</w:t>
      </w:r>
    </w:p>
    <w:p w14:paraId="0FAA3F46"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Having established that </w:t>
      </w:r>
      <w:r w:rsidRPr="00DC0A30">
        <w:rPr>
          <w:rFonts w:ascii="Times New Roman" w:hAnsi="Times New Roman"/>
          <w:i/>
          <w:iCs/>
        </w:rPr>
        <w:t xml:space="preserve">Brewster </w:t>
      </w:r>
      <w:r w:rsidRPr="00DC0A30">
        <w:rPr>
          <w:rFonts w:ascii="Times New Roman" w:hAnsi="Times New Roman"/>
        </w:rPr>
        <w:t>is not determinative of the issues in these appeals, the starting point is the text of each of s 33V(2) and s 33Z(1)(g), which</w:t>
      </w:r>
      <w:r>
        <w:rPr>
          <w:rFonts w:ascii="Times New Roman" w:hAnsi="Times New Roman"/>
        </w:rPr>
        <w:t> </w:t>
      </w:r>
      <w:r w:rsidRPr="00DC0A30">
        <w:rPr>
          <w:rFonts w:ascii="Times New Roman" w:hAnsi="Times New Roman"/>
        </w:rPr>
        <w:t>obliges the Federal Court to decide what orders are "just" in a particular context – s 33V(2), where the proceeding ends by settlement; s 33Z(1)(g), where</w:t>
      </w:r>
      <w:r>
        <w:rPr>
          <w:rFonts w:ascii="Times New Roman" w:hAnsi="Times New Roman"/>
        </w:rPr>
        <w:t> </w:t>
      </w:r>
      <w:r w:rsidRPr="00DC0A30">
        <w:rPr>
          <w:rFonts w:ascii="Times New Roman" w:hAnsi="Times New Roman"/>
        </w:rPr>
        <w:t>it ends by judgment. Both are powers of considerable breadth and wide discretion. Moreover, as both provisions confer jurisdiction to make orders of a particular kind, it is not appropriate to read either provision "by making implications or imposing limitations which are not found in the express words".</w:t>
      </w:r>
      <w:r w:rsidRPr="00DC0A30">
        <w:rPr>
          <w:rStyle w:val="FootnoteReference"/>
          <w:rFonts w:ascii="Times New Roman" w:hAnsi="Times New Roman"/>
          <w:sz w:val="24"/>
        </w:rPr>
        <w:footnoteReference w:id="69"/>
      </w:r>
    </w:p>
    <w:p w14:paraId="114A1BDA" w14:textId="77777777" w:rsidR="006F5E1E" w:rsidRPr="00DC0A30" w:rsidRDefault="006F5E1E" w:rsidP="00DC0A30">
      <w:pPr>
        <w:pStyle w:val="HeadingL2"/>
        <w:spacing w:after="260" w:line="280" w:lineRule="exact"/>
        <w:ind w:right="0"/>
        <w:jc w:val="both"/>
        <w:rPr>
          <w:rFonts w:ascii="Times New Roman" w:hAnsi="Times New Roman"/>
        </w:rPr>
      </w:pPr>
      <w:r w:rsidRPr="00DC0A30">
        <w:rPr>
          <w:rFonts w:ascii="Times New Roman" w:hAnsi="Times New Roman"/>
        </w:rPr>
        <w:t>Section 33V – settlement</w:t>
      </w:r>
    </w:p>
    <w:p w14:paraId="631B2F3E"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Section 33</w:t>
      </w:r>
      <w:proofErr w:type="gramStart"/>
      <w:r w:rsidRPr="00DC0A30">
        <w:rPr>
          <w:rFonts w:ascii="Times New Roman" w:hAnsi="Times New Roman"/>
        </w:rPr>
        <w:t>V(</w:t>
      </w:r>
      <w:proofErr w:type="gramEnd"/>
      <w:r w:rsidRPr="00DC0A30">
        <w:rPr>
          <w:rFonts w:ascii="Times New Roman" w:hAnsi="Times New Roman"/>
        </w:rPr>
        <w:t>1) requires that a representative proceeding not be settled or discontinued without the approval of the Court. A negotiated settlement will often include a distribution of part of a fund to a third party; it is a matter for the Court whether that is approved. Section 33</w:t>
      </w:r>
      <w:proofErr w:type="gramStart"/>
      <w:r w:rsidRPr="00DC0A30">
        <w:rPr>
          <w:rFonts w:ascii="Times New Roman" w:hAnsi="Times New Roman"/>
        </w:rPr>
        <w:t>V(</w:t>
      </w:r>
      <w:proofErr w:type="gramEnd"/>
      <w:r w:rsidRPr="00DC0A30">
        <w:rPr>
          <w:rFonts w:ascii="Times New Roman" w:hAnsi="Times New Roman"/>
        </w:rPr>
        <w:t>2) then provides that, if the Court gives such an approval, it may make such orders as are just with respect to the</w:t>
      </w:r>
      <w:r>
        <w:rPr>
          <w:rFonts w:ascii="Times New Roman" w:hAnsi="Times New Roman"/>
        </w:rPr>
        <w:t> </w:t>
      </w:r>
      <w:r w:rsidRPr="00DC0A30">
        <w:rPr>
          <w:rFonts w:ascii="Times New Roman" w:hAnsi="Times New Roman"/>
        </w:rPr>
        <w:t>distribution of any money paid under a settlement or paid into the Court. The power in s 33</w:t>
      </w:r>
      <w:proofErr w:type="gramStart"/>
      <w:r w:rsidRPr="00DC0A30">
        <w:rPr>
          <w:rFonts w:ascii="Times New Roman" w:hAnsi="Times New Roman"/>
        </w:rPr>
        <w:t>V(</w:t>
      </w:r>
      <w:proofErr w:type="gramEnd"/>
      <w:r w:rsidRPr="00DC0A30">
        <w:rPr>
          <w:rFonts w:ascii="Times New Roman" w:hAnsi="Times New Roman"/>
        </w:rPr>
        <w:t>2) is to make final orders in the Court's approval jurisdiction. It is not a "gap-filling" power.</w:t>
      </w:r>
      <w:r w:rsidRPr="00DC0A30">
        <w:rPr>
          <w:rStyle w:val="FootnoteReference"/>
          <w:rFonts w:ascii="Times New Roman" w:hAnsi="Times New Roman"/>
          <w:sz w:val="24"/>
        </w:rPr>
        <w:footnoteReference w:id="70"/>
      </w:r>
      <w:r w:rsidRPr="00DC0A30">
        <w:rPr>
          <w:rFonts w:ascii="Times New Roman" w:hAnsi="Times New Roman"/>
        </w:rPr>
        <w:t xml:space="preserve"> The Court's role is to evaluate the proposed settlement terms at the time of settlement based on the circumstances that pertain at that</w:t>
      </w:r>
      <w:r w:rsidRPr="00DC0A30" w:rsidDel="00E1152F">
        <w:rPr>
          <w:rFonts w:ascii="Times New Roman" w:hAnsi="Times New Roman"/>
        </w:rPr>
        <w:t xml:space="preserve"> time</w:t>
      </w:r>
      <w:r w:rsidRPr="00DC0A30">
        <w:rPr>
          <w:rFonts w:ascii="Times New Roman" w:hAnsi="Times New Roman"/>
        </w:rPr>
        <w:t>.</w:t>
      </w:r>
      <w:r w:rsidRPr="00DC0A30">
        <w:rPr>
          <w:rStyle w:val="FootnoteReference"/>
          <w:rFonts w:ascii="Times New Roman" w:hAnsi="Times New Roman"/>
          <w:sz w:val="24"/>
        </w:rPr>
        <w:footnoteReference w:id="71"/>
      </w:r>
    </w:p>
    <w:p w14:paraId="24F04E71"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lastRenderedPageBreak/>
        <w:tab/>
        <w:t>Is there a limit on the power in s 33</w:t>
      </w:r>
      <w:proofErr w:type="gramStart"/>
      <w:r w:rsidRPr="00DC0A30">
        <w:rPr>
          <w:rFonts w:ascii="Times New Roman" w:hAnsi="Times New Roman"/>
        </w:rPr>
        <w:t>V(</w:t>
      </w:r>
      <w:proofErr w:type="gramEnd"/>
      <w:r w:rsidRPr="00DC0A30">
        <w:rPr>
          <w:rFonts w:ascii="Times New Roman" w:hAnsi="Times New Roman"/>
        </w:rPr>
        <w:t>2) that prevents a settlement CFO? Nothing on the face of the terms of s 33V(2) implies anything about the identity of the recipient of any distribution, beyond that such orders will not be made unless they are "just".</w:t>
      </w:r>
      <w:r w:rsidRPr="00DC0A30">
        <w:rPr>
          <w:rStyle w:val="FootnoteReference"/>
          <w:rFonts w:ascii="Times New Roman" w:hAnsi="Times New Roman"/>
          <w:sz w:val="24"/>
        </w:rPr>
        <w:footnoteReference w:id="72"/>
      </w:r>
      <w:r w:rsidRPr="00DC0A30">
        <w:rPr>
          <w:rFonts w:ascii="Times New Roman" w:hAnsi="Times New Roman"/>
        </w:rPr>
        <w:t xml:space="preserve"> Mr Kain, however, submitted that s 33V(2) must be limited to payment to the applicant and group members, or those to whom a pre</w:t>
      </w:r>
      <w:r w:rsidRPr="00DC0A30">
        <w:rPr>
          <w:rFonts w:ascii="Times New Roman" w:hAnsi="Times New Roman"/>
        </w:rPr>
        <w:noBreakHyphen/>
        <w:t>existing legal obligation is owed, on the basis that the settlement fund relates to the settling of the claims between the parties. That argument must be rejected. There is no reason to read "distribution" or the text of s 33</w:t>
      </w:r>
      <w:proofErr w:type="gramStart"/>
      <w:r w:rsidRPr="00DC0A30">
        <w:rPr>
          <w:rFonts w:ascii="Times New Roman" w:hAnsi="Times New Roman"/>
        </w:rPr>
        <w:t>V(</w:t>
      </w:r>
      <w:proofErr w:type="gramEnd"/>
      <w:r w:rsidRPr="00DC0A30">
        <w:rPr>
          <w:rFonts w:ascii="Times New Roman" w:hAnsi="Times New Roman"/>
        </w:rPr>
        <w:t>2) as limited to the parties to the</w:t>
      </w:r>
      <w:r>
        <w:rPr>
          <w:rFonts w:ascii="Times New Roman" w:hAnsi="Times New Roman"/>
        </w:rPr>
        <w:t> </w:t>
      </w:r>
      <w:r w:rsidRPr="00DC0A30">
        <w:rPr>
          <w:rFonts w:ascii="Times New Roman" w:hAnsi="Times New Roman"/>
        </w:rPr>
        <w:t xml:space="preserve">litigation. </w:t>
      </w:r>
    </w:p>
    <w:p w14:paraId="31FE14A0"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A settlement agreement may sometimes include terms that concern third</w:t>
      </w:r>
      <w:r>
        <w:rPr>
          <w:rFonts w:ascii="Times New Roman" w:hAnsi="Times New Roman"/>
        </w:rPr>
        <w:t> </w:t>
      </w:r>
      <w:r w:rsidRPr="00DC0A30">
        <w:rPr>
          <w:rFonts w:ascii="Times New Roman" w:hAnsi="Times New Roman"/>
        </w:rPr>
        <w:t>parties, particularly where those third parties helped to facilitate the</w:t>
      </w:r>
      <w:r>
        <w:rPr>
          <w:rFonts w:ascii="Times New Roman" w:hAnsi="Times New Roman"/>
        </w:rPr>
        <w:t> </w:t>
      </w:r>
      <w:r w:rsidRPr="00DC0A30">
        <w:rPr>
          <w:rFonts w:ascii="Times New Roman" w:hAnsi="Times New Roman"/>
        </w:rPr>
        <w:t>proceeding or the outcome of the proceeding. One example, as counsel for Mr</w:t>
      </w:r>
      <w:r>
        <w:rPr>
          <w:rFonts w:ascii="Times New Roman" w:hAnsi="Times New Roman"/>
        </w:rPr>
        <w:t> </w:t>
      </w:r>
      <w:r w:rsidRPr="00DC0A30">
        <w:rPr>
          <w:rFonts w:ascii="Times New Roman" w:hAnsi="Times New Roman"/>
        </w:rPr>
        <w:t>Shand properly conceded would be within the scope of s 33</w:t>
      </w:r>
      <w:proofErr w:type="gramStart"/>
      <w:r w:rsidRPr="00DC0A30">
        <w:rPr>
          <w:rFonts w:ascii="Times New Roman" w:hAnsi="Times New Roman"/>
        </w:rPr>
        <w:t>V(</w:t>
      </w:r>
      <w:proofErr w:type="gramEnd"/>
      <w:r w:rsidRPr="00DC0A30">
        <w:rPr>
          <w:rFonts w:ascii="Times New Roman" w:hAnsi="Times New Roman"/>
        </w:rPr>
        <w:t>2), is that it is sometimes necessary in securing the distribution of funds to provide for payment to a third party in order to achieve that distribution, such as the costs of the actual</w:t>
      </w:r>
      <w:r w:rsidRPr="00DC0A30">
        <w:rPr>
          <w:rFonts w:ascii="Times New Roman" w:hAnsi="Times New Roman"/>
          <w:i/>
          <w:iCs/>
        </w:rPr>
        <w:t xml:space="preserve"> </w:t>
      </w:r>
      <w:r w:rsidRPr="00DC0A30">
        <w:rPr>
          <w:rFonts w:ascii="Times New Roman" w:hAnsi="Times New Roman"/>
        </w:rPr>
        <w:t>distribution of the fund itself through the use of an administrator. It is difficult to identify any meaningful distinction between this payment and a payment to a litigation funder who paid the costs and disbursements to facilitate the proceeding and to secure the settlement fund.</w:t>
      </w:r>
      <w:r w:rsidRPr="00DC0A30">
        <w:rPr>
          <w:rFonts w:ascii="Times New Roman" w:hAnsi="Times New Roman"/>
          <w:b/>
          <w:bCs/>
        </w:rPr>
        <w:t xml:space="preserve"> </w:t>
      </w:r>
    </w:p>
    <w:p w14:paraId="7B6A1437"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Further, unlike a commencement or interim CFO, an order distributing a proportion of the settlement sum to the litigation funder does not create new relationships between unfunded group members and the litigation funder. It is not proposed by reference to agreed funding terms between funded group members and the litigation funder, but instead on the basis that it is a fair and reasonable term of the settlement.</w:t>
      </w:r>
      <w:r w:rsidRPr="00DC0A30">
        <w:rPr>
          <w:rStyle w:val="FootnoteReference"/>
          <w:rFonts w:ascii="Times New Roman" w:hAnsi="Times New Roman"/>
          <w:sz w:val="24"/>
        </w:rPr>
        <w:footnoteReference w:id="73"/>
      </w:r>
      <w:r w:rsidRPr="00DC0A30">
        <w:rPr>
          <w:rFonts w:ascii="Times New Roman" w:hAnsi="Times New Roman"/>
        </w:rPr>
        <w:t xml:space="preserve"> </w:t>
      </w:r>
    </w:p>
    <w:p w14:paraId="2F9676DF"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Finally, other powers in Pt IVA that use the term "distribution" name the recipient of that distribution, including, for example, ss 33M(b), 33</w:t>
      </w:r>
      <w:proofErr w:type="gramStart"/>
      <w:r w:rsidRPr="00DC0A30">
        <w:rPr>
          <w:rFonts w:ascii="Times New Roman" w:hAnsi="Times New Roman"/>
        </w:rPr>
        <w:t>Z(</w:t>
      </w:r>
      <w:proofErr w:type="gramEnd"/>
      <w:r w:rsidRPr="00DC0A30">
        <w:rPr>
          <w:rFonts w:ascii="Times New Roman" w:hAnsi="Times New Roman"/>
        </w:rPr>
        <w:t>2) and 33ZA. This is a further basis against construing s 33</w:t>
      </w:r>
      <w:proofErr w:type="gramStart"/>
      <w:r w:rsidRPr="00DC0A30">
        <w:rPr>
          <w:rFonts w:ascii="Times New Roman" w:hAnsi="Times New Roman"/>
        </w:rPr>
        <w:t>V(</w:t>
      </w:r>
      <w:proofErr w:type="gramEnd"/>
      <w:r w:rsidRPr="00DC0A30">
        <w:rPr>
          <w:rFonts w:ascii="Times New Roman" w:hAnsi="Times New Roman"/>
        </w:rPr>
        <w:t>2) to limit the class of particular recipients of any distribution where none is identified on its face. For those reasons, an order authorising the deduction of an amount from a settlement sum as payment to a litigation funder may answer the description of an order</w:t>
      </w:r>
      <w:r w:rsidRPr="00DC0A30" w:rsidDel="000F738A">
        <w:rPr>
          <w:rFonts w:ascii="Times New Roman" w:hAnsi="Times New Roman"/>
        </w:rPr>
        <w:t xml:space="preserve"> </w:t>
      </w:r>
      <w:r w:rsidRPr="00DC0A30">
        <w:rPr>
          <w:rFonts w:ascii="Times New Roman" w:hAnsi="Times New Roman"/>
        </w:rPr>
        <w:t>"with respect to the</w:t>
      </w:r>
      <w:r>
        <w:rPr>
          <w:rFonts w:ascii="Times New Roman" w:hAnsi="Times New Roman"/>
        </w:rPr>
        <w:t> </w:t>
      </w:r>
      <w:r w:rsidRPr="00DC0A30">
        <w:rPr>
          <w:rFonts w:ascii="Times New Roman" w:hAnsi="Times New Roman"/>
        </w:rPr>
        <w:t>distribution of any money" in s 33</w:t>
      </w:r>
      <w:proofErr w:type="gramStart"/>
      <w:r w:rsidRPr="00DC0A30">
        <w:rPr>
          <w:rFonts w:ascii="Times New Roman" w:hAnsi="Times New Roman"/>
        </w:rPr>
        <w:t>V(</w:t>
      </w:r>
      <w:proofErr w:type="gramEnd"/>
      <w:r w:rsidRPr="00DC0A30">
        <w:rPr>
          <w:rFonts w:ascii="Times New Roman" w:hAnsi="Times New Roman"/>
        </w:rPr>
        <w:t>2) and that may include both a CFO and an FEO at settlement.</w:t>
      </w:r>
    </w:p>
    <w:p w14:paraId="3A5B0A46" w14:textId="77777777" w:rsidR="006F5E1E" w:rsidRPr="00DC0A30" w:rsidRDefault="006F5E1E" w:rsidP="00DC0A30">
      <w:pPr>
        <w:pStyle w:val="HeadingL2"/>
        <w:spacing w:after="260" w:line="280" w:lineRule="exact"/>
        <w:ind w:right="0"/>
        <w:jc w:val="both"/>
        <w:rPr>
          <w:rFonts w:ascii="Times New Roman" w:hAnsi="Times New Roman"/>
        </w:rPr>
      </w:pPr>
      <w:r w:rsidRPr="00DC0A30">
        <w:rPr>
          <w:rFonts w:ascii="Times New Roman" w:hAnsi="Times New Roman"/>
        </w:rPr>
        <w:lastRenderedPageBreak/>
        <w:t>Section 33Z – judgment</w:t>
      </w:r>
    </w:p>
    <w:p w14:paraId="51A60149"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Section 33</w:t>
      </w:r>
      <w:proofErr w:type="gramStart"/>
      <w:r w:rsidRPr="00DC0A30">
        <w:rPr>
          <w:rFonts w:ascii="Times New Roman" w:hAnsi="Times New Roman"/>
        </w:rPr>
        <w:t>Z(</w:t>
      </w:r>
      <w:proofErr w:type="gramEnd"/>
      <w:r w:rsidRPr="00DC0A30">
        <w:rPr>
          <w:rFonts w:ascii="Times New Roman" w:hAnsi="Times New Roman"/>
        </w:rPr>
        <w:t xml:space="preserve">1) enumerates a list of actions that the Court may take in determining a matter in a representative proceeding. Paragraphs (a) to (f) list specific powers of the Court at judgment. Paragraph (g) provides that the Court may "make such other order as the Court thinks just". </w:t>
      </w:r>
    </w:p>
    <w:p w14:paraId="688C2FE6"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Is there a limit on the power in s 33Z(1)(g) that prevents the Court from making a judgment CFO? Although the parties could not provide an example of a judgment CFO, there was no identified basis for concluding that such an order could not be made. First, Mr Kain, Mr Shand and EY submitted that s 33Z(1)(g) should be interpreted consistently with paras (a) to (f) of s 33</w:t>
      </w:r>
      <w:proofErr w:type="gramStart"/>
      <w:r w:rsidRPr="00DC0A30">
        <w:rPr>
          <w:rFonts w:ascii="Times New Roman" w:hAnsi="Times New Roman"/>
        </w:rPr>
        <w:t>Z(</w:t>
      </w:r>
      <w:proofErr w:type="gramEnd"/>
      <w:r w:rsidRPr="00DC0A30">
        <w:rPr>
          <w:rFonts w:ascii="Times New Roman" w:hAnsi="Times New Roman"/>
        </w:rPr>
        <w:t xml:space="preserve">1), which are limited to orders affecting the parties or group members. That submission must be rejected. A judgment CFO by its nature would be an order affecting the parties to the litigation, as submitted by the Applicants, by "sharing both the burdens and benefits of the litigation ... and ... achieving justice between" the parties. The fact that a judgment CFO might </w:t>
      </w:r>
      <w:r w:rsidRPr="00DC0A30">
        <w:rPr>
          <w:rFonts w:ascii="Times New Roman" w:hAnsi="Times New Roman"/>
          <w:i/>
          <w:iCs/>
        </w:rPr>
        <w:t>also</w:t>
      </w:r>
      <w:r w:rsidRPr="00DC0A30">
        <w:rPr>
          <w:rFonts w:ascii="Times New Roman" w:hAnsi="Times New Roman"/>
        </w:rPr>
        <w:t xml:space="preserve"> affect a third party is not determinative.</w:t>
      </w:r>
    </w:p>
    <w:p w14:paraId="65167759"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Second, Mr Kain, Mr Shand and EY submitted that the power in s 33Z(1)(g) is limited by the term "matter", which should be read as a source of power to make orders necessary to resolve the dispute between the parties and limited to issues within the proceeding. Once again, this is an overly restrictive reading of</w:t>
      </w:r>
      <w:r>
        <w:rPr>
          <w:rFonts w:ascii="Times New Roman" w:hAnsi="Times New Roman"/>
        </w:rPr>
        <w:t> </w:t>
      </w:r>
      <w:r w:rsidRPr="00DC0A30">
        <w:rPr>
          <w:rFonts w:ascii="Times New Roman" w:hAnsi="Times New Roman"/>
        </w:rPr>
        <w:t xml:space="preserve">s 33Z(1)(g). The "matter" may well include the fair distribution of the fund created by the award of damages on judgment, having regard to all people who may have claims on that fund. </w:t>
      </w:r>
    </w:p>
    <w:p w14:paraId="29ED87A5"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Third, </w:t>
      </w:r>
      <w:r w:rsidRPr="00DC0A30" w:rsidDel="001620B1">
        <w:rPr>
          <w:rFonts w:ascii="Times New Roman" w:hAnsi="Times New Roman"/>
        </w:rPr>
        <w:t xml:space="preserve">Mr </w:t>
      </w:r>
      <w:r w:rsidRPr="00DC0A30">
        <w:rPr>
          <w:rFonts w:ascii="Times New Roman" w:hAnsi="Times New Roman"/>
        </w:rPr>
        <w:t>Shand</w:t>
      </w:r>
      <w:r w:rsidRPr="00DC0A30" w:rsidDel="001620B1">
        <w:rPr>
          <w:rFonts w:ascii="Times New Roman" w:hAnsi="Times New Roman"/>
        </w:rPr>
        <w:t xml:space="preserve"> </w:t>
      </w:r>
      <w:r w:rsidRPr="00DC0A30">
        <w:rPr>
          <w:rFonts w:ascii="Times New Roman" w:hAnsi="Times New Roman"/>
        </w:rPr>
        <w:t>submitted that, as s 33</w:t>
      </w:r>
      <w:proofErr w:type="gramStart"/>
      <w:r w:rsidRPr="00DC0A30">
        <w:rPr>
          <w:rFonts w:ascii="Times New Roman" w:hAnsi="Times New Roman"/>
        </w:rPr>
        <w:t>Z(</w:t>
      </w:r>
      <w:proofErr w:type="gramEnd"/>
      <w:r w:rsidRPr="00DC0A30">
        <w:rPr>
          <w:rFonts w:ascii="Times New Roman" w:hAnsi="Times New Roman"/>
        </w:rPr>
        <w:t>2) is limited to payment or distribution of money to group members, the general power in s 33Z(1)(g) should not be construed as an exception to s 33Z(2). That submission misconstrues</w:t>
      </w:r>
      <w:r>
        <w:rPr>
          <w:rFonts w:ascii="Times New Roman" w:hAnsi="Times New Roman"/>
        </w:rPr>
        <w:t> </w:t>
      </w:r>
      <w:r w:rsidRPr="00DC0A30">
        <w:rPr>
          <w:rFonts w:ascii="Times New Roman" w:hAnsi="Times New Roman"/>
        </w:rPr>
        <w:t>s 33</w:t>
      </w:r>
      <w:proofErr w:type="gramStart"/>
      <w:r w:rsidRPr="00DC0A30">
        <w:rPr>
          <w:rFonts w:ascii="Times New Roman" w:hAnsi="Times New Roman"/>
        </w:rPr>
        <w:t>Z(</w:t>
      </w:r>
      <w:proofErr w:type="gramEnd"/>
      <w:r w:rsidRPr="00DC0A30">
        <w:rPr>
          <w:rFonts w:ascii="Times New Roman" w:hAnsi="Times New Roman"/>
        </w:rPr>
        <w:t>2). That sub-section does not exhaust the Court's powers on the distribution of a judgment fund. It does not operate as a constraint on</w:t>
      </w:r>
      <w:r>
        <w:rPr>
          <w:rFonts w:ascii="Times New Roman" w:hAnsi="Times New Roman"/>
        </w:rPr>
        <w:t> </w:t>
      </w:r>
      <w:r w:rsidRPr="00DC0A30">
        <w:rPr>
          <w:rFonts w:ascii="Times New Roman" w:hAnsi="Times New Roman"/>
        </w:rPr>
        <w:t>s 33Z(1)(g).</w:t>
      </w:r>
    </w:p>
    <w:p w14:paraId="18799784"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Fourth, Mr Shand</w:t>
      </w:r>
      <w:r w:rsidRPr="00DC0A30" w:rsidDel="00A5059D">
        <w:rPr>
          <w:rFonts w:ascii="Times New Roman" w:hAnsi="Times New Roman"/>
        </w:rPr>
        <w:t xml:space="preserve"> </w:t>
      </w:r>
      <w:r w:rsidRPr="00DC0A30">
        <w:rPr>
          <w:rFonts w:ascii="Times New Roman" w:hAnsi="Times New Roman"/>
        </w:rPr>
        <w:t>submitted that the construction adopted would make s 33ZJ redundant. Section 33ZJ expressly deals with the possibility of adjustment to group members' entitlement to damages to account for legal costs. It deals with a specific situation – costs equalisation between group members. On its face, s</w:t>
      </w:r>
      <w:r>
        <w:rPr>
          <w:rFonts w:ascii="Times New Roman" w:hAnsi="Times New Roman"/>
        </w:rPr>
        <w:t> </w:t>
      </w:r>
      <w:r w:rsidRPr="00DC0A30">
        <w:rPr>
          <w:rFonts w:ascii="Times New Roman" w:hAnsi="Times New Roman"/>
        </w:rPr>
        <w:t>33ZJ does not address, let alone exhaust, the Court's powers on the distribution of a judgment fund.</w:t>
      </w:r>
    </w:p>
    <w:p w14:paraId="0BB65CE0" w14:textId="77777777" w:rsidR="006F5E1E" w:rsidRPr="00DC0A30" w:rsidRDefault="006F5E1E" w:rsidP="00DC0A30">
      <w:pPr>
        <w:pStyle w:val="HeadingL1"/>
        <w:spacing w:after="260" w:line="280" w:lineRule="exact"/>
        <w:ind w:right="0"/>
        <w:jc w:val="both"/>
        <w:rPr>
          <w:rFonts w:ascii="Times New Roman" w:hAnsi="Times New Roman"/>
        </w:rPr>
      </w:pPr>
      <w:r w:rsidRPr="00DC0A30">
        <w:rPr>
          <w:rFonts w:ascii="Times New Roman" w:hAnsi="Times New Roman"/>
        </w:rPr>
        <w:lastRenderedPageBreak/>
        <w:t>No power to make a Solicitors' CFO</w:t>
      </w:r>
    </w:p>
    <w:p w14:paraId="6E15C082"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That ss 33</w:t>
      </w:r>
      <w:proofErr w:type="gramStart"/>
      <w:r w:rsidRPr="00DC0A30">
        <w:rPr>
          <w:rFonts w:ascii="Times New Roman" w:hAnsi="Times New Roman"/>
        </w:rPr>
        <w:t>V(</w:t>
      </w:r>
      <w:proofErr w:type="gramEnd"/>
      <w:r w:rsidRPr="00DC0A30">
        <w:rPr>
          <w:rFonts w:ascii="Times New Roman" w:hAnsi="Times New Roman"/>
        </w:rPr>
        <w:t>2) and 33Z(1)(g) allow for the making of a settlement CFO, a</w:t>
      </w:r>
      <w:r>
        <w:rPr>
          <w:rFonts w:ascii="Times New Roman" w:hAnsi="Times New Roman"/>
        </w:rPr>
        <w:t> </w:t>
      </w:r>
      <w:r w:rsidRPr="00DC0A30">
        <w:rPr>
          <w:rFonts w:ascii="Times New Roman" w:hAnsi="Times New Roman"/>
        </w:rPr>
        <w:t>judgment CFO and an FEO does not answer whether they permit the making of a Solicitors' CFO. As will be explained, neither provision empowers the</w:t>
      </w:r>
      <w:r>
        <w:rPr>
          <w:rFonts w:ascii="Times New Roman" w:hAnsi="Times New Roman"/>
        </w:rPr>
        <w:t> </w:t>
      </w:r>
      <w:r w:rsidRPr="00DC0A30">
        <w:rPr>
          <w:rFonts w:ascii="Times New Roman" w:hAnsi="Times New Roman"/>
        </w:rPr>
        <w:t>Federal</w:t>
      </w:r>
      <w:r>
        <w:rPr>
          <w:rFonts w:ascii="Times New Roman" w:hAnsi="Times New Roman"/>
        </w:rPr>
        <w:t> </w:t>
      </w:r>
      <w:r w:rsidRPr="00DC0A30">
        <w:rPr>
          <w:rFonts w:ascii="Times New Roman" w:hAnsi="Times New Roman"/>
        </w:rPr>
        <w:t>Court to make an order for payment from the settlement or judgment fund which is prohibited by law or gives effect to an agreement or understanding that is otherwise unlawful. An unlawful payment cannot be a "just" payment. That</w:t>
      </w:r>
      <w:r>
        <w:rPr>
          <w:rFonts w:ascii="Times New Roman" w:hAnsi="Times New Roman"/>
        </w:rPr>
        <w:t> </w:t>
      </w:r>
      <w:r w:rsidRPr="00DC0A30">
        <w:rPr>
          <w:rFonts w:ascii="Times New Roman" w:hAnsi="Times New Roman"/>
        </w:rPr>
        <w:t xml:space="preserve">last statement needs explanation. </w:t>
      </w:r>
    </w:p>
    <w:p w14:paraId="538731D6"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"State and Territory schemes of regulation of the legal profession form part of the context in which federal jurisdiction is exercised, and have an impact upon the practical circumstances in which the rule of law is maintained."</w:t>
      </w:r>
      <w:r w:rsidRPr="00DC0A30">
        <w:rPr>
          <w:rStyle w:val="FootnoteReference"/>
          <w:rFonts w:ascii="Times New Roman" w:hAnsi="Times New Roman"/>
          <w:sz w:val="24"/>
        </w:rPr>
        <w:footnoteReference w:id="74"/>
      </w:r>
      <w:r w:rsidRPr="00DC0A30">
        <w:rPr>
          <w:rFonts w:ascii="Times New Roman" w:hAnsi="Times New Roman"/>
        </w:rPr>
        <w:t xml:space="preserve"> </w:t>
      </w:r>
      <w:bookmarkStart w:id="4" w:name="_Hlk194070483"/>
      <w:r w:rsidRPr="00DC0A30">
        <w:rPr>
          <w:rFonts w:ascii="Times New Roman" w:hAnsi="Times New Roman"/>
        </w:rPr>
        <w:t>For that reason, the Federal Court exercises power in federal jurisdiction against the</w:t>
      </w:r>
      <w:r>
        <w:rPr>
          <w:rFonts w:ascii="Times New Roman" w:hAnsi="Times New Roman"/>
        </w:rPr>
        <w:t> </w:t>
      </w:r>
      <w:r w:rsidRPr="00DC0A30">
        <w:rPr>
          <w:rFonts w:ascii="Times New Roman" w:hAnsi="Times New Roman"/>
        </w:rPr>
        <w:t>background of the scheme of regulation of the legal profession in the State or Territory in which the solicitors in the proceeding are practising.</w:t>
      </w:r>
      <w:r w:rsidRPr="00DC0A30">
        <w:rPr>
          <w:rStyle w:val="FootnoteReference"/>
          <w:rFonts w:ascii="Times New Roman" w:hAnsi="Times New Roman"/>
          <w:sz w:val="24"/>
        </w:rPr>
        <w:footnoteReference w:id="75"/>
      </w:r>
      <w:r w:rsidRPr="00DC0A30">
        <w:rPr>
          <w:rFonts w:ascii="Times New Roman" w:hAnsi="Times New Roman"/>
        </w:rPr>
        <w:t xml:space="preserve"> In New South Wales, that includes the LPUL and the </w:t>
      </w:r>
      <w:r w:rsidRPr="00DC0A30">
        <w:rPr>
          <w:rFonts w:ascii="Times New Roman" w:hAnsi="Times New Roman"/>
          <w:i/>
        </w:rPr>
        <w:t>Legal Profession Uniform Law Australian Solicitors' Conduct Rules 2015</w:t>
      </w:r>
      <w:r w:rsidRPr="00DC0A30">
        <w:rPr>
          <w:rFonts w:ascii="Times New Roman" w:hAnsi="Times New Roman"/>
        </w:rPr>
        <w:t xml:space="preserve"> (NSW)</w:t>
      </w:r>
      <w:r w:rsidRPr="00DC0A30">
        <w:rPr>
          <w:rFonts w:ascii="Times New Roman" w:hAnsi="Times New Roman"/>
          <w:iCs/>
        </w:rPr>
        <w:t xml:space="preserve"> ("the Uniform Rules")</w:t>
      </w:r>
      <w:r w:rsidRPr="00DC0A30">
        <w:rPr>
          <w:rFonts w:ascii="Times New Roman" w:hAnsi="Times New Roman"/>
        </w:rPr>
        <w:t>, which regulate the</w:t>
      </w:r>
      <w:r>
        <w:rPr>
          <w:rFonts w:ascii="Times New Roman" w:hAnsi="Times New Roman"/>
        </w:rPr>
        <w:t> </w:t>
      </w:r>
      <w:r w:rsidRPr="00DC0A30">
        <w:rPr>
          <w:rFonts w:ascii="Times New Roman" w:hAnsi="Times New Roman"/>
        </w:rPr>
        <w:t>legal profession in New South Wales. As will be seen, a Solicitors' CFO is prohibited by s 183 of the LPUL and its recovery is prohibited by s 185(4) of the</w:t>
      </w:r>
      <w:r>
        <w:rPr>
          <w:rFonts w:ascii="Times New Roman" w:hAnsi="Times New Roman"/>
        </w:rPr>
        <w:t> </w:t>
      </w:r>
      <w:r w:rsidRPr="00DC0A30">
        <w:rPr>
          <w:rFonts w:ascii="Times New Roman" w:hAnsi="Times New Roman"/>
        </w:rPr>
        <w:t>LPUL.</w:t>
      </w:r>
    </w:p>
    <w:bookmarkEnd w:id="4"/>
    <w:p w14:paraId="048FCD44"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It is necessary and appropriate to consider the components of the scheme. </w:t>
      </w:r>
    </w:p>
    <w:bookmarkEnd w:id="2"/>
    <w:bookmarkEnd w:id="3"/>
    <w:p w14:paraId="1BC25A1C" w14:textId="77777777" w:rsidR="006F5E1E" w:rsidRPr="00DC0A30" w:rsidRDefault="006F5E1E" w:rsidP="00DC0A30">
      <w:pPr>
        <w:pStyle w:val="HeadingL2"/>
        <w:spacing w:after="260" w:line="280" w:lineRule="exact"/>
        <w:ind w:right="0"/>
        <w:jc w:val="both"/>
        <w:rPr>
          <w:rFonts w:ascii="Times New Roman" w:hAnsi="Times New Roman"/>
        </w:rPr>
      </w:pPr>
      <w:r w:rsidRPr="00DC0A30">
        <w:rPr>
          <w:rFonts w:ascii="Times New Roman" w:hAnsi="Times New Roman"/>
        </w:rPr>
        <w:t>LPUL</w:t>
      </w:r>
    </w:p>
    <w:p w14:paraId="0A07A4B0"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LPUL seeks to "promote the administration of justice and an efficient and effective Australian legal profession" by, among other things, "providing and promoting interjurisdictional consistency in the law applying to the Australian legal profession"; "ensuring lawyers are competent and maintain high ethical and professional standards in the provision of legal services";</w:t>
      </w:r>
      <w:r w:rsidRPr="00DC0A30" w:rsidDel="00F81B40">
        <w:rPr>
          <w:rFonts w:ascii="Times New Roman" w:hAnsi="Times New Roman"/>
        </w:rPr>
        <w:t xml:space="preserve"> </w:t>
      </w:r>
      <w:r w:rsidRPr="00DC0A30">
        <w:rPr>
          <w:rFonts w:ascii="Times New Roman" w:hAnsi="Times New Roman"/>
        </w:rPr>
        <w:t>"enhancing the protection of clients of law practices and the protection of the public generally";</w:t>
      </w:r>
      <w:r w:rsidRPr="00DC0A30" w:rsidDel="00F81B40">
        <w:rPr>
          <w:rFonts w:ascii="Times New Roman" w:hAnsi="Times New Roman"/>
        </w:rPr>
        <w:t xml:space="preserve"> </w:t>
      </w:r>
      <w:r w:rsidRPr="00DC0A30">
        <w:rPr>
          <w:rFonts w:ascii="Times New Roman" w:hAnsi="Times New Roman"/>
        </w:rPr>
        <w:t>"empowering clients of law practices to make informed choices about the services they access and the costs involved"; and "promoting regulation of the legal profession that is efficient, effective, targeted and proportionate".</w:t>
      </w:r>
      <w:r w:rsidRPr="00DC0A30">
        <w:rPr>
          <w:rStyle w:val="FootnoteReference"/>
          <w:rFonts w:ascii="Times New Roman" w:hAnsi="Times New Roman"/>
          <w:sz w:val="24"/>
        </w:rPr>
        <w:footnoteReference w:id="76"/>
      </w:r>
    </w:p>
    <w:p w14:paraId="6245B679"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lastRenderedPageBreak/>
        <w:tab/>
        <w:t>Chapter 4 of the LPUL is headed "Business practice and professional</w:t>
      </w:r>
      <w:r>
        <w:rPr>
          <w:rFonts w:ascii="Times New Roman" w:hAnsi="Times New Roman"/>
        </w:rPr>
        <w:t> </w:t>
      </w:r>
      <w:r w:rsidRPr="00DC0A30">
        <w:rPr>
          <w:rFonts w:ascii="Times New Roman" w:hAnsi="Times New Roman"/>
        </w:rPr>
        <w:t>conduct". The objectives of Ch 4 are to "ensure appropriate safeguards are in place for maintaining the integrity of legal services" and to "apply</w:t>
      </w:r>
      <w:r>
        <w:rPr>
          <w:rFonts w:ascii="Times New Roman" w:hAnsi="Times New Roman"/>
        </w:rPr>
        <w:t> </w:t>
      </w:r>
      <w:r w:rsidRPr="00DC0A30">
        <w:rPr>
          <w:rFonts w:ascii="Times New Roman" w:hAnsi="Times New Roman"/>
        </w:rPr>
        <w:t>those safeguards regardless of the type of business structure used for the</w:t>
      </w:r>
      <w:r>
        <w:rPr>
          <w:rFonts w:ascii="Times New Roman" w:hAnsi="Times New Roman"/>
        </w:rPr>
        <w:t> </w:t>
      </w:r>
      <w:r w:rsidRPr="00DC0A30">
        <w:rPr>
          <w:rFonts w:ascii="Times New Roman" w:hAnsi="Times New Roman"/>
        </w:rPr>
        <w:t>delivery of legal services".</w:t>
      </w:r>
      <w:r w:rsidRPr="00DC0A30">
        <w:rPr>
          <w:rStyle w:val="FootnoteReference"/>
          <w:rFonts w:ascii="Times New Roman" w:hAnsi="Times New Roman"/>
          <w:sz w:val="24"/>
        </w:rPr>
        <w:footnoteReference w:id="77"/>
      </w:r>
      <w:r w:rsidRPr="00DC0A30">
        <w:rPr>
          <w:rFonts w:ascii="Times New Roman" w:hAnsi="Times New Roman"/>
        </w:rPr>
        <w:t xml:space="preserve"> "Legal services" means "work done, or business transacted, in the ordinary course of legal practice".</w:t>
      </w:r>
      <w:r w:rsidRPr="00DC0A30">
        <w:rPr>
          <w:rStyle w:val="FootnoteReference"/>
          <w:rFonts w:ascii="Times New Roman" w:hAnsi="Times New Roman"/>
          <w:sz w:val="24"/>
        </w:rPr>
        <w:footnoteReference w:id="78"/>
      </w:r>
    </w:p>
    <w:p w14:paraId="27762530"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Part 4.3 of Ch 4 addresses legal costs – relevantly, "amounts that a person has been or may be charged by, or is or may become liable to pay to, a law practice for the provision of legal services".</w:t>
      </w:r>
      <w:r w:rsidRPr="00DC0A30">
        <w:rPr>
          <w:rStyle w:val="FootnoteReference"/>
          <w:rFonts w:ascii="Times New Roman" w:hAnsi="Times New Roman"/>
          <w:sz w:val="24"/>
        </w:rPr>
        <w:footnoteReference w:id="79"/>
      </w:r>
      <w:r w:rsidRPr="00DC0A30">
        <w:rPr>
          <w:rFonts w:ascii="Times New Roman" w:hAnsi="Times New Roman"/>
        </w:rPr>
        <w:t xml:space="preserve"> The objectives of Pt 4.3 include ensuring "that clients of law practices are able to make informed choices about their legal options and the costs associated with pursuing those options" and "to provide that law practices must not charge more than fair and reasonable amounts for legal</w:t>
      </w:r>
      <w:r>
        <w:rPr>
          <w:rFonts w:ascii="Times New Roman" w:hAnsi="Times New Roman"/>
        </w:rPr>
        <w:t> </w:t>
      </w:r>
      <w:r w:rsidRPr="00DC0A30">
        <w:rPr>
          <w:rFonts w:ascii="Times New Roman" w:hAnsi="Times New Roman"/>
        </w:rPr>
        <w:t>costs".</w:t>
      </w:r>
      <w:r w:rsidRPr="00DC0A30">
        <w:rPr>
          <w:rStyle w:val="FootnoteReference"/>
          <w:rFonts w:ascii="Times New Roman" w:hAnsi="Times New Roman"/>
          <w:sz w:val="24"/>
        </w:rPr>
        <w:footnoteReference w:id="80"/>
      </w:r>
      <w:r w:rsidRPr="00DC0A30">
        <w:rPr>
          <w:rFonts w:ascii="Times New Roman" w:hAnsi="Times New Roman"/>
        </w:rPr>
        <w:t xml:space="preserve"> Consistent with those objectives, a law practice must, in charging legal costs, charge costs that are no more than fair and reasonable in all the</w:t>
      </w:r>
      <w:r>
        <w:rPr>
          <w:rFonts w:ascii="Times New Roman" w:hAnsi="Times New Roman"/>
        </w:rPr>
        <w:t> </w:t>
      </w:r>
      <w:r w:rsidRPr="00DC0A30">
        <w:rPr>
          <w:rFonts w:ascii="Times New Roman" w:hAnsi="Times New Roman"/>
        </w:rPr>
        <w:t>circumstances and that, in particular, are (a) proportionately and reasonably incurred and (b) proportionate and reasonable in amount.</w:t>
      </w:r>
      <w:r w:rsidRPr="00DC0A30">
        <w:rPr>
          <w:rStyle w:val="FootnoteReference"/>
          <w:rFonts w:ascii="Times New Roman" w:hAnsi="Times New Roman"/>
          <w:sz w:val="24"/>
        </w:rPr>
        <w:footnoteReference w:id="81"/>
      </w:r>
      <w:r w:rsidRPr="00DC0A30">
        <w:rPr>
          <w:rFonts w:ascii="Times New Roman" w:hAnsi="Times New Roman"/>
        </w:rPr>
        <w:t xml:space="preserve"> In considering whether legal costs are fair and reasonable, regard must be had to whether the legal costs conform to any applicable requirements of Pt 4.3 and the Uniform Rules.</w:t>
      </w:r>
      <w:r w:rsidRPr="00DC0A30">
        <w:rPr>
          <w:rStyle w:val="FootnoteReference"/>
          <w:rFonts w:ascii="Times New Roman" w:hAnsi="Times New Roman"/>
          <w:sz w:val="24"/>
        </w:rPr>
        <w:footnoteReference w:id="82"/>
      </w:r>
    </w:p>
    <w:p w14:paraId="7A7D651F"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Division 4 of Pt 4.3 deals with costs agreements. A client of a law practice has the right to require and to have a negotiated costs agreement with the law</w:t>
      </w:r>
      <w:r>
        <w:rPr>
          <w:rFonts w:ascii="Times New Roman" w:hAnsi="Times New Roman"/>
        </w:rPr>
        <w:t> </w:t>
      </w:r>
      <w:r w:rsidRPr="00DC0A30">
        <w:rPr>
          <w:rFonts w:ascii="Times New Roman" w:hAnsi="Times New Roman"/>
        </w:rPr>
        <w:t>practice.</w:t>
      </w:r>
      <w:r w:rsidRPr="00DC0A30">
        <w:rPr>
          <w:rStyle w:val="FootnoteReference"/>
          <w:rFonts w:ascii="Times New Roman" w:hAnsi="Times New Roman"/>
          <w:sz w:val="24"/>
        </w:rPr>
        <w:footnoteReference w:id="83"/>
      </w:r>
      <w:r w:rsidRPr="00DC0A30">
        <w:rPr>
          <w:rFonts w:ascii="Times New Roman" w:hAnsi="Times New Roman"/>
        </w:rPr>
        <w:t xml:space="preserve"> A costs agreement must be written or evidenced in writing,</w:t>
      </w:r>
      <w:r w:rsidRPr="00DC0A30">
        <w:rPr>
          <w:rStyle w:val="FootnoteReference"/>
          <w:rFonts w:ascii="Times New Roman" w:hAnsi="Times New Roman"/>
          <w:sz w:val="24"/>
        </w:rPr>
        <w:footnoteReference w:id="84"/>
      </w:r>
      <w:r w:rsidRPr="00DC0A30">
        <w:rPr>
          <w:rFonts w:ascii="Times New Roman" w:hAnsi="Times New Roman"/>
        </w:rPr>
        <w:t xml:space="preserve"> although the phrase "costs agreement" itself is not defined. A costs agreement may provide for what is commonly described as a "no win, no fee" arrangement where the payment of some or </w:t>
      </w:r>
      <w:proofErr w:type="gramStart"/>
      <w:r w:rsidRPr="00DC0A30">
        <w:rPr>
          <w:rFonts w:ascii="Times New Roman" w:hAnsi="Times New Roman"/>
        </w:rPr>
        <w:t>all of</w:t>
      </w:r>
      <w:proofErr w:type="gramEnd"/>
      <w:r w:rsidRPr="00DC0A30">
        <w:rPr>
          <w:rFonts w:ascii="Times New Roman" w:hAnsi="Times New Roman"/>
        </w:rPr>
        <w:t xml:space="preserve"> the legal costs is conditional on the successful </w:t>
      </w:r>
      <w:r w:rsidRPr="00DC0A30">
        <w:rPr>
          <w:rFonts w:ascii="Times New Roman" w:hAnsi="Times New Roman"/>
        </w:rPr>
        <w:lastRenderedPageBreak/>
        <w:t>outcome of the matter to which those costs relate ("a conditional costs</w:t>
      </w:r>
      <w:r>
        <w:rPr>
          <w:rFonts w:ascii="Times New Roman" w:hAnsi="Times New Roman"/>
        </w:rPr>
        <w:t> </w:t>
      </w:r>
      <w:r w:rsidRPr="00DC0A30">
        <w:rPr>
          <w:rFonts w:ascii="Times New Roman" w:hAnsi="Times New Roman"/>
        </w:rPr>
        <w:t>agreement").</w:t>
      </w:r>
      <w:r w:rsidRPr="00DC0A30">
        <w:rPr>
          <w:rStyle w:val="FootnoteReference"/>
          <w:rFonts w:ascii="Times New Roman" w:hAnsi="Times New Roman"/>
          <w:sz w:val="24"/>
        </w:rPr>
        <w:footnoteReference w:id="85"/>
      </w:r>
      <w:r w:rsidRPr="00DC0A30">
        <w:rPr>
          <w:rFonts w:ascii="Times New Roman" w:hAnsi="Times New Roman"/>
        </w:rPr>
        <w:t xml:space="preserve"> </w:t>
      </w:r>
    </w:p>
    <w:p w14:paraId="379D496D"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A conditional costs agreement is subject to specific limitations and</w:t>
      </w:r>
      <w:r>
        <w:rPr>
          <w:rFonts w:ascii="Times New Roman" w:hAnsi="Times New Roman"/>
        </w:rPr>
        <w:t> </w:t>
      </w:r>
      <w:r w:rsidRPr="00DC0A30">
        <w:rPr>
          <w:rFonts w:ascii="Times New Roman" w:hAnsi="Times New Roman"/>
        </w:rPr>
        <w:t>exceptions.</w:t>
      </w:r>
      <w:r w:rsidRPr="00DC0A30">
        <w:rPr>
          <w:rStyle w:val="FootnoteReference"/>
          <w:rFonts w:ascii="Times New Roman" w:hAnsi="Times New Roman"/>
          <w:sz w:val="24"/>
        </w:rPr>
        <w:footnoteReference w:id="86"/>
      </w:r>
      <w:r w:rsidRPr="00DC0A30">
        <w:rPr>
          <w:rFonts w:ascii="Times New Roman" w:hAnsi="Times New Roman"/>
        </w:rPr>
        <w:t xml:space="preserve"> So, for example, s 182 provides that a conditional costs agreement may provide for an uplift fee,</w:t>
      </w:r>
      <w:r w:rsidRPr="00DC0A30">
        <w:rPr>
          <w:rStyle w:val="FootnoteReference"/>
          <w:rFonts w:ascii="Times New Roman" w:hAnsi="Times New Roman"/>
          <w:sz w:val="24"/>
        </w:rPr>
        <w:footnoteReference w:id="87"/>
      </w:r>
      <w:r w:rsidRPr="00DC0A30">
        <w:rPr>
          <w:rFonts w:ascii="Times New Roman" w:hAnsi="Times New Roman"/>
        </w:rPr>
        <w:t xml:space="preserve"> subject to the following specific</w:t>
      </w:r>
      <w:r>
        <w:rPr>
          <w:rFonts w:ascii="Times New Roman" w:hAnsi="Times New Roman"/>
        </w:rPr>
        <w:t> </w:t>
      </w:r>
      <w:r w:rsidRPr="00DC0A30">
        <w:rPr>
          <w:rFonts w:ascii="Times New Roman" w:hAnsi="Times New Roman"/>
        </w:rPr>
        <w:t>constraints:</w:t>
      </w:r>
    </w:p>
    <w:p w14:paraId="2816BB7B" w14:textId="77777777" w:rsidR="006F5E1E" w:rsidRPr="00DC0A30" w:rsidRDefault="006F5E1E" w:rsidP="00DC0A30">
      <w:pPr>
        <w:pStyle w:val="LeftrightafterHC"/>
        <w:spacing w:before="0" w:after="260" w:line="280" w:lineRule="exact"/>
        <w:ind w:left="1440" w:right="0" w:hanging="720"/>
        <w:jc w:val="both"/>
        <w:rPr>
          <w:rFonts w:ascii="Times New Roman" w:hAnsi="Times New Roman"/>
        </w:rPr>
      </w:pPr>
      <w:r w:rsidRPr="00DC0A30">
        <w:rPr>
          <w:rFonts w:ascii="Times New Roman" w:hAnsi="Times New Roman"/>
        </w:rPr>
        <w:t>"(2)</w:t>
      </w:r>
      <w:r w:rsidRPr="00DC0A30">
        <w:rPr>
          <w:rFonts w:ascii="Times New Roman" w:hAnsi="Times New Roman"/>
        </w:rPr>
        <w:tab/>
        <w:t>If a conditional costs agreement relates to a litigious matter –</w:t>
      </w:r>
    </w:p>
    <w:p w14:paraId="0B233235"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(a)</w:t>
      </w:r>
      <w:r w:rsidRPr="00DC0A30">
        <w:rPr>
          <w:rFonts w:ascii="Times New Roman" w:hAnsi="Times New Roman"/>
        </w:rPr>
        <w:tab/>
        <w:t xml:space="preserve">the agreement must </w:t>
      </w:r>
      <w:r w:rsidRPr="00DC0A30">
        <w:rPr>
          <w:rFonts w:ascii="Times New Roman" w:hAnsi="Times New Roman"/>
          <w:i/>
          <w:iCs/>
        </w:rPr>
        <w:t>not</w:t>
      </w:r>
      <w:r w:rsidRPr="00DC0A30">
        <w:rPr>
          <w:rFonts w:ascii="Times New Roman" w:hAnsi="Times New Roman"/>
        </w:rPr>
        <w:t xml:space="preserve"> provide for the payment of an uplift fee unless the law practice has a reasonable belief that a successful outcome of the matter is reasonably likely; and</w:t>
      </w:r>
    </w:p>
    <w:p w14:paraId="6049CA88"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(b)</w:t>
      </w:r>
      <w:r w:rsidRPr="00DC0A30">
        <w:rPr>
          <w:rFonts w:ascii="Times New Roman" w:hAnsi="Times New Roman"/>
        </w:rPr>
        <w:tab/>
        <w:t xml:space="preserve">the uplift fee must </w:t>
      </w:r>
      <w:r w:rsidRPr="00DC0A30">
        <w:rPr>
          <w:rFonts w:ascii="Times New Roman" w:hAnsi="Times New Roman"/>
          <w:i/>
          <w:iCs/>
        </w:rPr>
        <w:t>not</w:t>
      </w:r>
      <w:r w:rsidRPr="00DC0A30">
        <w:rPr>
          <w:rFonts w:ascii="Times New Roman" w:hAnsi="Times New Roman"/>
        </w:rPr>
        <w:t xml:space="preserve"> exceed 25% of the legal costs (excluding disbursements) otherwise payable.</w:t>
      </w:r>
    </w:p>
    <w:p w14:paraId="09EBB4DA"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(3)</w:t>
      </w:r>
      <w:r w:rsidRPr="00DC0A30">
        <w:rPr>
          <w:rFonts w:ascii="Times New Roman" w:hAnsi="Times New Roman"/>
        </w:rPr>
        <w:tab/>
        <w:t>A conditional costs agreement that includes an uplift fee –</w:t>
      </w:r>
    </w:p>
    <w:p w14:paraId="3285C2D2"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(a)</w:t>
      </w:r>
      <w:r w:rsidRPr="00DC0A30">
        <w:rPr>
          <w:rFonts w:ascii="Times New Roman" w:hAnsi="Times New Roman"/>
        </w:rPr>
        <w:tab/>
        <w:t>must identify the basis on which the uplift fee is to be calculated; and</w:t>
      </w:r>
    </w:p>
    <w:p w14:paraId="508FD1E6" w14:textId="77777777" w:rsidR="006F5E1E" w:rsidRPr="00DC0A30"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(b)</w:t>
      </w:r>
      <w:r w:rsidRPr="00DC0A30">
        <w:rPr>
          <w:rFonts w:ascii="Times New Roman" w:hAnsi="Times New Roman"/>
        </w:rPr>
        <w:tab/>
        <w:t>must include an estimate of the uplift fee or, if that is not reasonably practical –</w:t>
      </w:r>
    </w:p>
    <w:p w14:paraId="387435B4" w14:textId="77777777" w:rsidR="006F5E1E" w:rsidRPr="00DC0A30" w:rsidRDefault="006F5E1E" w:rsidP="00DC0A30">
      <w:pPr>
        <w:pStyle w:val="leftright"/>
        <w:spacing w:before="0" w:after="260" w:line="280" w:lineRule="exact"/>
        <w:ind w:left="2880" w:right="0" w:hanging="720"/>
        <w:jc w:val="both"/>
        <w:rPr>
          <w:rFonts w:ascii="Times New Roman" w:hAnsi="Times New Roman"/>
        </w:rPr>
      </w:pPr>
      <w:r w:rsidRPr="00DC0A30">
        <w:rPr>
          <w:rFonts w:ascii="Times New Roman" w:hAnsi="Times New Roman"/>
        </w:rPr>
        <w:t>(</w:t>
      </w:r>
      <w:proofErr w:type="spellStart"/>
      <w:r w:rsidRPr="00DC0A30">
        <w:rPr>
          <w:rFonts w:ascii="Times New Roman" w:hAnsi="Times New Roman"/>
        </w:rPr>
        <w:t>i</w:t>
      </w:r>
      <w:proofErr w:type="spellEnd"/>
      <w:r w:rsidRPr="00DC0A30">
        <w:rPr>
          <w:rFonts w:ascii="Times New Roman" w:hAnsi="Times New Roman"/>
        </w:rPr>
        <w:t>)</w:t>
      </w:r>
      <w:r w:rsidRPr="00DC0A30">
        <w:rPr>
          <w:rFonts w:ascii="Times New Roman" w:hAnsi="Times New Roman"/>
        </w:rPr>
        <w:tab/>
        <w:t xml:space="preserve">a range of estimates for the uplift fee; and </w:t>
      </w:r>
    </w:p>
    <w:p w14:paraId="5D3D095D" w14:textId="77777777" w:rsidR="006F5E1E" w:rsidRPr="00DC0A30" w:rsidRDefault="006F5E1E" w:rsidP="00DC0A30">
      <w:pPr>
        <w:pStyle w:val="leftright"/>
        <w:spacing w:before="0" w:after="260" w:line="280" w:lineRule="exact"/>
        <w:ind w:left="2880" w:right="0" w:hanging="720"/>
        <w:jc w:val="both"/>
        <w:rPr>
          <w:rFonts w:ascii="Times New Roman" w:hAnsi="Times New Roman"/>
        </w:rPr>
      </w:pPr>
      <w:r w:rsidRPr="00DC0A30">
        <w:rPr>
          <w:rFonts w:ascii="Times New Roman" w:hAnsi="Times New Roman"/>
        </w:rPr>
        <w:t>(ii)</w:t>
      </w:r>
      <w:r w:rsidRPr="00DC0A30">
        <w:rPr>
          <w:rFonts w:ascii="Times New Roman" w:hAnsi="Times New Roman"/>
        </w:rPr>
        <w:tab/>
        <w:t>an explanation of the major variables that may affect the calculation of the uplift fee.</w:t>
      </w:r>
    </w:p>
    <w:p w14:paraId="099D1FDD"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(4)</w:t>
      </w:r>
      <w:r w:rsidRPr="00DC0A30">
        <w:rPr>
          <w:rFonts w:ascii="Times New Roman" w:hAnsi="Times New Roman"/>
        </w:rPr>
        <w:tab/>
        <w:t xml:space="preserve">A law practice must </w:t>
      </w:r>
      <w:r w:rsidRPr="00DC0A30">
        <w:rPr>
          <w:rFonts w:ascii="Times New Roman" w:hAnsi="Times New Roman"/>
          <w:i/>
          <w:iCs/>
        </w:rPr>
        <w:t>not</w:t>
      </w:r>
      <w:r w:rsidRPr="00DC0A30">
        <w:rPr>
          <w:rFonts w:ascii="Times New Roman" w:hAnsi="Times New Roman"/>
        </w:rPr>
        <w:t xml:space="preserve"> enter into a costs agreement in contravention of this section or of the Uniform Rules relating to uplift fees.</w:t>
      </w:r>
    </w:p>
    <w:p w14:paraId="6BDC040D" w14:textId="77777777" w:rsidR="006F5E1E" w:rsidRDefault="006F5E1E" w:rsidP="00DC0A30">
      <w:pPr>
        <w:pStyle w:val="leftright"/>
        <w:spacing w:before="0" w:after="260" w:line="280" w:lineRule="exact"/>
        <w:ind w:left="2160" w:right="0" w:hanging="720"/>
        <w:jc w:val="both"/>
        <w:rPr>
          <w:rFonts w:ascii="Times New Roman" w:hAnsi="Times New Roman"/>
        </w:rPr>
      </w:pPr>
      <w:r w:rsidRPr="00DC0A30">
        <w:rPr>
          <w:rFonts w:ascii="Times New Roman" w:hAnsi="Times New Roman"/>
        </w:rPr>
        <w:t>Civil penalty: 100 penalty units." (emphasis added)</w:t>
      </w:r>
    </w:p>
    <w:p w14:paraId="72944B59" w14:textId="77777777" w:rsidR="006F5E1E" w:rsidRPr="00DC0A30" w:rsidRDefault="006F5E1E" w:rsidP="00DC0A30">
      <w:pPr>
        <w:pStyle w:val="NormalBody"/>
        <w:spacing w:after="260" w:line="280" w:lineRule="exact"/>
        <w:ind w:right="0"/>
        <w:jc w:val="both"/>
        <w:rPr>
          <w:rFonts w:ascii="Times New Roman" w:hAnsi="Times New Roman"/>
        </w:rPr>
      </w:pPr>
      <w:r w:rsidRPr="00DC0A30">
        <w:rPr>
          <w:rFonts w:ascii="Times New Roman" w:hAnsi="Times New Roman"/>
        </w:rPr>
        <w:t xml:space="preserve">A law practice that has entered into a </w:t>
      </w:r>
      <w:proofErr w:type="gramStart"/>
      <w:r w:rsidRPr="00DC0A30">
        <w:rPr>
          <w:rFonts w:ascii="Times New Roman" w:hAnsi="Times New Roman"/>
        </w:rPr>
        <w:t>costs</w:t>
      </w:r>
      <w:proofErr w:type="gramEnd"/>
      <w:r w:rsidRPr="00DC0A30">
        <w:rPr>
          <w:rFonts w:ascii="Times New Roman" w:hAnsi="Times New Roman"/>
        </w:rPr>
        <w:t xml:space="preserve"> agreement in contravention of s 182 is not entitled to recover the whole or any part of the uplift fee and must repay </w:t>
      </w:r>
      <w:r w:rsidRPr="00DC0A30">
        <w:rPr>
          <w:rFonts w:ascii="Times New Roman" w:hAnsi="Times New Roman"/>
        </w:rPr>
        <w:lastRenderedPageBreak/>
        <w:t>the</w:t>
      </w:r>
      <w:r>
        <w:rPr>
          <w:rFonts w:ascii="Times New Roman" w:hAnsi="Times New Roman"/>
        </w:rPr>
        <w:t> </w:t>
      </w:r>
      <w:r w:rsidRPr="00DC0A30">
        <w:rPr>
          <w:rFonts w:ascii="Times New Roman" w:hAnsi="Times New Roman"/>
        </w:rPr>
        <w:t>amount received in respect of the uplift fee to the person from whom it was</w:t>
      </w:r>
      <w:r>
        <w:rPr>
          <w:rFonts w:ascii="Times New Roman" w:hAnsi="Times New Roman"/>
        </w:rPr>
        <w:t> </w:t>
      </w:r>
      <w:r w:rsidRPr="00DC0A30">
        <w:rPr>
          <w:rFonts w:ascii="Times New Roman" w:hAnsi="Times New Roman"/>
        </w:rPr>
        <w:t>received.</w:t>
      </w:r>
      <w:r w:rsidRPr="00DC0A30">
        <w:rPr>
          <w:rStyle w:val="FootnoteReference"/>
          <w:rFonts w:ascii="Times New Roman" w:hAnsi="Times New Roman"/>
          <w:sz w:val="24"/>
        </w:rPr>
        <w:footnoteReference w:id="88"/>
      </w:r>
    </w:p>
    <w:p w14:paraId="3E1B9370"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By contrast, s 183 expressly prohibits "contingency fees":</w:t>
      </w:r>
    </w:p>
    <w:p w14:paraId="42F3FE23"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"(1)</w:t>
      </w:r>
      <w:r w:rsidRPr="00DC0A30">
        <w:rPr>
          <w:rFonts w:ascii="Times New Roman" w:hAnsi="Times New Roman"/>
        </w:rPr>
        <w:tab/>
        <w:t xml:space="preserve">A law practice must not enter into a costs agreement </w:t>
      </w:r>
      <w:r w:rsidRPr="00DC0A30">
        <w:rPr>
          <w:rFonts w:ascii="Times New Roman" w:hAnsi="Times New Roman"/>
          <w:i/>
          <w:iCs/>
        </w:rPr>
        <w:t>under which the amount payable to the law practice, or any part of that amount, is</w:t>
      </w:r>
      <w:r>
        <w:rPr>
          <w:rFonts w:ascii="Times New Roman" w:hAnsi="Times New Roman"/>
          <w:i/>
          <w:iCs/>
        </w:rPr>
        <w:t> </w:t>
      </w:r>
      <w:r w:rsidRPr="00DC0A30">
        <w:rPr>
          <w:rFonts w:ascii="Times New Roman" w:hAnsi="Times New Roman"/>
          <w:i/>
          <w:iCs/>
        </w:rPr>
        <w:t>calculated by reference to the amount of any award or settlement or the value of any property that may be recovered in any proceedings to which the agreement relates</w:t>
      </w:r>
      <w:r w:rsidRPr="00DC0A30">
        <w:rPr>
          <w:rFonts w:ascii="Times New Roman" w:hAnsi="Times New Roman"/>
        </w:rPr>
        <w:t>.</w:t>
      </w:r>
    </w:p>
    <w:p w14:paraId="25696560" w14:textId="77777777" w:rsidR="006F5E1E" w:rsidRPr="00DC0A30" w:rsidRDefault="006F5E1E" w:rsidP="00DC0A30">
      <w:pPr>
        <w:pStyle w:val="leftright"/>
        <w:spacing w:before="0" w:after="260" w:line="280" w:lineRule="exact"/>
        <w:ind w:left="1440" w:right="0"/>
        <w:jc w:val="both"/>
        <w:rPr>
          <w:rFonts w:ascii="Times New Roman" w:hAnsi="Times New Roman"/>
        </w:rPr>
      </w:pPr>
      <w:r w:rsidRPr="00DC0A30">
        <w:rPr>
          <w:rFonts w:ascii="Times New Roman" w:hAnsi="Times New Roman"/>
        </w:rPr>
        <w:t>Civil penalty: 100 penalty units.</w:t>
      </w:r>
    </w:p>
    <w:p w14:paraId="5762D37D"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(2)</w:t>
      </w:r>
      <w:r w:rsidRPr="00DC0A30">
        <w:rPr>
          <w:rFonts w:ascii="Times New Roman" w:hAnsi="Times New Roman"/>
        </w:rPr>
        <w:tab/>
        <w:t xml:space="preserve">Subsection (1) does not apply to the extent that the costs agreement adopts an applicable fixed costs legislative provision. </w:t>
      </w:r>
    </w:p>
    <w:p w14:paraId="0558446C" w14:textId="77777777" w:rsidR="006F5E1E"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(3)</w:t>
      </w:r>
      <w:r w:rsidRPr="00DC0A30">
        <w:rPr>
          <w:rFonts w:ascii="Times New Roman" w:hAnsi="Times New Roman"/>
        </w:rPr>
        <w:tab/>
        <w:t>A contravention of subsection (1) by a law practice is capable of constituting unsatisfactory professional conduct or professional misconduct on the part of any principal of the law practice or any legal practitioner associate or foreign lawyer associate involved in the contravention." (emphasis added)</w:t>
      </w:r>
    </w:p>
    <w:p w14:paraId="264586D4" w14:textId="77777777" w:rsidR="006F5E1E" w:rsidRPr="00DC0A30" w:rsidRDefault="006F5E1E" w:rsidP="00DC0A30">
      <w:pPr>
        <w:pStyle w:val="NormalBody"/>
        <w:spacing w:after="260" w:line="280" w:lineRule="exact"/>
        <w:ind w:right="0"/>
        <w:jc w:val="both"/>
        <w:rPr>
          <w:rFonts w:ascii="Times New Roman" w:hAnsi="Times New Roman"/>
        </w:rPr>
      </w:pPr>
      <w:r w:rsidRPr="00DC0A30">
        <w:rPr>
          <w:rFonts w:ascii="Times New Roman" w:hAnsi="Times New Roman"/>
        </w:rPr>
        <w:t xml:space="preserve">A law practice that has entered into a </w:t>
      </w:r>
      <w:proofErr w:type="gramStart"/>
      <w:r w:rsidRPr="00DC0A30">
        <w:rPr>
          <w:rFonts w:ascii="Times New Roman" w:hAnsi="Times New Roman"/>
        </w:rPr>
        <w:t>costs</w:t>
      </w:r>
      <w:proofErr w:type="gramEnd"/>
      <w:r w:rsidRPr="00DC0A30">
        <w:rPr>
          <w:rFonts w:ascii="Times New Roman" w:hAnsi="Times New Roman"/>
        </w:rPr>
        <w:t xml:space="preserve"> agreement in contravention of s 183 is not entitled to recover any amount in respect of the provision of legal services in the matter to which the costs agreement related and must repay any amount received in respect of those services to the person from whom it was received.</w:t>
      </w:r>
      <w:r w:rsidRPr="00DC0A30">
        <w:rPr>
          <w:rStyle w:val="FootnoteReference"/>
          <w:rFonts w:ascii="Times New Roman" w:hAnsi="Times New Roman"/>
          <w:sz w:val="24"/>
        </w:rPr>
        <w:footnoteReference w:id="89"/>
      </w:r>
    </w:p>
    <w:p w14:paraId="54523135"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b/>
          <w:bCs/>
        </w:rPr>
        <w:tab/>
      </w:r>
      <w:r w:rsidRPr="00DC0A30">
        <w:rPr>
          <w:rFonts w:ascii="Times New Roman" w:hAnsi="Times New Roman"/>
        </w:rPr>
        <w:t>A costs agreement that contravenes, or is entered into in contravention of, any provision of Div 4 of Pt 4.3 is void.</w:t>
      </w:r>
      <w:r w:rsidRPr="00DC0A30">
        <w:rPr>
          <w:rStyle w:val="FootnoteReference"/>
          <w:rFonts w:ascii="Times New Roman" w:hAnsi="Times New Roman"/>
          <w:sz w:val="24"/>
        </w:rPr>
        <w:footnoteReference w:id="90"/>
      </w:r>
      <w:r w:rsidRPr="00DC0A30">
        <w:rPr>
          <w:rFonts w:ascii="Times New Roman" w:hAnsi="Times New Roman"/>
        </w:rPr>
        <w:t xml:space="preserve"> In addition, a law practice is not entitled to recover any amount in excess of the amount that the law practice would have been entitled to recover if the costs agreement had not been void and must repay any excess amount received.</w:t>
      </w:r>
      <w:r w:rsidRPr="00DC0A30">
        <w:rPr>
          <w:rStyle w:val="FootnoteReference"/>
          <w:rFonts w:ascii="Times New Roman" w:hAnsi="Times New Roman"/>
          <w:sz w:val="24"/>
        </w:rPr>
        <w:footnoteReference w:id="91"/>
      </w:r>
      <w:r w:rsidRPr="00DC0A30">
        <w:rPr>
          <w:rFonts w:ascii="Times New Roman" w:hAnsi="Times New Roman"/>
        </w:rPr>
        <w:t xml:space="preserve"> </w:t>
      </w:r>
      <w:bookmarkStart w:id="5" w:name="_Toc191415547"/>
      <w:bookmarkStart w:id="6" w:name="_Toc191455508"/>
    </w:p>
    <w:bookmarkEnd w:id="5"/>
    <w:bookmarkEnd w:id="6"/>
    <w:p w14:paraId="70368EF3" w14:textId="77777777" w:rsidR="006F5E1E" w:rsidRPr="00DC0A30" w:rsidRDefault="006F5E1E" w:rsidP="00DC0A30">
      <w:pPr>
        <w:pStyle w:val="HeadingL2"/>
        <w:spacing w:after="260" w:line="280" w:lineRule="exact"/>
        <w:ind w:right="0"/>
        <w:jc w:val="both"/>
        <w:rPr>
          <w:rFonts w:ascii="Times New Roman" w:hAnsi="Times New Roman"/>
        </w:rPr>
      </w:pPr>
      <w:r w:rsidRPr="00DC0A30">
        <w:rPr>
          <w:rFonts w:ascii="Times New Roman" w:hAnsi="Times New Roman"/>
        </w:rPr>
        <w:lastRenderedPageBreak/>
        <w:t>Uniform Rules</w:t>
      </w:r>
    </w:p>
    <w:p w14:paraId="7816F22A"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b/>
          <w:bCs/>
        </w:rPr>
        <w:tab/>
      </w:r>
      <w:r w:rsidRPr="00DC0A30">
        <w:rPr>
          <w:rFonts w:ascii="Times New Roman" w:hAnsi="Times New Roman"/>
        </w:rPr>
        <w:t>Part 4.3 of the LPUL expressly refers to and incorporates the Uniform Rules in considering whether legal costs are fair and reasonable</w:t>
      </w:r>
      <w:r w:rsidRPr="00DC0A30">
        <w:rPr>
          <w:rStyle w:val="FootnoteReference"/>
          <w:rFonts w:ascii="Times New Roman" w:hAnsi="Times New Roman"/>
          <w:sz w:val="24"/>
        </w:rPr>
        <w:footnoteReference w:id="92"/>
      </w:r>
      <w:r w:rsidRPr="00DC0A30">
        <w:rPr>
          <w:rFonts w:ascii="Times New Roman" w:hAnsi="Times New Roman"/>
        </w:rPr>
        <w:t xml:space="preserve"> and in relation to uplift</w:t>
      </w:r>
      <w:r>
        <w:rPr>
          <w:rFonts w:ascii="Times New Roman" w:hAnsi="Times New Roman"/>
        </w:rPr>
        <w:t> </w:t>
      </w:r>
      <w:r w:rsidRPr="00DC0A30">
        <w:rPr>
          <w:rFonts w:ascii="Times New Roman" w:hAnsi="Times New Roman"/>
        </w:rPr>
        <w:t>fees.</w:t>
      </w:r>
      <w:r w:rsidRPr="00DC0A30">
        <w:rPr>
          <w:rStyle w:val="FootnoteReference"/>
          <w:rFonts w:ascii="Times New Roman" w:hAnsi="Times New Roman"/>
          <w:sz w:val="24"/>
        </w:rPr>
        <w:footnoteReference w:id="93"/>
      </w:r>
      <w:r w:rsidRPr="00DC0A30">
        <w:rPr>
          <w:rFonts w:ascii="Times New Roman" w:hAnsi="Times New Roman"/>
        </w:rPr>
        <w:t xml:space="preserve"> </w:t>
      </w:r>
      <w:r w:rsidRPr="00DC0A30" w:rsidDel="001162D6">
        <w:rPr>
          <w:rFonts w:ascii="Times New Roman" w:hAnsi="Times New Roman"/>
        </w:rPr>
        <w:t xml:space="preserve">The </w:t>
      </w:r>
      <w:r w:rsidRPr="00DC0A30">
        <w:rPr>
          <w:rFonts w:ascii="Times New Roman" w:hAnsi="Times New Roman"/>
        </w:rPr>
        <w:t>Uniform Rules apply as the Legal Profession Conduct Rules under the</w:t>
      </w:r>
      <w:r>
        <w:rPr>
          <w:rFonts w:ascii="Times New Roman" w:hAnsi="Times New Roman"/>
        </w:rPr>
        <w:t> </w:t>
      </w:r>
      <w:r w:rsidRPr="00DC0A30">
        <w:rPr>
          <w:rFonts w:ascii="Times New Roman" w:hAnsi="Times New Roman"/>
        </w:rPr>
        <w:t>LPUL to solicitors and Australian</w:t>
      </w:r>
      <w:r w:rsidRPr="00DC0A30">
        <w:rPr>
          <w:rFonts w:ascii="Times New Roman" w:hAnsi="Times New Roman"/>
        </w:rPr>
        <w:noBreakHyphen/>
        <w:t>registered foreign lawyers acting in the manner of a solicitor.</w:t>
      </w:r>
      <w:r w:rsidRPr="00DC0A30">
        <w:rPr>
          <w:rStyle w:val="FootnoteReference"/>
          <w:rFonts w:ascii="Times New Roman" w:hAnsi="Times New Roman"/>
          <w:sz w:val="24"/>
        </w:rPr>
        <w:footnoteReference w:id="94"/>
      </w:r>
      <w:r w:rsidRPr="00DC0A30">
        <w:rPr>
          <w:rFonts w:ascii="Times New Roman" w:hAnsi="Times New Roman"/>
        </w:rPr>
        <w:t xml:space="preserve"> In considering whether a solicitor has engaged in unsatisfactory professional conduct or professional misconduct, the Uniform Rules apply in addition to the common law.</w:t>
      </w:r>
      <w:r w:rsidRPr="00DC0A30">
        <w:rPr>
          <w:rStyle w:val="FootnoteReference"/>
          <w:rFonts w:ascii="Times New Roman" w:hAnsi="Times New Roman"/>
          <w:sz w:val="24"/>
        </w:rPr>
        <w:footnoteReference w:id="95"/>
      </w:r>
      <w:r w:rsidRPr="00DC0A30">
        <w:rPr>
          <w:rFonts w:ascii="Times New Roman" w:hAnsi="Times New Roman"/>
        </w:rPr>
        <w:t xml:space="preserve"> A breach of the Uniform Rules is capable of constituting unsatisfactory professional conduct or professional misconduct, and may give rise to disciplinary action by the relevant regulatory authority.</w:t>
      </w:r>
      <w:r w:rsidRPr="00DC0A30">
        <w:rPr>
          <w:rStyle w:val="FootnoteReference"/>
          <w:rFonts w:ascii="Times New Roman" w:hAnsi="Times New Roman"/>
          <w:sz w:val="24"/>
        </w:rPr>
        <w:footnoteReference w:id="96"/>
      </w:r>
    </w:p>
    <w:p w14:paraId="2355390F" w14:textId="77777777" w:rsidR="006F5E1E" w:rsidRPr="00DC0A30" w:rsidRDefault="006F5E1E" w:rsidP="00DC0A30">
      <w:pPr>
        <w:pStyle w:val="HeadingL2"/>
        <w:spacing w:after="260" w:line="280" w:lineRule="exact"/>
        <w:ind w:right="0"/>
        <w:jc w:val="both"/>
        <w:rPr>
          <w:rFonts w:ascii="Times New Roman" w:hAnsi="Times New Roman"/>
        </w:rPr>
      </w:pPr>
      <w:r w:rsidRPr="00DC0A30">
        <w:rPr>
          <w:rFonts w:ascii="Times New Roman" w:hAnsi="Times New Roman"/>
        </w:rPr>
        <w:t>Other States and Territories</w:t>
      </w:r>
    </w:p>
    <w:p w14:paraId="177ABB69"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charging by a law practice of a contingency fee is prohibited in other States and Territories.</w:t>
      </w:r>
      <w:r w:rsidRPr="00DC0A30">
        <w:rPr>
          <w:rStyle w:val="FootnoteReference"/>
          <w:rFonts w:ascii="Times New Roman" w:hAnsi="Times New Roman"/>
          <w:sz w:val="24"/>
        </w:rPr>
        <w:footnoteReference w:id="97"/>
      </w:r>
      <w:r w:rsidRPr="00DC0A30">
        <w:rPr>
          <w:rFonts w:ascii="Times New Roman" w:hAnsi="Times New Roman"/>
        </w:rPr>
        <w:t xml:space="preserve"> The sole exception to that prohibition is that the</w:t>
      </w:r>
      <w:r>
        <w:rPr>
          <w:rFonts w:ascii="Times New Roman" w:hAnsi="Times New Roman"/>
        </w:rPr>
        <w:t> </w:t>
      </w:r>
      <w:r w:rsidRPr="00DC0A30">
        <w:rPr>
          <w:rFonts w:ascii="Times New Roman" w:hAnsi="Times New Roman"/>
          <w:i/>
          <w:iCs/>
        </w:rPr>
        <w:t>Supreme</w:t>
      </w:r>
      <w:r>
        <w:rPr>
          <w:rFonts w:ascii="Times New Roman" w:hAnsi="Times New Roman"/>
          <w:i/>
          <w:iCs/>
        </w:rPr>
        <w:t> </w:t>
      </w:r>
      <w:r w:rsidRPr="00DC0A30">
        <w:rPr>
          <w:rFonts w:ascii="Times New Roman" w:hAnsi="Times New Roman"/>
          <w:i/>
          <w:iCs/>
        </w:rPr>
        <w:t>Court Act 1986</w:t>
      </w:r>
      <w:r w:rsidRPr="00DC0A30">
        <w:rPr>
          <w:rFonts w:ascii="Times New Roman" w:hAnsi="Times New Roman"/>
        </w:rPr>
        <w:t xml:space="preserve"> (Vic) empowers the Supreme Court of Victoria to make a GCO in a group proceeding commenced under Pt 4A of that Act.</w:t>
      </w:r>
      <w:r w:rsidRPr="00DC0A30">
        <w:rPr>
          <w:rStyle w:val="FootnoteReference"/>
          <w:rFonts w:ascii="Times New Roman" w:hAnsi="Times New Roman"/>
          <w:sz w:val="24"/>
        </w:rPr>
        <w:footnoteReference w:id="98"/>
      </w:r>
      <w:r w:rsidRPr="00DC0A30">
        <w:rPr>
          <w:rFonts w:ascii="Times New Roman" w:hAnsi="Times New Roman"/>
        </w:rPr>
        <w:t xml:space="preserve"> A "GCO" is "an order that the legal costs payable to the law practice representing the plaintiff and group members in a group proceeding be calculated as a specified percentage of the amount of any award or settlement recovered in the proceeding and that liability for payment of those legal costs be shared amongst the plaintiff </w:t>
      </w:r>
      <w:r w:rsidRPr="00DC0A30">
        <w:rPr>
          <w:rFonts w:ascii="Times New Roman" w:hAnsi="Times New Roman"/>
        </w:rPr>
        <w:lastRenderedPageBreak/>
        <w:t>and group members".</w:t>
      </w:r>
      <w:r w:rsidRPr="00DC0A30">
        <w:rPr>
          <w:rStyle w:val="FootnoteReference"/>
          <w:rFonts w:ascii="Times New Roman" w:hAnsi="Times New Roman"/>
          <w:sz w:val="24"/>
        </w:rPr>
        <w:footnoteReference w:id="99"/>
      </w:r>
      <w:r w:rsidRPr="00DC0A30">
        <w:rPr>
          <w:rFonts w:ascii="Times New Roman" w:hAnsi="Times New Roman"/>
        </w:rPr>
        <w:t xml:space="preserve"> It should be observed that a GCO, once ordered, is the sole mechanism for the recovery of all legal costs, whereas a Solicitors' CFO is ordered</w:t>
      </w:r>
      <w:r w:rsidRPr="00DC0A30">
        <w:rPr>
          <w:rFonts w:ascii="Times New Roman" w:hAnsi="Times New Roman"/>
          <w:i/>
        </w:rPr>
        <w:t xml:space="preserve"> </w:t>
      </w:r>
      <w:r w:rsidRPr="00DC0A30">
        <w:rPr>
          <w:rFonts w:ascii="Times New Roman" w:hAnsi="Times New Roman"/>
        </w:rPr>
        <w:t xml:space="preserve">in addition to a law practice's usual recovery of costs and disbursements.  </w:t>
      </w:r>
    </w:p>
    <w:p w14:paraId="5A745F25"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Those statutory prohibitions, their consistency and the existence of the</w:t>
      </w:r>
      <w:r>
        <w:rPr>
          <w:rFonts w:ascii="Times New Roman" w:hAnsi="Times New Roman"/>
        </w:rPr>
        <w:t> </w:t>
      </w:r>
      <w:r w:rsidRPr="00DC0A30">
        <w:rPr>
          <w:rFonts w:ascii="Times New Roman" w:hAnsi="Times New Roman"/>
        </w:rPr>
        <w:t>power of the Supreme Court of Victoria to make a GCO were addressed by a federal Parliamentary Joint Committee on Corporations and Financial Services that published a report in December 2020 entitled "Litigation funding and the</w:t>
      </w:r>
      <w:r>
        <w:rPr>
          <w:rFonts w:ascii="Times New Roman" w:hAnsi="Times New Roman"/>
        </w:rPr>
        <w:t> </w:t>
      </w:r>
      <w:r w:rsidRPr="00DC0A30">
        <w:rPr>
          <w:rFonts w:ascii="Times New Roman" w:hAnsi="Times New Roman"/>
        </w:rPr>
        <w:t>regulation of the class action industry".</w:t>
      </w:r>
      <w:r w:rsidRPr="00DC0A30">
        <w:rPr>
          <w:rStyle w:val="FootnoteReference"/>
          <w:rFonts w:ascii="Times New Roman" w:hAnsi="Times New Roman"/>
          <w:sz w:val="24"/>
        </w:rPr>
        <w:footnoteReference w:id="100"/>
      </w:r>
      <w:r w:rsidRPr="00DC0A30">
        <w:rPr>
          <w:rFonts w:ascii="Times New Roman" w:hAnsi="Times New Roman"/>
        </w:rPr>
        <w:t xml:space="preserve"> The Committee considered that "the</w:t>
      </w:r>
      <w:r>
        <w:rPr>
          <w:rFonts w:ascii="Times New Roman" w:hAnsi="Times New Roman"/>
        </w:rPr>
        <w:t> </w:t>
      </w:r>
      <w:r w:rsidRPr="00DC0A30">
        <w:rPr>
          <w:rFonts w:ascii="Times New Roman" w:hAnsi="Times New Roman"/>
        </w:rPr>
        <w:t>public interest outcomes potentially achieved with the availability of contingency fee billing in class actions [were] not ... outweighed by the potential for their exploitation for the benefit of lawyers' profits, even with the existence of safeguards"</w:t>
      </w:r>
      <w:r w:rsidRPr="00DC0A30">
        <w:rPr>
          <w:rStyle w:val="FootnoteReference"/>
          <w:rFonts w:ascii="Times New Roman" w:hAnsi="Times New Roman"/>
          <w:sz w:val="24"/>
        </w:rPr>
        <w:footnoteReference w:id="101"/>
      </w:r>
      <w:r w:rsidRPr="00DC0A30">
        <w:rPr>
          <w:rFonts w:ascii="Times New Roman" w:hAnsi="Times New Roman"/>
        </w:rPr>
        <w:t xml:space="preserve"> and concluded that "[a] measured and steady approach to the use of contingency fees in class actions is essential".</w:t>
      </w:r>
      <w:r w:rsidRPr="00DC0A30">
        <w:rPr>
          <w:rStyle w:val="FootnoteReference"/>
          <w:rFonts w:ascii="Times New Roman" w:hAnsi="Times New Roman"/>
          <w:sz w:val="24"/>
        </w:rPr>
        <w:footnoteReference w:id="102"/>
      </w:r>
      <w:r w:rsidRPr="00DC0A30">
        <w:rPr>
          <w:rFonts w:ascii="Times New Roman" w:hAnsi="Times New Roman"/>
        </w:rPr>
        <w:t xml:space="preserve"> The Committee recommended that the Commonwealth Government work with State and Territory governments to achieve consistent class action regimes across jurisdictions.</w:t>
      </w:r>
      <w:r w:rsidRPr="00DC0A30">
        <w:rPr>
          <w:rStyle w:val="FootnoteReference"/>
          <w:rFonts w:ascii="Times New Roman" w:hAnsi="Times New Roman"/>
          <w:sz w:val="24"/>
        </w:rPr>
        <w:footnoteReference w:id="103"/>
      </w:r>
      <w:r w:rsidRPr="00DC0A30">
        <w:rPr>
          <w:rFonts w:ascii="Times New Roman" w:hAnsi="Times New Roman"/>
        </w:rPr>
        <w:t xml:space="preserve"> For present purposes, it is sufficient to note that, except for the power to make a GCO in Victoria, there has been no change to the statutory prohibitions against contingency</w:t>
      </w:r>
      <w:r>
        <w:rPr>
          <w:rFonts w:ascii="Times New Roman" w:hAnsi="Times New Roman"/>
        </w:rPr>
        <w:t> </w:t>
      </w:r>
      <w:r w:rsidRPr="00DC0A30">
        <w:rPr>
          <w:rFonts w:ascii="Times New Roman" w:hAnsi="Times New Roman"/>
        </w:rPr>
        <w:t>fees.</w:t>
      </w:r>
    </w:p>
    <w:p w14:paraId="3D72EA87" w14:textId="77777777" w:rsidR="006F5E1E" w:rsidRPr="00DC0A30" w:rsidRDefault="006F5E1E" w:rsidP="00DC0A30">
      <w:pPr>
        <w:pStyle w:val="HeadingL2"/>
        <w:spacing w:after="260" w:line="280" w:lineRule="exact"/>
        <w:ind w:right="0"/>
        <w:jc w:val="both"/>
        <w:rPr>
          <w:rFonts w:ascii="Times New Roman" w:hAnsi="Times New Roman"/>
          <w:i w:val="0"/>
          <w:iCs/>
        </w:rPr>
      </w:pPr>
      <w:r w:rsidRPr="00DC0A30">
        <w:rPr>
          <w:rFonts w:ascii="Times New Roman" w:hAnsi="Times New Roman"/>
        </w:rPr>
        <w:t>Civil Liability Act 2002</w:t>
      </w:r>
      <w:r w:rsidRPr="00DC0A30">
        <w:rPr>
          <w:rFonts w:ascii="Times New Roman" w:hAnsi="Times New Roman"/>
          <w:i w:val="0"/>
          <w:iCs/>
        </w:rPr>
        <w:t xml:space="preserve"> </w:t>
      </w:r>
      <w:r w:rsidRPr="00DC0A30">
        <w:rPr>
          <w:rFonts w:ascii="Times New Roman" w:hAnsi="Times New Roman"/>
        </w:rPr>
        <w:t>(NSW)</w:t>
      </w:r>
    </w:p>
    <w:p w14:paraId="7C9C1FF2"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In New South Wales, the </w:t>
      </w:r>
      <w:r w:rsidRPr="00DC0A30">
        <w:rPr>
          <w:rFonts w:ascii="Times New Roman" w:hAnsi="Times New Roman"/>
          <w:i/>
          <w:iCs/>
        </w:rPr>
        <w:t xml:space="preserve">Maintenance, Champerty and Barratry Abolition Act 1993 </w:t>
      </w:r>
      <w:r w:rsidRPr="00DC0A30">
        <w:rPr>
          <w:rFonts w:ascii="Times New Roman" w:hAnsi="Times New Roman"/>
        </w:rPr>
        <w:t xml:space="preserve">(NSW) ("the Abolition Act") abolished the crimes, and the torts, </w:t>
      </w:r>
      <w:r w:rsidRPr="00DC0A30">
        <w:rPr>
          <w:rFonts w:ascii="Times New Roman" w:hAnsi="Times New Roman"/>
        </w:rPr>
        <w:lastRenderedPageBreak/>
        <w:t>of</w:t>
      </w:r>
      <w:r>
        <w:rPr>
          <w:rFonts w:ascii="Times New Roman" w:hAnsi="Times New Roman"/>
        </w:rPr>
        <w:t> </w:t>
      </w:r>
      <w:r w:rsidRPr="00DC0A30">
        <w:rPr>
          <w:rFonts w:ascii="Times New Roman" w:hAnsi="Times New Roman"/>
        </w:rPr>
        <w:t>maintenance and champerty.</w:t>
      </w:r>
      <w:r w:rsidRPr="00DC0A30">
        <w:rPr>
          <w:rStyle w:val="FootnoteReference"/>
          <w:rFonts w:ascii="Times New Roman" w:hAnsi="Times New Roman"/>
          <w:sz w:val="24"/>
        </w:rPr>
        <w:footnoteReference w:id="104"/>
      </w:r>
      <w:r w:rsidRPr="00DC0A30">
        <w:rPr>
          <w:rFonts w:ascii="Times New Roman" w:hAnsi="Times New Roman"/>
        </w:rPr>
        <w:t xml:space="preserve"> Section 6 of the Abolition Act, however, preserved any rule of law in which a contract is to be treated as contrary to public policy or as otherwise illegal.</w:t>
      </w:r>
      <w:r w:rsidRPr="00DC0A30">
        <w:rPr>
          <w:rStyle w:val="FootnoteReference"/>
          <w:rFonts w:ascii="Times New Roman" w:hAnsi="Times New Roman"/>
          <w:sz w:val="24"/>
        </w:rPr>
        <w:footnoteReference w:id="105"/>
      </w:r>
      <w:r w:rsidRPr="00DC0A30">
        <w:rPr>
          <w:rFonts w:ascii="Times New Roman" w:hAnsi="Times New Roman"/>
        </w:rPr>
        <w:t xml:space="preserve"> As Gummow, Hayne and Crennan JJ observed in </w:t>
      </w:r>
      <w:r w:rsidRPr="00DC0A30">
        <w:rPr>
          <w:rFonts w:ascii="Times New Roman" w:hAnsi="Times New Roman"/>
          <w:i/>
          <w:iCs/>
        </w:rPr>
        <w:t xml:space="preserve">Campbells Cash and Carry Pty Ltd v </w:t>
      </w:r>
      <w:proofErr w:type="spellStart"/>
      <w:r w:rsidRPr="00DC0A30">
        <w:rPr>
          <w:rFonts w:ascii="Times New Roman" w:hAnsi="Times New Roman"/>
          <w:i/>
          <w:iCs/>
        </w:rPr>
        <w:t>Fostif</w:t>
      </w:r>
      <w:proofErr w:type="spellEnd"/>
      <w:r w:rsidRPr="00DC0A30">
        <w:rPr>
          <w:rFonts w:ascii="Times New Roman" w:hAnsi="Times New Roman"/>
          <w:i/>
          <w:iCs/>
        </w:rPr>
        <w:t xml:space="preserve"> Pty Ltd</w:t>
      </w:r>
      <w:r w:rsidRPr="00DC0A30">
        <w:rPr>
          <w:rFonts w:ascii="Times New Roman" w:hAnsi="Times New Roman"/>
        </w:rPr>
        <w:t>,</w:t>
      </w:r>
      <w:r w:rsidRPr="00DC0A30">
        <w:rPr>
          <w:rStyle w:val="FootnoteReference"/>
          <w:rFonts w:ascii="Times New Roman" w:hAnsi="Times New Roman"/>
          <w:sz w:val="24"/>
        </w:rPr>
        <w:footnoteReference w:id="106"/>
      </w:r>
      <w:r w:rsidRPr="00DC0A30">
        <w:rPr>
          <w:rFonts w:ascii="Times New Roman" w:hAnsi="Times New Roman"/>
        </w:rPr>
        <w:t xml:space="preserve"> by abolishing those crimes and those torts, any wider rule of public policy (that is, wider than the particular rules preserved by s 6 of the Abolition Act) lost any footing.</w:t>
      </w:r>
      <w:r w:rsidRPr="00DC0A30">
        <w:rPr>
          <w:rStyle w:val="FootnoteReference"/>
          <w:rFonts w:ascii="Times New Roman" w:hAnsi="Times New Roman"/>
          <w:sz w:val="24"/>
        </w:rPr>
        <w:footnoteReference w:id="107"/>
      </w:r>
      <w:r w:rsidRPr="00DC0A30">
        <w:rPr>
          <w:rFonts w:ascii="Times New Roman" w:hAnsi="Times New Roman"/>
        </w:rPr>
        <w:t xml:space="preserve"> </w:t>
      </w:r>
    </w:p>
    <w:p w14:paraId="0C827E21"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Given the statutory prohibition in New South Wales against contingency fees, it is otherwise unnecessary to identify the nature and extent of the </w:t>
      </w:r>
      <w:proofErr w:type="gramStart"/>
      <w:r w:rsidRPr="00DC0A30">
        <w:rPr>
          <w:rFonts w:ascii="Times New Roman" w:hAnsi="Times New Roman"/>
        </w:rPr>
        <w:t>particular rules</w:t>
      </w:r>
      <w:proofErr w:type="gramEnd"/>
      <w:r w:rsidRPr="00DC0A30">
        <w:rPr>
          <w:rFonts w:ascii="Times New Roman" w:hAnsi="Times New Roman"/>
        </w:rPr>
        <w:t xml:space="preserve"> which were preserved by s 6, the extent to which questions of maintenance and champerty remain legally relevant, or how and why considerations of public policy and illegality can still arise in connection with contracts providing for maintenance or champerty.</w:t>
      </w:r>
      <w:r w:rsidRPr="00DC0A30">
        <w:rPr>
          <w:rStyle w:val="FootnoteReference"/>
          <w:rFonts w:ascii="Times New Roman" w:hAnsi="Times New Roman"/>
          <w:sz w:val="24"/>
        </w:rPr>
        <w:footnoteReference w:id="108"/>
      </w:r>
      <w:r w:rsidRPr="00DC0A30">
        <w:rPr>
          <w:rFonts w:ascii="Times New Roman" w:hAnsi="Times New Roman"/>
        </w:rPr>
        <w:t xml:space="preserve"> </w:t>
      </w:r>
    </w:p>
    <w:p w14:paraId="052D6B2B"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It is sufficient to record that, consistent with </w:t>
      </w:r>
      <w:proofErr w:type="spellStart"/>
      <w:r w:rsidRPr="00DC0A30">
        <w:rPr>
          <w:rFonts w:ascii="Times New Roman" w:hAnsi="Times New Roman"/>
          <w:i/>
          <w:iCs/>
        </w:rPr>
        <w:t>Fostif</w:t>
      </w:r>
      <w:proofErr w:type="spellEnd"/>
      <w:r w:rsidRPr="00DC0A30">
        <w:rPr>
          <w:rFonts w:ascii="Times New Roman" w:hAnsi="Times New Roman"/>
        </w:rPr>
        <w:t xml:space="preserve"> and </w:t>
      </w:r>
      <w:r w:rsidRPr="00DC0A30">
        <w:rPr>
          <w:rFonts w:ascii="Times New Roman" w:hAnsi="Times New Roman"/>
          <w:i/>
        </w:rPr>
        <w:t>Clyne v NSW Bar Association</w:t>
      </w:r>
      <w:r w:rsidRPr="00DC0A30">
        <w:rPr>
          <w:rFonts w:ascii="Times New Roman" w:hAnsi="Times New Roman"/>
        </w:rPr>
        <w:t>,</w:t>
      </w:r>
      <w:r w:rsidRPr="00DC0A30">
        <w:rPr>
          <w:rStyle w:val="FootnoteReference"/>
          <w:rFonts w:ascii="Times New Roman" w:hAnsi="Times New Roman"/>
          <w:sz w:val="24"/>
        </w:rPr>
        <w:footnoteReference w:id="109"/>
      </w:r>
      <w:r w:rsidRPr="00DC0A30">
        <w:rPr>
          <w:rFonts w:ascii="Times New Roman" w:hAnsi="Times New Roman"/>
        </w:rPr>
        <w:t xml:space="preserve"> in New South Wales, which has abolished the torts of maintenance and champerty but has an exception for agreements which are contrary to public policy, there may be no overarching rule which prohibits all </w:t>
      </w:r>
      <w:proofErr w:type="spellStart"/>
      <w:r w:rsidRPr="00DC0A30">
        <w:rPr>
          <w:rFonts w:ascii="Times New Roman" w:hAnsi="Times New Roman"/>
        </w:rPr>
        <w:t>champertous</w:t>
      </w:r>
      <w:proofErr w:type="spellEnd"/>
      <w:r w:rsidRPr="00DC0A30">
        <w:rPr>
          <w:rFonts w:ascii="Times New Roman" w:hAnsi="Times New Roman"/>
        </w:rPr>
        <w:t xml:space="preserve"> agreements but </w:t>
      </w:r>
      <w:proofErr w:type="spellStart"/>
      <w:r w:rsidRPr="00DC0A30">
        <w:rPr>
          <w:rFonts w:ascii="Times New Roman" w:hAnsi="Times New Roman"/>
        </w:rPr>
        <w:t>champertous</w:t>
      </w:r>
      <w:proofErr w:type="spellEnd"/>
      <w:r w:rsidRPr="00DC0A30">
        <w:rPr>
          <w:rFonts w:ascii="Times New Roman" w:hAnsi="Times New Roman"/>
        </w:rPr>
        <w:t xml:space="preserve"> agreements that are otherwise contrary to a rule of law, such as the prohibition against contingency fees in s 183 of the LPUL, may</w:t>
      </w:r>
      <w:r>
        <w:rPr>
          <w:rFonts w:ascii="Times New Roman" w:hAnsi="Times New Roman"/>
        </w:rPr>
        <w:t> </w:t>
      </w:r>
      <w:r w:rsidRPr="00DC0A30">
        <w:rPr>
          <w:rFonts w:ascii="Times New Roman" w:hAnsi="Times New Roman"/>
        </w:rPr>
        <w:t xml:space="preserve">also be void under the common law. </w:t>
      </w:r>
    </w:p>
    <w:p w14:paraId="3A75066C" w14:textId="77777777" w:rsidR="006F5E1E" w:rsidRPr="00DC0A30" w:rsidRDefault="006F5E1E" w:rsidP="00DC0A30">
      <w:pPr>
        <w:pStyle w:val="HeadingL2"/>
        <w:spacing w:after="260" w:line="280" w:lineRule="exact"/>
        <w:ind w:right="0"/>
        <w:jc w:val="both"/>
        <w:rPr>
          <w:rFonts w:ascii="Times New Roman" w:hAnsi="Times New Roman"/>
        </w:rPr>
      </w:pPr>
      <w:r w:rsidRPr="00DC0A30">
        <w:rPr>
          <w:rFonts w:ascii="Times New Roman" w:hAnsi="Times New Roman"/>
        </w:rPr>
        <w:lastRenderedPageBreak/>
        <w:t>No power to make a Solicitors' CFO</w:t>
      </w:r>
    </w:p>
    <w:p w14:paraId="368420BF"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If made, the Solicitors' CFO provides for the Solicitors to be remunerated "by payment of such percentage of the Resolution Sum as may be approved by the</w:t>
      </w:r>
      <w:r>
        <w:rPr>
          <w:rFonts w:ascii="Times New Roman" w:hAnsi="Times New Roman"/>
        </w:rPr>
        <w:t> </w:t>
      </w:r>
      <w:r w:rsidRPr="00DC0A30">
        <w:rPr>
          <w:rFonts w:ascii="Times New Roman" w:hAnsi="Times New Roman"/>
        </w:rPr>
        <w:t>Court", that being an amount payable which is calculated by reference to the</w:t>
      </w:r>
      <w:r>
        <w:rPr>
          <w:rFonts w:ascii="Times New Roman" w:hAnsi="Times New Roman"/>
        </w:rPr>
        <w:t> </w:t>
      </w:r>
      <w:r w:rsidRPr="00DC0A30">
        <w:rPr>
          <w:rFonts w:ascii="Times New Roman" w:hAnsi="Times New Roman"/>
        </w:rPr>
        <w:t>amount of any award or settlement or the value of any property that may be recovered. If the Solicitors' CFO were made, the Court would be giving effect to an agreement that was entered into contrary to s 183 of the LPUL and would be enabling the Solicitors to recover amounts which they are disentitled from recovering under s 185 of the LPUL. Such an order cannot be within the power of the Federal Court under s 33</w:t>
      </w:r>
      <w:proofErr w:type="gramStart"/>
      <w:r w:rsidRPr="00DC0A30">
        <w:rPr>
          <w:rFonts w:ascii="Times New Roman" w:hAnsi="Times New Roman"/>
        </w:rPr>
        <w:t>V(</w:t>
      </w:r>
      <w:proofErr w:type="gramEnd"/>
      <w:r w:rsidRPr="00DC0A30">
        <w:rPr>
          <w:rFonts w:ascii="Times New Roman" w:hAnsi="Times New Roman"/>
        </w:rPr>
        <w:t>2) or s 33Z(1)(g). It cannot be "just" to make an order that gives effect to an agreement that was unlawfully entered into and to enable a solicitor to recover amounts to which they are not entitled. Put another way, the Court cannot authorise what the LPUL forbids.</w:t>
      </w:r>
    </w:p>
    <w:p w14:paraId="05E90C1E"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The prohibition in s 183 of the LPUL is a protective measure. It provides that a law practice must not enter into a </w:t>
      </w:r>
      <w:proofErr w:type="gramStart"/>
      <w:r w:rsidRPr="00DC0A30">
        <w:rPr>
          <w:rFonts w:ascii="Times New Roman" w:hAnsi="Times New Roman"/>
        </w:rPr>
        <w:t>costs</w:t>
      </w:r>
      <w:proofErr w:type="gramEnd"/>
      <w:r w:rsidRPr="00DC0A30">
        <w:rPr>
          <w:rFonts w:ascii="Times New Roman" w:hAnsi="Times New Roman"/>
        </w:rPr>
        <w:t xml:space="preserve"> agreement "under which the amount payable to the law practice, or any part of that amount, is calculated by reference to the amount of any award or settlement or the value of any property that may be recovered in any proceedings to which the agreement relates". </w:t>
      </w:r>
    </w:p>
    <w:p w14:paraId="58828E5F"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Here, there was the Banton Costs Agreement, which included a funding agreement</w:t>
      </w:r>
      <w:r w:rsidRPr="00DC0A30">
        <w:rPr>
          <w:rStyle w:val="FootnoteReference"/>
          <w:rFonts w:ascii="Times New Roman" w:hAnsi="Times New Roman"/>
          <w:sz w:val="24"/>
        </w:rPr>
        <w:footnoteReference w:id="110"/>
      </w:r>
      <w:r w:rsidRPr="00DC0A30">
        <w:rPr>
          <w:rFonts w:ascii="Times New Roman" w:hAnsi="Times New Roman"/>
        </w:rPr>
        <w:t xml:space="preserve"> which the Solicitors, with the agreement of the Applicants, sought to remove and replace with the Costs Reimbursement and the Solicitors' CFO. The</w:t>
      </w:r>
      <w:r>
        <w:rPr>
          <w:rFonts w:ascii="Times New Roman" w:hAnsi="Times New Roman"/>
        </w:rPr>
        <w:t> </w:t>
      </w:r>
      <w:r w:rsidRPr="00DC0A30">
        <w:rPr>
          <w:rFonts w:ascii="Times New Roman" w:hAnsi="Times New Roman"/>
        </w:rPr>
        <w:t>Solicitors were instructed by the Applicants to seek orders in the Federal Court seeking the Costs Reimbursement and the Solicitors' CFO.</w:t>
      </w:r>
      <w:r w:rsidRPr="00DC0A30">
        <w:rPr>
          <w:rStyle w:val="FootnoteReference"/>
          <w:rFonts w:ascii="Times New Roman" w:hAnsi="Times New Roman"/>
          <w:sz w:val="24"/>
        </w:rPr>
        <w:footnoteReference w:id="111"/>
      </w:r>
      <w:r w:rsidRPr="00DC0A30">
        <w:rPr>
          <w:rFonts w:ascii="Times New Roman" w:hAnsi="Times New Roman"/>
        </w:rPr>
        <w:t xml:space="preserve"> It was the Applicants who asked the Court to approve the Proposed Notice which contained the proposed amendments to the Banton Costs Agreement. Once approved by the Court, the</w:t>
      </w:r>
      <w:r>
        <w:rPr>
          <w:rFonts w:ascii="Times New Roman" w:hAnsi="Times New Roman"/>
        </w:rPr>
        <w:t> </w:t>
      </w:r>
      <w:r w:rsidRPr="00DC0A30">
        <w:rPr>
          <w:rFonts w:ascii="Times New Roman" w:hAnsi="Times New Roman"/>
        </w:rPr>
        <w:t>costs agreements between the Solicitors and their clients would be amended to reflect the Court's orders. That amendment would replace the litigation funder with the result that the Solicitors would finance the Consolidated Proceeding. Further,</w:t>
      </w:r>
      <w:r>
        <w:rPr>
          <w:rFonts w:ascii="Times New Roman" w:hAnsi="Times New Roman"/>
        </w:rPr>
        <w:t> </w:t>
      </w:r>
      <w:r w:rsidRPr="00DC0A30">
        <w:rPr>
          <w:rFonts w:ascii="Times New Roman" w:hAnsi="Times New Roman"/>
        </w:rPr>
        <w:t>if</w:t>
      </w:r>
      <w:r>
        <w:rPr>
          <w:rFonts w:ascii="Times New Roman" w:hAnsi="Times New Roman"/>
        </w:rPr>
        <w:t> </w:t>
      </w:r>
      <w:r w:rsidRPr="00DC0A30">
        <w:rPr>
          <w:rFonts w:ascii="Times New Roman" w:hAnsi="Times New Roman"/>
        </w:rPr>
        <w:t xml:space="preserve">orders were not made in the terms sought, the Applicants agreed to seek orders for the transfer of the Consolidated Proceeding to the Supreme Court of Victoria to obtain a GCO (being the only statutory exception to the prohibition on contingency fees) or, alternatively, to seek commercial litigation funding. </w:t>
      </w:r>
    </w:p>
    <w:p w14:paraId="239CCA8D"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What was proposed and what was sought to be achieved, if approved by the</w:t>
      </w:r>
      <w:r>
        <w:rPr>
          <w:rFonts w:ascii="Times New Roman" w:hAnsi="Times New Roman"/>
        </w:rPr>
        <w:t> </w:t>
      </w:r>
      <w:r w:rsidRPr="00DC0A30">
        <w:rPr>
          <w:rFonts w:ascii="Times New Roman" w:hAnsi="Times New Roman"/>
        </w:rPr>
        <w:t xml:space="preserve">Court, was that the amended costs agreements would provide for the payment </w:t>
      </w:r>
      <w:r w:rsidRPr="00DC0A30">
        <w:rPr>
          <w:rFonts w:ascii="Times New Roman" w:hAnsi="Times New Roman"/>
        </w:rPr>
        <w:lastRenderedPageBreak/>
        <w:t>to the Solicitors of two amounts: the Costs Reimbursement and the</w:t>
      </w:r>
      <w:r>
        <w:rPr>
          <w:rFonts w:ascii="Times New Roman" w:hAnsi="Times New Roman"/>
        </w:rPr>
        <w:t> </w:t>
      </w:r>
      <w:r w:rsidRPr="00DC0A30">
        <w:rPr>
          <w:rFonts w:ascii="Times New Roman" w:hAnsi="Times New Roman"/>
        </w:rPr>
        <w:t>Solicitors'</w:t>
      </w:r>
      <w:r>
        <w:rPr>
          <w:rFonts w:ascii="Times New Roman" w:hAnsi="Times New Roman"/>
        </w:rPr>
        <w:t> </w:t>
      </w:r>
      <w:r w:rsidRPr="00DC0A30">
        <w:rPr>
          <w:rFonts w:ascii="Times New Roman" w:hAnsi="Times New Roman"/>
        </w:rPr>
        <w:t>CFO. The amended costs agreements would contain a term "under</w:t>
      </w:r>
      <w:r>
        <w:rPr>
          <w:rFonts w:ascii="Times New Roman" w:hAnsi="Times New Roman"/>
        </w:rPr>
        <w:t> </w:t>
      </w:r>
      <w:r w:rsidRPr="00DC0A30">
        <w:rPr>
          <w:rFonts w:ascii="Times New Roman" w:hAnsi="Times New Roman"/>
        </w:rPr>
        <w:t xml:space="preserve">which the amount payable to the [Solicitors] is calculated by reference to the amount of any award or settlement or the value of any property that may be recovered in any proceedings to which the agreement[s] </w:t>
      </w:r>
      <w:proofErr w:type="gramStart"/>
      <w:r w:rsidRPr="00DC0A30">
        <w:rPr>
          <w:rFonts w:ascii="Times New Roman" w:hAnsi="Times New Roman"/>
        </w:rPr>
        <w:t>relate[</w:t>
      </w:r>
      <w:proofErr w:type="gramEnd"/>
      <w:r w:rsidRPr="00DC0A30">
        <w:rPr>
          <w:rFonts w:ascii="Times New Roman" w:hAnsi="Times New Roman"/>
        </w:rPr>
        <w:t xml:space="preserve">]", within the meaning of s 183(1) of the LPUL. </w:t>
      </w:r>
    </w:p>
    <w:p w14:paraId="51133640"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Those costs agreements would relate to legal costs and, in turn, legal</w:t>
      </w:r>
      <w:r>
        <w:rPr>
          <w:rFonts w:ascii="Times New Roman" w:hAnsi="Times New Roman"/>
        </w:rPr>
        <w:t> </w:t>
      </w:r>
      <w:r w:rsidRPr="00DC0A30">
        <w:rPr>
          <w:rFonts w:ascii="Times New Roman" w:hAnsi="Times New Roman"/>
        </w:rPr>
        <w:t>services, as those terms are defined in the LPUL.</w:t>
      </w:r>
      <w:r w:rsidRPr="00DC0A30">
        <w:rPr>
          <w:rStyle w:val="FootnoteReference"/>
          <w:rFonts w:ascii="Times New Roman" w:hAnsi="Times New Roman"/>
          <w:sz w:val="24"/>
        </w:rPr>
        <w:footnoteReference w:id="112"/>
      </w:r>
      <w:r w:rsidRPr="00DC0A30">
        <w:rPr>
          <w:rFonts w:ascii="Times New Roman" w:hAnsi="Times New Roman"/>
        </w:rPr>
        <w:t xml:space="preserve"> Taken together, those</w:t>
      </w:r>
      <w:r>
        <w:rPr>
          <w:rFonts w:ascii="Times New Roman" w:hAnsi="Times New Roman"/>
        </w:rPr>
        <w:t> </w:t>
      </w:r>
      <w:r w:rsidRPr="00DC0A30">
        <w:rPr>
          <w:rFonts w:ascii="Times New Roman" w:hAnsi="Times New Roman"/>
        </w:rPr>
        <w:t xml:space="preserve">terms extend to encompass amounts charged for </w:t>
      </w:r>
      <w:r w:rsidRPr="00DC0A30">
        <w:rPr>
          <w:rFonts w:ascii="Times New Roman" w:hAnsi="Times New Roman"/>
          <w:i/>
          <w:iCs/>
        </w:rPr>
        <w:t>all</w:t>
      </w:r>
      <w:r w:rsidRPr="00DC0A30">
        <w:rPr>
          <w:rFonts w:ascii="Times New Roman" w:hAnsi="Times New Roman"/>
        </w:rPr>
        <w:t xml:space="preserve"> work and </w:t>
      </w:r>
      <w:r w:rsidRPr="00DC0A30">
        <w:rPr>
          <w:rFonts w:ascii="Times New Roman" w:hAnsi="Times New Roman"/>
          <w:i/>
          <w:iCs/>
        </w:rPr>
        <w:t>all</w:t>
      </w:r>
      <w:r w:rsidRPr="00DC0A30">
        <w:rPr>
          <w:rFonts w:ascii="Times New Roman" w:hAnsi="Times New Roman"/>
        </w:rPr>
        <w:t xml:space="preserve"> business undertaken by the law practice "in the ordinary course of legal practice". In these appeals, the Solicitors were retained by the Applicants to engage in the ordinary course of legal practice of prosecuting the Consolidated Proceeding to the point of</w:t>
      </w:r>
      <w:r>
        <w:rPr>
          <w:rFonts w:ascii="Times New Roman" w:hAnsi="Times New Roman"/>
        </w:rPr>
        <w:t> </w:t>
      </w:r>
      <w:r w:rsidRPr="00DC0A30">
        <w:rPr>
          <w:rFonts w:ascii="Times New Roman" w:hAnsi="Times New Roman"/>
        </w:rPr>
        <w:t xml:space="preserve">recovery. Put in different, but related, terms the Solicitors' CFO was not "otherwise" than as payment for costs and disbursements incurred in relation to the Solicitors' conduct of the Consolidated Proceeding. The Solicitors' CFO was to be a reward for the Solicitors entering into the amended costs agreements and then continuing to prosecute the Consolidated Proceeding to the point of recovery on the terms set out in those agreements. The consideration for the Solicitors' agreement to continue to prosecute the Consolidated Proceeding to a successful outcome was to be more than whatever sum is given the badge "costs and disbursements" or "Costs Reimbursement"; it was </w:t>
      </w:r>
      <w:proofErr w:type="gramStart"/>
      <w:r w:rsidRPr="00DC0A30">
        <w:rPr>
          <w:rFonts w:ascii="Times New Roman" w:hAnsi="Times New Roman"/>
        </w:rPr>
        <w:t>all of</w:t>
      </w:r>
      <w:proofErr w:type="gramEnd"/>
      <w:r w:rsidRPr="00DC0A30">
        <w:rPr>
          <w:rFonts w:ascii="Times New Roman" w:hAnsi="Times New Roman"/>
        </w:rPr>
        <w:t xml:space="preserve"> the stipulations in the</w:t>
      </w:r>
      <w:r>
        <w:rPr>
          <w:rFonts w:ascii="Times New Roman" w:hAnsi="Times New Roman"/>
        </w:rPr>
        <w:t> </w:t>
      </w:r>
      <w:r w:rsidRPr="00DC0A30">
        <w:rPr>
          <w:rFonts w:ascii="Times New Roman" w:hAnsi="Times New Roman"/>
        </w:rPr>
        <w:t>amended costs agreements. No sum that would be paid under those agreements was "otherwise than as payment for costs and disbursements incurred in relation to the conduct of the proceeding". All sums that comprise the Solicitors' CFO were to be reward for, or, at the very least, in relation to, the performance of "legal</w:t>
      </w:r>
      <w:r>
        <w:rPr>
          <w:rFonts w:ascii="Times New Roman" w:hAnsi="Times New Roman"/>
        </w:rPr>
        <w:t> </w:t>
      </w:r>
      <w:r w:rsidRPr="00DC0A30">
        <w:rPr>
          <w:rFonts w:ascii="Times New Roman" w:hAnsi="Times New Roman"/>
        </w:rPr>
        <w:t xml:space="preserve">services" (as defined). </w:t>
      </w:r>
    </w:p>
    <w:p w14:paraId="69150379"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Applicants' reference to the provision of "risk services" – including</w:t>
      </w:r>
      <w:r>
        <w:rPr>
          <w:rFonts w:ascii="Times New Roman" w:hAnsi="Times New Roman"/>
        </w:rPr>
        <w:t> </w:t>
      </w:r>
      <w:r w:rsidRPr="00DC0A30">
        <w:rPr>
          <w:rFonts w:ascii="Times New Roman" w:hAnsi="Times New Roman"/>
        </w:rPr>
        <w:t>contingent or conditional costs, providing security for costs and indemnifying for adverse costs</w:t>
      </w:r>
      <w:r w:rsidRPr="00DC0A30">
        <w:rPr>
          <w:rFonts w:ascii="Times New Roman" w:hAnsi="Times New Roman"/>
          <w:b/>
          <w:bCs/>
        </w:rPr>
        <w:t xml:space="preserve"> </w:t>
      </w:r>
      <w:r w:rsidRPr="00DC0A30">
        <w:rPr>
          <w:rFonts w:ascii="Times New Roman" w:hAnsi="Times New Roman"/>
        </w:rPr>
        <w:t>– in contradistinction to the provision of legal services is artificial. The so</w:t>
      </w:r>
      <w:r w:rsidRPr="00DC0A30">
        <w:rPr>
          <w:rFonts w:ascii="Times New Roman" w:hAnsi="Times New Roman"/>
        </w:rPr>
        <w:noBreakHyphen/>
        <w:t xml:space="preserve">called "risk services" were work and business proposed to be undertaken by the Solicitors </w:t>
      </w:r>
      <w:proofErr w:type="gramStart"/>
      <w:r w:rsidRPr="00DC0A30">
        <w:rPr>
          <w:rFonts w:ascii="Times New Roman" w:hAnsi="Times New Roman"/>
        </w:rPr>
        <w:t>in the course of</w:t>
      </w:r>
      <w:proofErr w:type="gramEnd"/>
      <w:r w:rsidRPr="00DC0A30">
        <w:rPr>
          <w:rFonts w:ascii="Times New Roman" w:hAnsi="Times New Roman"/>
        </w:rPr>
        <w:t xml:space="preserve"> their legal practice. That is why the supposed distinction drawn in the reserved question between legal "costs and disbursements" and amounts "otherwise than as payment for costs and disbursements incurred in relation to the conduct of the proceeding" was illusory. </w:t>
      </w:r>
    </w:p>
    <w:p w14:paraId="66332B12"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The Applicants' contention that the "risk services" provided by the</w:t>
      </w:r>
      <w:r>
        <w:rPr>
          <w:rFonts w:ascii="Times New Roman" w:hAnsi="Times New Roman"/>
        </w:rPr>
        <w:t> </w:t>
      </w:r>
      <w:r w:rsidRPr="00DC0A30">
        <w:rPr>
          <w:rFonts w:ascii="Times New Roman" w:hAnsi="Times New Roman"/>
        </w:rPr>
        <w:t xml:space="preserve">Solicitors were not captured by the prohibition in s 183 of the LPUL cannot be accepted for another reason. If that contention was correct, then law practices that </w:t>
      </w:r>
      <w:r w:rsidRPr="00DC0A30">
        <w:rPr>
          <w:rFonts w:ascii="Times New Roman" w:hAnsi="Times New Roman"/>
        </w:rPr>
        <w:lastRenderedPageBreak/>
        <w:t>charge legal costs and disbursements and then seek an additional fee (being the so</w:t>
      </w:r>
      <w:r>
        <w:rPr>
          <w:rFonts w:ascii="Times New Roman" w:hAnsi="Times New Roman"/>
        </w:rPr>
        <w:noBreakHyphen/>
      </w:r>
      <w:r w:rsidRPr="00DC0A30">
        <w:rPr>
          <w:rFonts w:ascii="Times New Roman" w:hAnsi="Times New Roman"/>
        </w:rPr>
        <w:t xml:space="preserve">called "risk service") by way of a percentage of the judgment or settlement sum would not be captured by s 183, but law practices that charge legal costs and disbursements </w:t>
      </w:r>
      <w:r w:rsidRPr="00DC0A30">
        <w:rPr>
          <w:rFonts w:ascii="Times New Roman" w:hAnsi="Times New Roman"/>
          <w:i/>
          <w:iCs/>
        </w:rPr>
        <w:t xml:space="preserve">only </w:t>
      </w:r>
      <w:r w:rsidRPr="00DC0A30">
        <w:rPr>
          <w:rFonts w:ascii="Times New Roman" w:hAnsi="Times New Roman"/>
        </w:rPr>
        <w:t>by way of a percentage of the judgment or settlement sum would be captured. For s 183 to operate in that manner would prioritise form over substance. Further, conditional costs agreements or "no win, no fee" costs agreements, which are expressly provided for by s 181, apply to costs for the</w:t>
      </w:r>
      <w:r>
        <w:rPr>
          <w:rFonts w:ascii="Times New Roman" w:hAnsi="Times New Roman"/>
        </w:rPr>
        <w:t> </w:t>
      </w:r>
      <w:r w:rsidRPr="00DC0A30">
        <w:rPr>
          <w:rFonts w:ascii="Times New Roman" w:hAnsi="Times New Roman"/>
        </w:rPr>
        <w:t>provision of legal services, yet inherently involve what the Applicants contend are "risk services". This strengthens the conclusion that there is no distinction between legal services and the asserted "risk services".</w:t>
      </w:r>
    </w:p>
    <w:p w14:paraId="540843E1"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Those reasons provide a complete answer to the Applicants' further submission that the amount payable to the solicitors is </w:t>
      </w:r>
      <w:proofErr w:type="spellStart"/>
      <w:r w:rsidRPr="00DC0A30">
        <w:rPr>
          <w:rFonts w:ascii="Times New Roman" w:hAnsi="Times New Roman"/>
        </w:rPr>
        <w:t>referable</w:t>
      </w:r>
      <w:proofErr w:type="spellEnd"/>
      <w:r w:rsidRPr="00DC0A30">
        <w:rPr>
          <w:rFonts w:ascii="Times New Roman" w:hAnsi="Times New Roman"/>
        </w:rPr>
        <w:t xml:space="preserve"> to a court order and not the Banton Costs Agreement, so that there would be no costs agreement "under which" the amount payable to the solicitors was calculated in the proscribed</w:t>
      </w:r>
      <w:r>
        <w:rPr>
          <w:rFonts w:ascii="Times New Roman" w:hAnsi="Times New Roman"/>
        </w:rPr>
        <w:t> </w:t>
      </w:r>
      <w:r w:rsidRPr="00DC0A30">
        <w:rPr>
          <w:rFonts w:ascii="Times New Roman" w:hAnsi="Times New Roman"/>
        </w:rPr>
        <w:t>manner. The Solicitors' CFO and the court order are inextricably linked. Put</w:t>
      </w:r>
      <w:r>
        <w:rPr>
          <w:rFonts w:ascii="Times New Roman" w:hAnsi="Times New Roman"/>
        </w:rPr>
        <w:t> </w:t>
      </w:r>
      <w:r w:rsidRPr="00DC0A30">
        <w:rPr>
          <w:rFonts w:ascii="Times New Roman" w:hAnsi="Times New Roman"/>
        </w:rPr>
        <w:t>another way, the order sought authorises or gives effect to the proposed Addendum to the Banton Costs Agreement. Neither the specific order sought, nor</w:t>
      </w:r>
      <w:r>
        <w:rPr>
          <w:rFonts w:ascii="Times New Roman" w:hAnsi="Times New Roman"/>
        </w:rPr>
        <w:t> </w:t>
      </w:r>
      <w:r w:rsidRPr="00DC0A30">
        <w:rPr>
          <w:rFonts w:ascii="Times New Roman" w:hAnsi="Times New Roman"/>
        </w:rPr>
        <w:t>recourse to the provisions of Pt IVA of the FCA Act, can be used to circumvent the express prohibition on contingency fees in s 183 of the LPUL.</w:t>
      </w:r>
    </w:p>
    <w:p w14:paraId="5C20EF9F"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 xml:space="preserve">That construction of s 183 of the LPUL is reinforced by the fact that the purposes of Pt 4.3 include to protect clients of law practices by ensuring that costs are fair and reasonable. The prohibition in s 183 is one specific aspect of that objective, which is reinforced by the Uniform Rules. Contrary to the Applicants' argument, s 183 is not purely directed to the mischief of "undue influence". Section 183 is also about preventing conflicts and ensuring solicitors act in line with their fiduciary obligations. In sum, to read s 183 as not extending to costs agreements which are </w:t>
      </w:r>
      <w:proofErr w:type="gramStart"/>
      <w:r w:rsidRPr="00DC0A30">
        <w:rPr>
          <w:rFonts w:ascii="Times New Roman" w:hAnsi="Times New Roman"/>
        </w:rPr>
        <w:t>entered into</w:t>
      </w:r>
      <w:proofErr w:type="gramEnd"/>
      <w:r w:rsidRPr="00DC0A30">
        <w:rPr>
          <w:rFonts w:ascii="Times New Roman" w:hAnsi="Times New Roman"/>
        </w:rPr>
        <w:t>, or amended, by application to the Court for orders which, absent the order, would be unlawful would not be consistent with those objectives. The prohibition in s 183 must also be read in the context of the</w:t>
      </w:r>
      <w:r>
        <w:rPr>
          <w:rFonts w:ascii="Times New Roman" w:hAnsi="Times New Roman"/>
        </w:rPr>
        <w:t> </w:t>
      </w:r>
      <w:r w:rsidRPr="00DC0A30">
        <w:rPr>
          <w:rFonts w:ascii="Times New Roman" w:hAnsi="Times New Roman"/>
        </w:rPr>
        <w:t>fact that a law practice must, in charging legal costs, charge costs that are no more than fair and reasonable in all the circumstances and that, in considering whether legal costs are fair and reasonable, regard must be had to whether the legal costs conform to any applicable requirements of Pt 4.3 and the Uniform Rules.</w:t>
      </w:r>
      <w:r w:rsidRPr="00DC0A30">
        <w:rPr>
          <w:rStyle w:val="FootnoteReference"/>
          <w:rFonts w:ascii="Times New Roman" w:hAnsi="Times New Roman"/>
          <w:sz w:val="24"/>
        </w:rPr>
        <w:footnoteReference w:id="113"/>
      </w:r>
      <w:r w:rsidRPr="00DC0A30">
        <w:rPr>
          <w:rFonts w:ascii="Times New Roman" w:hAnsi="Times New Roman"/>
        </w:rPr>
        <w:t xml:space="preserve"> The sole exception to the prohibition in s 183(1) is expressly provided for in the</w:t>
      </w:r>
      <w:r>
        <w:rPr>
          <w:rFonts w:ascii="Times New Roman" w:hAnsi="Times New Roman"/>
        </w:rPr>
        <w:t> </w:t>
      </w:r>
      <w:r w:rsidRPr="00DC0A30">
        <w:rPr>
          <w:rFonts w:ascii="Times New Roman" w:hAnsi="Times New Roman"/>
          <w:i/>
        </w:rPr>
        <w:t xml:space="preserve">Supreme Court Act 1986 </w:t>
      </w:r>
      <w:r w:rsidRPr="00DC0A30">
        <w:rPr>
          <w:rFonts w:ascii="Times New Roman" w:hAnsi="Times New Roman"/>
          <w:iCs/>
        </w:rPr>
        <w:t>(Vic)</w:t>
      </w:r>
      <w:r w:rsidRPr="00DC0A30">
        <w:rPr>
          <w:rFonts w:ascii="Times New Roman" w:hAnsi="Times New Roman"/>
        </w:rPr>
        <w:t>.</w:t>
      </w:r>
      <w:r w:rsidRPr="00DC0A30">
        <w:rPr>
          <w:rStyle w:val="FootnoteReference"/>
          <w:rFonts w:ascii="Times New Roman" w:hAnsi="Times New Roman"/>
          <w:sz w:val="24"/>
        </w:rPr>
        <w:footnoteReference w:id="114"/>
      </w:r>
    </w:p>
    <w:p w14:paraId="76957B47" w14:textId="77777777" w:rsidR="006F5E1E" w:rsidRPr="00DC0A30" w:rsidRDefault="006F5E1E" w:rsidP="00DC0A30">
      <w:pPr>
        <w:pStyle w:val="HeadingL1"/>
        <w:spacing w:after="260" w:line="280" w:lineRule="exact"/>
        <w:ind w:right="0"/>
        <w:jc w:val="both"/>
        <w:rPr>
          <w:rFonts w:ascii="Times New Roman" w:hAnsi="Times New Roman"/>
        </w:rPr>
      </w:pPr>
      <w:r w:rsidRPr="00DC0A30">
        <w:rPr>
          <w:rFonts w:ascii="Times New Roman" w:hAnsi="Times New Roman"/>
        </w:rPr>
        <w:lastRenderedPageBreak/>
        <w:t>Conclusion and orders</w:t>
      </w:r>
    </w:p>
    <w:p w14:paraId="5FA74ECC" w14:textId="77777777" w:rsidR="006F5E1E" w:rsidRPr="00DC0A30" w:rsidRDefault="006F5E1E" w:rsidP="00DC0A30">
      <w:pPr>
        <w:pStyle w:val="FixListStyle"/>
        <w:spacing w:after="260" w:line="280" w:lineRule="exact"/>
        <w:ind w:right="0"/>
        <w:jc w:val="both"/>
        <w:rPr>
          <w:rFonts w:ascii="Times New Roman" w:hAnsi="Times New Roman"/>
        </w:rPr>
      </w:pPr>
      <w:r w:rsidRPr="00DC0A30">
        <w:rPr>
          <w:rFonts w:ascii="Times New Roman" w:hAnsi="Times New Roman"/>
        </w:rPr>
        <w:tab/>
        <w:t>For those reasons, the orders in each appeal are:</w:t>
      </w:r>
    </w:p>
    <w:p w14:paraId="3086D9A1"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1.</w:t>
      </w:r>
      <w:r w:rsidRPr="00DC0A30">
        <w:rPr>
          <w:rFonts w:ascii="Times New Roman" w:hAnsi="Times New Roman"/>
        </w:rPr>
        <w:tab/>
        <w:t>Appeal allowed.</w:t>
      </w:r>
    </w:p>
    <w:p w14:paraId="4057B015" w14:textId="77777777" w:rsidR="006F5E1E" w:rsidRPr="00DC0A30" w:rsidRDefault="006F5E1E" w:rsidP="00DC0A30">
      <w:pPr>
        <w:pStyle w:val="leftright"/>
        <w:spacing w:before="0" w:after="260" w:line="280" w:lineRule="exact"/>
        <w:ind w:left="1440" w:right="0" w:hanging="720"/>
        <w:jc w:val="both"/>
        <w:rPr>
          <w:rFonts w:ascii="Times New Roman" w:hAnsi="Times New Roman"/>
        </w:rPr>
      </w:pPr>
      <w:r w:rsidRPr="00DC0A30">
        <w:rPr>
          <w:rFonts w:ascii="Times New Roman" w:hAnsi="Times New Roman"/>
        </w:rPr>
        <w:t>2.</w:t>
      </w:r>
      <w:r w:rsidRPr="00DC0A30">
        <w:rPr>
          <w:rFonts w:ascii="Times New Roman" w:hAnsi="Times New Roman"/>
        </w:rPr>
        <w:tab/>
        <w:t>Set aside paragraphs 2 and 3 of the Orders of the Full Court of the Federal Court of Australia made on 5 July 2024 and, in their place, order that:</w:t>
      </w:r>
    </w:p>
    <w:p w14:paraId="7F0AF11D" w14:textId="77777777" w:rsidR="006F5E1E" w:rsidRPr="00DC0A30" w:rsidRDefault="006F5E1E" w:rsidP="003B4CEE">
      <w:pPr>
        <w:pStyle w:val="leftright"/>
        <w:spacing w:before="0" w:after="260" w:line="280" w:lineRule="exact"/>
        <w:ind w:left="2160" w:right="0" w:hanging="720"/>
        <w:jc w:val="both"/>
        <w:rPr>
          <w:rFonts w:ascii="Times New Roman" w:hAnsi="Times New Roman"/>
        </w:rPr>
      </w:pPr>
      <w:r w:rsidRPr="00DC0A30">
        <w:rPr>
          <w:rFonts w:ascii="Times New Roman" w:hAnsi="Times New Roman"/>
        </w:rPr>
        <w:t xml:space="preserve">(a) </w:t>
      </w:r>
      <w:r w:rsidRPr="00DC0A30">
        <w:rPr>
          <w:rFonts w:ascii="Times New Roman" w:hAnsi="Times New Roman"/>
        </w:rPr>
        <w:tab/>
        <w:t>the question reserved in paragraph 1 of the Orders of the Full Court made on 5 July 2024 be answered:</w:t>
      </w:r>
    </w:p>
    <w:p w14:paraId="61D0DD6B" w14:textId="77777777" w:rsidR="006F5E1E" w:rsidRPr="00DC0A30" w:rsidRDefault="006F5E1E" w:rsidP="00DC0A30">
      <w:pPr>
        <w:pStyle w:val="leftright"/>
        <w:spacing w:before="0" w:after="260" w:line="280" w:lineRule="exact"/>
        <w:ind w:left="2880" w:right="0"/>
        <w:jc w:val="both"/>
        <w:rPr>
          <w:rFonts w:ascii="Times New Roman" w:hAnsi="Times New Roman"/>
        </w:rPr>
      </w:pPr>
      <w:r w:rsidRPr="00DC0A30">
        <w:rPr>
          <w:rFonts w:ascii="Times New Roman" w:hAnsi="Times New Roman"/>
        </w:rPr>
        <w:t xml:space="preserve">"Where the solicitor acting for the representative party or a group member is subject to the </w:t>
      </w:r>
      <w:r w:rsidRPr="00DC0A30">
        <w:rPr>
          <w:rFonts w:ascii="Times New Roman" w:hAnsi="Times New Roman"/>
          <w:i/>
          <w:iCs/>
        </w:rPr>
        <w:t xml:space="preserve">Legal Profession Uniform Law </w:t>
      </w:r>
      <w:r w:rsidRPr="00DC0A30">
        <w:rPr>
          <w:rFonts w:ascii="Times New Roman" w:hAnsi="Times New Roman"/>
        </w:rPr>
        <w:t>(NSW), then the Federal Court of Australia may not make an order under s 33V(2) or</w:t>
      </w:r>
      <w:r>
        <w:rPr>
          <w:rFonts w:ascii="Times New Roman" w:hAnsi="Times New Roman"/>
        </w:rPr>
        <w:t> </w:t>
      </w:r>
      <w:r w:rsidRPr="00DC0A30">
        <w:rPr>
          <w:rFonts w:ascii="Times New Roman" w:hAnsi="Times New Roman"/>
        </w:rPr>
        <w:t xml:space="preserve">s 33Z(1)(g) of the </w:t>
      </w:r>
      <w:r w:rsidRPr="00DC0A30">
        <w:rPr>
          <w:rFonts w:ascii="Times New Roman" w:hAnsi="Times New Roman"/>
          <w:i/>
          <w:iCs/>
        </w:rPr>
        <w:t>Federal Court of Australia Act 1976</w:t>
      </w:r>
      <w:r w:rsidRPr="00DC0A30">
        <w:rPr>
          <w:rFonts w:ascii="Times New Roman" w:hAnsi="Times New Roman"/>
        </w:rPr>
        <w:t xml:space="preserve"> (</w:t>
      </w:r>
      <w:proofErr w:type="spellStart"/>
      <w:r w:rsidRPr="00DC0A30">
        <w:rPr>
          <w:rFonts w:ascii="Times New Roman" w:hAnsi="Times New Roman"/>
        </w:rPr>
        <w:t>Cth</w:t>
      </w:r>
      <w:proofErr w:type="spellEnd"/>
      <w:r w:rsidRPr="00DC0A30">
        <w:rPr>
          <w:rFonts w:ascii="Times New Roman" w:hAnsi="Times New Roman"/>
        </w:rPr>
        <w:t>) that an amount be paid to or for the benefit of the solicitor calculated by reference to the amount that might be or is to be paid under a settlement or an award of damages or the value of any property that may be recovered in the proceedings. The question is otherwise inappropriate to answer."; and</w:t>
      </w:r>
    </w:p>
    <w:p w14:paraId="24CB43B0" w14:textId="24CBEEE1" w:rsidR="006F5E1E" w:rsidRPr="00DC0A30" w:rsidRDefault="006F5E1E" w:rsidP="003B4CEE">
      <w:pPr>
        <w:pStyle w:val="leftright"/>
        <w:spacing w:before="0" w:after="260" w:line="280" w:lineRule="exact"/>
        <w:ind w:left="2160" w:right="0" w:hanging="2160"/>
        <w:jc w:val="both"/>
        <w:rPr>
          <w:rFonts w:ascii="Times New Roman" w:hAnsi="Times New Roman"/>
        </w:rPr>
      </w:pPr>
      <w:r w:rsidRPr="00DC0A30">
        <w:rPr>
          <w:rFonts w:ascii="Times New Roman" w:hAnsi="Times New Roman"/>
        </w:rPr>
        <w:tab/>
      </w:r>
      <w:r w:rsidRPr="00DC0A30">
        <w:rPr>
          <w:rFonts w:ascii="Times New Roman" w:hAnsi="Times New Roman"/>
        </w:rPr>
        <w:tab/>
        <w:t xml:space="preserve">(b) </w:t>
      </w:r>
      <w:r w:rsidRPr="00DC0A30">
        <w:rPr>
          <w:rFonts w:ascii="Times New Roman" w:hAnsi="Times New Roman"/>
        </w:rPr>
        <w:tab/>
        <w:t xml:space="preserve">the </w:t>
      </w:r>
      <w:r w:rsidR="00782FE6">
        <w:rPr>
          <w:rFonts w:ascii="Times New Roman" w:hAnsi="Times New Roman"/>
        </w:rPr>
        <w:t>applicants pay</w:t>
      </w:r>
      <w:r w:rsidR="00B9176D">
        <w:rPr>
          <w:rFonts w:ascii="Times New Roman" w:hAnsi="Times New Roman"/>
        </w:rPr>
        <w:t xml:space="preserve"> the second, ninth and twelfth respondents'</w:t>
      </w:r>
      <w:r w:rsidRPr="00DC0A30">
        <w:rPr>
          <w:rFonts w:ascii="Times New Roman" w:hAnsi="Times New Roman"/>
        </w:rPr>
        <w:t xml:space="preserve"> costs of and incidental to the hearing of the reserved question.</w:t>
      </w:r>
    </w:p>
    <w:p w14:paraId="1E84DBE0" w14:textId="77777777" w:rsidR="006F5E1E" w:rsidRDefault="006F5E1E" w:rsidP="006F5E1E">
      <w:pPr>
        <w:pStyle w:val="leftright"/>
        <w:spacing w:before="0" w:after="260" w:line="280" w:lineRule="exact"/>
        <w:ind w:left="1440" w:right="0" w:hanging="720"/>
        <w:jc w:val="both"/>
        <w:rPr>
          <w:rFonts w:ascii="Times New Roman" w:hAnsi="Times New Roman"/>
        </w:rPr>
      </w:pPr>
      <w:r w:rsidRPr="00DC0A30">
        <w:rPr>
          <w:rFonts w:ascii="Times New Roman" w:hAnsi="Times New Roman"/>
        </w:rPr>
        <w:t>3.</w:t>
      </w:r>
      <w:r w:rsidRPr="00DC0A30">
        <w:rPr>
          <w:rFonts w:ascii="Times New Roman" w:hAnsi="Times New Roman"/>
        </w:rPr>
        <w:tab/>
        <w:t xml:space="preserve">The first and second respondents pay the appellant's and the fourth and fifth respondents' costs of the appeal. </w:t>
      </w:r>
    </w:p>
    <w:p w14:paraId="69F3D160" w14:textId="77777777" w:rsidR="006F5E1E" w:rsidRDefault="006F5E1E" w:rsidP="006F5E1E">
      <w:pPr>
        <w:pStyle w:val="leftright"/>
        <w:spacing w:before="0" w:after="260" w:line="280" w:lineRule="exact"/>
        <w:ind w:left="1440" w:right="0" w:hanging="720"/>
        <w:jc w:val="both"/>
        <w:rPr>
          <w:rFonts w:ascii="Times New Roman" w:hAnsi="Times New Roman"/>
        </w:rPr>
        <w:sectPr w:rsidR="006F5E1E" w:rsidSect="006F5E1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8FE7C8D" w14:textId="77777777" w:rsidR="006F5E1E" w:rsidRPr="00F6514C" w:rsidRDefault="006F5E1E" w:rsidP="00F6514C">
      <w:pPr>
        <w:pStyle w:val="NormalBody"/>
        <w:tabs>
          <w:tab w:val="clear" w:pos="720"/>
          <w:tab w:val="left" w:pos="0"/>
        </w:tabs>
        <w:spacing w:after="260" w:line="280" w:lineRule="exact"/>
        <w:ind w:right="0"/>
        <w:jc w:val="both"/>
        <w:rPr>
          <w:rFonts w:ascii="Times New Roman" w:hAnsi="Times New Roman"/>
        </w:rPr>
      </w:pPr>
      <w:r w:rsidRPr="00F6514C">
        <w:rPr>
          <w:rFonts w:ascii="Times New Roman" w:hAnsi="Times New Roman"/>
        </w:rPr>
        <w:lastRenderedPageBreak/>
        <w:t xml:space="preserve">EDELMAN J.   </w:t>
      </w:r>
    </w:p>
    <w:p w14:paraId="25FCEC3D" w14:textId="77777777" w:rsidR="006F5E1E" w:rsidRPr="00F6514C" w:rsidRDefault="006F5E1E" w:rsidP="00F6514C">
      <w:pPr>
        <w:pStyle w:val="HeadingL1"/>
        <w:spacing w:after="260" w:line="280" w:lineRule="exact"/>
        <w:ind w:right="0"/>
        <w:jc w:val="both"/>
        <w:rPr>
          <w:rFonts w:ascii="Times New Roman" w:hAnsi="Times New Roman"/>
        </w:rPr>
      </w:pPr>
      <w:r w:rsidRPr="00F6514C">
        <w:rPr>
          <w:rFonts w:ascii="Times New Roman" w:hAnsi="Times New Roman"/>
        </w:rPr>
        <w:t xml:space="preserve">Litigation funding and alphabet soup: CFOs, </w:t>
      </w:r>
      <w:r>
        <w:rPr>
          <w:rFonts w:ascii="Times New Roman" w:hAnsi="Times New Roman"/>
        </w:rPr>
        <w:t xml:space="preserve">FEOs, </w:t>
      </w:r>
      <w:r w:rsidRPr="00F6514C">
        <w:rPr>
          <w:rFonts w:ascii="Times New Roman" w:hAnsi="Times New Roman"/>
        </w:rPr>
        <w:t>GCOs, and SCFOs</w:t>
      </w:r>
    </w:p>
    <w:p w14:paraId="72FFB0C8"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Since 2006,</w:t>
      </w:r>
      <w:r w:rsidRPr="00F6514C">
        <w:rPr>
          <w:rStyle w:val="FootnoteReference"/>
          <w:rFonts w:ascii="Times New Roman" w:hAnsi="Times New Roman"/>
          <w:sz w:val="24"/>
        </w:rPr>
        <w:footnoteReference w:id="115"/>
      </w:r>
      <w:r w:rsidRPr="00F6514C">
        <w:rPr>
          <w:rFonts w:ascii="Times New Roman" w:hAnsi="Times New Roman"/>
        </w:rPr>
        <w:t xml:space="preserve"> litigation funding in Australia has been a means by which justice can be sought in some proceedings, often group litigation where justice would otherwise have been unavailable because members of the group could not afford, or could not individually justify, the vindication of their rights. Litigation funding of group litigation requires funders to have a means of remuneration for the costs they bear and the risk they take when funding such litigation. By a combination of legislative innovation and practitioner creativity, modern Australian law has come to recognise a variety of procedures for group litigation to enhance access to justice. </w:t>
      </w:r>
    </w:p>
    <w:p w14:paraId="562DD394"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One procedure is a </w:t>
      </w:r>
      <w:r w:rsidRPr="00F6514C">
        <w:rPr>
          <w:rFonts w:ascii="Times New Roman" w:hAnsi="Times New Roman"/>
          <w:b/>
          <w:bCs/>
        </w:rPr>
        <w:t>common fund order</w:t>
      </w:r>
      <w:r w:rsidRPr="00F6514C">
        <w:rPr>
          <w:rFonts w:ascii="Times New Roman" w:hAnsi="Times New Roman"/>
        </w:rPr>
        <w:t xml:space="preserve"> ("CFO"), which has </w:t>
      </w:r>
      <w:proofErr w:type="gramStart"/>
      <w:r w:rsidRPr="00F6514C">
        <w:rPr>
          <w:rFonts w:ascii="Times New Roman" w:hAnsi="Times New Roman"/>
        </w:rPr>
        <w:t>a number of</w:t>
      </w:r>
      <w:proofErr w:type="gramEnd"/>
      <w:r w:rsidRPr="00F6514C">
        <w:rPr>
          <w:rFonts w:ascii="Times New Roman" w:hAnsi="Times New Roman"/>
        </w:rPr>
        <w:t xml:space="preserve"> typical characteristics</w:t>
      </w:r>
      <w:r w:rsidRPr="00F6514C">
        <w:rPr>
          <w:rStyle w:val="FootnoteReference"/>
          <w:rFonts w:ascii="Times New Roman" w:hAnsi="Times New Roman"/>
          <w:sz w:val="24"/>
        </w:rPr>
        <w:footnoteReference w:id="116"/>
      </w:r>
      <w:r w:rsidRPr="00F6514C">
        <w:rPr>
          <w:rFonts w:ascii="Times New Roman" w:hAnsi="Times New Roman"/>
        </w:rPr>
        <w:t xml:space="preserve"> but the essence of which is usually that all group members contribute equally to the litigation funder's commission, which is taken as a percentage of the settlement or judgment sum. CFOs have been made as interim orders (after the commencement of a proceeding)</w:t>
      </w:r>
      <w:r w:rsidRPr="00F6514C">
        <w:rPr>
          <w:rStyle w:val="FootnoteReference"/>
          <w:rFonts w:ascii="Times New Roman" w:hAnsi="Times New Roman"/>
          <w:sz w:val="24"/>
        </w:rPr>
        <w:footnoteReference w:id="117"/>
      </w:r>
      <w:r w:rsidRPr="00F6514C">
        <w:rPr>
          <w:rFonts w:ascii="Times New Roman" w:hAnsi="Times New Roman"/>
        </w:rPr>
        <w:t xml:space="preserve"> or upon settlement.</w:t>
      </w:r>
      <w:r w:rsidRPr="00F6514C">
        <w:rPr>
          <w:rStyle w:val="FootnoteReference"/>
          <w:rFonts w:ascii="Times New Roman" w:hAnsi="Times New Roman"/>
          <w:sz w:val="24"/>
        </w:rPr>
        <w:footnoteReference w:id="118"/>
      </w:r>
      <w:r w:rsidRPr="00F6514C">
        <w:rPr>
          <w:rFonts w:ascii="Times New Roman" w:hAnsi="Times New Roman"/>
        </w:rPr>
        <w:t xml:space="preserve"> They can also be made upon judgment. They are usually made independently of the orders concerning the party or parties who will bear the costs of the action.</w:t>
      </w:r>
    </w:p>
    <w:p w14:paraId="371AB666"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A second procedure is a </w:t>
      </w:r>
      <w:r w:rsidRPr="00F6514C">
        <w:rPr>
          <w:rFonts w:ascii="Times New Roman" w:hAnsi="Times New Roman"/>
          <w:b/>
          <w:bCs/>
        </w:rPr>
        <w:t>funding equalisation order</w:t>
      </w:r>
      <w:r w:rsidRPr="00F6514C">
        <w:rPr>
          <w:rFonts w:ascii="Times New Roman" w:hAnsi="Times New Roman"/>
        </w:rPr>
        <w:t xml:space="preserve"> ("FEO"), which is a court order that seeks, by various possible means, to equalise the position between those group members who have entered funding agreements with a litigation funder ("funded group members") and those who have not ("unfunded group members"). Upon the making of an award at settlement or judgment, an FEO reduces the amount of the award payable to unfunded group members </w:t>
      </w:r>
      <w:proofErr w:type="gramStart"/>
      <w:r w:rsidRPr="00F6514C">
        <w:rPr>
          <w:rFonts w:ascii="Times New Roman" w:hAnsi="Times New Roman"/>
        </w:rPr>
        <w:t>so as to</w:t>
      </w:r>
      <w:proofErr w:type="gramEnd"/>
      <w:r w:rsidRPr="00F6514C">
        <w:rPr>
          <w:rFonts w:ascii="Times New Roman" w:hAnsi="Times New Roman"/>
        </w:rPr>
        <w:t xml:space="preserve"> spread the litigation funder's commission across all group members.</w:t>
      </w:r>
    </w:p>
    <w:p w14:paraId="16D43489"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A third procedure is a </w:t>
      </w:r>
      <w:r w:rsidRPr="00F6514C">
        <w:rPr>
          <w:rFonts w:ascii="Times New Roman" w:hAnsi="Times New Roman"/>
          <w:b/>
          <w:bCs/>
        </w:rPr>
        <w:t xml:space="preserve">group costs order </w:t>
      </w:r>
      <w:r w:rsidRPr="00F6514C">
        <w:rPr>
          <w:rFonts w:ascii="Times New Roman" w:hAnsi="Times New Roman"/>
        </w:rPr>
        <w:t xml:space="preserve">("GCO"). In Victoria, the GCO is a legislative innovation that took effect from 1 July 2020 with the introduction of ss 33ZD(2) and 33ZDA of the </w:t>
      </w:r>
      <w:r w:rsidRPr="00F6514C">
        <w:rPr>
          <w:rFonts w:ascii="Times New Roman" w:hAnsi="Times New Roman"/>
          <w:i/>
          <w:iCs/>
        </w:rPr>
        <w:t xml:space="preserve">Supreme Court Act 1986 </w:t>
      </w:r>
      <w:r w:rsidRPr="00F6514C">
        <w:rPr>
          <w:rFonts w:ascii="Times New Roman" w:hAnsi="Times New Roman"/>
        </w:rPr>
        <w:t>(Vic).</w:t>
      </w:r>
      <w:r w:rsidRPr="00F6514C">
        <w:rPr>
          <w:rStyle w:val="FootnoteReference"/>
          <w:rFonts w:ascii="Times New Roman" w:hAnsi="Times New Roman"/>
          <w:sz w:val="24"/>
        </w:rPr>
        <w:footnoteReference w:id="119"/>
      </w:r>
      <w:r w:rsidRPr="00F6514C">
        <w:rPr>
          <w:rFonts w:ascii="Times New Roman" w:hAnsi="Times New Roman"/>
        </w:rPr>
        <w:t xml:space="preserve"> The latter section </w:t>
      </w:r>
      <w:r w:rsidRPr="00F6514C">
        <w:rPr>
          <w:rFonts w:ascii="Times New Roman" w:hAnsi="Times New Roman"/>
        </w:rPr>
        <w:lastRenderedPageBreak/>
        <w:t>empowers the Supreme Court of Victoria to make an order that the legal costs payable to a law practice that represents the plaintiff and group members in a group proceeding be calculated as a specified "percentage of the amount of any award or settlement that may be recovered in the proceeding" with the liability for legal costs to be shared among the plaintiff and all group members.</w:t>
      </w:r>
      <w:r w:rsidRPr="00F6514C">
        <w:rPr>
          <w:rStyle w:val="FootnoteReference"/>
          <w:rFonts w:ascii="Times New Roman" w:hAnsi="Times New Roman"/>
          <w:sz w:val="24"/>
        </w:rPr>
        <w:footnoteReference w:id="120"/>
      </w:r>
      <w:r w:rsidRPr="00F6514C">
        <w:rPr>
          <w:rFonts w:ascii="Times New Roman" w:hAnsi="Times New Roman"/>
        </w:rPr>
        <w:t xml:space="preserve">   </w:t>
      </w:r>
    </w:p>
    <w:p w14:paraId="65F01833"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A fourth procedure is a </w:t>
      </w:r>
      <w:r w:rsidRPr="00F6514C">
        <w:rPr>
          <w:rFonts w:ascii="Times New Roman" w:hAnsi="Times New Roman"/>
          <w:b/>
          <w:bCs/>
        </w:rPr>
        <w:t xml:space="preserve">solicitors' common fund order </w:t>
      </w:r>
      <w:r w:rsidRPr="00F6514C">
        <w:rPr>
          <w:rFonts w:ascii="Times New Roman" w:hAnsi="Times New Roman"/>
        </w:rPr>
        <w:t xml:space="preserve">("SCFO"), which is a CFO made in favour of a solicitor or solicitors who have funded the litigation including by the provision of the legal services. In this sense, an SCFO is just a CFO where the funder is the solicitor providing the legal services. That is how the proposed SCFO in this case was described in the form of a proposed </w:t>
      </w:r>
      <w:proofErr w:type="spellStart"/>
      <w:r w:rsidRPr="00F6514C">
        <w:rPr>
          <w:rFonts w:ascii="Times New Roman" w:hAnsi="Times New Roman"/>
        </w:rPr>
        <w:t>Opt</w:t>
      </w:r>
      <w:proofErr w:type="spellEnd"/>
      <w:r w:rsidRPr="00F6514C">
        <w:rPr>
          <w:rFonts w:ascii="Times New Roman" w:hAnsi="Times New Roman"/>
        </w:rPr>
        <w:t xml:space="preserve"> Out Notice which the applicants in this representative proceeding ("the Class Action Applicants", being the first and second respondents to these appeals) seek to have issued by the Federal Court:</w:t>
      </w:r>
    </w:p>
    <w:p w14:paraId="46DD51B7" w14:textId="77777777" w:rsidR="006F5E1E" w:rsidRPr="00F6514C" w:rsidRDefault="006F5E1E" w:rsidP="00F6514C">
      <w:pPr>
        <w:pStyle w:val="LeftrightafterHC"/>
        <w:spacing w:before="0" w:after="260" w:line="280" w:lineRule="exact"/>
        <w:ind w:right="0"/>
        <w:jc w:val="both"/>
        <w:rPr>
          <w:rFonts w:ascii="Times New Roman" w:hAnsi="Times New Roman"/>
        </w:rPr>
      </w:pPr>
      <w:r w:rsidRPr="00F6514C">
        <w:rPr>
          <w:rFonts w:ascii="Times New Roman" w:hAnsi="Times New Roman"/>
        </w:rPr>
        <w:t>"The solicitors for the Applicants are financing these proceedings, by paying lawyers in their employ as well as barristers and other experts, and by taking on the financial risks of conducting the proceeding, including by indemnifying the Applicants against adverse costs, and furnishing any security for costs ordered by the Court.</w:t>
      </w:r>
    </w:p>
    <w:p w14:paraId="3394B69E" w14:textId="77777777" w:rsidR="006F5E1E" w:rsidRDefault="006F5E1E" w:rsidP="00F6514C">
      <w:pPr>
        <w:pStyle w:val="leftright"/>
        <w:spacing w:before="0" w:after="260" w:line="280" w:lineRule="exact"/>
        <w:ind w:right="0"/>
        <w:jc w:val="both"/>
        <w:rPr>
          <w:rFonts w:ascii="Times New Roman" w:hAnsi="Times New Roman"/>
        </w:rPr>
      </w:pPr>
      <w:r w:rsidRPr="00F6514C">
        <w:rPr>
          <w:rFonts w:ascii="Times New Roman" w:hAnsi="Times New Roman"/>
        </w:rPr>
        <w:t xml:space="preserve">If a settlement or judgment in the Class Action results in compensation being payable to you, the Applicants will ask the Court (who has the power to make the below orders) to make an order that a portion of the compensation be used to remunerate the lawyers for the value of their work, the expenses and outgoings (disbursements) they incurred, and the financial risks they took, in running the Class Action (a </w:t>
      </w:r>
      <w:r w:rsidRPr="00F6514C">
        <w:rPr>
          <w:rFonts w:ascii="Times New Roman" w:hAnsi="Times New Roman"/>
          <w:b/>
          <w:bCs/>
        </w:rPr>
        <w:t>Solicitors' CFO</w:t>
      </w:r>
      <w:r w:rsidRPr="00F6514C">
        <w:rPr>
          <w:rFonts w:ascii="Times New Roman" w:hAnsi="Times New Roman"/>
        </w:rPr>
        <w:t xml:space="preserve">). If it makes a Solicitors' CFO, the Court has power to decide what portion of the compensation should be paid to the </w:t>
      </w:r>
      <w:proofErr w:type="gramStart"/>
      <w:r w:rsidRPr="00F6514C">
        <w:rPr>
          <w:rFonts w:ascii="Times New Roman" w:hAnsi="Times New Roman"/>
        </w:rPr>
        <w:t>solicitors, and</w:t>
      </w:r>
      <w:proofErr w:type="gramEnd"/>
      <w:r w:rsidRPr="00F6514C">
        <w:rPr>
          <w:rFonts w:ascii="Times New Roman" w:hAnsi="Times New Roman"/>
        </w:rPr>
        <w:t xml:space="preserve"> will set a proportion that the Court considers fair and reasonable in all the circumstances. The solicitors will not ask the Court to approve an amount that is greater than what a </w:t>
      </w:r>
      <w:proofErr w:type="gramStart"/>
      <w:r w:rsidRPr="00F6514C">
        <w:rPr>
          <w:rFonts w:ascii="Times New Roman" w:hAnsi="Times New Roman"/>
        </w:rPr>
        <w:t>third party</w:t>
      </w:r>
      <w:proofErr w:type="gramEnd"/>
      <w:r w:rsidRPr="00F6514C">
        <w:rPr>
          <w:rFonts w:ascii="Times New Roman" w:hAnsi="Times New Roman"/>
        </w:rPr>
        <w:t xml:space="preserve"> litigation funder would seek for funding this proceeding, which is up to 30% of the total recovery plus reimbursement of its out-of-pocket costs."</w:t>
      </w:r>
    </w:p>
    <w:p w14:paraId="6B2E9CC5"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On the other hand, the draft amendment to the existing costs agreement between the first respondent to these appeals ("R&amp;B Investments") and its solicitors contemplates a proposed SCFO ("the Addendum SCFO") which does not entirely reflect the SCFO described in the proposed notice. That amendment treats the legal costs and disbursements incurred by the solicitors separately from the Addendum SCFO. Legal costs and disbursements would be shared among the group members (including the Class Action Applicants) "pro rata in proportion to their respective recoveries as a result of the proceeding or otherwise as the Court </w:t>
      </w:r>
      <w:r w:rsidRPr="00F6514C">
        <w:rPr>
          <w:rFonts w:ascii="Times New Roman" w:hAnsi="Times New Roman"/>
        </w:rPr>
        <w:lastRenderedPageBreak/>
        <w:t xml:space="preserve">may direct" and, separately, the solicitors would be "remunerated for [their] risks in funding the legal costs and disbursements" by payment of a percentage of the sum recovered as a result of the proceeding. </w:t>
      </w:r>
    </w:p>
    <w:p w14:paraId="76411571"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On one interpretation of the Addendum SCFO, which appears to match the terms of the question reserved, that SCFO could involve a fixed amount for legal </w:t>
      </w:r>
      <w:r>
        <w:rPr>
          <w:rFonts w:ascii="Times New Roman" w:hAnsi="Times New Roman"/>
        </w:rPr>
        <w:t>costs</w:t>
      </w:r>
      <w:r w:rsidRPr="00F6514C">
        <w:rPr>
          <w:rFonts w:ascii="Times New Roman" w:hAnsi="Times New Roman"/>
        </w:rPr>
        <w:t xml:space="preserve"> and disbursements subtracted from any recovery by group members together with a further subtraction of a percentage of the recovery to "remunerate[]" the solicitors for their risk, with the percentage to be authorised by the Federal Court. There are three aspects to that risk to be remunerated: the risk that the proceedings will </w:t>
      </w:r>
      <w:proofErr w:type="gramStart"/>
      <w:r w:rsidRPr="00F6514C">
        <w:rPr>
          <w:rFonts w:ascii="Times New Roman" w:hAnsi="Times New Roman"/>
        </w:rPr>
        <w:t>fail</w:t>
      </w:r>
      <w:proofErr w:type="gramEnd"/>
      <w:r w:rsidRPr="00F6514C">
        <w:rPr>
          <w:rFonts w:ascii="Times New Roman" w:hAnsi="Times New Roman"/>
        </w:rPr>
        <w:t xml:space="preserve"> and the solicitors will have to bear all of the costs incurred in advancing the group litigation; the risk of providing security for costs and losing that money if the action fails; and the risk of an adverse costs order.</w:t>
      </w:r>
    </w:p>
    <w:p w14:paraId="39E09533"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That view of an SCFO, which attempts (with some strain) to separate the components of risk from the legal costs and disbursements incurred, need not be considered on these appeals. As senior counsel for the Class Action Applicants properly accepted, the intention was not to seek a percentage recovery only for the risk borne by the solicitors separately from the cost of the legal services (assuming that such a separation could be clearly made). Instead, the legal costs and disbursements as well as the remuneration for risk were sought as a percentage of any recovery by group members.</w:t>
      </w:r>
    </w:p>
    <w:p w14:paraId="77C896D2" w14:textId="77777777" w:rsidR="006F5E1E" w:rsidRPr="00F6514C" w:rsidRDefault="006F5E1E" w:rsidP="00F6514C">
      <w:pPr>
        <w:pStyle w:val="HeadingL1"/>
        <w:spacing w:after="260" w:line="280" w:lineRule="exact"/>
        <w:ind w:right="0"/>
        <w:jc w:val="both"/>
        <w:rPr>
          <w:rFonts w:ascii="Times New Roman" w:hAnsi="Times New Roman"/>
        </w:rPr>
      </w:pPr>
      <w:r w:rsidRPr="00F6514C">
        <w:rPr>
          <w:rFonts w:ascii="Times New Roman" w:hAnsi="Times New Roman"/>
        </w:rPr>
        <w:t>The parties to these appeals</w:t>
      </w:r>
    </w:p>
    <w:p w14:paraId="654EF990"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The present appeals are brought from the whole of the judgment of the Full Court of the Federal Court of Australia</w:t>
      </w:r>
      <w:r w:rsidRPr="00F6514C">
        <w:rPr>
          <w:rStyle w:val="FootnoteReference"/>
          <w:rFonts w:ascii="Times New Roman" w:hAnsi="Times New Roman"/>
          <w:sz w:val="24"/>
        </w:rPr>
        <w:footnoteReference w:id="121"/>
      </w:r>
      <w:r w:rsidRPr="00F6514C">
        <w:rPr>
          <w:rFonts w:ascii="Times New Roman" w:hAnsi="Times New Roman"/>
        </w:rPr>
        <w:t xml:space="preserve"> below answering a reserved question in a representative proceeding commenced by the Class Action Applicants (namely, R&amp;B Investments and Mr Furniss) against the third respondent ("Blue Sky", which is a company in liquidation), some of Blue Sky's former directors (Mr Kain and Mr Shand), and Blue Sky's former auditor ("Ernst &amp; Young"). Mr Kain, Mr Shand, and Ernst &amp; Young are the respective appellants in the separate appeals ("the respective appellants").</w:t>
      </w:r>
    </w:p>
    <w:p w14:paraId="21C8EC25" w14:textId="77777777" w:rsidR="006F5E1E" w:rsidRPr="00F6514C" w:rsidRDefault="006F5E1E" w:rsidP="00F6514C">
      <w:pPr>
        <w:pStyle w:val="HeadingL1"/>
        <w:spacing w:after="260" w:line="280" w:lineRule="exact"/>
        <w:ind w:right="0"/>
        <w:jc w:val="both"/>
        <w:rPr>
          <w:rFonts w:ascii="Times New Roman" w:hAnsi="Times New Roman"/>
        </w:rPr>
      </w:pPr>
      <w:r w:rsidRPr="00F6514C">
        <w:rPr>
          <w:rFonts w:ascii="Times New Roman" w:hAnsi="Times New Roman"/>
        </w:rPr>
        <w:t xml:space="preserve">The dead letter of this Court in </w:t>
      </w:r>
      <w:r w:rsidRPr="00F6514C">
        <w:rPr>
          <w:rFonts w:ascii="Times New Roman" w:hAnsi="Times New Roman"/>
          <w:i/>
          <w:iCs/>
        </w:rPr>
        <w:t>BMW Australia Ltd v Brewster</w:t>
      </w:r>
      <w:r w:rsidRPr="00F6514C">
        <w:rPr>
          <w:rFonts w:ascii="Times New Roman" w:hAnsi="Times New Roman"/>
        </w:rPr>
        <w:t xml:space="preserve">     </w:t>
      </w:r>
    </w:p>
    <w:p w14:paraId="34181152"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In 2019, in </w:t>
      </w:r>
      <w:r w:rsidRPr="00F6514C">
        <w:rPr>
          <w:rFonts w:ascii="Times New Roman" w:hAnsi="Times New Roman"/>
          <w:i/>
          <w:iCs/>
        </w:rPr>
        <w:t>BMW Australia Ltd v Brewster</w:t>
      </w:r>
      <w:r w:rsidRPr="00F6514C">
        <w:rPr>
          <w:rFonts w:ascii="Times New Roman" w:hAnsi="Times New Roman"/>
        </w:rPr>
        <w:t xml:space="preserve"> ("</w:t>
      </w:r>
      <w:r w:rsidRPr="00F6514C">
        <w:rPr>
          <w:rFonts w:ascii="Times New Roman" w:hAnsi="Times New Roman"/>
          <w:i/>
          <w:iCs/>
        </w:rPr>
        <w:t>Brewster</w:t>
      </w:r>
      <w:r w:rsidRPr="00F6514C">
        <w:rPr>
          <w:rFonts w:ascii="Times New Roman" w:hAnsi="Times New Roman"/>
        </w:rPr>
        <w:t>"),</w:t>
      </w:r>
      <w:r w:rsidRPr="00F6514C">
        <w:rPr>
          <w:rStyle w:val="FootnoteReference"/>
          <w:rFonts w:ascii="Times New Roman" w:hAnsi="Times New Roman"/>
          <w:sz w:val="24"/>
        </w:rPr>
        <w:footnoteReference w:id="122"/>
      </w:r>
      <w:r w:rsidRPr="00F6514C">
        <w:rPr>
          <w:rFonts w:ascii="Times New Roman" w:hAnsi="Times New Roman"/>
        </w:rPr>
        <w:t xml:space="preserve"> </w:t>
      </w:r>
      <w:proofErr w:type="gramStart"/>
      <w:r w:rsidRPr="00F6514C">
        <w:rPr>
          <w:rFonts w:ascii="Times New Roman" w:hAnsi="Times New Roman"/>
        </w:rPr>
        <w:t>a majority of</w:t>
      </w:r>
      <w:proofErr w:type="gramEnd"/>
      <w:r w:rsidRPr="00F6514C">
        <w:rPr>
          <w:rFonts w:ascii="Times New Roman" w:hAnsi="Times New Roman"/>
        </w:rPr>
        <w:t xml:space="preserve"> this Court poured cold water upon CFOs. Relevantly for the Federal Court of Australia, the majority held that s 33ZF(1) of the </w:t>
      </w:r>
      <w:r w:rsidRPr="00F6514C">
        <w:rPr>
          <w:rFonts w:ascii="Times New Roman" w:hAnsi="Times New Roman"/>
          <w:i/>
          <w:iCs/>
        </w:rPr>
        <w:t xml:space="preserve">Federal Court of Australia Act 1976 </w:t>
      </w:r>
      <w:r w:rsidRPr="00F6514C">
        <w:rPr>
          <w:rFonts w:ascii="Times New Roman" w:hAnsi="Times New Roman"/>
        </w:rPr>
        <w:t>(</w:t>
      </w:r>
      <w:proofErr w:type="spellStart"/>
      <w:r w:rsidRPr="00F6514C">
        <w:rPr>
          <w:rFonts w:ascii="Times New Roman" w:hAnsi="Times New Roman"/>
        </w:rPr>
        <w:t>Cth</w:t>
      </w:r>
      <w:proofErr w:type="spellEnd"/>
      <w:r w:rsidRPr="00F6514C">
        <w:rPr>
          <w:rFonts w:ascii="Times New Roman" w:hAnsi="Times New Roman"/>
        </w:rPr>
        <w:t xml:space="preserve">) did not provide power for a CFO to be made prior to settlement or </w:t>
      </w:r>
      <w:r w:rsidRPr="00F6514C">
        <w:rPr>
          <w:rFonts w:ascii="Times New Roman" w:hAnsi="Times New Roman"/>
        </w:rPr>
        <w:lastRenderedPageBreak/>
        <w:t>judgment.</w:t>
      </w:r>
      <w:r w:rsidRPr="00F6514C">
        <w:rPr>
          <w:rStyle w:val="FootnoteReference"/>
          <w:rFonts w:ascii="Times New Roman" w:hAnsi="Times New Roman"/>
          <w:sz w:val="24"/>
        </w:rPr>
        <w:footnoteReference w:id="123"/>
      </w:r>
      <w:r w:rsidRPr="00F6514C">
        <w:rPr>
          <w:rFonts w:ascii="Times New Roman" w:hAnsi="Times New Roman"/>
        </w:rPr>
        <w:t xml:space="preserve"> Despite the extraordinary breadth of that provision, empowering the Court to make "any order the Court thinks appropriate or necessary to ensure that justice is done in the proceeding", the plurality judgment of Kiefel CJ, Bell and Keane JJ held that the power to make a CFO prior to settlement or judgment could never fall within the provision. Their Honours identified s 33</w:t>
      </w:r>
      <w:proofErr w:type="gramStart"/>
      <w:r w:rsidRPr="00F6514C">
        <w:rPr>
          <w:rFonts w:ascii="Times New Roman" w:hAnsi="Times New Roman"/>
        </w:rPr>
        <w:t>ZF(</w:t>
      </w:r>
      <w:proofErr w:type="gramEnd"/>
      <w:r w:rsidRPr="00F6514C">
        <w:rPr>
          <w:rFonts w:ascii="Times New Roman" w:hAnsi="Times New Roman"/>
        </w:rPr>
        <w:t xml:space="preserve">1) as being concerned with an asserted "radically" different question from "whether an action </w:t>
      </w:r>
      <w:r w:rsidRPr="00F6514C">
        <w:rPr>
          <w:rFonts w:ascii="Times New Roman" w:hAnsi="Times New Roman"/>
          <w:i/>
          <w:iCs/>
        </w:rPr>
        <w:t xml:space="preserve">can </w:t>
      </w:r>
      <w:r w:rsidRPr="00F6514C">
        <w:rPr>
          <w:rFonts w:ascii="Times New Roman" w:hAnsi="Times New Roman"/>
        </w:rPr>
        <w:t>proceed at all", namely "</w:t>
      </w:r>
      <w:r w:rsidRPr="00F6514C">
        <w:rPr>
          <w:rFonts w:ascii="Times New Roman" w:hAnsi="Times New Roman"/>
          <w:i/>
          <w:iCs/>
        </w:rPr>
        <w:t xml:space="preserve">how </w:t>
      </w:r>
      <w:r w:rsidRPr="00F6514C">
        <w:rPr>
          <w:rFonts w:ascii="Times New Roman" w:hAnsi="Times New Roman"/>
        </w:rPr>
        <w:t>an action should proceed in order to do justice".</w:t>
      </w:r>
      <w:r w:rsidRPr="00F6514C">
        <w:rPr>
          <w:rStyle w:val="FootnoteReference"/>
          <w:rFonts w:ascii="Times New Roman" w:hAnsi="Times New Roman"/>
          <w:sz w:val="24"/>
        </w:rPr>
        <w:footnoteReference w:id="124"/>
      </w:r>
      <w:r w:rsidRPr="00F6514C">
        <w:rPr>
          <w:rFonts w:ascii="Times New Roman" w:hAnsi="Times New Roman"/>
        </w:rPr>
        <w:t xml:space="preserve">  </w:t>
      </w:r>
    </w:p>
    <w:p w14:paraId="1A5D5461"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In explaining this asserted radical difference based (apparently) on the words requiring justice to be done "in the proceeding",</w:t>
      </w:r>
      <w:r w:rsidRPr="00F6514C">
        <w:rPr>
          <w:rStyle w:val="FootnoteReference"/>
          <w:rFonts w:ascii="Times New Roman" w:hAnsi="Times New Roman"/>
          <w:sz w:val="24"/>
        </w:rPr>
        <w:footnoteReference w:id="125"/>
      </w:r>
      <w:r w:rsidRPr="00F6514C">
        <w:rPr>
          <w:rFonts w:ascii="Times New Roman" w:hAnsi="Times New Roman"/>
        </w:rPr>
        <w:t xml:space="preserve"> the plurality relied heavily upon assertions of context and purpose. As Mr Kain and Ernst &amp; Young submitted, many of those contextual and purposive considerations are equally applicable to the time of settlement or judgment as they are to the early stages of a proceeding. The plurality accepted that the Court had power to make an FEO under s 33ZF but observed that "a CFO seeks to impose an additional cost by imposing new obligations on the unfunded group members".</w:t>
      </w:r>
      <w:r w:rsidRPr="00F6514C">
        <w:rPr>
          <w:rStyle w:val="FootnoteReference"/>
          <w:rFonts w:ascii="Times New Roman" w:hAnsi="Times New Roman"/>
          <w:sz w:val="24"/>
        </w:rPr>
        <w:footnoteReference w:id="126"/>
      </w:r>
      <w:r w:rsidRPr="00F6514C">
        <w:rPr>
          <w:rFonts w:ascii="Times New Roman" w:hAnsi="Times New Roman"/>
        </w:rPr>
        <w:t xml:space="preserve"> Their Honours held that s 33ZF(1) was a "supplementary or gap-filling provision"</w:t>
      </w:r>
      <w:r w:rsidRPr="00F6514C">
        <w:rPr>
          <w:rStyle w:val="FootnoteReference"/>
          <w:rFonts w:ascii="Times New Roman" w:hAnsi="Times New Roman"/>
          <w:sz w:val="24"/>
        </w:rPr>
        <w:footnoteReference w:id="127"/>
      </w:r>
      <w:r w:rsidRPr="00F6514C">
        <w:rPr>
          <w:rFonts w:ascii="Times New Roman" w:hAnsi="Times New Roman"/>
        </w:rPr>
        <w:t xml:space="preserve"> and was limited to the power to make orders that would "advance the effective determination by the court of the issues between the parties to the proceeding".</w:t>
      </w:r>
      <w:r w:rsidRPr="00F6514C">
        <w:rPr>
          <w:rStyle w:val="FootnoteReference"/>
          <w:rFonts w:ascii="Times New Roman" w:hAnsi="Times New Roman"/>
          <w:sz w:val="24"/>
        </w:rPr>
        <w:footnoteReference w:id="128"/>
      </w:r>
      <w:r w:rsidRPr="00F6514C">
        <w:rPr>
          <w:rFonts w:ascii="Times New Roman" w:hAnsi="Times New Roman"/>
        </w:rPr>
        <w:t xml:space="preserve"> </w:t>
      </w:r>
    </w:p>
    <w:p w14:paraId="097ABBB3"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The above remarks by the plurality, and other remarks by the plurality,</w:t>
      </w:r>
      <w:r w:rsidRPr="00F6514C">
        <w:rPr>
          <w:rStyle w:val="FootnoteReference"/>
          <w:rFonts w:ascii="Times New Roman" w:hAnsi="Times New Roman"/>
          <w:sz w:val="24"/>
        </w:rPr>
        <w:footnoteReference w:id="129"/>
      </w:r>
      <w:r w:rsidRPr="00F6514C">
        <w:rPr>
          <w:rFonts w:ascii="Times New Roman" w:hAnsi="Times New Roman"/>
        </w:rPr>
        <w:t xml:space="preserve"> strongly suggest that the reasoning of the plurality was intended to apply also to the making of a CFO at the time of settlement or judgment. But if the essential reasoning of the plurality were to be understood as preventing the making of a CFO under s 33ZF(1) even at the time of judgment,</w:t>
      </w:r>
      <w:r w:rsidRPr="00F6514C">
        <w:rPr>
          <w:rStyle w:val="FootnoteReference"/>
          <w:rFonts w:ascii="Times New Roman" w:hAnsi="Times New Roman"/>
          <w:sz w:val="24"/>
        </w:rPr>
        <w:footnoteReference w:id="130"/>
      </w:r>
      <w:r w:rsidRPr="00F6514C">
        <w:rPr>
          <w:rFonts w:ascii="Times New Roman" w:hAnsi="Times New Roman"/>
        </w:rPr>
        <w:t xml:space="preserve"> neither that essential reasoning nor the question being addressed by the plurality was concerned with the application of other provisions of Pt IVA of the </w:t>
      </w:r>
      <w:r w:rsidRPr="00F6514C">
        <w:rPr>
          <w:rFonts w:ascii="Times New Roman" w:hAnsi="Times New Roman"/>
          <w:i/>
          <w:iCs/>
        </w:rPr>
        <w:t xml:space="preserve">Federal Court of Australia Act </w:t>
      </w:r>
      <w:r w:rsidRPr="00F6514C">
        <w:rPr>
          <w:rFonts w:ascii="Times New Roman" w:hAnsi="Times New Roman"/>
        </w:rPr>
        <w:t xml:space="preserve">(of which s 33ZF formed a part) at settlement or judgment. </w:t>
      </w:r>
    </w:p>
    <w:p w14:paraId="447F66D1"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lastRenderedPageBreak/>
        <w:tab/>
        <w:t>The other members of the majority were Nettle J and Gordon J. Like the plurality, Nettle J reasoned that the broad terms of s 33ZF(1) suggested that the provision was only in the nature of a "supplementary power".</w:t>
      </w:r>
      <w:r w:rsidRPr="00F6514C">
        <w:rPr>
          <w:rStyle w:val="FootnoteReference"/>
          <w:rFonts w:ascii="Times New Roman" w:hAnsi="Times New Roman"/>
          <w:sz w:val="24"/>
        </w:rPr>
        <w:footnoteReference w:id="131"/>
      </w:r>
      <w:r w:rsidRPr="00F6514C">
        <w:rPr>
          <w:rFonts w:ascii="Times New Roman" w:hAnsi="Times New Roman"/>
        </w:rPr>
        <w:t xml:space="preserve"> Gordon J held that Pt IVA of the </w:t>
      </w:r>
      <w:r w:rsidRPr="00F6514C">
        <w:rPr>
          <w:rFonts w:ascii="Times New Roman" w:hAnsi="Times New Roman"/>
          <w:i/>
          <w:iCs/>
        </w:rPr>
        <w:t xml:space="preserve">Federal Court of Australia Act </w:t>
      </w:r>
      <w:r w:rsidRPr="00F6514C">
        <w:rPr>
          <w:rFonts w:ascii="Times New Roman" w:hAnsi="Times New Roman"/>
        </w:rPr>
        <w:t>as a whole did not empower the Court to make a CFO at any time.</w:t>
      </w:r>
      <w:r w:rsidRPr="00F6514C">
        <w:rPr>
          <w:rStyle w:val="FootnoteReference"/>
          <w:rFonts w:ascii="Times New Roman" w:hAnsi="Times New Roman"/>
          <w:sz w:val="24"/>
        </w:rPr>
        <w:footnoteReference w:id="132"/>
      </w:r>
      <w:r w:rsidRPr="00F6514C">
        <w:rPr>
          <w:rFonts w:ascii="Times New Roman" w:hAnsi="Times New Roman"/>
        </w:rPr>
        <w:t xml:space="preserve"> Although this aspect of her Honour's reasoning reflected the general tenor of the plurality's reasons, it was not a matter that was essential to the reasons of the plurality and was not part of the ratio decidendi of </w:t>
      </w:r>
      <w:r w:rsidRPr="00F6514C">
        <w:rPr>
          <w:rFonts w:ascii="Times New Roman" w:hAnsi="Times New Roman"/>
          <w:i/>
          <w:iCs/>
        </w:rPr>
        <w:t>Brewster</w:t>
      </w:r>
      <w:r w:rsidRPr="00F6514C">
        <w:rPr>
          <w:rFonts w:ascii="Times New Roman" w:hAnsi="Times New Roman"/>
        </w:rPr>
        <w:t xml:space="preserve">. </w:t>
      </w:r>
    </w:p>
    <w:p w14:paraId="669840E2"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In these appeals it was submitted, with some force, that there were "many examples" that show why the reasoning of the plurality was "plainly wrong" as a matter of law as well as "factually wrong" to the extent that the reasoning suggested that an FEO will always involve less cost for group members (compared with a CFO).</w:t>
      </w:r>
      <w:r w:rsidRPr="00F6514C">
        <w:rPr>
          <w:rStyle w:val="FootnoteReference"/>
          <w:rFonts w:ascii="Times New Roman" w:hAnsi="Times New Roman"/>
          <w:sz w:val="24"/>
        </w:rPr>
        <w:footnoteReference w:id="133"/>
      </w:r>
      <w:r w:rsidRPr="00F6514C">
        <w:rPr>
          <w:rFonts w:ascii="Times New Roman" w:hAnsi="Times New Roman"/>
        </w:rPr>
        <w:t xml:space="preserve"> It was submitted that the plurality's reasons did not address important features of the dissenting judgments. </w:t>
      </w:r>
      <w:proofErr w:type="gramStart"/>
      <w:r w:rsidRPr="00F6514C">
        <w:rPr>
          <w:rFonts w:ascii="Times New Roman" w:hAnsi="Times New Roman"/>
        </w:rPr>
        <w:t>In the course of</w:t>
      </w:r>
      <w:proofErr w:type="gramEnd"/>
      <w:r w:rsidRPr="00F6514C">
        <w:rPr>
          <w:rFonts w:ascii="Times New Roman" w:hAnsi="Times New Roman"/>
        </w:rPr>
        <w:t xml:space="preserve"> these submissions, this Court was also referred to a powerful decision of the Court of Appeal of New Zealand,</w:t>
      </w:r>
      <w:r w:rsidRPr="00F6514C">
        <w:rPr>
          <w:rStyle w:val="FootnoteReference"/>
          <w:rFonts w:ascii="Times New Roman" w:hAnsi="Times New Roman"/>
          <w:sz w:val="24"/>
        </w:rPr>
        <w:footnoteReference w:id="134"/>
      </w:r>
      <w:r w:rsidRPr="00F6514C">
        <w:rPr>
          <w:rFonts w:ascii="Times New Roman" w:hAnsi="Times New Roman"/>
        </w:rPr>
        <w:t xml:space="preserve"> which rejected the reasoning of the plurality in </w:t>
      </w:r>
      <w:r w:rsidRPr="00F6514C">
        <w:rPr>
          <w:rFonts w:ascii="Times New Roman" w:hAnsi="Times New Roman"/>
          <w:i/>
          <w:iCs/>
        </w:rPr>
        <w:t>Brewster</w:t>
      </w:r>
      <w:r w:rsidRPr="00F6514C">
        <w:rPr>
          <w:rFonts w:ascii="Times New Roman" w:hAnsi="Times New Roman"/>
        </w:rPr>
        <w:t xml:space="preserve">. Moreover, the Court was shown how the Federal Court has spent the last five years developing informal techniques to manoeuvre around the decision, reducing the effect of the majority judgments in </w:t>
      </w:r>
      <w:r w:rsidRPr="00F6514C">
        <w:rPr>
          <w:rFonts w:ascii="Times New Roman" w:hAnsi="Times New Roman"/>
          <w:i/>
          <w:iCs/>
        </w:rPr>
        <w:t>Brewster</w:t>
      </w:r>
      <w:r w:rsidRPr="00F6514C">
        <w:rPr>
          <w:rFonts w:ascii="Times New Roman" w:hAnsi="Times New Roman"/>
        </w:rPr>
        <w:t xml:space="preserve"> to the point where, as Beach J astutely observed, "one can only wonder what the practical difference is" between the unauthorised CFOs proscribed by </w:t>
      </w:r>
      <w:r w:rsidRPr="00F6514C">
        <w:rPr>
          <w:rFonts w:ascii="Times New Roman" w:hAnsi="Times New Roman"/>
          <w:i/>
          <w:iCs/>
        </w:rPr>
        <w:t>Brewster</w:t>
      </w:r>
      <w:r w:rsidRPr="00F6514C">
        <w:rPr>
          <w:rFonts w:ascii="Times New Roman" w:hAnsi="Times New Roman"/>
        </w:rPr>
        <w:t xml:space="preserve"> and the informal techniques developed.</w:t>
      </w:r>
      <w:r w:rsidRPr="00F6514C">
        <w:rPr>
          <w:rStyle w:val="FootnoteReference"/>
          <w:rFonts w:ascii="Times New Roman" w:hAnsi="Times New Roman"/>
          <w:sz w:val="24"/>
        </w:rPr>
        <w:footnoteReference w:id="135"/>
      </w:r>
    </w:p>
    <w:p w14:paraId="79FDF996"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The premise of the informal techniques is </w:t>
      </w:r>
      <w:proofErr w:type="gramStart"/>
      <w:r w:rsidRPr="00F6514C">
        <w:rPr>
          <w:rFonts w:ascii="Times New Roman" w:hAnsi="Times New Roman"/>
        </w:rPr>
        <w:t>that,</w:t>
      </w:r>
      <w:proofErr w:type="gramEnd"/>
      <w:r w:rsidRPr="00F6514C">
        <w:rPr>
          <w:rFonts w:ascii="Times New Roman" w:hAnsi="Times New Roman"/>
        </w:rPr>
        <w:t xml:space="preserve"> contrary to the tenor of the majority judgments in </w:t>
      </w:r>
      <w:r w:rsidRPr="00F6514C">
        <w:rPr>
          <w:rFonts w:ascii="Times New Roman" w:hAnsi="Times New Roman"/>
          <w:i/>
          <w:iCs/>
        </w:rPr>
        <w:t>Brewster</w:t>
      </w:r>
      <w:r w:rsidRPr="00F6514C">
        <w:rPr>
          <w:rFonts w:ascii="Times New Roman" w:hAnsi="Times New Roman"/>
        </w:rPr>
        <w:t xml:space="preserve"> although not contrary to the ratio decidendi of that case, the Federal Court has power to make a CFO upon settlement or judgment. On that premise, the most obvious informal technique is for judges to give indications "at case management hearings that they may be favourably disposed to making a settlement CFO in due course if the occasion arises".</w:t>
      </w:r>
      <w:r w:rsidRPr="00F6514C">
        <w:rPr>
          <w:rStyle w:val="FootnoteReference"/>
          <w:rFonts w:ascii="Times New Roman" w:hAnsi="Times New Roman"/>
          <w:sz w:val="24"/>
        </w:rPr>
        <w:footnoteReference w:id="136"/>
      </w:r>
      <w:r w:rsidRPr="00F6514C">
        <w:rPr>
          <w:rFonts w:ascii="Times New Roman" w:hAnsi="Times New Roman"/>
        </w:rPr>
        <w:t xml:space="preserve"> Such an indication is not binding as to the terms of any final CFO made. But neither is an interlocutory CFO binding as to the terms of any final CFO made. Indeed, the parties might obtain more clarity and certainty by a strongly expressed informal </w:t>
      </w:r>
      <w:r w:rsidRPr="00F6514C">
        <w:rPr>
          <w:rFonts w:ascii="Times New Roman" w:hAnsi="Times New Roman"/>
        </w:rPr>
        <w:lastRenderedPageBreak/>
        <w:t xml:space="preserve">view about the terms of a CFO that might be made on settlement or judgment than a weakly expressed view supporting the terms of an interlocutory CFO. The reasoning of </w:t>
      </w:r>
      <w:proofErr w:type="gramStart"/>
      <w:r w:rsidRPr="00F6514C">
        <w:rPr>
          <w:rFonts w:ascii="Times New Roman" w:hAnsi="Times New Roman"/>
        </w:rPr>
        <w:t>the majority of</w:t>
      </w:r>
      <w:proofErr w:type="gramEnd"/>
      <w:r w:rsidRPr="00F6514C">
        <w:rPr>
          <w:rFonts w:ascii="Times New Roman" w:hAnsi="Times New Roman"/>
        </w:rPr>
        <w:t xml:space="preserve"> this Court in </w:t>
      </w:r>
      <w:r w:rsidRPr="00F6514C">
        <w:rPr>
          <w:rFonts w:ascii="Times New Roman" w:hAnsi="Times New Roman"/>
          <w:i/>
          <w:iCs/>
        </w:rPr>
        <w:t xml:space="preserve">Brewster </w:t>
      </w:r>
      <w:r w:rsidRPr="00F6514C">
        <w:rPr>
          <w:rFonts w:ascii="Times New Roman" w:hAnsi="Times New Roman"/>
        </w:rPr>
        <w:t xml:space="preserve">has thus been reduced almost to a dead letter. </w:t>
      </w:r>
    </w:p>
    <w:p w14:paraId="1F5CE761" w14:textId="77777777" w:rsidR="006F5E1E" w:rsidRPr="00F6514C" w:rsidRDefault="006F5E1E" w:rsidP="00F6514C">
      <w:pPr>
        <w:pStyle w:val="HeadingL1"/>
        <w:spacing w:after="260" w:line="280" w:lineRule="exact"/>
        <w:ind w:right="0"/>
        <w:jc w:val="both"/>
        <w:rPr>
          <w:rFonts w:ascii="Times New Roman" w:hAnsi="Times New Roman"/>
        </w:rPr>
      </w:pPr>
      <w:r w:rsidRPr="00F6514C">
        <w:rPr>
          <w:rFonts w:ascii="Times New Roman" w:hAnsi="Times New Roman"/>
        </w:rPr>
        <w:t xml:space="preserve">The attempts on these appeals to inject life back into </w:t>
      </w:r>
      <w:r w:rsidRPr="00F6514C">
        <w:rPr>
          <w:rFonts w:ascii="Times New Roman" w:hAnsi="Times New Roman"/>
          <w:i/>
          <w:iCs/>
        </w:rPr>
        <w:t>Brewster</w:t>
      </w:r>
      <w:r w:rsidRPr="00F6514C">
        <w:rPr>
          <w:rFonts w:ascii="Times New Roman" w:hAnsi="Times New Roman"/>
        </w:rPr>
        <w:t xml:space="preserve"> </w:t>
      </w:r>
    </w:p>
    <w:p w14:paraId="4A253FB1"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The background to these appeals is conveniently set out in the reasons of Gordon, Steward, Gleeson and Beech-Jones JJ. The respective appellants' submissions in relation to the reserved question essentially involved two steps. First, the respective appellants sought to extend the ratio decidendi of this Court in </w:t>
      </w:r>
      <w:r w:rsidRPr="00F6514C">
        <w:rPr>
          <w:rFonts w:ascii="Times New Roman" w:hAnsi="Times New Roman"/>
          <w:i/>
          <w:iCs/>
        </w:rPr>
        <w:t>Brewster</w:t>
      </w:r>
      <w:r w:rsidRPr="00F6514C">
        <w:rPr>
          <w:rFonts w:ascii="Times New Roman" w:hAnsi="Times New Roman"/>
        </w:rPr>
        <w:t xml:space="preserve">, submitting that the Federal Court of Australia has no power to make a CFO upon settlement or judgment under any provision of Pt IVA of the </w:t>
      </w:r>
      <w:r w:rsidRPr="00F6514C">
        <w:rPr>
          <w:rFonts w:ascii="Times New Roman" w:hAnsi="Times New Roman"/>
          <w:i/>
          <w:iCs/>
        </w:rPr>
        <w:t>Federal Court of Australia Act</w:t>
      </w:r>
      <w:r w:rsidRPr="00F6514C">
        <w:rPr>
          <w:rFonts w:ascii="Times New Roman" w:hAnsi="Times New Roman"/>
        </w:rPr>
        <w:t xml:space="preserve">. Secondly, the respective appellants submitted that even if there is power to make a CFO upon settlement or judgment, s 183 of the </w:t>
      </w:r>
      <w:r w:rsidRPr="00F6514C">
        <w:rPr>
          <w:rFonts w:ascii="Times New Roman" w:hAnsi="Times New Roman"/>
          <w:i/>
          <w:iCs/>
        </w:rPr>
        <w:t>Legal Profession Uniform Law</w:t>
      </w:r>
      <w:r w:rsidRPr="00F6514C">
        <w:rPr>
          <w:rFonts w:ascii="Times New Roman" w:hAnsi="Times New Roman"/>
        </w:rPr>
        <w:t xml:space="preserve"> (NSW) ("the LPUL") prohibits the Federal Court of Australia from making an SCFO.  </w:t>
      </w:r>
    </w:p>
    <w:p w14:paraId="12093FC5"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The Class Action Applicants resisted this Lazarus-like attempt to inject life back into </w:t>
      </w:r>
      <w:r w:rsidRPr="00F6514C">
        <w:rPr>
          <w:rFonts w:ascii="Times New Roman" w:hAnsi="Times New Roman"/>
          <w:i/>
          <w:iCs/>
        </w:rPr>
        <w:t>Brewster</w:t>
      </w:r>
      <w:r w:rsidRPr="00F6514C">
        <w:rPr>
          <w:rFonts w:ascii="Times New Roman" w:hAnsi="Times New Roman"/>
        </w:rPr>
        <w:t xml:space="preserve">. First, they submitted that notwithstanding the tenor, or express reasoning, of the majority judgments in </w:t>
      </w:r>
      <w:r w:rsidRPr="00F6514C">
        <w:rPr>
          <w:rFonts w:ascii="Times New Roman" w:hAnsi="Times New Roman"/>
          <w:i/>
          <w:iCs/>
        </w:rPr>
        <w:t>Brewster</w:t>
      </w:r>
      <w:r w:rsidRPr="00F6514C">
        <w:rPr>
          <w:rFonts w:ascii="Times New Roman" w:hAnsi="Times New Roman"/>
        </w:rPr>
        <w:t>, the Federal Court has power to make a CFO on settlement or judgment under s 33</w:t>
      </w:r>
      <w:proofErr w:type="gramStart"/>
      <w:r w:rsidRPr="00F6514C">
        <w:rPr>
          <w:rFonts w:ascii="Times New Roman" w:hAnsi="Times New Roman"/>
        </w:rPr>
        <w:t>V(</w:t>
      </w:r>
      <w:proofErr w:type="gramEnd"/>
      <w:r w:rsidRPr="00F6514C">
        <w:rPr>
          <w:rFonts w:ascii="Times New Roman" w:hAnsi="Times New Roman"/>
        </w:rPr>
        <w:t xml:space="preserve">2) (in the case of a settlement) or s 33Z(1)(g) (in the case of a judgment) of the </w:t>
      </w:r>
      <w:r w:rsidRPr="00F6514C">
        <w:rPr>
          <w:rFonts w:ascii="Times New Roman" w:hAnsi="Times New Roman"/>
          <w:i/>
          <w:iCs/>
        </w:rPr>
        <w:t>Federal Court of Australia Act</w:t>
      </w:r>
      <w:r w:rsidRPr="00F6514C">
        <w:rPr>
          <w:rFonts w:ascii="Times New Roman" w:hAnsi="Times New Roman"/>
        </w:rPr>
        <w:t xml:space="preserve">. For abundant caution (which was unnecessary for the reasons explained above), the Class Action Applicants submitted that, to the extent that </w:t>
      </w:r>
      <w:r w:rsidRPr="00F6514C">
        <w:rPr>
          <w:rFonts w:ascii="Times New Roman" w:hAnsi="Times New Roman"/>
          <w:i/>
          <w:iCs/>
        </w:rPr>
        <w:t xml:space="preserve">Brewster </w:t>
      </w:r>
      <w:r w:rsidRPr="00F6514C">
        <w:rPr>
          <w:rFonts w:ascii="Times New Roman" w:hAnsi="Times New Roman"/>
        </w:rPr>
        <w:t xml:space="preserve">decided otherwise, it should be re-opened and overruled. Secondly, the Class Action Applicants said that s 183 of the LPUL does not prohibit the making of an SCFO.   </w:t>
      </w:r>
    </w:p>
    <w:p w14:paraId="07E03393"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For the reasons below, the Class Action Applicants' powerful submissions should generally be accepted. The tenor of the reasoning in </w:t>
      </w:r>
      <w:r w:rsidRPr="00F6514C">
        <w:rPr>
          <w:rFonts w:ascii="Times New Roman" w:hAnsi="Times New Roman"/>
          <w:i/>
          <w:iCs/>
        </w:rPr>
        <w:t>Brewster</w:t>
      </w:r>
      <w:r w:rsidRPr="00F6514C">
        <w:rPr>
          <w:rFonts w:ascii="Times New Roman" w:hAnsi="Times New Roman"/>
        </w:rPr>
        <w:t xml:space="preserve"> should not be applied and the decision should not be extended. The ratio decidendi of </w:t>
      </w:r>
      <w:r w:rsidRPr="00F6514C">
        <w:rPr>
          <w:rFonts w:ascii="Times New Roman" w:hAnsi="Times New Roman"/>
          <w:i/>
          <w:iCs/>
        </w:rPr>
        <w:t xml:space="preserve">Brewster </w:t>
      </w:r>
      <w:r w:rsidRPr="00F6514C">
        <w:rPr>
          <w:rFonts w:ascii="Times New Roman" w:hAnsi="Times New Roman"/>
        </w:rPr>
        <w:t>should be left as a dead letter and not extended to the power to make CFOs upon settlement or judgment. The open-textured provisions of s 33</w:t>
      </w:r>
      <w:proofErr w:type="gramStart"/>
      <w:r w:rsidRPr="00F6514C">
        <w:rPr>
          <w:rFonts w:ascii="Times New Roman" w:hAnsi="Times New Roman"/>
        </w:rPr>
        <w:t>V(</w:t>
      </w:r>
      <w:proofErr w:type="gramEnd"/>
      <w:r w:rsidRPr="00F6514C">
        <w:rPr>
          <w:rFonts w:ascii="Times New Roman" w:hAnsi="Times New Roman"/>
        </w:rPr>
        <w:t xml:space="preserve">2) and s 33Z(1)(g) of the </w:t>
      </w:r>
      <w:r w:rsidRPr="00F6514C">
        <w:rPr>
          <w:rFonts w:ascii="Times New Roman" w:hAnsi="Times New Roman"/>
          <w:i/>
          <w:iCs/>
        </w:rPr>
        <w:t>Federal Court of Australia Act</w:t>
      </w:r>
      <w:r w:rsidRPr="00F6514C">
        <w:rPr>
          <w:rFonts w:ascii="Times New Roman" w:hAnsi="Times New Roman"/>
        </w:rPr>
        <w:t xml:space="preserve"> empower the grant of a CFO on, respectively, settlement or judgment. But although s 183 of the LPUL does not directly prohibit the making of an SCFO, neither s 33</w:t>
      </w:r>
      <w:proofErr w:type="gramStart"/>
      <w:r w:rsidRPr="00F6514C">
        <w:rPr>
          <w:rFonts w:ascii="Times New Roman" w:hAnsi="Times New Roman"/>
        </w:rPr>
        <w:t>V(</w:t>
      </w:r>
      <w:proofErr w:type="gramEnd"/>
      <w:r w:rsidRPr="00F6514C">
        <w:rPr>
          <w:rFonts w:ascii="Times New Roman" w:hAnsi="Times New Roman"/>
        </w:rPr>
        <w:t xml:space="preserve">2) nor s 33Z(1)(g) empowers the making of an SCFO. Both of those provisions must be applied in a manner that ensures coherence between s 183 and the </w:t>
      </w:r>
      <w:r w:rsidRPr="00F6514C">
        <w:rPr>
          <w:rFonts w:ascii="Times New Roman" w:hAnsi="Times New Roman"/>
          <w:i/>
          <w:iCs/>
        </w:rPr>
        <w:t>Federal Court of Australia Act</w:t>
      </w:r>
      <w:r w:rsidRPr="00F6514C">
        <w:rPr>
          <w:rFonts w:ascii="Times New Roman" w:hAnsi="Times New Roman"/>
        </w:rPr>
        <w:t xml:space="preserve">. </w:t>
      </w:r>
    </w:p>
    <w:p w14:paraId="3F273B0F" w14:textId="77777777" w:rsidR="006F5E1E" w:rsidRPr="00F6514C" w:rsidRDefault="006F5E1E" w:rsidP="00F6514C">
      <w:pPr>
        <w:pStyle w:val="HeadingL1"/>
        <w:spacing w:after="260" w:line="280" w:lineRule="exact"/>
        <w:ind w:right="0"/>
        <w:jc w:val="both"/>
        <w:rPr>
          <w:rFonts w:ascii="Times New Roman" w:hAnsi="Times New Roman"/>
        </w:rPr>
      </w:pPr>
      <w:r w:rsidRPr="00F6514C">
        <w:rPr>
          <w:rFonts w:ascii="Times New Roman" w:hAnsi="Times New Roman"/>
        </w:rPr>
        <w:t>A power to make a CFO upon settlement or judgment</w:t>
      </w:r>
    </w:p>
    <w:p w14:paraId="5F11922D"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Section 33</w:t>
      </w:r>
      <w:proofErr w:type="gramStart"/>
      <w:r w:rsidRPr="00F6514C">
        <w:rPr>
          <w:rFonts w:ascii="Times New Roman" w:hAnsi="Times New Roman"/>
        </w:rPr>
        <w:t>V(</w:t>
      </w:r>
      <w:proofErr w:type="gramEnd"/>
      <w:r w:rsidRPr="00F6514C">
        <w:rPr>
          <w:rFonts w:ascii="Times New Roman" w:hAnsi="Times New Roman"/>
        </w:rPr>
        <w:t xml:space="preserve">2) of the </w:t>
      </w:r>
      <w:r w:rsidRPr="00F6514C">
        <w:rPr>
          <w:rFonts w:ascii="Times New Roman" w:hAnsi="Times New Roman"/>
          <w:i/>
          <w:iCs/>
        </w:rPr>
        <w:t xml:space="preserve">Federal Court of Australia Act </w:t>
      </w:r>
      <w:r w:rsidRPr="00F6514C">
        <w:rPr>
          <w:rFonts w:ascii="Times New Roman" w:hAnsi="Times New Roman"/>
        </w:rPr>
        <w:t>relevantly provides that if the Court gives approval for a settlement, "it may make such orders as are just with respect to the distribution of any money paid under a settlement or paid into the Court". Section 33</w:t>
      </w:r>
      <w:proofErr w:type="gramStart"/>
      <w:r w:rsidRPr="00F6514C">
        <w:rPr>
          <w:rFonts w:ascii="Times New Roman" w:hAnsi="Times New Roman"/>
        </w:rPr>
        <w:t>Z(</w:t>
      </w:r>
      <w:proofErr w:type="gramEnd"/>
      <w:r w:rsidRPr="00F6514C">
        <w:rPr>
          <w:rFonts w:ascii="Times New Roman" w:hAnsi="Times New Roman"/>
        </w:rPr>
        <w:t xml:space="preserve">1) provides that in "determining a matter in a </w:t>
      </w:r>
      <w:r w:rsidRPr="00F6514C">
        <w:rPr>
          <w:rFonts w:ascii="Times New Roman" w:hAnsi="Times New Roman"/>
        </w:rPr>
        <w:lastRenderedPageBreak/>
        <w:t xml:space="preserve">representative proceeding" (where, in context, "matter" means nothing more than any issue in the proceeding), the Court may determine issues of law and fact and make various remedial orders including, in s 33Z(1)(g), "such other order as the Court thinks just". </w:t>
      </w:r>
    </w:p>
    <w:p w14:paraId="4021BF7C"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Like s 33</w:t>
      </w:r>
      <w:proofErr w:type="gramStart"/>
      <w:r w:rsidRPr="00F6514C">
        <w:rPr>
          <w:rFonts w:ascii="Times New Roman" w:hAnsi="Times New Roman"/>
        </w:rPr>
        <w:t>ZF(</w:t>
      </w:r>
      <w:proofErr w:type="gramEnd"/>
      <w:r w:rsidRPr="00F6514C">
        <w:rPr>
          <w:rFonts w:ascii="Times New Roman" w:hAnsi="Times New Roman"/>
        </w:rPr>
        <w:t xml:space="preserve">1) of the </w:t>
      </w:r>
      <w:r w:rsidRPr="00F6514C">
        <w:rPr>
          <w:rFonts w:ascii="Times New Roman" w:hAnsi="Times New Roman"/>
          <w:i/>
          <w:iCs/>
        </w:rPr>
        <w:t>Federal Court of Australia Act</w:t>
      </w:r>
      <w:r w:rsidRPr="00F6514C">
        <w:rPr>
          <w:rFonts w:ascii="Times New Roman" w:hAnsi="Times New Roman"/>
        </w:rPr>
        <w:t xml:space="preserve">, ss 33V(2) and 33Z(1)(g) might also attract the descriptions used by the plurality in </w:t>
      </w:r>
      <w:r w:rsidRPr="00F6514C">
        <w:rPr>
          <w:rFonts w:ascii="Times New Roman" w:hAnsi="Times New Roman"/>
          <w:i/>
          <w:iCs/>
        </w:rPr>
        <w:t>Brewster</w:t>
      </w:r>
      <w:r w:rsidRPr="00F6514C">
        <w:rPr>
          <w:rStyle w:val="FootnoteReference"/>
          <w:rFonts w:ascii="Times New Roman" w:hAnsi="Times New Roman"/>
          <w:sz w:val="24"/>
        </w:rPr>
        <w:footnoteReference w:id="137"/>
      </w:r>
      <w:r w:rsidRPr="00F6514C">
        <w:rPr>
          <w:rFonts w:ascii="Times New Roman" w:hAnsi="Times New Roman"/>
        </w:rPr>
        <w:t xml:space="preserve"> of "supplementary" or "gap-filling". But, with respect to the reasoning of the plurality, those descriptions are question-begging. Describing the provisions as supplementary says nothing about how far the supplement extends. So too does describing the provisions as "gap-filling" say nothing about the gaps that need to be filled. Indeed, for the same reasons that I gave in </w:t>
      </w:r>
      <w:r w:rsidRPr="00F6514C">
        <w:rPr>
          <w:rFonts w:ascii="Times New Roman" w:hAnsi="Times New Roman"/>
          <w:i/>
          <w:iCs/>
        </w:rPr>
        <w:t>Brewster</w:t>
      </w:r>
      <w:r w:rsidRPr="00F6514C">
        <w:rPr>
          <w:rFonts w:ascii="Times New Roman" w:hAnsi="Times New Roman"/>
        </w:rPr>
        <w:t>,</w:t>
      </w:r>
      <w:r w:rsidRPr="00F6514C">
        <w:rPr>
          <w:rStyle w:val="FootnoteReference"/>
          <w:rFonts w:ascii="Times New Roman" w:hAnsi="Times New Roman"/>
          <w:sz w:val="24"/>
        </w:rPr>
        <w:footnoteReference w:id="138"/>
      </w:r>
      <w:r w:rsidRPr="00F6514C">
        <w:rPr>
          <w:rFonts w:ascii="Times New Roman" w:hAnsi="Times New Roman"/>
        </w:rPr>
        <w:t xml:space="preserve"> the wide terms of ss 33</w:t>
      </w:r>
      <w:proofErr w:type="gramStart"/>
      <w:r w:rsidRPr="00F6514C">
        <w:rPr>
          <w:rFonts w:ascii="Times New Roman" w:hAnsi="Times New Roman"/>
        </w:rPr>
        <w:t>V(</w:t>
      </w:r>
      <w:proofErr w:type="gramEnd"/>
      <w:r w:rsidRPr="00F6514C">
        <w:rPr>
          <w:rFonts w:ascii="Times New Roman" w:hAnsi="Times New Roman"/>
        </w:rPr>
        <w:t>2) and 33Z(1)(g) fall within the category of powers that are "not to be read by making implications or imposing limitations not found in the words used". The Class Action Applicants sought refuge in the words used in ss 33</w:t>
      </w:r>
      <w:proofErr w:type="gramStart"/>
      <w:r w:rsidRPr="00F6514C">
        <w:rPr>
          <w:rFonts w:ascii="Times New Roman" w:hAnsi="Times New Roman"/>
        </w:rPr>
        <w:t>V(</w:t>
      </w:r>
      <w:proofErr w:type="gramEnd"/>
      <w:r w:rsidRPr="00F6514C">
        <w:rPr>
          <w:rFonts w:ascii="Times New Roman" w:hAnsi="Times New Roman"/>
        </w:rPr>
        <w:t xml:space="preserve">2) and 33Z(1)(g) in separate ways. </w:t>
      </w:r>
    </w:p>
    <w:p w14:paraId="69BBCA8A"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As to the power in each of ss 33</w:t>
      </w:r>
      <w:proofErr w:type="gramStart"/>
      <w:r w:rsidRPr="00F6514C">
        <w:rPr>
          <w:rFonts w:ascii="Times New Roman" w:hAnsi="Times New Roman"/>
        </w:rPr>
        <w:t>V(</w:t>
      </w:r>
      <w:proofErr w:type="gramEnd"/>
      <w:r w:rsidRPr="00F6514C">
        <w:rPr>
          <w:rFonts w:ascii="Times New Roman" w:hAnsi="Times New Roman"/>
        </w:rPr>
        <w:t>2) and 33Z(1)(g) to make orders that are "just", Mr Kain and Ernst &amp; Young in particular submitted that the concept of justice which is applied in the identification of the scope of the power is confined by reference to context and purpose. It is not "palm tree justice".</w:t>
      </w:r>
      <w:r w:rsidRPr="00F6514C">
        <w:rPr>
          <w:rStyle w:val="FootnoteReference"/>
          <w:rFonts w:ascii="Times New Roman" w:hAnsi="Times New Roman"/>
          <w:sz w:val="24"/>
        </w:rPr>
        <w:footnoteReference w:id="139"/>
      </w:r>
      <w:r w:rsidRPr="00F6514C">
        <w:rPr>
          <w:rFonts w:ascii="Times New Roman" w:hAnsi="Times New Roman"/>
        </w:rPr>
        <w:t xml:space="preserve"> That submission echoed the approach of the plurality in </w:t>
      </w:r>
      <w:r w:rsidRPr="00F6514C">
        <w:rPr>
          <w:rFonts w:ascii="Times New Roman" w:hAnsi="Times New Roman"/>
          <w:i/>
          <w:iCs/>
        </w:rPr>
        <w:t>Brewster</w:t>
      </w:r>
      <w:r w:rsidRPr="00F6514C">
        <w:rPr>
          <w:rFonts w:ascii="Times New Roman" w:hAnsi="Times New Roman"/>
        </w:rPr>
        <w:t>,</w:t>
      </w:r>
      <w:r w:rsidRPr="00F6514C">
        <w:rPr>
          <w:rStyle w:val="FootnoteReference"/>
          <w:rFonts w:ascii="Times New Roman" w:hAnsi="Times New Roman"/>
          <w:sz w:val="24"/>
        </w:rPr>
        <w:footnoteReference w:id="140"/>
      </w:r>
      <w:r w:rsidRPr="00F6514C">
        <w:rPr>
          <w:rFonts w:ascii="Times New Roman" w:hAnsi="Times New Roman"/>
        </w:rPr>
        <w:t xml:space="preserve"> where their Honours said, in support of a conclusion that the making of a CFO prior to settlement or judgment was beyond the scope of s 33ZF(1), that "[</w:t>
      </w:r>
      <w:proofErr w:type="spellStart"/>
      <w:r w:rsidRPr="00F6514C">
        <w:rPr>
          <w:rFonts w:ascii="Times New Roman" w:hAnsi="Times New Roman"/>
        </w:rPr>
        <w:t>i</w:t>
      </w:r>
      <w:proofErr w:type="spellEnd"/>
      <w:r w:rsidRPr="00F6514C">
        <w:rPr>
          <w:rFonts w:ascii="Times New Roman" w:hAnsi="Times New Roman"/>
        </w:rPr>
        <w:t>]t is not appropriate or necessary to ensure that justice is done in a representative proceeding for a court to promote the prosecution of the proceeding in order to enable it to be heard and determined by that court".</w:t>
      </w:r>
    </w:p>
    <w:p w14:paraId="64560FCF"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It is not appropriate to confine an intentionally broad reference to justice by having regard to individual perceptions of an appropriate, or preferred, policy effect of legislation. For the reasons I gave in </w:t>
      </w:r>
      <w:r w:rsidRPr="00F6514C">
        <w:rPr>
          <w:rFonts w:ascii="Times New Roman" w:hAnsi="Times New Roman"/>
          <w:i/>
          <w:iCs/>
        </w:rPr>
        <w:t>Brewster</w:t>
      </w:r>
      <w:r w:rsidRPr="00F6514C">
        <w:rPr>
          <w:rFonts w:ascii="Times New Roman" w:hAnsi="Times New Roman"/>
        </w:rPr>
        <w:t>,</w:t>
      </w:r>
      <w:r w:rsidRPr="00F6514C">
        <w:rPr>
          <w:rStyle w:val="FootnoteReference"/>
          <w:rFonts w:ascii="Times New Roman" w:hAnsi="Times New Roman"/>
          <w:sz w:val="24"/>
        </w:rPr>
        <w:footnoteReference w:id="141"/>
      </w:r>
      <w:r w:rsidRPr="00F6514C">
        <w:rPr>
          <w:rFonts w:ascii="Times New Roman" w:hAnsi="Times New Roman"/>
        </w:rPr>
        <w:t xml:space="preserve"> the making of CFOs can comfortably fall within the broad conception of justice. To the extent that the reasoning to the contrary by the plurality was an essential part of their reasons in </w:t>
      </w:r>
      <w:r w:rsidRPr="00F6514C">
        <w:rPr>
          <w:rFonts w:ascii="Times New Roman" w:hAnsi="Times New Roman"/>
          <w:i/>
          <w:iCs/>
        </w:rPr>
        <w:t>Brewster</w:t>
      </w:r>
      <w:r w:rsidRPr="00F6514C">
        <w:rPr>
          <w:rFonts w:ascii="Times New Roman" w:hAnsi="Times New Roman"/>
        </w:rPr>
        <w:t xml:space="preserve">, that reasoning was based upon the association of "justice" in s 33ZF(1) </w:t>
      </w:r>
      <w:r w:rsidRPr="00F6514C">
        <w:rPr>
          <w:rFonts w:ascii="Times New Roman" w:hAnsi="Times New Roman"/>
        </w:rPr>
        <w:lastRenderedPageBreak/>
        <w:t>with the words "in the proceeding".</w:t>
      </w:r>
      <w:r w:rsidRPr="00F6514C">
        <w:rPr>
          <w:rStyle w:val="FootnoteReference"/>
          <w:rFonts w:ascii="Times New Roman" w:hAnsi="Times New Roman"/>
          <w:sz w:val="24"/>
        </w:rPr>
        <w:footnoteReference w:id="142"/>
      </w:r>
      <w:r w:rsidRPr="00F6514C">
        <w:rPr>
          <w:rFonts w:ascii="Times New Roman" w:hAnsi="Times New Roman"/>
        </w:rPr>
        <w:t xml:space="preserve"> At the very least, that reasoning, which I continue to reject,</w:t>
      </w:r>
      <w:r w:rsidRPr="00F6514C">
        <w:rPr>
          <w:rStyle w:val="FootnoteReference"/>
          <w:rFonts w:ascii="Times New Roman" w:hAnsi="Times New Roman"/>
          <w:sz w:val="24"/>
        </w:rPr>
        <w:footnoteReference w:id="143"/>
      </w:r>
      <w:r w:rsidRPr="00F6514C">
        <w:rPr>
          <w:rFonts w:ascii="Times New Roman" w:hAnsi="Times New Roman"/>
        </w:rPr>
        <w:t xml:space="preserve"> should not be applied to confine the application of any other provision of Pt IVA of the </w:t>
      </w:r>
      <w:r w:rsidRPr="00F6514C">
        <w:rPr>
          <w:rFonts w:ascii="Times New Roman" w:hAnsi="Times New Roman"/>
          <w:i/>
          <w:iCs/>
        </w:rPr>
        <w:t xml:space="preserve">Federal Court of Australia Act </w:t>
      </w:r>
      <w:r w:rsidRPr="00F6514C">
        <w:rPr>
          <w:rFonts w:ascii="Times New Roman" w:hAnsi="Times New Roman"/>
        </w:rPr>
        <w:t>which does not contain the words "in the proceeding".</w:t>
      </w:r>
      <w:r w:rsidRPr="00F6514C">
        <w:rPr>
          <w:rStyle w:val="FootnoteReference"/>
          <w:rFonts w:ascii="Times New Roman" w:hAnsi="Times New Roman"/>
          <w:sz w:val="24"/>
        </w:rPr>
        <w:footnoteReference w:id="144"/>
      </w:r>
      <w:r w:rsidRPr="00F6514C">
        <w:rPr>
          <w:rFonts w:ascii="Times New Roman" w:hAnsi="Times New Roman"/>
        </w:rPr>
        <w:t xml:space="preserve">    </w:t>
      </w:r>
    </w:p>
    <w:p w14:paraId="54A965D2"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In relation to s 33</w:t>
      </w:r>
      <w:proofErr w:type="gramStart"/>
      <w:r w:rsidRPr="00F6514C">
        <w:rPr>
          <w:rFonts w:ascii="Times New Roman" w:hAnsi="Times New Roman"/>
        </w:rPr>
        <w:t>V(</w:t>
      </w:r>
      <w:proofErr w:type="gramEnd"/>
      <w:r w:rsidRPr="00F6514C">
        <w:rPr>
          <w:rFonts w:ascii="Times New Roman" w:hAnsi="Times New Roman"/>
        </w:rPr>
        <w:t xml:space="preserve">2) specifically, the respective appellants submitted that the word "distribution" was concerned only with payments to group members, in the same sense as "distribution" is used in ss 33M, 33Z and 33ZA. It was submitted, in different ways, that a "distribution" is concerned with giving effect to pre-existing entitlements rather than with creating new legal rights or new legal relationships that are not inter partes. In that respect, the respective appellants relied upon the statement in the Explanatory Memorandum for the legislation that introduced Pt IVA of the </w:t>
      </w:r>
      <w:r w:rsidRPr="00F6514C">
        <w:rPr>
          <w:rFonts w:ascii="Times New Roman" w:hAnsi="Times New Roman"/>
          <w:i/>
          <w:iCs/>
        </w:rPr>
        <w:t xml:space="preserve">Federal Court of Australia Act </w:t>
      </w:r>
      <w:r w:rsidRPr="00F6514C">
        <w:rPr>
          <w:rFonts w:ascii="Times New Roman" w:hAnsi="Times New Roman"/>
        </w:rPr>
        <w:t>that the provisions were not intended to confer "new legal rights".</w:t>
      </w:r>
      <w:r w:rsidRPr="00F6514C">
        <w:rPr>
          <w:rStyle w:val="FootnoteReference"/>
          <w:rFonts w:ascii="Times New Roman" w:hAnsi="Times New Roman"/>
          <w:sz w:val="24"/>
        </w:rPr>
        <w:footnoteReference w:id="145"/>
      </w:r>
      <w:r w:rsidRPr="00F6514C">
        <w:rPr>
          <w:rFonts w:ascii="Times New Roman" w:hAnsi="Times New Roman"/>
        </w:rPr>
        <w:t xml:space="preserve"> </w:t>
      </w:r>
    </w:p>
    <w:p w14:paraId="01B3F92B"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The word "distribution" cannot be confined in this way. Each of ss 33M, 33Z and 33ZA combines a reference to "distribution" with a reference to "group members". But the omission of any reference to "group members" in s 33V affords a wider scope for distribution. Most obviously, for example, the Court might order payment of some of the settlement funds to occur as a distribution to the administrator of the fund for the costs of administration. There is no basis to recognise an implication in s 33</w:t>
      </w:r>
      <w:proofErr w:type="gramStart"/>
      <w:r w:rsidRPr="00F6514C">
        <w:rPr>
          <w:rFonts w:ascii="Times New Roman" w:hAnsi="Times New Roman"/>
        </w:rPr>
        <w:t>V(</w:t>
      </w:r>
      <w:proofErr w:type="gramEnd"/>
      <w:r w:rsidRPr="00F6514C">
        <w:rPr>
          <w:rFonts w:ascii="Times New Roman" w:hAnsi="Times New Roman"/>
        </w:rPr>
        <w:t>2) confining "distribution" only to "group members".</w:t>
      </w:r>
    </w:p>
    <w:p w14:paraId="706A8BDC"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Nor is there any basis to accept the submission of the respective appellants that an explication of a meaning of the word "distribution" should confine the word's ambit to apply only to orders that give effect to payments based upon pre-existing legal rights and exclude orders that create new legal rights. There is some ambiguity in this submission since almost every legal order creates or changes legal rights. But it seems that the concept of impermissibly creating new legal rights was intended by the respective appellants to describe the creation by the Court of rights to a fund in favour of a party who had no pre-existing contractual entitlement to the fund.  </w:t>
      </w:r>
    </w:p>
    <w:p w14:paraId="42845B54"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The passage from the Explanatory Memorandum which refers to the absence of an intention to create "new legal rights" continues by saying that the </w:t>
      </w:r>
      <w:r w:rsidRPr="00F6514C">
        <w:rPr>
          <w:rFonts w:ascii="Times New Roman" w:hAnsi="Times New Roman"/>
        </w:rPr>
        <w:lastRenderedPageBreak/>
        <w:t>procedural reforms "build on the existing centuries old representative action procedure which is already available in the Federal Court and State and Territory Supreme Courts".</w:t>
      </w:r>
      <w:r w:rsidRPr="00F6514C">
        <w:rPr>
          <w:rStyle w:val="FootnoteReference"/>
          <w:rFonts w:ascii="Times New Roman" w:hAnsi="Times New Roman"/>
          <w:sz w:val="24"/>
        </w:rPr>
        <w:footnoteReference w:id="146"/>
      </w:r>
      <w:r w:rsidRPr="00F6514C">
        <w:rPr>
          <w:rStyle w:val="FootnoteReference"/>
          <w:rFonts w:ascii="Times New Roman" w:hAnsi="Times New Roman"/>
          <w:vertAlign w:val="baseline"/>
        </w:rPr>
        <w:t xml:space="preserve"> </w:t>
      </w:r>
      <w:r w:rsidRPr="00F6514C">
        <w:rPr>
          <w:rFonts w:ascii="Times New Roman" w:hAnsi="Times New Roman"/>
        </w:rPr>
        <w:t>Orders made in those centuries old representative action procedures created new legal rights in the same sense as the rights created by a CFO. For instance, the FEO, in its original form in decrees of the Court of Chancery,</w:t>
      </w:r>
      <w:r w:rsidRPr="00F6514C">
        <w:rPr>
          <w:rStyle w:val="FootnoteReference"/>
          <w:rFonts w:ascii="Times New Roman" w:hAnsi="Times New Roman"/>
          <w:sz w:val="24"/>
        </w:rPr>
        <w:footnoteReference w:id="147"/>
      </w:r>
      <w:r w:rsidRPr="00F6514C">
        <w:rPr>
          <w:rFonts w:ascii="Times New Roman" w:hAnsi="Times New Roman"/>
        </w:rPr>
        <w:t xml:space="preserve"> created new rights for solicitors against group members with whom they had no agreements. Equity has also long recognised powers to make orders for payment to a plaintiff from a common fund for the benefit of others where the fund had been realised by the work of </w:t>
      </w:r>
      <w:r>
        <w:rPr>
          <w:rFonts w:ascii="Times New Roman" w:hAnsi="Times New Roman"/>
        </w:rPr>
        <w:t>the</w:t>
      </w:r>
      <w:r w:rsidRPr="00F6514C">
        <w:rPr>
          <w:rFonts w:ascii="Times New Roman" w:hAnsi="Times New Roman"/>
        </w:rPr>
        <w:t xml:space="preserve"> plaintiff.</w:t>
      </w:r>
      <w:r w:rsidRPr="00F6514C">
        <w:rPr>
          <w:rStyle w:val="FootnoteReference"/>
          <w:rFonts w:ascii="Times New Roman" w:hAnsi="Times New Roman"/>
          <w:sz w:val="24"/>
        </w:rPr>
        <w:footnoteReference w:id="148"/>
      </w:r>
      <w:r w:rsidRPr="00F6514C">
        <w:rPr>
          <w:rFonts w:ascii="Times New Roman" w:hAnsi="Times New Roman"/>
        </w:rPr>
        <w:t xml:space="preserve"> The reference in the Explanatory Memorandum to the provisions of Pt IVA not conferring new legal rights must be understood as meaning that Pt IVA did not change the substantive law governing the issues joined between the parties to the dispute. </w:t>
      </w:r>
    </w:p>
    <w:p w14:paraId="6AB07F5A"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In relation to s 33Z(1)(g), the respective appellants, in particular Mr Shand, sought to confine the application of the words of that paragraph by reference to the unfortunately named</w:t>
      </w:r>
      <w:r w:rsidRPr="00F6514C">
        <w:rPr>
          <w:rStyle w:val="FootnoteReference"/>
          <w:rFonts w:ascii="Times New Roman" w:hAnsi="Times New Roman"/>
          <w:sz w:val="24"/>
        </w:rPr>
        <w:footnoteReference w:id="149"/>
      </w:r>
      <w:r w:rsidRPr="00F6514C">
        <w:rPr>
          <w:rFonts w:ascii="Times New Roman" w:hAnsi="Times New Roman"/>
        </w:rPr>
        <w:t xml:space="preserve"> "</w:t>
      </w:r>
      <w:r w:rsidRPr="00F6514C">
        <w:rPr>
          <w:rFonts w:ascii="Times New Roman" w:hAnsi="Times New Roman"/>
          <w:i/>
          <w:iCs/>
        </w:rPr>
        <w:t xml:space="preserve">Anthony Hordern </w:t>
      </w:r>
      <w:r w:rsidRPr="00F6514C">
        <w:rPr>
          <w:rFonts w:ascii="Times New Roman" w:hAnsi="Times New Roman"/>
        </w:rPr>
        <w:t>principle",</w:t>
      </w:r>
      <w:r w:rsidRPr="00F6514C">
        <w:rPr>
          <w:rStyle w:val="FootnoteReference"/>
          <w:rFonts w:ascii="Times New Roman" w:hAnsi="Times New Roman"/>
          <w:sz w:val="24"/>
        </w:rPr>
        <w:footnoteReference w:id="150"/>
      </w:r>
      <w:r w:rsidRPr="00F6514C">
        <w:rPr>
          <w:rFonts w:ascii="Times New Roman" w:hAnsi="Times New Roman"/>
        </w:rPr>
        <w:t xml:space="preserve"> which provides that one principle in the interpretation of a provision conferring a general power is that the provision should generally be interpreted so that it does not contradict the scope of an overlapping specific power in the same instrument. In other words, the so-called </w:t>
      </w:r>
      <w:r w:rsidRPr="00F6514C">
        <w:rPr>
          <w:rFonts w:ascii="Times New Roman" w:hAnsi="Times New Roman"/>
          <w:i/>
          <w:iCs/>
        </w:rPr>
        <w:t xml:space="preserve">Anthony Hordern </w:t>
      </w:r>
      <w:r w:rsidRPr="00F6514C">
        <w:rPr>
          <w:rFonts w:ascii="Times New Roman" w:hAnsi="Times New Roman"/>
        </w:rPr>
        <w:t>principle (that is, a specific power principle) is no more than an example of the ordinary language convention that general statements are not usually intended to contradict specific ones.</w:t>
      </w:r>
    </w:p>
    <w:p w14:paraId="101297BC"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The specific powers that Mr Shand submitted should confine the application of s 33Z(1)(g) were the powers to make inter partes orders in </w:t>
      </w:r>
      <w:r w:rsidRPr="00F6514C">
        <w:rPr>
          <w:rFonts w:ascii="Times New Roman" w:hAnsi="Times New Roman"/>
        </w:rPr>
        <w:lastRenderedPageBreak/>
        <w:t xml:space="preserve">ss 33Z(1)(a), 33Z(1)(b), 33Z(1)(c), 33Z(1)(d), 33Z(1)(e), 33Z(1)(f) and 33Z(2) of the </w:t>
      </w:r>
      <w:r w:rsidRPr="00F6514C">
        <w:rPr>
          <w:rFonts w:ascii="Times New Roman" w:hAnsi="Times New Roman"/>
          <w:i/>
          <w:iCs/>
        </w:rPr>
        <w:t>Federal Court of Australia Act</w:t>
      </w:r>
      <w:r w:rsidRPr="00F6514C">
        <w:rPr>
          <w:rFonts w:ascii="Times New Roman" w:hAnsi="Times New Roman"/>
        </w:rPr>
        <w:t>. Most pertinently, the latter</w:t>
      </w:r>
      <w:r w:rsidRPr="00F6514C">
        <w:rPr>
          <w:rFonts w:ascii="Times New Roman" w:hAnsi="Times New Roman"/>
          <w:i/>
          <w:iCs/>
        </w:rPr>
        <w:t xml:space="preserve"> </w:t>
      </w:r>
      <w:r w:rsidRPr="00F6514C">
        <w:rPr>
          <w:rFonts w:ascii="Times New Roman" w:hAnsi="Times New Roman"/>
        </w:rPr>
        <w:t>provides that "[</w:t>
      </w:r>
      <w:proofErr w:type="spellStart"/>
      <w:r w:rsidRPr="00F6514C">
        <w:rPr>
          <w:rFonts w:ascii="Times New Roman" w:hAnsi="Times New Roman"/>
        </w:rPr>
        <w:t>i</w:t>
      </w:r>
      <w:proofErr w:type="spellEnd"/>
      <w:r w:rsidRPr="00F6514C">
        <w:rPr>
          <w:rFonts w:ascii="Times New Roman" w:hAnsi="Times New Roman"/>
        </w:rPr>
        <w:t xml:space="preserve">]n making an order for an award of damages, the Court must make provision for the payment or distribution of the money to the group members entitled". This refers back to the specific powers in ss 33Z(1)(e) and 33Z(1)(f), which empower the Court respectively to "make an award of damages for group members ... being damages consisting of specified amounts or amounts worked out in such manner as the Court specifies" and to "award damages in an aggregate amount without specifying amounts awarded in respect of individual group members". </w:t>
      </w:r>
    </w:p>
    <w:p w14:paraId="3453BA53"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The simple answer to the submission about s 33</w:t>
      </w:r>
      <w:proofErr w:type="gramStart"/>
      <w:r w:rsidRPr="00F6514C">
        <w:rPr>
          <w:rFonts w:ascii="Times New Roman" w:hAnsi="Times New Roman"/>
        </w:rPr>
        <w:t>Z(</w:t>
      </w:r>
      <w:proofErr w:type="gramEnd"/>
      <w:r w:rsidRPr="00F6514C">
        <w:rPr>
          <w:rFonts w:ascii="Times New Roman" w:hAnsi="Times New Roman"/>
        </w:rPr>
        <w:t>2) is that s 33Z(2) is plainly not exhaustive. The specific powers in ss 33Z(1)(a) to 33Z(1)(f) do not exhaust the universe of monetary remedies in representative proceedings. For instance, orders for payment of a debt or for restitution of money based on a common law cause of action are remedies that fall only within s 33Z(1)(g). Even with respect to damages, s 33</w:t>
      </w:r>
      <w:proofErr w:type="gramStart"/>
      <w:r w:rsidRPr="00F6514C">
        <w:rPr>
          <w:rFonts w:ascii="Times New Roman" w:hAnsi="Times New Roman"/>
        </w:rPr>
        <w:t>Z(</w:t>
      </w:r>
      <w:proofErr w:type="gramEnd"/>
      <w:r w:rsidRPr="00F6514C">
        <w:rPr>
          <w:rFonts w:ascii="Times New Roman" w:hAnsi="Times New Roman"/>
        </w:rPr>
        <w:t>2) does not require that in every case the whole of the award of damages must be paid to group members. For instance, s 33</w:t>
      </w:r>
      <w:proofErr w:type="gramStart"/>
      <w:r w:rsidRPr="00F6514C">
        <w:rPr>
          <w:rFonts w:ascii="Times New Roman" w:hAnsi="Times New Roman"/>
        </w:rPr>
        <w:t>ZJ(</w:t>
      </w:r>
      <w:proofErr w:type="gramEnd"/>
      <w:r w:rsidRPr="00F6514C">
        <w:rPr>
          <w:rFonts w:ascii="Times New Roman" w:hAnsi="Times New Roman"/>
        </w:rPr>
        <w:t>2) empowers the Court to order payment from an award of damages of the whole or part of the excess of costs reasonably incurred by a person above the costs recoverable from the respondent by that person. Section 33Z(1)(g) might overlap with s 33</w:t>
      </w:r>
      <w:proofErr w:type="gramStart"/>
      <w:r w:rsidRPr="00F6514C">
        <w:rPr>
          <w:rFonts w:ascii="Times New Roman" w:hAnsi="Times New Roman"/>
        </w:rPr>
        <w:t>ZJ(</w:t>
      </w:r>
      <w:proofErr w:type="gramEnd"/>
      <w:r w:rsidRPr="00F6514C">
        <w:rPr>
          <w:rFonts w:ascii="Times New Roman" w:hAnsi="Times New Roman"/>
        </w:rPr>
        <w:t>2) but s 33Z(1)(g) is not confined by s 33ZJ(2), particularly since s 33ZJ(3) provides that on an application under s 33ZJ, "the Court may also make any other order it thinks just".</w:t>
      </w:r>
    </w:p>
    <w:p w14:paraId="0B1FD062"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For these reasons, ss 33</w:t>
      </w:r>
      <w:proofErr w:type="gramStart"/>
      <w:r w:rsidRPr="00F6514C">
        <w:rPr>
          <w:rFonts w:ascii="Times New Roman" w:hAnsi="Times New Roman"/>
        </w:rPr>
        <w:t>V(</w:t>
      </w:r>
      <w:proofErr w:type="gramEnd"/>
      <w:r w:rsidRPr="00F6514C">
        <w:rPr>
          <w:rFonts w:ascii="Times New Roman" w:hAnsi="Times New Roman"/>
        </w:rPr>
        <w:t xml:space="preserve">2) and 33Z(1)(g) of the </w:t>
      </w:r>
      <w:r w:rsidRPr="00F6514C">
        <w:rPr>
          <w:rFonts w:ascii="Times New Roman" w:hAnsi="Times New Roman"/>
          <w:i/>
          <w:iCs/>
        </w:rPr>
        <w:t xml:space="preserve">Federal Court of Australia Act </w:t>
      </w:r>
      <w:r w:rsidRPr="00F6514C">
        <w:rPr>
          <w:rFonts w:ascii="Times New Roman" w:hAnsi="Times New Roman"/>
        </w:rPr>
        <w:t xml:space="preserve">empower the Court to make a CFO on settlement or judgment.  </w:t>
      </w:r>
    </w:p>
    <w:p w14:paraId="5E89E4FD" w14:textId="77777777" w:rsidR="006F5E1E" w:rsidRPr="00F6514C" w:rsidRDefault="006F5E1E" w:rsidP="00F6514C">
      <w:pPr>
        <w:pStyle w:val="HeadingL1"/>
        <w:spacing w:after="260" w:line="280" w:lineRule="exact"/>
        <w:ind w:right="0"/>
        <w:jc w:val="both"/>
        <w:rPr>
          <w:rFonts w:ascii="Times New Roman" w:hAnsi="Times New Roman"/>
        </w:rPr>
      </w:pPr>
      <w:r w:rsidRPr="00F6514C">
        <w:rPr>
          <w:rFonts w:ascii="Times New Roman" w:hAnsi="Times New Roman"/>
        </w:rPr>
        <w:t>No power in New South Wales to make an SCFO that includes solicitors' costs</w:t>
      </w:r>
    </w:p>
    <w:p w14:paraId="6B22B040"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The respective appellants submitted that it was not "just" for an SCFO to be made in New South Wales under ss 33</w:t>
      </w:r>
      <w:proofErr w:type="gramStart"/>
      <w:r w:rsidRPr="00F6514C">
        <w:rPr>
          <w:rFonts w:ascii="Times New Roman" w:hAnsi="Times New Roman"/>
        </w:rPr>
        <w:t>V(</w:t>
      </w:r>
      <w:proofErr w:type="gramEnd"/>
      <w:r w:rsidRPr="00F6514C">
        <w:rPr>
          <w:rFonts w:ascii="Times New Roman" w:hAnsi="Times New Roman"/>
        </w:rPr>
        <w:t xml:space="preserve">2) and 33Z(1)(g) of the </w:t>
      </w:r>
      <w:r w:rsidRPr="00F6514C">
        <w:rPr>
          <w:rFonts w:ascii="Times New Roman" w:hAnsi="Times New Roman"/>
          <w:i/>
          <w:iCs/>
        </w:rPr>
        <w:t>Federal Court of Australia Act</w:t>
      </w:r>
      <w:r w:rsidRPr="00F6514C">
        <w:rPr>
          <w:rFonts w:ascii="Times New Roman" w:hAnsi="Times New Roman"/>
        </w:rPr>
        <w:t xml:space="preserve"> due to legislative prohibitions in New South Wales, most relevantly s 183 of the LPUL. The respective appellants relied upon an assertion of a "legislative intent that the ... power must be exercised conformably with applicable prohibitions and requirements of State law".</w:t>
      </w:r>
      <w:r w:rsidRPr="00F6514C">
        <w:rPr>
          <w:rStyle w:val="FootnoteReference"/>
          <w:rFonts w:ascii="Times New Roman" w:hAnsi="Times New Roman"/>
          <w:sz w:val="24"/>
        </w:rPr>
        <w:footnoteReference w:id="151"/>
      </w:r>
      <w:r w:rsidRPr="00F6514C">
        <w:rPr>
          <w:rFonts w:ascii="Times New Roman" w:hAnsi="Times New Roman"/>
        </w:rPr>
        <w:t xml:space="preserve"> This is not a matter of s 79 of the </w:t>
      </w:r>
      <w:r w:rsidRPr="00F6514C">
        <w:rPr>
          <w:rFonts w:ascii="Times New Roman" w:hAnsi="Times New Roman"/>
          <w:i/>
          <w:iCs/>
        </w:rPr>
        <w:t xml:space="preserve">Judiciary Act </w:t>
      </w:r>
      <w:r w:rsidRPr="00F6514C">
        <w:rPr>
          <w:rFonts w:ascii="Times New Roman" w:hAnsi="Times New Roman"/>
          <w:i/>
        </w:rPr>
        <w:t>1903</w:t>
      </w:r>
      <w:r w:rsidRPr="00F6514C">
        <w:rPr>
          <w:rFonts w:ascii="Times New Roman" w:hAnsi="Times New Roman"/>
        </w:rPr>
        <w:t xml:space="preserve"> (</w:t>
      </w:r>
      <w:proofErr w:type="spellStart"/>
      <w:r w:rsidRPr="00F6514C">
        <w:rPr>
          <w:rFonts w:ascii="Times New Roman" w:hAnsi="Times New Roman"/>
        </w:rPr>
        <w:t>Cth</w:t>
      </w:r>
      <w:proofErr w:type="spellEnd"/>
      <w:r w:rsidRPr="00F6514C">
        <w:rPr>
          <w:rFonts w:ascii="Times New Roman" w:hAnsi="Times New Roman"/>
        </w:rPr>
        <w:t>) picking up and applying s 183 of the LPUL as Commonwealth law. Rather it is a submission that the scope of what is "just" under ss 33</w:t>
      </w:r>
      <w:proofErr w:type="gramStart"/>
      <w:r w:rsidRPr="00F6514C">
        <w:rPr>
          <w:rFonts w:ascii="Times New Roman" w:hAnsi="Times New Roman"/>
        </w:rPr>
        <w:t>V(</w:t>
      </w:r>
      <w:proofErr w:type="gramEnd"/>
      <w:r w:rsidRPr="00F6514C">
        <w:rPr>
          <w:rFonts w:ascii="Times New Roman" w:hAnsi="Times New Roman"/>
        </w:rPr>
        <w:t xml:space="preserve">2) and 33Z(1)(g) must be determined, consistent with the context and purpose of those provisions, by reference to common law principle as well as the requirements of the relevant State law where those provisions are being applied. That submission should be accepted: "State and Territory schemes of regulation of the legal profession form part of the context in which federal jurisdiction is </w:t>
      </w:r>
      <w:proofErr w:type="gramStart"/>
      <w:r w:rsidRPr="00F6514C">
        <w:rPr>
          <w:rFonts w:ascii="Times New Roman" w:hAnsi="Times New Roman"/>
        </w:rPr>
        <w:t>exercised, and</w:t>
      </w:r>
      <w:proofErr w:type="gramEnd"/>
      <w:r w:rsidRPr="00F6514C">
        <w:rPr>
          <w:rFonts w:ascii="Times New Roman" w:hAnsi="Times New Roman"/>
        </w:rPr>
        <w:t xml:space="preserve"> have an impact upon the practical circumstances in which the rule </w:t>
      </w:r>
      <w:r w:rsidRPr="00F6514C">
        <w:rPr>
          <w:rFonts w:ascii="Times New Roman" w:hAnsi="Times New Roman"/>
        </w:rPr>
        <w:lastRenderedPageBreak/>
        <w:t>of law is maintained."</w:t>
      </w:r>
      <w:r w:rsidRPr="00F6514C">
        <w:rPr>
          <w:rStyle w:val="FootnoteReference"/>
          <w:rFonts w:ascii="Times New Roman" w:hAnsi="Times New Roman"/>
          <w:sz w:val="24"/>
        </w:rPr>
        <w:footnoteReference w:id="152"/>
      </w:r>
      <w:r w:rsidRPr="00F6514C">
        <w:rPr>
          <w:rFonts w:ascii="Times New Roman" w:hAnsi="Times New Roman"/>
        </w:rPr>
        <w:t xml:space="preserve"> As will be explained, the requirements of State law include both statutory provisions and statutory policy.   </w:t>
      </w:r>
    </w:p>
    <w:p w14:paraId="2CD06822"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In principle, there is no longer any reason why the powers to make a CFO upon settlement or judgment, respectively deriving from ss 33</w:t>
      </w:r>
      <w:proofErr w:type="gramStart"/>
      <w:r w:rsidRPr="00F6514C">
        <w:rPr>
          <w:rFonts w:ascii="Times New Roman" w:hAnsi="Times New Roman"/>
        </w:rPr>
        <w:t>V(</w:t>
      </w:r>
      <w:proofErr w:type="gramEnd"/>
      <w:r w:rsidRPr="00F6514C">
        <w:rPr>
          <w:rFonts w:ascii="Times New Roman" w:hAnsi="Times New Roman"/>
        </w:rPr>
        <w:t xml:space="preserve">2) and 33Z(1)(g) of the </w:t>
      </w:r>
      <w:r w:rsidRPr="00F6514C">
        <w:rPr>
          <w:rFonts w:ascii="Times New Roman" w:hAnsi="Times New Roman"/>
          <w:i/>
          <w:iCs/>
        </w:rPr>
        <w:t>Federal Court of Australia Act</w:t>
      </w:r>
      <w:r w:rsidRPr="00F6514C">
        <w:rPr>
          <w:rFonts w:ascii="Times New Roman" w:hAnsi="Times New Roman"/>
        </w:rPr>
        <w:t>,</w:t>
      </w:r>
      <w:r w:rsidRPr="00F6514C">
        <w:rPr>
          <w:rFonts w:ascii="Times New Roman" w:hAnsi="Times New Roman"/>
          <w:i/>
          <w:iCs/>
        </w:rPr>
        <w:t xml:space="preserve"> </w:t>
      </w:r>
      <w:r w:rsidRPr="00F6514C">
        <w:rPr>
          <w:rFonts w:ascii="Times New Roman" w:hAnsi="Times New Roman"/>
        </w:rPr>
        <w:t>cannot be exercised in favour of solicitors. Different views were taken in the 19th century. In 1896, reasoning of the Master of the Rolls was reported as follows:</w:t>
      </w:r>
      <w:r w:rsidRPr="00F6514C">
        <w:rPr>
          <w:rStyle w:val="FootnoteReference"/>
          <w:rFonts w:ascii="Times New Roman" w:hAnsi="Times New Roman"/>
          <w:sz w:val="24"/>
        </w:rPr>
        <w:footnoteReference w:id="153"/>
      </w:r>
    </w:p>
    <w:p w14:paraId="5237B4F2" w14:textId="77777777" w:rsidR="006F5E1E" w:rsidRDefault="006F5E1E" w:rsidP="00F6514C">
      <w:pPr>
        <w:pStyle w:val="LeftrightafterHC"/>
        <w:spacing w:before="0" w:after="260" w:line="280" w:lineRule="exact"/>
        <w:ind w:right="0"/>
        <w:jc w:val="both"/>
        <w:rPr>
          <w:rFonts w:ascii="Times New Roman" w:hAnsi="Times New Roman"/>
        </w:rPr>
      </w:pPr>
      <w:r w:rsidRPr="00F6514C">
        <w:rPr>
          <w:rFonts w:ascii="Times New Roman" w:hAnsi="Times New Roman"/>
        </w:rPr>
        <w:t xml:space="preserve">"In order to preserve the honour and honesty of the profession it was a rule of law which the Court had laid down and would always insist upon that a solicitor could not make an arrangement of any kind with his client during the litigation which he was conducting so as to give him any advantage in respect of the result of that litigation. That might be said to be on account of the fiduciary relation between the solicitor and the client. But the doctrine was founded upon a higher rule. The responsibility of persons engaged in the profession of the law was very great, and their conduct must be regulated by the most precise rules of honour. The Court thought that, unless the rule was carried out to its fullest extent, there would be a temptation to solicitors which they should not be subjected to." </w:t>
      </w:r>
    </w:p>
    <w:p w14:paraId="3E258487"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Times have changed. That so-called rule of law and the policy ideas that underpinned it were concerned with agreements between solicitors and clients for remuneration where the remuneration would be affected by the outcome of the client's litigation. The rule of law, as expressed, extended to prohibit even no-win-no-fee arrangements. This rule of law has been rejected in Australia. This rule of law supported the crimes and torts of maintenance and champerty. As Gummow, Hayne and Crennan JJ said in their comprehensive historical analysis of these crimes and torts in </w:t>
      </w:r>
      <w:r w:rsidRPr="00F6514C">
        <w:rPr>
          <w:rFonts w:ascii="Times New Roman" w:hAnsi="Times New Roman"/>
          <w:i/>
          <w:iCs/>
        </w:rPr>
        <w:t xml:space="preserve">Campbells Cash and Carry Pty Ltd v </w:t>
      </w:r>
      <w:proofErr w:type="spellStart"/>
      <w:r w:rsidRPr="00F6514C">
        <w:rPr>
          <w:rFonts w:ascii="Times New Roman" w:hAnsi="Times New Roman"/>
          <w:i/>
          <w:iCs/>
        </w:rPr>
        <w:t>Fostif</w:t>
      </w:r>
      <w:proofErr w:type="spellEnd"/>
      <w:r w:rsidRPr="00F6514C">
        <w:rPr>
          <w:rFonts w:ascii="Times New Roman" w:hAnsi="Times New Roman"/>
          <w:i/>
          <w:iCs/>
        </w:rPr>
        <w:t xml:space="preserve"> Pty Ltd</w:t>
      </w:r>
      <w:r w:rsidRPr="00F6514C">
        <w:rPr>
          <w:rFonts w:ascii="Times New Roman" w:hAnsi="Times New Roman"/>
        </w:rPr>
        <w:t>:</w:t>
      </w:r>
      <w:r w:rsidRPr="00F6514C">
        <w:rPr>
          <w:rStyle w:val="FootnoteReference"/>
          <w:rFonts w:ascii="Times New Roman" w:hAnsi="Times New Roman"/>
          <w:sz w:val="24"/>
        </w:rPr>
        <w:footnoteReference w:id="154"/>
      </w:r>
      <w:r w:rsidRPr="00F6514C">
        <w:rPr>
          <w:rFonts w:ascii="Times New Roman" w:hAnsi="Times New Roman"/>
        </w:rPr>
        <w:t xml:space="preserve"> </w:t>
      </w:r>
    </w:p>
    <w:p w14:paraId="4059F600" w14:textId="77777777" w:rsidR="006F5E1E" w:rsidRDefault="006F5E1E" w:rsidP="00F6514C">
      <w:pPr>
        <w:pStyle w:val="LeftrightafterHC"/>
        <w:spacing w:before="0" w:after="260" w:line="280" w:lineRule="exact"/>
        <w:ind w:right="0"/>
        <w:jc w:val="both"/>
        <w:rPr>
          <w:rFonts w:ascii="Times New Roman" w:hAnsi="Times New Roman"/>
        </w:rPr>
      </w:pPr>
      <w:r w:rsidRPr="00F6514C">
        <w:rPr>
          <w:rFonts w:ascii="Times New Roman" w:hAnsi="Times New Roman"/>
        </w:rPr>
        <w:t xml:space="preserve">"Maintenance is the act of assisting the plaintiff in any legal proceeding in which the person giving the assistance has no valuable interest, or in which he acts from any improper motive. Champerty is maintenance in which the motive of the </w:t>
      </w:r>
      <w:proofErr w:type="spellStart"/>
      <w:r w:rsidRPr="00F6514C">
        <w:rPr>
          <w:rFonts w:ascii="Times New Roman" w:hAnsi="Times New Roman"/>
        </w:rPr>
        <w:t>maintainor</w:t>
      </w:r>
      <w:proofErr w:type="spellEnd"/>
      <w:r w:rsidRPr="00F6514C">
        <w:rPr>
          <w:rFonts w:ascii="Times New Roman" w:hAnsi="Times New Roman"/>
        </w:rPr>
        <w:t xml:space="preserve"> is an agreement that if the proceeding in which the maintenance takes place succeeds, the subject matter of the suit shall be divided between the plaintiff and the </w:t>
      </w:r>
      <w:proofErr w:type="spellStart"/>
      <w:r w:rsidRPr="00F6514C">
        <w:rPr>
          <w:rFonts w:ascii="Times New Roman" w:hAnsi="Times New Roman"/>
        </w:rPr>
        <w:t>maintainor</w:t>
      </w:r>
      <w:proofErr w:type="spellEnd"/>
      <w:r w:rsidRPr="00F6514C">
        <w:rPr>
          <w:rFonts w:ascii="Times New Roman" w:hAnsi="Times New Roman"/>
        </w:rPr>
        <w:t>."</w:t>
      </w:r>
    </w:p>
    <w:p w14:paraId="563F385D"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lastRenderedPageBreak/>
        <w:tab/>
        <w:t>The crimes and torts of maintenance and champerty, and the rule supporting them, were always unstable and "[b]y the early twentieth century, the law of maintenance and champerty depended upon the application of qualifications and exceptions hinged, for the most part, about what was an item of property as distinct from a bare right to litigate".</w:t>
      </w:r>
      <w:r w:rsidRPr="00F6514C">
        <w:rPr>
          <w:rStyle w:val="FootnoteReference"/>
          <w:rFonts w:ascii="Times New Roman" w:hAnsi="Times New Roman"/>
          <w:sz w:val="24"/>
        </w:rPr>
        <w:footnoteReference w:id="155"/>
      </w:r>
      <w:r w:rsidRPr="00F6514C">
        <w:rPr>
          <w:rFonts w:ascii="Times New Roman" w:hAnsi="Times New Roman"/>
        </w:rPr>
        <w:t xml:space="preserve"> In 1960, this Court described a no-win-no-fee agreement as one that might be reached, in appropriate circumstances, "with perfect propriety", although there remained at that time a prohibition against remuneration in proportion with the amount recovered in the litigation.</w:t>
      </w:r>
      <w:r w:rsidRPr="00F6514C">
        <w:rPr>
          <w:rStyle w:val="FootnoteReference"/>
          <w:rFonts w:ascii="Times New Roman" w:hAnsi="Times New Roman"/>
          <w:sz w:val="24"/>
        </w:rPr>
        <w:footnoteReference w:id="156"/>
      </w:r>
      <w:r w:rsidRPr="00F6514C">
        <w:rPr>
          <w:rFonts w:ascii="Times New Roman" w:hAnsi="Times New Roman"/>
        </w:rPr>
        <w:t xml:space="preserve"> But, in principle, the solicitor is interested in the outcome of the litigation in cases of no-win-no-fee as well as cases where remuneration is expressed to be on the basis of a proportion of the amount recovered in the litigation.</w:t>
      </w:r>
    </w:p>
    <w:p w14:paraId="526223DF"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Relevantly to New South Wales, in 1993 legislation was enacted which abolished the crimes and torts of maintenance and champerty.</w:t>
      </w:r>
      <w:r w:rsidRPr="00F6514C">
        <w:rPr>
          <w:rStyle w:val="FootnoteReference"/>
          <w:rFonts w:ascii="Times New Roman" w:hAnsi="Times New Roman"/>
          <w:sz w:val="24"/>
        </w:rPr>
        <w:footnoteReference w:id="157"/>
      </w:r>
      <w:r w:rsidRPr="00F6514C">
        <w:rPr>
          <w:rFonts w:ascii="Times New Roman" w:hAnsi="Times New Roman"/>
        </w:rPr>
        <w:t xml:space="preserve"> Although that legislation did not affect contracts that were contrary to public policy or otherwise illegal,</w:t>
      </w:r>
      <w:r w:rsidRPr="00F6514C">
        <w:rPr>
          <w:rStyle w:val="FootnoteReference"/>
          <w:rFonts w:ascii="Times New Roman" w:hAnsi="Times New Roman"/>
          <w:sz w:val="24"/>
        </w:rPr>
        <w:footnoteReference w:id="158"/>
      </w:r>
      <w:r w:rsidRPr="00F6514C">
        <w:rPr>
          <w:rFonts w:ascii="Times New Roman" w:hAnsi="Times New Roman"/>
        </w:rPr>
        <w:t xml:space="preserve"> the abolition of the crimes and torts of maintenance and champerty left no room for a "wider rule of law" or "wider rule of public policy" that included, without more, a policy against maintenance or champerty.</w:t>
      </w:r>
      <w:r w:rsidRPr="00F6514C">
        <w:rPr>
          <w:rStyle w:val="FootnoteReference"/>
          <w:rFonts w:ascii="Times New Roman" w:hAnsi="Times New Roman"/>
          <w:sz w:val="24"/>
        </w:rPr>
        <w:footnoteReference w:id="159"/>
      </w:r>
      <w:r w:rsidRPr="00F6514C">
        <w:rPr>
          <w:rFonts w:ascii="Times New Roman" w:hAnsi="Times New Roman"/>
        </w:rPr>
        <w:t xml:space="preserve"> As the Full Court of the Federal Court said in this case:</w:t>
      </w:r>
      <w:r w:rsidRPr="00F6514C">
        <w:rPr>
          <w:rStyle w:val="FootnoteReference"/>
          <w:rFonts w:ascii="Times New Roman" w:hAnsi="Times New Roman"/>
          <w:sz w:val="24"/>
        </w:rPr>
        <w:footnoteReference w:id="160"/>
      </w:r>
    </w:p>
    <w:p w14:paraId="1A0704EB" w14:textId="77777777" w:rsidR="006F5E1E" w:rsidRDefault="006F5E1E" w:rsidP="00F6514C">
      <w:pPr>
        <w:pStyle w:val="LeftrightafterHC"/>
        <w:spacing w:before="0" w:after="260" w:line="280" w:lineRule="exact"/>
        <w:ind w:right="0"/>
        <w:jc w:val="both"/>
        <w:rPr>
          <w:rFonts w:ascii="Times New Roman" w:hAnsi="Times New Roman"/>
        </w:rPr>
      </w:pPr>
      <w:r w:rsidRPr="00F6514C">
        <w:rPr>
          <w:rFonts w:ascii="Times New Roman" w:hAnsi="Times New Roman"/>
        </w:rPr>
        <w:t>"[B]y a series of faltering steps, we have reached the position where open class proceedings grouping the claims of all persons affected by an alleged wrong are now the norm and there is a mature competitive market in which funders and solicitors are in competition for carriage of class actions which they subjectively perceive as having prospects of success (and hence bring the prospect of delivering a commercial return). This is the world any considerations based on public policy must now confront."</w:t>
      </w:r>
    </w:p>
    <w:p w14:paraId="1A547C39"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lastRenderedPageBreak/>
        <w:tab/>
        <w:t>Nevertheless, in a "cognate measure"</w:t>
      </w:r>
      <w:r w:rsidRPr="00F6514C">
        <w:rPr>
          <w:rStyle w:val="FootnoteReference"/>
          <w:rFonts w:ascii="Times New Roman" w:hAnsi="Times New Roman"/>
          <w:sz w:val="24"/>
        </w:rPr>
        <w:footnoteReference w:id="161"/>
      </w:r>
      <w:r w:rsidRPr="00F6514C">
        <w:rPr>
          <w:rFonts w:ascii="Times New Roman" w:hAnsi="Times New Roman"/>
        </w:rPr>
        <w:t xml:space="preserve"> to the legislative abolition of maintenance and champerty in 1993, the New South Wales Parliament enacted legislation which included a precursor to what is now s 183 of the LPUL.</w:t>
      </w:r>
      <w:r w:rsidRPr="00F6514C">
        <w:rPr>
          <w:rStyle w:val="FootnoteReference"/>
          <w:rFonts w:ascii="Times New Roman" w:hAnsi="Times New Roman"/>
          <w:sz w:val="24"/>
        </w:rPr>
        <w:footnoteReference w:id="162"/>
      </w:r>
      <w:r w:rsidRPr="00F6514C">
        <w:rPr>
          <w:rFonts w:ascii="Times New Roman" w:hAnsi="Times New Roman"/>
        </w:rPr>
        <w:t xml:space="preserve"> The Explanatory Note that accompanied the Bill containing the precursor provision explained that conditional costs agreements would be allowed but "fees may not be charged as a proportion of an amount recovered".</w:t>
      </w:r>
      <w:r w:rsidRPr="00F6514C">
        <w:rPr>
          <w:rStyle w:val="FootnoteReference"/>
          <w:rFonts w:ascii="Times New Roman" w:hAnsi="Times New Roman"/>
          <w:sz w:val="24"/>
        </w:rPr>
        <w:footnoteReference w:id="163"/>
      </w:r>
      <w:r w:rsidRPr="00F6514C">
        <w:rPr>
          <w:rFonts w:ascii="Times New Roman" w:hAnsi="Times New Roman"/>
        </w:rPr>
        <w:t xml:space="preserve"> In the second reading debate for the precursor legislation, the Shadow Minister for Family, Community and Disability Services, the Hon R D Dyer, said:</w:t>
      </w:r>
      <w:r w:rsidRPr="00F6514C">
        <w:rPr>
          <w:rStyle w:val="FootnoteReference"/>
          <w:rFonts w:ascii="Times New Roman" w:hAnsi="Times New Roman"/>
          <w:sz w:val="24"/>
        </w:rPr>
        <w:footnoteReference w:id="164"/>
      </w:r>
    </w:p>
    <w:p w14:paraId="362E49CF" w14:textId="77777777" w:rsidR="006F5E1E" w:rsidRDefault="006F5E1E" w:rsidP="00F6514C">
      <w:pPr>
        <w:pStyle w:val="LeftrightafterHC"/>
        <w:spacing w:before="0" w:after="260" w:line="280" w:lineRule="exact"/>
        <w:ind w:right="0"/>
        <w:jc w:val="both"/>
        <w:rPr>
          <w:rFonts w:ascii="Times New Roman" w:hAnsi="Times New Roman"/>
        </w:rPr>
      </w:pPr>
      <w:r w:rsidRPr="00F6514C">
        <w:rPr>
          <w:rFonts w:ascii="Times New Roman" w:hAnsi="Times New Roman"/>
        </w:rPr>
        <w:t xml:space="preserve">"In the United States of </w:t>
      </w:r>
      <w:proofErr w:type="gramStart"/>
      <w:r w:rsidRPr="00F6514C">
        <w:rPr>
          <w:rFonts w:ascii="Times New Roman" w:hAnsi="Times New Roman"/>
        </w:rPr>
        <w:t>America</w:t>
      </w:r>
      <w:proofErr w:type="gramEnd"/>
      <w:r w:rsidRPr="00F6514C">
        <w:rPr>
          <w:rFonts w:ascii="Times New Roman" w:hAnsi="Times New Roman"/>
        </w:rPr>
        <w:t xml:space="preserve"> it is possible to take a slice of the action, so to speak – it is quite common for that to happen. However, it is not the view of the Government or the Opposition that that should be contemplated in this State ... It is necessary for this cognate legislation to be introduced because there is a provision in the main measure to the effect that it is permissible for a legal practitioner and his client to enter into a conditional cost agreement, that is, an agreement where a fee is payable only if the matter is successful. In those circumstances, the legal practitioner is permitted to charge a premium of up to 25 per cent above the normal cost that would be payable. However – and this is a very important gloss on that doctrine – fees may not be charged as a proportion of the amount recovered. That will continue to amount to champerty, a slice of the action. But to the extent that the law is now to provide that a conditional cost agreement can permit a fee payable, encompassing a premium up to 25 per cent, it is necessary for this cognate measure to be brought before the House." </w:t>
      </w:r>
    </w:p>
    <w:p w14:paraId="28D25F65"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Section 183(1) of the LPUL, which is the successor to the relevant provision in that cognate 1993 legislation,</w:t>
      </w:r>
      <w:r w:rsidRPr="00F6514C">
        <w:rPr>
          <w:rFonts w:ascii="Times New Roman" w:hAnsi="Times New Roman"/>
          <w:i/>
          <w:iCs/>
        </w:rPr>
        <w:t xml:space="preserve"> </w:t>
      </w:r>
      <w:r w:rsidRPr="00F6514C">
        <w:rPr>
          <w:rFonts w:ascii="Times New Roman" w:hAnsi="Times New Roman"/>
        </w:rPr>
        <w:t>provides as follows:</w:t>
      </w:r>
    </w:p>
    <w:p w14:paraId="29A26D53" w14:textId="77777777" w:rsidR="006F5E1E" w:rsidRDefault="006F5E1E" w:rsidP="00F6514C">
      <w:pPr>
        <w:pStyle w:val="LeftrightafterHC"/>
        <w:spacing w:before="0" w:after="260" w:line="280" w:lineRule="exact"/>
        <w:ind w:right="0"/>
        <w:jc w:val="both"/>
        <w:rPr>
          <w:rFonts w:ascii="Times New Roman" w:hAnsi="Times New Roman"/>
        </w:rPr>
      </w:pPr>
      <w:r w:rsidRPr="00F6514C">
        <w:rPr>
          <w:rFonts w:ascii="Times New Roman" w:hAnsi="Times New Roman"/>
        </w:rPr>
        <w:t xml:space="preserve">"A law practice must not enter into a costs agreement under which the amount payable to the law practice, or any part of that amount, is calculated by reference to the amount of any award or settlement or the value of any property that may be recovered in any proceedings to which the agreement relates." </w:t>
      </w:r>
    </w:p>
    <w:p w14:paraId="5748D581"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lastRenderedPageBreak/>
        <w:tab/>
        <w:t xml:space="preserve">The civil penalty for a contravention of s 183(1) is 100 penalty units. Further, by s 183(3), a contravention "by a law practice is capable of constituting unsatisfactory professional conduct or professional misconduct on the part of any principal of the law practice or any legal practitioner associate or foreign lawyer associate involved in the contravention". </w:t>
      </w:r>
    </w:p>
    <w:p w14:paraId="2033933A"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Section 183 is contained within Div 4 of Pt 4.3 of the LPUL, entitled "Costs agreements". That Division regulates costs agreements, including, in ss 181 and 182, "conditional costs agreements". A conditional costs agreement, by s 181(1), "may provide that the payment of some or all of the legal costs is conditional on the successful outcome of the matter to which those costs relate" and, by s 182, may provide for the payment of an "uplift fee" which "must not exceed 25% of the legal costs (excluding disbursements) otherwise payable".</w:t>
      </w:r>
    </w:p>
    <w:p w14:paraId="75A3D7FB"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In reasoning upon which the Class Action Applicants relied in these appeals, the Full Court held that s 183 did not prohibit the making of an SCFO because the SCFO would be an order of the Court, not an agreement between the parties; any payment made would not be under a costs agreement but would be pursuant to the court order.</w:t>
      </w:r>
      <w:r w:rsidRPr="00F6514C">
        <w:rPr>
          <w:rStyle w:val="FootnoteReference"/>
          <w:rFonts w:ascii="Times New Roman" w:hAnsi="Times New Roman"/>
          <w:sz w:val="24"/>
        </w:rPr>
        <w:footnoteReference w:id="165"/>
      </w:r>
      <w:r w:rsidRPr="00F6514C">
        <w:rPr>
          <w:rFonts w:ascii="Times New Roman" w:hAnsi="Times New Roman"/>
        </w:rPr>
        <w:t xml:space="preserve"> That reasoning should be accepted. It can immediately be accepted that the policy concern of the New South Wales Parliament was to prevent a law practice receiving contingency fees as a proportion of a client's recovery in litigation. But the </w:t>
      </w:r>
      <w:proofErr w:type="gramStart"/>
      <w:r w:rsidRPr="00F6514C">
        <w:rPr>
          <w:rFonts w:ascii="Times New Roman" w:hAnsi="Times New Roman"/>
        </w:rPr>
        <w:t>manner in which</w:t>
      </w:r>
      <w:proofErr w:type="gramEnd"/>
      <w:r w:rsidRPr="00F6514C">
        <w:rPr>
          <w:rFonts w:ascii="Times New Roman" w:hAnsi="Times New Roman"/>
        </w:rPr>
        <w:t xml:space="preserve"> that policy was sought to be vindicated was by the regulation of costs agreements. Indeed, the relevant objectives of Pt 4.3 of the LPUL concerning the costs agreement provisions are to ensure that clients of law practices can make informed choices about their legal options, and the costs associated with pursuing those options, and "to provide that law practices must not charge more than fair and reasonable amounts for legal costs".</w:t>
      </w:r>
      <w:r w:rsidRPr="00F6514C">
        <w:rPr>
          <w:rStyle w:val="FootnoteReference"/>
          <w:rFonts w:ascii="Times New Roman" w:hAnsi="Times New Roman"/>
          <w:sz w:val="24"/>
        </w:rPr>
        <w:footnoteReference w:id="166"/>
      </w:r>
    </w:p>
    <w:p w14:paraId="29A1B611"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r>
      <w:proofErr w:type="gramStart"/>
      <w:r w:rsidRPr="00F6514C">
        <w:rPr>
          <w:rFonts w:ascii="Times New Roman" w:hAnsi="Times New Roman"/>
        </w:rPr>
        <w:t>In particular, it</w:t>
      </w:r>
      <w:proofErr w:type="gramEnd"/>
      <w:r w:rsidRPr="00F6514C">
        <w:rPr>
          <w:rFonts w:ascii="Times New Roman" w:hAnsi="Times New Roman"/>
        </w:rPr>
        <w:t xml:space="preserve"> would require s 183(1) to be rewritten for the terms of that provision to prohibit an agreement to make an application to a court for an SCFO. Such an agreement is not "a costs agreement under which the amount payable ... is calculated ...". If a court makes an SCFO, the amount payable is "under" the court order in the broad and ordinary sense that it is "governed, controlled, or bound by; in accordance with" the court order.</w:t>
      </w:r>
      <w:r w:rsidRPr="00F6514C">
        <w:rPr>
          <w:rStyle w:val="FootnoteReference"/>
          <w:rFonts w:ascii="Times New Roman" w:hAnsi="Times New Roman"/>
          <w:sz w:val="24"/>
        </w:rPr>
        <w:footnoteReference w:id="167"/>
      </w:r>
      <w:r w:rsidRPr="00F6514C">
        <w:rPr>
          <w:rFonts w:ascii="Times New Roman" w:hAnsi="Times New Roman"/>
        </w:rPr>
        <w:t xml:space="preserve"> It is not, in anything other than </w:t>
      </w:r>
      <w:r w:rsidRPr="00F6514C">
        <w:rPr>
          <w:rFonts w:ascii="Times New Roman" w:hAnsi="Times New Roman"/>
        </w:rPr>
        <w:lastRenderedPageBreak/>
        <w:t>the most attenuated sense,</w:t>
      </w:r>
      <w:r w:rsidRPr="00F6514C">
        <w:rPr>
          <w:rStyle w:val="FootnoteReference"/>
          <w:rFonts w:ascii="Times New Roman" w:hAnsi="Times New Roman"/>
          <w:sz w:val="24"/>
        </w:rPr>
        <w:footnoteReference w:id="168"/>
      </w:r>
      <w:r w:rsidRPr="00F6514C">
        <w:rPr>
          <w:rFonts w:ascii="Times New Roman" w:hAnsi="Times New Roman"/>
        </w:rPr>
        <w:t xml:space="preserve"> "under" the agreement to make an application to the court. If there is power for a court to make an SCFO, then any agreement to seek an SCFO creates no "amount payable"; nor does it say anything about how that amount payable is calculated. </w:t>
      </w:r>
    </w:p>
    <w:p w14:paraId="3BD263A5"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 xml:space="preserve">Of course, the meaning of a provision is not confined by the semantic content of its words where the intention of Parliament is sufficiently clear. But although the New South Wales Parliament had a broad policy of prohibiting contingency fees, that policy was vindicated through a prohibition upon terms of costs agreements, not upon agreements to seek orders to that effect from a court. The policy was vindicated by proscribing </w:t>
      </w:r>
      <w:proofErr w:type="gramStart"/>
      <w:r w:rsidRPr="00F6514C">
        <w:rPr>
          <w:rFonts w:ascii="Times New Roman" w:hAnsi="Times New Roman"/>
        </w:rPr>
        <w:t>particular terms</w:t>
      </w:r>
      <w:proofErr w:type="gramEnd"/>
      <w:r w:rsidRPr="00F6514C">
        <w:rPr>
          <w:rFonts w:ascii="Times New Roman" w:hAnsi="Times New Roman"/>
        </w:rPr>
        <w:t xml:space="preserve"> (however expressed) of a costs agreement ("under which the amount payable ..."), and by enforcing that proscription by the threat of a civil penalty of 100 penalty units and the possibility of findings of unsatisfactory professional conduct or professional misconduct.     </w:t>
      </w:r>
    </w:p>
    <w:p w14:paraId="114596FF"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Although an agreement to apply to a court for an SCFO does not fall within the terms of s 183, there is an immediate tension between the clear policy of s 183 (to prohibit contingency fees) and the process by which the SCFO in this case is proposed to be sought. As the respective appellants correctly submitted, the "implicit legislative policy" is one "tending against the payment of contingency fees". The scope of what is "just" under ss 33</w:t>
      </w:r>
      <w:proofErr w:type="gramStart"/>
      <w:r w:rsidRPr="00F6514C">
        <w:rPr>
          <w:rFonts w:ascii="Times New Roman" w:hAnsi="Times New Roman"/>
        </w:rPr>
        <w:t>V(</w:t>
      </w:r>
      <w:proofErr w:type="gramEnd"/>
      <w:r w:rsidRPr="00F6514C">
        <w:rPr>
          <w:rFonts w:ascii="Times New Roman" w:hAnsi="Times New Roman"/>
        </w:rPr>
        <w:t xml:space="preserve">2) and 33Z(1)(g) of the </w:t>
      </w:r>
      <w:r w:rsidRPr="00F6514C">
        <w:rPr>
          <w:rFonts w:ascii="Times New Roman" w:hAnsi="Times New Roman"/>
          <w:i/>
          <w:iCs/>
        </w:rPr>
        <w:t xml:space="preserve">Federal Court of Australia Act </w:t>
      </w:r>
      <w:r w:rsidRPr="00F6514C">
        <w:rPr>
          <w:rFonts w:ascii="Times New Roman" w:hAnsi="Times New Roman"/>
        </w:rPr>
        <w:t>is broad, and is not confined by the terms of the legislation of the State or Territory in which the concept of justice is applied. However, the application of justice, and thus the scope of what is "just", must also respect the policy of such legislation. Whether this dimension of justice is described as the "policy of the law" independent of any "express or implied prohibition in the statute itself"</w:t>
      </w:r>
      <w:r w:rsidRPr="00F6514C">
        <w:rPr>
          <w:rStyle w:val="FootnoteReference"/>
          <w:rFonts w:ascii="Times New Roman" w:hAnsi="Times New Roman"/>
          <w:sz w:val="24"/>
        </w:rPr>
        <w:footnoteReference w:id="169"/>
      </w:r>
      <w:r w:rsidRPr="00F6514C">
        <w:rPr>
          <w:rFonts w:ascii="Times New Roman" w:hAnsi="Times New Roman"/>
        </w:rPr>
        <w:t xml:space="preserve"> or as the "coherence" of the law,</w:t>
      </w:r>
      <w:r w:rsidRPr="00F6514C">
        <w:rPr>
          <w:rStyle w:val="FootnoteReference"/>
          <w:rFonts w:ascii="Times New Roman" w:hAnsi="Times New Roman"/>
          <w:sz w:val="24"/>
        </w:rPr>
        <w:footnoteReference w:id="170"/>
      </w:r>
      <w:r w:rsidRPr="00F6514C">
        <w:rPr>
          <w:rFonts w:ascii="Times New Roman" w:hAnsi="Times New Roman"/>
        </w:rPr>
        <w:t xml:space="preserve"> that policy can have substantive effect in shaping legal rules, particularly where "the statutory purpose is protective of a class of persons".</w:t>
      </w:r>
      <w:r w:rsidRPr="00F6514C">
        <w:rPr>
          <w:rStyle w:val="FootnoteReference"/>
          <w:rFonts w:ascii="Times New Roman" w:hAnsi="Times New Roman"/>
          <w:sz w:val="24"/>
        </w:rPr>
        <w:footnoteReference w:id="171"/>
      </w:r>
      <w:r w:rsidRPr="00F6514C">
        <w:rPr>
          <w:rFonts w:ascii="Times New Roman" w:hAnsi="Times New Roman"/>
        </w:rPr>
        <w:t xml:space="preserve"> The manner in which considerations of coherence are raised in this case concerns consistency between, on the one hand, the "underlying </w:t>
      </w:r>
      <w:r w:rsidRPr="00F6514C">
        <w:rPr>
          <w:rFonts w:ascii="Times New Roman" w:hAnsi="Times New Roman"/>
        </w:rPr>
        <w:lastRenderedPageBreak/>
        <w:t>normative reasons or justifications"</w:t>
      </w:r>
      <w:r w:rsidRPr="00F6514C">
        <w:rPr>
          <w:rStyle w:val="FootnoteReference"/>
          <w:rFonts w:ascii="Times New Roman" w:hAnsi="Times New Roman"/>
          <w:sz w:val="24"/>
        </w:rPr>
        <w:footnoteReference w:id="172"/>
      </w:r>
      <w:r w:rsidRPr="00F6514C">
        <w:rPr>
          <w:rFonts w:ascii="Times New Roman" w:hAnsi="Times New Roman"/>
        </w:rPr>
        <w:t xml:space="preserve"> adopted by the New South Wales Parliament in regulating costs agreements and, on the other hand, the application of open-textured provisions of Commonwealth legislation by reference to justice in New South Wales. </w:t>
      </w:r>
    </w:p>
    <w:p w14:paraId="35BE7740" w14:textId="77777777" w:rsidR="006F5E1E" w:rsidRPr="00F6514C" w:rsidRDefault="006F5E1E" w:rsidP="00F6514C">
      <w:pPr>
        <w:pStyle w:val="FixListStyle"/>
        <w:spacing w:after="260" w:line="280" w:lineRule="exact"/>
        <w:ind w:right="0"/>
        <w:jc w:val="both"/>
        <w:rPr>
          <w:rFonts w:ascii="Times New Roman" w:hAnsi="Times New Roman"/>
        </w:rPr>
      </w:pPr>
      <w:r w:rsidRPr="00F6514C">
        <w:rPr>
          <w:rFonts w:ascii="Times New Roman" w:hAnsi="Times New Roman"/>
        </w:rPr>
        <w:tab/>
        <w:t>A coherent application in New South Wales</w:t>
      </w:r>
      <w:r w:rsidRPr="00F6514C">
        <w:rPr>
          <w:rStyle w:val="FootnoteReference"/>
          <w:rFonts w:ascii="Times New Roman" w:hAnsi="Times New Roman"/>
          <w:sz w:val="24"/>
        </w:rPr>
        <w:footnoteReference w:id="173"/>
      </w:r>
      <w:r w:rsidRPr="00F6514C">
        <w:rPr>
          <w:rFonts w:ascii="Times New Roman" w:hAnsi="Times New Roman"/>
        </w:rPr>
        <w:t xml:space="preserve"> of the policy upon which the terms, in context, of s 183 of the LPUL are based precludes the broad concept of justice in ss 33</w:t>
      </w:r>
      <w:proofErr w:type="gramStart"/>
      <w:r w:rsidRPr="00F6514C">
        <w:rPr>
          <w:rFonts w:ascii="Times New Roman" w:hAnsi="Times New Roman"/>
        </w:rPr>
        <w:t>V(</w:t>
      </w:r>
      <w:proofErr w:type="gramEnd"/>
      <w:r w:rsidRPr="00F6514C">
        <w:rPr>
          <w:rFonts w:ascii="Times New Roman" w:hAnsi="Times New Roman"/>
        </w:rPr>
        <w:t xml:space="preserve">2) and 33Z(1)(g) of the </w:t>
      </w:r>
      <w:r w:rsidRPr="00F6514C">
        <w:rPr>
          <w:rFonts w:ascii="Times New Roman" w:hAnsi="Times New Roman"/>
          <w:i/>
          <w:iCs/>
        </w:rPr>
        <w:t>Federal Court of Australia Act</w:t>
      </w:r>
      <w:r w:rsidRPr="00F6514C">
        <w:rPr>
          <w:rFonts w:ascii="Times New Roman" w:hAnsi="Times New Roman"/>
        </w:rPr>
        <w:t xml:space="preserve"> from empowering the Federal Court to make an SCFO. </w:t>
      </w:r>
    </w:p>
    <w:p w14:paraId="66F19815" w14:textId="77777777" w:rsidR="006F5E1E" w:rsidRPr="00F6514C" w:rsidRDefault="006F5E1E" w:rsidP="00F6514C">
      <w:pPr>
        <w:pStyle w:val="HeadingL1"/>
        <w:spacing w:after="260" w:line="280" w:lineRule="exact"/>
        <w:ind w:right="0"/>
        <w:jc w:val="both"/>
        <w:rPr>
          <w:rFonts w:ascii="Times New Roman" w:hAnsi="Times New Roman"/>
        </w:rPr>
      </w:pPr>
      <w:r w:rsidRPr="00F6514C">
        <w:rPr>
          <w:rFonts w:ascii="Times New Roman" w:hAnsi="Times New Roman"/>
        </w:rPr>
        <w:t>Conclusion</w:t>
      </w:r>
    </w:p>
    <w:p w14:paraId="23169196" w14:textId="77777777" w:rsidR="006C06CE" w:rsidRDefault="006F5E1E" w:rsidP="006F5E1E">
      <w:pPr>
        <w:pStyle w:val="FixListStyle"/>
        <w:spacing w:after="260" w:line="280" w:lineRule="exact"/>
        <w:ind w:right="0"/>
        <w:jc w:val="both"/>
        <w:rPr>
          <w:rFonts w:ascii="Times New Roman" w:hAnsi="Times New Roman"/>
        </w:rPr>
      </w:pPr>
      <w:r w:rsidRPr="00F6514C">
        <w:rPr>
          <w:rFonts w:ascii="Times New Roman" w:hAnsi="Times New Roman"/>
        </w:rPr>
        <w:tab/>
        <w:t>Notwithstanding that most of the submissions of the Class Action Applicants should otherwise be accepted, the coherence of the law precludes the application of the powers in ss 33</w:t>
      </w:r>
      <w:proofErr w:type="gramStart"/>
      <w:r w:rsidRPr="00F6514C">
        <w:rPr>
          <w:rFonts w:ascii="Times New Roman" w:hAnsi="Times New Roman"/>
        </w:rPr>
        <w:t>V(</w:t>
      </w:r>
      <w:proofErr w:type="gramEnd"/>
      <w:r w:rsidRPr="00F6514C">
        <w:rPr>
          <w:rFonts w:ascii="Times New Roman" w:hAnsi="Times New Roman"/>
        </w:rPr>
        <w:t xml:space="preserve">2) and 33Z(1)(g) of the </w:t>
      </w:r>
      <w:r w:rsidRPr="00F6514C">
        <w:rPr>
          <w:rFonts w:ascii="Times New Roman" w:hAnsi="Times New Roman"/>
          <w:i/>
          <w:iCs/>
        </w:rPr>
        <w:t xml:space="preserve">Federal Court of Australia Act </w:t>
      </w:r>
      <w:r w:rsidRPr="00F6514C">
        <w:rPr>
          <w:rFonts w:ascii="Times New Roman" w:hAnsi="Times New Roman"/>
        </w:rPr>
        <w:t xml:space="preserve">to make an SCFO in New South Wales. Future development of any power to make an SCFO in that State must be left to occur as a matter of legislative innovation. The appeals should be allowed and orders made as proposed by Gordon, Steward, Gleeson and Beech-Jones JJ.  </w:t>
      </w:r>
    </w:p>
    <w:p w14:paraId="33DBFF4F" w14:textId="77777777" w:rsidR="006C06CE" w:rsidRDefault="006C06CE" w:rsidP="006F5E1E">
      <w:pPr>
        <w:pStyle w:val="FixListStyle"/>
        <w:spacing w:after="260" w:line="280" w:lineRule="exact"/>
        <w:ind w:right="0"/>
        <w:jc w:val="both"/>
        <w:rPr>
          <w:rFonts w:ascii="Times New Roman" w:hAnsi="Times New Roman"/>
        </w:rPr>
        <w:sectPr w:rsidR="006C06CE" w:rsidSect="006F5E1E">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2F013002" w14:textId="77777777" w:rsidR="006C06CE" w:rsidRPr="00E124C6" w:rsidRDefault="006C06CE" w:rsidP="00E124C6">
      <w:pPr>
        <w:pStyle w:val="NormalBody"/>
        <w:tabs>
          <w:tab w:val="clear" w:pos="720"/>
          <w:tab w:val="left" w:pos="0"/>
        </w:tabs>
        <w:spacing w:after="260" w:line="280" w:lineRule="exact"/>
        <w:ind w:right="0"/>
        <w:jc w:val="both"/>
        <w:rPr>
          <w:rFonts w:ascii="Times New Roman" w:hAnsi="Times New Roman"/>
        </w:rPr>
      </w:pPr>
      <w:r w:rsidRPr="00E124C6">
        <w:rPr>
          <w:rFonts w:ascii="Times New Roman" w:hAnsi="Times New Roman"/>
        </w:rPr>
        <w:lastRenderedPageBreak/>
        <w:t xml:space="preserve">JAGOT J.   </w:t>
      </w:r>
    </w:p>
    <w:p w14:paraId="5B9B8E06" w14:textId="77777777" w:rsidR="006C06CE" w:rsidRPr="00E124C6" w:rsidRDefault="006C06CE" w:rsidP="00E124C6">
      <w:pPr>
        <w:pStyle w:val="HeadingL1"/>
        <w:spacing w:after="260" w:line="280" w:lineRule="exact"/>
        <w:ind w:right="0"/>
        <w:jc w:val="both"/>
        <w:rPr>
          <w:rFonts w:ascii="Times New Roman" w:hAnsi="Times New Roman"/>
        </w:rPr>
      </w:pPr>
      <w:r w:rsidRPr="00E124C6">
        <w:rPr>
          <w:rFonts w:ascii="Times New Roman" w:hAnsi="Times New Roman"/>
        </w:rPr>
        <w:t>The question in the appeals</w:t>
      </w:r>
    </w:p>
    <w:p w14:paraId="79A45916"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The sole question in the present matter is best defined as whether, in a representative proceeding under Pt IVA of the </w:t>
      </w:r>
      <w:r w:rsidRPr="00E124C6">
        <w:rPr>
          <w:rFonts w:ascii="Times New Roman" w:hAnsi="Times New Roman"/>
          <w:i/>
          <w:iCs/>
        </w:rPr>
        <w:t>Federal Court of Australia Act 1976</w:t>
      </w:r>
      <w:r w:rsidRPr="00E124C6">
        <w:rPr>
          <w:rFonts w:ascii="Times New Roman" w:hAnsi="Times New Roman"/>
        </w:rPr>
        <w:t xml:space="preserve"> (</w:t>
      </w:r>
      <w:proofErr w:type="spellStart"/>
      <w:r w:rsidRPr="00E124C6">
        <w:rPr>
          <w:rFonts w:ascii="Times New Roman" w:hAnsi="Times New Roman"/>
        </w:rPr>
        <w:t>Cth</w:t>
      </w:r>
      <w:proofErr w:type="spellEnd"/>
      <w:r w:rsidRPr="00E124C6">
        <w:rPr>
          <w:rFonts w:ascii="Times New Roman" w:hAnsi="Times New Roman"/>
        </w:rPr>
        <w:t>) ("the FCA"), upon the settlement of or the giving of judgment in the proceeding under s 33V or s 33Z of that Act,</w:t>
      </w:r>
      <w:r w:rsidRPr="00E124C6">
        <w:rPr>
          <w:rStyle w:val="FootnoteReference"/>
          <w:rFonts w:ascii="Times New Roman" w:hAnsi="Times New Roman"/>
          <w:sz w:val="24"/>
        </w:rPr>
        <w:footnoteReference w:id="174"/>
      </w:r>
      <w:r w:rsidRPr="00E124C6">
        <w:rPr>
          <w:rFonts w:ascii="Times New Roman" w:hAnsi="Times New Roman"/>
        </w:rPr>
        <w:t xml:space="preserve"> the Federal Court of Australia may make an order of the kind known as a "common fund order" ("CFO") providing for the distribution of funds to a "law practice" subject to the </w:t>
      </w:r>
      <w:r w:rsidRPr="00E124C6">
        <w:rPr>
          <w:rFonts w:ascii="Times New Roman" w:hAnsi="Times New Roman"/>
          <w:i/>
          <w:iCs/>
        </w:rPr>
        <w:t xml:space="preserve">Legal Profession Uniform Law </w:t>
      </w:r>
      <w:r w:rsidRPr="00E124C6">
        <w:rPr>
          <w:rFonts w:ascii="Times New Roman" w:hAnsi="Times New Roman"/>
        </w:rPr>
        <w:t>(NSW)</w:t>
      </w:r>
      <w:r w:rsidRPr="00E124C6">
        <w:rPr>
          <w:rStyle w:val="FootnoteReference"/>
          <w:rFonts w:ascii="Times New Roman" w:hAnsi="Times New Roman"/>
          <w:sz w:val="24"/>
        </w:rPr>
        <w:footnoteReference w:id="175"/>
      </w:r>
      <w:r w:rsidRPr="00E124C6">
        <w:rPr>
          <w:rFonts w:ascii="Times New Roman" w:hAnsi="Times New Roman"/>
        </w:rPr>
        <w:t xml:space="preserve"> ("the NSW LPUL") other than as payment for costs and disbursements incurred in relation to the conduct of the proceeding</w:t>
      </w:r>
      <w:r>
        <w:rPr>
          <w:rFonts w:ascii="Times New Roman" w:hAnsi="Times New Roman"/>
        </w:rPr>
        <w:t>.</w:t>
      </w:r>
    </w:p>
    <w:p w14:paraId="30FAAA30"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For the purpose of answering this question, which is a re-worked version of the question which was reserved for the Full Court of the Federal Court of Australia to consider, the parties agreed that a CFO should be understood to mean: an order the effect of which is to require all group members (including those who have not entered into a funding agreement) to contribute equally to a payment to the litigation funder in respect of the "funder's commission", being an amount calculated as a percentage of the settlement or judgment sum including a premium for litigation risk, such an order being generally made at the same time as orders dealing with other expenses incurred in the conduct of a class action, the most significant usually being legal costs.</w:t>
      </w:r>
    </w:p>
    <w:p w14:paraId="1B5FBD65"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Full Court (Murphy, Beach and Lee JJ) answered the version of this question which had been reserved for its consideration in the affirmative.</w:t>
      </w:r>
      <w:r w:rsidRPr="00E124C6">
        <w:rPr>
          <w:rStyle w:val="FootnoteReference"/>
          <w:rFonts w:ascii="Times New Roman" w:hAnsi="Times New Roman"/>
          <w:sz w:val="24"/>
        </w:rPr>
        <w:footnoteReference w:id="176"/>
      </w:r>
      <w:r w:rsidRPr="00E124C6">
        <w:rPr>
          <w:rFonts w:ascii="Times New Roman" w:hAnsi="Times New Roman"/>
        </w:rPr>
        <w:t xml:space="preserve"> For the following reasons, the question must be answered in the negative.</w:t>
      </w:r>
    </w:p>
    <w:p w14:paraId="42F189E2" w14:textId="77777777" w:rsidR="006C06CE" w:rsidRPr="00E124C6" w:rsidRDefault="006C06CE" w:rsidP="00E124C6">
      <w:pPr>
        <w:pStyle w:val="HeadingL1"/>
        <w:spacing w:after="260" w:line="280" w:lineRule="exact"/>
        <w:ind w:right="0"/>
        <w:jc w:val="both"/>
        <w:rPr>
          <w:rFonts w:ascii="Times New Roman" w:hAnsi="Times New Roman"/>
        </w:rPr>
      </w:pPr>
      <w:r w:rsidRPr="00E124C6">
        <w:rPr>
          <w:rFonts w:ascii="Times New Roman" w:hAnsi="Times New Roman"/>
        </w:rPr>
        <w:t>The terms of the question</w:t>
      </w:r>
    </w:p>
    <w:p w14:paraId="474373CD"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terms of the question as reformulated reflect several important considerations.</w:t>
      </w:r>
    </w:p>
    <w:p w14:paraId="01BE4B01"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lastRenderedPageBreak/>
        <w:tab/>
        <w:t>First, the reformulated question is confined to the availability of the power under ss 33V and 33Z of the FCA</w:t>
      </w:r>
      <w:r w:rsidRPr="00E124C6">
        <w:rPr>
          <w:rStyle w:val="FootnoteReference"/>
          <w:rFonts w:ascii="Times New Roman" w:hAnsi="Times New Roman"/>
          <w:sz w:val="24"/>
        </w:rPr>
        <w:footnoteReference w:id="177"/>
      </w:r>
      <w:r w:rsidRPr="00E124C6">
        <w:rPr>
          <w:rFonts w:ascii="Times New Roman" w:hAnsi="Times New Roman"/>
        </w:rPr>
        <w:t xml:space="preserve"> because in </w:t>
      </w:r>
      <w:r w:rsidRPr="00E124C6">
        <w:rPr>
          <w:rFonts w:ascii="Times New Roman" w:hAnsi="Times New Roman"/>
          <w:i/>
          <w:iCs/>
        </w:rPr>
        <w:t>BMW Australia Ltd v Brewster</w:t>
      </w:r>
      <w:r w:rsidRPr="00E124C6">
        <w:rPr>
          <w:rStyle w:val="FootnoteReference"/>
          <w:rFonts w:ascii="Times New Roman" w:hAnsi="Times New Roman"/>
          <w:sz w:val="24"/>
        </w:rPr>
        <w:footnoteReference w:id="178"/>
      </w:r>
      <w:r w:rsidRPr="00E124C6">
        <w:rPr>
          <w:rFonts w:ascii="Times New Roman" w:hAnsi="Times New Roman"/>
        </w:rPr>
        <w:t xml:space="preserve"> this Court held by majority that s 33ZF of the FCA and s 183 of the </w:t>
      </w:r>
      <w:r w:rsidRPr="00E124C6">
        <w:rPr>
          <w:rFonts w:ascii="Times New Roman" w:hAnsi="Times New Roman"/>
          <w:i/>
          <w:iCs/>
        </w:rPr>
        <w:t>Civil Procedure Act</w:t>
      </w:r>
      <w:r w:rsidRPr="00E124C6">
        <w:rPr>
          <w:rFonts w:ascii="Times New Roman" w:hAnsi="Times New Roman"/>
        </w:rPr>
        <w:t xml:space="preserve"> </w:t>
      </w:r>
      <w:r w:rsidRPr="00E124C6">
        <w:rPr>
          <w:rFonts w:ascii="Times New Roman" w:hAnsi="Times New Roman"/>
          <w:i/>
          <w:iCs/>
        </w:rPr>
        <w:t>2005</w:t>
      </w:r>
      <w:r w:rsidRPr="00E124C6">
        <w:rPr>
          <w:rFonts w:ascii="Times New Roman" w:hAnsi="Times New Roman"/>
        </w:rPr>
        <w:t xml:space="preserve"> (NSW) ("the CPA") (to the effect that "... the Court may ... make any order the Court thinks appropriate or necessary to ensure that justice is done in the proceeding") did not empower the Federal Court of Australia or the Supreme Court of New South Wales, respectively, to make a CFO before settlement or discontinuance of, or judgment in, the representative proceeding.</w:t>
      </w:r>
    </w:p>
    <w:p w14:paraId="7C501C6F"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Second, the reformulated question concerns the power of the Federal Court to make a CFO under s 33V or s 33Z of the FCA providing for the distribution of funds to a "law practice" subject to the NSW LPUL other than as payment for costs and disbursements incurred in relation to the conduct of the proceeding. While the question does not in terms extend to the power to make a CFO under the relevant provisions in favour of a litigation funder which is not a law practice under the NSW LPUL, it is necessary to determine the meaning and operation of the provisions, which inevitably raise this question.</w:t>
      </w:r>
    </w:p>
    <w:p w14:paraId="285FBB93"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Third, the reformulated question refers to the distribution of funds to a "law practice" subject to the NSW LPUL rather than to a "solicitor" as proposed in the question the Full Court considered because, under the NSW LPUL, a "solicitor" is a kind of "Australian legal practitioner" (a kind whose Australian practising certificate is not subject to a condition that the holder is authorised to engage in legal practice as or in the manner of a barrister only), "Australian legal practitioner" means "an Australian lawyer who holds a current Australian practising certificate", and "Australian lawyer" means "a person admitted to the Australian legal profession in this jurisdiction [New South Wales] or any other jurisdiction".</w:t>
      </w:r>
      <w:r w:rsidRPr="00E124C6">
        <w:rPr>
          <w:rStyle w:val="FootnoteReference"/>
          <w:rFonts w:ascii="Times New Roman" w:hAnsi="Times New Roman"/>
          <w:sz w:val="24"/>
        </w:rPr>
        <w:t xml:space="preserve"> </w:t>
      </w:r>
      <w:r w:rsidRPr="00E124C6">
        <w:rPr>
          <w:rFonts w:ascii="Times New Roman" w:hAnsi="Times New Roman"/>
        </w:rPr>
        <w:t>In contrast, "law practice" is defined in a manner that covers all forms of "legal practice".</w:t>
      </w:r>
      <w:r w:rsidRPr="00E124C6">
        <w:rPr>
          <w:rStyle w:val="FootnoteReference"/>
          <w:rFonts w:ascii="Times New Roman" w:hAnsi="Times New Roman"/>
          <w:sz w:val="24"/>
        </w:rPr>
        <w:footnoteReference w:id="179"/>
      </w:r>
    </w:p>
    <w:p w14:paraId="7BABBA82"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Fourth, the reference in the reformulated question to a distribution of funds to a law practice "other than as payment for costs and disbursements incurred in relation to the conduct of the proceeding" is intended to reflect that the NSW LPUL defines "legal services" to mean "work done, or business transacted, in the ordinary course of legal practice" and "legal costs" to mean, relevantly, "amounts that a person has been or may be charged by, or is or may become liable to pay to, a law practice for the provision of legal services ... including disbursements".</w:t>
      </w:r>
      <w:r w:rsidRPr="00E124C6">
        <w:rPr>
          <w:rStyle w:val="FootnoteReference"/>
          <w:rFonts w:ascii="Times New Roman" w:hAnsi="Times New Roman"/>
          <w:sz w:val="24"/>
        </w:rPr>
        <w:footnoteReference w:id="180"/>
      </w:r>
      <w:r w:rsidRPr="00E124C6">
        <w:rPr>
          <w:rFonts w:ascii="Times New Roman" w:hAnsi="Times New Roman"/>
        </w:rPr>
        <w:t xml:space="preserve"> It </w:t>
      </w:r>
      <w:r w:rsidRPr="00E124C6">
        <w:rPr>
          <w:rFonts w:ascii="Times New Roman" w:hAnsi="Times New Roman"/>
        </w:rPr>
        <w:lastRenderedPageBreak/>
        <w:t>follows that a distribution of funds to a law practice "other than as payment for costs and disbursements incurred in relation to the conduct of the proceeding" is intended to mean a payment to a law practice other than a payment of legal costs for legal services.</w:t>
      </w:r>
    </w:p>
    <w:p w14:paraId="061F11B4"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Fifth, the reformulated question arises in a context where s 183 of the NSW LPUL provides as follows:</w:t>
      </w:r>
    </w:p>
    <w:p w14:paraId="70F6DF42"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 xml:space="preserve">"(1) </w:t>
      </w:r>
      <w:r w:rsidRPr="00E124C6">
        <w:rPr>
          <w:rFonts w:ascii="Times New Roman" w:hAnsi="Times New Roman"/>
        </w:rPr>
        <w:tab/>
        <w:t>A law practice must not enter into a costs agreement under which the amount payable to the law practice, or any part of that amount, is calculated by reference to the amount of any award or settlement or the value of any property that may be recovered in any proceedings to which the agreement relates.</w:t>
      </w:r>
    </w:p>
    <w:p w14:paraId="49DFE202" w14:textId="77777777" w:rsidR="006C06CE" w:rsidRPr="00E124C6" w:rsidRDefault="006C06CE" w:rsidP="00E124C6">
      <w:pPr>
        <w:pStyle w:val="leftright"/>
        <w:spacing w:before="0" w:after="260" w:line="280" w:lineRule="exact"/>
        <w:ind w:right="0"/>
        <w:jc w:val="both"/>
        <w:rPr>
          <w:rFonts w:ascii="Times New Roman" w:hAnsi="Times New Roman"/>
        </w:rPr>
      </w:pPr>
      <w:r w:rsidRPr="00E124C6">
        <w:rPr>
          <w:rFonts w:ascii="Times New Roman" w:hAnsi="Times New Roman"/>
        </w:rPr>
        <w:tab/>
        <w:t>Civil penalty: 100 penalty units.</w:t>
      </w:r>
    </w:p>
    <w:p w14:paraId="2CEE4A75"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 xml:space="preserve">(2) </w:t>
      </w:r>
      <w:r w:rsidRPr="00E124C6">
        <w:rPr>
          <w:rFonts w:ascii="Times New Roman" w:hAnsi="Times New Roman"/>
        </w:rPr>
        <w:tab/>
        <w:t>Subsection (1) does not apply to the extent that the costs agreement adopts an applicable fixed costs legislative provision.</w:t>
      </w:r>
    </w:p>
    <w:p w14:paraId="4CAB3B47" w14:textId="77777777" w:rsidR="006C06CE"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 xml:space="preserve">(3) </w:t>
      </w:r>
      <w:r w:rsidRPr="00E124C6">
        <w:rPr>
          <w:rFonts w:ascii="Times New Roman" w:hAnsi="Times New Roman"/>
        </w:rPr>
        <w:tab/>
        <w:t>A contravention of subsection (1) by a law practice is capable of constituting unsatisfactory professional conduct or professional misconduct on the part of any principal of the law practice or any legal practitioner associate or foreign lawyer associate involved in the contravention."</w:t>
      </w:r>
    </w:p>
    <w:p w14:paraId="600DE54A"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An applicable "fixed costs legislative provision", as referred to in s 183(2) of the NSW LPUL, means a "determination, scale, arrangement or other provision fixing the costs or maximum costs of any legal services that is made by or under the Uniform Rules [the Legal Profession Uniform Rules made under Pt 9.2</w:t>
      </w:r>
      <w:r w:rsidRPr="00E124C6">
        <w:rPr>
          <w:rStyle w:val="FootnoteReference"/>
          <w:rFonts w:ascii="Times New Roman" w:hAnsi="Times New Roman"/>
          <w:sz w:val="24"/>
        </w:rPr>
        <w:footnoteReference w:id="181"/>
      </w:r>
      <w:r w:rsidRPr="00E124C6">
        <w:rPr>
          <w:rFonts w:ascii="Times New Roman" w:hAnsi="Times New Roman"/>
        </w:rPr>
        <w:t>] or any other legislation".</w:t>
      </w:r>
      <w:r w:rsidRPr="00E124C6">
        <w:rPr>
          <w:rStyle w:val="FootnoteReference"/>
          <w:rFonts w:ascii="Times New Roman" w:hAnsi="Times New Roman"/>
          <w:sz w:val="24"/>
        </w:rPr>
        <w:footnoteReference w:id="182"/>
      </w:r>
      <w:r w:rsidRPr="00E124C6">
        <w:rPr>
          <w:rFonts w:ascii="Times New Roman" w:hAnsi="Times New Roman"/>
        </w:rPr>
        <w:t xml:space="preserve"> </w:t>
      </w:r>
    </w:p>
    <w:p w14:paraId="10222133"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Sixth, it will be apparent from these matters that the reformulated question involves resolving the relationship between the apparently plenary terms of ss 33V and 33Z of the FCA (being Commonwealth legislation) and s 183(1) of the NSW LPUL (being State legislation), albeit in a context where both statutory schemes (the regulation of representative proceedings and Australian lawyers and law practices) form part of laws intended to facilitate uniformity across jurisdictions in Australia.</w:t>
      </w:r>
    </w:p>
    <w:p w14:paraId="086068CA" w14:textId="77777777" w:rsidR="006C06CE" w:rsidRPr="00E124C6" w:rsidRDefault="006C06CE" w:rsidP="00E124C6">
      <w:pPr>
        <w:pStyle w:val="HeadingL1"/>
        <w:spacing w:after="260" w:line="280" w:lineRule="exact"/>
        <w:ind w:right="0"/>
        <w:jc w:val="both"/>
        <w:rPr>
          <w:rFonts w:ascii="Times New Roman" w:hAnsi="Times New Roman"/>
        </w:rPr>
      </w:pPr>
      <w:r w:rsidRPr="00E124C6">
        <w:rPr>
          <w:rFonts w:ascii="Times New Roman" w:hAnsi="Times New Roman"/>
        </w:rPr>
        <w:lastRenderedPageBreak/>
        <w:t>Factual context</w:t>
      </w:r>
    </w:p>
    <w:p w14:paraId="75A0B6E4"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reasons of the Full Court record that the "issue as to power arose because the applicants [representing the group members] and two firms of solicitors (Banton Group and Shine Lawyers) negotiated arrangements for the conduct and funding of this class action".</w:t>
      </w:r>
      <w:r w:rsidRPr="00E124C6">
        <w:rPr>
          <w:rStyle w:val="FootnoteReference"/>
          <w:rFonts w:ascii="Times New Roman" w:hAnsi="Times New Roman"/>
          <w:sz w:val="24"/>
        </w:rPr>
        <w:footnoteReference w:id="183"/>
      </w:r>
      <w:r w:rsidRPr="00E124C6">
        <w:rPr>
          <w:rFonts w:ascii="Times New Roman" w:hAnsi="Times New Roman"/>
        </w:rPr>
        <w:t xml:space="preserve"> The Full Court noted that: "</w:t>
      </w:r>
      <w:r w:rsidRPr="00E124C6">
        <w:rPr>
          <w:rFonts w:ascii="Times New Roman" w:hAnsi="Times New Roman"/>
          <w:i/>
          <w:iCs/>
        </w:rPr>
        <w:t>first</w:t>
      </w:r>
      <w:r w:rsidRPr="00E124C6">
        <w:rPr>
          <w:rFonts w:ascii="Times New Roman" w:hAnsi="Times New Roman"/>
        </w:rPr>
        <w:t xml:space="preserve">, there is a part-heard application under ss 33X and 33Y of the [FCA], filed by the applicants, seeking orders notifying group members as to the basis upon which remuneration for the funding and conduct of the proceeding will be sought; </w:t>
      </w:r>
      <w:r w:rsidRPr="00E124C6">
        <w:rPr>
          <w:rFonts w:ascii="Times New Roman" w:hAnsi="Times New Roman"/>
          <w:i/>
          <w:iCs/>
        </w:rPr>
        <w:t>secondly</w:t>
      </w:r>
      <w:r w:rsidRPr="00E124C6">
        <w:rPr>
          <w:rFonts w:ascii="Times New Roman" w:hAnsi="Times New Roman"/>
        </w:rPr>
        <w:t xml:space="preserve">, if the proposed notice is approved, the arrangements between the applicants and their solicitors contemplate amendments to costs agreements, so as to oblige the solicitors to finance the proceeding (including by provision of security, and indemnity against adverse costs orders) and an acknowledgment that the applicants agree that the solicitors' remuneration will be in the form and value as determined by a subsequent order of the Court; and </w:t>
      </w:r>
      <w:r w:rsidRPr="00E124C6">
        <w:rPr>
          <w:rFonts w:ascii="Times New Roman" w:hAnsi="Times New Roman"/>
          <w:i/>
          <w:iCs/>
        </w:rPr>
        <w:t>thirdly</w:t>
      </w:r>
      <w:r w:rsidRPr="00E124C6">
        <w:rPr>
          <w:rFonts w:ascii="Times New Roman" w:hAnsi="Times New Roman"/>
        </w:rPr>
        <w:t>, as is evident from the above, if the answer to the question posed is in the negative (that is, the Court lacks power to make a Solicitors' CFO</w:t>
      </w:r>
      <w:r w:rsidRPr="00E124C6">
        <w:rPr>
          <w:rFonts w:ascii="Times New Roman" w:hAnsi="Times New Roman"/>
          <w:sz w:val="24"/>
          <w:vertAlign w:val="superscript"/>
        </w:rPr>
        <w:t>[</w:t>
      </w:r>
      <w:r w:rsidRPr="00E124C6">
        <w:rPr>
          <w:rStyle w:val="FootnoteReference"/>
          <w:rFonts w:ascii="Times New Roman" w:hAnsi="Times New Roman"/>
          <w:sz w:val="24"/>
        </w:rPr>
        <w:footnoteReference w:id="184"/>
      </w:r>
      <w:r w:rsidRPr="00E124C6">
        <w:rPr>
          <w:rFonts w:ascii="Times New Roman" w:hAnsi="Times New Roman"/>
          <w:sz w:val="24"/>
          <w:vertAlign w:val="superscript"/>
        </w:rPr>
        <w:t>]</w:t>
      </w:r>
      <w:r w:rsidRPr="00E124C6">
        <w:rPr>
          <w:rFonts w:ascii="Times New Roman" w:hAnsi="Times New Roman"/>
        </w:rPr>
        <w:t>), the applicants have foreshadowed an application to cross-vest this proceeding to the Supreme Court of Victoria in order to seek what has been described as a 'Group Costs Order' (</w:t>
      </w:r>
      <w:r w:rsidRPr="00E124C6">
        <w:rPr>
          <w:rFonts w:ascii="Times New Roman" w:hAnsi="Times New Roman"/>
          <w:b/>
          <w:bCs/>
        </w:rPr>
        <w:t>GCO</w:t>
      </w:r>
      <w:r w:rsidRPr="00E124C6">
        <w:rPr>
          <w:rFonts w:ascii="Times New Roman" w:hAnsi="Times New Roman"/>
        </w:rPr>
        <w:t xml:space="preserve">) pursuant to s 33ZDA of the </w:t>
      </w:r>
      <w:r w:rsidRPr="00E124C6">
        <w:rPr>
          <w:rFonts w:ascii="Times New Roman" w:hAnsi="Times New Roman"/>
          <w:i/>
          <w:iCs/>
        </w:rPr>
        <w:t>Supreme Court Act 1986</w:t>
      </w:r>
      <w:r w:rsidRPr="00E124C6">
        <w:rPr>
          <w:rFonts w:ascii="Times New Roman" w:hAnsi="Times New Roman"/>
        </w:rPr>
        <w:t xml:space="preserve"> (Vic) ... or will proceed to attempt to obtain commercial litigation funding".</w:t>
      </w:r>
      <w:r w:rsidRPr="00E124C6">
        <w:rPr>
          <w:rStyle w:val="FootnoteReference"/>
          <w:rFonts w:ascii="Times New Roman" w:hAnsi="Times New Roman"/>
          <w:sz w:val="24"/>
        </w:rPr>
        <w:footnoteReference w:id="185"/>
      </w:r>
    </w:p>
    <w:p w14:paraId="31953ACC"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The reference to s 33ZDA of the </w:t>
      </w:r>
      <w:r w:rsidRPr="00E124C6">
        <w:rPr>
          <w:rFonts w:ascii="Times New Roman" w:hAnsi="Times New Roman"/>
          <w:i/>
          <w:iCs/>
        </w:rPr>
        <w:t>Supreme Court Act 1986</w:t>
      </w:r>
      <w:r w:rsidRPr="00E124C6">
        <w:rPr>
          <w:rFonts w:ascii="Times New Roman" w:hAnsi="Times New Roman"/>
        </w:rPr>
        <w:t xml:space="preserve"> (Vic) ("the Victorian SCA") is to the unique provision in that Act which provides that on application by the plaintiff in any group proceeding, the Supreme Court, if satisfied that it is appropriate or necessary to ensure that justice is done in the proceeding, may make an order "(a) that the legal costs payable to the law practice representing the plaintiff and group members be calculated as a percentage of the amount of any award or settlement that may be recovered in the proceeding, being the percentage set out in the order; and (b) that liability for payment of the legal costs must be shared among the plaintiff and all group members". </w:t>
      </w:r>
    </w:p>
    <w:p w14:paraId="44FD623A"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lastRenderedPageBreak/>
        <w:tab/>
        <w:t xml:space="preserve">It follows from s 33ZDA of the Victorian SCA that a law practice subject to the </w:t>
      </w:r>
      <w:r w:rsidRPr="00E124C6">
        <w:rPr>
          <w:rFonts w:ascii="Times New Roman" w:hAnsi="Times New Roman"/>
          <w:i/>
          <w:iCs/>
        </w:rPr>
        <w:t xml:space="preserve">Legal Profession Uniform Law </w:t>
      </w:r>
      <w:r w:rsidRPr="00E124C6">
        <w:rPr>
          <w:rFonts w:ascii="Times New Roman" w:hAnsi="Times New Roman"/>
        </w:rPr>
        <w:t>(Vic) ("the Vic LPUL"),</w:t>
      </w:r>
      <w:r w:rsidRPr="00E124C6">
        <w:rPr>
          <w:rStyle w:val="FootnoteReference"/>
          <w:rFonts w:ascii="Times New Roman" w:hAnsi="Times New Roman"/>
          <w:sz w:val="24"/>
        </w:rPr>
        <w:footnoteReference w:id="186"/>
      </w:r>
      <w:r w:rsidRPr="00E124C6">
        <w:rPr>
          <w:rFonts w:ascii="Times New Roman" w:hAnsi="Times New Roman"/>
        </w:rPr>
        <w:t xml:space="preserve"> which contains s 183(1), must be able to take and act on an instruction from a plaintiff to obtain an order under s 33ZDA without contravening s 183(1) of the Vic LPUL. As laws of the same State legislature (Victoria), s 33ZDA of the Victorian SCA, as the later legislation, would be taken to prevail over s 183(1) of the Vic LPUL to the extent of the inconsistency between the two. Beyond that, no question arises in these appeals as to the relationship between s 183(1) of the NSW LPUL (as a law of the State of New South Wales) and s 33ZDA of the Victorian SCA (as a law of the State of Victoria) given that s 4 of the NSW LPUL provides for its extraterritorial operation.</w:t>
      </w:r>
    </w:p>
    <w:p w14:paraId="47AE14CD"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The original costs agreement between one of the law practices, Banton Group, and one of the applicants representing the group members records that the document, together with the General Terms of Business attached, "set out the terms of [Banton Group's] offer to provide legal services to [the applicant] and constitutes [Banton Group's] costs agreement and disclosure pursuant to the </w:t>
      </w:r>
      <w:r w:rsidRPr="00E124C6">
        <w:rPr>
          <w:rFonts w:ascii="Times New Roman" w:hAnsi="Times New Roman"/>
          <w:i/>
          <w:iCs/>
        </w:rPr>
        <w:t>Legal Profession Uniform Law</w:t>
      </w:r>
      <w:r w:rsidRPr="00E124C6">
        <w:rPr>
          <w:rFonts w:ascii="Times New Roman" w:hAnsi="Times New Roman"/>
        </w:rPr>
        <w:t xml:space="preserve"> (NSW)". The original costs agreement also discloses, in cl 3, the then understanding of the law practice that the applicant intended to enter into a funding agreement with a litigation funder, pursuant to which the litigation funder would pay the law practice's invoices. The original costs agreement contains an acknowledgment of the applicant that "this engagement is an offer to enter into a costs agreement under s 180(3) of the </w:t>
      </w:r>
      <w:r w:rsidRPr="00E124C6">
        <w:rPr>
          <w:rFonts w:ascii="Times New Roman" w:hAnsi="Times New Roman"/>
          <w:i/>
          <w:iCs/>
        </w:rPr>
        <w:t>Legal Profession Uniform Law</w:t>
      </w:r>
      <w:r w:rsidRPr="00E124C6">
        <w:rPr>
          <w:rFonts w:ascii="Times New Roman" w:hAnsi="Times New Roman"/>
        </w:rPr>
        <w:t xml:space="preserve"> (NSW) ...". The attached General Terms of Business include cl 26.1, which provides that "[t]his Engagement Agreement and [the applicant's] rights are governed by the </w:t>
      </w:r>
      <w:r w:rsidRPr="00E124C6">
        <w:rPr>
          <w:rFonts w:ascii="Times New Roman" w:hAnsi="Times New Roman"/>
          <w:i/>
          <w:iCs/>
        </w:rPr>
        <w:t>Legal Profession Uniform Law</w:t>
      </w:r>
      <w:r w:rsidRPr="00E124C6">
        <w:rPr>
          <w:rFonts w:ascii="Times New Roman" w:hAnsi="Times New Roman"/>
        </w:rPr>
        <w:t xml:space="preserve"> </w:t>
      </w:r>
      <w:r w:rsidRPr="00E124C6">
        <w:rPr>
          <w:rFonts w:ascii="Times New Roman" w:hAnsi="Times New Roman"/>
          <w:i/>
          <w:iCs/>
        </w:rPr>
        <w:t>(NSW)</w:t>
      </w:r>
      <w:r w:rsidRPr="00E124C6">
        <w:rPr>
          <w:rFonts w:ascii="Times New Roman" w:hAnsi="Times New Roman"/>
        </w:rPr>
        <w:t xml:space="preserve"> and the </w:t>
      </w:r>
      <w:r w:rsidRPr="00E124C6">
        <w:rPr>
          <w:rFonts w:ascii="Times New Roman" w:hAnsi="Times New Roman"/>
          <w:i/>
          <w:iCs/>
        </w:rPr>
        <w:t>Legal Profession Uniform General Rules 2015 (NSW)</w:t>
      </w:r>
      <w:r w:rsidRPr="00E124C6">
        <w:rPr>
          <w:rFonts w:ascii="Times New Roman" w:hAnsi="Times New Roman"/>
        </w:rPr>
        <w:t>". The appeals were conducted on the basis that the other law practice, Shine Lawyers, was also subject to the same New South Wales legislation.</w:t>
      </w:r>
    </w:p>
    <w:p w14:paraId="7C60CC1E"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The proposed amendment to the original </w:t>
      </w:r>
      <w:proofErr w:type="gramStart"/>
      <w:r w:rsidRPr="00E124C6">
        <w:rPr>
          <w:rFonts w:ascii="Times New Roman" w:hAnsi="Times New Roman"/>
        </w:rPr>
        <w:t>costs</w:t>
      </w:r>
      <w:proofErr w:type="gramEnd"/>
      <w:r w:rsidRPr="00E124C6">
        <w:rPr>
          <w:rFonts w:ascii="Times New Roman" w:hAnsi="Times New Roman"/>
        </w:rPr>
        <w:t xml:space="preserve"> agreement between Banton Group and the applicant consists of a document styled "Addendum to Cost Agreement". The Addendum involves the insertion of a new cl 3A after cl 3 of the original </w:t>
      </w:r>
      <w:proofErr w:type="gramStart"/>
      <w:r w:rsidRPr="00E124C6">
        <w:rPr>
          <w:rFonts w:ascii="Times New Roman" w:hAnsi="Times New Roman"/>
        </w:rPr>
        <w:t>costs</w:t>
      </w:r>
      <w:proofErr w:type="gramEnd"/>
      <w:r w:rsidRPr="00E124C6">
        <w:rPr>
          <w:rFonts w:ascii="Times New Roman" w:hAnsi="Times New Roman"/>
        </w:rPr>
        <w:t xml:space="preserve"> agreement, including these provisions:</w:t>
      </w:r>
    </w:p>
    <w:p w14:paraId="28839E53" w14:textId="77777777" w:rsidR="006C06CE" w:rsidRPr="00E124C6" w:rsidRDefault="006C06CE" w:rsidP="00E124C6">
      <w:pPr>
        <w:pStyle w:val="leftright"/>
        <w:spacing w:before="0" w:after="260" w:line="280" w:lineRule="exact"/>
        <w:ind w:right="0"/>
        <w:jc w:val="both"/>
        <w:rPr>
          <w:rFonts w:ascii="Times New Roman" w:hAnsi="Times New Roman"/>
        </w:rPr>
      </w:pPr>
      <w:r w:rsidRPr="00E124C6">
        <w:rPr>
          <w:rFonts w:ascii="Times New Roman" w:hAnsi="Times New Roman"/>
        </w:rPr>
        <w:t>"</w:t>
      </w:r>
      <w:r w:rsidRPr="00E124C6">
        <w:rPr>
          <w:rFonts w:ascii="Times New Roman" w:hAnsi="Times New Roman"/>
          <w:b/>
          <w:bCs/>
        </w:rPr>
        <w:t>3A.</w:t>
      </w:r>
      <w:r w:rsidRPr="00E124C6">
        <w:rPr>
          <w:rFonts w:ascii="Times New Roman" w:hAnsi="Times New Roman"/>
          <w:b/>
          <w:bCs/>
        </w:rPr>
        <w:tab/>
        <w:t>ALTERNATIVE FUNDING ARRANGEMENTS</w:t>
      </w:r>
    </w:p>
    <w:p w14:paraId="5C5DA0B4"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3A.1</w:t>
      </w:r>
      <w:r w:rsidRPr="00E124C6">
        <w:rPr>
          <w:rFonts w:ascii="Times New Roman" w:hAnsi="Times New Roman"/>
        </w:rPr>
        <w:tab/>
        <w:t>You have instructed us to seek Court orders establishing a funding arrangement in substitution for the ILP Funding Agreement described in Section 3 above.</w:t>
      </w:r>
    </w:p>
    <w:p w14:paraId="0EEB0F55" w14:textId="77777777" w:rsidR="006C06CE" w:rsidRPr="00E124C6" w:rsidRDefault="006C06CE" w:rsidP="00CD75B2">
      <w:pPr>
        <w:pStyle w:val="leftright"/>
        <w:keepNext/>
        <w:spacing w:before="0" w:after="260" w:line="280" w:lineRule="exact"/>
        <w:ind w:left="1440" w:right="0" w:hanging="720"/>
        <w:jc w:val="both"/>
        <w:rPr>
          <w:rFonts w:ascii="Times New Roman" w:hAnsi="Times New Roman"/>
        </w:rPr>
      </w:pPr>
      <w:r w:rsidRPr="00E124C6">
        <w:rPr>
          <w:rFonts w:ascii="Times New Roman" w:hAnsi="Times New Roman"/>
        </w:rPr>
        <w:lastRenderedPageBreak/>
        <w:t>3A.2</w:t>
      </w:r>
      <w:r w:rsidRPr="00E124C6">
        <w:rPr>
          <w:rFonts w:ascii="Times New Roman" w:hAnsi="Times New Roman"/>
        </w:rPr>
        <w:tab/>
        <w:t>Specifically you have instructed us to:</w:t>
      </w:r>
    </w:p>
    <w:p w14:paraId="6AB7DF9B"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(a)</w:t>
      </w:r>
      <w:r w:rsidRPr="00E124C6">
        <w:rPr>
          <w:rFonts w:ascii="Times New Roman" w:hAnsi="Times New Roman"/>
        </w:rPr>
        <w:tab/>
        <w:t>seek Court orders that or to the effect that your proceeding (NSD 665/2022) and proceeding NSD 948/2022 be consolidated (</w:t>
      </w:r>
      <w:r w:rsidRPr="00E124C6">
        <w:rPr>
          <w:rFonts w:ascii="Times New Roman" w:hAnsi="Times New Roman"/>
          <w:b/>
          <w:bCs/>
        </w:rPr>
        <w:t>Consolidated Proceeding</w:t>
      </w:r>
      <w:r w:rsidRPr="00E124C6">
        <w:rPr>
          <w:rFonts w:ascii="Times New Roman" w:hAnsi="Times New Roman"/>
        </w:rPr>
        <w:t>) upon terms that:</w:t>
      </w:r>
    </w:p>
    <w:p w14:paraId="2B0A3233" w14:textId="77777777" w:rsidR="006C06CE" w:rsidRPr="00E124C6" w:rsidRDefault="006C06CE" w:rsidP="00E124C6">
      <w:pPr>
        <w:pStyle w:val="leftright"/>
        <w:spacing w:before="0" w:after="260" w:line="280" w:lineRule="exact"/>
        <w:ind w:left="2880" w:right="0" w:hanging="2160"/>
        <w:jc w:val="both"/>
        <w:rPr>
          <w:rFonts w:ascii="Times New Roman" w:hAnsi="Times New Roman"/>
        </w:rPr>
      </w:pPr>
      <w:r w:rsidRPr="00E124C6">
        <w:rPr>
          <w:rFonts w:ascii="Times New Roman" w:hAnsi="Times New Roman"/>
        </w:rPr>
        <w:tab/>
      </w:r>
      <w:r w:rsidRPr="00E124C6">
        <w:rPr>
          <w:rFonts w:ascii="Times New Roman" w:hAnsi="Times New Roman"/>
        </w:rPr>
        <w:tab/>
      </w:r>
      <w:proofErr w:type="spellStart"/>
      <w:r w:rsidRPr="00E124C6">
        <w:rPr>
          <w:rFonts w:ascii="Times New Roman" w:hAnsi="Times New Roman"/>
        </w:rPr>
        <w:t>i</w:t>
      </w:r>
      <w:proofErr w:type="spellEnd"/>
      <w:r w:rsidRPr="00E124C6">
        <w:rPr>
          <w:rFonts w:ascii="Times New Roman" w:hAnsi="Times New Roman"/>
        </w:rPr>
        <w:t>.</w:t>
      </w:r>
      <w:r w:rsidRPr="00E124C6">
        <w:rPr>
          <w:rFonts w:ascii="Times New Roman" w:hAnsi="Times New Roman"/>
        </w:rPr>
        <w:tab/>
        <w:t>you remain one of two co-applicants in the Consolidated Proceeding and</w:t>
      </w:r>
    </w:p>
    <w:p w14:paraId="41348FCA" w14:textId="77777777" w:rsidR="006C06CE" w:rsidRPr="00E124C6" w:rsidRDefault="006C06CE" w:rsidP="00E124C6">
      <w:pPr>
        <w:pStyle w:val="leftright"/>
        <w:spacing w:before="0" w:after="260" w:line="280" w:lineRule="exact"/>
        <w:ind w:left="2880" w:right="0" w:hanging="2160"/>
        <w:jc w:val="both"/>
        <w:rPr>
          <w:rFonts w:ascii="Times New Roman" w:hAnsi="Times New Roman"/>
        </w:rPr>
      </w:pPr>
      <w:r w:rsidRPr="00E124C6">
        <w:rPr>
          <w:rFonts w:ascii="Times New Roman" w:hAnsi="Times New Roman"/>
        </w:rPr>
        <w:tab/>
      </w:r>
      <w:r w:rsidRPr="00E124C6">
        <w:rPr>
          <w:rFonts w:ascii="Times New Roman" w:hAnsi="Times New Roman"/>
        </w:rPr>
        <w:tab/>
        <w:t>ii.</w:t>
      </w:r>
      <w:r w:rsidRPr="00E124C6">
        <w:rPr>
          <w:rFonts w:ascii="Times New Roman" w:hAnsi="Times New Roman"/>
        </w:rPr>
        <w:tab/>
        <w:t xml:space="preserve">we and Shine Lawyers jointly be appointed as solicitors on the record to have carriage of the Consolidated </w:t>
      </w:r>
      <w:proofErr w:type="gramStart"/>
      <w:r w:rsidRPr="00E124C6">
        <w:rPr>
          <w:rFonts w:ascii="Times New Roman" w:hAnsi="Times New Roman"/>
        </w:rPr>
        <w:t>Proceeding;</w:t>
      </w:r>
      <w:proofErr w:type="gramEnd"/>
    </w:p>
    <w:p w14:paraId="187D1A3E"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(b)</w:t>
      </w:r>
      <w:r w:rsidRPr="00E124C6">
        <w:rPr>
          <w:rFonts w:ascii="Times New Roman" w:hAnsi="Times New Roman"/>
        </w:rPr>
        <w:tab/>
        <w:t>negotiate terms with Shine Lawyers for the two firms' joint carriage of the Consolidated Proceeding (</w:t>
      </w:r>
      <w:r w:rsidRPr="00E124C6">
        <w:rPr>
          <w:rFonts w:ascii="Times New Roman" w:hAnsi="Times New Roman"/>
          <w:b/>
          <w:bCs/>
        </w:rPr>
        <w:t>Consolidation Agreement</w:t>
      </w:r>
      <w:proofErr w:type="gramStart"/>
      <w:r w:rsidRPr="00E124C6">
        <w:rPr>
          <w:rFonts w:ascii="Times New Roman" w:hAnsi="Times New Roman"/>
        </w:rPr>
        <w:t>);</w:t>
      </w:r>
      <w:proofErr w:type="gramEnd"/>
    </w:p>
    <w:p w14:paraId="1264788B"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(c)</w:t>
      </w:r>
      <w:r w:rsidRPr="00E124C6">
        <w:rPr>
          <w:rFonts w:ascii="Times New Roman" w:hAnsi="Times New Roman"/>
        </w:rPr>
        <w:tab/>
        <w:t>at an appropriate stage of the proceeding – to the extent permitted by law seek orders that or to the effect that:</w:t>
      </w:r>
    </w:p>
    <w:p w14:paraId="337132EE" w14:textId="77777777" w:rsidR="006C06CE" w:rsidRPr="00E124C6" w:rsidRDefault="006C06CE" w:rsidP="00E124C6">
      <w:pPr>
        <w:pStyle w:val="leftright"/>
        <w:spacing w:before="0" w:after="260" w:line="280" w:lineRule="exact"/>
        <w:ind w:left="2880" w:right="0" w:hanging="2160"/>
        <w:jc w:val="both"/>
        <w:rPr>
          <w:rFonts w:ascii="Times New Roman" w:hAnsi="Times New Roman"/>
        </w:rPr>
      </w:pPr>
      <w:r w:rsidRPr="00E124C6">
        <w:rPr>
          <w:rFonts w:ascii="Times New Roman" w:hAnsi="Times New Roman"/>
        </w:rPr>
        <w:tab/>
      </w:r>
      <w:r w:rsidRPr="00E124C6">
        <w:rPr>
          <w:rFonts w:ascii="Times New Roman" w:hAnsi="Times New Roman"/>
        </w:rPr>
        <w:tab/>
      </w:r>
      <w:proofErr w:type="spellStart"/>
      <w:r w:rsidRPr="00E124C6">
        <w:rPr>
          <w:rFonts w:ascii="Times New Roman" w:hAnsi="Times New Roman"/>
        </w:rPr>
        <w:t>i</w:t>
      </w:r>
      <w:proofErr w:type="spellEnd"/>
      <w:r w:rsidRPr="00E124C6">
        <w:rPr>
          <w:rFonts w:ascii="Times New Roman" w:hAnsi="Times New Roman"/>
        </w:rPr>
        <w:t>.</w:t>
      </w:r>
      <w:r w:rsidRPr="00E124C6">
        <w:rPr>
          <w:rFonts w:ascii="Times New Roman" w:hAnsi="Times New Roman"/>
        </w:rPr>
        <w:tab/>
        <w:t xml:space="preserve">legal costs and disbursements be shared between the co-applicants and the group members in the Consolidated Proceeding (together and severally </w:t>
      </w:r>
      <w:r w:rsidRPr="00E124C6">
        <w:rPr>
          <w:rFonts w:ascii="Times New Roman" w:hAnsi="Times New Roman"/>
          <w:b/>
          <w:bCs/>
        </w:rPr>
        <w:t>Claimants</w:t>
      </w:r>
      <w:r w:rsidRPr="00E124C6">
        <w:rPr>
          <w:rFonts w:ascii="Times New Roman" w:hAnsi="Times New Roman"/>
        </w:rPr>
        <w:t xml:space="preserve">) pro rata in proportion to their respective recoveries </w:t>
      </w:r>
      <w:proofErr w:type="gramStart"/>
      <w:r w:rsidRPr="00E124C6">
        <w:rPr>
          <w:rFonts w:ascii="Times New Roman" w:hAnsi="Times New Roman"/>
        </w:rPr>
        <w:t>as a result of</w:t>
      </w:r>
      <w:proofErr w:type="gramEnd"/>
      <w:r w:rsidRPr="00E124C6">
        <w:rPr>
          <w:rFonts w:ascii="Times New Roman" w:hAnsi="Times New Roman"/>
        </w:rPr>
        <w:t xml:space="preserve"> the proceeding or otherwise as the Court may direct (</w:t>
      </w:r>
      <w:r w:rsidRPr="00E124C6">
        <w:rPr>
          <w:rFonts w:ascii="Times New Roman" w:hAnsi="Times New Roman"/>
          <w:b/>
          <w:bCs/>
        </w:rPr>
        <w:t>Costs Reimbursement</w:t>
      </w:r>
      <w:r w:rsidRPr="00E124C6">
        <w:rPr>
          <w:rFonts w:ascii="Times New Roman" w:hAnsi="Times New Roman"/>
        </w:rPr>
        <w:t>); and</w:t>
      </w:r>
    </w:p>
    <w:p w14:paraId="18BBA46A" w14:textId="77777777" w:rsidR="006C06CE" w:rsidRPr="00E124C6" w:rsidRDefault="006C06CE" w:rsidP="00E124C6">
      <w:pPr>
        <w:pStyle w:val="leftright"/>
        <w:spacing w:before="0" w:after="260" w:line="280" w:lineRule="exact"/>
        <w:ind w:left="2880" w:right="0" w:hanging="2160"/>
        <w:jc w:val="both"/>
        <w:rPr>
          <w:rFonts w:ascii="Times New Roman" w:hAnsi="Times New Roman"/>
        </w:rPr>
      </w:pPr>
      <w:r w:rsidRPr="00E124C6">
        <w:rPr>
          <w:rFonts w:ascii="Times New Roman" w:hAnsi="Times New Roman"/>
        </w:rPr>
        <w:tab/>
      </w:r>
      <w:r w:rsidRPr="00E124C6">
        <w:rPr>
          <w:rFonts w:ascii="Times New Roman" w:hAnsi="Times New Roman"/>
        </w:rPr>
        <w:tab/>
        <w:t>ii.</w:t>
      </w:r>
      <w:r w:rsidRPr="00E124C6">
        <w:rPr>
          <w:rFonts w:ascii="Times New Roman" w:hAnsi="Times New Roman"/>
        </w:rPr>
        <w:tab/>
        <w:t>we and Shine Lawyers be remunerated for our risks in funding the legal costs and disbursements (pursuant to the agreement described in this clause 3A) by payment of such percentage of the sum recovered as a result of the Consolidated Proceeding (</w:t>
      </w:r>
      <w:r w:rsidRPr="00E124C6">
        <w:rPr>
          <w:rFonts w:ascii="Times New Roman" w:hAnsi="Times New Roman"/>
          <w:b/>
          <w:bCs/>
        </w:rPr>
        <w:t>Resolution</w:t>
      </w:r>
      <w:r w:rsidRPr="00E124C6">
        <w:rPr>
          <w:rFonts w:ascii="Times New Roman" w:hAnsi="Times New Roman"/>
        </w:rPr>
        <w:t xml:space="preserve"> </w:t>
      </w:r>
      <w:r w:rsidRPr="00E124C6">
        <w:rPr>
          <w:rFonts w:ascii="Times New Roman" w:hAnsi="Times New Roman"/>
          <w:b/>
          <w:bCs/>
        </w:rPr>
        <w:t>Sum</w:t>
      </w:r>
      <w:r w:rsidRPr="00E124C6">
        <w:rPr>
          <w:rFonts w:ascii="Times New Roman" w:hAnsi="Times New Roman"/>
        </w:rPr>
        <w:t>) as may be approved by the Court (</w:t>
      </w:r>
      <w:r w:rsidRPr="00E124C6">
        <w:rPr>
          <w:rFonts w:ascii="Times New Roman" w:hAnsi="Times New Roman"/>
          <w:b/>
          <w:bCs/>
        </w:rPr>
        <w:t>Solicitors' Common Fund Order</w:t>
      </w:r>
      <w:r w:rsidRPr="00E124C6">
        <w:rPr>
          <w:rFonts w:ascii="Times New Roman" w:hAnsi="Times New Roman"/>
        </w:rPr>
        <w:t xml:space="preserve"> or </w:t>
      </w:r>
      <w:r w:rsidRPr="00E124C6">
        <w:rPr>
          <w:rFonts w:ascii="Times New Roman" w:hAnsi="Times New Roman"/>
          <w:b/>
          <w:bCs/>
        </w:rPr>
        <w:t>Solicitors' CFO</w:t>
      </w:r>
      <w:proofErr w:type="gramStart"/>
      <w:r w:rsidRPr="00E124C6">
        <w:rPr>
          <w:rFonts w:ascii="Times New Roman" w:hAnsi="Times New Roman"/>
        </w:rPr>
        <w:t>);</w:t>
      </w:r>
      <w:proofErr w:type="gramEnd"/>
    </w:p>
    <w:p w14:paraId="719F22B6"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(d)</w:t>
      </w:r>
      <w:r w:rsidRPr="00E124C6">
        <w:rPr>
          <w:rFonts w:ascii="Times New Roman" w:hAnsi="Times New Roman"/>
        </w:rPr>
        <w:tab/>
        <w:t>as soon as practicable in the proceeding – seek orders that notice be given to the Claimants of the matters in 3A.2(c).</w:t>
      </w:r>
    </w:p>
    <w:p w14:paraId="0103A6C4"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3A.3</w:t>
      </w:r>
      <w:r w:rsidRPr="00E124C6">
        <w:rPr>
          <w:rFonts w:ascii="Times New Roman" w:hAnsi="Times New Roman"/>
        </w:rPr>
        <w:tab/>
        <w:t>In the event that orders are made as described in clause 3A.2(d) then the following terms shall apply:</w:t>
      </w:r>
    </w:p>
    <w:p w14:paraId="0421706B"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(a)</w:t>
      </w:r>
      <w:r w:rsidRPr="00E124C6">
        <w:rPr>
          <w:rFonts w:ascii="Times New Roman" w:hAnsi="Times New Roman"/>
        </w:rPr>
        <w:tab/>
        <w:t xml:space="preserve">Banton Group will finance the Consolidated Proceeding (including security for costs and payment of any adverse cost orders ordered against you) as required by the Consolidation </w:t>
      </w:r>
      <w:proofErr w:type="gramStart"/>
      <w:r w:rsidRPr="00E124C6">
        <w:rPr>
          <w:rFonts w:ascii="Times New Roman" w:hAnsi="Times New Roman"/>
        </w:rPr>
        <w:t>Agreement;</w:t>
      </w:r>
      <w:proofErr w:type="gramEnd"/>
    </w:p>
    <w:p w14:paraId="11E269BB"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lastRenderedPageBreak/>
        <w:tab/>
        <w:t>(b)</w:t>
      </w:r>
      <w:r w:rsidRPr="00E124C6">
        <w:rPr>
          <w:rFonts w:ascii="Times New Roman" w:hAnsi="Times New Roman"/>
        </w:rPr>
        <w:tab/>
        <w:t xml:space="preserve">Banton Group will indemnify you against any liability in respect of legal costs and disbursements, security for costs or adverse costs in or in connection with the Consolidated </w:t>
      </w:r>
      <w:proofErr w:type="gramStart"/>
      <w:r w:rsidRPr="00E124C6">
        <w:rPr>
          <w:rFonts w:ascii="Times New Roman" w:hAnsi="Times New Roman"/>
        </w:rPr>
        <w:t>Proceeding;</w:t>
      </w:r>
      <w:proofErr w:type="gramEnd"/>
    </w:p>
    <w:p w14:paraId="35FED407"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(c)</w:t>
      </w:r>
      <w:r w:rsidRPr="00E124C6">
        <w:rPr>
          <w:rFonts w:ascii="Times New Roman" w:hAnsi="Times New Roman"/>
        </w:rPr>
        <w:tab/>
        <w:t>In the event that a Resolution Sum (as defined below) is obtained in the Consolidated Proceeding or otherwise in connection with the claims that are the subject of the Consolidated Proceeding (</w:t>
      </w:r>
      <w:r w:rsidRPr="00E124C6">
        <w:rPr>
          <w:rFonts w:ascii="Times New Roman" w:hAnsi="Times New Roman"/>
          <w:b/>
          <w:bCs/>
        </w:rPr>
        <w:t>Claims</w:t>
      </w:r>
      <w:r w:rsidRPr="00E124C6">
        <w:rPr>
          <w:rFonts w:ascii="Times New Roman" w:hAnsi="Times New Roman"/>
        </w:rPr>
        <w:t>) then Banton Group will seek Costs Reimbursement and a Solicitor</w:t>
      </w:r>
      <w:r>
        <w:rPr>
          <w:rFonts w:ascii="Times New Roman" w:hAnsi="Times New Roman"/>
        </w:rPr>
        <w:t>'</w:t>
      </w:r>
      <w:r w:rsidRPr="00E124C6">
        <w:rPr>
          <w:rFonts w:ascii="Times New Roman" w:hAnsi="Times New Roman"/>
        </w:rPr>
        <w:t xml:space="preserve">s CFO as described </w:t>
      </w:r>
      <w:proofErr w:type="gramStart"/>
      <w:r w:rsidRPr="00E124C6">
        <w:rPr>
          <w:rFonts w:ascii="Times New Roman" w:hAnsi="Times New Roman"/>
        </w:rPr>
        <w:t>above;</w:t>
      </w:r>
      <w:proofErr w:type="gramEnd"/>
    </w:p>
    <w:p w14:paraId="0C18E7BF"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(d)</w:t>
      </w:r>
      <w:r w:rsidRPr="00E124C6">
        <w:rPr>
          <w:rFonts w:ascii="Times New Roman" w:hAnsi="Times New Roman"/>
        </w:rPr>
        <w:tab/>
        <w:t>Resolution Sum means any amount or amounts, or the value of goods or services, to which you or a group member becomes entitled in connection with or satisfaction or part satisfaction of the Claims, including such amount/s or value:</w:t>
      </w:r>
    </w:p>
    <w:p w14:paraId="327F2FDA" w14:textId="77777777" w:rsidR="006C06CE" w:rsidRPr="00E124C6" w:rsidRDefault="006C06CE" w:rsidP="00E124C6">
      <w:pPr>
        <w:pStyle w:val="leftright"/>
        <w:spacing w:before="0" w:after="260" w:line="280" w:lineRule="exact"/>
        <w:ind w:left="2880" w:right="0" w:hanging="2160"/>
        <w:jc w:val="both"/>
        <w:rPr>
          <w:rFonts w:ascii="Times New Roman" w:hAnsi="Times New Roman"/>
        </w:rPr>
      </w:pPr>
      <w:r w:rsidRPr="00E124C6">
        <w:rPr>
          <w:rFonts w:ascii="Times New Roman" w:hAnsi="Times New Roman"/>
        </w:rPr>
        <w:tab/>
      </w:r>
      <w:r w:rsidRPr="00E124C6">
        <w:rPr>
          <w:rFonts w:ascii="Times New Roman" w:hAnsi="Times New Roman"/>
        </w:rPr>
        <w:tab/>
      </w:r>
      <w:proofErr w:type="spellStart"/>
      <w:r w:rsidRPr="00E124C6">
        <w:rPr>
          <w:rFonts w:ascii="Times New Roman" w:hAnsi="Times New Roman"/>
        </w:rPr>
        <w:t>i</w:t>
      </w:r>
      <w:proofErr w:type="spellEnd"/>
      <w:r w:rsidRPr="00E124C6">
        <w:rPr>
          <w:rFonts w:ascii="Times New Roman" w:hAnsi="Times New Roman"/>
        </w:rPr>
        <w:t>.</w:t>
      </w:r>
      <w:r w:rsidRPr="00E124C6">
        <w:rPr>
          <w:rFonts w:ascii="Times New Roman" w:hAnsi="Times New Roman"/>
        </w:rPr>
        <w:tab/>
      </w:r>
      <w:proofErr w:type="gramStart"/>
      <w:r w:rsidRPr="00E124C6">
        <w:rPr>
          <w:rFonts w:ascii="Times New Roman" w:hAnsi="Times New Roman"/>
        </w:rPr>
        <w:t>as a result of</w:t>
      </w:r>
      <w:proofErr w:type="gramEnd"/>
      <w:r w:rsidRPr="00E124C6">
        <w:rPr>
          <w:rFonts w:ascii="Times New Roman" w:hAnsi="Times New Roman"/>
        </w:rPr>
        <w:t xml:space="preserve"> a settlement, judgment or arbitration; and</w:t>
      </w:r>
    </w:p>
    <w:p w14:paraId="545B9124" w14:textId="77777777" w:rsidR="006C06CE" w:rsidRPr="00E124C6" w:rsidRDefault="006C06CE" w:rsidP="00E124C6">
      <w:pPr>
        <w:pStyle w:val="leftright"/>
        <w:spacing w:before="0" w:after="260" w:line="280" w:lineRule="exact"/>
        <w:ind w:left="2880" w:right="0" w:hanging="2160"/>
        <w:jc w:val="both"/>
        <w:rPr>
          <w:rFonts w:ascii="Times New Roman" w:hAnsi="Times New Roman"/>
        </w:rPr>
      </w:pPr>
      <w:r w:rsidRPr="00E124C6">
        <w:rPr>
          <w:rFonts w:ascii="Times New Roman" w:hAnsi="Times New Roman"/>
        </w:rPr>
        <w:tab/>
      </w:r>
      <w:r w:rsidRPr="00E124C6">
        <w:rPr>
          <w:rFonts w:ascii="Times New Roman" w:hAnsi="Times New Roman"/>
        </w:rPr>
        <w:tab/>
        <w:t>ii.</w:t>
      </w:r>
      <w:r w:rsidRPr="00E124C6">
        <w:rPr>
          <w:rFonts w:ascii="Times New Roman" w:hAnsi="Times New Roman"/>
        </w:rPr>
        <w:tab/>
        <w:t>provided by a respondent in the Consolidated Proceeding or any other person, including a person against whom any respondent claims any indemnity, apportionment or contribution.</w:t>
      </w:r>
    </w:p>
    <w:p w14:paraId="57DBEED7"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3A.4</w:t>
      </w:r>
      <w:r w:rsidRPr="00E124C6">
        <w:rPr>
          <w:rFonts w:ascii="Times New Roman" w:hAnsi="Times New Roman"/>
        </w:rPr>
        <w:tab/>
        <w:t>For the avoidance of doubt, by entering into this agreement:</w:t>
      </w:r>
      <w:r w:rsidRPr="00E124C6">
        <w:rPr>
          <w:rFonts w:ascii="Times New Roman" w:hAnsi="Times New Roman"/>
        </w:rPr>
        <w:tab/>
      </w:r>
    </w:p>
    <w:p w14:paraId="2B668300"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(a)</w:t>
      </w:r>
      <w:r w:rsidRPr="00E124C6">
        <w:rPr>
          <w:rFonts w:ascii="Times New Roman" w:hAnsi="Times New Roman"/>
        </w:rPr>
        <w:tab/>
        <w:t xml:space="preserve">you agree that we are to seek orders as described in this Section </w:t>
      </w:r>
      <w:proofErr w:type="gramStart"/>
      <w:r w:rsidRPr="00E124C6">
        <w:rPr>
          <w:rFonts w:ascii="Times New Roman" w:hAnsi="Times New Roman"/>
        </w:rPr>
        <w:t>3A;</w:t>
      </w:r>
      <w:proofErr w:type="gramEnd"/>
    </w:p>
    <w:p w14:paraId="16BC6920" w14:textId="77777777" w:rsidR="006C06CE" w:rsidRPr="00E124C6"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(b)</w:t>
      </w:r>
      <w:r w:rsidRPr="00E124C6">
        <w:rPr>
          <w:rFonts w:ascii="Times New Roman" w:hAnsi="Times New Roman"/>
        </w:rPr>
        <w:tab/>
        <w:t xml:space="preserve">you do not agree to any particular remuneration, or form of remuneration, to be paid to Banton Group from the Resolution </w:t>
      </w:r>
      <w:proofErr w:type="gramStart"/>
      <w:r w:rsidRPr="00E124C6">
        <w:rPr>
          <w:rFonts w:ascii="Times New Roman" w:hAnsi="Times New Roman"/>
        </w:rPr>
        <w:t>Sum;</w:t>
      </w:r>
      <w:proofErr w:type="gramEnd"/>
    </w:p>
    <w:p w14:paraId="5519A719" w14:textId="77777777" w:rsidR="006C06CE" w:rsidRDefault="006C06CE" w:rsidP="00E124C6">
      <w:pPr>
        <w:pStyle w:val="leftright"/>
        <w:spacing w:before="0" w:after="260" w:line="280" w:lineRule="exact"/>
        <w:ind w:left="2160" w:right="0" w:hanging="1440"/>
        <w:jc w:val="both"/>
        <w:rPr>
          <w:rFonts w:ascii="Times New Roman" w:hAnsi="Times New Roman"/>
        </w:rPr>
      </w:pPr>
      <w:r w:rsidRPr="00E124C6">
        <w:rPr>
          <w:rFonts w:ascii="Times New Roman" w:hAnsi="Times New Roman"/>
        </w:rPr>
        <w:tab/>
        <w:t>(c)</w:t>
      </w:r>
      <w:r w:rsidRPr="00E124C6">
        <w:rPr>
          <w:rFonts w:ascii="Times New Roman" w:hAnsi="Times New Roman"/>
        </w:rPr>
        <w:tab/>
        <w:t>you agree that the form and value of remuneration to be provided to Banton Group will be determined by, and take effect pursuant only to, any order for Costs Reimbursement or Solicitor's CFO."</w:t>
      </w:r>
    </w:p>
    <w:p w14:paraId="542C45F1"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appeals were conducted on the basis that the other law practice, Shine Lawyers, proposed amending its costs agreement in terms to the same effect.</w:t>
      </w:r>
    </w:p>
    <w:p w14:paraId="418422EA" w14:textId="77777777" w:rsidR="006C06CE" w:rsidRPr="0069556C" w:rsidRDefault="006C06CE" w:rsidP="0069556C">
      <w:pPr>
        <w:pStyle w:val="FixListStyle"/>
        <w:spacing w:after="260" w:line="280" w:lineRule="exact"/>
        <w:ind w:right="0"/>
        <w:jc w:val="both"/>
        <w:rPr>
          <w:rFonts w:ascii="Times New Roman" w:hAnsi="Times New Roman"/>
        </w:rPr>
      </w:pPr>
      <w:r w:rsidRPr="00E124C6">
        <w:rPr>
          <w:rFonts w:ascii="Times New Roman" w:hAnsi="Times New Roman"/>
        </w:rPr>
        <w:tab/>
        <w:t>The proposed notice to group members under ss 33X and 33Y of the FCA (CPA, ss 175 and 176) contains the following:</w:t>
      </w:r>
    </w:p>
    <w:p w14:paraId="053C4839" w14:textId="77777777" w:rsidR="006C06CE" w:rsidRDefault="006C06CE" w:rsidP="0069556C">
      <w:pPr>
        <w:pStyle w:val="leftright"/>
        <w:spacing w:after="260" w:line="280" w:lineRule="exact"/>
        <w:ind w:right="0"/>
        <w:jc w:val="both"/>
        <w:rPr>
          <w:rFonts w:ascii="Times New Roman" w:hAnsi="Times New Roman"/>
        </w:rPr>
      </w:pPr>
      <w:r w:rsidRPr="00915F39">
        <w:rPr>
          <w:rFonts w:ascii="Times New Roman" w:hAnsi="Times New Roman"/>
        </w:rPr>
        <w:t xml:space="preserve">"The solicitors for the Applicants are financing these proceedings, by paying lawyers in their employ as well as barristers and other experts, and by taking on the financial risks of conducting the proceeding, including by </w:t>
      </w:r>
      <w:r w:rsidRPr="00915F39">
        <w:rPr>
          <w:rFonts w:ascii="Times New Roman" w:hAnsi="Times New Roman"/>
        </w:rPr>
        <w:lastRenderedPageBreak/>
        <w:t>indemnifying the Applicants against adverse costs, and furnishing any security for costs ordered by the Court</w:t>
      </w:r>
      <w:r>
        <w:rPr>
          <w:rFonts w:ascii="Times New Roman" w:hAnsi="Times New Roman"/>
        </w:rPr>
        <w:t>.</w:t>
      </w:r>
    </w:p>
    <w:p w14:paraId="74AB64AE" w14:textId="77777777" w:rsidR="006C06CE" w:rsidRDefault="006C06CE" w:rsidP="0069556C">
      <w:pPr>
        <w:pStyle w:val="leftright"/>
        <w:spacing w:after="260" w:line="280" w:lineRule="exact"/>
        <w:ind w:right="0"/>
        <w:jc w:val="both"/>
        <w:rPr>
          <w:rFonts w:ascii="Times New Roman" w:hAnsi="Times New Roman"/>
        </w:rPr>
      </w:pPr>
      <w:r w:rsidRPr="00FD073C">
        <w:rPr>
          <w:rFonts w:ascii="Times New Roman" w:hAnsi="Times New Roman"/>
        </w:rPr>
        <w:t>If a settlement or judgment in the Class Action results in compensation being payable to you, the Applicants will ask the Court (who has the power</w:t>
      </w:r>
      <w:r>
        <w:rPr>
          <w:rFonts w:ascii="Times New Roman" w:hAnsi="Times New Roman"/>
        </w:rPr>
        <w:t xml:space="preserve"> </w:t>
      </w:r>
      <w:r w:rsidRPr="00FD073C">
        <w:rPr>
          <w:rFonts w:ascii="Times New Roman" w:hAnsi="Times New Roman"/>
        </w:rPr>
        <w:t xml:space="preserve">to make the below orders) to make an order that a portion of the compensation be used to remunerate the </w:t>
      </w:r>
      <w:r>
        <w:rPr>
          <w:rFonts w:ascii="Times New Roman" w:hAnsi="Times New Roman"/>
        </w:rPr>
        <w:t>lawyers</w:t>
      </w:r>
      <w:r w:rsidRPr="00FD073C">
        <w:rPr>
          <w:rFonts w:ascii="Times New Roman" w:hAnsi="Times New Roman"/>
        </w:rPr>
        <w:t xml:space="preserve"> for the value of their work, the expenses and outgoings (disbursements) they incurred, and the financial risks they took, in running the Class Action (a </w:t>
      </w:r>
      <w:r w:rsidRPr="00FD073C">
        <w:rPr>
          <w:rFonts w:ascii="Times New Roman" w:hAnsi="Times New Roman"/>
          <w:b/>
          <w:bCs/>
        </w:rPr>
        <w:t>Solicitors' CFO</w:t>
      </w:r>
      <w:r w:rsidRPr="00FD073C">
        <w:rPr>
          <w:rFonts w:ascii="Times New Roman" w:hAnsi="Times New Roman"/>
        </w:rPr>
        <w:t>). If it makes a Solicitors' CFO, the Court has power to</w:t>
      </w:r>
      <w:r>
        <w:rPr>
          <w:rFonts w:ascii="Times New Roman" w:hAnsi="Times New Roman"/>
        </w:rPr>
        <w:t xml:space="preserve"> </w:t>
      </w:r>
      <w:r w:rsidRPr="00FD073C">
        <w:rPr>
          <w:rFonts w:ascii="Times New Roman" w:hAnsi="Times New Roman"/>
        </w:rPr>
        <w:t xml:space="preserve">decide what portion of the compensation should be paid to the </w:t>
      </w:r>
      <w:proofErr w:type="gramStart"/>
      <w:r w:rsidRPr="00FD073C">
        <w:rPr>
          <w:rFonts w:ascii="Times New Roman" w:hAnsi="Times New Roman"/>
        </w:rPr>
        <w:t>solicitors, and</w:t>
      </w:r>
      <w:proofErr w:type="gramEnd"/>
      <w:r w:rsidRPr="00FD073C">
        <w:rPr>
          <w:rFonts w:ascii="Times New Roman" w:hAnsi="Times New Roman"/>
        </w:rPr>
        <w:t xml:space="preserve"> will set a proportion that the Court considers fair and reasonable in all the circumstances. The solicitors will not ask the Court to approve an amount that is greater than what a </w:t>
      </w:r>
      <w:proofErr w:type="gramStart"/>
      <w:r w:rsidRPr="00FD073C">
        <w:rPr>
          <w:rFonts w:ascii="Times New Roman" w:hAnsi="Times New Roman"/>
        </w:rPr>
        <w:t>third party</w:t>
      </w:r>
      <w:proofErr w:type="gramEnd"/>
      <w:r w:rsidRPr="00FD073C">
        <w:rPr>
          <w:rFonts w:ascii="Times New Roman" w:hAnsi="Times New Roman"/>
        </w:rPr>
        <w:t xml:space="preserve"> litigation funder would seek for funding this proceeding, which is up to 30% of the total recovery plus reimbursement of its out-of-pocket costs.</w:t>
      </w:r>
    </w:p>
    <w:p w14:paraId="6E426D55" w14:textId="77777777" w:rsidR="006C06CE" w:rsidRDefault="006C06CE" w:rsidP="00EB0B14">
      <w:pPr>
        <w:pStyle w:val="leftright"/>
        <w:spacing w:after="260" w:line="280" w:lineRule="exact"/>
        <w:ind w:right="0"/>
        <w:jc w:val="both"/>
        <w:rPr>
          <w:rFonts w:ascii="Times New Roman" w:hAnsi="Times New Roman"/>
        </w:rPr>
      </w:pPr>
      <w:r w:rsidRPr="00EB0B14">
        <w:rPr>
          <w:rFonts w:ascii="Times New Roman" w:hAnsi="Times New Roman"/>
        </w:rPr>
        <w:t>Some group members have previously entered 'litigation funding agreements' with International Litigation Partners No 10 Pte Ltd.</w:t>
      </w:r>
      <w:r>
        <w:rPr>
          <w:rFonts w:ascii="Times New Roman" w:hAnsi="Times New Roman"/>
        </w:rPr>
        <w:t xml:space="preserve"> </w:t>
      </w:r>
      <w:r w:rsidRPr="00EB0B14">
        <w:rPr>
          <w:rFonts w:ascii="Times New Roman" w:hAnsi="Times New Roman"/>
        </w:rPr>
        <w:t>If the Solicitors' CFO is made, it will wholly replace the ILP funding agreements</w:t>
      </w:r>
      <w:r>
        <w:rPr>
          <w:rFonts w:ascii="Times New Roman" w:hAnsi="Times New Roman"/>
        </w:rPr>
        <w:t>."</w:t>
      </w:r>
    </w:p>
    <w:p w14:paraId="30276E48" w14:textId="77777777" w:rsidR="006C06CE" w:rsidRPr="00E124C6" w:rsidRDefault="006C06CE" w:rsidP="00E124C6">
      <w:pPr>
        <w:pStyle w:val="HeadingL1"/>
        <w:spacing w:after="260" w:line="280" w:lineRule="exact"/>
        <w:ind w:right="0"/>
        <w:jc w:val="both"/>
        <w:rPr>
          <w:rFonts w:ascii="Times New Roman" w:hAnsi="Times New Roman"/>
        </w:rPr>
      </w:pPr>
      <w:r w:rsidRPr="00E124C6">
        <w:rPr>
          <w:rFonts w:ascii="Times New Roman" w:hAnsi="Times New Roman"/>
        </w:rPr>
        <w:t>Sections 33V and 33Z of the FCA and s 183(1) of the NSW LPUL</w:t>
      </w:r>
    </w:p>
    <w:p w14:paraId="73BE8457" w14:textId="77777777" w:rsidR="006C06CE" w:rsidRPr="00E124C6" w:rsidRDefault="006C06CE" w:rsidP="00E124C6">
      <w:pPr>
        <w:pStyle w:val="HeadingL2"/>
        <w:spacing w:after="260" w:line="280" w:lineRule="exact"/>
        <w:ind w:right="0"/>
        <w:jc w:val="both"/>
        <w:rPr>
          <w:rFonts w:ascii="Times New Roman" w:hAnsi="Times New Roman"/>
        </w:rPr>
      </w:pPr>
      <w:r w:rsidRPr="00E124C6">
        <w:rPr>
          <w:rFonts w:ascii="Times New Roman" w:hAnsi="Times New Roman"/>
        </w:rPr>
        <w:t>Brewster distinguishable</w:t>
      </w:r>
    </w:p>
    <w:p w14:paraId="6EE7E2AE"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In contrast to s 33ZF of the FCA and s 183 of the CPA, which were the subject of consideration in </w:t>
      </w:r>
      <w:r w:rsidRPr="00E124C6">
        <w:rPr>
          <w:rFonts w:ascii="Times New Roman" w:hAnsi="Times New Roman"/>
          <w:i/>
          <w:iCs/>
        </w:rPr>
        <w:t>Brewster</w:t>
      </w:r>
      <w:r w:rsidRPr="00E124C6">
        <w:rPr>
          <w:rFonts w:ascii="Times New Roman" w:hAnsi="Times New Roman"/>
        </w:rPr>
        <w:t>, s 33V of the FCA (CPA, s 173) is a power available on approval by the Court of a settlement or discontinuance of a representative proceeding and s 33Z (CPA, s 177) is a power available on the Court making an order for an award of damages. To the extent relevant, these provisions of the FCA (which are in substantially the same terms as those in the CPA) are as follows:</w:t>
      </w:r>
    </w:p>
    <w:p w14:paraId="50F02EC3" w14:textId="77777777" w:rsidR="006C06CE" w:rsidRPr="00E124C6" w:rsidRDefault="006C06CE" w:rsidP="00E124C6">
      <w:pPr>
        <w:pStyle w:val="leftright"/>
        <w:spacing w:before="0" w:after="260" w:line="280" w:lineRule="exact"/>
        <w:ind w:right="0"/>
        <w:jc w:val="both"/>
        <w:rPr>
          <w:rFonts w:ascii="Times New Roman" w:hAnsi="Times New Roman"/>
        </w:rPr>
      </w:pPr>
      <w:r w:rsidRPr="00E124C6">
        <w:rPr>
          <w:rFonts w:ascii="Times New Roman" w:hAnsi="Times New Roman"/>
        </w:rPr>
        <w:t>"</w:t>
      </w:r>
      <w:r w:rsidRPr="00E124C6">
        <w:rPr>
          <w:rFonts w:ascii="Times New Roman" w:hAnsi="Times New Roman"/>
          <w:b/>
          <w:bCs/>
        </w:rPr>
        <w:t xml:space="preserve">33V [CPA, s 173] </w:t>
      </w:r>
      <w:r w:rsidRPr="00E124C6">
        <w:rPr>
          <w:rFonts w:ascii="Times New Roman" w:hAnsi="Times New Roman"/>
        </w:rPr>
        <w:t>...</w:t>
      </w:r>
    </w:p>
    <w:p w14:paraId="293ECAEE"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(1)</w:t>
      </w:r>
      <w:r w:rsidRPr="00E124C6">
        <w:rPr>
          <w:rFonts w:ascii="Times New Roman" w:hAnsi="Times New Roman"/>
        </w:rPr>
        <w:tab/>
        <w:t>A representative proceeding may not be settled or discontinued without the approval of the Court.</w:t>
      </w:r>
    </w:p>
    <w:p w14:paraId="68FBC900" w14:textId="77777777" w:rsidR="006C06CE"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(2)</w:t>
      </w:r>
      <w:r w:rsidRPr="00E124C6">
        <w:rPr>
          <w:rFonts w:ascii="Times New Roman" w:hAnsi="Times New Roman"/>
        </w:rPr>
        <w:tab/>
        <w:t>If the Court gives such an approval, it may make such orders as are just with respect to the distribution of any money paid under a settlement or paid into the Court."</w:t>
      </w:r>
    </w:p>
    <w:p w14:paraId="1E5AFC37" w14:textId="77777777" w:rsidR="006C06CE" w:rsidRPr="00E124C6" w:rsidRDefault="006C06CE" w:rsidP="00E124C6">
      <w:pPr>
        <w:pStyle w:val="leftright"/>
        <w:spacing w:before="0" w:after="260" w:line="280" w:lineRule="exact"/>
        <w:ind w:right="0"/>
        <w:jc w:val="both"/>
        <w:rPr>
          <w:rFonts w:ascii="Times New Roman" w:hAnsi="Times New Roman"/>
        </w:rPr>
      </w:pPr>
      <w:r w:rsidRPr="00E124C6">
        <w:rPr>
          <w:rFonts w:ascii="Times New Roman" w:hAnsi="Times New Roman"/>
        </w:rPr>
        <w:t>"</w:t>
      </w:r>
      <w:r w:rsidRPr="00E124C6">
        <w:rPr>
          <w:rFonts w:ascii="Times New Roman" w:hAnsi="Times New Roman"/>
          <w:b/>
          <w:bCs/>
        </w:rPr>
        <w:t xml:space="preserve">33Z [CPA, s 177] </w:t>
      </w:r>
      <w:r w:rsidRPr="00E124C6">
        <w:rPr>
          <w:rFonts w:ascii="Times New Roman" w:hAnsi="Times New Roman"/>
        </w:rPr>
        <w:t>...</w:t>
      </w:r>
    </w:p>
    <w:p w14:paraId="238A7D15"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(1)</w:t>
      </w:r>
      <w:r w:rsidRPr="00E124C6">
        <w:rPr>
          <w:rFonts w:ascii="Times New Roman" w:hAnsi="Times New Roman"/>
        </w:rPr>
        <w:tab/>
        <w:t>The Court may, in determining a matter in a representative proceeding, do any one or more of the following:</w:t>
      </w:r>
    </w:p>
    <w:p w14:paraId="12ED63D3" w14:textId="77777777" w:rsidR="006C06CE" w:rsidRPr="00E124C6" w:rsidRDefault="006C06CE" w:rsidP="00E124C6">
      <w:pPr>
        <w:pStyle w:val="leftright"/>
        <w:spacing w:before="0" w:after="260" w:line="280" w:lineRule="exact"/>
        <w:ind w:left="1440" w:right="0"/>
        <w:jc w:val="both"/>
        <w:rPr>
          <w:rFonts w:ascii="Times New Roman" w:hAnsi="Times New Roman"/>
        </w:rPr>
      </w:pPr>
      <w:r w:rsidRPr="00E124C6">
        <w:rPr>
          <w:rFonts w:ascii="Times New Roman" w:hAnsi="Times New Roman"/>
        </w:rPr>
        <w:lastRenderedPageBreak/>
        <w:t>...</w:t>
      </w:r>
    </w:p>
    <w:p w14:paraId="381B5D49" w14:textId="77777777" w:rsidR="006C06CE" w:rsidRPr="00E124C6" w:rsidRDefault="006C06CE" w:rsidP="00E124C6">
      <w:pPr>
        <w:pStyle w:val="leftright"/>
        <w:spacing w:before="0" w:after="260" w:line="280" w:lineRule="exact"/>
        <w:ind w:left="2160" w:right="0" w:hanging="720"/>
        <w:jc w:val="both"/>
        <w:rPr>
          <w:rFonts w:ascii="Times New Roman" w:hAnsi="Times New Roman"/>
        </w:rPr>
      </w:pPr>
      <w:r w:rsidRPr="00E124C6">
        <w:rPr>
          <w:rFonts w:ascii="Times New Roman" w:hAnsi="Times New Roman"/>
        </w:rPr>
        <w:t>(e)</w:t>
      </w:r>
      <w:r w:rsidRPr="00E124C6">
        <w:rPr>
          <w:rFonts w:ascii="Times New Roman" w:hAnsi="Times New Roman"/>
        </w:rPr>
        <w:tab/>
        <w:t xml:space="preserve">make an award of damages for group members, sub-group members or individual group members, being damages consisting of specified amounts or amounts worked out in such manner as the Court </w:t>
      </w:r>
      <w:proofErr w:type="gramStart"/>
      <w:r w:rsidRPr="00E124C6">
        <w:rPr>
          <w:rFonts w:ascii="Times New Roman" w:hAnsi="Times New Roman"/>
        </w:rPr>
        <w:t>specifies;</w:t>
      </w:r>
      <w:proofErr w:type="gramEnd"/>
    </w:p>
    <w:p w14:paraId="0CD685E0" w14:textId="77777777" w:rsidR="006C06CE" w:rsidRPr="00E124C6" w:rsidRDefault="006C06CE" w:rsidP="00E124C6">
      <w:pPr>
        <w:pStyle w:val="leftright"/>
        <w:spacing w:before="0" w:after="260" w:line="280" w:lineRule="exact"/>
        <w:ind w:left="2160" w:right="0" w:hanging="720"/>
        <w:jc w:val="both"/>
        <w:rPr>
          <w:rFonts w:ascii="Times New Roman" w:hAnsi="Times New Roman"/>
        </w:rPr>
      </w:pPr>
      <w:r w:rsidRPr="00E124C6">
        <w:rPr>
          <w:rFonts w:ascii="Times New Roman" w:hAnsi="Times New Roman"/>
        </w:rPr>
        <w:t>(f)</w:t>
      </w:r>
      <w:r w:rsidRPr="00E124C6">
        <w:rPr>
          <w:rFonts w:ascii="Times New Roman" w:hAnsi="Times New Roman"/>
        </w:rPr>
        <w:tab/>
        <w:t xml:space="preserve">award damages in an aggregate amount without specifying amounts awarded in respect of individual group </w:t>
      </w:r>
      <w:proofErr w:type="gramStart"/>
      <w:r w:rsidRPr="00E124C6">
        <w:rPr>
          <w:rFonts w:ascii="Times New Roman" w:hAnsi="Times New Roman"/>
        </w:rPr>
        <w:t>members;</w:t>
      </w:r>
      <w:proofErr w:type="gramEnd"/>
    </w:p>
    <w:p w14:paraId="1CDA9960" w14:textId="77777777" w:rsidR="006C06CE" w:rsidRPr="00E124C6" w:rsidRDefault="006C06CE" w:rsidP="00E124C6">
      <w:pPr>
        <w:pStyle w:val="leftright"/>
        <w:spacing w:before="0" w:after="260" w:line="280" w:lineRule="exact"/>
        <w:ind w:left="2160" w:right="0" w:hanging="720"/>
        <w:jc w:val="both"/>
        <w:rPr>
          <w:rFonts w:ascii="Times New Roman" w:hAnsi="Times New Roman"/>
        </w:rPr>
      </w:pPr>
      <w:r w:rsidRPr="00E124C6">
        <w:rPr>
          <w:rFonts w:ascii="Times New Roman" w:hAnsi="Times New Roman"/>
        </w:rPr>
        <w:t>(g)</w:t>
      </w:r>
      <w:r w:rsidRPr="00E124C6">
        <w:rPr>
          <w:rFonts w:ascii="Times New Roman" w:hAnsi="Times New Roman"/>
        </w:rPr>
        <w:tab/>
        <w:t>make such other order as the Court thinks just.</w:t>
      </w:r>
    </w:p>
    <w:p w14:paraId="093AB7CB"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(2)</w:t>
      </w:r>
      <w:r w:rsidRPr="00E124C6">
        <w:rPr>
          <w:rFonts w:ascii="Times New Roman" w:hAnsi="Times New Roman"/>
        </w:rPr>
        <w:tab/>
        <w:t>In making an order for an award of damages, the Court must make provision for the payment or distribution of the money to the group members entitled.</w:t>
      </w:r>
    </w:p>
    <w:p w14:paraId="2CA997E7" w14:textId="77777777" w:rsidR="006C06CE"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w:t>
      </w:r>
    </w:p>
    <w:p w14:paraId="01353264" w14:textId="77777777" w:rsidR="006C06CE" w:rsidRPr="00E124C6" w:rsidRDefault="006C06CE" w:rsidP="00E124C6">
      <w:pPr>
        <w:pStyle w:val="leftright"/>
        <w:spacing w:before="0" w:after="260" w:line="280" w:lineRule="exact"/>
        <w:ind w:right="0"/>
        <w:jc w:val="both"/>
        <w:rPr>
          <w:rFonts w:ascii="Times New Roman" w:hAnsi="Times New Roman"/>
        </w:rPr>
      </w:pPr>
      <w:r w:rsidRPr="00E124C6">
        <w:rPr>
          <w:rFonts w:ascii="Times New Roman" w:hAnsi="Times New Roman"/>
        </w:rPr>
        <w:t>"</w:t>
      </w:r>
      <w:r w:rsidRPr="00E124C6">
        <w:rPr>
          <w:rFonts w:ascii="Times New Roman" w:hAnsi="Times New Roman"/>
          <w:b/>
          <w:bCs/>
        </w:rPr>
        <w:t xml:space="preserve">33ZF [CPA, s 183] </w:t>
      </w:r>
      <w:r w:rsidRPr="00E124C6">
        <w:rPr>
          <w:rFonts w:ascii="Times New Roman" w:hAnsi="Times New Roman"/>
        </w:rPr>
        <w:t>...</w:t>
      </w:r>
    </w:p>
    <w:p w14:paraId="70DAE604"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(1)</w:t>
      </w:r>
      <w:r w:rsidRPr="00E124C6">
        <w:rPr>
          <w:rFonts w:ascii="Times New Roman" w:hAnsi="Times New Roman"/>
        </w:rPr>
        <w:tab/>
        <w:t>In any proceeding (including an appeal) conducted under this Part, the Court may, of its own motion or on application by a party or a group member, make any order the Court thinks appropriate or necessary to ensure that justice is done in the proceeding.</w:t>
      </w:r>
    </w:p>
    <w:p w14:paraId="18B7106E" w14:textId="77777777" w:rsidR="006C06CE" w:rsidRDefault="006C06CE" w:rsidP="00E124C6">
      <w:pPr>
        <w:pStyle w:val="leftright"/>
        <w:spacing w:before="0" w:after="260" w:line="280" w:lineRule="exact"/>
        <w:ind w:right="0"/>
        <w:jc w:val="both"/>
        <w:rPr>
          <w:rFonts w:ascii="Times New Roman" w:hAnsi="Times New Roman"/>
        </w:rPr>
      </w:pPr>
      <w:r w:rsidRPr="00E124C6">
        <w:rPr>
          <w:rFonts w:ascii="Times New Roman" w:hAnsi="Times New Roman"/>
        </w:rPr>
        <w:t>..."</w:t>
      </w:r>
    </w:p>
    <w:p w14:paraId="41FE1D68"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The first and second respondents, by a notice of contention, sought leave to re-open the decision in </w:t>
      </w:r>
      <w:r w:rsidRPr="00E124C6">
        <w:rPr>
          <w:rFonts w:ascii="Times New Roman" w:hAnsi="Times New Roman"/>
          <w:i/>
          <w:iCs/>
        </w:rPr>
        <w:t>Brewster</w:t>
      </w:r>
      <w:r w:rsidRPr="00E124C6">
        <w:rPr>
          <w:rFonts w:ascii="Times New Roman" w:hAnsi="Times New Roman"/>
        </w:rPr>
        <w:t xml:space="preserve"> and submitted that the decision should be overturned on the basis that, properly construed, s 33ZF of the FCA enables the Federal Court of Australia to make a CFO before settlement or discontinuance of, or the making of an order for an award of damages in, a representative proceeding.</w:t>
      </w:r>
    </w:p>
    <w:p w14:paraId="4CBB09A1"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There is insufficient justification in the circumstances of the present case to grant leave to re-open </w:t>
      </w:r>
      <w:r w:rsidRPr="00E124C6">
        <w:rPr>
          <w:rFonts w:ascii="Times New Roman" w:hAnsi="Times New Roman"/>
          <w:i/>
          <w:iCs/>
        </w:rPr>
        <w:t>Brewster</w:t>
      </w:r>
      <w:r w:rsidRPr="00E124C6">
        <w:rPr>
          <w:rFonts w:ascii="Times New Roman" w:hAnsi="Times New Roman"/>
        </w:rPr>
        <w:t xml:space="preserve">. The primary argument of the first and second respondents is that </w:t>
      </w:r>
      <w:r w:rsidRPr="00E124C6">
        <w:rPr>
          <w:rFonts w:ascii="Times New Roman" w:hAnsi="Times New Roman"/>
          <w:i/>
          <w:iCs/>
        </w:rPr>
        <w:t>Brewster</w:t>
      </w:r>
      <w:r w:rsidRPr="00E124C6">
        <w:rPr>
          <w:rFonts w:ascii="Times New Roman" w:hAnsi="Times New Roman"/>
        </w:rPr>
        <w:t xml:space="preserve"> is distinguishable as the reasoning in </w:t>
      </w:r>
      <w:r w:rsidRPr="00E124C6">
        <w:rPr>
          <w:rFonts w:ascii="Times New Roman" w:hAnsi="Times New Roman"/>
          <w:i/>
          <w:iCs/>
        </w:rPr>
        <w:t>Brewster</w:t>
      </w:r>
      <w:r w:rsidRPr="00E124C6">
        <w:rPr>
          <w:rFonts w:ascii="Times New Roman" w:hAnsi="Times New Roman"/>
        </w:rPr>
        <w:t xml:space="preserve"> depended on the specific terms of s 33ZF of the FCA, which are different from the terms of ss 33V and 33Z of the FCA. This primary argument must be accepted.</w:t>
      </w:r>
    </w:p>
    <w:p w14:paraId="3E6D4014"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The proposed order in </w:t>
      </w:r>
      <w:r w:rsidRPr="00E124C6">
        <w:rPr>
          <w:rFonts w:ascii="Times New Roman" w:hAnsi="Times New Roman"/>
          <w:i/>
          <w:iCs/>
        </w:rPr>
        <w:t>Brewster</w:t>
      </w:r>
      <w:r w:rsidRPr="00E124C6">
        <w:rPr>
          <w:rFonts w:ascii="Times New Roman" w:hAnsi="Times New Roman"/>
        </w:rPr>
        <w:t xml:space="preserve"> was to be made at an early stage of the proceeding, before settlement, discontinuance or judgment. As such, neither s 33V nor s 33Z of the FCA was available. Rather, power to make such an order, if it existed, depended on s 33ZF of the FCA. Whatever the merits of the competing views disclosed in the judgments in </w:t>
      </w:r>
      <w:r w:rsidRPr="00E124C6">
        <w:rPr>
          <w:rFonts w:ascii="Times New Roman" w:hAnsi="Times New Roman"/>
          <w:i/>
          <w:iCs/>
        </w:rPr>
        <w:t>Brewster</w:t>
      </w:r>
      <w:r w:rsidRPr="00E124C6">
        <w:rPr>
          <w:rFonts w:ascii="Times New Roman" w:hAnsi="Times New Roman"/>
        </w:rPr>
        <w:t xml:space="preserve">, there is a material difference between (on the one hand) a CFO being made as part of a settlement or discontinuance of, or the giving of a judgment including an award of damages in, a representative proceeding, the effect of each of which is the finalisation of the </w:t>
      </w:r>
      <w:r w:rsidRPr="00E124C6">
        <w:rPr>
          <w:rFonts w:ascii="Times New Roman" w:hAnsi="Times New Roman"/>
        </w:rPr>
        <w:lastRenderedPageBreak/>
        <w:t>substance of the proceeding, and (on the other hand) a CFO being made at an early stage in the representative proceeding to ensure adequate funding of the conduct of the proceeding.</w:t>
      </w:r>
    </w:p>
    <w:p w14:paraId="004009E6"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In a court making orders to provide for the settlement or discontinuance of, or the giving of a judgment including an award of damages in, a proceeding, it is not uncommon for orders to be made incorporating adjustments for costs and expenses between the parties, which can extend to adjustments reflecting liabilities of parties to other persons at least to the extent those other liabilities are sufficiently connected to the matters in controversy between the parties. Such orders by way of adjustment are within the scope of s 22 of the FCA (</w:t>
      </w:r>
      <w:r w:rsidRPr="00E124C6">
        <w:rPr>
          <w:rFonts w:ascii="Times New Roman" w:hAnsi="Times New Roman"/>
          <w:i/>
          <w:iCs/>
        </w:rPr>
        <w:t>Supreme Court Act 1970</w:t>
      </w:r>
      <w:r w:rsidRPr="00E124C6">
        <w:rPr>
          <w:rFonts w:ascii="Times New Roman" w:hAnsi="Times New Roman"/>
        </w:rPr>
        <w:t xml:space="preserve"> (NSW) ("the NSW SCA"), s 63), which provides that the Court "shall ... grant, either absolutely or on such terms and conditions as the Court thinks just, all remedies to which any of the parties appears to be entitled in respect of a legal or equitable claim properly brought forward by him or her in the matter, so that, as far as possible, all matters in controversy between the parties may be completely and finally determined and all multiplicity of proceedings concerning any of those matters avoided". </w:t>
      </w:r>
    </w:p>
    <w:p w14:paraId="33C86CBC"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Section 33V(2) of the FCA, in providing that on approval of settlement or discontinuance of a representative proceeding the Court "may make such orders as are just with respect to the distribution of any money paid under a settlement or paid into the Court", and s 33Z(1)(g) of the FCA, in providing that in determining a matter in a representative proceeding the Court may "make such other order as the Court thinks just", are to be understood in the broader context of s 22 of the FCA (NSW SCA, s 63). Accordingly, neither s 33</w:t>
      </w:r>
      <w:proofErr w:type="gramStart"/>
      <w:r w:rsidRPr="00E124C6">
        <w:rPr>
          <w:rFonts w:ascii="Times New Roman" w:hAnsi="Times New Roman"/>
        </w:rPr>
        <w:t>V(</w:t>
      </w:r>
      <w:proofErr w:type="gramEnd"/>
      <w:r w:rsidRPr="00E124C6">
        <w:rPr>
          <w:rFonts w:ascii="Times New Roman" w:hAnsi="Times New Roman"/>
        </w:rPr>
        <w:t>2) nor s 33Z(1)(g) is to be construed as confining the Court to the making of orders providing for payments only to the parties to the proceeding. The power to make other orders as the Court thinks just in each provision ensures that, in furtherance of the powers in s 22 of the FCA (NSW SCA, s 63), the Court can also make orders adjusting the payments to any party by, amongst other things, determining liabilities of that party to another person, at least to the extent the liability to be determined is sufficiently connected to the representative proceeding. This power extends to circumstances in which there is an existing quantifiable liability and in which the terms of the order both constitute and quantify the liability. There can be no real doubt that the making of a CFO (understood as defined above) satisfies the required sufficiency of connection.</w:t>
      </w:r>
    </w:p>
    <w:p w14:paraId="2B003A46"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In addition, </w:t>
      </w:r>
      <w:r w:rsidRPr="00E124C6">
        <w:rPr>
          <w:rFonts w:ascii="Times New Roman" w:hAnsi="Times New Roman"/>
          <w:i/>
          <w:iCs/>
        </w:rPr>
        <w:t>Brewster</w:t>
      </w:r>
      <w:r w:rsidRPr="00E124C6">
        <w:rPr>
          <w:rFonts w:ascii="Times New Roman" w:hAnsi="Times New Roman"/>
        </w:rPr>
        <w:t xml:space="preserve"> did not concern the making of a CFO in favour of a law practice regulated by the NSW LPUL but, rather, the making of a CFO before settlement, discontinuance or judgment in favour of a litigation funder which was not a law practice. </w:t>
      </w:r>
    </w:p>
    <w:p w14:paraId="42C8465A"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Accordingly, the correctness of </w:t>
      </w:r>
      <w:r w:rsidRPr="00E124C6">
        <w:rPr>
          <w:rFonts w:ascii="Times New Roman" w:hAnsi="Times New Roman"/>
          <w:i/>
          <w:iCs/>
        </w:rPr>
        <w:t>Brewster</w:t>
      </w:r>
      <w:r w:rsidRPr="00E124C6">
        <w:rPr>
          <w:rFonts w:ascii="Times New Roman" w:hAnsi="Times New Roman"/>
        </w:rPr>
        <w:t xml:space="preserve"> does not arise for direct consideration in this matter. Given the "strongly conservative cautionary principle, adopted in the interests of continuity and consistency in the law, that such a course </w:t>
      </w:r>
      <w:r w:rsidRPr="00E124C6">
        <w:rPr>
          <w:rFonts w:ascii="Times New Roman" w:hAnsi="Times New Roman"/>
        </w:rPr>
        <w:lastRenderedPageBreak/>
        <w:t>[granting leave to re-open a decision] should not lightly be taken",</w:t>
      </w:r>
      <w:r w:rsidRPr="00E124C6">
        <w:rPr>
          <w:rStyle w:val="FootnoteReference"/>
          <w:rFonts w:ascii="Times New Roman" w:hAnsi="Times New Roman"/>
          <w:sz w:val="24"/>
        </w:rPr>
        <w:footnoteReference w:id="187"/>
      </w:r>
      <w:r w:rsidRPr="00E124C6">
        <w:rPr>
          <w:rFonts w:ascii="Times New Roman" w:hAnsi="Times New Roman"/>
        </w:rPr>
        <w:t xml:space="preserve"> the factors identified as relevant to the grant of leave to re-open a decision of this Court</w:t>
      </w:r>
      <w:r w:rsidRPr="00E124C6">
        <w:rPr>
          <w:rStyle w:val="FootnoteReference"/>
          <w:rFonts w:ascii="Times New Roman" w:hAnsi="Times New Roman"/>
          <w:sz w:val="24"/>
        </w:rPr>
        <w:footnoteReference w:id="188"/>
      </w:r>
      <w:r w:rsidRPr="00E124C6">
        <w:rPr>
          <w:rFonts w:ascii="Times New Roman" w:hAnsi="Times New Roman"/>
        </w:rPr>
        <w:t xml:space="preserve"> do not carry enough weight to result in that course being adopted. The outcome in </w:t>
      </w:r>
      <w:r w:rsidRPr="00E124C6">
        <w:rPr>
          <w:rFonts w:ascii="Times New Roman" w:hAnsi="Times New Roman"/>
          <w:i/>
          <w:iCs/>
        </w:rPr>
        <w:t>Brewster</w:t>
      </w:r>
      <w:r w:rsidRPr="00E124C6">
        <w:rPr>
          <w:rFonts w:ascii="Times New Roman" w:hAnsi="Times New Roman"/>
        </w:rPr>
        <w:t xml:space="preserve"> depended on ordinary principles of statutory construction, the application of which may be reasonably contestable. The differences in reasoning between those Justices forming the majority is not particularly significant. The result in </w:t>
      </w:r>
      <w:r w:rsidRPr="00E124C6">
        <w:rPr>
          <w:rFonts w:ascii="Times New Roman" w:hAnsi="Times New Roman"/>
          <w:i/>
          <w:iCs/>
        </w:rPr>
        <w:t>Brewster</w:t>
      </w:r>
      <w:r w:rsidRPr="00E124C6">
        <w:rPr>
          <w:rFonts w:ascii="Times New Roman" w:hAnsi="Times New Roman"/>
        </w:rPr>
        <w:t xml:space="preserve"> may be somewhat inconvenient but the first and second respondents' submissions recognise that, in practice, the result has not stymied the evolution of case management strategies appropriate to representative proceedings. Given that </w:t>
      </w:r>
      <w:r w:rsidRPr="00E124C6">
        <w:rPr>
          <w:rFonts w:ascii="Times New Roman" w:hAnsi="Times New Roman"/>
          <w:i/>
          <w:iCs/>
        </w:rPr>
        <w:t>Brewster</w:t>
      </w:r>
      <w:r w:rsidRPr="00E124C6">
        <w:rPr>
          <w:rFonts w:ascii="Times New Roman" w:hAnsi="Times New Roman"/>
        </w:rPr>
        <w:t xml:space="preserve"> is a recent decision of this Court in which five of seven Justices decided that s 33ZF of the FCA and s 183 of the CPA did not enable the making of a CFO, the interests of continuity and consistency in the law outweigh such interest as might exist in this Court re-opening and re-deciding the very same question of statutory construction.</w:t>
      </w:r>
    </w:p>
    <w:p w14:paraId="183FCA02" w14:textId="77777777" w:rsidR="006C06CE" w:rsidRPr="00E124C6" w:rsidRDefault="006C06CE" w:rsidP="00E124C6">
      <w:pPr>
        <w:pStyle w:val="HeadingL2"/>
        <w:spacing w:after="260" w:line="280" w:lineRule="exact"/>
        <w:ind w:right="0"/>
        <w:jc w:val="both"/>
        <w:rPr>
          <w:rFonts w:ascii="Times New Roman" w:hAnsi="Times New Roman"/>
        </w:rPr>
      </w:pPr>
      <w:r w:rsidRPr="00E124C6">
        <w:rPr>
          <w:rFonts w:ascii="Times New Roman" w:hAnsi="Times New Roman"/>
        </w:rPr>
        <w:t>Overview of responses to key arguments</w:t>
      </w:r>
    </w:p>
    <w:p w14:paraId="62356400"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As will be explained, the five key arguments of the first and second respondents supporting a positive answer to the question in the appeals involve several misconceptions which seek to negate the relevance of the fact that the law practices, unlike any other litigation funder, are subject to specific regulation including by the NSW LPUL, s 183(1) of which provides that a law practice subject to the NSW LPUL must not "enter into a costs agreement" under which "the amount payable to the law practice" is "calculated by reference to the amount of any award or settlement or the value of any property that may be recovered in any proceedings to which the agreement relates". </w:t>
      </w:r>
    </w:p>
    <w:p w14:paraId="354A3376"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First, even if a "costs agreement" in s 183(1) of the NSW LPUL means a costs agreement for "legal costs" as defined in the NSW LPUL (which, as will be explained, it does not), a law practice's risks in funding a representative proceeding (both in terms of not recovering funded costs and expenses and in being subjected to adverse costs orders) are within the definition of "legal costs" in the NSW LPUL as those risks are part of "business transacted, in the ordinary course of legal practice". </w:t>
      </w:r>
    </w:p>
    <w:p w14:paraId="7AA4F913"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Second, and in any event, a "costs agreement" as referred to in s 183(1) of the NSW LPUL is not confined to "legal costs". So much is plain from the reference in s 183(1) to "a costs agreement under which the amount payable to the </w:t>
      </w:r>
      <w:r w:rsidRPr="00E124C6">
        <w:rPr>
          <w:rFonts w:ascii="Times New Roman" w:hAnsi="Times New Roman"/>
        </w:rPr>
        <w:lastRenderedPageBreak/>
        <w:t>law practice, or any part of that amount ...". Properly construed, in context, such an "amount" is not confined to "legal costs".</w:t>
      </w:r>
    </w:p>
    <w:p w14:paraId="25F44B7C"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Third, it is not to the point that the proposed addendum to the costs agreement does not itself embody an agreement by force of which there will be an amount payable to the law practice calculated by reference to the amount of any award or settlement or the value of any property that may be recovered in any proceedings to which the agreement relates. The proposed addendum to the </w:t>
      </w:r>
      <w:proofErr w:type="gramStart"/>
      <w:r w:rsidRPr="00E124C6">
        <w:rPr>
          <w:rFonts w:ascii="Times New Roman" w:hAnsi="Times New Roman"/>
        </w:rPr>
        <w:t>costs</w:t>
      </w:r>
      <w:proofErr w:type="gramEnd"/>
      <w:r w:rsidRPr="00E124C6">
        <w:rPr>
          <w:rFonts w:ascii="Times New Roman" w:hAnsi="Times New Roman"/>
        </w:rPr>
        <w:t xml:space="preserve"> agreement is an agreement "under which" an amount payable to the law practice is to be calculated by reference to the amount of any award or settlement or the value of any property that may be recovered in any proceedings to which the agreement relates. The interposition of the client agreeing to the law practice applying to the Court for the making of an order by which an amount to be paid to the law practice is calculated by reference to the amount of any award or settlement or the value of any property that may be recovered in any proceedings to which the agreement relates does not take the costs agreement outside of the scope of the prohibition in s 183(1).</w:t>
      </w:r>
    </w:p>
    <w:p w14:paraId="28009802"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Fourth, the prohibition in s 183(1) is not just a matter relevant to the exercise of a discretion by the Court whether to make a CFO providing for the distribution of funds to a law practice subject to the NSW LPUL other than as payment for costs and disbursements incurred in relation to the conduct of the proceeding. Leaving aside the express power vested in the Supreme Court of Victoria by s 33ZDA of the Victorian SCA, ss 33V and 33Z of the FCA cannot be construed as enabling the Court to give effect to a costs agreement by which the law practice has contravened the prohibition in s 183(1) of the NSW LPUL, exposing the law practice to both the imposition of a civil penalty and a finding of unsatisfactory professional conduct or professional misconduct.</w:t>
      </w:r>
    </w:p>
    <w:p w14:paraId="39D454E7"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Fifth, the provisions of the FCA concerning proceedings, including representative proceedings, are to be construed in a context which assumes the existence of State and Territory legislation regulating the conduct of Australian lawyers and law practices. Once this is recognised, there is no inconsistency between the FCA as Commonwealth legislation and the State and Territory legislation regulating the conduct of Australian lawyers and law practices.</w:t>
      </w:r>
    </w:p>
    <w:p w14:paraId="21C9E308" w14:textId="77777777" w:rsidR="006C06CE" w:rsidRPr="00E124C6" w:rsidRDefault="006C06CE" w:rsidP="00E124C6">
      <w:pPr>
        <w:pStyle w:val="HeadingL2"/>
        <w:spacing w:after="260" w:line="280" w:lineRule="exact"/>
        <w:ind w:right="0"/>
        <w:jc w:val="both"/>
        <w:rPr>
          <w:rFonts w:ascii="Times New Roman" w:hAnsi="Times New Roman"/>
        </w:rPr>
      </w:pPr>
      <w:r w:rsidRPr="00E124C6">
        <w:rPr>
          <w:rFonts w:ascii="Times New Roman" w:hAnsi="Times New Roman"/>
        </w:rPr>
        <w:t>"Risk services", "legal costs", "costs agreement": first and second arguments</w:t>
      </w:r>
    </w:p>
    <w:p w14:paraId="59177DD3"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It is not in doubt that a law practice conducting litigation may act as a litigation funder. It may do so consistently with the NSW LPUL including by negotiating with a client a conditional costs agreement under s 181 of the NSW LPUL and a conditional costs agreement with provision for the payment of an uplift fee (meaning "additional legal costs (excluding disbursements) payable under a costs agreement on the successful outcome of the matter to which the </w:t>
      </w:r>
      <w:r w:rsidRPr="00E124C6">
        <w:rPr>
          <w:rFonts w:ascii="Times New Roman" w:hAnsi="Times New Roman"/>
        </w:rPr>
        <w:lastRenderedPageBreak/>
        <w:t>agreement relates")</w:t>
      </w:r>
      <w:r w:rsidRPr="00E124C6">
        <w:rPr>
          <w:rStyle w:val="FootnoteReference"/>
          <w:rFonts w:ascii="Times New Roman" w:hAnsi="Times New Roman"/>
          <w:sz w:val="24"/>
        </w:rPr>
        <w:footnoteReference w:id="189"/>
      </w:r>
      <w:r w:rsidRPr="00E124C6">
        <w:rPr>
          <w:rFonts w:ascii="Times New Roman" w:hAnsi="Times New Roman"/>
        </w:rPr>
        <w:t xml:space="preserve"> not exceeding 25% of the legal costs (excluding disbursements) as provided for in s 182 of the NSW LPUL. A law practice may not do so, however, in contravention of s 183(1) of the NSW LPUL. </w:t>
      </w:r>
    </w:p>
    <w:p w14:paraId="7542F246"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"Costs agreement" is not defined in the NSW LPUL. Rather, s 179 provides that a "client of a law practice has the right to require and to have a negotiated costs agreement with the law practice" and s 180 provides for the making of a </w:t>
      </w:r>
      <w:proofErr w:type="gramStart"/>
      <w:r w:rsidRPr="00E124C6">
        <w:rPr>
          <w:rFonts w:ascii="Times New Roman" w:hAnsi="Times New Roman"/>
        </w:rPr>
        <w:t>costs</w:t>
      </w:r>
      <w:proofErr w:type="gramEnd"/>
      <w:r w:rsidRPr="00E124C6">
        <w:rPr>
          <w:rFonts w:ascii="Times New Roman" w:hAnsi="Times New Roman"/>
        </w:rPr>
        <w:t xml:space="preserve"> agreement. Apart from the fact that a "costs agreement must be written or evidenced in writing" (s 180(2)) and a "costs agreement cannot provide that the legal costs to which it relates are not subject to a costs assessment" (s 180(4)), s 180 does not regulate the content of a </w:t>
      </w:r>
      <w:proofErr w:type="gramStart"/>
      <w:r w:rsidRPr="00E124C6">
        <w:rPr>
          <w:rFonts w:ascii="Times New Roman" w:hAnsi="Times New Roman"/>
        </w:rPr>
        <w:t>costs</w:t>
      </w:r>
      <w:proofErr w:type="gramEnd"/>
      <w:r w:rsidRPr="00E124C6">
        <w:rPr>
          <w:rFonts w:ascii="Times New Roman" w:hAnsi="Times New Roman"/>
        </w:rPr>
        <w:t xml:space="preserve"> agreement. The further regulation is in ss 181-183. </w:t>
      </w:r>
    </w:p>
    <w:p w14:paraId="2455537A"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first and second respondents submitted that the sole concern of Pt 4.3 of the NSW LPUL, in which s 183 is located, is "legal costs". On that basis, they contended that in referring to "a costs agreement under which the amount payable to the law practice ...", s 183(1) is confined to such amounts as constitute "legal costs".</w:t>
      </w:r>
      <w:r w:rsidRPr="00E124C6">
        <w:rPr>
          <w:rFonts w:ascii="Times New Roman" w:hAnsi="Times New Roman"/>
          <w:b/>
          <w:bCs/>
        </w:rPr>
        <w:t xml:space="preserve"> </w:t>
      </w:r>
      <w:r w:rsidRPr="00E124C6">
        <w:rPr>
          <w:rFonts w:ascii="Times New Roman" w:hAnsi="Times New Roman"/>
        </w:rPr>
        <w:t>According to this argument, the proposed amendment to the original costs agreement provides for the payment of "legal costs" for "legal services" in cl 3A.2(c)(</w:t>
      </w:r>
      <w:proofErr w:type="spellStart"/>
      <w:r w:rsidRPr="00E124C6">
        <w:rPr>
          <w:rFonts w:ascii="Times New Roman" w:hAnsi="Times New Roman"/>
        </w:rPr>
        <w:t>i</w:t>
      </w:r>
      <w:proofErr w:type="spellEnd"/>
      <w:r w:rsidRPr="00E124C6">
        <w:rPr>
          <w:rFonts w:ascii="Times New Roman" w:hAnsi="Times New Roman"/>
        </w:rPr>
        <w:t xml:space="preserve">) and the payment of non-legal costs for other services which the first and second respondents characterised as the "risk services" in cl 3A.2(c)(ii). The first and second respondents submitted that the "risk services" were not "work done, or business transacted, in the ordinary course of legal practice" and therefore did not form part of the "legal services" because there was no evidence that the risk of a law practice "funding the legal costs and disbursements" (as referred to in cl 3A.2(c)(ii) of the proposed amendment to the original costs agreement) would occur in the ordinary course of legal practice. </w:t>
      </w:r>
    </w:p>
    <w:p w14:paraId="78704675"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Assuming, for the moment, that s 183(1) is confined to a costs agreement dealing only with "legal costs", the purported distinction between "legal services" and "risk services" is spurious. That the NSW LPUL recognises that a law practice may provide "legal services" and other services</w:t>
      </w:r>
      <w:r w:rsidRPr="00E124C6">
        <w:rPr>
          <w:rStyle w:val="FootnoteReference"/>
          <w:rFonts w:ascii="Times New Roman" w:hAnsi="Times New Roman"/>
          <w:sz w:val="24"/>
        </w:rPr>
        <w:footnoteReference w:id="190"/>
      </w:r>
      <w:r w:rsidRPr="00E124C6">
        <w:rPr>
          <w:rFonts w:ascii="Times New Roman" w:hAnsi="Times New Roman"/>
        </w:rPr>
        <w:t xml:space="preserve"> does not mean that a law practice is free to label some services as "legal services" and other services as non-legal services, merely because a client is prepared to accept that label to obtain the "legal services".</w:t>
      </w:r>
    </w:p>
    <w:p w14:paraId="064C003A"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Section 183(1) does not refer only to work done in the ordinary course of legal practice. It refers to work done </w:t>
      </w:r>
      <w:r w:rsidRPr="00E124C6">
        <w:rPr>
          <w:rFonts w:ascii="Times New Roman" w:hAnsi="Times New Roman"/>
          <w:i/>
          <w:iCs/>
        </w:rPr>
        <w:t>or business transacted</w:t>
      </w:r>
      <w:r w:rsidRPr="00E124C6">
        <w:rPr>
          <w:rFonts w:ascii="Times New Roman" w:hAnsi="Times New Roman"/>
        </w:rPr>
        <w:t xml:space="preserve"> in the ordinary course of legal practice. The words "business transacted" are of broad scope, and deliberately so. They recognise that the provision of "legal services" is not confined to doing "legal work" and contemplate that aspects of the provision of </w:t>
      </w:r>
      <w:r w:rsidRPr="00E124C6">
        <w:rPr>
          <w:rFonts w:ascii="Times New Roman" w:hAnsi="Times New Roman"/>
        </w:rPr>
        <w:lastRenderedPageBreak/>
        <w:t>"legal services" will evolve. A law practice can no more avoid s 183(1) of the NSW LPUL by characterising a service it provides as a non-legal service of taking on risk for liability to pay costs and expenses in litigation (be it of the law practice's own client or another party) than it can characterise a service it provides as a non-legal photocopying, printing or binding service or electronic document management service.</w:t>
      </w:r>
    </w:p>
    <w:p w14:paraId="2CB15F27"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In particular, the mere fact that a thing has not been done before in a law practice does not mean it is not part of the "work done, or business transacted, in the ordinary course of legal practice". Technological and financing developments have transformed the provision of legal services over the last few decades. One or other law practice will have been the first to provide many aspects of the provision of legal services which have now become commonplace. Being the first mover in some aspect of the market for the provision of legal services does not take that aspect outside of the scope of "work done, or business transacted, in the ordinary course of legal practice". Nor, logically, could it do so. If a technological, financing or other evolution in the provision of legal services is advantageous it will be adopted by many law practices. Section 183(1) of the NSW LPUL is not to be construed on the basis that the first law practice to adopt an innovation in the provision of legal services is not doing work or transacting business in the ordinary course of legal practice, but subsequent adopters of the innovation are doing work or transacting business in the ordinary course of legal practice.</w:t>
      </w:r>
    </w:p>
    <w:p w14:paraId="2B9C29D8"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In any event, ss 181 and 182 of the NSW LPUL recognise that it is an ordinary part of legal practice for a law practice to provide legal services based on conditional costs agreements including the conditional payment of an uplift fee. It is inherent within such agreements that the law practice is providing a so-called litigation "risk service". While the law practices in this case may be proposing to accept a greater risk of exposure to liability than under a conditional </w:t>
      </w:r>
      <w:proofErr w:type="gramStart"/>
      <w:r w:rsidRPr="00E124C6">
        <w:rPr>
          <w:rFonts w:ascii="Times New Roman" w:hAnsi="Times New Roman"/>
        </w:rPr>
        <w:t>costs</w:t>
      </w:r>
      <w:proofErr w:type="gramEnd"/>
      <w:r w:rsidRPr="00E124C6">
        <w:rPr>
          <w:rFonts w:ascii="Times New Roman" w:hAnsi="Times New Roman"/>
        </w:rPr>
        <w:t xml:space="preserve"> agreement, the magnitude of the risk is not to the point. The point is that it is part and parcel of the ordinary course of legal practice that a law practice may enter into a </w:t>
      </w:r>
      <w:proofErr w:type="gramStart"/>
      <w:r w:rsidRPr="00E124C6">
        <w:rPr>
          <w:rFonts w:ascii="Times New Roman" w:hAnsi="Times New Roman"/>
        </w:rPr>
        <w:t>costs</w:t>
      </w:r>
      <w:proofErr w:type="gramEnd"/>
      <w:r w:rsidRPr="00E124C6">
        <w:rPr>
          <w:rFonts w:ascii="Times New Roman" w:hAnsi="Times New Roman"/>
        </w:rPr>
        <w:t xml:space="preserve"> agreement under which the law practice accepts both the risks of incurring costs and expenses and the risks of being exposed to adverse costs orders which the law practice cannot recover. Indeed, risks of the former nature are inherent in the ordinary business of any law practice in which the law practice does not require the payment of a fee into its trust account before providing the service. The additional risk of a law practice being exposed to an adverse costs order does not transform the risk from one which is part of "work done, or business transacted, in the ordinary course of legal practice" into something else. </w:t>
      </w:r>
    </w:p>
    <w:p w14:paraId="20FE12AC"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Section 183(1) of the NSW LPUL also cannot be avoided by a law practice providing for legal costs under a costs agreement and costs for purported other services under another agreement. If, as a matter of objectively determined fact, the costs are an amount that has been or may be charged to "a person" or "a person" is or may become liable to pay to a law practice an amount "for the provision of legal services", the amounts are "legal costs" irrespective of the label by which the </w:t>
      </w:r>
      <w:r w:rsidRPr="00E124C6">
        <w:rPr>
          <w:rFonts w:ascii="Times New Roman" w:hAnsi="Times New Roman"/>
        </w:rPr>
        <w:lastRenderedPageBreak/>
        <w:t xml:space="preserve">law practice or the law practice and the person may choose to describe those amounts. </w:t>
      </w:r>
    </w:p>
    <w:p w14:paraId="4E1F03BC"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Further, the statutory language by which "legal costs" is defined involves amounts a person has been or may be charged by, or is or may become liable to pay to, a law practice "</w:t>
      </w:r>
      <w:r w:rsidRPr="00E124C6">
        <w:rPr>
          <w:rFonts w:ascii="Times New Roman" w:hAnsi="Times New Roman"/>
          <w:i/>
          <w:iCs/>
        </w:rPr>
        <w:t>for</w:t>
      </w:r>
      <w:r w:rsidRPr="00E124C6">
        <w:rPr>
          <w:rFonts w:ascii="Times New Roman" w:hAnsi="Times New Roman"/>
        </w:rPr>
        <w:t xml:space="preserve"> the provision of legal services". The word "for" operates as a preposition indicating a relationship between the charging of or liability to pay the amount and the provision of the legal services. As the term is relational, its meaning depends on its context.</w:t>
      </w:r>
      <w:r w:rsidRPr="00E124C6">
        <w:rPr>
          <w:rStyle w:val="FootnoteReference"/>
          <w:rFonts w:ascii="Times New Roman" w:hAnsi="Times New Roman"/>
          <w:sz w:val="24"/>
        </w:rPr>
        <w:footnoteReference w:id="191"/>
      </w:r>
      <w:r w:rsidRPr="00E124C6">
        <w:rPr>
          <w:rFonts w:ascii="Times New Roman" w:hAnsi="Times New Roman"/>
        </w:rPr>
        <w:t xml:space="preserve"> </w:t>
      </w:r>
    </w:p>
    <w:p w14:paraId="16DF266E"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context is Pt 4.3 of the NSW LPUL. Section 169, in Pt 4.3, specifies that the objectives of that Part are:</w:t>
      </w:r>
    </w:p>
    <w:p w14:paraId="09D2095B"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 xml:space="preserve">"(a) </w:t>
      </w:r>
      <w:r w:rsidRPr="00E124C6">
        <w:rPr>
          <w:rFonts w:ascii="Times New Roman" w:hAnsi="Times New Roman"/>
        </w:rPr>
        <w:tab/>
        <w:t>to ensure that clients of law practices are able to make informed choices about their legal options and the costs associated with pursuing those options; and</w:t>
      </w:r>
    </w:p>
    <w:p w14:paraId="59BD8ECC" w14:textId="77777777" w:rsidR="006C06CE" w:rsidRPr="00E124C6"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 xml:space="preserve">(b) </w:t>
      </w:r>
      <w:r w:rsidRPr="00E124C6">
        <w:rPr>
          <w:rFonts w:ascii="Times New Roman" w:hAnsi="Times New Roman"/>
        </w:rPr>
        <w:tab/>
        <w:t>to provide that law practices must not charge more than fair and reasonable amounts for legal costs; and</w:t>
      </w:r>
    </w:p>
    <w:p w14:paraId="581BFE6D" w14:textId="77777777" w:rsidR="006C06CE" w:rsidRDefault="006C06CE" w:rsidP="00E124C6">
      <w:pPr>
        <w:pStyle w:val="leftright"/>
        <w:spacing w:before="0" w:after="260" w:line="280" w:lineRule="exact"/>
        <w:ind w:left="1440" w:right="0" w:hanging="720"/>
        <w:jc w:val="both"/>
        <w:rPr>
          <w:rFonts w:ascii="Times New Roman" w:hAnsi="Times New Roman"/>
        </w:rPr>
      </w:pPr>
      <w:r w:rsidRPr="00E124C6">
        <w:rPr>
          <w:rFonts w:ascii="Times New Roman" w:hAnsi="Times New Roman"/>
        </w:rPr>
        <w:t xml:space="preserve">(c) </w:t>
      </w:r>
      <w:r w:rsidRPr="00E124C6">
        <w:rPr>
          <w:rFonts w:ascii="Times New Roman" w:hAnsi="Times New Roman"/>
        </w:rPr>
        <w:tab/>
        <w:t>to provide a framework for assessment of legal costs."</w:t>
      </w:r>
    </w:p>
    <w:p w14:paraId="44FC7F07"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Relevant to both the second and the third of the responses to the key arguments identified above is that s 169(a) refers to clients making "informed choices about their legal options and the costs associated with pursuing those options", whereas s 169(b) and (c) refer to the charging and assessment of "legal costs". This distinction, between </w:t>
      </w:r>
      <w:r w:rsidRPr="00E124C6">
        <w:rPr>
          <w:rFonts w:ascii="Times New Roman" w:hAnsi="Times New Roman"/>
          <w:i/>
          <w:iCs/>
        </w:rPr>
        <w:t>the costs</w:t>
      </w:r>
      <w:r w:rsidRPr="00E124C6">
        <w:rPr>
          <w:rFonts w:ascii="Times New Roman" w:hAnsi="Times New Roman"/>
        </w:rPr>
        <w:t xml:space="preserve"> a client may incur in pursuing legal options and the charging and assessment of "legal costs", reflects the structure and provisions of Pt 4.3. Accordingly, Div 2 of Pt 4.3 is specifically concerned with legal costs, which, by s 172(1), must be no more than is fair and reasonable in all the circumstances. Division 3 of Pt 4.3 is concerned with "costs disclosure", with s 174(1) providing that the required disclosure to the client is of "information disclosing the basis on which legal costs will be calculated in the matter and an estimate of the total legal costs". Division 4 of Pt 4.3 is concerned with "costs agreements". Division 5 of Pt 4.3 is concerned with "billing". Division 6 of Pt 4.3 is concerned with "unpaid legal costs". Division 7 of Pt 4.3 is concerned with "costs assessment" and under s 196 that Division "applies to legal costs payable on a solicitor-client basis".</w:t>
      </w:r>
    </w:p>
    <w:p w14:paraId="25A20ACF"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Section 183(1) is in Pt 4.3, as are ss 181 and 182. In contrast to ss 181(1) and 182(2), which refer to "the payment of ... legal costs" and the payment of an "uplift fee" (meaning certain "additional legal costs") respectively, s 183(1) does not refer to "legal costs". It refers to </w:t>
      </w:r>
      <w:r w:rsidRPr="00E124C6">
        <w:rPr>
          <w:rFonts w:ascii="Times New Roman" w:hAnsi="Times New Roman"/>
          <w:i/>
          <w:iCs/>
        </w:rPr>
        <w:t>the amount</w:t>
      </w:r>
      <w:r w:rsidRPr="00E124C6">
        <w:rPr>
          <w:rFonts w:ascii="Times New Roman" w:hAnsi="Times New Roman"/>
        </w:rPr>
        <w:t xml:space="preserve"> payable to the law practice under </w:t>
      </w:r>
      <w:r w:rsidRPr="00E124C6">
        <w:rPr>
          <w:rFonts w:ascii="Times New Roman" w:hAnsi="Times New Roman"/>
        </w:rPr>
        <w:lastRenderedPageBreak/>
        <w:t xml:space="preserve">a </w:t>
      </w:r>
      <w:proofErr w:type="gramStart"/>
      <w:r w:rsidRPr="00E124C6">
        <w:rPr>
          <w:rFonts w:ascii="Times New Roman" w:hAnsi="Times New Roman"/>
        </w:rPr>
        <w:t>costs</w:t>
      </w:r>
      <w:proofErr w:type="gramEnd"/>
      <w:r w:rsidRPr="00E124C6">
        <w:rPr>
          <w:rFonts w:ascii="Times New Roman" w:hAnsi="Times New Roman"/>
        </w:rPr>
        <w:t xml:space="preserve"> agreement. The reason it does so is readily ascertainable. By referring to amounts payable under a costs agreement, meaning all such amounts, the prohibition in s 183(1) against contingency fees is both clear in its terms and unambiguous in its scope.</w:t>
      </w:r>
    </w:p>
    <w:p w14:paraId="548563D1"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overall context of Pt 4.3 of the NSW LPUL, the regulation of lawyers' charging, reflects a legislative intention to ensure that the object in s 3(c) of the NSW LPUL of "the protection of clients of law practices and the protection of the public generally" is not undermined by a law practice being able to exploit a client's need to obtain "legal services" by any form of excessive charging in connection with the provision of legal services. This context reinforces that the required relationship between the amount charged and chargeable and the provision of the legal services need not be direct and immediate. If, in exchange for the legal services, the client must agree that there will be payable to the law practice an amount calculated by reference to the amount of any award or settlement or the value of any property that may be recovered in any proceedings to which the agreement relates, the amount so calculated will be for the provision of legal services and therefore will be within the definition of "legal costs" if the work done or business transacted is in the ordinary course of legal practice.</w:t>
      </w:r>
    </w:p>
    <w:p w14:paraId="1C5320BF"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As noted, and in any event, even if the law practice did provide some service which was other than work done or business transacted in the ordinary course of legal practice, that would not prevent the application of s 183(1) to any costs agreement under which the client agrees that any amount will be payable to the law practice calculated by reference to the amount of any award or settlement or the value of any property that may be recovered in any proceedings to which the agreement relates. As may be accepted, the primary focus of Pt 4.3 is "legal costs</w:t>
      </w:r>
      <w:proofErr w:type="gramStart"/>
      <w:r w:rsidRPr="00E124C6">
        <w:rPr>
          <w:rFonts w:ascii="Times New Roman" w:hAnsi="Times New Roman"/>
        </w:rPr>
        <w:t>"</w:t>
      </w:r>
      <w:proofErr w:type="gramEnd"/>
      <w:r w:rsidRPr="00E124C6">
        <w:rPr>
          <w:rFonts w:ascii="Times New Roman" w:hAnsi="Times New Roman"/>
        </w:rPr>
        <w:t xml:space="preserve"> and it is "legal costs" alone which are subject to the disclosure and assessment regimes. However, that is no reason to construe s 183(1) as confined to legal costs when: the NSW LPUL recognises that some law practices may provide non-legal services;</w:t>
      </w:r>
      <w:r w:rsidRPr="00E124C6">
        <w:rPr>
          <w:rStyle w:val="FootnoteReference"/>
          <w:rFonts w:ascii="Times New Roman" w:hAnsi="Times New Roman"/>
          <w:sz w:val="24"/>
        </w:rPr>
        <w:footnoteReference w:id="192"/>
      </w:r>
      <w:r w:rsidRPr="00E124C6">
        <w:rPr>
          <w:rFonts w:ascii="Times New Roman" w:hAnsi="Times New Roman"/>
        </w:rPr>
        <w:t xml:space="preserve"> nothing in Pt 4.3 confines a costs agreement to legal costs; s 183(1) does not refer to "legal costs" but to "a costs agreement under which the amount payable to the law practice ..."; and not confining s 183(1) to legal costs ensures the effective operation of the prohibition that provision embodies in furtherance of the overall objects of the NSW LPUL.</w:t>
      </w:r>
    </w:p>
    <w:p w14:paraId="3C1BEE5E"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That s 183(1) operates in this manner is reinforced by the terms of s 182(2) of the NSW LPUL. Section 182(2) of the NSW LPUL permits a law practice to enter into a conditional costs agreement (that is, an agreement that the payment of some or all of the legal costs is conditional on the successful outcome of the matter to which those costs relate) which provides for the payment of an uplift fee (being additional legal costs (excluding disbursements) payable under a costs agreement on the successful outcome of the matter to which the agreement relates) if the law </w:t>
      </w:r>
      <w:r w:rsidRPr="00E124C6">
        <w:rPr>
          <w:rFonts w:ascii="Times New Roman" w:hAnsi="Times New Roman"/>
        </w:rPr>
        <w:lastRenderedPageBreak/>
        <w:t>practice has a reasonable belief that a successful outcome of the matter is reasonably likely and if the uplift fee does not exceed 25% of the legal costs (excluding disbursements) otherwise payable. By s 182(3) a conditional costs agreement that includes an uplift fee must: identify the basis on which the uplift fee is to be calculated; and include an estimate of the uplift fee or, if that is not reasonably practical, a range of estimates for the uplift fee and an explanation of the major variables that may affect the calculation of the uplift fee. By s 182(4) a law practice must not enter into a costs agreement in contravention of s 182 or of the Uniform Rules relating to uplift fees, under pain of a civil penalty.</w:t>
      </w:r>
    </w:p>
    <w:p w14:paraId="169461B8"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Section 182 represents a carefully worked out scheme by which a law practice may be paid an amount exceeding the legal costs which would otherwise be payable to it if the law practice has taken on the risk of funding the proceeding. That risk includes the law practice not recovering any part of the amount it paid to fund the proceeding by obtaining a costs order in favour of its client and can extend to the risk of being liable to pay an adverse costs order against its client (as nothing in the NSW LPUL prohibits a law practice taking on that risk in a conditional costs agreement). Section 182 expressly: confines the circumstances in which payment of such an additional amount may be agreed (only if the law practice has a reasonable belief that a successful outcome of the matter is reasonably likely); imposes additional disclosure obligations on the law practice; and specifies that the amount of the uplift fee must not exceed 25% of the legal costs (excluding disbursements) otherwise payable.</w:t>
      </w:r>
    </w:p>
    <w:p w14:paraId="557593F4"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In the face of this carefully prescribed scheme it is unlikely, to say the least, that the legislature intended that a law practice would be able to enter into a costs agreement under which any amount payable to the law practice could be calculated by reference to the amount recovered in the proceeding by characterising that amount as non-legal costs or the underlying agreement between it and its client as mere "instructions" to obtain a court order, or by not reducing the costs agreement to writing, or by agreeing that the client's liability to pay any such amount depends on the obtaining of an order of a court to that effect. The statutory scheme would be incoherent if a law practice, on the one hand, could not obtain more than a 25% uplift fee of legal costs in a conditional costs agreement and yet, on the other hand, could obtain far more than an additional payment of 25% of the legal costs by any of the mechanisms on which the first and second respondents relied in the present case. </w:t>
      </w:r>
    </w:p>
    <w:p w14:paraId="1AB9D5C1" w14:textId="77777777" w:rsidR="006C06CE" w:rsidRPr="00E124C6" w:rsidRDefault="006C06CE" w:rsidP="00E124C6">
      <w:pPr>
        <w:pStyle w:val="HeadingL2"/>
        <w:spacing w:after="260" w:line="280" w:lineRule="exact"/>
        <w:ind w:right="0"/>
        <w:jc w:val="both"/>
        <w:rPr>
          <w:rFonts w:ascii="Times New Roman" w:hAnsi="Times New Roman"/>
        </w:rPr>
      </w:pPr>
      <w:r w:rsidRPr="00E124C6">
        <w:rPr>
          <w:rFonts w:ascii="Times New Roman" w:hAnsi="Times New Roman"/>
        </w:rPr>
        <w:t>Costs payable by court order not by costs agreement: third argument</w:t>
      </w:r>
    </w:p>
    <w:p w14:paraId="664A05FB"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As noted, the first and second respondents submitted further that s 183(1) of the NSW LPUL would not be engaged in this case because the law practices were not entering into a costs agreement by which the client agrees to pay to the law practice a contingency fee. Rather, the law practices were proposing to enter into a costs agreement by which the client would agree that the law practice will seek an order from the Court that the law practice be paid a contingency fee.</w:t>
      </w:r>
    </w:p>
    <w:p w14:paraId="40D46937"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lastRenderedPageBreak/>
        <w:tab/>
        <w:t>The prohibition in s 183(1), however, is against a law practice entering into a costs agreement under which the amount payable to the law practice, or any part of that amount, is calculated by reference to the amount which is recovered in the proceeding. The words "under which" are important. Again, like the word "for" in the definition of "legal costs", the words "under which" denote a relationship between the costs agreement and an amount being payable to the law practice calculated as a percentage of that which is recovered in the proceeding, and the nature of the required relationship depends on the context of the provision. Again, the protective purpose of the NSW LPUL, particularly s 183, indicates that "under which" in that provision should not be construed narrowly as meaning, for example, "by which" or "by force of which". Rather, to satisfy the requirement of "under which" in s 183(1) it will suffice if an amount of the prohibited kind is or will become payable by reason of, as a result or consequence of, or in pursuance of the costs agreement. That the amount is not determinable at the time of the costs agreement does not take the costs agreement outside the scope of s 183(1). That the amount is not and may never become payable if a contingency does not occur (the making of an order by the Court) does not take the costs agreement outside the scope of s 183(1). That the person liable to pay the amount is not the "client" of the law practice (such as a group member in a representative proceeding who is not the applicant) is immaterial. The contrary reasoning of the Full Court, that the present case involves nothing more than a promise by the law practices to make an application for remuneration as approved by the Court and that any payment made would not be pursuant to any bargain struck between the law practice and the client,</w:t>
      </w:r>
      <w:r w:rsidRPr="00E124C6">
        <w:rPr>
          <w:rStyle w:val="FootnoteReference"/>
          <w:rFonts w:ascii="Times New Roman" w:hAnsi="Times New Roman"/>
          <w:sz w:val="24"/>
        </w:rPr>
        <w:footnoteReference w:id="193"/>
      </w:r>
      <w:r w:rsidRPr="00E124C6">
        <w:rPr>
          <w:rFonts w:ascii="Times New Roman" w:hAnsi="Times New Roman"/>
        </w:rPr>
        <w:t xml:space="preserve"> is irreconcilable with the objective character of the business being transacted between the law practice and the client and the terms of s 183(1).</w:t>
      </w:r>
    </w:p>
    <w:p w14:paraId="2FD54690"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In summary, a "costs agreement" within the scope of s 183(1) of the NSW LPUL means any agreement between a client and a law practice under which any amount is or will be payable to the law practice by any person being an amount calculated by reference to the amount of any award or settlement or the value of any property that may be recovered in any proceedings to which the agreement relates, irrespective of whether the obligation or liability of the person to pay any such amount is conditional or contingent on another event (including the making of an order by the Court to constitute the liability and to determine the amount of the liability). By s 180(2) such a costs agreement must be written or evidenced in writing. But if not so written or evidenced in writing, that merely involves a failure of the law practice to comply with s 180(2) of the NSW LPUL; it does not mean that there is no "costs agreement" as referred to in s 180(3). Further, no matter what language is used as between a client and a law practice to describe their agreement, the objective character of the business being transacted will be determinative of the existence of a costs agreement which contravenes s 183(1).</w:t>
      </w:r>
    </w:p>
    <w:p w14:paraId="2400C527"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lastRenderedPageBreak/>
        <w:tab/>
        <w:t xml:space="preserve">It follows that the precise terms of the proposed amendment to the </w:t>
      </w:r>
      <w:proofErr w:type="gramStart"/>
      <w:r w:rsidRPr="00E124C6">
        <w:rPr>
          <w:rFonts w:ascii="Times New Roman" w:hAnsi="Times New Roman"/>
        </w:rPr>
        <w:t>costs</w:t>
      </w:r>
      <w:proofErr w:type="gramEnd"/>
      <w:r w:rsidRPr="00E124C6">
        <w:rPr>
          <w:rFonts w:ascii="Times New Roman" w:hAnsi="Times New Roman"/>
        </w:rPr>
        <w:t xml:space="preserve"> agreement are not determinative but conveniently expose the problem. By proposed cl 3A.4 the client is to agree that, by entering into the agreement, the law practice is to seek the orders as described in proposed cl 3A. The orders in proposed cl 3A are a costs reimbursement order (as explained in cl 3A.2(c)(</w:t>
      </w:r>
      <w:proofErr w:type="spellStart"/>
      <w:r w:rsidRPr="00E124C6">
        <w:rPr>
          <w:rFonts w:ascii="Times New Roman" w:hAnsi="Times New Roman"/>
        </w:rPr>
        <w:t>i</w:t>
      </w:r>
      <w:proofErr w:type="spellEnd"/>
      <w:r w:rsidRPr="00E124C6">
        <w:rPr>
          <w:rFonts w:ascii="Times New Roman" w:hAnsi="Times New Roman"/>
        </w:rPr>
        <w:t xml:space="preserve">)) and the so-called "Solicitors' CFO" (as explained in cl 3A.2(c)(ii)). The latter order, in terms, is for the law practice to be paid by group members a percentage of the sum recovered </w:t>
      </w:r>
      <w:proofErr w:type="gramStart"/>
      <w:r w:rsidRPr="00E124C6">
        <w:rPr>
          <w:rFonts w:ascii="Times New Roman" w:hAnsi="Times New Roman"/>
        </w:rPr>
        <w:t>as a result of</w:t>
      </w:r>
      <w:proofErr w:type="gramEnd"/>
      <w:r w:rsidRPr="00E124C6">
        <w:rPr>
          <w:rFonts w:ascii="Times New Roman" w:hAnsi="Times New Roman"/>
        </w:rPr>
        <w:t xml:space="preserve"> the proceeding (defined as the Resolution Sum). The proposed amendment to the costs agreement therefore involves a costs agreement under which (in the sense of by reason of, as a result or consequence of, or in pursuance of the costs agreement) an amount will be payable calculated by reference to the amount of any award or settlement or the value of any property that may be recovered in any proceedings to which the agreement relates. The proposed amendment to the costs agreement, accordingly, would contravene s 183(1) of the NSW LPUL. </w:t>
      </w:r>
    </w:p>
    <w:p w14:paraId="4C981D8B"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The objective character of the business proposed to be transacted in the present case is obvious. In exchange for the law practices providing the legal services in conducting the representative proceeding the client is to agree that, if the Court so orders, the law practice will be paid an amount prohibited by s 183(1). Neither: (a) the interposition of an order of the Court as the mechanism by which that payment is to be achieved; (b) the contingent and conditional nature of the payment, which may not in fact be required as no order may be made; nor (c) the indeterminacy of the amount to be paid unless and until the Court makes the order, changes the nature of the agreement or takes it outside the scope of the prohibition in s 183(1) of the NSW LPUL.</w:t>
      </w:r>
    </w:p>
    <w:p w14:paraId="02B23611" w14:textId="77777777" w:rsidR="006C06CE" w:rsidRPr="00E124C6" w:rsidRDefault="006C06CE" w:rsidP="00E124C6">
      <w:pPr>
        <w:pStyle w:val="HeadingL2"/>
        <w:spacing w:after="260" w:line="280" w:lineRule="exact"/>
        <w:ind w:right="0"/>
        <w:jc w:val="both"/>
        <w:rPr>
          <w:rFonts w:ascii="Times New Roman" w:hAnsi="Times New Roman"/>
        </w:rPr>
      </w:pPr>
      <w:r w:rsidRPr="00E124C6">
        <w:rPr>
          <w:rFonts w:ascii="Times New Roman" w:hAnsi="Times New Roman"/>
        </w:rPr>
        <w:t>Prohibition conditions power not discretion to make CFO: fourth and fifth arguments</w:t>
      </w:r>
    </w:p>
    <w:p w14:paraId="09D0D21E"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No principle was identified which supports the argument that s 183(1) of the NSW LPUL may be relevant to the exercise of power by the Court to make the CFO in favour of a law practice but not to the existence of that power. </w:t>
      </w:r>
    </w:p>
    <w:p w14:paraId="2B197543"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That it is "inappropriate to read provisions conferring jurisdiction or granting powers to a court by making implications or imposing limitations which are not found in the express words"</w:t>
      </w:r>
      <w:r w:rsidRPr="00E124C6">
        <w:rPr>
          <w:rStyle w:val="FootnoteReference"/>
          <w:rFonts w:ascii="Times New Roman" w:hAnsi="Times New Roman"/>
          <w:sz w:val="24"/>
        </w:rPr>
        <w:footnoteReference w:id="194"/>
      </w:r>
      <w:r w:rsidRPr="00E124C6">
        <w:rPr>
          <w:rFonts w:ascii="Times New Roman" w:hAnsi="Times New Roman"/>
        </w:rPr>
        <w:t xml:space="preserve"> does not mean that a law of the Commonwealth conferring power on a court automatically prevails over a law of a State which may condition the exercise of that power. This is because, in terms of the operation of s 109 of the </w:t>
      </w:r>
      <w:r w:rsidRPr="00E124C6">
        <w:rPr>
          <w:rFonts w:ascii="Times New Roman" w:hAnsi="Times New Roman"/>
          <w:i/>
          <w:iCs/>
        </w:rPr>
        <w:t>Constitution</w:t>
      </w:r>
      <w:r w:rsidRPr="00E124C6">
        <w:rPr>
          <w:rFonts w:ascii="Times New Roman" w:hAnsi="Times New Roman"/>
        </w:rPr>
        <w:t xml:space="preserve">, by which a law of the Commonwealth </w:t>
      </w:r>
      <w:r w:rsidRPr="00E124C6">
        <w:rPr>
          <w:rFonts w:ascii="Times New Roman" w:hAnsi="Times New Roman"/>
        </w:rPr>
        <w:lastRenderedPageBreak/>
        <w:t>prevails over an inconsistent law of a State, "the starting point for determining whether such inconsistency exists lies in an identification of the intended scope and operation of the Commonwealth law". In the ordinary course, if the legislative intent is that the jurisdiction or power under the Commonwealth law is not to be "confined or constrained by the prohibition or requirements of State laws", s 109 will operate so that the Commonwealth law is not so confined or constrained. If the legislative intent is that the jurisdiction or power under the Commonwealth law "must be exercised conformably with applicable prohibitions and requirements of State law, the jurisdiction conferred will, as a matter of construction, be accordingly confined with the result that there is no inconsistency for the purposes of s 109".</w:t>
      </w:r>
      <w:r w:rsidRPr="00E124C6">
        <w:rPr>
          <w:rStyle w:val="FootnoteReference"/>
          <w:rFonts w:ascii="Times New Roman" w:hAnsi="Times New Roman"/>
          <w:sz w:val="24"/>
        </w:rPr>
        <w:footnoteReference w:id="195"/>
      </w:r>
    </w:p>
    <w:p w14:paraId="0AB443D4"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It is apparent that the FCA, including ss 33V and 33Z, assumes the existence of State and Territory legislation regulating the conduct of Australian lawyers and law practices. Equally, the CPA and the NSW SCA assume that regulation by other laws of New South Wales. It is for this reason that, for example, s 37</w:t>
      </w:r>
      <w:proofErr w:type="gramStart"/>
      <w:r w:rsidRPr="00E124C6">
        <w:rPr>
          <w:rFonts w:ascii="Times New Roman" w:hAnsi="Times New Roman"/>
        </w:rPr>
        <w:t>N(</w:t>
      </w:r>
      <w:proofErr w:type="gramEnd"/>
      <w:r w:rsidRPr="00E124C6">
        <w:rPr>
          <w:rFonts w:ascii="Times New Roman" w:hAnsi="Times New Roman"/>
        </w:rPr>
        <w:t xml:space="preserve">2) of the FCA (CPA, s 56(4)) provides that a party's lawyer must, in the conduct of a civil proceeding before the Court, conduct the proceeding in a way that is consistent with the overarching purpose set out in s 37M(1). This reflects, amongst other things, r 3.1 of the </w:t>
      </w:r>
      <w:r w:rsidRPr="00E124C6">
        <w:rPr>
          <w:rFonts w:ascii="Times New Roman" w:hAnsi="Times New Roman"/>
          <w:i/>
          <w:iCs/>
        </w:rPr>
        <w:t xml:space="preserve">Legal Profession Uniform Law Australian Solicitors' Conduct Rules 2015 </w:t>
      </w:r>
      <w:r w:rsidRPr="00E124C6">
        <w:rPr>
          <w:rFonts w:ascii="Times New Roman" w:hAnsi="Times New Roman"/>
        </w:rPr>
        <w:t>(NSW), by which a "solicitor's duty to the court and the administration of justice is paramount and prevails to the extent of inconsistency with any other duty". The same duty underlies the power of the Court to order a lawyer to bear costs personally because of a failure to comply with the duty imposed by s 37</w:t>
      </w:r>
      <w:proofErr w:type="gramStart"/>
      <w:r w:rsidRPr="00E124C6">
        <w:rPr>
          <w:rFonts w:ascii="Times New Roman" w:hAnsi="Times New Roman"/>
        </w:rPr>
        <w:t>N(</w:t>
      </w:r>
      <w:proofErr w:type="gramEnd"/>
      <w:r w:rsidRPr="00E124C6">
        <w:rPr>
          <w:rFonts w:ascii="Times New Roman" w:hAnsi="Times New Roman"/>
        </w:rPr>
        <w:t xml:space="preserve">2). The assumption is also apparent in several provisions of the </w:t>
      </w:r>
      <w:r w:rsidRPr="00E124C6">
        <w:rPr>
          <w:rFonts w:ascii="Times New Roman" w:hAnsi="Times New Roman"/>
          <w:i/>
          <w:iCs/>
        </w:rPr>
        <w:t>Federal Court Rules 2011</w:t>
      </w:r>
      <w:r w:rsidRPr="00E124C6">
        <w:rPr>
          <w:rFonts w:ascii="Times New Roman" w:hAnsi="Times New Roman"/>
        </w:rPr>
        <w:t xml:space="preserve"> (</w:t>
      </w:r>
      <w:proofErr w:type="spellStart"/>
      <w:r w:rsidRPr="00E124C6">
        <w:rPr>
          <w:rFonts w:ascii="Times New Roman" w:hAnsi="Times New Roman"/>
        </w:rPr>
        <w:t>Cth</w:t>
      </w:r>
      <w:proofErr w:type="spellEnd"/>
      <w:r w:rsidRPr="00E124C6">
        <w:rPr>
          <w:rFonts w:ascii="Times New Roman" w:hAnsi="Times New Roman"/>
        </w:rPr>
        <w:t xml:space="preserve">) ("FCR") and the </w:t>
      </w:r>
      <w:r w:rsidRPr="00E124C6">
        <w:rPr>
          <w:rFonts w:ascii="Times New Roman" w:hAnsi="Times New Roman"/>
          <w:i/>
          <w:iCs/>
        </w:rPr>
        <w:t>Uniform Civil Procedure Rules 2005</w:t>
      </w:r>
      <w:r w:rsidRPr="00E124C6">
        <w:rPr>
          <w:rFonts w:ascii="Times New Roman" w:hAnsi="Times New Roman"/>
        </w:rPr>
        <w:t xml:space="preserve"> (NSW) ("UCPR"), including, for example: (a) that a person may be represented in the </w:t>
      </w:r>
      <w:r>
        <w:rPr>
          <w:rFonts w:ascii="Times New Roman" w:hAnsi="Times New Roman"/>
        </w:rPr>
        <w:t>c</w:t>
      </w:r>
      <w:r w:rsidRPr="00E124C6">
        <w:rPr>
          <w:rFonts w:ascii="Times New Roman" w:hAnsi="Times New Roman"/>
        </w:rPr>
        <w:t>ourt by a lawyer (FCR, r 4.01(1); UCPR, r 7.24(1)); and (b) the authority of a lawyer to accept service (FCR, r 10.22(1); UCPR, r 10.13).</w:t>
      </w:r>
    </w:p>
    <w:p w14:paraId="409AE4F5"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 xml:space="preserve">As explained in </w:t>
      </w:r>
      <w:r w:rsidRPr="00E124C6">
        <w:rPr>
          <w:rFonts w:ascii="Times New Roman" w:hAnsi="Times New Roman"/>
          <w:i/>
          <w:iCs/>
        </w:rPr>
        <w:t>APLA Ltd v Legal Services Commissioner (NSW)</w:t>
      </w:r>
      <w:r w:rsidRPr="00E124C6">
        <w:rPr>
          <w:rFonts w:ascii="Times New Roman" w:hAnsi="Times New Roman"/>
        </w:rPr>
        <w:t>,</w:t>
      </w:r>
      <w:r w:rsidRPr="00E124C6">
        <w:rPr>
          <w:rStyle w:val="FootnoteReference"/>
          <w:rFonts w:ascii="Times New Roman" w:hAnsi="Times New Roman"/>
          <w:sz w:val="24"/>
        </w:rPr>
        <w:footnoteReference w:id="196"/>
      </w:r>
      <w:r w:rsidRPr="00E124C6">
        <w:rPr>
          <w:rFonts w:ascii="Times New Roman" w:hAnsi="Times New Roman"/>
        </w:rPr>
        <w:t xml:space="preserve"> the "entire system of State regulation of the provision of services which include representing people in courts exercising federal jurisdiction ... assumes that such regulation is not of itself inconsistent with the </w:t>
      </w:r>
      <w:r w:rsidRPr="00E124C6">
        <w:rPr>
          <w:rFonts w:ascii="Times New Roman" w:hAnsi="Times New Roman"/>
          <w:i/>
          <w:iCs/>
        </w:rPr>
        <w:t>Constitution</w:t>
      </w:r>
      <w:r w:rsidRPr="00E124C6">
        <w:rPr>
          <w:rFonts w:ascii="Times New Roman" w:hAnsi="Times New Roman"/>
        </w:rPr>
        <w:t xml:space="preserve"> or with federal law. ... Whatever system exists in relation to the structure, organisation and regulation of the legal profession, it forms part of the context in which federal laws operate, and in which the judicial power of the Commonwealth is exercised."</w:t>
      </w:r>
      <w:r w:rsidRPr="00E124C6">
        <w:rPr>
          <w:rStyle w:val="FootnoteReference"/>
          <w:rFonts w:ascii="Times New Roman" w:hAnsi="Times New Roman"/>
          <w:sz w:val="24"/>
        </w:rPr>
        <w:footnoteReference w:id="197"/>
      </w:r>
      <w:r w:rsidRPr="00E124C6">
        <w:rPr>
          <w:rFonts w:ascii="Times New Roman" w:hAnsi="Times New Roman"/>
        </w:rPr>
        <w:t xml:space="preserve"> That assumption is embodied in s 55B(1) of the </w:t>
      </w:r>
      <w:r w:rsidRPr="00E124C6">
        <w:rPr>
          <w:rFonts w:ascii="Times New Roman" w:hAnsi="Times New Roman"/>
          <w:i/>
          <w:iCs/>
        </w:rPr>
        <w:t>Judiciary Act 1903</w:t>
      </w:r>
      <w:r w:rsidRPr="00E124C6">
        <w:rPr>
          <w:rFonts w:ascii="Times New Roman" w:hAnsi="Times New Roman"/>
        </w:rPr>
        <w:t xml:space="preserve"> (</w:t>
      </w:r>
      <w:proofErr w:type="spellStart"/>
      <w:r w:rsidRPr="00E124C6">
        <w:rPr>
          <w:rFonts w:ascii="Times New Roman" w:hAnsi="Times New Roman"/>
        </w:rPr>
        <w:t>Cth</w:t>
      </w:r>
      <w:proofErr w:type="spellEnd"/>
      <w:r w:rsidRPr="00E124C6">
        <w:rPr>
          <w:rFonts w:ascii="Times New Roman" w:hAnsi="Times New Roman"/>
        </w:rPr>
        <w:t xml:space="preserve">), by which, </w:t>
      </w:r>
      <w:r w:rsidRPr="00E124C6">
        <w:rPr>
          <w:rFonts w:ascii="Times New Roman" w:hAnsi="Times New Roman"/>
        </w:rPr>
        <w:lastRenderedPageBreak/>
        <w:t>relevantly, a person entitled to practise as a barrister or solicitor, or as both, in the Supreme Court of a State or Territory "has the like entitlement to practise in any federal court".</w:t>
      </w:r>
    </w:p>
    <w:p w14:paraId="114E7166"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Given the context within which ss 33V(2) and 33Z(1)(g) of the FCA operate, there is no inconsistency between the vesting of power in the Court to "make such orders as are just with respect to the distribution of any money paid under a settlement or paid into the Court" and "make such other order as the Court thinks just", respectively, and the prohibition in s 183(1) of the NSW LPUL on a law practice entering into a costs agreement under which the amount payable to the law practice, or any part of that amount, is calculated by reference to the amount of any award or settlement or the value of any property that may be recovered in any proceedings to which the agreement relates. Accordingly, s 183(1) operates according to its terms. In so operating, it can never be just within the meaning of s 33</w:t>
      </w:r>
      <w:proofErr w:type="gramStart"/>
      <w:r w:rsidRPr="00E124C6">
        <w:rPr>
          <w:rFonts w:ascii="Times New Roman" w:hAnsi="Times New Roman"/>
        </w:rPr>
        <w:t>V(</w:t>
      </w:r>
      <w:proofErr w:type="gramEnd"/>
      <w:r w:rsidRPr="00E124C6">
        <w:rPr>
          <w:rFonts w:ascii="Times New Roman" w:hAnsi="Times New Roman"/>
        </w:rPr>
        <w:t>2) or s 33Z(1)(g) of the FCA for the Court to make an order which gives effect to an agreement between a law practice and a client which contravenes s 183(1) of the NSW LPUL. That is, the making of such an order is outside the scope of the power so vested in the Court.</w:t>
      </w:r>
    </w:p>
    <w:p w14:paraId="0960FE85"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It is unnecessary to deal with the other arguments raised in the appeals. Those arguments do not directly arise for determination and in any event are incapable of providing a cogent answer to the properly determined scope of s 33V(2) and s 33Z(1)(g) of the FCA (CPA, ss 173 and 177) not extending to a power to make a CFO providing for the distribution of funds to a law practice subject to the NSW LPUL calculated as a percentage of the settlement or judgment sum, including a premium for litigation risk.</w:t>
      </w:r>
    </w:p>
    <w:p w14:paraId="6910EB16" w14:textId="77777777" w:rsidR="006C06CE" w:rsidRPr="00E124C6" w:rsidRDefault="006C06CE" w:rsidP="00E124C6">
      <w:pPr>
        <w:pStyle w:val="HeadingL2"/>
        <w:spacing w:after="260" w:line="280" w:lineRule="exact"/>
        <w:ind w:right="0"/>
        <w:jc w:val="both"/>
        <w:rPr>
          <w:rFonts w:ascii="Times New Roman" w:hAnsi="Times New Roman"/>
        </w:rPr>
      </w:pPr>
      <w:r w:rsidRPr="00E124C6">
        <w:rPr>
          <w:rFonts w:ascii="Times New Roman" w:hAnsi="Times New Roman"/>
        </w:rPr>
        <w:t>Conclusion</w:t>
      </w:r>
    </w:p>
    <w:p w14:paraId="4917A2BA" w14:textId="77777777" w:rsidR="006C06CE" w:rsidRPr="00E124C6" w:rsidRDefault="006C06CE" w:rsidP="00E124C6">
      <w:pPr>
        <w:pStyle w:val="FixListStyle"/>
        <w:spacing w:after="260" w:line="280" w:lineRule="exact"/>
        <w:ind w:right="0"/>
        <w:jc w:val="both"/>
        <w:rPr>
          <w:rFonts w:ascii="Times New Roman" w:hAnsi="Times New Roman"/>
        </w:rPr>
      </w:pPr>
      <w:r w:rsidRPr="00E124C6">
        <w:rPr>
          <w:rFonts w:ascii="Times New Roman" w:hAnsi="Times New Roman"/>
        </w:rPr>
        <w:tab/>
        <w:t>By s 183(1) of the NSW LPUL the law practices cannot enter into an agreement with their clients the effect of which would be that any amount is or will be payable to the law practice calculated by reference to the amount of any award or settlement or the value of any property that may be recovered in any proceedings to which the agreement relates irrespective of whether the obligation or liability of the client to pay any such amount is conditional or contingent on another event (including the making of an order by the Court to constitute the liability and to determine the amount of the liability). The Court cannot make an order that would give effect to any such agreement in contravention of s 183(1) of the NSW LPUL under s 33</w:t>
      </w:r>
      <w:proofErr w:type="gramStart"/>
      <w:r w:rsidRPr="00E124C6">
        <w:rPr>
          <w:rFonts w:ascii="Times New Roman" w:hAnsi="Times New Roman"/>
        </w:rPr>
        <w:t>V(</w:t>
      </w:r>
      <w:proofErr w:type="gramEnd"/>
      <w:r w:rsidRPr="00E124C6">
        <w:rPr>
          <w:rFonts w:ascii="Times New Roman" w:hAnsi="Times New Roman"/>
        </w:rPr>
        <w:t>2) or s 33Z(1)(g) of the FCA.</w:t>
      </w:r>
    </w:p>
    <w:p w14:paraId="2ACA9D74" w14:textId="77777777" w:rsidR="006C06CE" w:rsidRPr="00E124C6" w:rsidRDefault="006C06CE" w:rsidP="00E124C6">
      <w:pPr>
        <w:pStyle w:val="HeadingL1"/>
        <w:spacing w:after="260" w:line="280" w:lineRule="exact"/>
        <w:ind w:right="0"/>
        <w:jc w:val="both"/>
        <w:rPr>
          <w:rFonts w:ascii="Times New Roman" w:hAnsi="Times New Roman"/>
        </w:rPr>
      </w:pPr>
      <w:r w:rsidRPr="00E124C6">
        <w:rPr>
          <w:rFonts w:ascii="Times New Roman" w:hAnsi="Times New Roman"/>
        </w:rPr>
        <w:t>Orders</w:t>
      </w:r>
    </w:p>
    <w:p w14:paraId="363E886C" w14:textId="7EF04B87" w:rsidR="00C33899" w:rsidRPr="006C06CE" w:rsidRDefault="006C06CE" w:rsidP="006C06CE">
      <w:pPr>
        <w:pStyle w:val="FixListStyle"/>
        <w:spacing w:after="260" w:line="280" w:lineRule="exact"/>
        <w:ind w:right="0"/>
        <w:jc w:val="both"/>
        <w:rPr>
          <w:rFonts w:ascii="Times New Roman" w:hAnsi="Times New Roman"/>
        </w:rPr>
      </w:pPr>
      <w:r w:rsidRPr="00E124C6">
        <w:rPr>
          <w:rFonts w:ascii="Times New Roman" w:hAnsi="Times New Roman"/>
        </w:rPr>
        <w:tab/>
        <w:t>For these reasons, the reserved question should be answered "No" and the orders proposed by Gordon, Steward, Gleeson and Beech-Jones JJ should be made.</w:t>
      </w:r>
    </w:p>
    <w:sectPr w:rsidR="00C33899" w:rsidRPr="006C06CE" w:rsidSect="006C06CE">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9ACAF" w14:textId="77777777" w:rsidR="00C25D63" w:rsidRDefault="00C25D63">
      <w:pPr>
        <w:spacing w:line="240" w:lineRule="auto"/>
      </w:pPr>
      <w:r>
        <w:separator/>
      </w:r>
    </w:p>
  </w:endnote>
  <w:endnote w:type="continuationSeparator" w:id="0">
    <w:p w14:paraId="46AAA2FC" w14:textId="77777777" w:rsidR="00C25D63" w:rsidRDefault="00C25D63">
      <w:pPr>
        <w:spacing w:line="240" w:lineRule="auto"/>
      </w:pPr>
      <w:r>
        <w:continuationSeparator/>
      </w:r>
    </w:p>
  </w:endnote>
  <w:endnote w:type="continuationNotice" w:id="1">
    <w:p w14:paraId="53DB7D13" w14:textId="77777777" w:rsidR="00C25D63" w:rsidRDefault="00C25D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F525" w14:textId="77777777" w:rsidR="00271BA7" w:rsidRDefault="00271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36F3" w14:textId="77777777" w:rsidR="00271BA7" w:rsidRDefault="00271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54C9" w14:textId="77777777" w:rsidR="00271BA7" w:rsidRDefault="00271B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5D3D" w14:textId="77777777" w:rsidR="00271BA7" w:rsidRDefault="00271B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DC0C" w14:textId="77777777" w:rsidR="00271BA7" w:rsidRDefault="00271B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D166" w14:textId="77777777" w:rsidR="00271BA7" w:rsidRDefault="0027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4E84" w14:textId="77777777" w:rsidR="00C25D63" w:rsidRPr="00C86A14" w:rsidRDefault="00C25D63" w:rsidP="00C86A14">
      <w:pPr>
        <w:pStyle w:val="Footer"/>
        <w:spacing w:before="120" w:after="20"/>
        <w:ind w:right="0"/>
        <w:rPr>
          <w:rFonts w:ascii="Times New Roman" w:hAnsi="Times New Roman"/>
        </w:rPr>
      </w:pPr>
      <w:r>
        <w:continuationSeparator/>
      </w:r>
    </w:p>
  </w:footnote>
  <w:footnote w:type="continuationSeparator" w:id="0">
    <w:p w14:paraId="46B8877A" w14:textId="77777777" w:rsidR="00C25D63" w:rsidRPr="00C86A14" w:rsidRDefault="00C25D63" w:rsidP="00C86A14">
      <w:pPr>
        <w:pStyle w:val="Footer"/>
        <w:spacing w:before="120" w:after="20"/>
        <w:ind w:right="0"/>
        <w:rPr>
          <w:rFonts w:ascii="Times New Roman" w:hAnsi="Times New Roman"/>
        </w:rPr>
      </w:pPr>
      <w:r w:rsidRPr="00C86A14">
        <w:rPr>
          <w:rFonts w:ascii="Times New Roman" w:hAnsi="Times New Roman"/>
        </w:rPr>
        <w:continuationSeparator/>
      </w:r>
    </w:p>
  </w:footnote>
  <w:footnote w:type="continuationNotice" w:id="1">
    <w:p w14:paraId="0F7FB521" w14:textId="77777777" w:rsidR="00C25D63" w:rsidRPr="006F5E1E" w:rsidRDefault="00C25D63">
      <w:pPr>
        <w:jc w:val="right"/>
        <w:rPr>
          <w:rFonts w:ascii="Times New Roman" w:hAnsi="Times New Roman"/>
          <w:sz w:val="24"/>
        </w:rPr>
      </w:pPr>
    </w:p>
  </w:footnote>
  <w:footnote w:id="2">
    <w:p w14:paraId="32195DC8" w14:textId="13D6BD2C" w:rsidR="00880C87" w:rsidRPr="00C86A14" w:rsidRDefault="00880C87"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44271B" w:rsidRPr="00C86A14">
        <w:rPr>
          <w:rFonts w:ascii="Times New Roman" w:hAnsi="Times New Roman"/>
          <w:sz w:val="24"/>
        </w:rPr>
        <w:tab/>
        <w:t>(2006) 229 CLR 386.</w:t>
      </w:r>
    </w:p>
  </w:footnote>
  <w:footnote w:id="3">
    <w:p w14:paraId="38F78B5F" w14:textId="2FF83A07" w:rsidR="00DF5FAA" w:rsidRPr="00C86A14" w:rsidRDefault="00DF5FAA"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510FBE" w:rsidRPr="00C86A14">
        <w:rPr>
          <w:rFonts w:ascii="Times New Roman" w:hAnsi="Times New Roman"/>
          <w:i/>
          <w:iCs/>
          <w:sz w:val="24"/>
        </w:rPr>
        <w:t>R&amp;B Investments Pty Ltd v Blue Sky Alternative Investments Ltd (In liq)</w:t>
      </w:r>
      <w:r w:rsidR="00510FBE" w:rsidRPr="00C86A14">
        <w:rPr>
          <w:rFonts w:ascii="Times New Roman" w:hAnsi="Times New Roman"/>
          <w:sz w:val="24"/>
        </w:rPr>
        <w:t xml:space="preserve"> (2024) 304 FCR 395</w:t>
      </w:r>
      <w:r w:rsidRPr="00C86A14">
        <w:rPr>
          <w:rFonts w:ascii="Times New Roman" w:hAnsi="Times New Roman"/>
          <w:sz w:val="24"/>
        </w:rPr>
        <w:t>.</w:t>
      </w:r>
    </w:p>
  </w:footnote>
  <w:footnote w:id="4">
    <w:p w14:paraId="4686044D" w14:textId="225DEA58" w:rsidR="00EE1245" w:rsidRPr="00C86A14" w:rsidRDefault="00EE1245"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44271B" w:rsidRPr="00C86A14">
        <w:rPr>
          <w:rFonts w:ascii="Times New Roman" w:hAnsi="Times New Roman"/>
          <w:sz w:val="24"/>
        </w:rPr>
        <w:tab/>
        <w:t>(2019) 269 CLR 574. See</w:t>
      </w:r>
      <w:r w:rsidR="00A00108" w:rsidRPr="00C86A14">
        <w:rPr>
          <w:rFonts w:ascii="Times New Roman" w:hAnsi="Times New Roman"/>
          <w:sz w:val="24"/>
        </w:rPr>
        <w:t xml:space="preserve">, eg, </w:t>
      </w:r>
      <w:r w:rsidR="00763CF9" w:rsidRPr="00C86A14">
        <w:rPr>
          <w:rFonts w:ascii="Times New Roman" w:hAnsi="Times New Roman"/>
          <w:i/>
          <w:iCs/>
          <w:sz w:val="24"/>
        </w:rPr>
        <w:t xml:space="preserve">Uren v RMBL Investments Ltd </w:t>
      </w:r>
      <w:r w:rsidR="00173B67" w:rsidRPr="00C86A14">
        <w:rPr>
          <w:rFonts w:ascii="Times New Roman" w:hAnsi="Times New Roman"/>
          <w:i/>
          <w:iCs/>
          <w:sz w:val="24"/>
        </w:rPr>
        <w:t>[</w:t>
      </w:r>
      <w:r w:rsidR="00763CF9" w:rsidRPr="00C86A14">
        <w:rPr>
          <w:rFonts w:ascii="Times New Roman" w:hAnsi="Times New Roman"/>
          <w:i/>
          <w:iCs/>
          <w:sz w:val="24"/>
        </w:rPr>
        <w:t>No 2</w:t>
      </w:r>
      <w:r w:rsidR="00173B67" w:rsidRPr="00C86A14">
        <w:rPr>
          <w:rFonts w:ascii="Times New Roman" w:hAnsi="Times New Roman"/>
          <w:i/>
          <w:iCs/>
          <w:sz w:val="24"/>
        </w:rPr>
        <w:t>]</w:t>
      </w:r>
      <w:r w:rsidR="00763CF9" w:rsidRPr="00C86A14">
        <w:rPr>
          <w:rFonts w:ascii="Times New Roman" w:hAnsi="Times New Roman"/>
          <w:i/>
          <w:iCs/>
          <w:sz w:val="24"/>
        </w:rPr>
        <w:t xml:space="preserve"> </w:t>
      </w:r>
      <w:r w:rsidR="00763CF9" w:rsidRPr="00C86A14">
        <w:rPr>
          <w:rFonts w:ascii="Times New Roman" w:hAnsi="Times New Roman"/>
          <w:sz w:val="24"/>
        </w:rPr>
        <w:t xml:space="preserve">[2020] FCA 647; </w:t>
      </w:r>
      <w:r w:rsidR="00763CF9" w:rsidRPr="00C86A14">
        <w:rPr>
          <w:rFonts w:ascii="Times New Roman" w:hAnsi="Times New Roman"/>
          <w:i/>
          <w:iCs/>
          <w:sz w:val="24"/>
        </w:rPr>
        <w:t xml:space="preserve">Webster (Trustee) v Murray Goulburn Co-operative Co Ltd </w:t>
      </w:r>
      <w:r w:rsidR="00173B67" w:rsidRPr="00C86A14">
        <w:rPr>
          <w:rFonts w:ascii="Times New Roman" w:hAnsi="Times New Roman"/>
          <w:i/>
          <w:iCs/>
          <w:sz w:val="24"/>
        </w:rPr>
        <w:t>[</w:t>
      </w:r>
      <w:r w:rsidR="00763CF9" w:rsidRPr="00C86A14">
        <w:rPr>
          <w:rFonts w:ascii="Times New Roman" w:hAnsi="Times New Roman"/>
          <w:i/>
          <w:iCs/>
          <w:sz w:val="24"/>
        </w:rPr>
        <w:t>No 4</w:t>
      </w:r>
      <w:r w:rsidR="00173B67" w:rsidRPr="00C86A14">
        <w:rPr>
          <w:rFonts w:ascii="Times New Roman" w:hAnsi="Times New Roman"/>
          <w:i/>
          <w:iCs/>
          <w:sz w:val="24"/>
        </w:rPr>
        <w:t>]</w:t>
      </w:r>
      <w:r w:rsidR="00763CF9" w:rsidRPr="00C86A14">
        <w:rPr>
          <w:rFonts w:ascii="Times New Roman" w:hAnsi="Times New Roman"/>
          <w:i/>
          <w:iCs/>
          <w:sz w:val="24"/>
        </w:rPr>
        <w:t xml:space="preserve"> </w:t>
      </w:r>
      <w:r w:rsidR="00763CF9" w:rsidRPr="00C86A14">
        <w:rPr>
          <w:rFonts w:ascii="Times New Roman" w:hAnsi="Times New Roman"/>
          <w:sz w:val="24"/>
        </w:rPr>
        <w:t xml:space="preserve">[2020] FCA 1053; </w:t>
      </w:r>
      <w:r w:rsidR="00763CF9" w:rsidRPr="00C86A14">
        <w:rPr>
          <w:rFonts w:ascii="Times New Roman" w:hAnsi="Times New Roman"/>
          <w:i/>
          <w:iCs/>
          <w:sz w:val="24"/>
        </w:rPr>
        <w:t xml:space="preserve">Asirifi-Otchere v Swann Insurance (Aust) Pty Ltd </w:t>
      </w:r>
      <w:r w:rsidR="00173B67" w:rsidRPr="00C86A14">
        <w:rPr>
          <w:rFonts w:ascii="Times New Roman" w:hAnsi="Times New Roman"/>
          <w:i/>
          <w:iCs/>
          <w:sz w:val="24"/>
        </w:rPr>
        <w:t>[</w:t>
      </w:r>
      <w:r w:rsidR="00763CF9" w:rsidRPr="00C86A14">
        <w:rPr>
          <w:rFonts w:ascii="Times New Roman" w:hAnsi="Times New Roman"/>
          <w:i/>
          <w:iCs/>
          <w:sz w:val="24"/>
        </w:rPr>
        <w:t>No 3</w:t>
      </w:r>
      <w:r w:rsidR="00173B67" w:rsidRPr="00C86A14">
        <w:rPr>
          <w:rFonts w:ascii="Times New Roman" w:hAnsi="Times New Roman"/>
          <w:i/>
          <w:iCs/>
          <w:sz w:val="24"/>
        </w:rPr>
        <w:t>]</w:t>
      </w:r>
      <w:r w:rsidR="00763CF9" w:rsidRPr="00C86A14">
        <w:rPr>
          <w:rFonts w:ascii="Times New Roman" w:hAnsi="Times New Roman"/>
          <w:sz w:val="24"/>
        </w:rPr>
        <w:t xml:space="preserve"> (2020) 385 ALR 625; </w:t>
      </w:r>
      <w:r w:rsidR="00763CF9" w:rsidRPr="00C86A14">
        <w:rPr>
          <w:rFonts w:ascii="Times New Roman" w:hAnsi="Times New Roman"/>
          <w:i/>
          <w:iCs/>
          <w:sz w:val="24"/>
        </w:rPr>
        <w:t xml:space="preserve">Bradshaw v BSA Ltd </w:t>
      </w:r>
      <w:r w:rsidR="00B843A1" w:rsidRPr="00C86A14">
        <w:rPr>
          <w:rFonts w:ascii="Times New Roman" w:hAnsi="Times New Roman"/>
          <w:i/>
          <w:iCs/>
          <w:sz w:val="24"/>
        </w:rPr>
        <w:t>[</w:t>
      </w:r>
      <w:r w:rsidR="00763CF9" w:rsidRPr="00C86A14">
        <w:rPr>
          <w:rFonts w:ascii="Times New Roman" w:hAnsi="Times New Roman"/>
          <w:i/>
          <w:iCs/>
          <w:sz w:val="24"/>
        </w:rPr>
        <w:t>No 2</w:t>
      </w:r>
      <w:r w:rsidR="00B843A1" w:rsidRPr="00C86A14">
        <w:rPr>
          <w:rFonts w:ascii="Times New Roman" w:hAnsi="Times New Roman"/>
          <w:i/>
          <w:iCs/>
          <w:sz w:val="24"/>
        </w:rPr>
        <w:t>]</w:t>
      </w:r>
      <w:r w:rsidR="00763CF9" w:rsidRPr="00C86A14">
        <w:rPr>
          <w:rFonts w:ascii="Times New Roman" w:hAnsi="Times New Roman"/>
          <w:sz w:val="24"/>
        </w:rPr>
        <w:t xml:space="preserve"> [2022] FCA 1440; </w:t>
      </w:r>
      <w:r w:rsidR="00763CF9" w:rsidRPr="00C86A14">
        <w:rPr>
          <w:rFonts w:ascii="Times New Roman" w:hAnsi="Times New Roman"/>
          <w:i/>
          <w:iCs/>
          <w:sz w:val="24"/>
        </w:rPr>
        <w:t xml:space="preserve">Haswell v The Commonwealth </w:t>
      </w:r>
      <w:r w:rsidR="00B843A1" w:rsidRPr="00C86A14">
        <w:rPr>
          <w:rFonts w:ascii="Times New Roman" w:hAnsi="Times New Roman"/>
          <w:i/>
          <w:iCs/>
          <w:sz w:val="24"/>
        </w:rPr>
        <w:t>[</w:t>
      </w:r>
      <w:r w:rsidR="00763CF9" w:rsidRPr="00C86A14">
        <w:rPr>
          <w:rFonts w:ascii="Times New Roman" w:hAnsi="Times New Roman"/>
          <w:i/>
          <w:iCs/>
          <w:sz w:val="24"/>
        </w:rPr>
        <w:t>No 3</w:t>
      </w:r>
      <w:r w:rsidR="00B843A1" w:rsidRPr="00C86A14">
        <w:rPr>
          <w:rFonts w:ascii="Times New Roman" w:hAnsi="Times New Roman"/>
          <w:i/>
          <w:iCs/>
          <w:sz w:val="24"/>
        </w:rPr>
        <w:t>]</w:t>
      </w:r>
      <w:r w:rsidR="00763CF9" w:rsidRPr="00C86A14">
        <w:rPr>
          <w:rFonts w:ascii="Times New Roman" w:hAnsi="Times New Roman"/>
          <w:sz w:val="24"/>
        </w:rPr>
        <w:t xml:space="preserve"> [2023] FCA 1093; </w:t>
      </w:r>
      <w:r w:rsidR="00763CF9" w:rsidRPr="00C86A14">
        <w:rPr>
          <w:rFonts w:ascii="Times New Roman" w:hAnsi="Times New Roman"/>
          <w:i/>
          <w:iCs/>
          <w:sz w:val="24"/>
        </w:rPr>
        <w:t>Ghee v BT Funds Management Ltd</w:t>
      </w:r>
      <w:r w:rsidR="00763CF9" w:rsidRPr="00C86A14">
        <w:rPr>
          <w:rFonts w:ascii="Times New Roman" w:hAnsi="Times New Roman"/>
          <w:sz w:val="24"/>
        </w:rPr>
        <w:t xml:space="preserve"> [2023] FCA 1553; </w:t>
      </w:r>
      <w:r w:rsidR="00E254B3" w:rsidRPr="00C86A14">
        <w:rPr>
          <w:rFonts w:ascii="Times New Roman" w:hAnsi="Times New Roman"/>
          <w:i/>
          <w:iCs/>
          <w:sz w:val="24"/>
        </w:rPr>
        <w:t xml:space="preserve">Ingram v Ardent Leisure Ltd </w:t>
      </w:r>
      <w:r w:rsidR="00E254B3" w:rsidRPr="00C86A14">
        <w:rPr>
          <w:rFonts w:ascii="Times New Roman" w:hAnsi="Times New Roman"/>
          <w:sz w:val="24"/>
        </w:rPr>
        <w:t xml:space="preserve">[2024] FCA 836; </w:t>
      </w:r>
      <w:r w:rsidR="00763CF9" w:rsidRPr="00C86A14">
        <w:rPr>
          <w:rFonts w:ascii="Times New Roman" w:hAnsi="Times New Roman"/>
          <w:i/>
          <w:iCs/>
          <w:sz w:val="24"/>
        </w:rPr>
        <w:t>Galactic Seven Eleven Litigation Holdings LLC v Davaria</w:t>
      </w:r>
      <w:r w:rsidR="00763CF9" w:rsidRPr="00C86A14">
        <w:rPr>
          <w:rFonts w:ascii="Times New Roman" w:hAnsi="Times New Roman"/>
          <w:sz w:val="24"/>
        </w:rPr>
        <w:t xml:space="preserve"> (2024) 302 FCR 493; </w:t>
      </w:r>
      <w:r w:rsidR="00763CF9" w:rsidRPr="00C86A14">
        <w:rPr>
          <w:rFonts w:ascii="Times New Roman" w:hAnsi="Times New Roman"/>
          <w:i/>
          <w:iCs/>
          <w:sz w:val="24"/>
        </w:rPr>
        <w:t>Street v Western Australia</w:t>
      </w:r>
      <w:r w:rsidR="00763CF9" w:rsidRPr="00C86A14">
        <w:rPr>
          <w:rFonts w:ascii="Times New Roman" w:hAnsi="Times New Roman"/>
          <w:sz w:val="24"/>
        </w:rPr>
        <w:t xml:space="preserve"> [2024] FCA 1368; </w:t>
      </w:r>
      <w:r w:rsidR="00763CF9" w:rsidRPr="00C86A14">
        <w:rPr>
          <w:rFonts w:ascii="Times New Roman" w:hAnsi="Times New Roman"/>
          <w:i/>
          <w:iCs/>
          <w:sz w:val="24"/>
        </w:rPr>
        <w:t xml:space="preserve">Boulos v M.R.V.L. Investments Pty Ltd </w:t>
      </w:r>
      <w:r w:rsidR="00763CF9" w:rsidRPr="00C86A14">
        <w:rPr>
          <w:rFonts w:ascii="Times New Roman" w:hAnsi="Times New Roman"/>
          <w:sz w:val="24"/>
        </w:rPr>
        <w:t>[2024] FCA 1377.</w:t>
      </w:r>
    </w:p>
  </w:footnote>
  <w:footnote w:id="5">
    <w:p w14:paraId="6B58D385" w14:textId="1EF42C64" w:rsidR="00DA2674" w:rsidRPr="00C86A14" w:rsidRDefault="00DA2674"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FE16E2" w:rsidRPr="00C86A14">
        <w:rPr>
          <w:rFonts w:ascii="Times New Roman" w:hAnsi="Times New Roman"/>
          <w:sz w:val="24"/>
        </w:rPr>
        <w:tab/>
      </w:r>
      <w:r w:rsidR="00382708" w:rsidRPr="00C86A14">
        <w:rPr>
          <w:rFonts w:ascii="Times New Roman" w:hAnsi="Times New Roman"/>
          <w:sz w:val="24"/>
        </w:rPr>
        <w:t xml:space="preserve">See, </w:t>
      </w:r>
      <w:r w:rsidR="00704329" w:rsidRPr="00C86A14">
        <w:rPr>
          <w:rFonts w:ascii="Times New Roman" w:hAnsi="Times New Roman"/>
          <w:sz w:val="24"/>
        </w:rPr>
        <w:t>eg</w:t>
      </w:r>
      <w:r w:rsidR="00382708" w:rsidRPr="00C86A14">
        <w:rPr>
          <w:rFonts w:ascii="Times New Roman" w:hAnsi="Times New Roman"/>
          <w:sz w:val="24"/>
        </w:rPr>
        <w:t>,</w:t>
      </w:r>
      <w:r w:rsidR="00704329" w:rsidRPr="00C86A14">
        <w:rPr>
          <w:rFonts w:ascii="Times New Roman" w:hAnsi="Times New Roman"/>
          <w:sz w:val="24"/>
        </w:rPr>
        <w:t xml:space="preserve"> </w:t>
      </w:r>
      <w:r w:rsidR="00704329" w:rsidRPr="00C86A14">
        <w:rPr>
          <w:rFonts w:ascii="Times New Roman" w:hAnsi="Times New Roman"/>
          <w:i/>
          <w:iCs/>
          <w:sz w:val="24"/>
        </w:rPr>
        <w:t>Davar</w:t>
      </w:r>
      <w:r w:rsidR="00A7090A" w:rsidRPr="00C86A14">
        <w:rPr>
          <w:rFonts w:ascii="Times New Roman" w:hAnsi="Times New Roman"/>
          <w:i/>
          <w:iCs/>
          <w:sz w:val="24"/>
        </w:rPr>
        <w:t>ia Pty Ltd v 7-Eleven Stores Pty Ltd</w:t>
      </w:r>
      <w:r w:rsidR="00A7090A" w:rsidRPr="00C86A14">
        <w:rPr>
          <w:rFonts w:ascii="Times New Roman" w:hAnsi="Times New Roman"/>
          <w:sz w:val="24"/>
        </w:rPr>
        <w:t xml:space="preserve"> (2020) </w:t>
      </w:r>
      <w:r w:rsidR="00FB0382" w:rsidRPr="00C86A14">
        <w:rPr>
          <w:rFonts w:ascii="Times New Roman" w:hAnsi="Times New Roman"/>
          <w:sz w:val="24"/>
        </w:rPr>
        <w:t>281 FCR 501 at 506 [19].</w:t>
      </w:r>
    </w:p>
  </w:footnote>
  <w:footnote w:id="6">
    <w:p w14:paraId="7719F108" w14:textId="41E4127F" w:rsidR="00CE12A2" w:rsidRPr="00C86A14" w:rsidRDefault="00CE12A2"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F724B3" w:rsidRPr="00C86A14">
        <w:rPr>
          <w:rFonts w:ascii="Times New Roman" w:hAnsi="Times New Roman"/>
          <w:sz w:val="24"/>
        </w:rPr>
        <w:t xml:space="preserve">But see </w:t>
      </w:r>
      <w:r w:rsidR="00F724B3" w:rsidRPr="00C86A14">
        <w:rPr>
          <w:rFonts w:ascii="Times New Roman" w:hAnsi="Times New Roman"/>
          <w:i/>
          <w:iCs/>
          <w:sz w:val="24"/>
        </w:rPr>
        <w:t>Impiombato v BHP Billiton</w:t>
      </w:r>
      <w:r w:rsidR="00E07CB0" w:rsidRPr="00C86A14">
        <w:rPr>
          <w:rFonts w:ascii="Times New Roman" w:hAnsi="Times New Roman"/>
          <w:i/>
          <w:iCs/>
          <w:sz w:val="24"/>
        </w:rPr>
        <w:t xml:space="preserve"> </w:t>
      </w:r>
      <w:r w:rsidR="00FB6203" w:rsidRPr="00C86A14">
        <w:rPr>
          <w:rFonts w:ascii="Times New Roman" w:hAnsi="Times New Roman"/>
          <w:i/>
          <w:iCs/>
          <w:sz w:val="24"/>
        </w:rPr>
        <w:t xml:space="preserve">Ltd </w:t>
      </w:r>
      <w:r w:rsidR="00711435" w:rsidRPr="00C86A14">
        <w:rPr>
          <w:rFonts w:ascii="Times New Roman" w:hAnsi="Times New Roman"/>
          <w:i/>
          <w:iCs/>
          <w:sz w:val="24"/>
        </w:rPr>
        <w:t>[</w:t>
      </w:r>
      <w:r w:rsidR="00F724B3" w:rsidRPr="00C86A14">
        <w:rPr>
          <w:rFonts w:ascii="Times New Roman" w:hAnsi="Times New Roman"/>
          <w:i/>
          <w:iCs/>
          <w:sz w:val="24"/>
        </w:rPr>
        <w:t>No 2</w:t>
      </w:r>
      <w:r w:rsidR="00711435" w:rsidRPr="00C86A14">
        <w:rPr>
          <w:rFonts w:ascii="Times New Roman" w:hAnsi="Times New Roman"/>
          <w:i/>
          <w:iCs/>
          <w:sz w:val="24"/>
        </w:rPr>
        <w:t>]</w:t>
      </w:r>
      <w:r w:rsidR="00F724B3" w:rsidRPr="00C86A14">
        <w:rPr>
          <w:rFonts w:ascii="Times New Roman" w:hAnsi="Times New Roman"/>
          <w:i/>
          <w:iCs/>
          <w:sz w:val="24"/>
        </w:rPr>
        <w:t xml:space="preserve"> </w:t>
      </w:r>
      <w:r w:rsidR="00F724B3" w:rsidRPr="00C86A14">
        <w:rPr>
          <w:rFonts w:ascii="Times New Roman" w:hAnsi="Times New Roman"/>
          <w:sz w:val="24"/>
        </w:rPr>
        <w:t>(20</w:t>
      </w:r>
      <w:r w:rsidR="008055BF" w:rsidRPr="00C86A14">
        <w:rPr>
          <w:rFonts w:ascii="Times New Roman" w:hAnsi="Times New Roman"/>
          <w:sz w:val="24"/>
        </w:rPr>
        <w:t>18</w:t>
      </w:r>
      <w:r w:rsidR="00F724B3" w:rsidRPr="00C86A14">
        <w:rPr>
          <w:rFonts w:ascii="Times New Roman" w:hAnsi="Times New Roman"/>
          <w:sz w:val="24"/>
        </w:rPr>
        <w:t xml:space="preserve">) </w:t>
      </w:r>
      <w:r w:rsidR="008055BF" w:rsidRPr="00C86A14">
        <w:rPr>
          <w:rFonts w:ascii="Times New Roman" w:hAnsi="Times New Roman"/>
          <w:sz w:val="24"/>
        </w:rPr>
        <w:t xml:space="preserve">364 </w:t>
      </w:r>
      <w:r w:rsidR="00F724B3" w:rsidRPr="00C86A14">
        <w:rPr>
          <w:rFonts w:ascii="Times New Roman" w:hAnsi="Times New Roman"/>
          <w:sz w:val="24"/>
        </w:rPr>
        <w:t xml:space="preserve">ALR 162 </w:t>
      </w:r>
      <w:r w:rsidR="008055BF" w:rsidRPr="00C86A14">
        <w:rPr>
          <w:rFonts w:ascii="Times New Roman" w:hAnsi="Times New Roman"/>
          <w:sz w:val="24"/>
        </w:rPr>
        <w:t>at</w:t>
      </w:r>
      <w:r w:rsidR="00526599" w:rsidRPr="00C86A14">
        <w:rPr>
          <w:rFonts w:ascii="Times New Roman" w:hAnsi="Times New Roman"/>
          <w:sz w:val="24"/>
        </w:rPr>
        <w:t xml:space="preserve"> 176</w:t>
      </w:r>
      <w:r w:rsidR="008055BF" w:rsidRPr="00C86A14">
        <w:rPr>
          <w:rFonts w:ascii="Times New Roman" w:hAnsi="Times New Roman"/>
          <w:sz w:val="24"/>
        </w:rPr>
        <w:t xml:space="preserve"> </w:t>
      </w:r>
      <w:r w:rsidR="000F0EF4" w:rsidRPr="00C86A14">
        <w:rPr>
          <w:rFonts w:ascii="Times New Roman" w:hAnsi="Times New Roman"/>
          <w:sz w:val="24"/>
        </w:rPr>
        <w:t>[64]-[65]</w:t>
      </w:r>
      <w:r w:rsidR="00A56F06" w:rsidRPr="00C86A14">
        <w:rPr>
          <w:rFonts w:ascii="Times New Roman" w:hAnsi="Times New Roman"/>
          <w:sz w:val="24"/>
        </w:rPr>
        <w:t>, 194 [133]</w:t>
      </w:r>
      <w:r w:rsidR="000F0EF4" w:rsidRPr="00C86A14">
        <w:rPr>
          <w:rFonts w:ascii="Times New Roman" w:hAnsi="Times New Roman"/>
          <w:sz w:val="24"/>
        </w:rPr>
        <w:t xml:space="preserve">, </w:t>
      </w:r>
      <w:r w:rsidR="00F724B3" w:rsidRPr="00C86A14">
        <w:rPr>
          <w:rFonts w:ascii="Times New Roman" w:hAnsi="Times New Roman"/>
          <w:sz w:val="24"/>
        </w:rPr>
        <w:t xml:space="preserve">considered in </w:t>
      </w:r>
      <w:r w:rsidR="00F724B3" w:rsidRPr="00C86A14">
        <w:rPr>
          <w:rFonts w:ascii="Times New Roman" w:hAnsi="Times New Roman"/>
          <w:i/>
          <w:iCs/>
          <w:sz w:val="24"/>
        </w:rPr>
        <w:t>Klemweb Nominees</w:t>
      </w:r>
      <w:r w:rsidR="00F724B3" w:rsidRPr="00C86A14">
        <w:rPr>
          <w:rFonts w:ascii="Times New Roman" w:hAnsi="Times New Roman"/>
          <w:sz w:val="24"/>
        </w:rPr>
        <w:t xml:space="preserve"> </w:t>
      </w:r>
      <w:r w:rsidR="002D2778" w:rsidRPr="00C86A14">
        <w:rPr>
          <w:rFonts w:ascii="Times New Roman" w:hAnsi="Times New Roman"/>
          <w:i/>
          <w:iCs/>
          <w:sz w:val="24"/>
        </w:rPr>
        <w:t xml:space="preserve">Pty Ltd (as trustee for the Klemweb Superannuation Fund) v BHP Group Ltd </w:t>
      </w:r>
      <w:r w:rsidR="002D2778" w:rsidRPr="00C86A14">
        <w:rPr>
          <w:rFonts w:ascii="Times New Roman" w:hAnsi="Times New Roman"/>
          <w:sz w:val="24"/>
        </w:rPr>
        <w:t xml:space="preserve">(2019) 369 </w:t>
      </w:r>
      <w:r w:rsidR="00F724B3" w:rsidRPr="00C86A14">
        <w:rPr>
          <w:rFonts w:ascii="Times New Roman" w:hAnsi="Times New Roman"/>
          <w:sz w:val="24"/>
        </w:rPr>
        <w:t>ALR</w:t>
      </w:r>
      <w:r w:rsidR="002D2778" w:rsidRPr="00C86A14">
        <w:rPr>
          <w:rFonts w:ascii="Times New Roman" w:hAnsi="Times New Roman"/>
          <w:sz w:val="24"/>
        </w:rPr>
        <w:t xml:space="preserve"> 583</w:t>
      </w:r>
      <w:r w:rsidR="005C5D5E" w:rsidRPr="00C86A14">
        <w:rPr>
          <w:rFonts w:ascii="Times New Roman" w:hAnsi="Times New Roman"/>
          <w:sz w:val="24"/>
        </w:rPr>
        <w:t xml:space="preserve"> at</w:t>
      </w:r>
      <w:r w:rsidR="009C7BFA" w:rsidRPr="00C86A14">
        <w:rPr>
          <w:rFonts w:ascii="Times New Roman" w:hAnsi="Times New Roman"/>
          <w:sz w:val="24"/>
        </w:rPr>
        <w:t xml:space="preserve"> </w:t>
      </w:r>
      <w:r w:rsidR="00C8194C" w:rsidRPr="00C86A14">
        <w:rPr>
          <w:rFonts w:ascii="Times New Roman" w:hAnsi="Times New Roman"/>
          <w:sz w:val="24"/>
        </w:rPr>
        <w:t>587-</w:t>
      </w:r>
      <w:r w:rsidR="00745331" w:rsidRPr="00C86A14">
        <w:rPr>
          <w:rFonts w:ascii="Times New Roman" w:hAnsi="Times New Roman"/>
          <w:sz w:val="24"/>
        </w:rPr>
        <w:t>588</w:t>
      </w:r>
      <w:r w:rsidR="00C8194C" w:rsidRPr="00C86A14">
        <w:rPr>
          <w:rFonts w:ascii="Times New Roman" w:hAnsi="Times New Roman"/>
          <w:sz w:val="24"/>
        </w:rPr>
        <w:t xml:space="preserve"> </w:t>
      </w:r>
      <w:r w:rsidR="009C7BFA" w:rsidRPr="00C86A14">
        <w:rPr>
          <w:rFonts w:ascii="Times New Roman" w:hAnsi="Times New Roman"/>
          <w:sz w:val="24"/>
        </w:rPr>
        <w:t>[16]-[</w:t>
      </w:r>
      <w:r w:rsidR="00745331" w:rsidRPr="00C86A14">
        <w:rPr>
          <w:rFonts w:ascii="Times New Roman" w:hAnsi="Times New Roman"/>
          <w:sz w:val="24"/>
        </w:rPr>
        <w:t>23</w:t>
      </w:r>
      <w:r w:rsidR="009C7BFA" w:rsidRPr="00C86A14">
        <w:rPr>
          <w:rFonts w:ascii="Times New Roman" w:hAnsi="Times New Roman"/>
          <w:sz w:val="24"/>
        </w:rPr>
        <w:t>],</w:t>
      </w:r>
      <w:r w:rsidR="005C5D5E" w:rsidRPr="00C86A14">
        <w:rPr>
          <w:rFonts w:ascii="Times New Roman" w:hAnsi="Times New Roman"/>
          <w:sz w:val="24"/>
        </w:rPr>
        <w:t xml:space="preserve"> 612 [139].</w:t>
      </w:r>
    </w:p>
  </w:footnote>
  <w:footnote w:id="7">
    <w:p w14:paraId="69B2511A" w14:textId="2FF2B112" w:rsidR="00665379" w:rsidRPr="00C86A14" w:rsidRDefault="00665379"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80335D" w:rsidRPr="00C86A14">
        <w:rPr>
          <w:rFonts w:ascii="Times New Roman" w:hAnsi="Times New Roman"/>
          <w:sz w:val="24"/>
        </w:rPr>
        <w:tab/>
      </w:r>
      <w:r w:rsidR="00E31B8D" w:rsidRPr="00C86A14">
        <w:rPr>
          <w:rFonts w:ascii="Times New Roman" w:hAnsi="Times New Roman"/>
          <w:sz w:val="24"/>
        </w:rPr>
        <w:t>(2024) 304 FCR 395 at 423 [133].</w:t>
      </w:r>
    </w:p>
  </w:footnote>
  <w:footnote w:id="8">
    <w:p w14:paraId="48B5AB63" w14:textId="5D1046E9" w:rsidR="006A583D" w:rsidRPr="00C86A14" w:rsidRDefault="006A583D"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t>(2023) 301 FCR 1.</w:t>
      </w:r>
    </w:p>
  </w:footnote>
  <w:footnote w:id="9">
    <w:p w14:paraId="3A265DC6" w14:textId="6F852264" w:rsidR="009729CD" w:rsidRPr="00C86A14" w:rsidRDefault="009729CD"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A96740" w:rsidRPr="00C86A14">
        <w:rPr>
          <w:rFonts w:ascii="Times New Roman" w:hAnsi="Times New Roman"/>
          <w:sz w:val="24"/>
        </w:rPr>
        <w:tab/>
        <w:t>(2024) 304 FCR 395 at 407 [56].</w:t>
      </w:r>
    </w:p>
  </w:footnote>
  <w:footnote w:id="10">
    <w:p w14:paraId="306691AF" w14:textId="222EE0D5" w:rsidR="00880C87" w:rsidRPr="00C86A14" w:rsidRDefault="00880C87"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802487" w:rsidRPr="00C86A14">
        <w:rPr>
          <w:rFonts w:ascii="Times New Roman" w:hAnsi="Times New Roman"/>
          <w:sz w:val="24"/>
        </w:rPr>
        <w:tab/>
        <w:t>(2024) 304 FCR 395 at 406-407 [53], 410 [69], 412 [72], 414 [85], 421 [120].</w:t>
      </w:r>
    </w:p>
  </w:footnote>
  <w:footnote w:id="11">
    <w:p w14:paraId="06C42944" w14:textId="77777777" w:rsidR="00FD373A" w:rsidRPr="00C86A14" w:rsidRDefault="00FD373A"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t>(2019) 269 CLR 574 at 589 [3].</w:t>
      </w:r>
    </w:p>
  </w:footnote>
  <w:footnote w:id="12">
    <w:p w14:paraId="6207FEB1" w14:textId="76D11594" w:rsidR="00703ADC" w:rsidRPr="00C86A14" w:rsidRDefault="00703ADC"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A444EA" w:rsidRPr="00C86A14">
        <w:rPr>
          <w:rFonts w:ascii="Times New Roman" w:hAnsi="Times New Roman"/>
          <w:sz w:val="24"/>
        </w:rPr>
        <w:t xml:space="preserve">See, </w:t>
      </w:r>
      <w:r w:rsidRPr="00C86A14">
        <w:rPr>
          <w:rFonts w:ascii="Times New Roman" w:hAnsi="Times New Roman"/>
          <w:sz w:val="24"/>
        </w:rPr>
        <w:t>eg</w:t>
      </w:r>
      <w:r w:rsidR="00A444EA" w:rsidRPr="00C86A14">
        <w:rPr>
          <w:rFonts w:ascii="Times New Roman" w:hAnsi="Times New Roman"/>
          <w:sz w:val="24"/>
        </w:rPr>
        <w:t>,</w:t>
      </w:r>
      <w:r w:rsidRPr="00C86A14">
        <w:rPr>
          <w:rFonts w:ascii="Times New Roman" w:hAnsi="Times New Roman"/>
          <w:sz w:val="24"/>
        </w:rPr>
        <w:t xml:space="preserve"> </w:t>
      </w:r>
      <w:r w:rsidRPr="00C86A14">
        <w:rPr>
          <w:rFonts w:ascii="Times New Roman" w:hAnsi="Times New Roman"/>
          <w:i/>
          <w:iCs/>
          <w:sz w:val="24"/>
        </w:rPr>
        <w:t>Davaria Pty Ltd v 7-Eleven Stores Pty Ltd</w:t>
      </w:r>
      <w:r w:rsidRPr="00C86A14">
        <w:rPr>
          <w:rFonts w:ascii="Times New Roman" w:hAnsi="Times New Roman"/>
          <w:sz w:val="24"/>
        </w:rPr>
        <w:t xml:space="preserve"> (2020) 281 FCR 501 at 506 [19].</w:t>
      </w:r>
    </w:p>
  </w:footnote>
  <w:footnote w:id="13">
    <w:p w14:paraId="0BFA2984" w14:textId="16F5F1A1" w:rsidR="00A10C6A" w:rsidRPr="00C86A14" w:rsidRDefault="00A10C6A"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842386" w:rsidRPr="00C86A14">
        <w:rPr>
          <w:rFonts w:ascii="Times New Roman" w:hAnsi="Times New Roman"/>
          <w:sz w:val="24"/>
        </w:rPr>
        <w:tab/>
      </w:r>
      <w:r w:rsidR="001B6395" w:rsidRPr="00C86A14">
        <w:rPr>
          <w:rFonts w:ascii="Times New Roman" w:hAnsi="Times New Roman"/>
          <w:sz w:val="24"/>
        </w:rPr>
        <w:t>(2019) 269 CLR 574 at 589 [3], 599-600 [47]</w:t>
      </w:r>
      <w:r w:rsidR="00682BB7" w:rsidRPr="00C86A14">
        <w:rPr>
          <w:rFonts w:ascii="Times New Roman" w:hAnsi="Times New Roman"/>
          <w:sz w:val="24"/>
        </w:rPr>
        <w:t xml:space="preserve">, </w:t>
      </w:r>
      <w:r w:rsidR="00FF2F34" w:rsidRPr="00C86A14">
        <w:rPr>
          <w:rFonts w:ascii="Times New Roman" w:hAnsi="Times New Roman"/>
          <w:sz w:val="24"/>
        </w:rPr>
        <w:t xml:space="preserve">624 [125], </w:t>
      </w:r>
      <w:r w:rsidR="007F55E8" w:rsidRPr="00C86A14">
        <w:rPr>
          <w:rFonts w:ascii="Times New Roman" w:hAnsi="Times New Roman"/>
          <w:sz w:val="24"/>
        </w:rPr>
        <w:t xml:space="preserve">633 </w:t>
      </w:r>
      <w:r w:rsidR="0032091A" w:rsidRPr="00C86A14">
        <w:rPr>
          <w:rFonts w:ascii="Times New Roman" w:hAnsi="Times New Roman"/>
          <w:sz w:val="24"/>
        </w:rPr>
        <w:t>[</w:t>
      </w:r>
      <w:r w:rsidR="002E4BD7" w:rsidRPr="00C86A14">
        <w:rPr>
          <w:rFonts w:ascii="Times New Roman" w:hAnsi="Times New Roman"/>
          <w:sz w:val="24"/>
        </w:rPr>
        <w:t>153]-[154]</w:t>
      </w:r>
      <w:r w:rsidR="001B6395" w:rsidRPr="00C86A14">
        <w:rPr>
          <w:rFonts w:ascii="Times New Roman" w:hAnsi="Times New Roman"/>
          <w:sz w:val="24"/>
        </w:rPr>
        <w:t>.</w:t>
      </w:r>
    </w:p>
  </w:footnote>
  <w:footnote w:id="14">
    <w:p w14:paraId="1E8789D7" w14:textId="3230754E" w:rsidR="007C03C2" w:rsidRPr="00C86A14" w:rsidRDefault="007C03C2"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201FE6" w:rsidRPr="00C86A14">
        <w:rPr>
          <w:rFonts w:ascii="Times New Roman" w:hAnsi="Times New Roman"/>
          <w:i/>
          <w:iCs/>
          <w:sz w:val="24"/>
        </w:rPr>
        <w:t>Owners of "Shin Kobe Maru" v Empire Shipping Co Inc</w:t>
      </w:r>
      <w:r w:rsidR="00201FE6" w:rsidRPr="00C86A14">
        <w:rPr>
          <w:rFonts w:ascii="Times New Roman" w:hAnsi="Times New Roman"/>
          <w:sz w:val="24"/>
        </w:rPr>
        <w:t xml:space="preserve"> (1994) 181 CLR </w:t>
      </w:r>
      <w:r w:rsidR="002415DE" w:rsidRPr="00C86A14">
        <w:rPr>
          <w:rFonts w:ascii="Times New Roman" w:hAnsi="Times New Roman"/>
          <w:sz w:val="24"/>
        </w:rPr>
        <w:t>404 at 421</w:t>
      </w:r>
      <w:r w:rsidR="00653A68" w:rsidRPr="00C86A14">
        <w:rPr>
          <w:rFonts w:ascii="Times New Roman" w:hAnsi="Times New Roman"/>
          <w:sz w:val="24"/>
        </w:rPr>
        <w:t>;</w:t>
      </w:r>
      <w:r w:rsidR="009904B3" w:rsidRPr="00C86A14">
        <w:rPr>
          <w:rFonts w:ascii="Times New Roman" w:hAnsi="Times New Roman"/>
          <w:sz w:val="24"/>
        </w:rPr>
        <w:t xml:space="preserve"> </w:t>
      </w:r>
      <w:r w:rsidR="009904B3" w:rsidRPr="00C86A14">
        <w:rPr>
          <w:rFonts w:ascii="Times New Roman" w:hAnsi="Times New Roman"/>
          <w:i/>
          <w:iCs/>
          <w:sz w:val="24"/>
        </w:rPr>
        <w:t>Australasian Memory Pty Ltd v Brien</w:t>
      </w:r>
      <w:r w:rsidR="009904B3" w:rsidRPr="00C86A14">
        <w:rPr>
          <w:rFonts w:ascii="Times New Roman" w:hAnsi="Times New Roman"/>
          <w:sz w:val="24"/>
        </w:rPr>
        <w:t xml:space="preserve"> (2000) 200 CLR 270 at </w:t>
      </w:r>
      <w:r w:rsidR="00C66A01" w:rsidRPr="00C86A14">
        <w:rPr>
          <w:rFonts w:ascii="Times New Roman" w:hAnsi="Times New Roman"/>
          <w:sz w:val="24"/>
        </w:rPr>
        <w:t>279 [17].</w:t>
      </w:r>
    </w:p>
  </w:footnote>
  <w:footnote w:id="15">
    <w:p w14:paraId="20AF6636" w14:textId="52FA8E02" w:rsidR="001138C0" w:rsidRPr="00C86A14" w:rsidRDefault="001138C0"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113F54" w:rsidRPr="00C86A14">
        <w:rPr>
          <w:rFonts w:ascii="Times New Roman" w:hAnsi="Times New Roman"/>
          <w:sz w:val="24"/>
        </w:rPr>
        <w:tab/>
        <w:t>(1999) 199 CLR 255 at 260-261 [11].</w:t>
      </w:r>
    </w:p>
  </w:footnote>
  <w:footnote w:id="16">
    <w:p w14:paraId="0C5C2945" w14:textId="60188E2D" w:rsidR="00F352FF" w:rsidRPr="00C86A14" w:rsidRDefault="00F352FF"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t>(</w:t>
      </w:r>
      <w:r w:rsidR="007D33C2" w:rsidRPr="00C86A14">
        <w:rPr>
          <w:rFonts w:ascii="Times New Roman" w:hAnsi="Times New Roman"/>
          <w:sz w:val="24"/>
        </w:rPr>
        <w:t>1993) 178 CLR 408.</w:t>
      </w:r>
    </w:p>
  </w:footnote>
  <w:footnote w:id="17">
    <w:p w14:paraId="6091F117" w14:textId="2B7CC8EA" w:rsidR="00A317AF" w:rsidRPr="00C86A14" w:rsidRDefault="00A317AF"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3925A0" w:rsidRPr="00C86A14">
        <w:rPr>
          <w:rFonts w:ascii="Times New Roman" w:hAnsi="Times New Roman"/>
          <w:sz w:val="24"/>
        </w:rPr>
        <w:tab/>
        <w:t>(1993) 178 CLR 408 at 433.</w:t>
      </w:r>
    </w:p>
  </w:footnote>
  <w:footnote w:id="18">
    <w:p w14:paraId="6EB1D556" w14:textId="462A07B7" w:rsidR="003925A0" w:rsidRPr="00C86A14" w:rsidRDefault="003925A0"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t>(1993) 178 CLR 408 at 43</w:t>
      </w:r>
      <w:r w:rsidR="003B474A" w:rsidRPr="00C86A14">
        <w:rPr>
          <w:rFonts w:ascii="Times New Roman" w:hAnsi="Times New Roman"/>
          <w:sz w:val="24"/>
        </w:rPr>
        <w:t>4.</w:t>
      </w:r>
    </w:p>
  </w:footnote>
  <w:footnote w:id="19">
    <w:p w14:paraId="7CF758C9" w14:textId="6446C799" w:rsidR="00C85096" w:rsidRPr="00C86A14" w:rsidRDefault="00C85096"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BF3232" w:rsidRPr="00C86A14">
        <w:rPr>
          <w:rFonts w:ascii="Times New Roman" w:hAnsi="Times New Roman"/>
          <w:sz w:val="24"/>
        </w:rPr>
        <w:t>See</w:t>
      </w:r>
      <w:r w:rsidR="00827F2F" w:rsidRPr="00C86A14">
        <w:rPr>
          <w:rFonts w:ascii="Times New Roman" w:hAnsi="Times New Roman"/>
          <w:sz w:val="24"/>
        </w:rPr>
        <w:t>,</w:t>
      </w:r>
      <w:r w:rsidR="00BF3232" w:rsidRPr="00C86A14">
        <w:rPr>
          <w:rFonts w:ascii="Times New Roman" w:hAnsi="Times New Roman"/>
          <w:sz w:val="24"/>
        </w:rPr>
        <w:t xml:space="preserve"> eg</w:t>
      </w:r>
      <w:r w:rsidR="00827F2F" w:rsidRPr="00C86A14">
        <w:rPr>
          <w:rFonts w:ascii="Times New Roman" w:hAnsi="Times New Roman"/>
          <w:sz w:val="24"/>
        </w:rPr>
        <w:t>,</w:t>
      </w:r>
      <w:r w:rsidR="00BF3232" w:rsidRPr="00C86A14">
        <w:rPr>
          <w:rFonts w:ascii="Times New Roman" w:hAnsi="Times New Roman"/>
          <w:sz w:val="24"/>
        </w:rPr>
        <w:t xml:space="preserve"> </w:t>
      </w:r>
      <w:r w:rsidR="00BF3232" w:rsidRPr="00C86A14">
        <w:rPr>
          <w:rFonts w:ascii="Times New Roman" w:hAnsi="Times New Roman"/>
          <w:i/>
          <w:iCs/>
          <w:sz w:val="24"/>
        </w:rPr>
        <w:t xml:space="preserve">Batten v Wedgwood Coal </w:t>
      </w:r>
      <w:r w:rsidR="00EC311C" w:rsidRPr="00C86A14">
        <w:rPr>
          <w:rFonts w:ascii="Times New Roman" w:hAnsi="Times New Roman"/>
          <w:i/>
          <w:iCs/>
          <w:sz w:val="24"/>
        </w:rPr>
        <w:t>and Iron Co</w:t>
      </w:r>
      <w:r w:rsidR="00EC311C" w:rsidRPr="00C86A14">
        <w:rPr>
          <w:rFonts w:ascii="Times New Roman" w:hAnsi="Times New Roman"/>
          <w:sz w:val="24"/>
        </w:rPr>
        <w:t xml:space="preserve"> (1884) </w:t>
      </w:r>
      <w:r w:rsidR="001179DE" w:rsidRPr="00C86A14">
        <w:rPr>
          <w:rFonts w:ascii="Times New Roman" w:hAnsi="Times New Roman"/>
          <w:sz w:val="24"/>
        </w:rPr>
        <w:t xml:space="preserve">28 Ch D 317 </w:t>
      </w:r>
      <w:r w:rsidR="00EC311C" w:rsidRPr="00C86A14">
        <w:rPr>
          <w:rFonts w:ascii="Times New Roman" w:hAnsi="Times New Roman"/>
          <w:sz w:val="24"/>
        </w:rPr>
        <w:t>at 325</w:t>
      </w:r>
      <w:r w:rsidR="00076E04" w:rsidRPr="00C86A14">
        <w:rPr>
          <w:rFonts w:ascii="Times New Roman" w:hAnsi="Times New Roman"/>
          <w:sz w:val="24"/>
        </w:rPr>
        <w:t xml:space="preserve">; </w:t>
      </w:r>
      <w:r w:rsidR="00277AC1" w:rsidRPr="00C86A14">
        <w:rPr>
          <w:rFonts w:ascii="Times New Roman" w:hAnsi="Times New Roman"/>
          <w:i/>
          <w:sz w:val="24"/>
        </w:rPr>
        <w:t xml:space="preserve">In re </w:t>
      </w:r>
      <w:r w:rsidR="005263C2" w:rsidRPr="00C86A14">
        <w:rPr>
          <w:rFonts w:ascii="Times New Roman" w:hAnsi="Times New Roman"/>
          <w:i/>
          <w:sz w:val="24"/>
        </w:rPr>
        <w:t>New Zealand Midland Railway Company</w:t>
      </w:r>
      <w:r w:rsidR="00277AC1" w:rsidRPr="00C86A14">
        <w:rPr>
          <w:rFonts w:ascii="Times New Roman" w:hAnsi="Times New Roman"/>
          <w:sz w:val="24"/>
        </w:rPr>
        <w:t xml:space="preserve"> [1901] 2 Ch </w:t>
      </w:r>
      <w:r w:rsidR="00C206E8" w:rsidRPr="00C86A14">
        <w:rPr>
          <w:rFonts w:ascii="Times New Roman" w:hAnsi="Times New Roman"/>
          <w:sz w:val="24"/>
        </w:rPr>
        <w:t>357 at 362, 367.</w:t>
      </w:r>
    </w:p>
  </w:footnote>
  <w:footnote w:id="20">
    <w:p w14:paraId="4E3D7C88" w14:textId="21F24659" w:rsidR="00781A7B" w:rsidRPr="00C86A14" w:rsidRDefault="00781A7B"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58599D" w:rsidRPr="00C86A14">
        <w:rPr>
          <w:rFonts w:ascii="Times New Roman" w:hAnsi="Times New Roman"/>
          <w:sz w:val="24"/>
        </w:rPr>
        <w:t>(1994) 181 CLR 583 at 602.</w:t>
      </w:r>
    </w:p>
  </w:footnote>
  <w:footnote w:id="21">
    <w:p w14:paraId="7AAB4999" w14:textId="18481A14" w:rsidR="00B12DFA" w:rsidRPr="00C86A14" w:rsidRDefault="00B12DFA"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4B1A4A" w:rsidRPr="00C86A14">
        <w:rPr>
          <w:rFonts w:ascii="Times New Roman" w:hAnsi="Times New Roman"/>
          <w:sz w:val="24"/>
        </w:rPr>
        <w:tab/>
        <w:t xml:space="preserve">See </w:t>
      </w:r>
      <w:r w:rsidR="004B1A4A" w:rsidRPr="00C86A14">
        <w:rPr>
          <w:rFonts w:ascii="Times New Roman" w:hAnsi="Times New Roman"/>
          <w:i/>
          <w:iCs/>
          <w:sz w:val="24"/>
        </w:rPr>
        <w:t>Patrick Stevedores</w:t>
      </w:r>
      <w:r w:rsidR="008A095F" w:rsidRPr="00C86A14">
        <w:rPr>
          <w:rFonts w:ascii="Times New Roman" w:hAnsi="Times New Roman"/>
          <w:i/>
          <w:iCs/>
          <w:sz w:val="24"/>
        </w:rPr>
        <w:t xml:space="preserve"> </w:t>
      </w:r>
      <w:r w:rsidR="004B1A4A" w:rsidRPr="00C86A14">
        <w:rPr>
          <w:rFonts w:ascii="Times New Roman" w:hAnsi="Times New Roman"/>
          <w:i/>
          <w:iCs/>
          <w:sz w:val="24"/>
        </w:rPr>
        <w:t xml:space="preserve">Operations </w:t>
      </w:r>
      <w:r w:rsidR="00701F15" w:rsidRPr="00C86A14">
        <w:rPr>
          <w:rFonts w:ascii="Times New Roman" w:hAnsi="Times New Roman"/>
          <w:i/>
          <w:iCs/>
          <w:sz w:val="24"/>
        </w:rPr>
        <w:t>No 2 Pty Ltd v Maritime Union of Australia</w:t>
      </w:r>
      <w:r w:rsidR="00701F15" w:rsidRPr="00C86A14">
        <w:rPr>
          <w:rFonts w:ascii="Times New Roman" w:hAnsi="Times New Roman"/>
          <w:sz w:val="24"/>
        </w:rPr>
        <w:t xml:space="preserve"> (1998) 195 CLR 1 </w:t>
      </w:r>
      <w:r w:rsidR="008A095F" w:rsidRPr="00C86A14">
        <w:rPr>
          <w:rFonts w:ascii="Times New Roman" w:hAnsi="Times New Roman"/>
          <w:sz w:val="24"/>
        </w:rPr>
        <w:t>at 35-36 [41]-[43].</w:t>
      </w:r>
    </w:p>
  </w:footnote>
  <w:footnote w:id="22">
    <w:p w14:paraId="35BF1F4B" w14:textId="199F2663" w:rsidR="00386E01" w:rsidRPr="00C86A14" w:rsidRDefault="00386E01"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FD5BC0" w:rsidRPr="00C86A14">
        <w:rPr>
          <w:rFonts w:ascii="Times New Roman" w:hAnsi="Times New Roman"/>
          <w:sz w:val="24"/>
        </w:rPr>
        <w:tab/>
      </w:r>
      <w:r w:rsidR="006B553B" w:rsidRPr="00C86A14">
        <w:rPr>
          <w:rFonts w:ascii="Times New Roman" w:hAnsi="Times New Roman"/>
          <w:i/>
          <w:iCs/>
          <w:sz w:val="24"/>
        </w:rPr>
        <w:t>APLA Ltd v Legal Services Commissioner (NSW)</w:t>
      </w:r>
      <w:r w:rsidR="006B553B" w:rsidRPr="00C86A14">
        <w:rPr>
          <w:rFonts w:ascii="Times New Roman" w:hAnsi="Times New Roman"/>
          <w:sz w:val="24"/>
        </w:rPr>
        <w:t xml:space="preserve"> (2005) </w:t>
      </w:r>
      <w:r w:rsidR="00CA1E7A" w:rsidRPr="00C86A14">
        <w:rPr>
          <w:rFonts w:ascii="Times New Roman" w:hAnsi="Times New Roman"/>
          <w:sz w:val="24"/>
        </w:rPr>
        <w:t xml:space="preserve">224 CLR 322 at 396 [186], quoting </w:t>
      </w:r>
      <w:r w:rsidR="00555C95" w:rsidRPr="00C86A14">
        <w:rPr>
          <w:rFonts w:ascii="Times New Roman" w:hAnsi="Times New Roman"/>
          <w:i/>
          <w:iCs/>
          <w:sz w:val="24"/>
        </w:rPr>
        <w:t>De Pardo v Legal Practitioners Complaints Committee</w:t>
      </w:r>
      <w:r w:rsidR="00555C95" w:rsidRPr="00C86A14">
        <w:rPr>
          <w:rFonts w:ascii="Times New Roman" w:hAnsi="Times New Roman"/>
          <w:sz w:val="24"/>
        </w:rPr>
        <w:t xml:space="preserve"> (</w:t>
      </w:r>
      <w:r w:rsidR="00BC56BC" w:rsidRPr="00C86A14">
        <w:rPr>
          <w:rFonts w:ascii="Times New Roman" w:hAnsi="Times New Roman"/>
          <w:sz w:val="24"/>
        </w:rPr>
        <w:t>2000) 97 FCR 575 at 596</w:t>
      </w:r>
      <w:r w:rsidR="006C20B7" w:rsidRPr="00C86A14">
        <w:rPr>
          <w:rFonts w:ascii="Times New Roman" w:hAnsi="Times New Roman"/>
          <w:sz w:val="24"/>
        </w:rPr>
        <w:t xml:space="preserve"> [53]</w:t>
      </w:r>
      <w:r w:rsidR="00BC56BC" w:rsidRPr="00C86A14">
        <w:rPr>
          <w:rFonts w:ascii="Times New Roman" w:hAnsi="Times New Roman"/>
          <w:sz w:val="24"/>
        </w:rPr>
        <w:t>.</w:t>
      </w:r>
    </w:p>
  </w:footnote>
  <w:footnote w:id="23">
    <w:p w14:paraId="3BD0D459" w14:textId="0E810811" w:rsidR="00FD5BC0" w:rsidRPr="00C86A14" w:rsidRDefault="00FD5BC0"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t>Sections 55B and 78.</w:t>
      </w:r>
    </w:p>
  </w:footnote>
  <w:footnote w:id="24">
    <w:p w14:paraId="2CB9E539" w14:textId="2CF14ED8" w:rsidR="008C449F" w:rsidRPr="00C86A14" w:rsidRDefault="008C449F"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5E1FCF" w:rsidRPr="00C86A14">
        <w:rPr>
          <w:rFonts w:ascii="Times New Roman" w:hAnsi="Times New Roman"/>
          <w:sz w:val="24"/>
        </w:rPr>
        <w:t xml:space="preserve">See </w:t>
      </w:r>
      <w:r w:rsidR="005E1FCF" w:rsidRPr="00C86A14">
        <w:rPr>
          <w:rFonts w:ascii="Times New Roman" w:hAnsi="Times New Roman"/>
          <w:i/>
          <w:iCs/>
          <w:sz w:val="24"/>
        </w:rPr>
        <w:t>Jackson v Sterling Industries Ltd</w:t>
      </w:r>
      <w:r w:rsidR="005E1FCF" w:rsidRPr="00C86A14">
        <w:rPr>
          <w:rFonts w:ascii="Times New Roman" w:hAnsi="Times New Roman"/>
          <w:sz w:val="24"/>
        </w:rPr>
        <w:t xml:space="preserve"> (1987) 162 CLR </w:t>
      </w:r>
      <w:r w:rsidR="00652320" w:rsidRPr="00C86A14">
        <w:rPr>
          <w:rFonts w:ascii="Times New Roman" w:hAnsi="Times New Roman"/>
          <w:sz w:val="24"/>
        </w:rPr>
        <w:t>612 at 616.</w:t>
      </w:r>
    </w:p>
  </w:footnote>
  <w:footnote w:id="25">
    <w:p w14:paraId="369A06E8" w14:textId="384178CD" w:rsidR="00160542" w:rsidRPr="00C86A14" w:rsidRDefault="00160542" w:rsidP="00C86A14">
      <w:pPr>
        <w:pStyle w:val="FootnoteText"/>
        <w:spacing w:line="280" w:lineRule="exact"/>
        <w:ind w:right="0"/>
        <w:jc w:val="both"/>
        <w:rPr>
          <w:rFonts w:ascii="Times New Roman" w:hAnsi="Times New Roman"/>
          <w:sz w:val="24"/>
          <w:lang w:val="fr-FR"/>
        </w:rPr>
      </w:pPr>
      <w:r w:rsidRPr="00C86A14">
        <w:rPr>
          <w:rStyle w:val="FootnoteReference"/>
          <w:rFonts w:ascii="Times New Roman" w:hAnsi="Times New Roman"/>
          <w:sz w:val="22"/>
          <w:vertAlign w:val="baseline"/>
        </w:rPr>
        <w:footnoteRef/>
      </w:r>
      <w:r w:rsidRPr="00C86A14">
        <w:rPr>
          <w:rFonts w:ascii="Times New Roman" w:hAnsi="Times New Roman"/>
          <w:sz w:val="24"/>
          <w:lang w:val="fr-FR"/>
        </w:rPr>
        <w:t xml:space="preserve"> </w:t>
      </w:r>
      <w:r w:rsidRPr="00C86A14">
        <w:rPr>
          <w:rFonts w:ascii="Times New Roman" w:hAnsi="Times New Roman"/>
          <w:sz w:val="24"/>
          <w:lang w:val="fr-FR"/>
        </w:rPr>
        <w:tab/>
        <w:t>Section 183(1).</w:t>
      </w:r>
    </w:p>
  </w:footnote>
  <w:footnote w:id="26">
    <w:p w14:paraId="241FE4E9" w14:textId="1355DF2C" w:rsidR="00262168" w:rsidRPr="00C86A14" w:rsidRDefault="00262168" w:rsidP="00C86A14">
      <w:pPr>
        <w:pStyle w:val="FootnoteText"/>
        <w:spacing w:line="280" w:lineRule="exact"/>
        <w:ind w:right="0"/>
        <w:jc w:val="both"/>
        <w:rPr>
          <w:rFonts w:ascii="Times New Roman" w:hAnsi="Times New Roman"/>
          <w:sz w:val="24"/>
          <w:lang w:val="fr-FR"/>
        </w:rPr>
      </w:pPr>
      <w:r w:rsidRPr="00C86A14">
        <w:rPr>
          <w:rStyle w:val="FootnoteReference"/>
          <w:rFonts w:ascii="Times New Roman" w:hAnsi="Times New Roman"/>
          <w:sz w:val="22"/>
          <w:vertAlign w:val="baseline"/>
        </w:rPr>
        <w:footnoteRef/>
      </w:r>
      <w:r w:rsidRPr="00C86A14">
        <w:rPr>
          <w:rFonts w:ascii="Times New Roman" w:hAnsi="Times New Roman"/>
          <w:sz w:val="24"/>
          <w:lang w:val="fr-FR"/>
        </w:rPr>
        <w:t xml:space="preserve"> </w:t>
      </w:r>
      <w:r w:rsidR="00C33899" w:rsidRPr="00C86A14">
        <w:rPr>
          <w:rFonts w:ascii="Times New Roman" w:hAnsi="Times New Roman"/>
          <w:sz w:val="24"/>
          <w:lang w:val="fr-FR"/>
        </w:rPr>
        <w:tab/>
      </w:r>
      <w:r w:rsidR="00967935" w:rsidRPr="00C86A14">
        <w:rPr>
          <w:rFonts w:ascii="Times New Roman" w:hAnsi="Times New Roman"/>
          <w:sz w:val="24"/>
          <w:lang w:val="fr-FR"/>
        </w:rPr>
        <w:t>(</w:t>
      </w:r>
      <w:r w:rsidR="007C2596" w:rsidRPr="00C86A14">
        <w:rPr>
          <w:rFonts w:ascii="Times New Roman" w:hAnsi="Times New Roman"/>
          <w:sz w:val="24"/>
          <w:lang w:val="fr-FR"/>
        </w:rPr>
        <w:t>2025</w:t>
      </w:r>
      <w:r w:rsidR="00967935" w:rsidRPr="00C86A14">
        <w:rPr>
          <w:rFonts w:ascii="Times New Roman" w:hAnsi="Times New Roman"/>
          <w:sz w:val="24"/>
          <w:lang w:val="fr-FR"/>
        </w:rPr>
        <w:t>)</w:t>
      </w:r>
      <w:r w:rsidR="007C2596" w:rsidRPr="00C86A14">
        <w:rPr>
          <w:rFonts w:ascii="Times New Roman" w:hAnsi="Times New Roman"/>
          <w:sz w:val="24"/>
          <w:lang w:val="fr-FR"/>
        </w:rPr>
        <w:t xml:space="preserve"> </w:t>
      </w:r>
      <w:r w:rsidR="00967935" w:rsidRPr="00C86A14">
        <w:rPr>
          <w:rFonts w:ascii="Times New Roman" w:hAnsi="Times New Roman"/>
          <w:sz w:val="24"/>
          <w:lang w:val="fr-FR"/>
        </w:rPr>
        <w:t xml:space="preserve">99 ALJR </w:t>
      </w:r>
      <w:r w:rsidR="00B55A57" w:rsidRPr="00C86A14">
        <w:rPr>
          <w:rFonts w:ascii="Times New Roman" w:hAnsi="Times New Roman"/>
          <w:sz w:val="24"/>
          <w:lang w:val="fr-FR"/>
        </w:rPr>
        <w:t>619</w:t>
      </w:r>
      <w:r w:rsidR="007C2596" w:rsidRPr="00C86A14">
        <w:rPr>
          <w:rFonts w:ascii="Times New Roman" w:hAnsi="Times New Roman"/>
          <w:sz w:val="24"/>
          <w:lang w:val="fr-FR"/>
        </w:rPr>
        <w:t>.</w:t>
      </w:r>
    </w:p>
  </w:footnote>
  <w:footnote w:id="27">
    <w:p w14:paraId="0B894E19" w14:textId="46E4BFE6" w:rsidR="00111E83" w:rsidRPr="00C86A14" w:rsidRDefault="00111E83" w:rsidP="00C86A14">
      <w:pPr>
        <w:pStyle w:val="FootnoteText"/>
        <w:spacing w:line="280" w:lineRule="exact"/>
        <w:ind w:right="0"/>
        <w:jc w:val="both"/>
        <w:rPr>
          <w:rFonts w:ascii="Times New Roman" w:hAnsi="Times New Roman"/>
          <w:sz w:val="24"/>
          <w:lang w:val="fr-FR"/>
        </w:rPr>
      </w:pPr>
      <w:r w:rsidRPr="00C86A14">
        <w:rPr>
          <w:rStyle w:val="FootnoteReference"/>
          <w:rFonts w:ascii="Times New Roman" w:hAnsi="Times New Roman"/>
          <w:sz w:val="22"/>
          <w:vertAlign w:val="baseline"/>
        </w:rPr>
        <w:footnoteRef/>
      </w:r>
      <w:r w:rsidRPr="00C86A14">
        <w:rPr>
          <w:rFonts w:ascii="Times New Roman" w:hAnsi="Times New Roman"/>
          <w:sz w:val="24"/>
          <w:lang w:val="fr-FR"/>
        </w:rPr>
        <w:t xml:space="preserve"> </w:t>
      </w:r>
      <w:r w:rsidR="00C36074" w:rsidRPr="00C86A14">
        <w:rPr>
          <w:rFonts w:ascii="Times New Roman" w:hAnsi="Times New Roman"/>
          <w:sz w:val="24"/>
          <w:lang w:val="fr-FR"/>
        </w:rPr>
        <w:tab/>
        <w:t>Section 183(1).</w:t>
      </w:r>
    </w:p>
  </w:footnote>
  <w:footnote w:id="28">
    <w:p w14:paraId="1C9C57F0" w14:textId="33B34E3F" w:rsidR="00C33899" w:rsidRPr="00C86A14" w:rsidRDefault="00C33899" w:rsidP="00C86A14">
      <w:pPr>
        <w:pStyle w:val="FootnoteText"/>
        <w:spacing w:line="280" w:lineRule="exact"/>
        <w:ind w:right="0"/>
        <w:jc w:val="both"/>
        <w:rPr>
          <w:rFonts w:ascii="Times New Roman" w:hAnsi="Times New Roman"/>
          <w:sz w:val="24"/>
          <w:lang w:val="fr-FR"/>
        </w:rPr>
      </w:pPr>
      <w:r w:rsidRPr="00C86A14">
        <w:rPr>
          <w:rStyle w:val="FootnoteReference"/>
          <w:rFonts w:ascii="Times New Roman" w:hAnsi="Times New Roman"/>
          <w:sz w:val="22"/>
          <w:vertAlign w:val="baseline"/>
        </w:rPr>
        <w:footnoteRef/>
      </w:r>
      <w:r w:rsidRPr="00C86A14">
        <w:rPr>
          <w:rFonts w:ascii="Times New Roman" w:hAnsi="Times New Roman"/>
          <w:sz w:val="24"/>
          <w:lang w:val="fr-FR"/>
        </w:rPr>
        <w:t xml:space="preserve"> </w:t>
      </w:r>
      <w:r w:rsidRPr="00C86A14">
        <w:rPr>
          <w:rFonts w:ascii="Times New Roman" w:hAnsi="Times New Roman"/>
          <w:sz w:val="24"/>
          <w:lang w:val="fr-FR"/>
        </w:rPr>
        <w:tab/>
        <w:t>Section 183(3).</w:t>
      </w:r>
    </w:p>
  </w:footnote>
  <w:footnote w:id="29">
    <w:p w14:paraId="5523AA7B" w14:textId="6316A7C9" w:rsidR="00F0468D" w:rsidRPr="00C86A14" w:rsidRDefault="00F0468D" w:rsidP="00C86A14">
      <w:pPr>
        <w:pStyle w:val="FootnoteText"/>
        <w:spacing w:line="280" w:lineRule="exact"/>
        <w:ind w:right="0"/>
        <w:jc w:val="both"/>
        <w:rPr>
          <w:rFonts w:ascii="Times New Roman" w:hAnsi="Times New Roman"/>
          <w:sz w:val="24"/>
          <w:lang w:val="fr-FR"/>
        </w:rPr>
      </w:pPr>
      <w:r w:rsidRPr="00C86A14">
        <w:rPr>
          <w:rStyle w:val="FootnoteReference"/>
          <w:rFonts w:ascii="Times New Roman" w:hAnsi="Times New Roman"/>
          <w:sz w:val="22"/>
          <w:vertAlign w:val="baseline"/>
        </w:rPr>
        <w:footnoteRef/>
      </w:r>
      <w:r w:rsidRPr="00C86A14">
        <w:rPr>
          <w:rFonts w:ascii="Times New Roman" w:hAnsi="Times New Roman"/>
          <w:sz w:val="24"/>
          <w:lang w:val="fr-FR"/>
        </w:rPr>
        <w:t xml:space="preserve"> </w:t>
      </w:r>
      <w:r w:rsidRPr="00C86A14">
        <w:rPr>
          <w:rFonts w:ascii="Times New Roman" w:hAnsi="Times New Roman"/>
          <w:sz w:val="24"/>
          <w:lang w:val="fr-FR"/>
        </w:rPr>
        <w:tab/>
        <w:t xml:space="preserve">Section </w:t>
      </w:r>
      <w:r w:rsidR="003C1C63" w:rsidRPr="00C86A14">
        <w:rPr>
          <w:rFonts w:ascii="Times New Roman" w:hAnsi="Times New Roman"/>
          <w:sz w:val="24"/>
          <w:lang w:val="fr-FR"/>
        </w:rPr>
        <w:t>185(1).</w:t>
      </w:r>
    </w:p>
  </w:footnote>
  <w:footnote w:id="30">
    <w:p w14:paraId="705B79F8" w14:textId="66D69EFC" w:rsidR="00A40D93" w:rsidRPr="00C86A14" w:rsidRDefault="00A40D93"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t xml:space="preserve">Section </w:t>
      </w:r>
      <w:r w:rsidR="0002773C" w:rsidRPr="00C86A14">
        <w:rPr>
          <w:rFonts w:ascii="Times New Roman" w:hAnsi="Times New Roman"/>
          <w:sz w:val="24"/>
        </w:rPr>
        <w:t>180(</w:t>
      </w:r>
      <w:r w:rsidR="00990DF5" w:rsidRPr="00C86A14">
        <w:rPr>
          <w:rFonts w:ascii="Times New Roman" w:hAnsi="Times New Roman"/>
          <w:sz w:val="24"/>
        </w:rPr>
        <w:t>4</w:t>
      </w:r>
      <w:r w:rsidR="0002773C" w:rsidRPr="00C86A14">
        <w:rPr>
          <w:rFonts w:ascii="Times New Roman" w:hAnsi="Times New Roman"/>
          <w:sz w:val="24"/>
        </w:rPr>
        <w:t>).</w:t>
      </w:r>
    </w:p>
  </w:footnote>
  <w:footnote w:id="31">
    <w:p w14:paraId="76E92C7A" w14:textId="0AE7BA84" w:rsidR="00552DB9" w:rsidRPr="00C86A14" w:rsidRDefault="00552DB9"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11065E" w:rsidRPr="00C86A14">
        <w:rPr>
          <w:rFonts w:ascii="Times New Roman" w:hAnsi="Times New Roman"/>
          <w:sz w:val="24"/>
        </w:rPr>
        <w:tab/>
        <w:t>Section 6(1) (definition of "legal costs").</w:t>
      </w:r>
    </w:p>
  </w:footnote>
  <w:footnote w:id="32">
    <w:p w14:paraId="650178A2" w14:textId="162BC1F5" w:rsidR="00A40D93" w:rsidRPr="00C86A14" w:rsidRDefault="00A40D93"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F77E91" w:rsidRPr="00C86A14">
        <w:rPr>
          <w:rFonts w:ascii="Times New Roman" w:hAnsi="Times New Roman"/>
          <w:sz w:val="24"/>
        </w:rPr>
        <w:tab/>
        <w:t>Section 6(1) (definition of "legal services").</w:t>
      </w:r>
    </w:p>
  </w:footnote>
  <w:footnote w:id="33">
    <w:p w14:paraId="65F40649" w14:textId="5364905D" w:rsidR="009D5E36" w:rsidRPr="00C86A14" w:rsidRDefault="009D5E36"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0977CB" w:rsidRPr="00C86A14">
        <w:rPr>
          <w:rFonts w:ascii="Times New Roman" w:hAnsi="Times New Roman"/>
          <w:sz w:val="24"/>
        </w:rPr>
        <w:tab/>
      </w:r>
      <w:r w:rsidR="007534BB" w:rsidRPr="00C86A14">
        <w:rPr>
          <w:rFonts w:ascii="Times New Roman" w:hAnsi="Times New Roman"/>
          <w:sz w:val="24"/>
        </w:rPr>
        <w:t>(2024) 304 FCR 395 at 414 [85] (emphasis in original).</w:t>
      </w:r>
    </w:p>
  </w:footnote>
  <w:footnote w:id="34">
    <w:p w14:paraId="09C59981" w14:textId="594B8912" w:rsidR="00C32385" w:rsidRPr="00C86A14" w:rsidRDefault="00C32385"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00310FCD" w:rsidRPr="00C86A14">
        <w:rPr>
          <w:rFonts w:ascii="Times New Roman" w:hAnsi="Times New Roman"/>
          <w:sz w:val="24"/>
        </w:rPr>
        <w:tab/>
        <w:t>Section 169</w:t>
      </w:r>
      <w:r w:rsidR="00F71E98" w:rsidRPr="00C86A14">
        <w:rPr>
          <w:rFonts w:ascii="Times New Roman" w:hAnsi="Times New Roman"/>
          <w:sz w:val="24"/>
        </w:rPr>
        <w:t>.</w:t>
      </w:r>
    </w:p>
  </w:footnote>
  <w:footnote w:id="35">
    <w:p w14:paraId="658F456B" w14:textId="414F7500" w:rsidR="00AD655C" w:rsidRPr="00C86A14" w:rsidRDefault="00AD655C" w:rsidP="00C86A14">
      <w:pPr>
        <w:pStyle w:val="FootnoteText"/>
        <w:spacing w:line="280" w:lineRule="exact"/>
        <w:ind w:right="0"/>
        <w:jc w:val="both"/>
        <w:rPr>
          <w:rFonts w:ascii="Times New Roman" w:hAnsi="Times New Roman"/>
          <w:sz w:val="24"/>
        </w:rPr>
      </w:pPr>
      <w:r w:rsidRPr="00C86A14">
        <w:rPr>
          <w:rStyle w:val="FootnoteReference"/>
          <w:rFonts w:ascii="Times New Roman" w:hAnsi="Times New Roman"/>
          <w:sz w:val="22"/>
          <w:vertAlign w:val="baseline"/>
        </w:rPr>
        <w:footnoteRef/>
      </w:r>
      <w:r w:rsidRPr="00C86A14">
        <w:rPr>
          <w:rFonts w:ascii="Times New Roman" w:hAnsi="Times New Roman"/>
          <w:sz w:val="24"/>
        </w:rPr>
        <w:t xml:space="preserve"> </w:t>
      </w:r>
      <w:r w:rsidRPr="00C86A14">
        <w:rPr>
          <w:rFonts w:ascii="Times New Roman" w:hAnsi="Times New Roman"/>
          <w:sz w:val="24"/>
        </w:rPr>
        <w:tab/>
      </w:r>
      <w:r w:rsidR="005773CA" w:rsidRPr="00C86A14">
        <w:rPr>
          <w:rFonts w:ascii="Times New Roman" w:hAnsi="Times New Roman"/>
          <w:sz w:val="24"/>
        </w:rPr>
        <w:t xml:space="preserve">Compare </w:t>
      </w:r>
      <w:r w:rsidR="005773CA" w:rsidRPr="00C86A14">
        <w:rPr>
          <w:rFonts w:ascii="Times New Roman" w:hAnsi="Times New Roman"/>
          <w:i/>
          <w:iCs/>
          <w:sz w:val="24"/>
        </w:rPr>
        <w:t>Chan v Cresdon</w:t>
      </w:r>
      <w:r w:rsidR="007E2402" w:rsidRPr="00C86A14">
        <w:rPr>
          <w:rFonts w:ascii="Times New Roman" w:hAnsi="Times New Roman"/>
          <w:i/>
          <w:iCs/>
          <w:sz w:val="24"/>
        </w:rPr>
        <w:t xml:space="preserve"> Pty Ltd</w:t>
      </w:r>
      <w:r w:rsidR="005773CA" w:rsidRPr="00C86A14">
        <w:rPr>
          <w:rFonts w:ascii="Times New Roman" w:hAnsi="Times New Roman"/>
          <w:sz w:val="24"/>
        </w:rPr>
        <w:t xml:space="preserve"> (1989) 168 CLR </w:t>
      </w:r>
      <w:r w:rsidR="00981C3F" w:rsidRPr="00C86A14">
        <w:rPr>
          <w:rFonts w:ascii="Times New Roman" w:hAnsi="Times New Roman"/>
          <w:sz w:val="24"/>
        </w:rPr>
        <w:t>242 at 249.</w:t>
      </w:r>
    </w:p>
  </w:footnote>
  <w:footnote w:id="36">
    <w:p w14:paraId="3B6D99C9"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w:t>
      </w:r>
      <w:r w:rsidRPr="00DC0A30">
        <w:rPr>
          <w:rFonts w:ascii="Times New Roman" w:hAnsi="Times New Roman"/>
          <w:i/>
          <w:iCs/>
          <w:sz w:val="24"/>
        </w:rPr>
        <w:t xml:space="preserve">APLA Ltd v Legal Services Commissioner (NSW) </w:t>
      </w:r>
      <w:r w:rsidRPr="00DC0A30">
        <w:rPr>
          <w:rFonts w:ascii="Times New Roman" w:hAnsi="Times New Roman"/>
          <w:sz w:val="24"/>
        </w:rPr>
        <w:t>(2005) 224 CLR 322 at 352</w:t>
      </w:r>
      <w:r>
        <w:rPr>
          <w:rFonts w:ascii="Times New Roman" w:hAnsi="Times New Roman"/>
          <w:sz w:val="24"/>
        </w:rPr>
        <w:t> </w:t>
      </w:r>
      <w:r w:rsidRPr="00DC0A30">
        <w:rPr>
          <w:rFonts w:ascii="Times New Roman" w:hAnsi="Times New Roman"/>
          <w:sz w:val="24"/>
        </w:rPr>
        <w:t>[32].</w:t>
      </w:r>
    </w:p>
  </w:footnote>
  <w:footnote w:id="37">
    <w:p w14:paraId="76B18709"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The LPUL is applied as a law of New South Wales by the </w:t>
      </w:r>
      <w:r w:rsidRPr="00DC0A30">
        <w:rPr>
          <w:rFonts w:ascii="Times New Roman" w:hAnsi="Times New Roman"/>
          <w:i/>
          <w:iCs/>
          <w:sz w:val="24"/>
        </w:rPr>
        <w:t>Legal Profession Uniform Law Application Act 2014</w:t>
      </w:r>
      <w:r w:rsidRPr="00DC0A30">
        <w:rPr>
          <w:rFonts w:ascii="Times New Roman" w:hAnsi="Times New Roman"/>
          <w:sz w:val="24"/>
        </w:rPr>
        <w:t xml:space="preserve"> (NSW), s 4.</w:t>
      </w:r>
    </w:p>
  </w:footnote>
  <w:footnote w:id="38">
    <w:p w14:paraId="13966E5E"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w:t>
      </w:r>
      <w:r w:rsidRPr="00DC0A30">
        <w:rPr>
          <w:rFonts w:ascii="Times New Roman" w:hAnsi="Times New Roman"/>
          <w:i/>
          <w:iCs/>
          <w:sz w:val="24"/>
        </w:rPr>
        <w:t xml:space="preserve">R&amp;B Investments Pty Ltd (Trustee) v Blue Sky Alternative Investments Ltd (Administrators Appointed) (In liq) (Carriage Application) </w:t>
      </w:r>
      <w:r w:rsidRPr="00DC0A30">
        <w:rPr>
          <w:rFonts w:ascii="Times New Roman" w:hAnsi="Times New Roman"/>
          <w:sz w:val="24"/>
        </w:rPr>
        <w:t xml:space="preserve">[2022] FCA 1444; </w:t>
      </w:r>
      <w:r w:rsidRPr="00DC0A30">
        <w:rPr>
          <w:rFonts w:ascii="Times New Roman" w:hAnsi="Times New Roman"/>
          <w:i/>
          <w:iCs/>
          <w:sz w:val="24"/>
        </w:rPr>
        <w:t>R&amp;B</w:t>
      </w:r>
      <w:r>
        <w:rPr>
          <w:rFonts w:ascii="Times New Roman" w:hAnsi="Times New Roman"/>
          <w:i/>
          <w:iCs/>
          <w:sz w:val="24"/>
        </w:rPr>
        <w:t> </w:t>
      </w:r>
      <w:r w:rsidRPr="00DC0A30">
        <w:rPr>
          <w:rFonts w:ascii="Times New Roman" w:hAnsi="Times New Roman"/>
          <w:i/>
          <w:iCs/>
          <w:sz w:val="24"/>
        </w:rPr>
        <w:t xml:space="preserve">Investments Pty Ltd (Trustee) v Blue Sky Alternative Investments Ltd (Administrators Appointed) (In liq) (Carriage Application No 2) </w:t>
      </w:r>
      <w:r w:rsidRPr="00DC0A30">
        <w:rPr>
          <w:rFonts w:ascii="Times New Roman" w:hAnsi="Times New Roman"/>
          <w:sz w:val="24"/>
        </w:rPr>
        <w:t>[2023] FCA 142.</w:t>
      </w:r>
    </w:p>
  </w:footnote>
  <w:footnote w:id="39">
    <w:p w14:paraId="0D14B6A3"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See [</w:t>
      </w:r>
      <w:r>
        <w:rPr>
          <w:rFonts w:ascii="Times New Roman" w:hAnsi="Times New Roman"/>
          <w:sz w:val="24"/>
        </w:rPr>
        <w:t>44</w:t>
      </w:r>
      <w:r w:rsidRPr="00DC0A30">
        <w:rPr>
          <w:rFonts w:ascii="Times New Roman" w:hAnsi="Times New Roman"/>
          <w:sz w:val="24"/>
        </w:rPr>
        <w:t>] below.</w:t>
      </w:r>
    </w:p>
  </w:footnote>
  <w:footnote w:id="40">
    <w:p w14:paraId="6EAF3E50"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w:t>
      </w:r>
      <w:r w:rsidRPr="00DC0A30">
        <w:rPr>
          <w:rFonts w:ascii="Times New Roman" w:hAnsi="Times New Roman"/>
          <w:i/>
          <w:iCs/>
          <w:sz w:val="24"/>
        </w:rPr>
        <w:t xml:space="preserve">Bogan v Estate of Smedley </w:t>
      </w:r>
      <w:r w:rsidRPr="00DC0A30">
        <w:rPr>
          <w:rFonts w:ascii="Times New Roman" w:hAnsi="Times New Roman"/>
          <w:sz w:val="24"/>
        </w:rPr>
        <w:t>(2025) 99 ALJR 619 at 623 [1].</w:t>
      </w:r>
    </w:p>
  </w:footnote>
  <w:footnote w:id="41">
    <w:p w14:paraId="53F67E9E" w14:textId="77777777" w:rsidR="006F5E1E" w:rsidRPr="00DC0A30" w:rsidRDefault="006F5E1E" w:rsidP="00DC0A30">
      <w:pPr>
        <w:pStyle w:val="FootnoteText"/>
        <w:spacing w:line="280" w:lineRule="exact"/>
        <w:ind w:right="0"/>
        <w:jc w:val="both"/>
        <w:rPr>
          <w:rFonts w:ascii="Times New Roman" w:hAnsi="Times New Roman"/>
          <w:b/>
          <w:bCs/>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Banton Costs Agreement, cl 3.2.</w:t>
      </w:r>
    </w:p>
  </w:footnote>
  <w:footnote w:id="42">
    <w:p w14:paraId="3264617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Style w:val="FootnoteReference"/>
          <w:rFonts w:ascii="Times New Roman" w:hAnsi="Times New Roman"/>
          <w:sz w:val="22"/>
          <w:vertAlign w:val="baseline"/>
        </w:rPr>
        <w:t xml:space="preserve"> </w:t>
      </w:r>
      <w:r w:rsidRPr="00DC0A30">
        <w:rPr>
          <w:rFonts w:ascii="Times New Roman" w:hAnsi="Times New Roman"/>
          <w:sz w:val="24"/>
        </w:rPr>
        <w:tab/>
        <w:t>Addendum to Banton Costs Agreement, cl 3A.3(d).</w:t>
      </w:r>
    </w:p>
  </w:footnote>
  <w:footnote w:id="43">
    <w:p w14:paraId="4FFC0BEA"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R&amp;B Investments Pty Ltd (Trustee) v Blue Sky Alternative Investments Ltd (Administrators Appointed) (In liq) (Reserved Question)</w:t>
      </w:r>
      <w:r w:rsidRPr="00DC0A30">
        <w:rPr>
          <w:rFonts w:ascii="Times New Roman" w:hAnsi="Times New Roman"/>
          <w:sz w:val="24"/>
        </w:rPr>
        <w:t xml:space="preserve"> [2023] FCA 1499. The Full Court of the Federal Court excised from the reserved question the underlined words: </w:t>
      </w:r>
      <w:r w:rsidRPr="00DC0A30">
        <w:rPr>
          <w:rFonts w:ascii="Times New Roman" w:hAnsi="Times New Roman"/>
          <w:i/>
          <w:iCs/>
          <w:sz w:val="24"/>
        </w:rPr>
        <w:t>R&amp;B Investments Pty Ltd v Blue Sky Alternative Investments Ltd (In liq) (Reserved</w:t>
      </w:r>
      <w:r>
        <w:rPr>
          <w:rFonts w:ascii="Times New Roman" w:hAnsi="Times New Roman"/>
          <w:i/>
          <w:iCs/>
          <w:sz w:val="24"/>
        </w:rPr>
        <w:t> </w:t>
      </w:r>
      <w:r w:rsidRPr="00DC0A30">
        <w:rPr>
          <w:rFonts w:ascii="Times New Roman" w:hAnsi="Times New Roman"/>
          <w:i/>
          <w:iCs/>
          <w:sz w:val="24"/>
        </w:rPr>
        <w:t xml:space="preserve">Question) </w:t>
      </w:r>
      <w:r w:rsidRPr="00DC0A30">
        <w:rPr>
          <w:rFonts w:ascii="Times New Roman" w:hAnsi="Times New Roman"/>
          <w:sz w:val="24"/>
        </w:rPr>
        <w:t xml:space="preserve">(2024) 304 FCR 395 at 397-398 [4]-[6]. </w:t>
      </w:r>
    </w:p>
  </w:footnote>
  <w:footnote w:id="44">
    <w:p w14:paraId="1361E940"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(2020) 281 FCR 501 at 506 [19], 506-509 [22]-[30].</w:t>
      </w:r>
    </w:p>
  </w:footnote>
  <w:footnote w:id="45">
    <w:p w14:paraId="2E3DFC8A"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Some of the examples provided of CFOs were inapposite because they were "commencement CFOs", an issue addressed at [</w:t>
      </w:r>
      <w:r>
        <w:rPr>
          <w:rFonts w:ascii="Times New Roman" w:hAnsi="Times New Roman"/>
          <w:sz w:val="24"/>
        </w:rPr>
        <w:t>66</w:t>
      </w:r>
      <w:r w:rsidRPr="00DC0A30">
        <w:rPr>
          <w:rFonts w:ascii="Times New Roman" w:hAnsi="Times New Roman"/>
          <w:sz w:val="24"/>
        </w:rPr>
        <w:t>]-[</w:t>
      </w:r>
      <w:r>
        <w:rPr>
          <w:rFonts w:ascii="Times New Roman" w:hAnsi="Times New Roman"/>
          <w:sz w:val="24"/>
        </w:rPr>
        <w:t>67</w:t>
      </w:r>
      <w:r w:rsidRPr="00DC0A30">
        <w:rPr>
          <w:rFonts w:ascii="Times New Roman" w:hAnsi="Times New Roman"/>
          <w:sz w:val="24"/>
        </w:rPr>
        <w:t>] below.</w:t>
      </w:r>
    </w:p>
  </w:footnote>
  <w:footnote w:id="46">
    <w:p w14:paraId="1B0E0E21"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Caason Investments Pty Ltd v Cao [No 2]</w:t>
      </w:r>
      <w:r w:rsidRPr="00DC0A30">
        <w:rPr>
          <w:rFonts w:ascii="Times New Roman" w:hAnsi="Times New Roman"/>
          <w:sz w:val="24"/>
        </w:rPr>
        <w:t xml:space="preserve"> [2018] FCA 527, Order 12 and </w:t>
      </w:r>
      <w:r w:rsidRPr="00DC0A30">
        <w:rPr>
          <w:rFonts w:ascii="Times New Roman" w:hAnsi="Times New Roman"/>
          <w:i/>
          <w:iCs/>
          <w:sz w:val="24"/>
        </w:rPr>
        <w:t>Uren v RMBL Investments Ltd [No 2]</w:t>
      </w:r>
      <w:r w:rsidRPr="00DC0A30">
        <w:rPr>
          <w:rFonts w:ascii="Times New Roman" w:hAnsi="Times New Roman"/>
          <w:sz w:val="24"/>
        </w:rPr>
        <w:t xml:space="preserve"> [2020] FCA 647 at [59], Order 8(a)(ii).</w:t>
      </w:r>
    </w:p>
  </w:footnote>
  <w:footnote w:id="47">
    <w:p w14:paraId="0540D33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Uren </w:t>
      </w:r>
      <w:r w:rsidRPr="00DC0A30">
        <w:rPr>
          <w:rFonts w:ascii="Times New Roman" w:hAnsi="Times New Roman"/>
          <w:sz w:val="24"/>
        </w:rPr>
        <w:t>[2020] FCA 647 at [59], Order 8(a)(ii).</w:t>
      </w:r>
    </w:p>
  </w:footnote>
  <w:footnote w:id="48">
    <w:p w14:paraId="22F3CCE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Caason Investments</w:t>
      </w:r>
      <w:r w:rsidRPr="00DC0A30">
        <w:rPr>
          <w:rFonts w:ascii="Times New Roman" w:hAnsi="Times New Roman"/>
          <w:sz w:val="24"/>
        </w:rPr>
        <w:t xml:space="preserve"> [2018] FCA 527, Order 12.</w:t>
      </w:r>
    </w:p>
  </w:footnote>
  <w:footnote w:id="49">
    <w:p w14:paraId="7E08B7A5"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FCA Act, s 33V(2).</w:t>
      </w:r>
    </w:p>
  </w:footnote>
  <w:footnote w:id="50">
    <w:p w14:paraId="2F7A2D34"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(2023) 301 FCR 1 at 28 [156]-[157].</w:t>
      </w:r>
    </w:p>
  </w:footnote>
  <w:footnote w:id="51">
    <w:p w14:paraId="7D24EBE5"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Elliott</w:t>
      </w:r>
      <w:r w:rsidRPr="00DC0A30">
        <w:rPr>
          <w:rFonts w:ascii="Times New Roman" w:hAnsi="Times New Roman"/>
          <w:i/>
          <w:iCs/>
          <w:sz w:val="24"/>
        </w:rPr>
        <w:noBreakHyphen/>
        <w:t xml:space="preserve">Carde </w:t>
      </w:r>
      <w:r w:rsidRPr="00DC0A30">
        <w:rPr>
          <w:rFonts w:ascii="Times New Roman" w:hAnsi="Times New Roman"/>
          <w:sz w:val="24"/>
        </w:rPr>
        <w:t>(2023) 301 FCR 1 at 28 [156] and the authorities cited.</w:t>
      </w:r>
    </w:p>
  </w:footnote>
  <w:footnote w:id="52">
    <w:p w14:paraId="0C7A9F63"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Elliott</w:t>
      </w:r>
      <w:r w:rsidRPr="00DC0A30">
        <w:rPr>
          <w:rFonts w:ascii="Times New Roman" w:hAnsi="Times New Roman"/>
          <w:i/>
          <w:iCs/>
          <w:sz w:val="24"/>
        </w:rPr>
        <w:noBreakHyphen/>
        <w:t xml:space="preserve">Carde </w:t>
      </w:r>
      <w:r w:rsidRPr="00DC0A30">
        <w:rPr>
          <w:rFonts w:ascii="Times New Roman" w:hAnsi="Times New Roman"/>
          <w:sz w:val="24"/>
        </w:rPr>
        <w:t>(2023) 301 FCR 1 at 28 [157].</w:t>
      </w:r>
    </w:p>
  </w:footnote>
  <w:footnote w:id="53">
    <w:p w14:paraId="574161B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eg, </w:t>
      </w:r>
      <w:r w:rsidRPr="00DC0A30">
        <w:rPr>
          <w:rFonts w:ascii="Times New Roman" w:hAnsi="Times New Roman"/>
          <w:i/>
          <w:iCs/>
          <w:sz w:val="24"/>
        </w:rPr>
        <w:t>Elliott</w:t>
      </w:r>
      <w:r w:rsidRPr="00DC0A30">
        <w:rPr>
          <w:rFonts w:ascii="Times New Roman" w:hAnsi="Times New Roman"/>
          <w:i/>
          <w:iCs/>
          <w:sz w:val="24"/>
        </w:rPr>
        <w:noBreakHyphen/>
        <w:t xml:space="preserve">Carde </w:t>
      </w:r>
      <w:r w:rsidRPr="00DC0A30">
        <w:rPr>
          <w:rFonts w:ascii="Times New Roman" w:hAnsi="Times New Roman"/>
          <w:sz w:val="24"/>
        </w:rPr>
        <w:t xml:space="preserve">(2023) 301 FCR 1 at 28 [156], citing </w:t>
      </w:r>
      <w:r w:rsidRPr="00DC0A30">
        <w:rPr>
          <w:rFonts w:ascii="Times New Roman" w:hAnsi="Times New Roman"/>
          <w:i/>
          <w:iCs/>
          <w:sz w:val="24"/>
        </w:rPr>
        <w:t>Blairgowrie Trading Ltd v Allco Finance Group Ltd (In liq) [No 3]</w:t>
      </w:r>
      <w:r w:rsidRPr="00DC0A30">
        <w:rPr>
          <w:rFonts w:ascii="Times New Roman" w:hAnsi="Times New Roman"/>
          <w:sz w:val="24"/>
        </w:rPr>
        <w:t xml:space="preserve"> (2017) 343 ALR 476 at 503 [99].</w:t>
      </w:r>
    </w:p>
  </w:footnote>
  <w:footnote w:id="54">
    <w:p w14:paraId="024EB800"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[2024] FCA 1036.</w:t>
      </w:r>
    </w:p>
  </w:footnote>
  <w:footnote w:id="55">
    <w:p w14:paraId="20F5778C"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Clime Capital Ltd v UGL Pty Ltd</w:t>
      </w:r>
      <w:r w:rsidRPr="00DC0A30">
        <w:rPr>
          <w:rFonts w:ascii="Times New Roman" w:hAnsi="Times New Roman"/>
          <w:sz w:val="24"/>
        </w:rPr>
        <w:t xml:space="preserve"> [2020] FCA 66, Order 9 and </w:t>
      </w:r>
      <w:r w:rsidRPr="00DC0A30">
        <w:rPr>
          <w:rFonts w:ascii="Times New Roman" w:hAnsi="Times New Roman"/>
          <w:i/>
          <w:iCs/>
          <w:sz w:val="24"/>
        </w:rPr>
        <w:t xml:space="preserve">Wetdal Pty Ltd as Trustee for the BlueCo Two Superannuation Fund v Estia Health Ltd </w:t>
      </w:r>
      <w:r w:rsidRPr="00DC0A30">
        <w:rPr>
          <w:rFonts w:ascii="Times New Roman" w:hAnsi="Times New Roman"/>
          <w:sz w:val="24"/>
        </w:rPr>
        <w:t>[2021] FCA 475 at [127].</w:t>
      </w:r>
    </w:p>
  </w:footnote>
  <w:footnote w:id="56">
    <w:p w14:paraId="03F7FB66"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Clime Capital </w:t>
      </w:r>
      <w:r w:rsidRPr="00DC0A30">
        <w:rPr>
          <w:rFonts w:ascii="Times New Roman" w:hAnsi="Times New Roman"/>
          <w:sz w:val="24"/>
        </w:rPr>
        <w:t>[2020] FCA 66,</w:t>
      </w:r>
      <w:r w:rsidRPr="00DC0A30">
        <w:rPr>
          <w:rFonts w:ascii="Times New Roman" w:hAnsi="Times New Roman"/>
          <w:i/>
          <w:iCs/>
          <w:sz w:val="24"/>
        </w:rPr>
        <w:t xml:space="preserve"> </w:t>
      </w:r>
      <w:r w:rsidRPr="00DC0A30">
        <w:rPr>
          <w:rFonts w:ascii="Times New Roman" w:hAnsi="Times New Roman"/>
          <w:iCs/>
          <w:sz w:val="24"/>
        </w:rPr>
        <w:t>Order 9(c);</w:t>
      </w:r>
      <w:r w:rsidRPr="00DC0A30">
        <w:rPr>
          <w:rFonts w:ascii="Times New Roman" w:hAnsi="Times New Roman"/>
          <w:i/>
          <w:iCs/>
          <w:sz w:val="24"/>
        </w:rPr>
        <w:t xml:space="preserve"> Wetdal </w:t>
      </w:r>
      <w:r w:rsidRPr="00DC0A30">
        <w:rPr>
          <w:rFonts w:ascii="Times New Roman" w:hAnsi="Times New Roman"/>
          <w:sz w:val="24"/>
        </w:rPr>
        <w:t xml:space="preserve">[2021] FCA 475 at [127]; </w:t>
      </w:r>
      <w:r w:rsidRPr="00DC0A30">
        <w:rPr>
          <w:rFonts w:ascii="Times New Roman" w:hAnsi="Times New Roman"/>
          <w:i/>
          <w:iCs/>
          <w:sz w:val="24"/>
        </w:rPr>
        <w:t>Equity</w:t>
      </w:r>
      <w:r>
        <w:rPr>
          <w:rFonts w:ascii="Times New Roman" w:hAnsi="Times New Roman"/>
          <w:i/>
          <w:iCs/>
          <w:sz w:val="24"/>
        </w:rPr>
        <w:t> </w:t>
      </w:r>
      <w:r w:rsidRPr="00DC0A30">
        <w:rPr>
          <w:rFonts w:ascii="Times New Roman" w:hAnsi="Times New Roman"/>
          <w:i/>
          <w:iCs/>
          <w:sz w:val="24"/>
        </w:rPr>
        <w:t xml:space="preserve">Financial Planners </w:t>
      </w:r>
      <w:r w:rsidRPr="00DC0A30">
        <w:rPr>
          <w:rFonts w:ascii="Times New Roman" w:hAnsi="Times New Roman"/>
          <w:sz w:val="24"/>
        </w:rPr>
        <w:t>[2024] FCA 1036, Order 12.</w:t>
      </w:r>
    </w:p>
  </w:footnote>
  <w:footnote w:id="57">
    <w:p w14:paraId="5B7431C0"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eg, </w:t>
      </w:r>
      <w:r w:rsidRPr="00DC0A30">
        <w:rPr>
          <w:rFonts w:ascii="Times New Roman" w:hAnsi="Times New Roman"/>
          <w:i/>
          <w:iCs/>
          <w:sz w:val="24"/>
        </w:rPr>
        <w:t xml:space="preserve">Wong v Silkfield Pty Ltd </w:t>
      </w:r>
      <w:r w:rsidRPr="00DC0A30">
        <w:rPr>
          <w:rFonts w:ascii="Times New Roman" w:hAnsi="Times New Roman"/>
          <w:sz w:val="24"/>
        </w:rPr>
        <w:t xml:space="preserve">(1999) 199 CLR 255; </w:t>
      </w:r>
      <w:r w:rsidRPr="00DC0A30">
        <w:rPr>
          <w:rFonts w:ascii="Times New Roman" w:hAnsi="Times New Roman"/>
          <w:i/>
          <w:iCs/>
          <w:sz w:val="24"/>
        </w:rPr>
        <w:t>BMW Australia Ltd v Brewster</w:t>
      </w:r>
      <w:r w:rsidRPr="00DC0A30">
        <w:rPr>
          <w:rFonts w:ascii="Times New Roman" w:hAnsi="Times New Roman"/>
          <w:sz w:val="24"/>
        </w:rPr>
        <w:t xml:space="preserve"> (2019) 269 CLR 574;</w:t>
      </w:r>
      <w:r w:rsidRPr="00DC0A30" w:rsidDel="009E59CC">
        <w:rPr>
          <w:rFonts w:ascii="Times New Roman" w:hAnsi="Times New Roman"/>
          <w:sz w:val="24"/>
        </w:rPr>
        <w:t xml:space="preserve"> </w:t>
      </w:r>
      <w:r w:rsidRPr="00DC0A30">
        <w:rPr>
          <w:rFonts w:ascii="Times New Roman" w:hAnsi="Times New Roman"/>
          <w:i/>
          <w:iCs/>
          <w:sz w:val="24"/>
        </w:rPr>
        <w:t>BHP Group Ltd v Impiombato</w:t>
      </w:r>
      <w:r w:rsidRPr="00DC0A30">
        <w:rPr>
          <w:rFonts w:ascii="Times New Roman" w:hAnsi="Times New Roman"/>
          <w:sz w:val="24"/>
        </w:rPr>
        <w:t xml:space="preserve"> (2022) 276 CLR 611; </w:t>
      </w:r>
      <w:r w:rsidRPr="00DC0A30">
        <w:rPr>
          <w:rFonts w:ascii="Times New Roman" w:hAnsi="Times New Roman"/>
          <w:i/>
          <w:iCs/>
          <w:sz w:val="24"/>
        </w:rPr>
        <w:t>Karpik v Carnival Plc</w:t>
      </w:r>
      <w:r w:rsidRPr="00DC0A30">
        <w:rPr>
          <w:rFonts w:ascii="Times New Roman" w:hAnsi="Times New Roman"/>
          <w:sz w:val="24"/>
        </w:rPr>
        <w:t xml:space="preserve"> (2023) 98 ALJR 45; 415 ALR 491.</w:t>
      </w:r>
      <w:r w:rsidRPr="00DC0A30" w:rsidDel="00A65C12">
        <w:rPr>
          <w:rFonts w:ascii="Times New Roman" w:hAnsi="Times New Roman"/>
          <w:sz w:val="24"/>
        </w:rPr>
        <w:t xml:space="preserve"> </w:t>
      </w:r>
      <w:r w:rsidRPr="00DC0A30">
        <w:rPr>
          <w:rFonts w:ascii="Times New Roman" w:hAnsi="Times New Roman"/>
          <w:sz w:val="24"/>
        </w:rPr>
        <w:t xml:space="preserve">See also </w:t>
      </w:r>
      <w:r w:rsidRPr="00DC0A30">
        <w:rPr>
          <w:rFonts w:ascii="Times New Roman" w:hAnsi="Times New Roman"/>
          <w:i/>
          <w:iCs/>
          <w:sz w:val="24"/>
        </w:rPr>
        <w:t xml:space="preserve">Mobil Oil Australia Pty Ltd v Victoria </w:t>
      </w:r>
      <w:r w:rsidRPr="00DC0A30">
        <w:rPr>
          <w:rFonts w:ascii="Times New Roman" w:hAnsi="Times New Roman"/>
          <w:sz w:val="24"/>
        </w:rPr>
        <w:t>(2002) 211 CLR 1;</w:t>
      </w:r>
      <w:r w:rsidRPr="00DC0A30">
        <w:rPr>
          <w:rFonts w:ascii="Times New Roman" w:hAnsi="Times New Roman"/>
          <w:i/>
          <w:iCs/>
          <w:sz w:val="24"/>
        </w:rPr>
        <w:t xml:space="preserve"> Timbercorp Finance Pty Ltd (In liq) v Collins </w:t>
      </w:r>
      <w:r w:rsidRPr="00DC0A30">
        <w:rPr>
          <w:rFonts w:ascii="Times New Roman" w:hAnsi="Times New Roman"/>
          <w:sz w:val="24"/>
        </w:rPr>
        <w:t xml:space="preserve">(2016) 259 CLR 212; </w:t>
      </w:r>
      <w:r w:rsidRPr="00DC0A30">
        <w:rPr>
          <w:rFonts w:ascii="Times New Roman" w:hAnsi="Times New Roman"/>
          <w:i/>
          <w:iCs/>
          <w:sz w:val="24"/>
        </w:rPr>
        <w:t>Wigmans v AMP Ltd</w:t>
      </w:r>
      <w:r w:rsidRPr="00DC0A30">
        <w:rPr>
          <w:rFonts w:ascii="Times New Roman" w:hAnsi="Times New Roman"/>
          <w:sz w:val="24"/>
        </w:rPr>
        <w:t xml:space="preserve"> (2021) 270 CLR 623; </w:t>
      </w:r>
      <w:r w:rsidRPr="00DC0A30">
        <w:rPr>
          <w:rFonts w:ascii="Times New Roman" w:hAnsi="Times New Roman"/>
          <w:i/>
          <w:iCs/>
          <w:sz w:val="24"/>
        </w:rPr>
        <w:t xml:space="preserve">Lendlease Corporation Ltd v Pallas </w:t>
      </w:r>
      <w:r w:rsidRPr="00DC0A30">
        <w:rPr>
          <w:rFonts w:ascii="Times New Roman" w:hAnsi="Times New Roman"/>
          <w:sz w:val="24"/>
        </w:rPr>
        <w:t>(2025) 99 ALJR 834.</w:t>
      </w:r>
    </w:p>
  </w:footnote>
  <w:footnote w:id="58">
    <w:p w14:paraId="13A56759"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A further ground of the notice of contention argued this power extended to a power to make a Solicitors' CFO. The Applicants abandoned the other grounds in their notice of contention.</w:t>
      </w:r>
    </w:p>
  </w:footnote>
  <w:footnote w:id="59">
    <w:p w14:paraId="4B7A7794"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(2019) 269 CLR 574.</w:t>
      </w:r>
    </w:p>
  </w:footnote>
  <w:footnote w:id="60">
    <w:p w14:paraId="344A5616"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w:t>
      </w:r>
      <w:r w:rsidRPr="00DC0A30">
        <w:rPr>
          <w:rFonts w:ascii="Times New Roman" w:hAnsi="Times New Roman"/>
          <w:i/>
          <w:iCs/>
          <w:sz w:val="24"/>
        </w:rPr>
        <w:t xml:space="preserve">Davaria </w:t>
      </w:r>
      <w:r w:rsidRPr="00DC0A30">
        <w:rPr>
          <w:rFonts w:ascii="Times New Roman" w:hAnsi="Times New Roman"/>
          <w:sz w:val="24"/>
        </w:rPr>
        <w:t xml:space="preserve">(2020) 281 FCR 501 at 511-512 [42]; </w:t>
      </w:r>
      <w:r w:rsidRPr="00DC0A30">
        <w:rPr>
          <w:rFonts w:ascii="Times New Roman" w:hAnsi="Times New Roman"/>
          <w:i/>
          <w:iCs/>
          <w:sz w:val="24"/>
        </w:rPr>
        <w:t xml:space="preserve">Elliott-Carde </w:t>
      </w:r>
      <w:r w:rsidRPr="00DC0A30">
        <w:rPr>
          <w:rFonts w:ascii="Times New Roman" w:hAnsi="Times New Roman"/>
          <w:sz w:val="24"/>
        </w:rPr>
        <w:t xml:space="preserve">(2023) 301 FCR 1 at 81-82 [499]-[502]; </w:t>
      </w:r>
      <w:r w:rsidRPr="00DC0A30">
        <w:rPr>
          <w:rFonts w:ascii="Times New Roman" w:hAnsi="Times New Roman"/>
          <w:i/>
          <w:iCs/>
          <w:sz w:val="24"/>
        </w:rPr>
        <w:t xml:space="preserve">Galactic Seven Eleven Litigation Holdings LLC v Davaria </w:t>
      </w:r>
      <w:r w:rsidRPr="00DC0A30">
        <w:rPr>
          <w:rFonts w:ascii="Times New Roman" w:hAnsi="Times New Roman"/>
          <w:sz w:val="24"/>
        </w:rPr>
        <w:t>(2024) 302 FCR 493 at 509 [58].</w:t>
      </w:r>
    </w:p>
  </w:footnote>
  <w:footnote w:id="61">
    <w:p w14:paraId="22D5645C"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(2019) 269 CLR 574 at 588 [1], 589 [3], 624 [125], 628 [135].</w:t>
      </w:r>
    </w:p>
  </w:footnote>
  <w:footnote w:id="62">
    <w:p w14:paraId="6F77D325" w14:textId="77777777" w:rsidR="006F5E1E" w:rsidRPr="00DC0A30" w:rsidRDefault="006F5E1E" w:rsidP="00DC0A30">
      <w:pPr>
        <w:pStyle w:val="FootnoteText"/>
        <w:spacing w:line="280" w:lineRule="exact"/>
        <w:ind w:right="0"/>
        <w:jc w:val="both"/>
        <w:rPr>
          <w:rFonts w:ascii="Times New Roman" w:hAnsi="Times New Roman"/>
          <w:i/>
          <w:iCs/>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eg, </w:t>
      </w:r>
      <w:r w:rsidRPr="00DC0A30">
        <w:rPr>
          <w:rFonts w:ascii="Times New Roman" w:hAnsi="Times New Roman"/>
          <w:i/>
          <w:iCs/>
          <w:sz w:val="24"/>
        </w:rPr>
        <w:t xml:space="preserve">Money Max Int Pty Ltd v QBE Insurance Group Ltd </w:t>
      </w:r>
      <w:r w:rsidRPr="00DC0A30">
        <w:rPr>
          <w:rFonts w:ascii="Times New Roman" w:hAnsi="Times New Roman"/>
          <w:sz w:val="24"/>
        </w:rPr>
        <w:t>(2016) 245 FCR 191 at 195 [9]-[10].</w:t>
      </w:r>
    </w:p>
  </w:footnote>
  <w:footnote w:id="63">
    <w:p w14:paraId="62EC155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Money Max </w:t>
      </w:r>
      <w:r w:rsidRPr="00DC0A30">
        <w:rPr>
          <w:rFonts w:ascii="Times New Roman" w:hAnsi="Times New Roman"/>
          <w:sz w:val="24"/>
        </w:rPr>
        <w:t>(2016) 245 FCR 191 at 195 [9], Order 1.</w:t>
      </w:r>
    </w:p>
  </w:footnote>
  <w:footnote w:id="64">
    <w:p w14:paraId="15FBC82F"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(2019) 269 CLR 574 at 588 [1], 628 [135]; see also 617 [104], 640 [178]; cf Nettle</w:t>
      </w:r>
      <w:r>
        <w:rPr>
          <w:rFonts w:ascii="Times New Roman" w:hAnsi="Times New Roman"/>
          <w:sz w:val="24"/>
        </w:rPr>
        <w:t> </w:t>
      </w:r>
      <w:r w:rsidRPr="00DC0A30">
        <w:rPr>
          <w:rFonts w:ascii="Times New Roman" w:hAnsi="Times New Roman"/>
          <w:sz w:val="24"/>
        </w:rPr>
        <w:t xml:space="preserve">J. See also </w:t>
      </w:r>
      <w:r w:rsidRPr="00DC0A30">
        <w:rPr>
          <w:rFonts w:ascii="Times New Roman" w:hAnsi="Times New Roman"/>
          <w:i/>
          <w:iCs/>
          <w:sz w:val="24"/>
        </w:rPr>
        <w:t xml:space="preserve">Lendlease </w:t>
      </w:r>
      <w:r w:rsidRPr="00DC0A30">
        <w:rPr>
          <w:rFonts w:ascii="Times New Roman" w:hAnsi="Times New Roman"/>
          <w:sz w:val="24"/>
        </w:rPr>
        <w:t>(2025) 99 ALJR 834 at 843-844 [23].</w:t>
      </w:r>
    </w:p>
  </w:footnote>
  <w:footnote w:id="65">
    <w:p w14:paraId="773B662C"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Brewster </w:t>
      </w:r>
      <w:r w:rsidRPr="00DC0A30">
        <w:rPr>
          <w:rFonts w:ascii="Times New Roman" w:hAnsi="Times New Roman"/>
          <w:sz w:val="24"/>
        </w:rPr>
        <w:t>(2019) 269 CLR 574 at 589 [3], 600 [49]-[50], 624 [125</w:t>
      </w:r>
      <w:r w:rsidRPr="00DC0A30" w:rsidDel="002A1064">
        <w:rPr>
          <w:rFonts w:ascii="Times New Roman" w:hAnsi="Times New Roman"/>
          <w:sz w:val="24"/>
        </w:rPr>
        <w:t>]</w:t>
      </w:r>
      <w:r w:rsidRPr="00DC0A30">
        <w:rPr>
          <w:rFonts w:ascii="Times New Roman" w:hAnsi="Times New Roman"/>
          <w:sz w:val="24"/>
        </w:rPr>
        <w:t>, 631-632 [146]</w:t>
      </w:r>
      <w:r>
        <w:rPr>
          <w:rFonts w:ascii="Times New Roman" w:hAnsi="Times New Roman"/>
          <w:sz w:val="24"/>
        </w:rPr>
        <w:noBreakHyphen/>
      </w:r>
      <w:r w:rsidRPr="00DC0A30">
        <w:rPr>
          <w:rFonts w:ascii="Times New Roman" w:hAnsi="Times New Roman"/>
          <w:sz w:val="24"/>
        </w:rPr>
        <w:t xml:space="preserve">[148]. See also </w:t>
      </w:r>
      <w:r w:rsidRPr="00DC0A30">
        <w:rPr>
          <w:rFonts w:ascii="Times New Roman" w:hAnsi="Times New Roman"/>
          <w:i/>
          <w:iCs/>
          <w:sz w:val="24"/>
        </w:rPr>
        <w:t xml:space="preserve">Lendlease </w:t>
      </w:r>
      <w:r w:rsidRPr="00DC0A30">
        <w:rPr>
          <w:rFonts w:ascii="Times New Roman" w:hAnsi="Times New Roman"/>
          <w:sz w:val="24"/>
        </w:rPr>
        <w:t>(2025) 99 ALJR 834 at 854 [66].</w:t>
      </w:r>
    </w:p>
  </w:footnote>
  <w:footnote w:id="66">
    <w:p w14:paraId="3CCBA18B"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Brewster </w:t>
      </w:r>
      <w:r w:rsidRPr="00DC0A30">
        <w:rPr>
          <w:rFonts w:ascii="Times New Roman" w:hAnsi="Times New Roman"/>
          <w:sz w:val="24"/>
        </w:rPr>
        <w:t xml:space="preserve">(2019) 269 CLR 574 at 604-605 [66]-[67]. See also </w:t>
      </w:r>
      <w:r w:rsidRPr="00DC0A30">
        <w:rPr>
          <w:rFonts w:ascii="Times New Roman" w:hAnsi="Times New Roman"/>
          <w:i/>
          <w:iCs/>
          <w:sz w:val="24"/>
        </w:rPr>
        <w:t xml:space="preserve">Lendlease </w:t>
      </w:r>
      <w:r w:rsidRPr="00DC0A30">
        <w:rPr>
          <w:rFonts w:ascii="Times New Roman" w:hAnsi="Times New Roman"/>
          <w:sz w:val="24"/>
        </w:rPr>
        <w:t>(2025) 99 ALJR 834 at 844 [23].</w:t>
      </w:r>
    </w:p>
  </w:footnote>
  <w:footnote w:id="67">
    <w:p w14:paraId="6B011933"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(2019) 269 CLR 574 at 588 [1], 628 [135]; see also 617 [104], 640 [178]. See also </w:t>
      </w:r>
      <w:r w:rsidRPr="00DC0A30">
        <w:rPr>
          <w:rFonts w:ascii="Times New Roman" w:hAnsi="Times New Roman"/>
          <w:i/>
          <w:iCs/>
          <w:sz w:val="24"/>
        </w:rPr>
        <w:t xml:space="preserve">Lendlease </w:t>
      </w:r>
      <w:r w:rsidRPr="00DC0A30">
        <w:rPr>
          <w:rFonts w:ascii="Times New Roman" w:hAnsi="Times New Roman"/>
          <w:sz w:val="24"/>
        </w:rPr>
        <w:t>(2025) 99 ALJR 834 at 843 [23], 854 [66].</w:t>
      </w:r>
    </w:p>
  </w:footnote>
  <w:footnote w:id="68">
    <w:p w14:paraId="2430B337"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cf </w:t>
      </w:r>
      <w:r w:rsidRPr="00DC0A30">
        <w:rPr>
          <w:rFonts w:ascii="Times New Roman" w:hAnsi="Times New Roman"/>
          <w:i/>
          <w:iCs/>
          <w:sz w:val="24"/>
        </w:rPr>
        <w:t>North Australian Aboriginal Justice Agency Ltd v Northern Territory</w:t>
      </w:r>
      <w:r w:rsidRPr="00DC0A30">
        <w:rPr>
          <w:rFonts w:ascii="Times New Roman" w:hAnsi="Times New Roman"/>
          <w:sz w:val="24"/>
        </w:rPr>
        <w:t xml:space="preserve"> (2015) 256 CLR 569 at 629-630 [162]; </w:t>
      </w:r>
      <w:r w:rsidRPr="00DC0A30">
        <w:rPr>
          <w:rFonts w:ascii="Times New Roman" w:hAnsi="Times New Roman"/>
          <w:i/>
          <w:iCs/>
          <w:sz w:val="24"/>
        </w:rPr>
        <w:t>NZYQ v Minister for Immigration, Citizenship and Multicultural Affairs</w:t>
      </w:r>
      <w:r w:rsidRPr="00DC0A30">
        <w:rPr>
          <w:rFonts w:ascii="Times New Roman" w:hAnsi="Times New Roman"/>
          <w:sz w:val="24"/>
        </w:rPr>
        <w:t xml:space="preserve"> (2023) </w:t>
      </w:r>
      <w:r>
        <w:rPr>
          <w:rFonts w:ascii="Times New Roman" w:hAnsi="Times New Roman"/>
          <w:sz w:val="24"/>
        </w:rPr>
        <w:t>280 CLR 137</w:t>
      </w:r>
      <w:r w:rsidRPr="00DC0A30">
        <w:rPr>
          <w:rFonts w:ascii="Times New Roman" w:hAnsi="Times New Roman"/>
          <w:sz w:val="24"/>
        </w:rPr>
        <w:t xml:space="preserve"> at 1</w:t>
      </w:r>
      <w:r>
        <w:rPr>
          <w:rFonts w:ascii="Times New Roman" w:hAnsi="Times New Roman"/>
          <w:sz w:val="24"/>
        </w:rPr>
        <w:t>50</w:t>
      </w:r>
      <w:r w:rsidRPr="00DC0A30">
        <w:rPr>
          <w:rFonts w:ascii="Times New Roman" w:hAnsi="Times New Roman"/>
          <w:sz w:val="24"/>
        </w:rPr>
        <w:t xml:space="preserve"> [17], quoting </w:t>
      </w:r>
      <w:r w:rsidRPr="00DC0A30">
        <w:rPr>
          <w:rFonts w:ascii="Times New Roman" w:hAnsi="Times New Roman"/>
          <w:i/>
          <w:iCs/>
          <w:sz w:val="24"/>
        </w:rPr>
        <w:t>Wurridjal v The Commonwealth</w:t>
      </w:r>
      <w:r w:rsidRPr="00DC0A30">
        <w:rPr>
          <w:rFonts w:ascii="Times New Roman" w:hAnsi="Times New Roman"/>
          <w:sz w:val="24"/>
        </w:rPr>
        <w:t xml:space="preserve"> (2009) 237 CLR 309 at 352 [70]; </w:t>
      </w:r>
      <w:r w:rsidRPr="00DC0A30">
        <w:rPr>
          <w:rFonts w:ascii="Times New Roman" w:hAnsi="Times New Roman"/>
          <w:i/>
          <w:iCs/>
          <w:sz w:val="24"/>
        </w:rPr>
        <w:t>MJZP v Director-General</w:t>
      </w:r>
      <w:r w:rsidRPr="00DC0A30">
        <w:rPr>
          <w:rFonts w:ascii="Times New Roman" w:hAnsi="Times New Roman"/>
          <w:sz w:val="24"/>
        </w:rPr>
        <w:t xml:space="preserve"> </w:t>
      </w:r>
      <w:r w:rsidRPr="00DC0A30">
        <w:rPr>
          <w:rFonts w:ascii="Times New Roman" w:hAnsi="Times New Roman"/>
          <w:i/>
          <w:sz w:val="24"/>
        </w:rPr>
        <w:t>of Security</w:t>
      </w:r>
      <w:r w:rsidRPr="00DC0A30">
        <w:rPr>
          <w:rFonts w:ascii="Times New Roman" w:hAnsi="Times New Roman"/>
          <w:sz w:val="24"/>
        </w:rPr>
        <w:t xml:space="preserve"> [2025] HCA </w:t>
      </w:r>
      <w:r>
        <w:rPr>
          <w:rFonts w:ascii="Times New Roman" w:hAnsi="Times New Roman"/>
          <w:sz w:val="24"/>
        </w:rPr>
        <w:t>26</w:t>
      </w:r>
      <w:r w:rsidRPr="00DC0A30">
        <w:rPr>
          <w:rFonts w:ascii="Times New Roman" w:hAnsi="Times New Roman"/>
          <w:sz w:val="24"/>
        </w:rPr>
        <w:t xml:space="preserve"> at [16].</w:t>
      </w:r>
    </w:p>
  </w:footnote>
  <w:footnote w:id="69">
    <w:p w14:paraId="7B57F7DA"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Elliott-Carde </w:t>
      </w:r>
      <w:r w:rsidRPr="00DC0A30">
        <w:rPr>
          <w:rFonts w:ascii="Times New Roman" w:hAnsi="Times New Roman"/>
          <w:sz w:val="24"/>
        </w:rPr>
        <w:t xml:space="preserve">(2023) 301 FCR 1 at 78 [483], quoting </w:t>
      </w:r>
      <w:r w:rsidRPr="00DC0A30">
        <w:rPr>
          <w:rFonts w:ascii="Times New Roman" w:hAnsi="Times New Roman"/>
          <w:i/>
          <w:sz w:val="24"/>
        </w:rPr>
        <w:t xml:space="preserve">Owners of </w:t>
      </w:r>
      <w:r w:rsidRPr="00DC0A30">
        <w:rPr>
          <w:rFonts w:ascii="Times New Roman" w:hAnsi="Times New Roman"/>
          <w:i/>
          <w:iCs/>
          <w:sz w:val="24"/>
        </w:rPr>
        <w:t>"</w:t>
      </w:r>
      <w:r w:rsidRPr="00DC0A30">
        <w:rPr>
          <w:rFonts w:ascii="Times New Roman" w:hAnsi="Times New Roman"/>
          <w:i/>
          <w:sz w:val="24"/>
        </w:rPr>
        <w:t>Shin Kobe Maru</w:t>
      </w:r>
      <w:r w:rsidRPr="00DC0A30">
        <w:rPr>
          <w:rFonts w:ascii="Times New Roman" w:hAnsi="Times New Roman"/>
          <w:i/>
          <w:iCs/>
          <w:sz w:val="24"/>
        </w:rPr>
        <w:t>"</w:t>
      </w:r>
      <w:r w:rsidRPr="00DC0A30">
        <w:rPr>
          <w:rFonts w:ascii="Times New Roman" w:hAnsi="Times New Roman"/>
          <w:i/>
          <w:sz w:val="24"/>
        </w:rPr>
        <w:t xml:space="preserve"> v Empire Shipping Co Inc</w:t>
      </w:r>
      <w:r w:rsidRPr="00DC0A30">
        <w:rPr>
          <w:rFonts w:ascii="Times New Roman" w:hAnsi="Times New Roman"/>
          <w:sz w:val="24"/>
        </w:rPr>
        <w:t xml:space="preserve"> (1994) 181 CLR 404 at 421. See also </w:t>
      </w:r>
      <w:r w:rsidRPr="00DC0A30">
        <w:rPr>
          <w:rFonts w:ascii="Times New Roman" w:hAnsi="Times New Roman"/>
          <w:i/>
          <w:iCs/>
          <w:sz w:val="24"/>
        </w:rPr>
        <w:t xml:space="preserve">Wong </w:t>
      </w:r>
      <w:r w:rsidRPr="00DC0A30">
        <w:rPr>
          <w:rFonts w:ascii="Times New Roman" w:hAnsi="Times New Roman"/>
          <w:sz w:val="24"/>
        </w:rPr>
        <w:t xml:space="preserve">(1999) 199 CLR 255 at 260-261 [11]. </w:t>
      </w:r>
      <w:r w:rsidRPr="00DC0A30">
        <w:rPr>
          <w:rFonts w:ascii="Times New Roman" w:hAnsi="Times New Roman"/>
          <w:i/>
          <w:iCs/>
          <w:sz w:val="24"/>
        </w:rPr>
        <w:t xml:space="preserve">  </w:t>
      </w:r>
    </w:p>
  </w:footnote>
  <w:footnote w:id="70">
    <w:p w14:paraId="78CC7335"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cf </w:t>
      </w:r>
      <w:r w:rsidRPr="00DC0A30">
        <w:rPr>
          <w:rFonts w:ascii="Times New Roman" w:hAnsi="Times New Roman"/>
          <w:i/>
          <w:iCs/>
          <w:sz w:val="24"/>
        </w:rPr>
        <w:t>Brewster</w:t>
      </w:r>
      <w:r w:rsidRPr="00DC0A30">
        <w:rPr>
          <w:rFonts w:ascii="Times New Roman" w:hAnsi="Times New Roman"/>
          <w:sz w:val="24"/>
        </w:rPr>
        <w:t xml:space="preserve"> (2019) 269 CLR 574 at 606 [70], 632 [147]. </w:t>
      </w:r>
    </w:p>
  </w:footnote>
  <w:footnote w:id="71">
    <w:p w14:paraId="566CB2C3"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Elliott-Carde </w:t>
      </w:r>
      <w:r w:rsidRPr="00DC0A30">
        <w:rPr>
          <w:rFonts w:ascii="Times New Roman" w:hAnsi="Times New Roman"/>
          <w:sz w:val="24"/>
        </w:rPr>
        <w:t>(2023) 301 FCR 1 at 79 [487].</w:t>
      </w:r>
    </w:p>
  </w:footnote>
  <w:footnote w:id="72">
    <w:p w14:paraId="2312BC15"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Elliott-Carde </w:t>
      </w:r>
      <w:r w:rsidRPr="00DC0A30">
        <w:rPr>
          <w:rFonts w:ascii="Times New Roman" w:hAnsi="Times New Roman"/>
          <w:sz w:val="24"/>
        </w:rPr>
        <w:t xml:space="preserve">(2023) 301 FCR 1 at 20 [99]; </w:t>
      </w:r>
      <w:r w:rsidRPr="00DC0A30">
        <w:rPr>
          <w:rFonts w:ascii="Times New Roman" w:hAnsi="Times New Roman"/>
          <w:i/>
          <w:iCs/>
          <w:sz w:val="24"/>
        </w:rPr>
        <w:t xml:space="preserve">Galactic Seven Eleven Litigation Holdings LLC v Davaria </w:t>
      </w:r>
      <w:r w:rsidRPr="00DC0A30">
        <w:rPr>
          <w:rFonts w:ascii="Times New Roman" w:hAnsi="Times New Roman"/>
          <w:sz w:val="24"/>
        </w:rPr>
        <w:t>(2024) 302 FCR 493 at 509 [57]</w:t>
      </w:r>
      <w:r w:rsidRPr="00DC0A30" w:rsidDel="00B650DE">
        <w:rPr>
          <w:rFonts w:ascii="Times New Roman" w:hAnsi="Times New Roman"/>
          <w:sz w:val="24"/>
        </w:rPr>
        <w:t>.</w:t>
      </w:r>
    </w:p>
  </w:footnote>
  <w:footnote w:id="73">
    <w:p w14:paraId="20C631EB"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Elliott-Carde </w:t>
      </w:r>
      <w:r w:rsidRPr="00DC0A30">
        <w:rPr>
          <w:rFonts w:ascii="Times New Roman" w:hAnsi="Times New Roman"/>
          <w:sz w:val="24"/>
        </w:rPr>
        <w:t xml:space="preserve">(2023) 301 FCR 1 at 80 [492]; see also 25-26 [134]-[138]. </w:t>
      </w:r>
    </w:p>
  </w:footnote>
  <w:footnote w:id="74">
    <w:p w14:paraId="6E75D85D"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APLA </w:t>
      </w:r>
      <w:r w:rsidRPr="00DC0A30">
        <w:rPr>
          <w:rFonts w:ascii="Times New Roman" w:hAnsi="Times New Roman"/>
          <w:sz w:val="24"/>
        </w:rPr>
        <w:t>(2005) 224 CLR 322 at 352 [32].</w:t>
      </w:r>
    </w:p>
  </w:footnote>
  <w:footnote w:id="75">
    <w:p w14:paraId="39FA5961"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APLA </w:t>
      </w:r>
      <w:r w:rsidRPr="00DC0A30">
        <w:rPr>
          <w:rFonts w:ascii="Times New Roman" w:hAnsi="Times New Roman"/>
          <w:sz w:val="24"/>
        </w:rPr>
        <w:t xml:space="preserve">(2005) 224 CLR 322 at 352 [32]. See also </w:t>
      </w:r>
      <w:r w:rsidRPr="00DC0A30">
        <w:rPr>
          <w:rFonts w:ascii="Times New Roman" w:hAnsi="Times New Roman"/>
          <w:i/>
          <w:iCs/>
          <w:sz w:val="24"/>
        </w:rPr>
        <w:t xml:space="preserve">P v P </w:t>
      </w:r>
      <w:r w:rsidRPr="00DC0A30">
        <w:rPr>
          <w:rFonts w:ascii="Times New Roman" w:hAnsi="Times New Roman"/>
          <w:sz w:val="24"/>
        </w:rPr>
        <w:t>(1994) 181 CLR 583 at 602</w:t>
      </w:r>
      <w:r w:rsidRPr="00DC0A30">
        <w:rPr>
          <w:rFonts w:ascii="Times New Roman" w:hAnsi="Times New Roman"/>
          <w:i/>
          <w:iCs/>
          <w:sz w:val="24"/>
        </w:rPr>
        <w:t>.</w:t>
      </w:r>
    </w:p>
  </w:footnote>
  <w:footnote w:id="76">
    <w:p w14:paraId="54439FCD"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3(a)-(e).</w:t>
      </w:r>
    </w:p>
  </w:footnote>
  <w:footnote w:id="77">
    <w:p w14:paraId="415652D7"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126.</w:t>
      </w:r>
    </w:p>
  </w:footnote>
  <w:footnote w:id="78">
    <w:p w14:paraId="27B4D401"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6(1) definition of "legal services".</w:t>
      </w:r>
    </w:p>
  </w:footnote>
  <w:footnote w:id="79">
    <w:p w14:paraId="5F35F24B"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6(1) definition of "legal costs".</w:t>
      </w:r>
    </w:p>
  </w:footnote>
  <w:footnote w:id="80">
    <w:p w14:paraId="339D0F79"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169(a) and (b).</w:t>
      </w:r>
    </w:p>
  </w:footnote>
  <w:footnote w:id="81">
    <w:p w14:paraId="2B6761D6"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172(1).</w:t>
      </w:r>
    </w:p>
  </w:footnote>
  <w:footnote w:id="82">
    <w:p w14:paraId="3821102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172(3).</w:t>
      </w:r>
    </w:p>
  </w:footnote>
  <w:footnote w:id="83">
    <w:p w14:paraId="677597F5"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179.</w:t>
      </w:r>
    </w:p>
  </w:footnote>
  <w:footnote w:id="84">
    <w:p w14:paraId="25539282"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180(2).</w:t>
      </w:r>
    </w:p>
  </w:footnote>
  <w:footnote w:id="85">
    <w:p w14:paraId="12284C69"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181(1).</w:t>
      </w:r>
    </w:p>
  </w:footnote>
  <w:footnote w:id="86">
    <w:p w14:paraId="2F08210D"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ss 181 and 182.</w:t>
      </w:r>
    </w:p>
  </w:footnote>
  <w:footnote w:id="87">
    <w:p w14:paraId="65E8BF72"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182(1).</w:t>
      </w:r>
    </w:p>
  </w:footnote>
  <w:footnote w:id="88">
    <w:p w14:paraId="2D055C72"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185(3).</w:t>
      </w:r>
    </w:p>
  </w:footnote>
  <w:footnote w:id="89">
    <w:p w14:paraId="41B847B2"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185(4).</w:t>
      </w:r>
    </w:p>
  </w:footnote>
  <w:footnote w:id="90">
    <w:p w14:paraId="55A3600A"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185(1).</w:t>
      </w:r>
    </w:p>
  </w:footnote>
  <w:footnote w:id="91">
    <w:p w14:paraId="77A83A71"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185(2).</w:t>
      </w:r>
    </w:p>
  </w:footnote>
  <w:footnote w:id="92">
    <w:p w14:paraId="0BD706F3"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172(3).</w:t>
      </w:r>
    </w:p>
  </w:footnote>
  <w:footnote w:id="93">
    <w:p w14:paraId="5332628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LPUL, s 182(4).</w:t>
      </w:r>
    </w:p>
  </w:footnote>
  <w:footnote w:id="94">
    <w:p w14:paraId="4EFAD57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Uniform Rules, Pt 2, r 1.1.</w:t>
      </w:r>
    </w:p>
  </w:footnote>
  <w:footnote w:id="95">
    <w:p w14:paraId="07DC432D"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Uniform Rules, Pt 2, r 2.2.</w:t>
      </w:r>
    </w:p>
  </w:footnote>
  <w:footnote w:id="96">
    <w:p w14:paraId="2809BC03"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Uniform Rules, Pt 2, r 2.3. See also rr 3 to 6 of Pt 2, prescribing the fundamental duties of solicitors, and r 12.2 of Pt 2, prohibiting a solicitor seeking any benefit in excess of fair and reasonable remuneration for legal services.</w:t>
      </w:r>
    </w:p>
  </w:footnote>
  <w:footnote w:id="97">
    <w:p w14:paraId="187E8E71"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Bogan </w:t>
      </w:r>
      <w:r w:rsidRPr="00DC0A30">
        <w:rPr>
          <w:rFonts w:ascii="Times New Roman" w:hAnsi="Times New Roman"/>
          <w:sz w:val="24"/>
        </w:rPr>
        <w:t xml:space="preserve">(2025) 99 ALJR 619 at 623 [1] fn 1, citing, relevantly, </w:t>
      </w:r>
      <w:r w:rsidRPr="00DC0A30">
        <w:rPr>
          <w:rFonts w:ascii="Times New Roman" w:hAnsi="Times New Roman"/>
          <w:i/>
          <w:sz w:val="24"/>
        </w:rPr>
        <w:t>Legal Profession Uniform Law</w:t>
      </w:r>
      <w:r w:rsidRPr="00DC0A30">
        <w:rPr>
          <w:rFonts w:ascii="Times New Roman" w:hAnsi="Times New Roman"/>
          <w:sz w:val="24"/>
        </w:rPr>
        <w:t xml:space="preserve"> (Vic), s 183; </w:t>
      </w:r>
      <w:r w:rsidRPr="00DC0A30">
        <w:rPr>
          <w:rFonts w:ascii="Times New Roman" w:hAnsi="Times New Roman"/>
          <w:i/>
          <w:iCs/>
          <w:sz w:val="24"/>
        </w:rPr>
        <w:t>Legal Practitioners Act 1981</w:t>
      </w:r>
      <w:r w:rsidRPr="00DC0A30">
        <w:rPr>
          <w:rFonts w:ascii="Times New Roman" w:hAnsi="Times New Roman"/>
          <w:sz w:val="24"/>
        </w:rPr>
        <w:t xml:space="preserve"> (SA), Sch 3, cl 27; </w:t>
      </w:r>
      <w:r w:rsidRPr="00DC0A30">
        <w:rPr>
          <w:rFonts w:ascii="Times New Roman" w:hAnsi="Times New Roman"/>
          <w:i/>
          <w:iCs/>
          <w:sz w:val="24"/>
        </w:rPr>
        <w:t>Legal Profession Act 2007</w:t>
      </w:r>
      <w:r w:rsidRPr="00DC0A30">
        <w:rPr>
          <w:rFonts w:ascii="Times New Roman" w:hAnsi="Times New Roman"/>
          <w:sz w:val="24"/>
        </w:rPr>
        <w:t xml:space="preserve"> (Qld), s 325; </w:t>
      </w:r>
      <w:r w:rsidRPr="00DC0A30">
        <w:rPr>
          <w:rFonts w:ascii="Times New Roman" w:hAnsi="Times New Roman"/>
          <w:i/>
          <w:iCs/>
          <w:sz w:val="24"/>
        </w:rPr>
        <w:t>Legal Profession Uniform Law</w:t>
      </w:r>
      <w:r w:rsidRPr="00DC0A30">
        <w:rPr>
          <w:rFonts w:ascii="Times New Roman" w:hAnsi="Times New Roman"/>
          <w:sz w:val="24"/>
        </w:rPr>
        <w:t xml:space="preserve"> (WA), s 183; </w:t>
      </w:r>
      <w:r w:rsidRPr="00DC0A30">
        <w:rPr>
          <w:rFonts w:ascii="Times New Roman" w:hAnsi="Times New Roman"/>
          <w:i/>
          <w:iCs/>
          <w:sz w:val="24"/>
        </w:rPr>
        <w:t>Legal Profession Act 2007</w:t>
      </w:r>
      <w:r w:rsidRPr="00DC0A30">
        <w:rPr>
          <w:rFonts w:ascii="Times New Roman" w:hAnsi="Times New Roman"/>
          <w:sz w:val="24"/>
        </w:rPr>
        <w:t xml:space="preserve"> (Tas), s 309; </w:t>
      </w:r>
      <w:r w:rsidRPr="00DC0A30">
        <w:rPr>
          <w:rFonts w:ascii="Times New Roman" w:hAnsi="Times New Roman"/>
          <w:i/>
          <w:iCs/>
          <w:sz w:val="24"/>
        </w:rPr>
        <w:t>Legal Profession Act 2006</w:t>
      </w:r>
      <w:r w:rsidRPr="00DC0A30">
        <w:rPr>
          <w:rFonts w:ascii="Times New Roman" w:hAnsi="Times New Roman"/>
          <w:sz w:val="24"/>
        </w:rPr>
        <w:t xml:space="preserve"> (NT), s 320; </w:t>
      </w:r>
      <w:r w:rsidRPr="00DC0A30">
        <w:rPr>
          <w:rFonts w:ascii="Times New Roman" w:hAnsi="Times New Roman"/>
          <w:i/>
          <w:iCs/>
          <w:sz w:val="24"/>
        </w:rPr>
        <w:t>Legal Profession Act 2006</w:t>
      </w:r>
      <w:r w:rsidRPr="00DC0A30">
        <w:rPr>
          <w:rFonts w:ascii="Times New Roman" w:hAnsi="Times New Roman"/>
          <w:sz w:val="24"/>
        </w:rPr>
        <w:t xml:space="preserve"> (ACT), s 285.</w:t>
      </w:r>
    </w:p>
  </w:footnote>
  <w:footnote w:id="98">
    <w:p w14:paraId="4A2B463D"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sz w:val="24"/>
        </w:rPr>
        <w:t xml:space="preserve">Supreme Court Act 1986 </w:t>
      </w:r>
      <w:r w:rsidRPr="00DC0A30">
        <w:rPr>
          <w:rFonts w:ascii="Times New Roman" w:hAnsi="Times New Roman"/>
          <w:iCs/>
          <w:sz w:val="24"/>
        </w:rPr>
        <w:t>(Vic)</w:t>
      </w:r>
      <w:r w:rsidRPr="00DC0A30">
        <w:rPr>
          <w:rFonts w:ascii="Times New Roman" w:hAnsi="Times New Roman"/>
          <w:sz w:val="24"/>
        </w:rPr>
        <w:t xml:space="preserve">, s 33ZDA. See </w:t>
      </w:r>
      <w:r w:rsidRPr="00DC0A30">
        <w:rPr>
          <w:rFonts w:ascii="Times New Roman" w:hAnsi="Times New Roman"/>
          <w:i/>
          <w:iCs/>
          <w:sz w:val="24"/>
        </w:rPr>
        <w:t xml:space="preserve">Bogan </w:t>
      </w:r>
      <w:r w:rsidRPr="00DC0A30">
        <w:rPr>
          <w:rFonts w:ascii="Times New Roman" w:hAnsi="Times New Roman"/>
          <w:sz w:val="24"/>
        </w:rPr>
        <w:t>(2025) 99 ALJR 619 at 623</w:t>
      </w:r>
      <w:r>
        <w:rPr>
          <w:rFonts w:ascii="Times New Roman" w:hAnsi="Times New Roman"/>
          <w:sz w:val="24"/>
        </w:rPr>
        <w:t> </w:t>
      </w:r>
      <w:r w:rsidRPr="00DC0A30">
        <w:rPr>
          <w:rFonts w:ascii="Times New Roman" w:hAnsi="Times New Roman"/>
          <w:sz w:val="24"/>
        </w:rPr>
        <w:t>[1].</w:t>
      </w:r>
    </w:p>
  </w:footnote>
  <w:footnote w:id="99">
    <w:p w14:paraId="79326D0C"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Bogan </w:t>
      </w:r>
      <w:r w:rsidRPr="00DC0A30">
        <w:rPr>
          <w:rFonts w:ascii="Times New Roman" w:hAnsi="Times New Roman"/>
          <w:sz w:val="24"/>
        </w:rPr>
        <w:t xml:space="preserve">(2025) 99 ALJR 619 at 623 [1]. </w:t>
      </w:r>
    </w:p>
  </w:footnote>
  <w:footnote w:id="100">
    <w:p w14:paraId="1E8E4BDD"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Australia, Parliamentary Joint Committee on Corporations and Financial Services, </w:t>
      </w:r>
      <w:r w:rsidRPr="00DC0A30">
        <w:rPr>
          <w:rFonts w:ascii="Times New Roman" w:hAnsi="Times New Roman"/>
          <w:i/>
          <w:sz w:val="24"/>
        </w:rPr>
        <w:t>Litigation funding and the regulation of the class action industry</w:t>
      </w:r>
      <w:r w:rsidRPr="00DC0A30">
        <w:rPr>
          <w:rFonts w:ascii="Times New Roman" w:hAnsi="Times New Roman"/>
          <w:sz w:val="24"/>
        </w:rPr>
        <w:t xml:space="preserve"> (2020).</w:t>
      </w:r>
    </w:p>
  </w:footnote>
  <w:footnote w:id="101">
    <w:p w14:paraId="5401235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Australia, Parliamentary Joint Committee on Corporations and Financial Services, </w:t>
      </w:r>
      <w:r w:rsidRPr="00DC0A30">
        <w:rPr>
          <w:rFonts w:ascii="Times New Roman" w:hAnsi="Times New Roman"/>
          <w:i/>
          <w:sz w:val="24"/>
        </w:rPr>
        <w:t>Litigation funding and the regulation of the class action industry</w:t>
      </w:r>
      <w:r w:rsidRPr="00DC0A30">
        <w:rPr>
          <w:rFonts w:ascii="Times New Roman" w:hAnsi="Times New Roman"/>
          <w:sz w:val="24"/>
        </w:rPr>
        <w:t xml:space="preserve"> (2020) at 248</w:t>
      </w:r>
      <w:r>
        <w:rPr>
          <w:rFonts w:ascii="Times New Roman" w:hAnsi="Times New Roman"/>
          <w:sz w:val="24"/>
        </w:rPr>
        <w:t> </w:t>
      </w:r>
      <w:r w:rsidRPr="00DC0A30">
        <w:rPr>
          <w:rFonts w:ascii="Times New Roman" w:hAnsi="Times New Roman"/>
          <w:sz w:val="24"/>
        </w:rPr>
        <w:t>[14.173]; see also 248</w:t>
      </w:r>
      <w:r w:rsidRPr="00DC0A30">
        <w:rPr>
          <w:rFonts w:ascii="Times New Roman" w:hAnsi="Times New Roman"/>
          <w:sz w:val="24"/>
        </w:rPr>
        <w:noBreakHyphen/>
        <w:t>251 [14.174]-[14.192].</w:t>
      </w:r>
    </w:p>
  </w:footnote>
  <w:footnote w:id="102">
    <w:p w14:paraId="4AB5BA70"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Australia, Parliamentary Joint Committee on Corporations and Financial Services, </w:t>
      </w:r>
      <w:r w:rsidRPr="00DC0A30">
        <w:rPr>
          <w:rFonts w:ascii="Times New Roman" w:hAnsi="Times New Roman"/>
          <w:i/>
          <w:sz w:val="24"/>
        </w:rPr>
        <w:t>Litigation funding and the regulation of the class action industry</w:t>
      </w:r>
      <w:r w:rsidRPr="00DC0A30">
        <w:rPr>
          <w:rFonts w:ascii="Times New Roman" w:hAnsi="Times New Roman"/>
          <w:sz w:val="24"/>
        </w:rPr>
        <w:t xml:space="preserve"> (2020) at xix. </w:t>
      </w:r>
    </w:p>
  </w:footnote>
  <w:footnote w:id="103">
    <w:p w14:paraId="38BE41DD"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Australia, Parliamentary Joint Committee on Corporations and Financial Services, </w:t>
      </w:r>
      <w:r w:rsidRPr="00DC0A30">
        <w:rPr>
          <w:rFonts w:ascii="Times New Roman" w:hAnsi="Times New Roman"/>
          <w:i/>
          <w:iCs/>
          <w:sz w:val="24"/>
        </w:rPr>
        <w:t>Litigation funding and the regulation of the class action industry</w:t>
      </w:r>
      <w:r w:rsidRPr="00DC0A30">
        <w:rPr>
          <w:rFonts w:ascii="Times New Roman" w:hAnsi="Times New Roman"/>
          <w:sz w:val="24"/>
        </w:rPr>
        <w:t xml:space="preserve"> (2020) at xxxi, 360</w:t>
      </w:r>
      <w:r>
        <w:rPr>
          <w:rFonts w:ascii="Times New Roman" w:hAnsi="Times New Roman"/>
          <w:sz w:val="24"/>
        </w:rPr>
        <w:t> </w:t>
      </w:r>
      <w:r w:rsidRPr="00DC0A30">
        <w:rPr>
          <w:rFonts w:ascii="Times New Roman" w:hAnsi="Times New Roman"/>
          <w:sz w:val="24"/>
        </w:rPr>
        <w:t>[18.37] (Recommendation 31).</w:t>
      </w:r>
    </w:p>
  </w:footnote>
  <w:footnote w:id="104">
    <w:p w14:paraId="75F199B1"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Campbells Cash and Carry Pty Ltd v Fostif Pty Ltd</w:t>
      </w:r>
      <w:r w:rsidRPr="00DC0A30">
        <w:rPr>
          <w:rFonts w:ascii="Times New Roman" w:hAnsi="Times New Roman"/>
          <w:sz w:val="24"/>
        </w:rPr>
        <w:t xml:space="preserve"> (2006) 229 CLR 386 at 425</w:t>
      </w:r>
      <w:r>
        <w:rPr>
          <w:rFonts w:ascii="Times New Roman" w:hAnsi="Times New Roman"/>
          <w:sz w:val="24"/>
        </w:rPr>
        <w:t> </w:t>
      </w:r>
      <w:r w:rsidRPr="00DC0A30">
        <w:rPr>
          <w:rFonts w:ascii="Times New Roman" w:hAnsi="Times New Roman"/>
          <w:sz w:val="24"/>
        </w:rPr>
        <w:t xml:space="preserve">[66], 433 [86]. See also </w:t>
      </w:r>
      <w:r w:rsidRPr="00DC0A30">
        <w:rPr>
          <w:rFonts w:ascii="Times New Roman" w:hAnsi="Times New Roman"/>
          <w:i/>
          <w:iCs/>
          <w:sz w:val="24"/>
        </w:rPr>
        <w:t xml:space="preserve">Wrongs Act 1958 </w:t>
      </w:r>
      <w:r w:rsidRPr="00DC0A30">
        <w:rPr>
          <w:rFonts w:ascii="Times New Roman" w:hAnsi="Times New Roman"/>
          <w:sz w:val="24"/>
        </w:rPr>
        <w:t xml:space="preserve">(Vic), s 32; </w:t>
      </w:r>
      <w:r w:rsidRPr="00DC0A30">
        <w:rPr>
          <w:rFonts w:ascii="Times New Roman" w:hAnsi="Times New Roman"/>
          <w:i/>
          <w:iCs/>
          <w:sz w:val="24"/>
        </w:rPr>
        <w:t>Criminal Law Consolidation Act 1935</w:t>
      </w:r>
      <w:r w:rsidRPr="00DC0A30">
        <w:rPr>
          <w:rFonts w:ascii="Times New Roman" w:hAnsi="Times New Roman"/>
          <w:sz w:val="24"/>
        </w:rPr>
        <w:t xml:space="preserve"> (SA), Sch 11, cll 1(3) and 3(2)(b)-(c); </w:t>
      </w:r>
      <w:r w:rsidRPr="00DC0A30">
        <w:rPr>
          <w:rFonts w:ascii="Times New Roman" w:hAnsi="Times New Roman"/>
          <w:i/>
          <w:sz w:val="24"/>
        </w:rPr>
        <w:t>Civil Procedure (Representative Proceedings) Act 2022</w:t>
      </w:r>
      <w:r w:rsidRPr="00DC0A30">
        <w:rPr>
          <w:rFonts w:ascii="Times New Roman" w:hAnsi="Times New Roman"/>
          <w:sz w:val="24"/>
        </w:rPr>
        <w:t xml:space="preserve"> (WA), s 36; </w:t>
      </w:r>
      <w:r w:rsidRPr="00DC0A30" w:rsidDel="00085577">
        <w:rPr>
          <w:rFonts w:ascii="Times New Roman" w:hAnsi="Times New Roman"/>
          <w:i/>
          <w:iCs/>
          <w:sz w:val="24"/>
        </w:rPr>
        <w:t xml:space="preserve">Civil </w:t>
      </w:r>
      <w:r w:rsidRPr="00DC0A30">
        <w:rPr>
          <w:rFonts w:ascii="Times New Roman" w:hAnsi="Times New Roman"/>
          <w:i/>
          <w:iCs/>
          <w:sz w:val="24"/>
        </w:rPr>
        <w:t>Liability Act 2002</w:t>
      </w:r>
      <w:r w:rsidRPr="00DC0A30">
        <w:rPr>
          <w:rFonts w:ascii="Times New Roman" w:hAnsi="Times New Roman"/>
          <w:sz w:val="24"/>
        </w:rPr>
        <w:t xml:space="preserve"> (Tas), s 28E(ba)-(bb); </w:t>
      </w:r>
      <w:r w:rsidRPr="00DC0A30">
        <w:rPr>
          <w:rFonts w:ascii="Times New Roman" w:hAnsi="Times New Roman"/>
          <w:i/>
          <w:iCs/>
          <w:sz w:val="24"/>
        </w:rPr>
        <w:t xml:space="preserve">Civil Law (Wrongs) Act 2002 </w:t>
      </w:r>
      <w:r w:rsidRPr="00DC0A30">
        <w:rPr>
          <w:rFonts w:ascii="Times New Roman" w:hAnsi="Times New Roman"/>
          <w:iCs/>
          <w:sz w:val="24"/>
        </w:rPr>
        <w:t>(ACT), s 221</w:t>
      </w:r>
      <w:r w:rsidRPr="00DC0A30">
        <w:rPr>
          <w:rFonts w:ascii="Times New Roman" w:hAnsi="Times New Roman"/>
          <w:sz w:val="24"/>
        </w:rPr>
        <w:t>.</w:t>
      </w:r>
    </w:p>
  </w:footnote>
  <w:footnote w:id="105">
    <w:p w14:paraId="50A2166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r>
      <w:r w:rsidRPr="00DC0A30">
        <w:rPr>
          <w:rFonts w:ascii="Times New Roman" w:hAnsi="Times New Roman"/>
          <w:i/>
          <w:iCs/>
          <w:sz w:val="24"/>
        </w:rPr>
        <w:t xml:space="preserve">Fostif </w:t>
      </w:r>
      <w:r w:rsidRPr="00DC0A30">
        <w:rPr>
          <w:rFonts w:ascii="Times New Roman" w:hAnsi="Times New Roman"/>
          <w:sz w:val="24"/>
        </w:rPr>
        <w:t xml:space="preserve">(2006) 229 CLR 386 at 425 [66], 433 [86]. See fn </w:t>
      </w:r>
      <w:r>
        <w:rPr>
          <w:rFonts w:ascii="Times New Roman" w:hAnsi="Times New Roman"/>
          <w:sz w:val="24"/>
        </w:rPr>
        <w:t>103</w:t>
      </w:r>
      <w:r w:rsidRPr="00DC0A30">
        <w:rPr>
          <w:rFonts w:ascii="Times New Roman" w:hAnsi="Times New Roman"/>
          <w:sz w:val="24"/>
        </w:rPr>
        <w:t xml:space="preserve"> above but cf </w:t>
      </w:r>
      <w:r w:rsidRPr="00DC0A30">
        <w:rPr>
          <w:rFonts w:ascii="Times New Roman" w:hAnsi="Times New Roman"/>
          <w:i/>
          <w:iCs/>
          <w:sz w:val="24"/>
        </w:rPr>
        <w:t>Civil Liability Act 2002</w:t>
      </w:r>
      <w:r w:rsidRPr="00DC0A30">
        <w:rPr>
          <w:rFonts w:ascii="Times New Roman" w:hAnsi="Times New Roman"/>
          <w:sz w:val="24"/>
        </w:rPr>
        <w:t xml:space="preserve"> (Tas), s 28E;</w:t>
      </w:r>
      <w:r w:rsidRPr="00DC0A30">
        <w:rPr>
          <w:rFonts w:ascii="Times New Roman" w:hAnsi="Times New Roman"/>
          <w:i/>
          <w:iCs/>
          <w:sz w:val="24"/>
        </w:rPr>
        <w:t xml:space="preserve"> Civil Law (Wrongs) Act 200</w:t>
      </w:r>
      <w:r w:rsidRPr="00DC0A30" w:rsidDel="00C936AF">
        <w:rPr>
          <w:rFonts w:ascii="Times New Roman" w:hAnsi="Times New Roman"/>
          <w:i/>
          <w:iCs/>
          <w:sz w:val="24"/>
        </w:rPr>
        <w:t>2</w:t>
      </w:r>
      <w:r w:rsidRPr="00DC0A30">
        <w:rPr>
          <w:rFonts w:ascii="Times New Roman" w:hAnsi="Times New Roman"/>
          <w:i/>
          <w:iCs/>
          <w:sz w:val="24"/>
        </w:rPr>
        <w:t xml:space="preserve"> </w:t>
      </w:r>
      <w:r w:rsidRPr="00DC0A30">
        <w:rPr>
          <w:rFonts w:ascii="Times New Roman" w:hAnsi="Times New Roman"/>
          <w:iCs/>
          <w:sz w:val="24"/>
        </w:rPr>
        <w:t>(ACT), s 221</w:t>
      </w:r>
      <w:r w:rsidRPr="00DC0A30">
        <w:rPr>
          <w:rFonts w:ascii="Times New Roman" w:hAnsi="Times New Roman"/>
          <w:sz w:val="24"/>
        </w:rPr>
        <w:t xml:space="preserve">. </w:t>
      </w:r>
    </w:p>
  </w:footnote>
  <w:footnote w:id="106">
    <w:p w14:paraId="75427E67"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(2006) 229 CLR 386 at 433 [86].</w:t>
      </w:r>
    </w:p>
  </w:footnote>
  <w:footnote w:id="107">
    <w:p w14:paraId="12F82178"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Sections 4 and 6 of the Abolition Act were re</w:t>
      </w:r>
      <w:r w:rsidRPr="00DC0A30">
        <w:rPr>
          <w:rFonts w:ascii="Times New Roman" w:hAnsi="Times New Roman"/>
          <w:sz w:val="24"/>
        </w:rPr>
        <w:noBreakHyphen/>
        <w:t xml:space="preserve">enacted with minor modifications by cl 2 of Sch 2 to the </w:t>
      </w:r>
      <w:r w:rsidRPr="00DC0A30">
        <w:rPr>
          <w:rFonts w:ascii="Times New Roman" w:hAnsi="Times New Roman"/>
          <w:i/>
          <w:iCs/>
          <w:sz w:val="24"/>
        </w:rPr>
        <w:t xml:space="preserve">Civil Liability Act 2002 </w:t>
      </w:r>
      <w:r w:rsidRPr="00DC0A30">
        <w:rPr>
          <w:rFonts w:ascii="Times New Roman" w:hAnsi="Times New Roman"/>
          <w:sz w:val="24"/>
        </w:rPr>
        <w:t>(NSW).</w:t>
      </w:r>
    </w:p>
  </w:footnote>
  <w:footnote w:id="108">
    <w:p w14:paraId="5428A95F"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 xml:space="preserve">See </w:t>
      </w:r>
      <w:r w:rsidRPr="00DC0A30">
        <w:rPr>
          <w:rFonts w:ascii="Times New Roman" w:hAnsi="Times New Roman"/>
          <w:i/>
          <w:iCs/>
          <w:sz w:val="24"/>
        </w:rPr>
        <w:t xml:space="preserve">Fostif </w:t>
      </w:r>
      <w:r w:rsidRPr="00DC0A30">
        <w:rPr>
          <w:rFonts w:ascii="Times New Roman" w:hAnsi="Times New Roman"/>
          <w:sz w:val="24"/>
        </w:rPr>
        <w:t>(2006) 229 CLR 386 at 425 [67].</w:t>
      </w:r>
    </w:p>
  </w:footnote>
  <w:footnote w:id="109">
    <w:p w14:paraId="36F684DE"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(1960) 104 CLR 186 at 203.</w:t>
      </w:r>
    </w:p>
  </w:footnote>
  <w:footnote w:id="110">
    <w:p w14:paraId="2A540CF2"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See [</w:t>
      </w:r>
      <w:r>
        <w:rPr>
          <w:rFonts w:ascii="Times New Roman" w:hAnsi="Times New Roman"/>
          <w:sz w:val="24"/>
        </w:rPr>
        <w:t>42</w:t>
      </w:r>
      <w:r w:rsidRPr="00DC0A30">
        <w:rPr>
          <w:rFonts w:ascii="Times New Roman" w:hAnsi="Times New Roman"/>
          <w:sz w:val="24"/>
        </w:rPr>
        <w:t>] above.</w:t>
      </w:r>
    </w:p>
  </w:footnote>
  <w:footnote w:id="111">
    <w:p w14:paraId="758160A6"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See [</w:t>
      </w:r>
      <w:r>
        <w:rPr>
          <w:rFonts w:ascii="Times New Roman" w:hAnsi="Times New Roman"/>
          <w:sz w:val="24"/>
        </w:rPr>
        <w:t>43</w:t>
      </w:r>
      <w:r w:rsidRPr="00DC0A30">
        <w:rPr>
          <w:rFonts w:ascii="Times New Roman" w:hAnsi="Times New Roman"/>
          <w:sz w:val="24"/>
        </w:rPr>
        <w:t>] above.</w:t>
      </w:r>
    </w:p>
  </w:footnote>
  <w:footnote w:id="112">
    <w:p w14:paraId="7F65BE1B"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See [</w:t>
      </w:r>
      <w:r>
        <w:rPr>
          <w:rFonts w:ascii="Times New Roman" w:hAnsi="Times New Roman"/>
          <w:sz w:val="24"/>
        </w:rPr>
        <w:t>84</w:t>
      </w:r>
      <w:r w:rsidRPr="00DC0A30">
        <w:rPr>
          <w:rFonts w:ascii="Times New Roman" w:hAnsi="Times New Roman"/>
          <w:sz w:val="24"/>
        </w:rPr>
        <w:t>]-[</w:t>
      </w:r>
      <w:r>
        <w:rPr>
          <w:rFonts w:ascii="Times New Roman" w:hAnsi="Times New Roman"/>
          <w:sz w:val="24"/>
        </w:rPr>
        <w:t>85</w:t>
      </w:r>
      <w:r w:rsidRPr="00DC0A30">
        <w:rPr>
          <w:rFonts w:ascii="Times New Roman" w:hAnsi="Times New Roman"/>
          <w:sz w:val="24"/>
        </w:rPr>
        <w:t>] above.</w:t>
      </w:r>
    </w:p>
  </w:footnote>
  <w:footnote w:id="113">
    <w:p w14:paraId="7D3B111C"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See [</w:t>
      </w:r>
      <w:r>
        <w:rPr>
          <w:rFonts w:ascii="Times New Roman" w:hAnsi="Times New Roman"/>
          <w:sz w:val="24"/>
        </w:rPr>
        <w:t>85</w:t>
      </w:r>
      <w:r w:rsidRPr="00DC0A30">
        <w:rPr>
          <w:rFonts w:ascii="Times New Roman" w:hAnsi="Times New Roman"/>
          <w:sz w:val="24"/>
        </w:rPr>
        <w:t>] and [</w:t>
      </w:r>
      <w:r>
        <w:rPr>
          <w:rFonts w:ascii="Times New Roman" w:hAnsi="Times New Roman"/>
          <w:sz w:val="24"/>
        </w:rPr>
        <w:t>90</w:t>
      </w:r>
      <w:r w:rsidRPr="00DC0A30">
        <w:rPr>
          <w:rFonts w:ascii="Times New Roman" w:hAnsi="Times New Roman"/>
          <w:sz w:val="24"/>
        </w:rPr>
        <w:t>] above.</w:t>
      </w:r>
    </w:p>
  </w:footnote>
  <w:footnote w:id="114">
    <w:p w14:paraId="5E0C5063" w14:textId="77777777" w:rsidR="006F5E1E" w:rsidRPr="00DC0A30" w:rsidRDefault="006F5E1E" w:rsidP="00DC0A30">
      <w:pPr>
        <w:pStyle w:val="FootnoteText"/>
        <w:spacing w:line="280" w:lineRule="exact"/>
        <w:ind w:right="0"/>
        <w:jc w:val="both"/>
        <w:rPr>
          <w:rFonts w:ascii="Times New Roman" w:hAnsi="Times New Roman"/>
          <w:sz w:val="24"/>
        </w:rPr>
      </w:pPr>
      <w:r w:rsidRPr="00DC0A30">
        <w:rPr>
          <w:rStyle w:val="FootnoteReference"/>
          <w:rFonts w:ascii="Times New Roman" w:hAnsi="Times New Roman"/>
          <w:sz w:val="22"/>
          <w:vertAlign w:val="baseline"/>
        </w:rPr>
        <w:footnoteRef/>
      </w:r>
      <w:r w:rsidRPr="00DC0A30">
        <w:rPr>
          <w:rFonts w:ascii="Times New Roman" w:hAnsi="Times New Roman"/>
          <w:sz w:val="24"/>
        </w:rPr>
        <w:t xml:space="preserve"> </w:t>
      </w:r>
      <w:r w:rsidRPr="00DC0A30">
        <w:rPr>
          <w:rFonts w:ascii="Times New Roman" w:hAnsi="Times New Roman"/>
          <w:sz w:val="24"/>
        </w:rPr>
        <w:tab/>
        <w:t>See [</w:t>
      </w:r>
      <w:r>
        <w:rPr>
          <w:rFonts w:ascii="Times New Roman" w:hAnsi="Times New Roman"/>
          <w:sz w:val="24"/>
        </w:rPr>
        <w:t>91</w:t>
      </w:r>
      <w:r w:rsidRPr="00DC0A30">
        <w:rPr>
          <w:rFonts w:ascii="Times New Roman" w:hAnsi="Times New Roman"/>
          <w:sz w:val="24"/>
        </w:rPr>
        <w:t>] above.</w:t>
      </w:r>
    </w:p>
  </w:footnote>
  <w:footnote w:id="115">
    <w:p w14:paraId="6A5A3520"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Campbells Cash and Carry Pty Ltd v Fostif Pty Ltd </w:t>
      </w:r>
      <w:r w:rsidRPr="00F6514C">
        <w:rPr>
          <w:rFonts w:ascii="Times New Roman" w:hAnsi="Times New Roman"/>
          <w:sz w:val="24"/>
        </w:rPr>
        <w:t xml:space="preserve">(2006) 229 CLR 386. </w:t>
      </w:r>
    </w:p>
  </w:footnote>
  <w:footnote w:id="116">
    <w:p w14:paraId="21B4E9EA"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Westpac Banking Corporation v Lenthall</w:t>
      </w:r>
      <w:r w:rsidRPr="00F6514C">
        <w:rPr>
          <w:rFonts w:ascii="Times New Roman" w:hAnsi="Times New Roman"/>
          <w:sz w:val="24"/>
        </w:rPr>
        <w:t xml:space="preserve"> (2019) 265 FCR 21 at 30-32 [20]-[28]; </w:t>
      </w:r>
      <w:r w:rsidRPr="00F6514C">
        <w:rPr>
          <w:rFonts w:ascii="Times New Roman" w:hAnsi="Times New Roman"/>
          <w:i/>
          <w:iCs/>
          <w:sz w:val="24"/>
        </w:rPr>
        <w:t xml:space="preserve">BMW Australia Ltd v Brewster </w:t>
      </w:r>
      <w:r w:rsidRPr="00F6514C">
        <w:rPr>
          <w:rFonts w:ascii="Times New Roman" w:hAnsi="Times New Roman"/>
          <w:sz w:val="24"/>
        </w:rPr>
        <w:t xml:space="preserve">(2019) 269 CLR 574 at 640 [179]. </w:t>
      </w:r>
    </w:p>
  </w:footnote>
  <w:footnote w:id="117">
    <w:p w14:paraId="347E6EF4"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Asirifi-Otchere v Swann Insurance (Aust) Pty Ltd</w:t>
      </w:r>
      <w:r w:rsidRPr="00F6514C">
        <w:rPr>
          <w:rFonts w:ascii="Times New Roman" w:hAnsi="Times New Roman"/>
          <w:sz w:val="24"/>
        </w:rPr>
        <w:t xml:space="preserve"> (2019) 139 ACSR 171 at 174 [15], 175-176 [22].</w:t>
      </w:r>
    </w:p>
  </w:footnote>
  <w:footnote w:id="118">
    <w:p w14:paraId="71736246"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Caason Investments Pty Ltd v Cao [No 2]</w:t>
      </w:r>
      <w:r w:rsidRPr="00F6514C">
        <w:rPr>
          <w:rFonts w:ascii="Times New Roman" w:hAnsi="Times New Roman"/>
          <w:sz w:val="24"/>
        </w:rPr>
        <w:t xml:space="preserve"> [2018] FCA 527, Order 12; </w:t>
      </w:r>
      <w:r w:rsidRPr="00F6514C">
        <w:rPr>
          <w:rFonts w:ascii="Times New Roman" w:hAnsi="Times New Roman"/>
          <w:i/>
          <w:iCs/>
          <w:sz w:val="24"/>
        </w:rPr>
        <w:t xml:space="preserve">Uren v RMBL Investments Ltd [No 2] </w:t>
      </w:r>
      <w:r w:rsidRPr="00F6514C">
        <w:rPr>
          <w:rFonts w:ascii="Times New Roman" w:hAnsi="Times New Roman"/>
          <w:sz w:val="24"/>
        </w:rPr>
        <w:t xml:space="preserve">[2020] FCA 647, Order 8(a)(ii). </w:t>
      </w:r>
    </w:p>
  </w:footnote>
  <w:footnote w:id="119">
    <w:p w14:paraId="728E1D40"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Justice Legislation Miscellaneous Amendments Act 2020 </w:t>
      </w:r>
      <w:r w:rsidRPr="00F6514C">
        <w:rPr>
          <w:rFonts w:ascii="Times New Roman" w:hAnsi="Times New Roman"/>
          <w:sz w:val="24"/>
        </w:rPr>
        <w:t>(Vic), ss 4, 5.</w:t>
      </w:r>
    </w:p>
  </w:footnote>
  <w:footnote w:id="120">
    <w:p w14:paraId="510509F9"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Supreme Court Act 1986 </w:t>
      </w:r>
      <w:r w:rsidRPr="00F6514C">
        <w:rPr>
          <w:rFonts w:ascii="Times New Roman" w:hAnsi="Times New Roman"/>
          <w:sz w:val="24"/>
        </w:rPr>
        <w:t>(Vic), s 33ZDA(1).</w:t>
      </w:r>
    </w:p>
  </w:footnote>
  <w:footnote w:id="121">
    <w:p w14:paraId="495C7AAF"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R&amp;B Investments Pty Ltd v Blue Sky Alternative Investments Ltd (In liq)</w:t>
      </w:r>
      <w:r w:rsidRPr="00F6514C">
        <w:rPr>
          <w:rFonts w:ascii="Times New Roman" w:hAnsi="Times New Roman"/>
          <w:sz w:val="24"/>
        </w:rPr>
        <w:t xml:space="preserve"> (2024) 304 FCR 395.</w:t>
      </w:r>
    </w:p>
  </w:footnote>
  <w:footnote w:id="122">
    <w:p w14:paraId="7BDB749F"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(2019) 269 CLR 574. </w:t>
      </w:r>
    </w:p>
  </w:footnote>
  <w:footnote w:id="123">
    <w:p w14:paraId="2D15EAEE"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Brewster</w:t>
      </w:r>
      <w:r w:rsidRPr="00F6514C">
        <w:rPr>
          <w:rFonts w:ascii="Times New Roman" w:hAnsi="Times New Roman"/>
          <w:sz w:val="24"/>
        </w:rPr>
        <w:t xml:space="preserve"> (2019) 269 CLR 574 at 589 [3], 624 [124]-[125], 625 [128], 631 [145]-[146], 638 [170]. See also at 628 [135], 632 [149].</w:t>
      </w:r>
    </w:p>
  </w:footnote>
  <w:footnote w:id="124">
    <w:p w14:paraId="3CE266FB"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Brewster </w:t>
      </w:r>
      <w:r w:rsidRPr="00F6514C">
        <w:rPr>
          <w:rFonts w:ascii="Times New Roman" w:hAnsi="Times New Roman"/>
          <w:sz w:val="24"/>
        </w:rPr>
        <w:t>(2019) 269 CLR 574 at 589 [3] (emphasis in original).</w:t>
      </w:r>
    </w:p>
  </w:footnote>
  <w:footnote w:id="125">
    <w:p w14:paraId="54957FB4"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See </w:t>
      </w:r>
      <w:r w:rsidRPr="00F6514C">
        <w:rPr>
          <w:rFonts w:ascii="Times New Roman" w:hAnsi="Times New Roman"/>
          <w:i/>
          <w:iCs/>
          <w:sz w:val="24"/>
        </w:rPr>
        <w:t xml:space="preserve">Federal Court of Australia Act 1976 </w:t>
      </w:r>
      <w:r w:rsidRPr="00F6514C">
        <w:rPr>
          <w:rFonts w:ascii="Times New Roman" w:hAnsi="Times New Roman"/>
          <w:sz w:val="24"/>
        </w:rPr>
        <w:t>(Cth), s 33ZF(1).</w:t>
      </w:r>
    </w:p>
  </w:footnote>
  <w:footnote w:id="126">
    <w:p w14:paraId="0650F20A"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Brewster </w:t>
      </w:r>
      <w:r w:rsidRPr="00F6514C">
        <w:rPr>
          <w:rFonts w:ascii="Times New Roman" w:hAnsi="Times New Roman"/>
          <w:sz w:val="24"/>
        </w:rPr>
        <w:t>(2019) 269 CLR 574 at 613 [88]-[90].</w:t>
      </w:r>
    </w:p>
  </w:footnote>
  <w:footnote w:id="127">
    <w:p w14:paraId="6A620E58"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Brewster </w:t>
      </w:r>
      <w:r w:rsidRPr="00F6514C">
        <w:rPr>
          <w:rFonts w:ascii="Times New Roman" w:hAnsi="Times New Roman"/>
          <w:sz w:val="24"/>
        </w:rPr>
        <w:t>(2019) 269 CLR 574 at 606 [70].</w:t>
      </w:r>
    </w:p>
  </w:footnote>
  <w:footnote w:id="128">
    <w:p w14:paraId="4ECD4652"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Brewster</w:t>
      </w:r>
      <w:r w:rsidRPr="00F6514C">
        <w:rPr>
          <w:rFonts w:ascii="Times New Roman" w:hAnsi="Times New Roman"/>
          <w:sz w:val="24"/>
        </w:rPr>
        <w:t xml:space="preserve"> (2019) 269 CLR 574 at 600 [50].</w:t>
      </w:r>
    </w:p>
  </w:footnote>
  <w:footnote w:id="129">
    <w:p w14:paraId="340F9766"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Brewster</w:t>
      </w:r>
      <w:r w:rsidRPr="00F6514C">
        <w:rPr>
          <w:rFonts w:ascii="Times New Roman" w:hAnsi="Times New Roman"/>
          <w:sz w:val="24"/>
        </w:rPr>
        <w:t xml:space="preserve"> (2019) 269 CLR 574 at 612 [87], 613 [90].</w:t>
      </w:r>
      <w:r w:rsidRPr="00F6514C">
        <w:rPr>
          <w:rFonts w:ascii="Times New Roman" w:hAnsi="Times New Roman"/>
          <w:sz w:val="24"/>
        </w:rPr>
        <w:tab/>
      </w:r>
    </w:p>
  </w:footnote>
  <w:footnote w:id="130">
    <w:p w14:paraId="552FF533"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Brewster</w:t>
      </w:r>
      <w:r w:rsidRPr="00F6514C">
        <w:rPr>
          <w:rFonts w:ascii="Times New Roman" w:hAnsi="Times New Roman"/>
          <w:sz w:val="24"/>
        </w:rPr>
        <w:t xml:space="preserve"> (2019) 269 CLR 574 at 613 [90]. But compare 602 [54].</w:t>
      </w:r>
    </w:p>
  </w:footnote>
  <w:footnote w:id="131">
    <w:p w14:paraId="2BDE9ADE"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Brewster</w:t>
      </w:r>
      <w:r w:rsidRPr="00F6514C">
        <w:rPr>
          <w:rFonts w:ascii="Times New Roman" w:hAnsi="Times New Roman"/>
          <w:sz w:val="24"/>
        </w:rPr>
        <w:t xml:space="preserve"> (2019) 269 CLR 574 at 624 [124]. See also at 624 [125], 625 [128].</w:t>
      </w:r>
    </w:p>
  </w:footnote>
  <w:footnote w:id="132">
    <w:p w14:paraId="15E7FB5C"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Brewster</w:t>
      </w:r>
      <w:r w:rsidRPr="00F6514C">
        <w:rPr>
          <w:rFonts w:ascii="Times New Roman" w:hAnsi="Times New Roman"/>
          <w:sz w:val="24"/>
        </w:rPr>
        <w:t xml:space="preserve"> (2019) 269 CLR 574 at 628 [135], 632 [149]. See also at 630 [141], 631 [145]-[146], 638 [170]. </w:t>
      </w:r>
    </w:p>
  </w:footnote>
  <w:footnote w:id="133">
    <w:p w14:paraId="7FA2C18C"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See </w:t>
      </w:r>
      <w:r w:rsidRPr="00F6514C">
        <w:rPr>
          <w:rFonts w:ascii="Times New Roman" w:hAnsi="Times New Roman"/>
          <w:i/>
          <w:iCs/>
          <w:sz w:val="24"/>
        </w:rPr>
        <w:t xml:space="preserve">Brewster </w:t>
      </w:r>
      <w:r w:rsidRPr="00F6514C">
        <w:rPr>
          <w:rFonts w:ascii="Times New Roman" w:hAnsi="Times New Roman"/>
          <w:sz w:val="24"/>
        </w:rPr>
        <w:t>(2019) 269 CLR 574 at 612-613 [85]-[90].</w:t>
      </w:r>
    </w:p>
  </w:footnote>
  <w:footnote w:id="134">
    <w:p w14:paraId="21E822DB"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Simons v ANZ Bank New Zealand Ltd </w:t>
      </w:r>
      <w:r w:rsidRPr="00F6514C">
        <w:rPr>
          <w:rFonts w:ascii="Times New Roman" w:hAnsi="Times New Roman"/>
          <w:sz w:val="24"/>
        </w:rPr>
        <w:t>[2024] 3 NZLR 485 at 518 [133]-[134]. See also at 514 [112]-[114].</w:t>
      </w:r>
    </w:p>
  </w:footnote>
  <w:footnote w:id="135">
    <w:p w14:paraId="618DDCEF"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Elliott-Carde v McDonald's Australia Ltd </w:t>
      </w:r>
      <w:r w:rsidRPr="00F6514C">
        <w:rPr>
          <w:rFonts w:ascii="Times New Roman" w:hAnsi="Times New Roman"/>
          <w:sz w:val="24"/>
        </w:rPr>
        <w:t>(2023) 301 FCR 1 at 25</w:t>
      </w:r>
      <w:r w:rsidRPr="00F6514C">
        <w:rPr>
          <w:rFonts w:ascii="Times New Roman" w:hAnsi="Times New Roman"/>
          <w:i/>
          <w:iCs/>
          <w:sz w:val="24"/>
        </w:rPr>
        <w:t xml:space="preserve"> </w:t>
      </w:r>
      <w:r w:rsidRPr="00F6514C">
        <w:rPr>
          <w:rFonts w:ascii="Times New Roman" w:hAnsi="Times New Roman"/>
          <w:sz w:val="24"/>
        </w:rPr>
        <w:t>[128].</w:t>
      </w:r>
    </w:p>
  </w:footnote>
  <w:footnote w:id="136">
    <w:p w14:paraId="1A61B191"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Elliott-Carde v McDonald's Australia Ltd </w:t>
      </w:r>
      <w:r w:rsidRPr="00F6514C">
        <w:rPr>
          <w:rFonts w:ascii="Times New Roman" w:hAnsi="Times New Roman"/>
          <w:sz w:val="24"/>
        </w:rPr>
        <w:t>(2023) 301 FCR 1 at 25</w:t>
      </w:r>
      <w:r w:rsidRPr="00F6514C">
        <w:rPr>
          <w:rFonts w:ascii="Times New Roman" w:hAnsi="Times New Roman"/>
          <w:i/>
          <w:iCs/>
          <w:sz w:val="24"/>
        </w:rPr>
        <w:t xml:space="preserve"> </w:t>
      </w:r>
      <w:r w:rsidRPr="00F6514C">
        <w:rPr>
          <w:rFonts w:ascii="Times New Roman" w:hAnsi="Times New Roman"/>
          <w:sz w:val="24"/>
        </w:rPr>
        <w:t>[128].</w:t>
      </w:r>
    </w:p>
  </w:footnote>
  <w:footnote w:id="137">
    <w:p w14:paraId="30E5BB01"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(2019) 269 CLR 574 at 606 [70]. </w:t>
      </w:r>
    </w:p>
  </w:footnote>
  <w:footnote w:id="138">
    <w:p w14:paraId="7843D918"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(2019) 269 CLR 574 at 641 [181], quoting </w:t>
      </w:r>
      <w:r w:rsidRPr="00F6514C">
        <w:rPr>
          <w:rFonts w:ascii="Times New Roman" w:hAnsi="Times New Roman"/>
          <w:i/>
          <w:iCs/>
          <w:sz w:val="24"/>
        </w:rPr>
        <w:t>Wong v Silkfield Pty Ltd</w:t>
      </w:r>
      <w:r w:rsidRPr="00F6514C">
        <w:rPr>
          <w:rFonts w:ascii="Times New Roman" w:hAnsi="Times New Roman"/>
          <w:sz w:val="24"/>
        </w:rPr>
        <w:t xml:space="preserve"> (1999) 199 CLR 255 at 260-261 [11]. </w:t>
      </w:r>
    </w:p>
  </w:footnote>
  <w:footnote w:id="139">
    <w:p w14:paraId="5DEC75B6"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R v Watson; Ex parte Armstrong </w:t>
      </w:r>
      <w:r w:rsidRPr="00F6514C">
        <w:rPr>
          <w:rFonts w:ascii="Times New Roman" w:hAnsi="Times New Roman"/>
          <w:sz w:val="24"/>
        </w:rPr>
        <w:t xml:space="preserve">(1976) 136 CLR 248 at 257-258. </w:t>
      </w:r>
    </w:p>
  </w:footnote>
  <w:footnote w:id="140">
    <w:p w14:paraId="536CBB08"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(2019) 269 CLR 574 at 589 [3]. </w:t>
      </w:r>
    </w:p>
  </w:footnote>
  <w:footnote w:id="141">
    <w:p w14:paraId="0D4FFBAC"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(2019) 269 CLR 574 at 641-644 [181]-[188].</w:t>
      </w:r>
    </w:p>
  </w:footnote>
  <w:footnote w:id="142">
    <w:p w14:paraId="5076C030"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See, eg, </w:t>
      </w:r>
      <w:r w:rsidRPr="00F6514C">
        <w:rPr>
          <w:rFonts w:ascii="Times New Roman" w:hAnsi="Times New Roman"/>
          <w:i/>
          <w:iCs/>
          <w:sz w:val="24"/>
        </w:rPr>
        <w:t xml:space="preserve">Brewster </w:t>
      </w:r>
      <w:r w:rsidRPr="00F6514C">
        <w:rPr>
          <w:rFonts w:ascii="Times New Roman" w:hAnsi="Times New Roman"/>
          <w:sz w:val="24"/>
        </w:rPr>
        <w:t>(2019) 269 CLR 574 at 589 [3].</w:t>
      </w:r>
    </w:p>
  </w:footnote>
  <w:footnote w:id="143">
    <w:p w14:paraId="76B7CEF2"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Brewster </w:t>
      </w:r>
      <w:r w:rsidRPr="00F6514C">
        <w:rPr>
          <w:rFonts w:ascii="Times New Roman" w:hAnsi="Times New Roman"/>
          <w:sz w:val="24"/>
        </w:rPr>
        <w:t>(2019) 269 CLR 574 at 655-658 [213]-[222].</w:t>
      </w:r>
    </w:p>
  </w:footnote>
  <w:footnote w:id="144">
    <w:p w14:paraId="048B0E22"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See </w:t>
      </w:r>
      <w:r w:rsidRPr="00F6514C">
        <w:rPr>
          <w:rFonts w:ascii="Times New Roman" w:hAnsi="Times New Roman"/>
          <w:i/>
          <w:iCs/>
          <w:sz w:val="24"/>
        </w:rPr>
        <w:t xml:space="preserve">Brewster </w:t>
      </w:r>
      <w:r w:rsidRPr="00F6514C">
        <w:rPr>
          <w:rFonts w:ascii="Times New Roman" w:hAnsi="Times New Roman"/>
          <w:sz w:val="24"/>
        </w:rPr>
        <w:t xml:space="preserve">(2019) 269 CLR 574 at 652 [207]. </w:t>
      </w:r>
    </w:p>
  </w:footnote>
  <w:footnote w:id="145">
    <w:p w14:paraId="65A9D756"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Australia, Senate,</w:t>
      </w:r>
      <w:r w:rsidRPr="00F6514C">
        <w:rPr>
          <w:rFonts w:ascii="Times New Roman" w:hAnsi="Times New Roman"/>
          <w:i/>
          <w:iCs/>
          <w:sz w:val="24"/>
        </w:rPr>
        <w:t xml:space="preserve"> Federal Court of Australia Amendment Bill 1991</w:t>
      </w:r>
      <w:r w:rsidRPr="00F6514C">
        <w:rPr>
          <w:rFonts w:ascii="Times New Roman" w:hAnsi="Times New Roman"/>
          <w:sz w:val="24"/>
        </w:rPr>
        <w:t>, Explanatory Memorandum at 2 [3].</w:t>
      </w:r>
    </w:p>
  </w:footnote>
  <w:footnote w:id="146">
    <w:p w14:paraId="3FB6E5CB"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Australia, Senate, </w:t>
      </w:r>
      <w:r w:rsidRPr="00F6514C">
        <w:rPr>
          <w:rFonts w:ascii="Times New Roman" w:hAnsi="Times New Roman"/>
          <w:i/>
          <w:iCs/>
          <w:sz w:val="24"/>
        </w:rPr>
        <w:t>Federal Court of Australia Amendment Bill 1991</w:t>
      </w:r>
      <w:r w:rsidRPr="00F6514C">
        <w:rPr>
          <w:rFonts w:ascii="Times New Roman" w:hAnsi="Times New Roman"/>
          <w:sz w:val="24"/>
        </w:rPr>
        <w:t>, Explanatory Memorandum at 2 [3].</w:t>
      </w:r>
    </w:p>
  </w:footnote>
  <w:footnote w:id="147">
    <w:p w14:paraId="669A77A2"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Brewster </w:t>
      </w:r>
      <w:r w:rsidRPr="00F6514C">
        <w:rPr>
          <w:rFonts w:ascii="Times New Roman" w:hAnsi="Times New Roman"/>
          <w:sz w:val="24"/>
        </w:rPr>
        <w:t xml:space="preserve">(2019) 269 CLR 574 at 642 [183], citing </w:t>
      </w:r>
      <w:r w:rsidRPr="00F6514C">
        <w:rPr>
          <w:rFonts w:ascii="Times New Roman" w:hAnsi="Times New Roman"/>
          <w:i/>
          <w:iCs/>
          <w:sz w:val="24"/>
        </w:rPr>
        <w:t xml:space="preserve">National Bolivian Navigation Co v Wilson </w:t>
      </w:r>
      <w:r w:rsidRPr="00F6514C">
        <w:rPr>
          <w:rFonts w:ascii="Times New Roman" w:hAnsi="Times New Roman"/>
          <w:sz w:val="24"/>
        </w:rPr>
        <w:t>(1880) 5 App Cas 176 at 211-212.</w:t>
      </w:r>
    </w:p>
  </w:footnote>
  <w:footnote w:id="148">
    <w:p w14:paraId="4EEC685A"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Morgan and Wurtzburg, </w:t>
      </w:r>
      <w:r w:rsidRPr="00F6514C">
        <w:rPr>
          <w:rFonts w:ascii="Times New Roman" w:hAnsi="Times New Roman"/>
          <w:i/>
          <w:iCs/>
          <w:sz w:val="24"/>
        </w:rPr>
        <w:t>A Treatise on the Law of Costs in the Chancery Division of the High Court of Justice</w:t>
      </w:r>
      <w:r w:rsidRPr="00F6514C">
        <w:rPr>
          <w:rFonts w:ascii="Times New Roman" w:hAnsi="Times New Roman"/>
          <w:sz w:val="24"/>
        </w:rPr>
        <w:t xml:space="preserve">, 2nd ed (1882) at 201-203; Williams and Guthrie-Smith, </w:t>
      </w:r>
      <w:r w:rsidRPr="00F6514C">
        <w:rPr>
          <w:rFonts w:ascii="Times New Roman" w:hAnsi="Times New Roman"/>
          <w:i/>
          <w:iCs/>
          <w:sz w:val="24"/>
        </w:rPr>
        <w:t>Daniell's Chancery Practice, being a Treatise on the Practice of the Chancery Division, and on Appeal Therefrom</w:t>
      </w:r>
      <w:r w:rsidRPr="00F6514C">
        <w:rPr>
          <w:rFonts w:ascii="Times New Roman" w:hAnsi="Times New Roman"/>
          <w:sz w:val="24"/>
        </w:rPr>
        <w:t>, 8th ed (1914), vol 2 at 1081-1083.</w:t>
      </w:r>
    </w:p>
  </w:footnote>
  <w:footnote w:id="149">
    <w:p w14:paraId="5E6C311D"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See </w:t>
      </w:r>
      <w:r w:rsidRPr="00F6514C">
        <w:rPr>
          <w:rFonts w:ascii="Times New Roman" w:hAnsi="Times New Roman"/>
          <w:i/>
          <w:iCs/>
          <w:sz w:val="24"/>
        </w:rPr>
        <w:t xml:space="preserve">China Life Trustees Ltd v China Energy Reserve and Chemicals Group Overseas Co Ltd </w:t>
      </w:r>
      <w:r w:rsidRPr="00F6514C">
        <w:rPr>
          <w:rFonts w:ascii="Times New Roman" w:hAnsi="Times New Roman"/>
          <w:sz w:val="24"/>
        </w:rPr>
        <w:t xml:space="preserve">(2024) 27 HKCFAR 359 at 394 [103]-[104], citing </w:t>
      </w:r>
      <w:r w:rsidRPr="00F6514C">
        <w:rPr>
          <w:rFonts w:ascii="Times New Roman" w:hAnsi="Times New Roman"/>
          <w:i/>
          <w:iCs/>
          <w:sz w:val="24"/>
        </w:rPr>
        <w:t>Chief Executive Officer, Aboriginal Areas Protection Authority v Director of National Parks</w:t>
      </w:r>
      <w:r w:rsidRPr="00F6514C">
        <w:rPr>
          <w:rFonts w:ascii="Times New Roman" w:hAnsi="Times New Roman"/>
          <w:sz w:val="24"/>
        </w:rPr>
        <w:t xml:space="preserve"> (2024) 98 ALJR 655 at 681 [120]; 418 ALR 202 at 233 and Stevens, </w:t>
      </w:r>
      <w:r w:rsidRPr="00F6514C">
        <w:rPr>
          <w:rFonts w:ascii="Times New Roman" w:hAnsi="Times New Roman"/>
          <w:i/>
          <w:iCs/>
          <w:sz w:val="24"/>
        </w:rPr>
        <w:t xml:space="preserve">The Laws of Restitution </w:t>
      </w:r>
      <w:r w:rsidRPr="00F6514C">
        <w:rPr>
          <w:rFonts w:ascii="Times New Roman" w:hAnsi="Times New Roman"/>
          <w:sz w:val="24"/>
        </w:rPr>
        <w:t>(2023) at 98.</w:t>
      </w:r>
    </w:p>
  </w:footnote>
  <w:footnote w:id="150">
    <w:p w14:paraId="77A51F5E"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See </w:t>
      </w:r>
      <w:r w:rsidRPr="00F6514C">
        <w:rPr>
          <w:rFonts w:ascii="Times New Roman" w:hAnsi="Times New Roman"/>
          <w:i/>
          <w:iCs/>
          <w:sz w:val="24"/>
        </w:rPr>
        <w:t xml:space="preserve">Anthony Hordern &amp; Sons Ltd v Amalgamated Clothing and Allied Trades Union of Australia </w:t>
      </w:r>
      <w:r w:rsidRPr="00F6514C">
        <w:rPr>
          <w:rFonts w:ascii="Times New Roman" w:hAnsi="Times New Roman"/>
          <w:sz w:val="24"/>
        </w:rPr>
        <w:t xml:space="preserve">(1932) </w:t>
      </w:r>
      <w:bookmarkStart w:id="7" w:name="_Hlk197607894"/>
      <w:r w:rsidRPr="00F6514C">
        <w:rPr>
          <w:rFonts w:ascii="Times New Roman" w:hAnsi="Times New Roman"/>
          <w:sz w:val="24"/>
        </w:rPr>
        <w:t>47 CLR 1</w:t>
      </w:r>
      <w:bookmarkEnd w:id="7"/>
      <w:r w:rsidRPr="00F6514C">
        <w:rPr>
          <w:rFonts w:ascii="Times New Roman" w:hAnsi="Times New Roman"/>
          <w:sz w:val="24"/>
        </w:rPr>
        <w:t xml:space="preserve"> at 7. </w:t>
      </w:r>
    </w:p>
  </w:footnote>
  <w:footnote w:id="151">
    <w:p w14:paraId="14B14054"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P v P </w:t>
      </w:r>
      <w:r w:rsidRPr="00F6514C">
        <w:rPr>
          <w:rFonts w:ascii="Times New Roman" w:hAnsi="Times New Roman"/>
          <w:sz w:val="24"/>
        </w:rPr>
        <w:t xml:space="preserve">(1994) 181 CLR 583 at 602. </w:t>
      </w:r>
    </w:p>
  </w:footnote>
  <w:footnote w:id="152">
    <w:p w14:paraId="6EFD8EA2"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APLA Ltd v Legal Services Commissioner (NSW) </w:t>
      </w:r>
      <w:r w:rsidRPr="00F6514C">
        <w:rPr>
          <w:rFonts w:ascii="Times New Roman" w:hAnsi="Times New Roman"/>
          <w:sz w:val="24"/>
        </w:rPr>
        <w:t xml:space="preserve">(2005) 224 CLR 322 at 352 [32]. </w:t>
      </w:r>
    </w:p>
  </w:footnote>
  <w:footnote w:id="153">
    <w:p w14:paraId="1055DEEE"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Pittman v Prudential Deposit Bank (Ltd) </w:t>
      </w:r>
      <w:r w:rsidRPr="00F6514C">
        <w:rPr>
          <w:rFonts w:ascii="Times New Roman" w:hAnsi="Times New Roman"/>
          <w:sz w:val="24"/>
        </w:rPr>
        <w:t xml:space="preserve">(1896) 13 TLR 110 at 111. </w:t>
      </w:r>
    </w:p>
  </w:footnote>
  <w:footnote w:id="154">
    <w:p w14:paraId="49561086"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(2006) 229 CLR 386 at 426 [68] fn 137, quoting Stephen, </w:t>
      </w:r>
      <w:r w:rsidRPr="00F6514C">
        <w:rPr>
          <w:rFonts w:ascii="Times New Roman" w:hAnsi="Times New Roman"/>
          <w:i/>
          <w:iCs/>
          <w:sz w:val="24"/>
        </w:rPr>
        <w:t>A Digest of the Criminal Law (Crimes and Punishments)</w:t>
      </w:r>
      <w:r w:rsidRPr="00F6514C">
        <w:rPr>
          <w:rFonts w:ascii="Times New Roman" w:hAnsi="Times New Roman"/>
          <w:sz w:val="24"/>
        </w:rPr>
        <w:t xml:space="preserve"> (1877) at 86.</w:t>
      </w:r>
    </w:p>
  </w:footnote>
  <w:footnote w:id="155">
    <w:p w14:paraId="05C4CA23"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Campbells Cash and Carry Pty Ltd v Fostif Pty Ltd</w:t>
      </w:r>
      <w:r w:rsidRPr="00F6514C">
        <w:rPr>
          <w:rFonts w:ascii="Times New Roman" w:hAnsi="Times New Roman"/>
          <w:sz w:val="24"/>
        </w:rPr>
        <w:t xml:space="preserve"> (2006) 229 CLR 386 at 430 [78].</w:t>
      </w:r>
    </w:p>
  </w:footnote>
  <w:footnote w:id="156">
    <w:p w14:paraId="698B51F1"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Clyne v New South Wales Bar Association </w:t>
      </w:r>
      <w:r w:rsidRPr="00F6514C">
        <w:rPr>
          <w:rFonts w:ascii="Times New Roman" w:hAnsi="Times New Roman"/>
          <w:sz w:val="24"/>
        </w:rPr>
        <w:t>(1960) 104 CLR 186 at 203.</w:t>
      </w:r>
    </w:p>
  </w:footnote>
  <w:footnote w:id="157">
    <w:p w14:paraId="20D3715B"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Maintenance, Champerty and Barratry Abolition Act 1993 </w:t>
      </w:r>
      <w:r w:rsidRPr="00F6514C">
        <w:rPr>
          <w:rFonts w:ascii="Times New Roman" w:hAnsi="Times New Roman"/>
          <w:sz w:val="24"/>
        </w:rPr>
        <w:t xml:space="preserve">(NSW), ss 3-4. See now </w:t>
      </w:r>
      <w:r w:rsidRPr="00F6514C">
        <w:rPr>
          <w:rFonts w:ascii="Times New Roman" w:hAnsi="Times New Roman"/>
          <w:i/>
          <w:iCs/>
          <w:sz w:val="24"/>
        </w:rPr>
        <w:t xml:space="preserve">Crimes Act 1900 </w:t>
      </w:r>
      <w:r w:rsidRPr="00F6514C">
        <w:rPr>
          <w:rFonts w:ascii="Times New Roman" w:hAnsi="Times New Roman"/>
          <w:sz w:val="24"/>
        </w:rPr>
        <w:t xml:space="preserve">(NSW), Sch 3, cl 5 and </w:t>
      </w:r>
      <w:r w:rsidRPr="00F6514C">
        <w:rPr>
          <w:rFonts w:ascii="Times New Roman" w:hAnsi="Times New Roman"/>
          <w:i/>
          <w:iCs/>
          <w:sz w:val="24"/>
        </w:rPr>
        <w:t xml:space="preserve">Civil Liability Act 2002 </w:t>
      </w:r>
      <w:r w:rsidRPr="00F6514C">
        <w:rPr>
          <w:rFonts w:ascii="Times New Roman" w:hAnsi="Times New Roman"/>
          <w:sz w:val="24"/>
        </w:rPr>
        <w:t xml:space="preserve">(NSW), Sch 2, cl 2. </w:t>
      </w:r>
    </w:p>
  </w:footnote>
  <w:footnote w:id="158">
    <w:p w14:paraId="6AB06BA0"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Maintenance, Champerty and Barratry Abolition Act 1993 </w:t>
      </w:r>
      <w:r w:rsidRPr="00F6514C">
        <w:rPr>
          <w:rFonts w:ascii="Times New Roman" w:hAnsi="Times New Roman"/>
          <w:sz w:val="24"/>
        </w:rPr>
        <w:t>(NSW), s 6.</w:t>
      </w:r>
    </w:p>
  </w:footnote>
  <w:footnote w:id="159">
    <w:p w14:paraId="0D1DC27A"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Campbells Cash and Carry Pty Ltd v Fostif Pty Ltd</w:t>
      </w:r>
      <w:r w:rsidRPr="00F6514C">
        <w:rPr>
          <w:rFonts w:ascii="Times New Roman" w:hAnsi="Times New Roman"/>
          <w:sz w:val="24"/>
        </w:rPr>
        <w:t xml:space="preserve"> (2006) 229 CLR 386 at 433 [86].</w:t>
      </w:r>
    </w:p>
  </w:footnote>
  <w:footnote w:id="160">
    <w:p w14:paraId="49BA84A2"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R&amp;B Investments Pty Ltd v Blue Sky Alternative Investments Ltd (In liq) </w:t>
      </w:r>
      <w:r w:rsidRPr="00F6514C">
        <w:rPr>
          <w:rFonts w:ascii="Times New Roman" w:hAnsi="Times New Roman"/>
          <w:sz w:val="24"/>
        </w:rPr>
        <w:t xml:space="preserve">(2024) 304 FCR 395 at 418 [104], citing </w:t>
      </w:r>
      <w:r w:rsidRPr="00F6514C">
        <w:rPr>
          <w:rFonts w:ascii="Times New Roman" w:hAnsi="Times New Roman"/>
          <w:i/>
          <w:iCs/>
          <w:sz w:val="24"/>
        </w:rPr>
        <w:t>Perera v GetSwift Ltd</w:t>
      </w:r>
      <w:r w:rsidRPr="00F6514C">
        <w:rPr>
          <w:rFonts w:ascii="Times New Roman" w:hAnsi="Times New Roman"/>
          <w:sz w:val="24"/>
        </w:rPr>
        <w:t xml:space="preserve"> (2018) 263 FCR 1 at 10-15 [15]-[29].</w:t>
      </w:r>
    </w:p>
  </w:footnote>
  <w:footnote w:id="161">
    <w:p w14:paraId="137F0B2E"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New South Wales, Legislative Council, </w:t>
      </w:r>
      <w:r w:rsidRPr="00F6514C">
        <w:rPr>
          <w:rFonts w:ascii="Times New Roman" w:hAnsi="Times New Roman"/>
          <w:i/>
          <w:iCs/>
          <w:sz w:val="24"/>
        </w:rPr>
        <w:t xml:space="preserve">Parliamentary Debates </w:t>
      </w:r>
      <w:r w:rsidRPr="00F6514C">
        <w:rPr>
          <w:rFonts w:ascii="Times New Roman" w:hAnsi="Times New Roman"/>
          <w:sz w:val="24"/>
        </w:rPr>
        <w:t xml:space="preserve">(Hansard), 27 October 1993 at 4513. </w:t>
      </w:r>
    </w:p>
  </w:footnote>
  <w:footnote w:id="162">
    <w:p w14:paraId="0BDC8C67"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Legal Profession Reform Act 1993</w:t>
      </w:r>
      <w:r w:rsidRPr="00F6514C">
        <w:rPr>
          <w:rFonts w:ascii="Times New Roman" w:hAnsi="Times New Roman"/>
          <w:sz w:val="24"/>
        </w:rPr>
        <w:t xml:space="preserve"> (NSW), Sch 3, inserting s 188 into the </w:t>
      </w:r>
      <w:r w:rsidRPr="00F6514C">
        <w:rPr>
          <w:rFonts w:ascii="Times New Roman" w:hAnsi="Times New Roman"/>
          <w:i/>
          <w:iCs/>
          <w:sz w:val="24"/>
        </w:rPr>
        <w:t xml:space="preserve">Legal Profession Act 1987 </w:t>
      </w:r>
      <w:r w:rsidRPr="00F6514C">
        <w:rPr>
          <w:rFonts w:ascii="Times New Roman" w:hAnsi="Times New Roman"/>
          <w:sz w:val="24"/>
        </w:rPr>
        <w:t xml:space="preserve">(NSW). </w:t>
      </w:r>
    </w:p>
  </w:footnote>
  <w:footnote w:id="163">
    <w:p w14:paraId="2702F0BC"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New South Wales, </w:t>
      </w:r>
      <w:r w:rsidRPr="00F6514C">
        <w:rPr>
          <w:rFonts w:ascii="Times New Roman" w:hAnsi="Times New Roman"/>
          <w:i/>
          <w:iCs/>
          <w:sz w:val="24"/>
        </w:rPr>
        <w:t>Legal Profession Reform Bill 1993</w:t>
      </w:r>
      <w:r w:rsidRPr="00F6514C">
        <w:rPr>
          <w:rFonts w:ascii="Times New Roman" w:hAnsi="Times New Roman"/>
          <w:sz w:val="24"/>
        </w:rPr>
        <w:t xml:space="preserve">, Explanatory Note at 5. </w:t>
      </w:r>
    </w:p>
  </w:footnote>
  <w:footnote w:id="164">
    <w:p w14:paraId="36DA214F"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New South Wales, Legislative Council, </w:t>
      </w:r>
      <w:r w:rsidRPr="00F6514C">
        <w:rPr>
          <w:rFonts w:ascii="Times New Roman" w:hAnsi="Times New Roman"/>
          <w:i/>
          <w:iCs/>
          <w:sz w:val="24"/>
        </w:rPr>
        <w:t xml:space="preserve">Parliamentary Debates </w:t>
      </w:r>
      <w:r w:rsidRPr="00F6514C">
        <w:rPr>
          <w:rFonts w:ascii="Times New Roman" w:hAnsi="Times New Roman"/>
          <w:sz w:val="24"/>
        </w:rPr>
        <w:t>(Hansard), 27</w:t>
      </w:r>
      <w:r w:rsidRPr="00F6514C">
        <w:rPr>
          <w:rFonts w:ascii="Times New Roman" w:hAnsi="Times New Roman"/>
          <w:b/>
          <w:sz w:val="24"/>
        </w:rPr>
        <w:t> </w:t>
      </w:r>
      <w:r w:rsidRPr="00F6514C">
        <w:rPr>
          <w:rFonts w:ascii="Times New Roman" w:hAnsi="Times New Roman"/>
          <w:sz w:val="24"/>
        </w:rPr>
        <w:t>October 1993 at 4513-4514.</w:t>
      </w:r>
    </w:p>
  </w:footnote>
  <w:footnote w:id="165">
    <w:p w14:paraId="693C9256"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R&amp;B Investments Pty Ltd v Blue Sky Alternative Investments Ltd (In liq) </w:t>
      </w:r>
      <w:r w:rsidRPr="00F6514C">
        <w:rPr>
          <w:rFonts w:ascii="Times New Roman" w:hAnsi="Times New Roman"/>
          <w:sz w:val="24"/>
        </w:rPr>
        <w:t xml:space="preserve">(2024) 304 FCR 395 at 414 [85]-[86]. </w:t>
      </w:r>
    </w:p>
  </w:footnote>
  <w:footnote w:id="166">
    <w:p w14:paraId="53C6E7C0"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LPUL, s 169.</w:t>
      </w:r>
    </w:p>
  </w:footnote>
  <w:footnote w:id="167">
    <w:p w14:paraId="10B589EB"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Rinehart v Welker </w:t>
      </w:r>
      <w:r w:rsidRPr="00F6514C">
        <w:rPr>
          <w:rFonts w:ascii="Times New Roman" w:hAnsi="Times New Roman"/>
          <w:sz w:val="24"/>
        </w:rPr>
        <w:t xml:space="preserve">(2012) 95 NSWLR 221 at 248 [125], quoting </w:t>
      </w:r>
      <w:r w:rsidRPr="00F6514C">
        <w:rPr>
          <w:rFonts w:ascii="Times New Roman" w:hAnsi="Times New Roman"/>
          <w:i/>
          <w:iCs/>
          <w:sz w:val="24"/>
        </w:rPr>
        <w:t xml:space="preserve">BTR Engineering (Aust) Ltd v Dana Corporation </w:t>
      </w:r>
      <w:r w:rsidRPr="00F6514C">
        <w:rPr>
          <w:rFonts w:ascii="Times New Roman" w:hAnsi="Times New Roman"/>
          <w:sz w:val="24"/>
        </w:rPr>
        <w:t xml:space="preserve">[2000] VSC 246 at [24]. </w:t>
      </w:r>
    </w:p>
  </w:footnote>
  <w:footnote w:id="168">
    <w:p w14:paraId="1F78B5B2"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See </w:t>
      </w:r>
      <w:r w:rsidRPr="00F6514C">
        <w:rPr>
          <w:rFonts w:ascii="Times New Roman" w:hAnsi="Times New Roman"/>
          <w:i/>
          <w:iCs/>
          <w:sz w:val="24"/>
        </w:rPr>
        <w:t xml:space="preserve">March v E &amp; M H Stramare Pty Ltd </w:t>
      </w:r>
      <w:r w:rsidRPr="00F6514C">
        <w:rPr>
          <w:rFonts w:ascii="Times New Roman" w:hAnsi="Times New Roman"/>
          <w:sz w:val="24"/>
        </w:rPr>
        <w:t>(1991) 171 CLR 506 at 523:</w:t>
      </w:r>
      <w:r w:rsidRPr="00F6514C">
        <w:rPr>
          <w:rFonts w:ascii="Times New Roman" w:hAnsi="Times New Roman"/>
          <w:i/>
          <w:iCs/>
          <w:sz w:val="24"/>
        </w:rPr>
        <w:t xml:space="preserve"> </w:t>
      </w:r>
      <w:r w:rsidRPr="00F6514C">
        <w:rPr>
          <w:rFonts w:ascii="Times New Roman" w:hAnsi="Times New Roman"/>
          <w:sz w:val="24"/>
        </w:rPr>
        <w:t>"possession of a head is an essential precondition of decapitation".</w:t>
      </w:r>
    </w:p>
  </w:footnote>
  <w:footnote w:id="169">
    <w:p w14:paraId="74DF1F6A"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Yango Pastoral Co Pty Ltd v First Chicago Australia Ltd </w:t>
      </w:r>
      <w:r w:rsidRPr="00F6514C">
        <w:rPr>
          <w:rFonts w:ascii="Times New Roman" w:hAnsi="Times New Roman"/>
          <w:sz w:val="24"/>
        </w:rPr>
        <w:t xml:space="preserve">(1978) 139 CLR 410 at 432. </w:t>
      </w:r>
    </w:p>
  </w:footnote>
  <w:footnote w:id="170">
    <w:p w14:paraId="2EC516BA"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Sullivan v Moody</w:t>
      </w:r>
      <w:r w:rsidRPr="00F6514C">
        <w:rPr>
          <w:rFonts w:ascii="Times New Roman" w:hAnsi="Times New Roman"/>
          <w:sz w:val="24"/>
        </w:rPr>
        <w:t xml:space="preserve"> (2001) 207 CLR 562 at 581 [55]; </w:t>
      </w:r>
      <w:r w:rsidRPr="00F6514C">
        <w:rPr>
          <w:rFonts w:ascii="Times New Roman" w:hAnsi="Times New Roman"/>
          <w:i/>
          <w:iCs/>
          <w:sz w:val="24"/>
        </w:rPr>
        <w:t>Miller v Miller</w:t>
      </w:r>
      <w:r w:rsidRPr="00F6514C">
        <w:rPr>
          <w:rFonts w:ascii="Times New Roman" w:hAnsi="Times New Roman"/>
          <w:sz w:val="24"/>
        </w:rPr>
        <w:t xml:space="preserve"> (2011) 242 CLR 446 at 454-455 [15]-[16]; </w:t>
      </w:r>
      <w:r w:rsidRPr="00F6514C">
        <w:rPr>
          <w:rFonts w:ascii="Times New Roman" w:hAnsi="Times New Roman"/>
          <w:i/>
          <w:iCs/>
          <w:sz w:val="24"/>
        </w:rPr>
        <w:t xml:space="preserve">Equuscorp Pty Ltd v Haxton </w:t>
      </w:r>
      <w:r w:rsidRPr="00F6514C">
        <w:rPr>
          <w:rFonts w:ascii="Times New Roman" w:hAnsi="Times New Roman"/>
          <w:sz w:val="24"/>
        </w:rPr>
        <w:t xml:space="preserve">(2012) 246 CLR 498 at 518 [34]. </w:t>
      </w:r>
    </w:p>
  </w:footnote>
  <w:footnote w:id="171">
    <w:p w14:paraId="5A05A2BA"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r>
      <w:r w:rsidRPr="00F6514C">
        <w:rPr>
          <w:rFonts w:ascii="Times New Roman" w:hAnsi="Times New Roman"/>
          <w:i/>
          <w:iCs/>
          <w:sz w:val="24"/>
        </w:rPr>
        <w:t xml:space="preserve">Equuscorp Pty Ltd v Haxton </w:t>
      </w:r>
      <w:r w:rsidRPr="00F6514C">
        <w:rPr>
          <w:rFonts w:ascii="Times New Roman" w:hAnsi="Times New Roman"/>
          <w:sz w:val="24"/>
        </w:rPr>
        <w:t xml:space="preserve">(2012) 246 CLR 498 at 518 [34]. </w:t>
      </w:r>
    </w:p>
  </w:footnote>
  <w:footnote w:id="172">
    <w:p w14:paraId="2540AC83"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Fell, "The Concept of Coherence in Australian Private Law" (2018) 41 </w:t>
      </w:r>
      <w:r w:rsidRPr="00F6514C">
        <w:rPr>
          <w:rFonts w:ascii="Times New Roman" w:hAnsi="Times New Roman"/>
          <w:i/>
          <w:iCs/>
          <w:sz w:val="24"/>
        </w:rPr>
        <w:t xml:space="preserve">Melbourne University Law Review </w:t>
      </w:r>
      <w:r w:rsidRPr="00F6514C">
        <w:rPr>
          <w:rFonts w:ascii="Times New Roman" w:hAnsi="Times New Roman"/>
          <w:sz w:val="24"/>
        </w:rPr>
        <w:t xml:space="preserve">1160 at 1200. </w:t>
      </w:r>
    </w:p>
  </w:footnote>
  <w:footnote w:id="173">
    <w:p w14:paraId="3D26E97E" w14:textId="77777777" w:rsidR="006F5E1E" w:rsidRPr="00F6514C" w:rsidRDefault="006F5E1E" w:rsidP="00F6514C">
      <w:pPr>
        <w:pStyle w:val="FootnoteText"/>
        <w:spacing w:line="280" w:lineRule="exact"/>
        <w:ind w:right="0"/>
        <w:jc w:val="both"/>
        <w:rPr>
          <w:rFonts w:ascii="Times New Roman" w:hAnsi="Times New Roman"/>
          <w:sz w:val="24"/>
        </w:rPr>
      </w:pPr>
      <w:r w:rsidRPr="00F6514C">
        <w:rPr>
          <w:rStyle w:val="FootnoteReference"/>
          <w:rFonts w:ascii="Times New Roman" w:hAnsi="Times New Roman"/>
          <w:sz w:val="22"/>
          <w:vertAlign w:val="baseline"/>
        </w:rPr>
        <w:footnoteRef/>
      </w:r>
      <w:r w:rsidRPr="00F6514C">
        <w:rPr>
          <w:rFonts w:ascii="Times New Roman" w:hAnsi="Times New Roman"/>
          <w:sz w:val="24"/>
        </w:rPr>
        <w:t xml:space="preserve"> </w:t>
      </w:r>
      <w:r w:rsidRPr="00F6514C">
        <w:rPr>
          <w:rFonts w:ascii="Times New Roman" w:hAnsi="Times New Roman"/>
          <w:sz w:val="24"/>
        </w:rPr>
        <w:tab/>
        <w:t xml:space="preserve">Compare </w:t>
      </w:r>
      <w:r w:rsidRPr="00F6514C">
        <w:rPr>
          <w:rFonts w:ascii="Times New Roman" w:hAnsi="Times New Roman"/>
          <w:i/>
          <w:iCs/>
          <w:sz w:val="24"/>
        </w:rPr>
        <w:t xml:space="preserve">Supreme Court Act 1986 </w:t>
      </w:r>
      <w:r w:rsidRPr="00F6514C">
        <w:rPr>
          <w:rFonts w:ascii="Times New Roman" w:hAnsi="Times New Roman"/>
          <w:sz w:val="24"/>
        </w:rPr>
        <w:t xml:space="preserve">(Vic), s 33ZDA, discussed in </w:t>
      </w:r>
      <w:r w:rsidRPr="00F6514C">
        <w:rPr>
          <w:rFonts w:ascii="Times New Roman" w:hAnsi="Times New Roman"/>
          <w:i/>
          <w:iCs/>
          <w:sz w:val="24"/>
        </w:rPr>
        <w:t xml:space="preserve">Bogan </w:t>
      </w:r>
      <w:r w:rsidRPr="00F6514C">
        <w:rPr>
          <w:rFonts w:ascii="Times New Roman" w:hAnsi="Times New Roman"/>
          <w:i/>
          <w:sz w:val="24"/>
        </w:rPr>
        <w:t>v Estate of Smedley</w:t>
      </w:r>
      <w:r w:rsidRPr="00F6514C">
        <w:rPr>
          <w:rFonts w:ascii="Times New Roman" w:hAnsi="Times New Roman"/>
          <w:sz w:val="24"/>
        </w:rPr>
        <w:t xml:space="preserve"> (2025) 99 ALJR 619. </w:t>
      </w:r>
    </w:p>
  </w:footnote>
  <w:footnote w:id="174">
    <w:p w14:paraId="3EE93CAA"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See also ss 173 and 177 of the </w:t>
      </w:r>
      <w:r w:rsidRPr="00E124C6">
        <w:rPr>
          <w:rFonts w:ascii="Times New Roman" w:hAnsi="Times New Roman"/>
          <w:i/>
          <w:iCs/>
          <w:sz w:val="24"/>
        </w:rPr>
        <w:t>Civil Procedure Act 2005</w:t>
      </w:r>
      <w:r w:rsidRPr="00E124C6">
        <w:rPr>
          <w:rFonts w:ascii="Times New Roman" w:hAnsi="Times New Roman"/>
          <w:sz w:val="24"/>
        </w:rPr>
        <w:t xml:space="preserve"> (NSW). </w:t>
      </w:r>
    </w:p>
  </w:footnote>
  <w:footnote w:id="175">
    <w:p w14:paraId="14C91FD3"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See </w:t>
      </w:r>
      <w:r w:rsidRPr="00E124C6">
        <w:rPr>
          <w:rFonts w:ascii="Times New Roman" w:hAnsi="Times New Roman"/>
          <w:i/>
          <w:iCs/>
          <w:sz w:val="24"/>
        </w:rPr>
        <w:t>Legal Profession Uniform Law Application Act 2014</w:t>
      </w:r>
      <w:r w:rsidRPr="00E124C6">
        <w:rPr>
          <w:rFonts w:ascii="Times New Roman" w:hAnsi="Times New Roman"/>
          <w:sz w:val="24"/>
        </w:rPr>
        <w:t xml:space="preserve"> (NSW), s 4, which provides that the "Legal Profession Uniform Law set out in Schedule 1 to the </w:t>
      </w:r>
      <w:r w:rsidRPr="00E124C6">
        <w:rPr>
          <w:rFonts w:ascii="Times New Roman" w:hAnsi="Times New Roman"/>
          <w:i/>
          <w:iCs/>
          <w:sz w:val="24"/>
        </w:rPr>
        <w:t>Legal Profession Uniform Law Application Act 2014</w:t>
      </w:r>
      <w:r w:rsidRPr="00E124C6">
        <w:rPr>
          <w:rFonts w:ascii="Times New Roman" w:hAnsi="Times New Roman"/>
          <w:sz w:val="24"/>
        </w:rPr>
        <w:t xml:space="preserve"> of Victoria – (a) applies as a law of this jurisdiction, and (b) as so applying may be referred to as the </w:t>
      </w:r>
      <w:r w:rsidRPr="00E124C6">
        <w:rPr>
          <w:rFonts w:ascii="Times New Roman" w:hAnsi="Times New Roman"/>
          <w:i/>
          <w:iCs/>
          <w:sz w:val="24"/>
        </w:rPr>
        <w:t>Legal Profession Uniform Law (NSW)</w:t>
      </w:r>
      <w:r w:rsidRPr="00E124C6">
        <w:rPr>
          <w:rFonts w:ascii="Times New Roman" w:hAnsi="Times New Roman"/>
          <w:sz w:val="24"/>
        </w:rPr>
        <w:t>, and (c) so applies as if it were an Act".</w:t>
      </w:r>
    </w:p>
  </w:footnote>
  <w:footnote w:id="176">
    <w:p w14:paraId="02D6A1DF"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By extension of the reasoning in </w:t>
      </w:r>
      <w:r w:rsidRPr="00E124C6">
        <w:rPr>
          <w:rFonts w:ascii="Times New Roman" w:hAnsi="Times New Roman"/>
          <w:i/>
          <w:iCs/>
          <w:sz w:val="24"/>
        </w:rPr>
        <w:t>Elliott-Carde v McDonald's Australia Ltd</w:t>
      </w:r>
      <w:r w:rsidRPr="00E124C6">
        <w:rPr>
          <w:rFonts w:ascii="Times New Roman" w:hAnsi="Times New Roman"/>
          <w:sz w:val="24"/>
        </w:rPr>
        <w:t xml:space="preserve"> (2023) 301 FCR 1 concerning a payment to a third party litigation funder, not being a law practice. </w:t>
      </w:r>
    </w:p>
  </w:footnote>
  <w:footnote w:id="177">
    <w:p w14:paraId="7F0C8EAC"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Provisions equivalent to the </w:t>
      </w:r>
      <w:r w:rsidRPr="00E124C6">
        <w:rPr>
          <w:rFonts w:ascii="Times New Roman" w:hAnsi="Times New Roman"/>
          <w:i/>
          <w:iCs/>
          <w:sz w:val="24"/>
        </w:rPr>
        <w:t>Civil Procedure Act</w:t>
      </w:r>
      <w:r w:rsidRPr="00E124C6">
        <w:rPr>
          <w:rFonts w:ascii="Times New Roman" w:hAnsi="Times New Roman"/>
          <w:sz w:val="24"/>
        </w:rPr>
        <w:t xml:space="preserve"> </w:t>
      </w:r>
      <w:r w:rsidRPr="00E124C6">
        <w:rPr>
          <w:rFonts w:ascii="Times New Roman" w:hAnsi="Times New Roman"/>
          <w:i/>
          <w:iCs/>
          <w:sz w:val="24"/>
        </w:rPr>
        <w:t>2005</w:t>
      </w:r>
      <w:r w:rsidRPr="00E124C6">
        <w:rPr>
          <w:rFonts w:ascii="Times New Roman" w:hAnsi="Times New Roman"/>
          <w:sz w:val="24"/>
        </w:rPr>
        <w:t xml:space="preserve"> (NSW), ss 173 and 177.</w:t>
      </w:r>
    </w:p>
  </w:footnote>
  <w:footnote w:id="178">
    <w:p w14:paraId="1FCA5234"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(2019) 269 CLR 574.</w:t>
      </w:r>
    </w:p>
  </w:footnote>
  <w:footnote w:id="179">
    <w:p w14:paraId="2FC046B8"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NSW LPUL, s 6(1).</w:t>
      </w:r>
    </w:p>
  </w:footnote>
  <w:footnote w:id="180">
    <w:p w14:paraId="7E65D2A9"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NSW LPUL, s 6(1).</w:t>
      </w:r>
    </w:p>
  </w:footnote>
  <w:footnote w:id="181">
    <w:p w14:paraId="234FAB16"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See, eg, </w:t>
      </w:r>
      <w:r w:rsidRPr="00E124C6">
        <w:rPr>
          <w:rFonts w:ascii="Times New Roman" w:hAnsi="Times New Roman"/>
          <w:i/>
          <w:iCs/>
          <w:sz w:val="24"/>
        </w:rPr>
        <w:t>Legal Profession Uniform General Rules 2015</w:t>
      </w:r>
      <w:r w:rsidRPr="00E124C6">
        <w:rPr>
          <w:rFonts w:ascii="Times New Roman" w:hAnsi="Times New Roman"/>
          <w:sz w:val="24"/>
        </w:rPr>
        <w:t xml:space="preserve"> (NSW) and </w:t>
      </w:r>
      <w:r w:rsidRPr="00E124C6">
        <w:rPr>
          <w:rFonts w:ascii="Times New Roman" w:hAnsi="Times New Roman"/>
          <w:i/>
          <w:iCs/>
          <w:sz w:val="24"/>
        </w:rPr>
        <w:t>Legal Profession Uniform Law Australian Solicitors' Conduct Rules 2015</w:t>
      </w:r>
      <w:r w:rsidRPr="00E124C6">
        <w:rPr>
          <w:rFonts w:ascii="Times New Roman" w:hAnsi="Times New Roman"/>
          <w:sz w:val="24"/>
        </w:rPr>
        <w:t xml:space="preserve"> (NSW).</w:t>
      </w:r>
    </w:p>
  </w:footnote>
  <w:footnote w:id="182">
    <w:p w14:paraId="4263310D"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NSW LPUL, s 6(1).</w:t>
      </w:r>
    </w:p>
  </w:footnote>
  <w:footnote w:id="183">
    <w:p w14:paraId="725D9331"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R&amp;B Investments Pty Ltd v Blue Sky Alternative Investments Ltd (In liq) (Reserved Question)</w:t>
      </w:r>
      <w:r w:rsidRPr="00E124C6">
        <w:rPr>
          <w:rFonts w:ascii="Times New Roman" w:hAnsi="Times New Roman"/>
          <w:sz w:val="24"/>
        </w:rPr>
        <w:t xml:space="preserve"> (2024) 304 FCR 395 at 398 [10].</w:t>
      </w:r>
    </w:p>
  </w:footnote>
  <w:footnote w:id="184">
    <w:p w14:paraId="0AE4A5FB"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Defined as an order to the effect that, in addition to legal costs and disbursements, "Banton and Shine be further remunerated for their risks in funding the legal costs and disbursements by payment of such percentage of the Resolution Sum [sum recovered as a result of the proceeding] as may be approved by the Court": </w:t>
      </w:r>
      <w:r w:rsidRPr="00E124C6">
        <w:rPr>
          <w:rFonts w:ascii="Times New Roman" w:hAnsi="Times New Roman"/>
          <w:i/>
          <w:iCs/>
          <w:sz w:val="24"/>
        </w:rPr>
        <w:t>R&amp;B Investments Pty Ltd v Blue Sky Alternative Investments Ltd (In liq) (Reserved Question)</w:t>
      </w:r>
      <w:r w:rsidRPr="00E124C6">
        <w:rPr>
          <w:rFonts w:ascii="Times New Roman" w:hAnsi="Times New Roman"/>
          <w:sz w:val="24"/>
        </w:rPr>
        <w:t xml:space="preserve"> (2024) 304 FCR 395 at 398-399 [11].</w:t>
      </w:r>
    </w:p>
  </w:footnote>
  <w:footnote w:id="185">
    <w:p w14:paraId="00C0464F"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R&amp;B Investments Pty Ltd v Blue Sky Alternative Investments Ltd (In liq) (Reserved Question)</w:t>
      </w:r>
      <w:r w:rsidRPr="00E124C6">
        <w:rPr>
          <w:rFonts w:ascii="Times New Roman" w:hAnsi="Times New Roman"/>
          <w:sz w:val="24"/>
        </w:rPr>
        <w:t xml:space="preserve"> (2024) 304 FCR 395 at 399 [14].</w:t>
      </w:r>
    </w:p>
  </w:footnote>
  <w:footnote w:id="186">
    <w:p w14:paraId="6B55FA0C"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Legal Profession Uniform Law Application Act 2014</w:t>
      </w:r>
      <w:r w:rsidRPr="00E124C6">
        <w:rPr>
          <w:rFonts w:ascii="Times New Roman" w:hAnsi="Times New Roman"/>
          <w:sz w:val="24"/>
        </w:rPr>
        <w:t xml:space="preserve"> (Vic), s 4.</w:t>
      </w:r>
    </w:p>
  </w:footnote>
  <w:footnote w:id="187">
    <w:p w14:paraId="5C6684C9"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NZYQ v Minister for Immigration, Citizenship and Multicultural Affairs</w:t>
      </w:r>
      <w:r w:rsidRPr="00E124C6">
        <w:rPr>
          <w:rFonts w:ascii="Times New Roman" w:hAnsi="Times New Roman"/>
          <w:sz w:val="24"/>
        </w:rPr>
        <w:t xml:space="preserve"> (2023) 97 ALJR 1005 at 1011 [17]; 415 ALR 254 at 259, quoting </w:t>
      </w:r>
      <w:r w:rsidRPr="00E124C6">
        <w:rPr>
          <w:rFonts w:ascii="Times New Roman" w:hAnsi="Times New Roman"/>
          <w:i/>
          <w:iCs/>
          <w:sz w:val="24"/>
        </w:rPr>
        <w:t>Wurridjal v The Commonwealth</w:t>
      </w:r>
      <w:r w:rsidRPr="00E124C6">
        <w:rPr>
          <w:rFonts w:ascii="Times New Roman" w:hAnsi="Times New Roman"/>
          <w:sz w:val="24"/>
        </w:rPr>
        <w:t xml:space="preserve"> (2009) 237 CLR 309 at 352 [70].</w:t>
      </w:r>
    </w:p>
  </w:footnote>
  <w:footnote w:id="188">
    <w:p w14:paraId="64010416"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John v Federal Commissioner of Taxation</w:t>
      </w:r>
      <w:r w:rsidRPr="00E124C6">
        <w:rPr>
          <w:rFonts w:ascii="Times New Roman" w:hAnsi="Times New Roman"/>
          <w:sz w:val="24"/>
        </w:rPr>
        <w:t xml:space="preserve"> (1989) 166 CLR 417 at 438-439.</w:t>
      </w:r>
    </w:p>
  </w:footnote>
  <w:footnote w:id="189">
    <w:p w14:paraId="16069D81"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NSW LPUL, s 6(1). </w:t>
      </w:r>
    </w:p>
  </w:footnote>
  <w:footnote w:id="190">
    <w:p w14:paraId="16D52BB7"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See, eg, NSW LPUL, ss 37(a), 103, 107, 259.</w:t>
      </w:r>
    </w:p>
  </w:footnote>
  <w:footnote w:id="191">
    <w:p w14:paraId="0AFADAC2"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eg, </w:t>
      </w:r>
      <w:r w:rsidRPr="00E124C6">
        <w:rPr>
          <w:rFonts w:ascii="Times New Roman" w:hAnsi="Times New Roman"/>
          <w:i/>
          <w:iCs/>
          <w:sz w:val="24"/>
        </w:rPr>
        <w:t>R v Khazaal</w:t>
      </w:r>
      <w:r w:rsidRPr="00E124C6">
        <w:rPr>
          <w:rFonts w:ascii="Times New Roman" w:hAnsi="Times New Roman"/>
          <w:sz w:val="24"/>
        </w:rPr>
        <w:t xml:space="preserve"> (2012) 246 CLR 601 at 613 [31].</w:t>
      </w:r>
    </w:p>
  </w:footnote>
  <w:footnote w:id="192">
    <w:p w14:paraId="54A6FEB2"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See, eg, NSW LPUL, ss 37(a), 103, 107, 259.</w:t>
      </w:r>
    </w:p>
  </w:footnote>
  <w:footnote w:id="193">
    <w:p w14:paraId="2585D1AD"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R&amp;B Investments Pty Ltd v Blue Sky Alternative Investments Ltd (In liq) (Reserved Question)</w:t>
      </w:r>
      <w:r w:rsidRPr="00E124C6">
        <w:rPr>
          <w:rFonts w:ascii="Times New Roman" w:hAnsi="Times New Roman"/>
          <w:sz w:val="24"/>
        </w:rPr>
        <w:t xml:space="preserve"> (2024) 304 FCR 395 at 414 [85]-[86].</w:t>
      </w:r>
    </w:p>
  </w:footnote>
  <w:footnote w:id="194">
    <w:p w14:paraId="19C9999D"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Owners of "S</w:t>
      </w:r>
      <w:r>
        <w:rPr>
          <w:rFonts w:ascii="Times New Roman" w:hAnsi="Times New Roman"/>
          <w:i/>
          <w:iCs/>
          <w:sz w:val="24"/>
        </w:rPr>
        <w:t>h</w:t>
      </w:r>
      <w:r w:rsidRPr="00E124C6">
        <w:rPr>
          <w:rFonts w:ascii="Times New Roman" w:hAnsi="Times New Roman"/>
          <w:i/>
          <w:iCs/>
          <w:sz w:val="24"/>
        </w:rPr>
        <w:t>in Kobe Maru" v Empire Shipping Co Inc</w:t>
      </w:r>
      <w:r w:rsidRPr="00E124C6">
        <w:rPr>
          <w:rFonts w:ascii="Times New Roman" w:hAnsi="Times New Roman"/>
          <w:sz w:val="24"/>
        </w:rPr>
        <w:t xml:space="preserve"> (1994) 181 CLR 404 at 421. See also </w:t>
      </w:r>
      <w:r w:rsidRPr="00E124C6">
        <w:rPr>
          <w:rFonts w:ascii="Times New Roman" w:hAnsi="Times New Roman"/>
          <w:i/>
          <w:iCs/>
          <w:sz w:val="24"/>
        </w:rPr>
        <w:t>PMT Partners Pty Ltd (In liq) v Australian National Parks and Wildlife Service</w:t>
      </w:r>
      <w:r w:rsidRPr="00E124C6">
        <w:rPr>
          <w:rFonts w:ascii="Times New Roman" w:hAnsi="Times New Roman"/>
          <w:sz w:val="24"/>
        </w:rPr>
        <w:t xml:space="preserve"> (1995) 184 CLR 301 at 316; </w:t>
      </w:r>
      <w:r w:rsidRPr="00E124C6">
        <w:rPr>
          <w:rFonts w:ascii="Times New Roman" w:hAnsi="Times New Roman"/>
          <w:i/>
          <w:iCs/>
          <w:sz w:val="24"/>
        </w:rPr>
        <w:t>Wong v Silkfield Pty Ltd</w:t>
      </w:r>
      <w:r w:rsidRPr="00E124C6">
        <w:rPr>
          <w:rFonts w:ascii="Times New Roman" w:hAnsi="Times New Roman"/>
          <w:sz w:val="24"/>
        </w:rPr>
        <w:t xml:space="preserve"> (1999) 199 CLR 255 at 260-261 [11].</w:t>
      </w:r>
    </w:p>
  </w:footnote>
  <w:footnote w:id="195">
    <w:p w14:paraId="6616E59D"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r>
      <w:r w:rsidRPr="00E124C6">
        <w:rPr>
          <w:rFonts w:ascii="Times New Roman" w:hAnsi="Times New Roman"/>
          <w:i/>
          <w:iCs/>
          <w:sz w:val="24"/>
        </w:rPr>
        <w:t>P v P</w:t>
      </w:r>
      <w:r w:rsidRPr="00E124C6">
        <w:rPr>
          <w:rFonts w:ascii="Times New Roman" w:hAnsi="Times New Roman"/>
          <w:sz w:val="24"/>
        </w:rPr>
        <w:t xml:space="preserve"> (1994) 181 CLR 583 at 601-602.</w:t>
      </w:r>
    </w:p>
  </w:footnote>
  <w:footnote w:id="196">
    <w:p w14:paraId="1773A01D"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(2005) 224 CLR 322.</w:t>
      </w:r>
    </w:p>
  </w:footnote>
  <w:footnote w:id="197">
    <w:p w14:paraId="49D2377A" w14:textId="77777777" w:rsidR="006C06CE" w:rsidRPr="00E124C6" w:rsidRDefault="006C06CE" w:rsidP="00E124C6">
      <w:pPr>
        <w:pStyle w:val="FootnoteText"/>
        <w:spacing w:line="280" w:lineRule="exact"/>
        <w:ind w:right="0"/>
        <w:jc w:val="both"/>
        <w:rPr>
          <w:rFonts w:ascii="Times New Roman" w:hAnsi="Times New Roman"/>
          <w:sz w:val="24"/>
        </w:rPr>
      </w:pPr>
      <w:r w:rsidRPr="00E124C6">
        <w:rPr>
          <w:rStyle w:val="FootnoteReference"/>
          <w:rFonts w:ascii="Times New Roman" w:hAnsi="Times New Roman"/>
          <w:sz w:val="22"/>
          <w:vertAlign w:val="baseline"/>
        </w:rPr>
        <w:footnoteRef/>
      </w:r>
      <w:r w:rsidRPr="00E124C6">
        <w:rPr>
          <w:rFonts w:ascii="Times New Roman" w:hAnsi="Times New Roman"/>
          <w:sz w:val="24"/>
        </w:rPr>
        <w:t xml:space="preserve"> </w:t>
      </w:r>
      <w:r w:rsidRPr="00E124C6">
        <w:rPr>
          <w:rFonts w:ascii="Times New Roman" w:hAnsi="Times New Roman"/>
          <w:sz w:val="24"/>
        </w:rPr>
        <w:tab/>
        <w:t xml:space="preserve">(2005) 224 CLR 322 at 348-349 [23]-[24]. See also </w:t>
      </w:r>
      <w:r w:rsidRPr="00E124C6">
        <w:rPr>
          <w:rFonts w:ascii="Times New Roman" w:hAnsi="Times New Roman"/>
          <w:i/>
          <w:iCs/>
          <w:sz w:val="24"/>
        </w:rPr>
        <w:t>BHP Group Ltd v Impiombato</w:t>
      </w:r>
      <w:r w:rsidRPr="00E124C6">
        <w:rPr>
          <w:rFonts w:ascii="Times New Roman" w:hAnsi="Times New Roman"/>
          <w:sz w:val="24"/>
        </w:rPr>
        <w:t xml:space="preserve"> (2022) 276 CLR 611 at 619-620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56E3" w14:textId="77777777" w:rsidR="00C86A14" w:rsidRPr="00271BA7" w:rsidRDefault="00C86A14" w:rsidP="00271B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60B1" w14:textId="77777777" w:rsidR="006E6A5F" w:rsidRDefault="00271BA7" w:rsidP="00F6514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0021894" w14:textId="77777777" w:rsidR="006E6A5F" w:rsidRDefault="006E6A5F" w:rsidP="00F6514C">
    <w:pPr>
      <w:pStyle w:val="Header"/>
      <w:tabs>
        <w:tab w:val="clear" w:pos="4153"/>
        <w:tab w:val="clear" w:pos="8306"/>
        <w:tab w:val="right" w:pos="1304"/>
      </w:tabs>
      <w:spacing w:line="280" w:lineRule="exact"/>
      <w:ind w:firstLine="0"/>
      <w:rPr>
        <w:rFonts w:ascii="Times New Roman" w:hAnsi="Times New Roman"/>
        <w:i/>
        <w:sz w:val="22"/>
      </w:rPr>
    </w:pPr>
  </w:p>
  <w:p w14:paraId="2B75BB09" w14:textId="77777777" w:rsidR="006E6A5F" w:rsidRDefault="00271BA7" w:rsidP="00F6514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E9516DE" w14:textId="77777777" w:rsidR="006E6A5F" w:rsidRPr="00F6514C" w:rsidRDefault="006E6A5F" w:rsidP="00F6514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F543" w14:textId="77777777" w:rsidR="006E6A5F" w:rsidRDefault="00271BA7" w:rsidP="00F6514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019C7BC" w14:textId="77777777" w:rsidR="006E6A5F" w:rsidRDefault="006E6A5F" w:rsidP="00F6514C">
    <w:pPr>
      <w:pStyle w:val="Header"/>
      <w:tabs>
        <w:tab w:val="clear" w:pos="4153"/>
        <w:tab w:val="clear" w:pos="8306"/>
        <w:tab w:val="left" w:pos="7200"/>
        <w:tab w:val="right" w:pos="8504"/>
      </w:tabs>
      <w:spacing w:line="280" w:lineRule="exact"/>
      <w:jc w:val="right"/>
      <w:rPr>
        <w:rFonts w:ascii="Times New Roman" w:hAnsi="Times New Roman"/>
        <w:i/>
        <w:sz w:val="22"/>
      </w:rPr>
    </w:pPr>
  </w:p>
  <w:p w14:paraId="68103A35" w14:textId="77777777" w:rsidR="006E6A5F" w:rsidRDefault="00271BA7" w:rsidP="00F6514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95E4F6" w14:textId="77777777" w:rsidR="006E6A5F" w:rsidRPr="00F6514C" w:rsidRDefault="006E6A5F" w:rsidP="00F6514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4B3D" w14:textId="77777777" w:rsidR="006E6A5F" w:rsidRDefault="006E6A5F" w:rsidP="00F6514C">
    <w:pPr>
      <w:pStyle w:val="Header"/>
      <w:tabs>
        <w:tab w:val="clear" w:pos="4153"/>
        <w:tab w:val="clear" w:pos="8306"/>
        <w:tab w:val="center" w:pos="1134"/>
      </w:tabs>
      <w:spacing w:line="280" w:lineRule="exact"/>
      <w:ind w:firstLine="0"/>
      <w:rPr>
        <w:rFonts w:ascii="Times New Roman" w:hAnsi="Times New Roman"/>
        <w:i/>
        <w:sz w:val="22"/>
      </w:rPr>
    </w:pPr>
  </w:p>
  <w:p w14:paraId="37EA3283" w14:textId="77777777" w:rsidR="006E6A5F" w:rsidRDefault="006E6A5F" w:rsidP="00F6514C">
    <w:pPr>
      <w:pStyle w:val="Header"/>
      <w:tabs>
        <w:tab w:val="clear" w:pos="4153"/>
        <w:tab w:val="clear" w:pos="8306"/>
        <w:tab w:val="center" w:pos="1134"/>
      </w:tabs>
      <w:spacing w:line="280" w:lineRule="exact"/>
      <w:ind w:firstLine="0"/>
      <w:rPr>
        <w:rFonts w:ascii="Times New Roman" w:hAnsi="Times New Roman"/>
        <w:i/>
        <w:sz w:val="22"/>
      </w:rPr>
    </w:pPr>
  </w:p>
  <w:p w14:paraId="2EA08CC7" w14:textId="77777777" w:rsidR="006E6A5F" w:rsidRDefault="006E6A5F" w:rsidP="00F6514C">
    <w:pPr>
      <w:pStyle w:val="Header"/>
      <w:tabs>
        <w:tab w:val="clear" w:pos="4153"/>
        <w:tab w:val="clear" w:pos="8306"/>
        <w:tab w:val="center" w:pos="1134"/>
      </w:tabs>
      <w:spacing w:line="280" w:lineRule="exact"/>
      <w:ind w:firstLine="0"/>
      <w:rPr>
        <w:rFonts w:ascii="Times New Roman" w:hAnsi="Times New Roman"/>
        <w:i/>
        <w:sz w:val="22"/>
      </w:rPr>
    </w:pPr>
  </w:p>
  <w:p w14:paraId="6045892E" w14:textId="77777777" w:rsidR="006E6A5F" w:rsidRPr="00F6514C" w:rsidRDefault="006E6A5F" w:rsidP="00F6514C">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0CFA" w14:textId="77777777" w:rsidR="006E6A5F" w:rsidRDefault="00271BA7" w:rsidP="00E124C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3A99B80" w14:textId="77777777" w:rsidR="006E6A5F" w:rsidRDefault="006E6A5F" w:rsidP="00E124C6">
    <w:pPr>
      <w:pStyle w:val="Header"/>
      <w:tabs>
        <w:tab w:val="clear" w:pos="4153"/>
        <w:tab w:val="clear" w:pos="8306"/>
        <w:tab w:val="right" w:pos="1304"/>
      </w:tabs>
      <w:spacing w:line="280" w:lineRule="exact"/>
      <w:ind w:firstLine="0"/>
      <w:rPr>
        <w:rFonts w:ascii="Times New Roman" w:hAnsi="Times New Roman"/>
        <w:i/>
        <w:sz w:val="22"/>
      </w:rPr>
    </w:pPr>
  </w:p>
  <w:p w14:paraId="5CBF5EAE" w14:textId="77777777" w:rsidR="006E6A5F" w:rsidRDefault="00271BA7" w:rsidP="00E124C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4A0299B" w14:textId="77777777" w:rsidR="006E6A5F" w:rsidRPr="00E124C6" w:rsidRDefault="006E6A5F" w:rsidP="00E124C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9C2B" w14:textId="77777777" w:rsidR="006E6A5F" w:rsidRDefault="00271BA7" w:rsidP="00E124C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CA1100A" w14:textId="77777777" w:rsidR="006E6A5F" w:rsidRDefault="006E6A5F" w:rsidP="00E124C6">
    <w:pPr>
      <w:pStyle w:val="Header"/>
      <w:tabs>
        <w:tab w:val="clear" w:pos="4153"/>
        <w:tab w:val="clear" w:pos="8306"/>
        <w:tab w:val="left" w:pos="7200"/>
        <w:tab w:val="right" w:pos="8504"/>
      </w:tabs>
      <w:spacing w:line="280" w:lineRule="exact"/>
      <w:jc w:val="right"/>
      <w:rPr>
        <w:rFonts w:ascii="Times New Roman" w:hAnsi="Times New Roman"/>
        <w:i/>
        <w:sz w:val="22"/>
      </w:rPr>
    </w:pPr>
  </w:p>
  <w:p w14:paraId="69F11131" w14:textId="77777777" w:rsidR="006E6A5F" w:rsidRDefault="00271BA7" w:rsidP="00E124C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2D8287" w14:textId="77777777" w:rsidR="006E6A5F" w:rsidRPr="00E124C6" w:rsidRDefault="006E6A5F" w:rsidP="00E124C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1143" w14:textId="77777777" w:rsidR="006E6A5F" w:rsidRDefault="006E6A5F" w:rsidP="00E124C6">
    <w:pPr>
      <w:pStyle w:val="Header"/>
      <w:tabs>
        <w:tab w:val="clear" w:pos="4153"/>
        <w:tab w:val="clear" w:pos="8306"/>
        <w:tab w:val="center" w:pos="1134"/>
      </w:tabs>
      <w:spacing w:line="280" w:lineRule="exact"/>
      <w:ind w:firstLine="0"/>
      <w:rPr>
        <w:rFonts w:ascii="Times New Roman" w:hAnsi="Times New Roman"/>
        <w:i/>
        <w:sz w:val="22"/>
      </w:rPr>
    </w:pPr>
  </w:p>
  <w:p w14:paraId="05F645EF" w14:textId="77777777" w:rsidR="006E6A5F" w:rsidRDefault="006E6A5F" w:rsidP="00E124C6">
    <w:pPr>
      <w:pStyle w:val="Header"/>
      <w:tabs>
        <w:tab w:val="clear" w:pos="4153"/>
        <w:tab w:val="clear" w:pos="8306"/>
        <w:tab w:val="center" w:pos="1134"/>
      </w:tabs>
      <w:spacing w:line="280" w:lineRule="exact"/>
      <w:ind w:firstLine="0"/>
      <w:rPr>
        <w:rFonts w:ascii="Times New Roman" w:hAnsi="Times New Roman"/>
        <w:i/>
        <w:sz w:val="22"/>
      </w:rPr>
    </w:pPr>
  </w:p>
  <w:p w14:paraId="53E58869" w14:textId="77777777" w:rsidR="006E6A5F" w:rsidRDefault="006E6A5F" w:rsidP="00E124C6">
    <w:pPr>
      <w:pStyle w:val="Header"/>
      <w:tabs>
        <w:tab w:val="clear" w:pos="4153"/>
        <w:tab w:val="clear" w:pos="8306"/>
        <w:tab w:val="center" w:pos="1134"/>
      </w:tabs>
      <w:spacing w:line="280" w:lineRule="exact"/>
      <w:ind w:firstLine="0"/>
      <w:rPr>
        <w:rFonts w:ascii="Times New Roman" w:hAnsi="Times New Roman"/>
        <w:i/>
        <w:sz w:val="22"/>
      </w:rPr>
    </w:pPr>
  </w:p>
  <w:p w14:paraId="27AF12E4" w14:textId="77777777" w:rsidR="006E6A5F" w:rsidRPr="00E124C6" w:rsidRDefault="006E6A5F" w:rsidP="00E124C6">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AEA6" w14:textId="77298AB6" w:rsidR="00C86A14" w:rsidRPr="00271BA7" w:rsidRDefault="00271BA7" w:rsidP="00271BA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01FA8">
      <w:rPr>
        <w:rFonts w:ascii="Times New Roman" w:hAnsi="Times New Roman"/>
        <w:noProof/>
        <w:sz w:val="22"/>
      </w:rPr>
      <w:instrText>7</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01FA8">
      <w:rPr>
        <w:rFonts w:ascii="Times New Roman" w:hAnsi="Times New Roman"/>
        <w:noProof/>
        <w:sz w:val="22"/>
      </w:rPr>
      <w:t>4</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2EED" w14:textId="59703E0B" w:rsidR="00D73C3E" w:rsidRPr="00271BA7" w:rsidRDefault="00D73C3E" w:rsidP="00271B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73C5" w14:textId="77777777" w:rsidR="00271BA7" w:rsidRDefault="00271BA7" w:rsidP="00C86A14">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CJ</w:t>
    </w:r>
  </w:p>
  <w:p w14:paraId="56050BA8" w14:textId="77777777" w:rsidR="00271BA7" w:rsidRDefault="00271BA7" w:rsidP="00C86A14">
    <w:pPr>
      <w:pStyle w:val="Header"/>
      <w:tabs>
        <w:tab w:val="clear" w:pos="4153"/>
        <w:tab w:val="clear" w:pos="8306"/>
        <w:tab w:val="right" w:pos="1304"/>
      </w:tabs>
      <w:spacing w:line="280" w:lineRule="exact"/>
      <w:ind w:firstLine="0"/>
      <w:rPr>
        <w:rFonts w:ascii="Times New Roman" w:hAnsi="Times New Roman"/>
        <w:i/>
        <w:sz w:val="22"/>
      </w:rPr>
    </w:pPr>
  </w:p>
  <w:p w14:paraId="1A9D03A0" w14:textId="77777777" w:rsidR="00271BA7" w:rsidRDefault="00271BA7" w:rsidP="00C86A1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4A0D191" w14:textId="77777777" w:rsidR="00271BA7" w:rsidRPr="00C86A14" w:rsidRDefault="00271BA7" w:rsidP="00C86A1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4074" w14:textId="77777777" w:rsidR="00271BA7" w:rsidRDefault="00271BA7" w:rsidP="00C86A1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CJ</w:t>
    </w:r>
  </w:p>
  <w:p w14:paraId="68F76E6A" w14:textId="77777777" w:rsidR="00271BA7" w:rsidRDefault="00271BA7" w:rsidP="00C86A14">
    <w:pPr>
      <w:pStyle w:val="Header"/>
      <w:tabs>
        <w:tab w:val="clear" w:pos="4153"/>
        <w:tab w:val="clear" w:pos="8306"/>
        <w:tab w:val="left" w:pos="7200"/>
        <w:tab w:val="right" w:pos="8504"/>
      </w:tabs>
      <w:spacing w:line="280" w:lineRule="exact"/>
      <w:jc w:val="right"/>
      <w:rPr>
        <w:rFonts w:ascii="Times New Roman" w:hAnsi="Times New Roman"/>
        <w:i/>
        <w:sz w:val="22"/>
      </w:rPr>
    </w:pPr>
  </w:p>
  <w:p w14:paraId="7753D543" w14:textId="77777777" w:rsidR="00271BA7" w:rsidRDefault="00271BA7" w:rsidP="00C86A1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62955BC" w14:textId="77777777" w:rsidR="00271BA7" w:rsidRPr="00C86A14" w:rsidRDefault="00271BA7" w:rsidP="00C86A1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0BE0" w14:textId="77777777" w:rsidR="00271BA7" w:rsidRDefault="00271BA7" w:rsidP="00C86A14">
    <w:pPr>
      <w:pStyle w:val="Header"/>
      <w:tabs>
        <w:tab w:val="clear" w:pos="4153"/>
        <w:tab w:val="clear" w:pos="8306"/>
        <w:tab w:val="center" w:pos="1134"/>
      </w:tabs>
      <w:spacing w:line="280" w:lineRule="exact"/>
      <w:ind w:firstLine="0"/>
      <w:rPr>
        <w:rFonts w:ascii="Times New Roman" w:hAnsi="Times New Roman"/>
        <w:i/>
        <w:sz w:val="22"/>
      </w:rPr>
    </w:pPr>
  </w:p>
  <w:p w14:paraId="39345456" w14:textId="77777777" w:rsidR="00271BA7" w:rsidRDefault="00271BA7" w:rsidP="00C86A14">
    <w:pPr>
      <w:pStyle w:val="Header"/>
      <w:tabs>
        <w:tab w:val="clear" w:pos="4153"/>
        <w:tab w:val="clear" w:pos="8306"/>
        <w:tab w:val="center" w:pos="1134"/>
      </w:tabs>
      <w:spacing w:line="280" w:lineRule="exact"/>
      <w:ind w:firstLine="0"/>
      <w:rPr>
        <w:rFonts w:ascii="Times New Roman" w:hAnsi="Times New Roman"/>
        <w:i/>
        <w:sz w:val="22"/>
      </w:rPr>
    </w:pPr>
  </w:p>
  <w:p w14:paraId="2794376B" w14:textId="77777777" w:rsidR="00271BA7" w:rsidRDefault="00271BA7" w:rsidP="00C86A14">
    <w:pPr>
      <w:pStyle w:val="Header"/>
      <w:tabs>
        <w:tab w:val="clear" w:pos="4153"/>
        <w:tab w:val="clear" w:pos="8306"/>
        <w:tab w:val="center" w:pos="1134"/>
      </w:tabs>
      <w:spacing w:line="280" w:lineRule="exact"/>
      <w:ind w:firstLine="0"/>
      <w:rPr>
        <w:rFonts w:ascii="Times New Roman" w:hAnsi="Times New Roman"/>
        <w:i/>
        <w:sz w:val="22"/>
      </w:rPr>
    </w:pPr>
  </w:p>
  <w:p w14:paraId="7C1EC4FB" w14:textId="77777777" w:rsidR="00271BA7" w:rsidRPr="00C86A14" w:rsidRDefault="00271BA7" w:rsidP="00C86A1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D17D" w14:textId="77777777" w:rsidR="006E6A5F" w:rsidRPr="00DC0A30" w:rsidRDefault="00271BA7" w:rsidP="00DC0A30">
    <w:pPr>
      <w:pStyle w:val="Header"/>
      <w:tabs>
        <w:tab w:val="clear" w:pos="4153"/>
        <w:tab w:val="clear" w:pos="8306"/>
        <w:tab w:val="right" w:pos="1304"/>
      </w:tabs>
      <w:spacing w:line="280" w:lineRule="exact"/>
      <w:ind w:firstLine="0"/>
      <w:rPr>
        <w:rFonts w:ascii="Times New Roman" w:hAnsi="Times New Roman"/>
        <w:i/>
        <w:sz w:val="22"/>
      </w:rPr>
    </w:pPr>
    <w:r w:rsidRPr="00DC0A30">
      <w:rPr>
        <w:rFonts w:ascii="Times New Roman" w:hAnsi="Times New Roman"/>
        <w:i/>
        <w:sz w:val="22"/>
      </w:rPr>
      <w:t>Gordon</w:t>
    </w:r>
    <w:r w:rsidRPr="00DC0A30">
      <w:rPr>
        <w:rFonts w:ascii="Times New Roman" w:hAnsi="Times New Roman"/>
        <w:i/>
        <w:sz w:val="22"/>
      </w:rPr>
      <w:tab/>
      <w:t>J</w:t>
    </w:r>
  </w:p>
  <w:p w14:paraId="319574FD" w14:textId="77777777" w:rsidR="006E6A5F" w:rsidRPr="00DC0A30" w:rsidRDefault="00271BA7" w:rsidP="00DC0A30">
    <w:pPr>
      <w:pStyle w:val="Header"/>
      <w:tabs>
        <w:tab w:val="clear" w:pos="4153"/>
        <w:tab w:val="clear" w:pos="8306"/>
        <w:tab w:val="right" w:pos="1304"/>
      </w:tabs>
      <w:spacing w:line="280" w:lineRule="exact"/>
      <w:ind w:firstLine="0"/>
      <w:rPr>
        <w:rFonts w:ascii="Times New Roman" w:hAnsi="Times New Roman"/>
        <w:i/>
        <w:sz w:val="22"/>
      </w:rPr>
    </w:pPr>
    <w:r w:rsidRPr="00DC0A30">
      <w:rPr>
        <w:rFonts w:ascii="Times New Roman" w:hAnsi="Times New Roman"/>
        <w:i/>
        <w:sz w:val="22"/>
      </w:rPr>
      <w:t>Steward</w:t>
    </w:r>
    <w:r w:rsidRPr="00DC0A30">
      <w:rPr>
        <w:rFonts w:ascii="Times New Roman" w:hAnsi="Times New Roman"/>
        <w:i/>
        <w:sz w:val="22"/>
      </w:rPr>
      <w:tab/>
      <w:t>J</w:t>
    </w:r>
  </w:p>
  <w:p w14:paraId="4DB5D9D0" w14:textId="77777777" w:rsidR="006E6A5F" w:rsidRPr="00DC0A30" w:rsidRDefault="00271BA7" w:rsidP="00DC0A30">
    <w:pPr>
      <w:pStyle w:val="Header"/>
      <w:tabs>
        <w:tab w:val="clear" w:pos="4153"/>
        <w:tab w:val="clear" w:pos="8306"/>
        <w:tab w:val="right" w:pos="1304"/>
      </w:tabs>
      <w:spacing w:line="280" w:lineRule="exact"/>
      <w:ind w:firstLine="0"/>
      <w:rPr>
        <w:rFonts w:ascii="Times New Roman" w:hAnsi="Times New Roman"/>
        <w:i/>
        <w:sz w:val="22"/>
      </w:rPr>
    </w:pPr>
    <w:r w:rsidRPr="00DC0A30">
      <w:rPr>
        <w:rFonts w:ascii="Times New Roman" w:hAnsi="Times New Roman"/>
        <w:i/>
        <w:sz w:val="22"/>
      </w:rPr>
      <w:t>Gleeson</w:t>
    </w:r>
    <w:r w:rsidRPr="00DC0A30">
      <w:rPr>
        <w:rFonts w:ascii="Times New Roman" w:hAnsi="Times New Roman"/>
        <w:i/>
        <w:sz w:val="22"/>
      </w:rPr>
      <w:tab/>
      <w:t>J</w:t>
    </w:r>
  </w:p>
  <w:p w14:paraId="5471DA7A" w14:textId="77777777" w:rsidR="006E6A5F" w:rsidRDefault="00271BA7" w:rsidP="00DC0A3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2ED752F6" w14:textId="77777777" w:rsidR="006E6A5F" w:rsidRDefault="006E6A5F" w:rsidP="00DC0A30">
    <w:pPr>
      <w:pStyle w:val="Header"/>
      <w:tabs>
        <w:tab w:val="clear" w:pos="4153"/>
        <w:tab w:val="clear" w:pos="8306"/>
        <w:tab w:val="right" w:pos="1304"/>
      </w:tabs>
      <w:spacing w:line="280" w:lineRule="exact"/>
      <w:ind w:firstLine="0"/>
      <w:rPr>
        <w:rFonts w:ascii="Times New Roman" w:hAnsi="Times New Roman"/>
        <w:i/>
        <w:sz w:val="22"/>
      </w:rPr>
    </w:pPr>
  </w:p>
  <w:p w14:paraId="15967CA3" w14:textId="77777777" w:rsidR="006E6A5F" w:rsidRDefault="00271BA7" w:rsidP="00DC0A3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493847D0" w14:textId="77777777" w:rsidR="006E6A5F" w:rsidRPr="00DC0A30" w:rsidRDefault="006E6A5F" w:rsidP="00DC0A3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0D45" w14:textId="77777777" w:rsidR="006E6A5F" w:rsidRPr="00DC0A30" w:rsidRDefault="00271BA7" w:rsidP="00DC0A30">
    <w:pPr>
      <w:pStyle w:val="Header"/>
      <w:tabs>
        <w:tab w:val="clear" w:pos="4153"/>
        <w:tab w:val="clear" w:pos="8306"/>
        <w:tab w:val="left" w:pos="7200"/>
        <w:tab w:val="right" w:pos="8504"/>
      </w:tabs>
      <w:spacing w:line="280" w:lineRule="exact"/>
      <w:jc w:val="right"/>
      <w:rPr>
        <w:rFonts w:ascii="Times New Roman" w:hAnsi="Times New Roman"/>
        <w:i/>
        <w:sz w:val="22"/>
      </w:rPr>
    </w:pPr>
    <w:r w:rsidRPr="00DC0A30">
      <w:rPr>
        <w:rFonts w:ascii="Times New Roman" w:hAnsi="Times New Roman"/>
        <w:i/>
        <w:sz w:val="22"/>
      </w:rPr>
      <w:tab/>
      <w:t>Gordon</w:t>
    </w:r>
    <w:r w:rsidRPr="00DC0A30">
      <w:rPr>
        <w:rFonts w:ascii="Times New Roman" w:hAnsi="Times New Roman"/>
        <w:i/>
        <w:sz w:val="22"/>
      </w:rPr>
      <w:tab/>
      <w:t>J</w:t>
    </w:r>
  </w:p>
  <w:p w14:paraId="72FCCC75" w14:textId="77777777" w:rsidR="006E6A5F" w:rsidRPr="00DC0A30" w:rsidRDefault="00271BA7" w:rsidP="00DC0A30">
    <w:pPr>
      <w:pStyle w:val="Header"/>
      <w:tabs>
        <w:tab w:val="clear" w:pos="4153"/>
        <w:tab w:val="clear" w:pos="8306"/>
        <w:tab w:val="left" w:pos="7200"/>
        <w:tab w:val="right" w:pos="8504"/>
      </w:tabs>
      <w:spacing w:line="280" w:lineRule="exact"/>
      <w:jc w:val="right"/>
      <w:rPr>
        <w:rFonts w:ascii="Times New Roman" w:hAnsi="Times New Roman"/>
        <w:i/>
        <w:sz w:val="22"/>
      </w:rPr>
    </w:pPr>
    <w:r w:rsidRPr="00DC0A30">
      <w:rPr>
        <w:rFonts w:ascii="Times New Roman" w:hAnsi="Times New Roman"/>
        <w:i/>
        <w:sz w:val="22"/>
      </w:rPr>
      <w:tab/>
      <w:t>Steward</w:t>
    </w:r>
    <w:r w:rsidRPr="00DC0A30">
      <w:rPr>
        <w:rFonts w:ascii="Times New Roman" w:hAnsi="Times New Roman"/>
        <w:i/>
        <w:sz w:val="22"/>
      </w:rPr>
      <w:tab/>
      <w:t>J</w:t>
    </w:r>
  </w:p>
  <w:p w14:paraId="673C8DC7" w14:textId="77777777" w:rsidR="006E6A5F" w:rsidRPr="00DC0A30" w:rsidRDefault="00271BA7" w:rsidP="00DC0A30">
    <w:pPr>
      <w:pStyle w:val="Header"/>
      <w:tabs>
        <w:tab w:val="clear" w:pos="4153"/>
        <w:tab w:val="clear" w:pos="8306"/>
        <w:tab w:val="left" w:pos="7200"/>
        <w:tab w:val="right" w:pos="8504"/>
      </w:tabs>
      <w:spacing w:line="280" w:lineRule="exact"/>
      <w:jc w:val="right"/>
      <w:rPr>
        <w:rFonts w:ascii="Times New Roman" w:hAnsi="Times New Roman"/>
        <w:i/>
        <w:sz w:val="22"/>
      </w:rPr>
    </w:pPr>
    <w:r w:rsidRPr="00DC0A30">
      <w:rPr>
        <w:rFonts w:ascii="Times New Roman" w:hAnsi="Times New Roman"/>
        <w:i/>
        <w:sz w:val="22"/>
      </w:rPr>
      <w:tab/>
      <w:t>Gleeson</w:t>
    </w:r>
    <w:r w:rsidRPr="00DC0A30">
      <w:rPr>
        <w:rFonts w:ascii="Times New Roman" w:hAnsi="Times New Roman"/>
        <w:i/>
        <w:sz w:val="22"/>
      </w:rPr>
      <w:tab/>
      <w:t>J</w:t>
    </w:r>
  </w:p>
  <w:p w14:paraId="1917ED14" w14:textId="77777777" w:rsidR="006E6A5F" w:rsidRDefault="00271BA7" w:rsidP="00DC0A3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5EECD51" w14:textId="77777777" w:rsidR="006E6A5F" w:rsidRDefault="006E6A5F" w:rsidP="00DC0A30">
    <w:pPr>
      <w:pStyle w:val="Header"/>
      <w:tabs>
        <w:tab w:val="clear" w:pos="4153"/>
        <w:tab w:val="clear" w:pos="8306"/>
        <w:tab w:val="left" w:pos="7200"/>
        <w:tab w:val="right" w:pos="8504"/>
      </w:tabs>
      <w:spacing w:line="280" w:lineRule="exact"/>
      <w:jc w:val="right"/>
      <w:rPr>
        <w:rFonts w:ascii="Times New Roman" w:hAnsi="Times New Roman"/>
        <w:i/>
        <w:sz w:val="22"/>
      </w:rPr>
    </w:pPr>
  </w:p>
  <w:p w14:paraId="754766FA" w14:textId="77777777" w:rsidR="006E6A5F" w:rsidRDefault="00271BA7" w:rsidP="00DC0A3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4F467AC2" w14:textId="77777777" w:rsidR="006E6A5F" w:rsidRPr="00DC0A30" w:rsidRDefault="006E6A5F" w:rsidP="00DC0A3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9814D" w14:textId="77777777" w:rsidR="006E6A5F" w:rsidRDefault="006E6A5F" w:rsidP="00DC0A30">
    <w:pPr>
      <w:pStyle w:val="Header"/>
      <w:tabs>
        <w:tab w:val="clear" w:pos="4153"/>
        <w:tab w:val="clear" w:pos="8306"/>
        <w:tab w:val="center" w:pos="1134"/>
      </w:tabs>
      <w:spacing w:line="280" w:lineRule="exact"/>
      <w:ind w:firstLine="0"/>
      <w:rPr>
        <w:rFonts w:ascii="Times New Roman" w:hAnsi="Times New Roman"/>
        <w:i/>
        <w:sz w:val="22"/>
      </w:rPr>
    </w:pPr>
  </w:p>
  <w:p w14:paraId="7F226CB7" w14:textId="77777777" w:rsidR="006E6A5F" w:rsidRDefault="006E6A5F" w:rsidP="00DC0A30">
    <w:pPr>
      <w:pStyle w:val="Header"/>
      <w:tabs>
        <w:tab w:val="clear" w:pos="4153"/>
        <w:tab w:val="clear" w:pos="8306"/>
        <w:tab w:val="center" w:pos="1134"/>
      </w:tabs>
      <w:spacing w:line="280" w:lineRule="exact"/>
      <w:ind w:firstLine="0"/>
      <w:rPr>
        <w:rFonts w:ascii="Times New Roman" w:hAnsi="Times New Roman"/>
        <w:i/>
        <w:sz w:val="22"/>
      </w:rPr>
    </w:pPr>
  </w:p>
  <w:p w14:paraId="66B1B186" w14:textId="77777777" w:rsidR="006E6A5F" w:rsidRDefault="006E6A5F" w:rsidP="00DC0A30">
    <w:pPr>
      <w:pStyle w:val="Header"/>
      <w:tabs>
        <w:tab w:val="clear" w:pos="4153"/>
        <w:tab w:val="clear" w:pos="8306"/>
        <w:tab w:val="center" w:pos="1134"/>
      </w:tabs>
      <w:spacing w:line="280" w:lineRule="exact"/>
      <w:ind w:firstLine="0"/>
      <w:rPr>
        <w:rFonts w:ascii="Times New Roman" w:hAnsi="Times New Roman"/>
        <w:i/>
        <w:sz w:val="22"/>
      </w:rPr>
    </w:pPr>
  </w:p>
  <w:p w14:paraId="49F4440F" w14:textId="77777777" w:rsidR="006E6A5F" w:rsidRDefault="006E6A5F" w:rsidP="00DC0A30">
    <w:pPr>
      <w:pStyle w:val="Header"/>
      <w:tabs>
        <w:tab w:val="clear" w:pos="4153"/>
        <w:tab w:val="clear" w:pos="8306"/>
        <w:tab w:val="center" w:pos="1134"/>
      </w:tabs>
      <w:spacing w:line="280" w:lineRule="exact"/>
      <w:ind w:firstLine="0"/>
      <w:rPr>
        <w:rFonts w:ascii="Times New Roman" w:hAnsi="Times New Roman"/>
        <w:i/>
        <w:sz w:val="22"/>
      </w:rPr>
    </w:pPr>
  </w:p>
  <w:p w14:paraId="3AE3E03F" w14:textId="77777777" w:rsidR="006E6A5F" w:rsidRDefault="006E6A5F" w:rsidP="00DC0A30">
    <w:pPr>
      <w:pStyle w:val="Header"/>
      <w:tabs>
        <w:tab w:val="clear" w:pos="4153"/>
        <w:tab w:val="clear" w:pos="8306"/>
        <w:tab w:val="center" w:pos="1134"/>
      </w:tabs>
      <w:spacing w:line="280" w:lineRule="exact"/>
      <w:ind w:firstLine="0"/>
      <w:rPr>
        <w:rFonts w:ascii="Times New Roman" w:hAnsi="Times New Roman"/>
        <w:i/>
        <w:sz w:val="22"/>
      </w:rPr>
    </w:pPr>
  </w:p>
  <w:p w14:paraId="531EA0D6" w14:textId="77777777" w:rsidR="006E6A5F" w:rsidRDefault="006E6A5F" w:rsidP="00DC0A30">
    <w:pPr>
      <w:pStyle w:val="Header"/>
      <w:tabs>
        <w:tab w:val="clear" w:pos="4153"/>
        <w:tab w:val="clear" w:pos="8306"/>
        <w:tab w:val="center" w:pos="1134"/>
      </w:tabs>
      <w:spacing w:line="280" w:lineRule="exact"/>
      <w:ind w:firstLine="0"/>
      <w:rPr>
        <w:rFonts w:ascii="Times New Roman" w:hAnsi="Times New Roman"/>
        <w:i/>
        <w:sz w:val="22"/>
      </w:rPr>
    </w:pPr>
  </w:p>
  <w:p w14:paraId="590D0450" w14:textId="77777777" w:rsidR="006E6A5F" w:rsidRPr="00DC0A30" w:rsidRDefault="006E6A5F" w:rsidP="00DC0A3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6847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64F1141"/>
    <w:multiLevelType w:val="hybridMultilevel"/>
    <w:tmpl w:val="16120420"/>
    <w:lvl w:ilvl="0" w:tplc="ABE2889A">
      <w:start w:val="1"/>
      <w:numFmt w:val="decimal"/>
      <w:lvlText w:val="%1)"/>
      <w:lvlJc w:val="left"/>
      <w:pPr>
        <w:ind w:left="1020" w:hanging="360"/>
      </w:pPr>
    </w:lvl>
    <w:lvl w:ilvl="1" w:tplc="F2A68828">
      <w:start w:val="1"/>
      <w:numFmt w:val="decimal"/>
      <w:lvlText w:val="%2)"/>
      <w:lvlJc w:val="left"/>
      <w:pPr>
        <w:ind w:left="1020" w:hanging="360"/>
      </w:pPr>
    </w:lvl>
    <w:lvl w:ilvl="2" w:tplc="0A3E4932">
      <w:start w:val="1"/>
      <w:numFmt w:val="decimal"/>
      <w:lvlText w:val="%3)"/>
      <w:lvlJc w:val="left"/>
      <w:pPr>
        <w:ind w:left="1020" w:hanging="360"/>
      </w:pPr>
    </w:lvl>
    <w:lvl w:ilvl="3" w:tplc="752A6DE0">
      <w:start w:val="1"/>
      <w:numFmt w:val="decimal"/>
      <w:lvlText w:val="%4)"/>
      <w:lvlJc w:val="left"/>
      <w:pPr>
        <w:ind w:left="1020" w:hanging="360"/>
      </w:pPr>
    </w:lvl>
    <w:lvl w:ilvl="4" w:tplc="85EC1E36">
      <w:start w:val="1"/>
      <w:numFmt w:val="decimal"/>
      <w:lvlText w:val="%5)"/>
      <w:lvlJc w:val="left"/>
      <w:pPr>
        <w:ind w:left="1020" w:hanging="360"/>
      </w:pPr>
    </w:lvl>
    <w:lvl w:ilvl="5" w:tplc="76F6528E">
      <w:start w:val="1"/>
      <w:numFmt w:val="decimal"/>
      <w:lvlText w:val="%6)"/>
      <w:lvlJc w:val="left"/>
      <w:pPr>
        <w:ind w:left="1020" w:hanging="360"/>
      </w:pPr>
    </w:lvl>
    <w:lvl w:ilvl="6" w:tplc="8412246C">
      <w:start w:val="1"/>
      <w:numFmt w:val="decimal"/>
      <w:lvlText w:val="%7)"/>
      <w:lvlJc w:val="left"/>
      <w:pPr>
        <w:ind w:left="1020" w:hanging="360"/>
      </w:pPr>
    </w:lvl>
    <w:lvl w:ilvl="7" w:tplc="A202D9B4">
      <w:start w:val="1"/>
      <w:numFmt w:val="decimal"/>
      <w:lvlText w:val="%8)"/>
      <w:lvlJc w:val="left"/>
      <w:pPr>
        <w:ind w:left="1020" w:hanging="360"/>
      </w:pPr>
    </w:lvl>
    <w:lvl w:ilvl="8" w:tplc="8C6EF736">
      <w:start w:val="1"/>
      <w:numFmt w:val="decimal"/>
      <w:lvlText w:val="%9)"/>
      <w:lvlJc w:val="left"/>
      <w:pPr>
        <w:ind w:left="1020" w:hanging="36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18"/>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3"/>
  </w:num>
  <w:num w:numId="17" w16cid:durableId="952325839">
    <w:abstractNumId w:val="16"/>
  </w:num>
  <w:num w:numId="18" w16cid:durableId="586305847">
    <w:abstractNumId w:val="11"/>
  </w:num>
  <w:num w:numId="19" w16cid:durableId="650985869">
    <w:abstractNumId w:val="11"/>
  </w:num>
  <w:num w:numId="20" w16cid:durableId="831993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3E"/>
    <w:rsid w:val="000001F1"/>
    <w:rsid w:val="00002069"/>
    <w:rsid w:val="00002233"/>
    <w:rsid w:val="00002CE6"/>
    <w:rsid w:val="0000316A"/>
    <w:rsid w:val="00003919"/>
    <w:rsid w:val="000049B7"/>
    <w:rsid w:val="00006A3E"/>
    <w:rsid w:val="000131E8"/>
    <w:rsid w:val="000141CA"/>
    <w:rsid w:val="00014B34"/>
    <w:rsid w:val="00015519"/>
    <w:rsid w:val="00015CAB"/>
    <w:rsid w:val="0001663F"/>
    <w:rsid w:val="000168C9"/>
    <w:rsid w:val="00016C20"/>
    <w:rsid w:val="00016DBB"/>
    <w:rsid w:val="00017144"/>
    <w:rsid w:val="00017EB1"/>
    <w:rsid w:val="00022A53"/>
    <w:rsid w:val="000250AF"/>
    <w:rsid w:val="00025490"/>
    <w:rsid w:val="000255C9"/>
    <w:rsid w:val="0002561E"/>
    <w:rsid w:val="000268E1"/>
    <w:rsid w:val="0002773C"/>
    <w:rsid w:val="00030A93"/>
    <w:rsid w:val="000313F7"/>
    <w:rsid w:val="000315E6"/>
    <w:rsid w:val="000323D7"/>
    <w:rsid w:val="00034562"/>
    <w:rsid w:val="0003575A"/>
    <w:rsid w:val="000360EB"/>
    <w:rsid w:val="00037A5F"/>
    <w:rsid w:val="00037D87"/>
    <w:rsid w:val="00040BA7"/>
    <w:rsid w:val="00042EF3"/>
    <w:rsid w:val="00043D2C"/>
    <w:rsid w:val="00045F3D"/>
    <w:rsid w:val="00046812"/>
    <w:rsid w:val="000468BC"/>
    <w:rsid w:val="00046B69"/>
    <w:rsid w:val="00046C51"/>
    <w:rsid w:val="00046DA6"/>
    <w:rsid w:val="000474B7"/>
    <w:rsid w:val="0004768D"/>
    <w:rsid w:val="00052A31"/>
    <w:rsid w:val="00055ACD"/>
    <w:rsid w:val="00056F27"/>
    <w:rsid w:val="000573AF"/>
    <w:rsid w:val="00060E85"/>
    <w:rsid w:val="0006169E"/>
    <w:rsid w:val="00061A76"/>
    <w:rsid w:val="000624F0"/>
    <w:rsid w:val="000626FD"/>
    <w:rsid w:val="00063F82"/>
    <w:rsid w:val="00064233"/>
    <w:rsid w:val="0006432B"/>
    <w:rsid w:val="000653D4"/>
    <w:rsid w:val="000654F6"/>
    <w:rsid w:val="00067B81"/>
    <w:rsid w:val="00070899"/>
    <w:rsid w:val="00071C35"/>
    <w:rsid w:val="00073113"/>
    <w:rsid w:val="00075F50"/>
    <w:rsid w:val="00076E04"/>
    <w:rsid w:val="00080D77"/>
    <w:rsid w:val="000829A6"/>
    <w:rsid w:val="00082AD7"/>
    <w:rsid w:val="00083901"/>
    <w:rsid w:val="00084093"/>
    <w:rsid w:val="0008435D"/>
    <w:rsid w:val="0008558C"/>
    <w:rsid w:val="000855FA"/>
    <w:rsid w:val="00085F13"/>
    <w:rsid w:val="0008740A"/>
    <w:rsid w:val="00087422"/>
    <w:rsid w:val="00087B9A"/>
    <w:rsid w:val="000910BF"/>
    <w:rsid w:val="00092A60"/>
    <w:rsid w:val="000932B0"/>
    <w:rsid w:val="000946FD"/>
    <w:rsid w:val="00094962"/>
    <w:rsid w:val="00094E98"/>
    <w:rsid w:val="000964EF"/>
    <w:rsid w:val="000977CB"/>
    <w:rsid w:val="000A0C30"/>
    <w:rsid w:val="000A219A"/>
    <w:rsid w:val="000A28D4"/>
    <w:rsid w:val="000A2EB4"/>
    <w:rsid w:val="000A3DA3"/>
    <w:rsid w:val="000A574A"/>
    <w:rsid w:val="000A63C6"/>
    <w:rsid w:val="000A6447"/>
    <w:rsid w:val="000A7134"/>
    <w:rsid w:val="000B2192"/>
    <w:rsid w:val="000B309F"/>
    <w:rsid w:val="000B4630"/>
    <w:rsid w:val="000B497F"/>
    <w:rsid w:val="000B524D"/>
    <w:rsid w:val="000B661B"/>
    <w:rsid w:val="000B710D"/>
    <w:rsid w:val="000B7558"/>
    <w:rsid w:val="000B7FBF"/>
    <w:rsid w:val="000C04DC"/>
    <w:rsid w:val="000C0787"/>
    <w:rsid w:val="000C0D98"/>
    <w:rsid w:val="000C3336"/>
    <w:rsid w:val="000C3B8D"/>
    <w:rsid w:val="000C4241"/>
    <w:rsid w:val="000C4A67"/>
    <w:rsid w:val="000C4CC4"/>
    <w:rsid w:val="000D0FE9"/>
    <w:rsid w:val="000D1BF9"/>
    <w:rsid w:val="000D25E6"/>
    <w:rsid w:val="000D311A"/>
    <w:rsid w:val="000D3AEF"/>
    <w:rsid w:val="000D53C8"/>
    <w:rsid w:val="000D651E"/>
    <w:rsid w:val="000E0881"/>
    <w:rsid w:val="000E2056"/>
    <w:rsid w:val="000E2C92"/>
    <w:rsid w:val="000E4059"/>
    <w:rsid w:val="000E65F7"/>
    <w:rsid w:val="000E6E0E"/>
    <w:rsid w:val="000E7825"/>
    <w:rsid w:val="000F076C"/>
    <w:rsid w:val="000F0EF1"/>
    <w:rsid w:val="000F0EF4"/>
    <w:rsid w:val="000F1345"/>
    <w:rsid w:val="000F17FA"/>
    <w:rsid w:val="000F26DD"/>
    <w:rsid w:val="000F3B20"/>
    <w:rsid w:val="000F3BB3"/>
    <w:rsid w:val="000F3BB9"/>
    <w:rsid w:val="000F46BA"/>
    <w:rsid w:val="000F5ABB"/>
    <w:rsid w:val="000F72B8"/>
    <w:rsid w:val="001001B9"/>
    <w:rsid w:val="00100BA8"/>
    <w:rsid w:val="00102254"/>
    <w:rsid w:val="00105987"/>
    <w:rsid w:val="0010702C"/>
    <w:rsid w:val="0011037E"/>
    <w:rsid w:val="0011065E"/>
    <w:rsid w:val="00110970"/>
    <w:rsid w:val="00111568"/>
    <w:rsid w:val="00111E83"/>
    <w:rsid w:val="0011203E"/>
    <w:rsid w:val="001120C0"/>
    <w:rsid w:val="001138C0"/>
    <w:rsid w:val="001138E2"/>
    <w:rsid w:val="00113F54"/>
    <w:rsid w:val="001150BF"/>
    <w:rsid w:val="00115793"/>
    <w:rsid w:val="00115EB0"/>
    <w:rsid w:val="0011670E"/>
    <w:rsid w:val="001168F2"/>
    <w:rsid w:val="001179DE"/>
    <w:rsid w:val="00120207"/>
    <w:rsid w:val="00120DC0"/>
    <w:rsid w:val="00123C1B"/>
    <w:rsid w:val="001244C2"/>
    <w:rsid w:val="00125172"/>
    <w:rsid w:val="00125E3C"/>
    <w:rsid w:val="00126EB7"/>
    <w:rsid w:val="00130990"/>
    <w:rsid w:val="00132D20"/>
    <w:rsid w:val="00133E7E"/>
    <w:rsid w:val="0013456F"/>
    <w:rsid w:val="001345F3"/>
    <w:rsid w:val="001365FA"/>
    <w:rsid w:val="00140165"/>
    <w:rsid w:val="001402CE"/>
    <w:rsid w:val="00140590"/>
    <w:rsid w:val="00142072"/>
    <w:rsid w:val="00143FCB"/>
    <w:rsid w:val="00144FEF"/>
    <w:rsid w:val="00145627"/>
    <w:rsid w:val="00146735"/>
    <w:rsid w:val="00146A41"/>
    <w:rsid w:val="001473F8"/>
    <w:rsid w:val="0015031C"/>
    <w:rsid w:val="00150FF6"/>
    <w:rsid w:val="00151679"/>
    <w:rsid w:val="001530C9"/>
    <w:rsid w:val="0015318E"/>
    <w:rsid w:val="0015523B"/>
    <w:rsid w:val="00155977"/>
    <w:rsid w:val="00157D6F"/>
    <w:rsid w:val="00160542"/>
    <w:rsid w:val="00162C1E"/>
    <w:rsid w:val="001635BC"/>
    <w:rsid w:val="00163D92"/>
    <w:rsid w:val="00164144"/>
    <w:rsid w:val="0016629D"/>
    <w:rsid w:val="001708DE"/>
    <w:rsid w:val="001721AA"/>
    <w:rsid w:val="00172ADE"/>
    <w:rsid w:val="00173B67"/>
    <w:rsid w:val="00175703"/>
    <w:rsid w:val="001758DE"/>
    <w:rsid w:val="00176D25"/>
    <w:rsid w:val="00181575"/>
    <w:rsid w:val="001830A1"/>
    <w:rsid w:val="0018342E"/>
    <w:rsid w:val="00183E6F"/>
    <w:rsid w:val="001840C2"/>
    <w:rsid w:val="00184B46"/>
    <w:rsid w:val="00184E7E"/>
    <w:rsid w:val="001853E2"/>
    <w:rsid w:val="00185939"/>
    <w:rsid w:val="00185C3C"/>
    <w:rsid w:val="001876F6"/>
    <w:rsid w:val="00191E23"/>
    <w:rsid w:val="00194B20"/>
    <w:rsid w:val="001953B1"/>
    <w:rsid w:val="001963C0"/>
    <w:rsid w:val="0019647D"/>
    <w:rsid w:val="00197956"/>
    <w:rsid w:val="00197F39"/>
    <w:rsid w:val="001A0144"/>
    <w:rsid w:val="001A1801"/>
    <w:rsid w:val="001A396F"/>
    <w:rsid w:val="001A409D"/>
    <w:rsid w:val="001A446E"/>
    <w:rsid w:val="001A48F2"/>
    <w:rsid w:val="001A4A4F"/>
    <w:rsid w:val="001B1676"/>
    <w:rsid w:val="001B17A8"/>
    <w:rsid w:val="001B3040"/>
    <w:rsid w:val="001B324A"/>
    <w:rsid w:val="001B4EDF"/>
    <w:rsid w:val="001B55C8"/>
    <w:rsid w:val="001B5EC9"/>
    <w:rsid w:val="001B6395"/>
    <w:rsid w:val="001B63C6"/>
    <w:rsid w:val="001B69C2"/>
    <w:rsid w:val="001C473C"/>
    <w:rsid w:val="001C48D4"/>
    <w:rsid w:val="001C7BF9"/>
    <w:rsid w:val="001C7C93"/>
    <w:rsid w:val="001D0011"/>
    <w:rsid w:val="001D1376"/>
    <w:rsid w:val="001D36CD"/>
    <w:rsid w:val="001D4623"/>
    <w:rsid w:val="001D4F49"/>
    <w:rsid w:val="001D565C"/>
    <w:rsid w:val="001D699E"/>
    <w:rsid w:val="001D7982"/>
    <w:rsid w:val="001D7C5F"/>
    <w:rsid w:val="001D7E4E"/>
    <w:rsid w:val="001E18A9"/>
    <w:rsid w:val="001E1D3D"/>
    <w:rsid w:val="001E4569"/>
    <w:rsid w:val="001E47D1"/>
    <w:rsid w:val="001E6A64"/>
    <w:rsid w:val="001E6AF8"/>
    <w:rsid w:val="001E7494"/>
    <w:rsid w:val="001E75C5"/>
    <w:rsid w:val="001F046F"/>
    <w:rsid w:val="001F1628"/>
    <w:rsid w:val="001F1B5F"/>
    <w:rsid w:val="001F3DF0"/>
    <w:rsid w:val="001F3F2A"/>
    <w:rsid w:val="001F4162"/>
    <w:rsid w:val="001F5131"/>
    <w:rsid w:val="001F69C2"/>
    <w:rsid w:val="001F6E6F"/>
    <w:rsid w:val="0020100A"/>
    <w:rsid w:val="00201FE6"/>
    <w:rsid w:val="00202332"/>
    <w:rsid w:val="00203E7D"/>
    <w:rsid w:val="002048D1"/>
    <w:rsid w:val="002051D2"/>
    <w:rsid w:val="002055F1"/>
    <w:rsid w:val="00206DB2"/>
    <w:rsid w:val="00207550"/>
    <w:rsid w:val="002079CB"/>
    <w:rsid w:val="0021002D"/>
    <w:rsid w:val="0021096E"/>
    <w:rsid w:val="00210DE8"/>
    <w:rsid w:val="00211D73"/>
    <w:rsid w:val="00212A3E"/>
    <w:rsid w:val="00212B7E"/>
    <w:rsid w:val="0021394E"/>
    <w:rsid w:val="00214939"/>
    <w:rsid w:val="00214BF2"/>
    <w:rsid w:val="00215A7F"/>
    <w:rsid w:val="00216522"/>
    <w:rsid w:val="002169C9"/>
    <w:rsid w:val="00221D19"/>
    <w:rsid w:val="00222510"/>
    <w:rsid w:val="002232DF"/>
    <w:rsid w:val="0022517C"/>
    <w:rsid w:val="002264B1"/>
    <w:rsid w:val="0022666B"/>
    <w:rsid w:val="0022734D"/>
    <w:rsid w:val="00231266"/>
    <w:rsid w:val="00233ED4"/>
    <w:rsid w:val="0023447F"/>
    <w:rsid w:val="002350B3"/>
    <w:rsid w:val="00235A9C"/>
    <w:rsid w:val="00237368"/>
    <w:rsid w:val="002373E4"/>
    <w:rsid w:val="0023798E"/>
    <w:rsid w:val="00240958"/>
    <w:rsid w:val="002415DE"/>
    <w:rsid w:val="00242714"/>
    <w:rsid w:val="00242EE4"/>
    <w:rsid w:val="0024462E"/>
    <w:rsid w:val="00246369"/>
    <w:rsid w:val="0024681E"/>
    <w:rsid w:val="002474FA"/>
    <w:rsid w:val="00247B01"/>
    <w:rsid w:val="00247D83"/>
    <w:rsid w:val="002502E0"/>
    <w:rsid w:val="002508BE"/>
    <w:rsid w:val="00250CA4"/>
    <w:rsid w:val="002514B5"/>
    <w:rsid w:val="00251EC5"/>
    <w:rsid w:val="0025295A"/>
    <w:rsid w:val="00253493"/>
    <w:rsid w:val="00253DE9"/>
    <w:rsid w:val="002555ED"/>
    <w:rsid w:val="00257AFB"/>
    <w:rsid w:val="00257C34"/>
    <w:rsid w:val="00257ED0"/>
    <w:rsid w:val="00262168"/>
    <w:rsid w:val="0026293D"/>
    <w:rsid w:val="002632CB"/>
    <w:rsid w:val="00264CFB"/>
    <w:rsid w:val="00265982"/>
    <w:rsid w:val="00266029"/>
    <w:rsid w:val="00270154"/>
    <w:rsid w:val="00271BA7"/>
    <w:rsid w:val="00271F70"/>
    <w:rsid w:val="00272AE2"/>
    <w:rsid w:val="0027408B"/>
    <w:rsid w:val="00276441"/>
    <w:rsid w:val="00276B56"/>
    <w:rsid w:val="00277316"/>
    <w:rsid w:val="00277AC1"/>
    <w:rsid w:val="00280F46"/>
    <w:rsid w:val="002819FD"/>
    <w:rsid w:val="002825EB"/>
    <w:rsid w:val="002832FA"/>
    <w:rsid w:val="0028583A"/>
    <w:rsid w:val="00287368"/>
    <w:rsid w:val="00287873"/>
    <w:rsid w:val="00287BD9"/>
    <w:rsid w:val="00290559"/>
    <w:rsid w:val="002916CC"/>
    <w:rsid w:val="002918FB"/>
    <w:rsid w:val="0029278C"/>
    <w:rsid w:val="00292E65"/>
    <w:rsid w:val="00293140"/>
    <w:rsid w:val="00295CC0"/>
    <w:rsid w:val="0029697C"/>
    <w:rsid w:val="002975C0"/>
    <w:rsid w:val="002979F1"/>
    <w:rsid w:val="00297BF9"/>
    <w:rsid w:val="002A10BE"/>
    <w:rsid w:val="002A13E1"/>
    <w:rsid w:val="002A2D1A"/>
    <w:rsid w:val="002A3248"/>
    <w:rsid w:val="002A4CE3"/>
    <w:rsid w:val="002B0846"/>
    <w:rsid w:val="002B1304"/>
    <w:rsid w:val="002B3A44"/>
    <w:rsid w:val="002C1EDE"/>
    <w:rsid w:val="002C5981"/>
    <w:rsid w:val="002C7307"/>
    <w:rsid w:val="002C7BD1"/>
    <w:rsid w:val="002D0410"/>
    <w:rsid w:val="002D0899"/>
    <w:rsid w:val="002D1707"/>
    <w:rsid w:val="002D17E2"/>
    <w:rsid w:val="002D2778"/>
    <w:rsid w:val="002D3F5B"/>
    <w:rsid w:val="002D415C"/>
    <w:rsid w:val="002D6574"/>
    <w:rsid w:val="002E0EC8"/>
    <w:rsid w:val="002E1B31"/>
    <w:rsid w:val="002E21F4"/>
    <w:rsid w:val="002E278F"/>
    <w:rsid w:val="002E2D49"/>
    <w:rsid w:val="002E3B4D"/>
    <w:rsid w:val="002E4833"/>
    <w:rsid w:val="002E4BD7"/>
    <w:rsid w:val="002F040B"/>
    <w:rsid w:val="002F0522"/>
    <w:rsid w:val="002F0734"/>
    <w:rsid w:val="002F115C"/>
    <w:rsid w:val="002F1A51"/>
    <w:rsid w:val="002F3F65"/>
    <w:rsid w:val="002F5B6A"/>
    <w:rsid w:val="002F70A8"/>
    <w:rsid w:val="002F7A2B"/>
    <w:rsid w:val="0030026A"/>
    <w:rsid w:val="00300B32"/>
    <w:rsid w:val="00300B5E"/>
    <w:rsid w:val="00301084"/>
    <w:rsid w:val="00301975"/>
    <w:rsid w:val="00302E3C"/>
    <w:rsid w:val="003030CA"/>
    <w:rsid w:val="0030542C"/>
    <w:rsid w:val="00307251"/>
    <w:rsid w:val="00310211"/>
    <w:rsid w:val="00310418"/>
    <w:rsid w:val="00310FCD"/>
    <w:rsid w:val="00312FFC"/>
    <w:rsid w:val="00313990"/>
    <w:rsid w:val="003150BF"/>
    <w:rsid w:val="003150CE"/>
    <w:rsid w:val="00315E92"/>
    <w:rsid w:val="0032091A"/>
    <w:rsid w:val="00323458"/>
    <w:rsid w:val="00323B9E"/>
    <w:rsid w:val="00326448"/>
    <w:rsid w:val="003268EE"/>
    <w:rsid w:val="00330804"/>
    <w:rsid w:val="003312B6"/>
    <w:rsid w:val="00331AFB"/>
    <w:rsid w:val="00333DDD"/>
    <w:rsid w:val="00334A6B"/>
    <w:rsid w:val="00335582"/>
    <w:rsid w:val="00335C3C"/>
    <w:rsid w:val="003366B2"/>
    <w:rsid w:val="00340066"/>
    <w:rsid w:val="0034122D"/>
    <w:rsid w:val="003413DE"/>
    <w:rsid w:val="00341903"/>
    <w:rsid w:val="0034288B"/>
    <w:rsid w:val="0034332B"/>
    <w:rsid w:val="0034681C"/>
    <w:rsid w:val="00350B32"/>
    <w:rsid w:val="00353292"/>
    <w:rsid w:val="00354466"/>
    <w:rsid w:val="003554C6"/>
    <w:rsid w:val="003571DE"/>
    <w:rsid w:val="003600A8"/>
    <w:rsid w:val="003615D4"/>
    <w:rsid w:val="0036284D"/>
    <w:rsid w:val="00363B16"/>
    <w:rsid w:val="00366524"/>
    <w:rsid w:val="00372698"/>
    <w:rsid w:val="00372C1A"/>
    <w:rsid w:val="00372F9A"/>
    <w:rsid w:val="00373E58"/>
    <w:rsid w:val="00376073"/>
    <w:rsid w:val="00377452"/>
    <w:rsid w:val="00381223"/>
    <w:rsid w:val="00381849"/>
    <w:rsid w:val="003823A0"/>
    <w:rsid w:val="00382477"/>
    <w:rsid w:val="00382708"/>
    <w:rsid w:val="00382C8A"/>
    <w:rsid w:val="00383BC7"/>
    <w:rsid w:val="003848A4"/>
    <w:rsid w:val="00384F36"/>
    <w:rsid w:val="00385271"/>
    <w:rsid w:val="00386E01"/>
    <w:rsid w:val="00387CC6"/>
    <w:rsid w:val="00387F82"/>
    <w:rsid w:val="003906D1"/>
    <w:rsid w:val="0039226E"/>
    <w:rsid w:val="003924BB"/>
    <w:rsid w:val="003925A0"/>
    <w:rsid w:val="00392CC8"/>
    <w:rsid w:val="00393E7E"/>
    <w:rsid w:val="003949D4"/>
    <w:rsid w:val="00396D28"/>
    <w:rsid w:val="00397708"/>
    <w:rsid w:val="003A2017"/>
    <w:rsid w:val="003A48CC"/>
    <w:rsid w:val="003A6C47"/>
    <w:rsid w:val="003A72EF"/>
    <w:rsid w:val="003A7E21"/>
    <w:rsid w:val="003A7FB4"/>
    <w:rsid w:val="003B0A32"/>
    <w:rsid w:val="003B474A"/>
    <w:rsid w:val="003B4EED"/>
    <w:rsid w:val="003B6B2C"/>
    <w:rsid w:val="003C1C63"/>
    <w:rsid w:val="003C2389"/>
    <w:rsid w:val="003C266A"/>
    <w:rsid w:val="003C602A"/>
    <w:rsid w:val="003D0D1D"/>
    <w:rsid w:val="003D1759"/>
    <w:rsid w:val="003D1896"/>
    <w:rsid w:val="003D3B14"/>
    <w:rsid w:val="003D43FF"/>
    <w:rsid w:val="003D4A7D"/>
    <w:rsid w:val="003D5C3C"/>
    <w:rsid w:val="003D626F"/>
    <w:rsid w:val="003D62F7"/>
    <w:rsid w:val="003D6937"/>
    <w:rsid w:val="003D728A"/>
    <w:rsid w:val="003D7BAA"/>
    <w:rsid w:val="003E0070"/>
    <w:rsid w:val="003E027D"/>
    <w:rsid w:val="003E0481"/>
    <w:rsid w:val="003E1035"/>
    <w:rsid w:val="003E17F2"/>
    <w:rsid w:val="003E19F7"/>
    <w:rsid w:val="003E1EB2"/>
    <w:rsid w:val="003E2E3B"/>
    <w:rsid w:val="003E492C"/>
    <w:rsid w:val="003E66C1"/>
    <w:rsid w:val="003E710D"/>
    <w:rsid w:val="003E7A9C"/>
    <w:rsid w:val="003F13CA"/>
    <w:rsid w:val="003F1A88"/>
    <w:rsid w:val="003F20B3"/>
    <w:rsid w:val="003F328F"/>
    <w:rsid w:val="003F531A"/>
    <w:rsid w:val="003F76F2"/>
    <w:rsid w:val="003F7C9E"/>
    <w:rsid w:val="00400966"/>
    <w:rsid w:val="004025E8"/>
    <w:rsid w:val="00402768"/>
    <w:rsid w:val="00402C43"/>
    <w:rsid w:val="00403F91"/>
    <w:rsid w:val="00404C36"/>
    <w:rsid w:val="00406F38"/>
    <w:rsid w:val="004107CA"/>
    <w:rsid w:val="004111BC"/>
    <w:rsid w:val="004114CB"/>
    <w:rsid w:val="00411B9B"/>
    <w:rsid w:val="004125F4"/>
    <w:rsid w:val="004126D4"/>
    <w:rsid w:val="00414703"/>
    <w:rsid w:val="00415D2B"/>
    <w:rsid w:val="00416C0A"/>
    <w:rsid w:val="0042024A"/>
    <w:rsid w:val="00421941"/>
    <w:rsid w:val="00422D2A"/>
    <w:rsid w:val="00424244"/>
    <w:rsid w:val="00424DE2"/>
    <w:rsid w:val="0042595B"/>
    <w:rsid w:val="00431B45"/>
    <w:rsid w:val="00432528"/>
    <w:rsid w:val="00432836"/>
    <w:rsid w:val="00433B98"/>
    <w:rsid w:val="004373D1"/>
    <w:rsid w:val="0043778D"/>
    <w:rsid w:val="0044271B"/>
    <w:rsid w:val="00443A94"/>
    <w:rsid w:val="004454C2"/>
    <w:rsid w:val="00445DF7"/>
    <w:rsid w:val="00447347"/>
    <w:rsid w:val="00447F33"/>
    <w:rsid w:val="00450A27"/>
    <w:rsid w:val="00451EC2"/>
    <w:rsid w:val="00454AA4"/>
    <w:rsid w:val="00456DD5"/>
    <w:rsid w:val="004570A6"/>
    <w:rsid w:val="00463357"/>
    <w:rsid w:val="00463A04"/>
    <w:rsid w:val="00465255"/>
    <w:rsid w:val="00466E46"/>
    <w:rsid w:val="00473718"/>
    <w:rsid w:val="00473869"/>
    <w:rsid w:val="0047410E"/>
    <w:rsid w:val="00475BC3"/>
    <w:rsid w:val="0048054A"/>
    <w:rsid w:val="004818E8"/>
    <w:rsid w:val="00482F67"/>
    <w:rsid w:val="00483006"/>
    <w:rsid w:val="00484915"/>
    <w:rsid w:val="00485961"/>
    <w:rsid w:val="00487387"/>
    <w:rsid w:val="00490673"/>
    <w:rsid w:val="00490E50"/>
    <w:rsid w:val="004919FD"/>
    <w:rsid w:val="00494BA9"/>
    <w:rsid w:val="00496AC3"/>
    <w:rsid w:val="004A06FC"/>
    <w:rsid w:val="004A132C"/>
    <w:rsid w:val="004A19F9"/>
    <w:rsid w:val="004A2F44"/>
    <w:rsid w:val="004A432E"/>
    <w:rsid w:val="004A5C00"/>
    <w:rsid w:val="004B0BDD"/>
    <w:rsid w:val="004B0D3F"/>
    <w:rsid w:val="004B1A4A"/>
    <w:rsid w:val="004B1E61"/>
    <w:rsid w:val="004B26D9"/>
    <w:rsid w:val="004B2875"/>
    <w:rsid w:val="004B2C5E"/>
    <w:rsid w:val="004B522A"/>
    <w:rsid w:val="004B54FF"/>
    <w:rsid w:val="004B774B"/>
    <w:rsid w:val="004C065B"/>
    <w:rsid w:val="004C15A3"/>
    <w:rsid w:val="004C2717"/>
    <w:rsid w:val="004C4629"/>
    <w:rsid w:val="004C4B71"/>
    <w:rsid w:val="004C5143"/>
    <w:rsid w:val="004C5345"/>
    <w:rsid w:val="004C64E7"/>
    <w:rsid w:val="004D015D"/>
    <w:rsid w:val="004D087E"/>
    <w:rsid w:val="004D19DB"/>
    <w:rsid w:val="004D1E88"/>
    <w:rsid w:val="004D3C56"/>
    <w:rsid w:val="004D3CD7"/>
    <w:rsid w:val="004D4A4B"/>
    <w:rsid w:val="004D4A90"/>
    <w:rsid w:val="004D58DE"/>
    <w:rsid w:val="004D63E2"/>
    <w:rsid w:val="004D703E"/>
    <w:rsid w:val="004D785C"/>
    <w:rsid w:val="004E0CF8"/>
    <w:rsid w:val="004E147F"/>
    <w:rsid w:val="004E20F4"/>
    <w:rsid w:val="004E24C7"/>
    <w:rsid w:val="004E333B"/>
    <w:rsid w:val="004E3F30"/>
    <w:rsid w:val="004E46F8"/>
    <w:rsid w:val="004E50C8"/>
    <w:rsid w:val="004E653E"/>
    <w:rsid w:val="004E65F5"/>
    <w:rsid w:val="004E6C55"/>
    <w:rsid w:val="004E72F0"/>
    <w:rsid w:val="004F1286"/>
    <w:rsid w:val="004F2D77"/>
    <w:rsid w:val="004F3C00"/>
    <w:rsid w:val="004F3E28"/>
    <w:rsid w:val="004F4E1D"/>
    <w:rsid w:val="004F621F"/>
    <w:rsid w:val="004F70B9"/>
    <w:rsid w:val="00501BE6"/>
    <w:rsid w:val="00502EAE"/>
    <w:rsid w:val="00503A1B"/>
    <w:rsid w:val="00504E9A"/>
    <w:rsid w:val="0050500F"/>
    <w:rsid w:val="00505279"/>
    <w:rsid w:val="005063E1"/>
    <w:rsid w:val="00507CC5"/>
    <w:rsid w:val="00510FBE"/>
    <w:rsid w:val="0051239B"/>
    <w:rsid w:val="00514DFF"/>
    <w:rsid w:val="0051663F"/>
    <w:rsid w:val="00516BBB"/>
    <w:rsid w:val="005177A1"/>
    <w:rsid w:val="005216B1"/>
    <w:rsid w:val="00523B38"/>
    <w:rsid w:val="00523E83"/>
    <w:rsid w:val="005248BB"/>
    <w:rsid w:val="00524FD1"/>
    <w:rsid w:val="0052581C"/>
    <w:rsid w:val="005263C2"/>
    <w:rsid w:val="00526599"/>
    <w:rsid w:val="005278E0"/>
    <w:rsid w:val="005308A5"/>
    <w:rsid w:val="00530E92"/>
    <w:rsid w:val="00531324"/>
    <w:rsid w:val="005314E9"/>
    <w:rsid w:val="00531723"/>
    <w:rsid w:val="005318B1"/>
    <w:rsid w:val="00531EEC"/>
    <w:rsid w:val="0053275E"/>
    <w:rsid w:val="00532926"/>
    <w:rsid w:val="0053324F"/>
    <w:rsid w:val="005348BF"/>
    <w:rsid w:val="00534EEF"/>
    <w:rsid w:val="0053529E"/>
    <w:rsid w:val="00535AED"/>
    <w:rsid w:val="00541E10"/>
    <w:rsid w:val="00541EF9"/>
    <w:rsid w:val="005431CF"/>
    <w:rsid w:val="00543BD5"/>
    <w:rsid w:val="00543D0A"/>
    <w:rsid w:val="00543E73"/>
    <w:rsid w:val="00544BD3"/>
    <w:rsid w:val="00544EFB"/>
    <w:rsid w:val="00545418"/>
    <w:rsid w:val="005454F3"/>
    <w:rsid w:val="005455E5"/>
    <w:rsid w:val="00545F23"/>
    <w:rsid w:val="0054681B"/>
    <w:rsid w:val="00546F0C"/>
    <w:rsid w:val="00546FBA"/>
    <w:rsid w:val="0054779A"/>
    <w:rsid w:val="00547BA1"/>
    <w:rsid w:val="0055205B"/>
    <w:rsid w:val="00552350"/>
    <w:rsid w:val="00552DB9"/>
    <w:rsid w:val="005541BE"/>
    <w:rsid w:val="00555C95"/>
    <w:rsid w:val="00556101"/>
    <w:rsid w:val="0055619B"/>
    <w:rsid w:val="00557CB1"/>
    <w:rsid w:val="00557F74"/>
    <w:rsid w:val="0056072C"/>
    <w:rsid w:val="0056091E"/>
    <w:rsid w:val="00561371"/>
    <w:rsid w:val="005615BB"/>
    <w:rsid w:val="0056172D"/>
    <w:rsid w:val="005635F3"/>
    <w:rsid w:val="0056411C"/>
    <w:rsid w:val="005642DC"/>
    <w:rsid w:val="00565A35"/>
    <w:rsid w:val="00565B4C"/>
    <w:rsid w:val="005663FF"/>
    <w:rsid w:val="005677E5"/>
    <w:rsid w:val="00567CE7"/>
    <w:rsid w:val="00570D24"/>
    <w:rsid w:val="00573DF9"/>
    <w:rsid w:val="00574887"/>
    <w:rsid w:val="00574C1A"/>
    <w:rsid w:val="0057514E"/>
    <w:rsid w:val="005760F9"/>
    <w:rsid w:val="005773CA"/>
    <w:rsid w:val="00577854"/>
    <w:rsid w:val="00577CED"/>
    <w:rsid w:val="00577E4E"/>
    <w:rsid w:val="00580EEB"/>
    <w:rsid w:val="00580FCF"/>
    <w:rsid w:val="00581CC9"/>
    <w:rsid w:val="00583673"/>
    <w:rsid w:val="00583D08"/>
    <w:rsid w:val="00584491"/>
    <w:rsid w:val="00585118"/>
    <w:rsid w:val="0058599D"/>
    <w:rsid w:val="00587BC2"/>
    <w:rsid w:val="00587BE7"/>
    <w:rsid w:val="00587CBC"/>
    <w:rsid w:val="00592A7A"/>
    <w:rsid w:val="00595DF1"/>
    <w:rsid w:val="00596524"/>
    <w:rsid w:val="00596AB4"/>
    <w:rsid w:val="00597D35"/>
    <w:rsid w:val="005A0F9A"/>
    <w:rsid w:val="005A4A36"/>
    <w:rsid w:val="005A5B82"/>
    <w:rsid w:val="005A6D6D"/>
    <w:rsid w:val="005A7264"/>
    <w:rsid w:val="005B1601"/>
    <w:rsid w:val="005B3117"/>
    <w:rsid w:val="005B4CFC"/>
    <w:rsid w:val="005B54E7"/>
    <w:rsid w:val="005B58B0"/>
    <w:rsid w:val="005B5C88"/>
    <w:rsid w:val="005B6E0D"/>
    <w:rsid w:val="005B76E6"/>
    <w:rsid w:val="005C01B7"/>
    <w:rsid w:val="005C0298"/>
    <w:rsid w:val="005C0769"/>
    <w:rsid w:val="005C2E7E"/>
    <w:rsid w:val="005C360A"/>
    <w:rsid w:val="005C3A17"/>
    <w:rsid w:val="005C4280"/>
    <w:rsid w:val="005C5B1E"/>
    <w:rsid w:val="005C5D5E"/>
    <w:rsid w:val="005C5FEE"/>
    <w:rsid w:val="005C6798"/>
    <w:rsid w:val="005C7EE9"/>
    <w:rsid w:val="005D221C"/>
    <w:rsid w:val="005D2A43"/>
    <w:rsid w:val="005D3048"/>
    <w:rsid w:val="005D381A"/>
    <w:rsid w:val="005D6EA0"/>
    <w:rsid w:val="005E0C1D"/>
    <w:rsid w:val="005E1CFE"/>
    <w:rsid w:val="005E1FCF"/>
    <w:rsid w:val="005E3188"/>
    <w:rsid w:val="005E4F06"/>
    <w:rsid w:val="005E6B36"/>
    <w:rsid w:val="005E76E2"/>
    <w:rsid w:val="005E7B36"/>
    <w:rsid w:val="005F02E6"/>
    <w:rsid w:val="005F10F1"/>
    <w:rsid w:val="005F1911"/>
    <w:rsid w:val="005F2CBA"/>
    <w:rsid w:val="005F2EF8"/>
    <w:rsid w:val="005F3216"/>
    <w:rsid w:val="005F4DFE"/>
    <w:rsid w:val="005F4EF9"/>
    <w:rsid w:val="005F6C07"/>
    <w:rsid w:val="005F7293"/>
    <w:rsid w:val="006015AE"/>
    <w:rsid w:val="006017B1"/>
    <w:rsid w:val="00603AA8"/>
    <w:rsid w:val="0060685F"/>
    <w:rsid w:val="00607066"/>
    <w:rsid w:val="00607197"/>
    <w:rsid w:val="00607A16"/>
    <w:rsid w:val="00607D09"/>
    <w:rsid w:val="006109F8"/>
    <w:rsid w:val="006111BB"/>
    <w:rsid w:val="00611BD4"/>
    <w:rsid w:val="00612337"/>
    <w:rsid w:val="006147EA"/>
    <w:rsid w:val="006158C8"/>
    <w:rsid w:val="00623075"/>
    <w:rsid w:val="00623495"/>
    <w:rsid w:val="00623910"/>
    <w:rsid w:val="00624A27"/>
    <w:rsid w:val="00624CCA"/>
    <w:rsid w:val="00624D74"/>
    <w:rsid w:val="006266B9"/>
    <w:rsid w:val="0062716D"/>
    <w:rsid w:val="00627489"/>
    <w:rsid w:val="00627AF2"/>
    <w:rsid w:val="006310B7"/>
    <w:rsid w:val="00632079"/>
    <w:rsid w:val="006327E7"/>
    <w:rsid w:val="00632F94"/>
    <w:rsid w:val="00633031"/>
    <w:rsid w:val="0063632F"/>
    <w:rsid w:val="00637ADA"/>
    <w:rsid w:val="00640E38"/>
    <w:rsid w:val="00641608"/>
    <w:rsid w:val="006427D2"/>
    <w:rsid w:val="00645D3B"/>
    <w:rsid w:val="00650C56"/>
    <w:rsid w:val="00652320"/>
    <w:rsid w:val="00652858"/>
    <w:rsid w:val="00653576"/>
    <w:rsid w:val="00653A68"/>
    <w:rsid w:val="006542D8"/>
    <w:rsid w:val="006558DC"/>
    <w:rsid w:val="00656B27"/>
    <w:rsid w:val="00657F8B"/>
    <w:rsid w:val="00660401"/>
    <w:rsid w:val="006605CE"/>
    <w:rsid w:val="006618FC"/>
    <w:rsid w:val="00662DB6"/>
    <w:rsid w:val="00663D00"/>
    <w:rsid w:val="00663E86"/>
    <w:rsid w:val="006646BC"/>
    <w:rsid w:val="00665379"/>
    <w:rsid w:val="006667E2"/>
    <w:rsid w:val="00671B7E"/>
    <w:rsid w:val="006725D3"/>
    <w:rsid w:val="0067275B"/>
    <w:rsid w:val="006728A7"/>
    <w:rsid w:val="0067563D"/>
    <w:rsid w:val="006767BC"/>
    <w:rsid w:val="00681D75"/>
    <w:rsid w:val="0068242E"/>
    <w:rsid w:val="00682BB7"/>
    <w:rsid w:val="006836CB"/>
    <w:rsid w:val="006839EE"/>
    <w:rsid w:val="00684BAF"/>
    <w:rsid w:val="00684D54"/>
    <w:rsid w:val="006854C5"/>
    <w:rsid w:val="00687F17"/>
    <w:rsid w:val="00690916"/>
    <w:rsid w:val="00694392"/>
    <w:rsid w:val="00696EBB"/>
    <w:rsid w:val="006970FC"/>
    <w:rsid w:val="006A1F10"/>
    <w:rsid w:val="006A27F5"/>
    <w:rsid w:val="006A3146"/>
    <w:rsid w:val="006A3CD7"/>
    <w:rsid w:val="006A4D4E"/>
    <w:rsid w:val="006A583D"/>
    <w:rsid w:val="006A5BA0"/>
    <w:rsid w:val="006A79D1"/>
    <w:rsid w:val="006B17C5"/>
    <w:rsid w:val="006B3C49"/>
    <w:rsid w:val="006B553B"/>
    <w:rsid w:val="006B5881"/>
    <w:rsid w:val="006B630A"/>
    <w:rsid w:val="006B66BF"/>
    <w:rsid w:val="006B7C24"/>
    <w:rsid w:val="006C06CE"/>
    <w:rsid w:val="006C1281"/>
    <w:rsid w:val="006C1577"/>
    <w:rsid w:val="006C1A37"/>
    <w:rsid w:val="006C20B7"/>
    <w:rsid w:val="006C485D"/>
    <w:rsid w:val="006C53E7"/>
    <w:rsid w:val="006C5ACD"/>
    <w:rsid w:val="006C6300"/>
    <w:rsid w:val="006C7A82"/>
    <w:rsid w:val="006D1544"/>
    <w:rsid w:val="006D1AC9"/>
    <w:rsid w:val="006D36B7"/>
    <w:rsid w:val="006D3A49"/>
    <w:rsid w:val="006D4173"/>
    <w:rsid w:val="006D4F4D"/>
    <w:rsid w:val="006D556A"/>
    <w:rsid w:val="006D61FF"/>
    <w:rsid w:val="006D686D"/>
    <w:rsid w:val="006D6C64"/>
    <w:rsid w:val="006E0F75"/>
    <w:rsid w:val="006E16F1"/>
    <w:rsid w:val="006E1C88"/>
    <w:rsid w:val="006E29EF"/>
    <w:rsid w:val="006E359B"/>
    <w:rsid w:val="006E6A5F"/>
    <w:rsid w:val="006E6DAA"/>
    <w:rsid w:val="006E75BF"/>
    <w:rsid w:val="006F09B5"/>
    <w:rsid w:val="006F0FDD"/>
    <w:rsid w:val="006F1349"/>
    <w:rsid w:val="006F201F"/>
    <w:rsid w:val="006F20C1"/>
    <w:rsid w:val="006F2C03"/>
    <w:rsid w:val="006F3188"/>
    <w:rsid w:val="006F3AE1"/>
    <w:rsid w:val="006F48B3"/>
    <w:rsid w:val="006F48B8"/>
    <w:rsid w:val="006F4ACE"/>
    <w:rsid w:val="006F553C"/>
    <w:rsid w:val="006F5924"/>
    <w:rsid w:val="006F5E1E"/>
    <w:rsid w:val="006F6258"/>
    <w:rsid w:val="006F65E1"/>
    <w:rsid w:val="006F7F8E"/>
    <w:rsid w:val="00700FDB"/>
    <w:rsid w:val="00701552"/>
    <w:rsid w:val="00701F15"/>
    <w:rsid w:val="00703ADC"/>
    <w:rsid w:val="00703E84"/>
    <w:rsid w:val="00704329"/>
    <w:rsid w:val="007046D5"/>
    <w:rsid w:val="00704D5C"/>
    <w:rsid w:val="00704FDE"/>
    <w:rsid w:val="00705448"/>
    <w:rsid w:val="00705467"/>
    <w:rsid w:val="007054C0"/>
    <w:rsid w:val="0070582F"/>
    <w:rsid w:val="007101F2"/>
    <w:rsid w:val="00711104"/>
    <w:rsid w:val="00711435"/>
    <w:rsid w:val="007122EC"/>
    <w:rsid w:val="00714504"/>
    <w:rsid w:val="0071487B"/>
    <w:rsid w:val="0071742A"/>
    <w:rsid w:val="00717B6C"/>
    <w:rsid w:val="00717DB0"/>
    <w:rsid w:val="007233C9"/>
    <w:rsid w:val="00723FC1"/>
    <w:rsid w:val="0072533D"/>
    <w:rsid w:val="00725779"/>
    <w:rsid w:val="00730773"/>
    <w:rsid w:val="00730E8F"/>
    <w:rsid w:val="00730EE2"/>
    <w:rsid w:val="00731D48"/>
    <w:rsid w:val="0073219A"/>
    <w:rsid w:val="00733D9F"/>
    <w:rsid w:val="00734242"/>
    <w:rsid w:val="00734484"/>
    <w:rsid w:val="007400DA"/>
    <w:rsid w:val="00742076"/>
    <w:rsid w:val="00743F5F"/>
    <w:rsid w:val="007441F9"/>
    <w:rsid w:val="00745136"/>
    <w:rsid w:val="00745331"/>
    <w:rsid w:val="00745A15"/>
    <w:rsid w:val="00745DD2"/>
    <w:rsid w:val="00751354"/>
    <w:rsid w:val="007534BB"/>
    <w:rsid w:val="00753AF0"/>
    <w:rsid w:val="00754D63"/>
    <w:rsid w:val="00755F96"/>
    <w:rsid w:val="00756247"/>
    <w:rsid w:val="00756909"/>
    <w:rsid w:val="00760D10"/>
    <w:rsid w:val="00761AC8"/>
    <w:rsid w:val="00761F3A"/>
    <w:rsid w:val="00762108"/>
    <w:rsid w:val="00763CF9"/>
    <w:rsid w:val="0076674B"/>
    <w:rsid w:val="00770E38"/>
    <w:rsid w:val="007751DE"/>
    <w:rsid w:val="00776AF1"/>
    <w:rsid w:val="00777B18"/>
    <w:rsid w:val="00777ECE"/>
    <w:rsid w:val="0078032D"/>
    <w:rsid w:val="0078133D"/>
    <w:rsid w:val="00781A7B"/>
    <w:rsid w:val="00781E34"/>
    <w:rsid w:val="00782FE6"/>
    <w:rsid w:val="00785038"/>
    <w:rsid w:val="007856F5"/>
    <w:rsid w:val="00785785"/>
    <w:rsid w:val="00785823"/>
    <w:rsid w:val="00786AF9"/>
    <w:rsid w:val="0078780F"/>
    <w:rsid w:val="00790233"/>
    <w:rsid w:val="007903DE"/>
    <w:rsid w:val="00791DED"/>
    <w:rsid w:val="00792AA8"/>
    <w:rsid w:val="00792BF0"/>
    <w:rsid w:val="00793AAE"/>
    <w:rsid w:val="00794972"/>
    <w:rsid w:val="00796DAF"/>
    <w:rsid w:val="00796EE7"/>
    <w:rsid w:val="00797022"/>
    <w:rsid w:val="007A0686"/>
    <w:rsid w:val="007A17D3"/>
    <w:rsid w:val="007A1F32"/>
    <w:rsid w:val="007A3ABE"/>
    <w:rsid w:val="007A4CB0"/>
    <w:rsid w:val="007A5B52"/>
    <w:rsid w:val="007A60F8"/>
    <w:rsid w:val="007A62C3"/>
    <w:rsid w:val="007A6FCF"/>
    <w:rsid w:val="007B341B"/>
    <w:rsid w:val="007B4102"/>
    <w:rsid w:val="007B651A"/>
    <w:rsid w:val="007B6648"/>
    <w:rsid w:val="007B6669"/>
    <w:rsid w:val="007C03C2"/>
    <w:rsid w:val="007C2596"/>
    <w:rsid w:val="007C311B"/>
    <w:rsid w:val="007C462E"/>
    <w:rsid w:val="007C506B"/>
    <w:rsid w:val="007C5F1B"/>
    <w:rsid w:val="007C7950"/>
    <w:rsid w:val="007D0986"/>
    <w:rsid w:val="007D10A3"/>
    <w:rsid w:val="007D33C2"/>
    <w:rsid w:val="007D59A7"/>
    <w:rsid w:val="007D698B"/>
    <w:rsid w:val="007D7BB6"/>
    <w:rsid w:val="007D7E79"/>
    <w:rsid w:val="007E18FE"/>
    <w:rsid w:val="007E2402"/>
    <w:rsid w:val="007E2F1C"/>
    <w:rsid w:val="007E49FE"/>
    <w:rsid w:val="007E5D35"/>
    <w:rsid w:val="007F52A6"/>
    <w:rsid w:val="007F55E8"/>
    <w:rsid w:val="007F5789"/>
    <w:rsid w:val="007F68DA"/>
    <w:rsid w:val="008004E7"/>
    <w:rsid w:val="00801077"/>
    <w:rsid w:val="00801CD5"/>
    <w:rsid w:val="00802487"/>
    <w:rsid w:val="0080276C"/>
    <w:rsid w:val="0080335D"/>
    <w:rsid w:val="008055BF"/>
    <w:rsid w:val="008060C8"/>
    <w:rsid w:val="00810F5C"/>
    <w:rsid w:val="008116EB"/>
    <w:rsid w:val="00811DA3"/>
    <w:rsid w:val="00812723"/>
    <w:rsid w:val="008138A6"/>
    <w:rsid w:val="00814A6A"/>
    <w:rsid w:val="00814ED4"/>
    <w:rsid w:val="008152E3"/>
    <w:rsid w:val="0081557C"/>
    <w:rsid w:val="008159B1"/>
    <w:rsid w:val="00816229"/>
    <w:rsid w:val="00816CC6"/>
    <w:rsid w:val="00820282"/>
    <w:rsid w:val="00820651"/>
    <w:rsid w:val="0082117F"/>
    <w:rsid w:val="00822F04"/>
    <w:rsid w:val="008257EA"/>
    <w:rsid w:val="0082619C"/>
    <w:rsid w:val="008273ED"/>
    <w:rsid w:val="00827F2F"/>
    <w:rsid w:val="008310DF"/>
    <w:rsid w:val="00831A0D"/>
    <w:rsid w:val="0083454F"/>
    <w:rsid w:val="00835DD4"/>
    <w:rsid w:val="00836A2F"/>
    <w:rsid w:val="00836AD2"/>
    <w:rsid w:val="008375CC"/>
    <w:rsid w:val="008415CC"/>
    <w:rsid w:val="0084235F"/>
    <w:rsid w:val="00842386"/>
    <w:rsid w:val="00842862"/>
    <w:rsid w:val="00842B56"/>
    <w:rsid w:val="00844A64"/>
    <w:rsid w:val="00845199"/>
    <w:rsid w:val="008453BC"/>
    <w:rsid w:val="00847DFE"/>
    <w:rsid w:val="00847E52"/>
    <w:rsid w:val="0085002A"/>
    <w:rsid w:val="00850D67"/>
    <w:rsid w:val="00851111"/>
    <w:rsid w:val="008525CF"/>
    <w:rsid w:val="008542CC"/>
    <w:rsid w:val="008567D5"/>
    <w:rsid w:val="00856E55"/>
    <w:rsid w:val="00860973"/>
    <w:rsid w:val="00860B77"/>
    <w:rsid w:val="0086142A"/>
    <w:rsid w:val="0086183E"/>
    <w:rsid w:val="00861E02"/>
    <w:rsid w:val="008648B5"/>
    <w:rsid w:val="008651CB"/>
    <w:rsid w:val="00865A78"/>
    <w:rsid w:val="0086641A"/>
    <w:rsid w:val="00867277"/>
    <w:rsid w:val="00867F68"/>
    <w:rsid w:val="0087119F"/>
    <w:rsid w:val="00871454"/>
    <w:rsid w:val="008737D3"/>
    <w:rsid w:val="00873E0E"/>
    <w:rsid w:val="00874821"/>
    <w:rsid w:val="00877CBF"/>
    <w:rsid w:val="00880C87"/>
    <w:rsid w:val="008823CF"/>
    <w:rsid w:val="00882D53"/>
    <w:rsid w:val="00883437"/>
    <w:rsid w:val="008834C5"/>
    <w:rsid w:val="00883C24"/>
    <w:rsid w:val="00884638"/>
    <w:rsid w:val="00884E20"/>
    <w:rsid w:val="008853F8"/>
    <w:rsid w:val="00885BBF"/>
    <w:rsid w:val="00890E19"/>
    <w:rsid w:val="00891C86"/>
    <w:rsid w:val="00893504"/>
    <w:rsid w:val="0089365A"/>
    <w:rsid w:val="008953BD"/>
    <w:rsid w:val="008A095F"/>
    <w:rsid w:val="008A148D"/>
    <w:rsid w:val="008A3F20"/>
    <w:rsid w:val="008A4553"/>
    <w:rsid w:val="008A4628"/>
    <w:rsid w:val="008A4EE4"/>
    <w:rsid w:val="008B0054"/>
    <w:rsid w:val="008B0902"/>
    <w:rsid w:val="008B33C2"/>
    <w:rsid w:val="008B47CB"/>
    <w:rsid w:val="008B63FD"/>
    <w:rsid w:val="008B6A6C"/>
    <w:rsid w:val="008C059D"/>
    <w:rsid w:val="008C15BB"/>
    <w:rsid w:val="008C2066"/>
    <w:rsid w:val="008C28E5"/>
    <w:rsid w:val="008C2F88"/>
    <w:rsid w:val="008C3211"/>
    <w:rsid w:val="008C449F"/>
    <w:rsid w:val="008C4E5F"/>
    <w:rsid w:val="008C6886"/>
    <w:rsid w:val="008C6C82"/>
    <w:rsid w:val="008C7DA5"/>
    <w:rsid w:val="008D15F7"/>
    <w:rsid w:val="008D1FDE"/>
    <w:rsid w:val="008D351D"/>
    <w:rsid w:val="008D5068"/>
    <w:rsid w:val="008E1C45"/>
    <w:rsid w:val="008E2238"/>
    <w:rsid w:val="008E234C"/>
    <w:rsid w:val="008E242E"/>
    <w:rsid w:val="008E2755"/>
    <w:rsid w:val="008E4830"/>
    <w:rsid w:val="008E523D"/>
    <w:rsid w:val="008E52E5"/>
    <w:rsid w:val="008E5607"/>
    <w:rsid w:val="008E5D7F"/>
    <w:rsid w:val="008E647B"/>
    <w:rsid w:val="008E7B61"/>
    <w:rsid w:val="008F2F80"/>
    <w:rsid w:val="008F3203"/>
    <w:rsid w:val="008F3AE2"/>
    <w:rsid w:val="008F3C47"/>
    <w:rsid w:val="008F4998"/>
    <w:rsid w:val="008F5B2E"/>
    <w:rsid w:val="008F5C3B"/>
    <w:rsid w:val="008F6221"/>
    <w:rsid w:val="008F63AA"/>
    <w:rsid w:val="008F722B"/>
    <w:rsid w:val="008F777B"/>
    <w:rsid w:val="008F7CCE"/>
    <w:rsid w:val="00904EA0"/>
    <w:rsid w:val="009064E2"/>
    <w:rsid w:val="009077C7"/>
    <w:rsid w:val="009106DF"/>
    <w:rsid w:val="00911359"/>
    <w:rsid w:val="0091220E"/>
    <w:rsid w:val="0091465A"/>
    <w:rsid w:val="009177A1"/>
    <w:rsid w:val="00917D8E"/>
    <w:rsid w:val="00920216"/>
    <w:rsid w:val="00920463"/>
    <w:rsid w:val="009231E5"/>
    <w:rsid w:val="009238C7"/>
    <w:rsid w:val="00923D68"/>
    <w:rsid w:val="009245CA"/>
    <w:rsid w:val="009245E2"/>
    <w:rsid w:val="00926E4D"/>
    <w:rsid w:val="009306ED"/>
    <w:rsid w:val="0093352D"/>
    <w:rsid w:val="0093354F"/>
    <w:rsid w:val="009376FF"/>
    <w:rsid w:val="009400FC"/>
    <w:rsid w:val="00940185"/>
    <w:rsid w:val="00940BCD"/>
    <w:rsid w:val="00941014"/>
    <w:rsid w:val="00941279"/>
    <w:rsid w:val="00941FA5"/>
    <w:rsid w:val="00942B5B"/>
    <w:rsid w:val="00945052"/>
    <w:rsid w:val="009462D5"/>
    <w:rsid w:val="009501D1"/>
    <w:rsid w:val="00950460"/>
    <w:rsid w:val="00950946"/>
    <w:rsid w:val="00950BC8"/>
    <w:rsid w:val="00951A50"/>
    <w:rsid w:val="00953A66"/>
    <w:rsid w:val="00953EB6"/>
    <w:rsid w:val="0095456C"/>
    <w:rsid w:val="009547B3"/>
    <w:rsid w:val="00956905"/>
    <w:rsid w:val="00957B42"/>
    <w:rsid w:val="009614C6"/>
    <w:rsid w:val="0096279D"/>
    <w:rsid w:val="00962BFB"/>
    <w:rsid w:val="00962E1C"/>
    <w:rsid w:val="009630F5"/>
    <w:rsid w:val="0096349D"/>
    <w:rsid w:val="00964954"/>
    <w:rsid w:val="00966DDA"/>
    <w:rsid w:val="00966DEC"/>
    <w:rsid w:val="00967935"/>
    <w:rsid w:val="00971FA8"/>
    <w:rsid w:val="009729CD"/>
    <w:rsid w:val="00975494"/>
    <w:rsid w:val="0097673B"/>
    <w:rsid w:val="00981C3F"/>
    <w:rsid w:val="0098412F"/>
    <w:rsid w:val="00985A0E"/>
    <w:rsid w:val="00987C7D"/>
    <w:rsid w:val="00990380"/>
    <w:rsid w:val="009904B3"/>
    <w:rsid w:val="00990DF5"/>
    <w:rsid w:val="0099102F"/>
    <w:rsid w:val="00992194"/>
    <w:rsid w:val="009921DB"/>
    <w:rsid w:val="00992B49"/>
    <w:rsid w:val="009940EF"/>
    <w:rsid w:val="00994A8D"/>
    <w:rsid w:val="00994D06"/>
    <w:rsid w:val="00997CF0"/>
    <w:rsid w:val="009A0BBC"/>
    <w:rsid w:val="009A31CE"/>
    <w:rsid w:val="009A3810"/>
    <w:rsid w:val="009A5AFD"/>
    <w:rsid w:val="009A5B1B"/>
    <w:rsid w:val="009A6EFD"/>
    <w:rsid w:val="009B067D"/>
    <w:rsid w:val="009B16EE"/>
    <w:rsid w:val="009B2AE3"/>
    <w:rsid w:val="009B39DC"/>
    <w:rsid w:val="009B61E7"/>
    <w:rsid w:val="009B724D"/>
    <w:rsid w:val="009B78F6"/>
    <w:rsid w:val="009C0087"/>
    <w:rsid w:val="009C00F1"/>
    <w:rsid w:val="009C2FB3"/>
    <w:rsid w:val="009C3AC9"/>
    <w:rsid w:val="009C43EB"/>
    <w:rsid w:val="009C4FC4"/>
    <w:rsid w:val="009C600E"/>
    <w:rsid w:val="009C6E72"/>
    <w:rsid w:val="009C7BFA"/>
    <w:rsid w:val="009D0449"/>
    <w:rsid w:val="009D2723"/>
    <w:rsid w:val="009D31A2"/>
    <w:rsid w:val="009D3C3F"/>
    <w:rsid w:val="009D4D67"/>
    <w:rsid w:val="009D5E36"/>
    <w:rsid w:val="009D635B"/>
    <w:rsid w:val="009D66DC"/>
    <w:rsid w:val="009D7F6F"/>
    <w:rsid w:val="009E0393"/>
    <w:rsid w:val="009E07D3"/>
    <w:rsid w:val="009E1169"/>
    <w:rsid w:val="009E77ED"/>
    <w:rsid w:val="009F06F2"/>
    <w:rsid w:val="009F635E"/>
    <w:rsid w:val="00A00108"/>
    <w:rsid w:val="00A01196"/>
    <w:rsid w:val="00A012D2"/>
    <w:rsid w:val="00A02387"/>
    <w:rsid w:val="00A028F8"/>
    <w:rsid w:val="00A02C5D"/>
    <w:rsid w:val="00A03969"/>
    <w:rsid w:val="00A05FBD"/>
    <w:rsid w:val="00A10C6A"/>
    <w:rsid w:val="00A116B7"/>
    <w:rsid w:val="00A125A6"/>
    <w:rsid w:val="00A1293F"/>
    <w:rsid w:val="00A136FA"/>
    <w:rsid w:val="00A140D3"/>
    <w:rsid w:val="00A1446B"/>
    <w:rsid w:val="00A167F2"/>
    <w:rsid w:val="00A17EFE"/>
    <w:rsid w:val="00A20C78"/>
    <w:rsid w:val="00A21DF8"/>
    <w:rsid w:val="00A2312E"/>
    <w:rsid w:val="00A24323"/>
    <w:rsid w:val="00A244A2"/>
    <w:rsid w:val="00A2455F"/>
    <w:rsid w:val="00A2512C"/>
    <w:rsid w:val="00A2515B"/>
    <w:rsid w:val="00A256C9"/>
    <w:rsid w:val="00A2588E"/>
    <w:rsid w:val="00A26EDF"/>
    <w:rsid w:val="00A317AF"/>
    <w:rsid w:val="00A31A21"/>
    <w:rsid w:val="00A33174"/>
    <w:rsid w:val="00A33CF5"/>
    <w:rsid w:val="00A34789"/>
    <w:rsid w:val="00A3630E"/>
    <w:rsid w:val="00A37265"/>
    <w:rsid w:val="00A37BB8"/>
    <w:rsid w:val="00A37D74"/>
    <w:rsid w:val="00A40D93"/>
    <w:rsid w:val="00A419EB"/>
    <w:rsid w:val="00A41FF8"/>
    <w:rsid w:val="00A42D87"/>
    <w:rsid w:val="00A43B41"/>
    <w:rsid w:val="00A444EA"/>
    <w:rsid w:val="00A44BD3"/>
    <w:rsid w:val="00A4521D"/>
    <w:rsid w:val="00A454B7"/>
    <w:rsid w:val="00A46D6F"/>
    <w:rsid w:val="00A478B1"/>
    <w:rsid w:val="00A51F0A"/>
    <w:rsid w:val="00A5384E"/>
    <w:rsid w:val="00A54EF2"/>
    <w:rsid w:val="00A55D48"/>
    <w:rsid w:val="00A56958"/>
    <w:rsid w:val="00A56CAE"/>
    <w:rsid w:val="00A56F06"/>
    <w:rsid w:val="00A57BEB"/>
    <w:rsid w:val="00A61673"/>
    <w:rsid w:val="00A636AC"/>
    <w:rsid w:val="00A63ED1"/>
    <w:rsid w:val="00A64926"/>
    <w:rsid w:val="00A64BA5"/>
    <w:rsid w:val="00A665CF"/>
    <w:rsid w:val="00A66EDE"/>
    <w:rsid w:val="00A67CA7"/>
    <w:rsid w:val="00A70015"/>
    <w:rsid w:val="00A705E9"/>
    <w:rsid w:val="00A7090A"/>
    <w:rsid w:val="00A72084"/>
    <w:rsid w:val="00A72BE7"/>
    <w:rsid w:val="00A73360"/>
    <w:rsid w:val="00A73989"/>
    <w:rsid w:val="00A73CFB"/>
    <w:rsid w:val="00A74A51"/>
    <w:rsid w:val="00A75B3F"/>
    <w:rsid w:val="00A773F4"/>
    <w:rsid w:val="00A7752F"/>
    <w:rsid w:val="00A77691"/>
    <w:rsid w:val="00A8012D"/>
    <w:rsid w:val="00A81BF1"/>
    <w:rsid w:val="00A831DD"/>
    <w:rsid w:val="00A84356"/>
    <w:rsid w:val="00A8515A"/>
    <w:rsid w:val="00A85C35"/>
    <w:rsid w:val="00A87623"/>
    <w:rsid w:val="00A91484"/>
    <w:rsid w:val="00A92061"/>
    <w:rsid w:val="00A923CC"/>
    <w:rsid w:val="00A9350A"/>
    <w:rsid w:val="00A94249"/>
    <w:rsid w:val="00A94BC9"/>
    <w:rsid w:val="00A95709"/>
    <w:rsid w:val="00A959BC"/>
    <w:rsid w:val="00A96563"/>
    <w:rsid w:val="00A96740"/>
    <w:rsid w:val="00A967BE"/>
    <w:rsid w:val="00A97FAC"/>
    <w:rsid w:val="00AA2562"/>
    <w:rsid w:val="00AA2D3D"/>
    <w:rsid w:val="00AA3059"/>
    <w:rsid w:val="00AA3471"/>
    <w:rsid w:val="00AA3C60"/>
    <w:rsid w:val="00AA4C3E"/>
    <w:rsid w:val="00AB1B1D"/>
    <w:rsid w:val="00AB2032"/>
    <w:rsid w:val="00AB2FF4"/>
    <w:rsid w:val="00AB4D0A"/>
    <w:rsid w:val="00AB5F9C"/>
    <w:rsid w:val="00AB6FCC"/>
    <w:rsid w:val="00AC1AD6"/>
    <w:rsid w:val="00AC397C"/>
    <w:rsid w:val="00AC4D0B"/>
    <w:rsid w:val="00AD395D"/>
    <w:rsid w:val="00AD64DF"/>
    <w:rsid w:val="00AD655C"/>
    <w:rsid w:val="00AE0F90"/>
    <w:rsid w:val="00AE1025"/>
    <w:rsid w:val="00AE3621"/>
    <w:rsid w:val="00AE3F03"/>
    <w:rsid w:val="00AE4B23"/>
    <w:rsid w:val="00AE4E7A"/>
    <w:rsid w:val="00AE64F0"/>
    <w:rsid w:val="00AE694A"/>
    <w:rsid w:val="00AE6AB8"/>
    <w:rsid w:val="00AF214C"/>
    <w:rsid w:val="00AF23C8"/>
    <w:rsid w:val="00AF2AE2"/>
    <w:rsid w:val="00AF4029"/>
    <w:rsid w:val="00AF56C0"/>
    <w:rsid w:val="00B00915"/>
    <w:rsid w:val="00B029E0"/>
    <w:rsid w:val="00B0377E"/>
    <w:rsid w:val="00B07BA9"/>
    <w:rsid w:val="00B07D55"/>
    <w:rsid w:val="00B10055"/>
    <w:rsid w:val="00B1141E"/>
    <w:rsid w:val="00B1278B"/>
    <w:rsid w:val="00B12DF0"/>
    <w:rsid w:val="00B12DFA"/>
    <w:rsid w:val="00B15A4B"/>
    <w:rsid w:val="00B17263"/>
    <w:rsid w:val="00B17295"/>
    <w:rsid w:val="00B215F5"/>
    <w:rsid w:val="00B22ABB"/>
    <w:rsid w:val="00B22B4A"/>
    <w:rsid w:val="00B22F6E"/>
    <w:rsid w:val="00B2344A"/>
    <w:rsid w:val="00B26B62"/>
    <w:rsid w:val="00B27A54"/>
    <w:rsid w:val="00B27F9B"/>
    <w:rsid w:val="00B30783"/>
    <w:rsid w:val="00B338E9"/>
    <w:rsid w:val="00B33C74"/>
    <w:rsid w:val="00B3541B"/>
    <w:rsid w:val="00B35875"/>
    <w:rsid w:val="00B375D3"/>
    <w:rsid w:val="00B37B74"/>
    <w:rsid w:val="00B37DE3"/>
    <w:rsid w:val="00B41F0F"/>
    <w:rsid w:val="00B42560"/>
    <w:rsid w:val="00B455AA"/>
    <w:rsid w:val="00B45778"/>
    <w:rsid w:val="00B457A1"/>
    <w:rsid w:val="00B45A22"/>
    <w:rsid w:val="00B4630F"/>
    <w:rsid w:val="00B464B1"/>
    <w:rsid w:val="00B47A4A"/>
    <w:rsid w:val="00B47B99"/>
    <w:rsid w:val="00B506F2"/>
    <w:rsid w:val="00B50C9C"/>
    <w:rsid w:val="00B510E3"/>
    <w:rsid w:val="00B5119D"/>
    <w:rsid w:val="00B51B52"/>
    <w:rsid w:val="00B521AC"/>
    <w:rsid w:val="00B52702"/>
    <w:rsid w:val="00B539F9"/>
    <w:rsid w:val="00B5498D"/>
    <w:rsid w:val="00B549FE"/>
    <w:rsid w:val="00B5501D"/>
    <w:rsid w:val="00B55A57"/>
    <w:rsid w:val="00B56DAC"/>
    <w:rsid w:val="00B600CE"/>
    <w:rsid w:val="00B6151E"/>
    <w:rsid w:val="00B64277"/>
    <w:rsid w:val="00B64962"/>
    <w:rsid w:val="00B65215"/>
    <w:rsid w:val="00B66DFA"/>
    <w:rsid w:val="00B676EC"/>
    <w:rsid w:val="00B7016C"/>
    <w:rsid w:val="00B7039B"/>
    <w:rsid w:val="00B70F4A"/>
    <w:rsid w:val="00B71E9F"/>
    <w:rsid w:val="00B736AB"/>
    <w:rsid w:val="00B74D1E"/>
    <w:rsid w:val="00B750E0"/>
    <w:rsid w:val="00B76A18"/>
    <w:rsid w:val="00B80C3B"/>
    <w:rsid w:val="00B843A1"/>
    <w:rsid w:val="00B84C6C"/>
    <w:rsid w:val="00B85BFE"/>
    <w:rsid w:val="00B9176D"/>
    <w:rsid w:val="00B92687"/>
    <w:rsid w:val="00B93F59"/>
    <w:rsid w:val="00B94248"/>
    <w:rsid w:val="00B942A1"/>
    <w:rsid w:val="00B94882"/>
    <w:rsid w:val="00B94B4F"/>
    <w:rsid w:val="00B976F6"/>
    <w:rsid w:val="00BA2891"/>
    <w:rsid w:val="00BA5F41"/>
    <w:rsid w:val="00BA7385"/>
    <w:rsid w:val="00BA7DBA"/>
    <w:rsid w:val="00BB187C"/>
    <w:rsid w:val="00BB296B"/>
    <w:rsid w:val="00BB2A9C"/>
    <w:rsid w:val="00BB30E1"/>
    <w:rsid w:val="00BB3622"/>
    <w:rsid w:val="00BB544A"/>
    <w:rsid w:val="00BB5A7D"/>
    <w:rsid w:val="00BB682C"/>
    <w:rsid w:val="00BB7A1B"/>
    <w:rsid w:val="00BB7CA9"/>
    <w:rsid w:val="00BC0A5C"/>
    <w:rsid w:val="00BC236B"/>
    <w:rsid w:val="00BC2BB4"/>
    <w:rsid w:val="00BC2F31"/>
    <w:rsid w:val="00BC376A"/>
    <w:rsid w:val="00BC4DE0"/>
    <w:rsid w:val="00BC56BC"/>
    <w:rsid w:val="00BC65D9"/>
    <w:rsid w:val="00BC6E7D"/>
    <w:rsid w:val="00BC7C52"/>
    <w:rsid w:val="00BD0CF6"/>
    <w:rsid w:val="00BD1471"/>
    <w:rsid w:val="00BD14C5"/>
    <w:rsid w:val="00BD196A"/>
    <w:rsid w:val="00BD2081"/>
    <w:rsid w:val="00BD2311"/>
    <w:rsid w:val="00BD5670"/>
    <w:rsid w:val="00BD58BB"/>
    <w:rsid w:val="00BD5D41"/>
    <w:rsid w:val="00BD6262"/>
    <w:rsid w:val="00BD7643"/>
    <w:rsid w:val="00BD7EED"/>
    <w:rsid w:val="00BE14BF"/>
    <w:rsid w:val="00BE3896"/>
    <w:rsid w:val="00BE4C48"/>
    <w:rsid w:val="00BE50A0"/>
    <w:rsid w:val="00BE61C1"/>
    <w:rsid w:val="00BE64AF"/>
    <w:rsid w:val="00BE6717"/>
    <w:rsid w:val="00BF01EC"/>
    <w:rsid w:val="00BF0381"/>
    <w:rsid w:val="00BF1F70"/>
    <w:rsid w:val="00BF3232"/>
    <w:rsid w:val="00BF446E"/>
    <w:rsid w:val="00BF4E3F"/>
    <w:rsid w:val="00BF6904"/>
    <w:rsid w:val="00BF6E7B"/>
    <w:rsid w:val="00C00504"/>
    <w:rsid w:val="00C01021"/>
    <w:rsid w:val="00C0141F"/>
    <w:rsid w:val="00C016C8"/>
    <w:rsid w:val="00C0247F"/>
    <w:rsid w:val="00C025B0"/>
    <w:rsid w:val="00C028F1"/>
    <w:rsid w:val="00C02F60"/>
    <w:rsid w:val="00C040E0"/>
    <w:rsid w:val="00C0464D"/>
    <w:rsid w:val="00C048AF"/>
    <w:rsid w:val="00C077E0"/>
    <w:rsid w:val="00C07DE6"/>
    <w:rsid w:val="00C10D92"/>
    <w:rsid w:val="00C11D23"/>
    <w:rsid w:val="00C154B5"/>
    <w:rsid w:val="00C156D8"/>
    <w:rsid w:val="00C16A0E"/>
    <w:rsid w:val="00C17872"/>
    <w:rsid w:val="00C205E9"/>
    <w:rsid w:val="00C206E8"/>
    <w:rsid w:val="00C212FC"/>
    <w:rsid w:val="00C22122"/>
    <w:rsid w:val="00C23F48"/>
    <w:rsid w:val="00C25D63"/>
    <w:rsid w:val="00C262BD"/>
    <w:rsid w:val="00C26673"/>
    <w:rsid w:val="00C27049"/>
    <w:rsid w:val="00C27FDD"/>
    <w:rsid w:val="00C309A3"/>
    <w:rsid w:val="00C30E04"/>
    <w:rsid w:val="00C310C2"/>
    <w:rsid w:val="00C32385"/>
    <w:rsid w:val="00C33899"/>
    <w:rsid w:val="00C36074"/>
    <w:rsid w:val="00C36525"/>
    <w:rsid w:val="00C36F76"/>
    <w:rsid w:val="00C40EB3"/>
    <w:rsid w:val="00C414D0"/>
    <w:rsid w:val="00C41BD9"/>
    <w:rsid w:val="00C41D9A"/>
    <w:rsid w:val="00C423AB"/>
    <w:rsid w:val="00C43055"/>
    <w:rsid w:val="00C4332A"/>
    <w:rsid w:val="00C434FD"/>
    <w:rsid w:val="00C4350E"/>
    <w:rsid w:val="00C44770"/>
    <w:rsid w:val="00C44E97"/>
    <w:rsid w:val="00C45A5C"/>
    <w:rsid w:val="00C46868"/>
    <w:rsid w:val="00C47AC7"/>
    <w:rsid w:val="00C513E3"/>
    <w:rsid w:val="00C5192E"/>
    <w:rsid w:val="00C521D2"/>
    <w:rsid w:val="00C52DE6"/>
    <w:rsid w:val="00C54FEB"/>
    <w:rsid w:val="00C55FA9"/>
    <w:rsid w:val="00C56F56"/>
    <w:rsid w:val="00C6016B"/>
    <w:rsid w:val="00C634A7"/>
    <w:rsid w:val="00C638D7"/>
    <w:rsid w:val="00C638DF"/>
    <w:rsid w:val="00C64720"/>
    <w:rsid w:val="00C64E98"/>
    <w:rsid w:val="00C6517F"/>
    <w:rsid w:val="00C65A95"/>
    <w:rsid w:val="00C65F7A"/>
    <w:rsid w:val="00C664E5"/>
    <w:rsid w:val="00C66A01"/>
    <w:rsid w:val="00C66D05"/>
    <w:rsid w:val="00C67BA6"/>
    <w:rsid w:val="00C70DA3"/>
    <w:rsid w:val="00C71920"/>
    <w:rsid w:val="00C72A63"/>
    <w:rsid w:val="00C737A7"/>
    <w:rsid w:val="00C73ECB"/>
    <w:rsid w:val="00C761B3"/>
    <w:rsid w:val="00C777C9"/>
    <w:rsid w:val="00C77A70"/>
    <w:rsid w:val="00C80AE4"/>
    <w:rsid w:val="00C8194C"/>
    <w:rsid w:val="00C81A6B"/>
    <w:rsid w:val="00C85096"/>
    <w:rsid w:val="00C857F1"/>
    <w:rsid w:val="00C8678C"/>
    <w:rsid w:val="00C86A14"/>
    <w:rsid w:val="00C871C4"/>
    <w:rsid w:val="00C90A12"/>
    <w:rsid w:val="00C93928"/>
    <w:rsid w:val="00C97301"/>
    <w:rsid w:val="00CA00B9"/>
    <w:rsid w:val="00CA1130"/>
    <w:rsid w:val="00CA1E7A"/>
    <w:rsid w:val="00CA3089"/>
    <w:rsid w:val="00CA415F"/>
    <w:rsid w:val="00CA529D"/>
    <w:rsid w:val="00CA5EA7"/>
    <w:rsid w:val="00CA6B3D"/>
    <w:rsid w:val="00CA7EAD"/>
    <w:rsid w:val="00CB026C"/>
    <w:rsid w:val="00CB2C14"/>
    <w:rsid w:val="00CB31D6"/>
    <w:rsid w:val="00CB431C"/>
    <w:rsid w:val="00CB440F"/>
    <w:rsid w:val="00CB4525"/>
    <w:rsid w:val="00CB5A49"/>
    <w:rsid w:val="00CB5C15"/>
    <w:rsid w:val="00CB5D51"/>
    <w:rsid w:val="00CB678B"/>
    <w:rsid w:val="00CC1228"/>
    <w:rsid w:val="00CC1A21"/>
    <w:rsid w:val="00CC23F9"/>
    <w:rsid w:val="00CC4EDF"/>
    <w:rsid w:val="00CC5151"/>
    <w:rsid w:val="00CC5BB5"/>
    <w:rsid w:val="00CC5FE8"/>
    <w:rsid w:val="00CC66DE"/>
    <w:rsid w:val="00CC7A19"/>
    <w:rsid w:val="00CC7C0C"/>
    <w:rsid w:val="00CD12F5"/>
    <w:rsid w:val="00CD295A"/>
    <w:rsid w:val="00CD400D"/>
    <w:rsid w:val="00CD528A"/>
    <w:rsid w:val="00CD5694"/>
    <w:rsid w:val="00CD6DD9"/>
    <w:rsid w:val="00CD75B2"/>
    <w:rsid w:val="00CD75E3"/>
    <w:rsid w:val="00CE12A2"/>
    <w:rsid w:val="00CE2627"/>
    <w:rsid w:val="00CE2EB2"/>
    <w:rsid w:val="00CE3DD4"/>
    <w:rsid w:val="00CE525D"/>
    <w:rsid w:val="00CE5C99"/>
    <w:rsid w:val="00CE65F9"/>
    <w:rsid w:val="00CE7669"/>
    <w:rsid w:val="00CF05FF"/>
    <w:rsid w:val="00CF23EE"/>
    <w:rsid w:val="00CF3904"/>
    <w:rsid w:val="00CF41D3"/>
    <w:rsid w:val="00CF56C5"/>
    <w:rsid w:val="00D015CE"/>
    <w:rsid w:val="00D0168C"/>
    <w:rsid w:val="00D01F84"/>
    <w:rsid w:val="00D045E3"/>
    <w:rsid w:val="00D11357"/>
    <w:rsid w:val="00D113DA"/>
    <w:rsid w:val="00D126F7"/>
    <w:rsid w:val="00D129F5"/>
    <w:rsid w:val="00D12ED9"/>
    <w:rsid w:val="00D1342E"/>
    <w:rsid w:val="00D141DD"/>
    <w:rsid w:val="00D1494A"/>
    <w:rsid w:val="00D14A6F"/>
    <w:rsid w:val="00D15608"/>
    <w:rsid w:val="00D171B7"/>
    <w:rsid w:val="00D20A5C"/>
    <w:rsid w:val="00D21887"/>
    <w:rsid w:val="00D23138"/>
    <w:rsid w:val="00D23F7D"/>
    <w:rsid w:val="00D24AB3"/>
    <w:rsid w:val="00D253D8"/>
    <w:rsid w:val="00D2594E"/>
    <w:rsid w:val="00D266DE"/>
    <w:rsid w:val="00D31689"/>
    <w:rsid w:val="00D325D3"/>
    <w:rsid w:val="00D3277E"/>
    <w:rsid w:val="00D355E8"/>
    <w:rsid w:val="00D41048"/>
    <w:rsid w:val="00D4104F"/>
    <w:rsid w:val="00D42302"/>
    <w:rsid w:val="00D43DD6"/>
    <w:rsid w:val="00D442AB"/>
    <w:rsid w:val="00D454EC"/>
    <w:rsid w:val="00D47B0B"/>
    <w:rsid w:val="00D51C2C"/>
    <w:rsid w:val="00D52F4E"/>
    <w:rsid w:val="00D55A36"/>
    <w:rsid w:val="00D5689A"/>
    <w:rsid w:val="00D57072"/>
    <w:rsid w:val="00D61249"/>
    <w:rsid w:val="00D613B9"/>
    <w:rsid w:val="00D61AE5"/>
    <w:rsid w:val="00D61E8D"/>
    <w:rsid w:val="00D64636"/>
    <w:rsid w:val="00D65884"/>
    <w:rsid w:val="00D65E0E"/>
    <w:rsid w:val="00D668E4"/>
    <w:rsid w:val="00D67466"/>
    <w:rsid w:val="00D7047B"/>
    <w:rsid w:val="00D7058F"/>
    <w:rsid w:val="00D70710"/>
    <w:rsid w:val="00D70735"/>
    <w:rsid w:val="00D724FB"/>
    <w:rsid w:val="00D729A9"/>
    <w:rsid w:val="00D72E79"/>
    <w:rsid w:val="00D73C3E"/>
    <w:rsid w:val="00D741F4"/>
    <w:rsid w:val="00D74FEC"/>
    <w:rsid w:val="00D75505"/>
    <w:rsid w:val="00D76695"/>
    <w:rsid w:val="00D778B1"/>
    <w:rsid w:val="00D77DAB"/>
    <w:rsid w:val="00D80998"/>
    <w:rsid w:val="00D8228F"/>
    <w:rsid w:val="00D83CB1"/>
    <w:rsid w:val="00D8403E"/>
    <w:rsid w:val="00D862DA"/>
    <w:rsid w:val="00D8640C"/>
    <w:rsid w:val="00D86456"/>
    <w:rsid w:val="00D86EEE"/>
    <w:rsid w:val="00D870BD"/>
    <w:rsid w:val="00D87A53"/>
    <w:rsid w:val="00D90C9D"/>
    <w:rsid w:val="00D90ED8"/>
    <w:rsid w:val="00D92414"/>
    <w:rsid w:val="00D936C9"/>
    <w:rsid w:val="00D96490"/>
    <w:rsid w:val="00DA1640"/>
    <w:rsid w:val="00DA16FB"/>
    <w:rsid w:val="00DA22B7"/>
    <w:rsid w:val="00DA2674"/>
    <w:rsid w:val="00DA2754"/>
    <w:rsid w:val="00DA3D7B"/>
    <w:rsid w:val="00DA5C47"/>
    <w:rsid w:val="00DA6586"/>
    <w:rsid w:val="00DA6721"/>
    <w:rsid w:val="00DA7189"/>
    <w:rsid w:val="00DA7370"/>
    <w:rsid w:val="00DA797B"/>
    <w:rsid w:val="00DB094E"/>
    <w:rsid w:val="00DB1190"/>
    <w:rsid w:val="00DB19E2"/>
    <w:rsid w:val="00DB2031"/>
    <w:rsid w:val="00DB3B50"/>
    <w:rsid w:val="00DB4594"/>
    <w:rsid w:val="00DB4AA3"/>
    <w:rsid w:val="00DB57FB"/>
    <w:rsid w:val="00DB58B7"/>
    <w:rsid w:val="00DB5C99"/>
    <w:rsid w:val="00DB6828"/>
    <w:rsid w:val="00DB68FF"/>
    <w:rsid w:val="00DB7230"/>
    <w:rsid w:val="00DC13A6"/>
    <w:rsid w:val="00DC1B71"/>
    <w:rsid w:val="00DC32BA"/>
    <w:rsid w:val="00DC5FD8"/>
    <w:rsid w:val="00DD1DE2"/>
    <w:rsid w:val="00DD5418"/>
    <w:rsid w:val="00DD6518"/>
    <w:rsid w:val="00DD6537"/>
    <w:rsid w:val="00DD6667"/>
    <w:rsid w:val="00DD7118"/>
    <w:rsid w:val="00DD7307"/>
    <w:rsid w:val="00DD74A2"/>
    <w:rsid w:val="00DD7621"/>
    <w:rsid w:val="00DE0AD0"/>
    <w:rsid w:val="00DE1DA0"/>
    <w:rsid w:val="00DE3728"/>
    <w:rsid w:val="00DE383B"/>
    <w:rsid w:val="00DE49BE"/>
    <w:rsid w:val="00DE4F72"/>
    <w:rsid w:val="00DE6576"/>
    <w:rsid w:val="00DF0594"/>
    <w:rsid w:val="00DF3281"/>
    <w:rsid w:val="00DF427B"/>
    <w:rsid w:val="00DF4614"/>
    <w:rsid w:val="00DF5FAA"/>
    <w:rsid w:val="00DF6D10"/>
    <w:rsid w:val="00DF7B25"/>
    <w:rsid w:val="00E00B10"/>
    <w:rsid w:val="00E00B67"/>
    <w:rsid w:val="00E01FA8"/>
    <w:rsid w:val="00E04840"/>
    <w:rsid w:val="00E06530"/>
    <w:rsid w:val="00E07CB0"/>
    <w:rsid w:val="00E1108A"/>
    <w:rsid w:val="00E11CDA"/>
    <w:rsid w:val="00E135A1"/>
    <w:rsid w:val="00E1496E"/>
    <w:rsid w:val="00E16EF1"/>
    <w:rsid w:val="00E16F61"/>
    <w:rsid w:val="00E177A0"/>
    <w:rsid w:val="00E17F63"/>
    <w:rsid w:val="00E2039A"/>
    <w:rsid w:val="00E20AF1"/>
    <w:rsid w:val="00E2155F"/>
    <w:rsid w:val="00E229B2"/>
    <w:rsid w:val="00E250F3"/>
    <w:rsid w:val="00E254B3"/>
    <w:rsid w:val="00E31B8D"/>
    <w:rsid w:val="00E33117"/>
    <w:rsid w:val="00E3485F"/>
    <w:rsid w:val="00E34E5C"/>
    <w:rsid w:val="00E368C3"/>
    <w:rsid w:val="00E3745D"/>
    <w:rsid w:val="00E3764A"/>
    <w:rsid w:val="00E409D8"/>
    <w:rsid w:val="00E4243F"/>
    <w:rsid w:val="00E42E65"/>
    <w:rsid w:val="00E43C06"/>
    <w:rsid w:val="00E449B1"/>
    <w:rsid w:val="00E47B31"/>
    <w:rsid w:val="00E501F7"/>
    <w:rsid w:val="00E5082D"/>
    <w:rsid w:val="00E52541"/>
    <w:rsid w:val="00E53D38"/>
    <w:rsid w:val="00E53F93"/>
    <w:rsid w:val="00E5669A"/>
    <w:rsid w:val="00E574A9"/>
    <w:rsid w:val="00E57E58"/>
    <w:rsid w:val="00E61355"/>
    <w:rsid w:val="00E613BC"/>
    <w:rsid w:val="00E61F1E"/>
    <w:rsid w:val="00E62347"/>
    <w:rsid w:val="00E62354"/>
    <w:rsid w:val="00E64C2E"/>
    <w:rsid w:val="00E6684E"/>
    <w:rsid w:val="00E66861"/>
    <w:rsid w:val="00E66C2B"/>
    <w:rsid w:val="00E66E21"/>
    <w:rsid w:val="00E67063"/>
    <w:rsid w:val="00E70F38"/>
    <w:rsid w:val="00E710FC"/>
    <w:rsid w:val="00E71915"/>
    <w:rsid w:val="00E7618F"/>
    <w:rsid w:val="00E80916"/>
    <w:rsid w:val="00E8202D"/>
    <w:rsid w:val="00E82B6A"/>
    <w:rsid w:val="00E836AD"/>
    <w:rsid w:val="00E840DF"/>
    <w:rsid w:val="00E8452A"/>
    <w:rsid w:val="00E8560F"/>
    <w:rsid w:val="00E8780A"/>
    <w:rsid w:val="00E90D21"/>
    <w:rsid w:val="00E931AF"/>
    <w:rsid w:val="00E94335"/>
    <w:rsid w:val="00E957FC"/>
    <w:rsid w:val="00E95B2B"/>
    <w:rsid w:val="00E95CFE"/>
    <w:rsid w:val="00E963FF"/>
    <w:rsid w:val="00E967CF"/>
    <w:rsid w:val="00EA0289"/>
    <w:rsid w:val="00EA06E1"/>
    <w:rsid w:val="00EA30ED"/>
    <w:rsid w:val="00EA4C91"/>
    <w:rsid w:val="00EB11D1"/>
    <w:rsid w:val="00EB181B"/>
    <w:rsid w:val="00EB1CA4"/>
    <w:rsid w:val="00EB2DEA"/>
    <w:rsid w:val="00EB39DA"/>
    <w:rsid w:val="00EB5A77"/>
    <w:rsid w:val="00EB5C16"/>
    <w:rsid w:val="00EC0801"/>
    <w:rsid w:val="00EC311C"/>
    <w:rsid w:val="00EC341C"/>
    <w:rsid w:val="00EC4609"/>
    <w:rsid w:val="00EC52CD"/>
    <w:rsid w:val="00EC6F00"/>
    <w:rsid w:val="00EC7ADA"/>
    <w:rsid w:val="00ED1657"/>
    <w:rsid w:val="00ED2E5C"/>
    <w:rsid w:val="00ED3322"/>
    <w:rsid w:val="00ED520B"/>
    <w:rsid w:val="00ED5637"/>
    <w:rsid w:val="00ED6618"/>
    <w:rsid w:val="00ED7B66"/>
    <w:rsid w:val="00EE1245"/>
    <w:rsid w:val="00EE1B7B"/>
    <w:rsid w:val="00EE553A"/>
    <w:rsid w:val="00EE71C9"/>
    <w:rsid w:val="00EF0429"/>
    <w:rsid w:val="00EF22FE"/>
    <w:rsid w:val="00EF338C"/>
    <w:rsid w:val="00EF352D"/>
    <w:rsid w:val="00EF3BF2"/>
    <w:rsid w:val="00EF4AEE"/>
    <w:rsid w:val="00EF5252"/>
    <w:rsid w:val="00EF6E41"/>
    <w:rsid w:val="00EF7EA0"/>
    <w:rsid w:val="00F03BF4"/>
    <w:rsid w:val="00F03F3B"/>
    <w:rsid w:val="00F0468D"/>
    <w:rsid w:val="00F05F1B"/>
    <w:rsid w:val="00F06600"/>
    <w:rsid w:val="00F07468"/>
    <w:rsid w:val="00F11DDC"/>
    <w:rsid w:val="00F1302B"/>
    <w:rsid w:val="00F13975"/>
    <w:rsid w:val="00F13F76"/>
    <w:rsid w:val="00F153C1"/>
    <w:rsid w:val="00F15FA9"/>
    <w:rsid w:val="00F16C09"/>
    <w:rsid w:val="00F2176B"/>
    <w:rsid w:val="00F217E8"/>
    <w:rsid w:val="00F22D82"/>
    <w:rsid w:val="00F22FE8"/>
    <w:rsid w:val="00F23A8E"/>
    <w:rsid w:val="00F26D40"/>
    <w:rsid w:val="00F270A7"/>
    <w:rsid w:val="00F3003F"/>
    <w:rsid w:val="00F33B5A"/>
    <w:rsid w:val="00F340B6"/>
    <w:rsid w:val="00F3444E"/>
    <w:rsid w:val="00F349DE"/>
    <w:rsid w:val="00F34B8F"/>
    <w:rsid w:val="00F352FF"/>
    <w:rsid w:val="00F361B7"/>
    <w:rsid w:val="00F409B8"/>
    <w:rsid w:val="00F40BAE"/>
    <w:rsid w:val="00F416E7"/>
    <w:rsid w:val="00F441A0"/>
    <w:rsid w:val="00F454FF"/>
    <w:rsid w:val="00F45C63"/>
    <w:rsid w:val="00F504C7"/>
    <w:rsid w:val="00F51B92"/>
    <w:rsid w:val="00F52F93"/>
    <w:rsid w:val="00F531ED"/>
    <w:rsid w:val="00F54608"/>
    <w:rsid w:val="00F552F2"/>
    <w:rsid w:val="00F556FA"/>
    <w:rsid w:val="00F55E52"/>
    <w:rsid w:val="00F561D0"/>
    <w:rsid w:val="00F57EF0"/>
    <w:rsid w:val="00F6005E"/>
    <w:rsid w:val="00F627E2"/>
    <w:rsid w:val="00F62BDA"/>
    <w:rsid w:val="00F641EF"/>
    <w:rsid w:val="00F6463F"/>
    <w:rsid w:val="00F647B6"/>
    <w:rsid w:val="00F64B4D"/>
    <w:rsid w:val="00F64F11"/>
    <w:rsid w:val="00F66DFC"/>
    <w:rsid w:val="00F701BB"/>
    <w:rsid w:val="00F70E27"/>
    <w:rsid w:val="00F71067"/>
    <w:rsid w:val="00F71520"/>
    <w:rsid w:val="00F71CE3"/>
    <w:rsid w:val="00F71E98"/>
    <w:rsid w:val="00F724B3"/>
    <w:rsid w:val="00F74AD3"/>
    <w:rsid w:val="00F7545D"/>
    <w:rsid w:val="00F7590F"/>
    <w:rsid w:val="00F759DF"/>
    <w:rsid w:val="00F75FE2"/>
    <w:rsid w:val="00F772CC"/>
    <w:rsid w:val="00F77E91"/>
    <w:rsid w:val="00F8143C"/>
    <w:rsid w:val="00F8569E"/>
    <w:rsid w:val="00F85A14"/>
    <w:rsid w:val="00F90EB0"/>
    <w:rsid w:val="00F913C6"/>
    <w:rsid w:val="00F916AC"/>
    <w:rsid w:val="00F91C42"/>
    <w:rsid w:val="00F93292"/>
    <w:rsid w:val="00F94864"/>
    <w:rsid w:val="00F95AD5"/>
    <w:rsid w:val="00F95BDD"/>
    <w:rsid w:val="00FA02EE"/>
    <w:rsid w:val="00FA090B"/>
    <w:rsid w:val="00FA1414"/>
    <w:rsid w:val="00FA1775"/>
    <w:rsid w:val="00FA33A6"/>
    <w:rsid w:val="00FA65F5"/>
    <w:rsid w:val="00FA6806"/>
    <w:rsid w:val="00FA6CC8"/>
    <w:rsid w:val="00FA7B80"/>
    <w:rsid w:val="00FA7C36"/>
    <w:rsid w:val="00FB0382"/>
    <w:rsid w:val="00FB0B18"/>
    <w:rsid w:val="00FB0BCC"/>
    <w:rsid w:val="00FB18EA"/>
    <w:rsid w:val="00FB2ACA"/>
    <w:rsid w:val="00FB6203"/>
    <w:rsid w:val="00FB673E"/>
    <w:rsid w:val="00FB753B"/>
    <w:rsid w:val="00FC03A6"/>
    <w:rsid w:val="00FC151C"/>
    <w:rsid w:val="00FC29C9"/>
    <w:rsid w:val="00FC2CED"/>
    <w:rsid w:val="00FC2E78"/>
    <w:rsid w:val="00FC2E92"/>
    <w:rsid w:val="00FC3BA8"/>
    <w:rsid w:val="00FC3D57"/>
    <w:rsid w:val="00FC3EB4"/>
    <w:rsid w:val="00FC4512"/>
    <w:rsid w:val="00FC51B8"/>
    <w:rsid w:val="00FC583E"/>
    <w:rsid w:val="00FC5B64"/>
    <w:rsid w:val="00FC5FD1"/>
    <w:rsid w:val="00FC649E"/>
    <w:rsid w:val="00FC6C2D"/>
    <w:rsid w:val="00FC6EF7"/>
    <w:rsid w:val="00FC79C4"/>
    <w:rsid w:val="00FD0795"/>
    <w:rsid w:val="00FD16AB"/>
    <w:rsid w:val="00FD2E3A"/>
    <w:rsid w:val="00FD3190"/>
    <w:rsid w:val="00FD373A"/>
    <w:rsid w:val="00FD374C"/>
    <w:rsid w:val="00FD38DC"/>
    <w:rsid w:val="00FD39D1"/>
    <w:rsid w:val="00FD3AAD"/>
    <w:rsid w:val="00FD3F04"/>
    <w:rsid w:val="00FD5BC0"/>
    <w:rsid w:val="00FD6457"/>
    <w:rsid w:val="00FD6FF2"/>
    <w:rsid w:val="00FD70F8"/>
    <w:rsid w:val="00FD755E"/>
    <w:rsid w:val="00FD7710"/>
    <w:rsid w:val="00FD7CD3"/>
    <w:rsid w:val="00FE06D0"/>
    <w:rsid w:val="00FE16E2"/>
    <w:rsid w:val="00FE1DD0"/>
    <w:rsid w:val="00FE2E4E"/>
    <w:rsid w:val="00FE410C"/>
    <w:rsid w:val="00FE44C5"/>
    <w:rsid w:val="00FF1021"/>
    <w:rsid w:val="00FF141F"/>
    <w:rsid w:val="00FF2044"/>
    <w:rsid w:val="00FF2F34"/>
    <w:rsid w:val="00FF319F"/>
    <w:rsid w:val="00FF406D"/>
    <w:rsid w:val="00FF4FAF"/>
    <w:rsid w:val="00FF5877"/>
    <w:rsid w:val="00FF5CE3"/>
    <w:rsid w:val="00FF7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5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003919"/>
    <w:rPr>
      <w:sz w:val="16"/>
      <w:szCs w:val="16"/>
    </w:rPr>
  </w:style>
  <w:style w:type="paragraph" w:styleId="CommentText">
    <w:name w:val="annotation text"/>
    <w:basedOn w:val="Normal"/>
    <w:link w:val="CommentTextChar"/>
    <w:uiPriority w:val="99"/>
    <w:unhideWhenUsed/>
    <w:locked/>
    <w:rsid w:val="00003919"/>
    <w:pPr>
      <w:spacing w:line="240" w:lineRule="auto"/>
    </w:pPr>
    <w:rPr>
      <w:sz w:val="20"/>
      <w:szCs w:val="20"/>
    </w:rPr>
  </w:style>
  <w:style w:type="character" w:customStyle="1" w:styleId="CommentTextChar">
    <w:name w:val="Comment Text Char"/>
    <w:basedOn w:val="DefaultParagraphFont"/>
    <w:link w:val="CommentText"/>
    <w:uiPriority w:val="99"/>
    <w:rsid w:val="00003919"/>
    <w:rPr>
      <w:sz w:val="20"/>
      <w:szCs w:val="20"/>
    </w:rPr>
  </w:style>
  <w:style w:type="paragraph" w:styleId="Revision">
    <w:name w:val="Revision"/>
    <w:hidden/>
    <w:uiPriority w:val="99"/>
    <w:semiHidden/>
    <w:rsid w:val="00745331"/>
  </w:style>
  <w:style w:type="paragraph" w:styleId="CommentSubject">
    <w:name w:val="annotation subject"/>
    <w:basedOn w:val="CommentText"/>
    <w:next w:val="CommentText"/>
    <w:link w:val="CommentSubjectChar"/>
    <w:uiPriority w:val="99"/>
    <w:semiHidden/>
    <w:unhideWhenUsed/>
    <w:locked/>
    <w:rsid w:val="001D7C5F"/>
    <w:rPr>
      <w:b/>
      <w:bCs/>
    </w:rPr>
  </w:style>
  <w:style w:type="character" w:customStyle="1" w:styleId="CommentSubjectChar">
    <w:name w:val="Comment Subject Char"/>
    <w:basedOn w:val="CommentTextChar"/>
    <w:link w:val="CommentSubject"/>
    <w:uiPriority w:val="99"/>
    <w:semiHidden/>
    <w:rsid w:val="001D7C5F"/>
    <w:rPr>
      <w:b/>
      <w:bCs/>
      <w:sz w:val="20"/>
      <w:szCs w:val="20"/>
    </w:rPr>
  </w:style>
  <w:style w:type="paragraph" w:customStyle="1" w:styleId="NoNorm">
    <w:name w:val="No Norm"/>
    <w:basedOn w:val="Normal"/>
    <w:qFormat/>
    <w:rsid w:val="006F5E1E"/>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6F5E1E"/>
    <w:pPr>
      <w:tabs>
        <w:tab w:val="clear" w:pos="2160"/>
        <w:tab w:val="left" w:pos="1418"/>
      </w:tabs>
      <w:ind w:left="1418" w:hanging="709"/>
    </w:pPr>
  </w:style>
  <w:style w:type="paragraph" w:customStyle="1" w:styleId="Indentlista">
    <w:name w:val="Indent list a)"/>
    <w:basedOn w:val="Noindentnormal"/>
    <w:qFormat/>
    <w:rsid w:val="006F5E1E"/>
    <w:pPr>
      <w:tabs>
        <w:tab w:val="left" w:pos="2268"/>
      </w:tabs>
      <w:spacing w:before="60"/>
      <w:ind w:left="2268" w:hanging="567"/>
    </w:pPr>
  </w:style>
  <w:style w:type="character" w:customStyle="1" w:styleId="FootnoteTextChar">
    <w:name w:val="Footnote Text Char"/>
    <w:link w:val="FootnoteText"/>
    <w:uiPriority w:val="53"/>
    <w:rsid w:val="006F5E1E"/>
  </w:style>
  <w:style w:type="paragraph" w:styleId="Quote">
    <w:name w:val="Quote"/>
    <w:basedOn w:val="Normal"/>
    <w:next w:val="NoNorm"/>
    <w:link w:val="QuoteChar"/>
    <w:uiPriority w:val="29"/>
    <w:qFormat/>
    <w:locked/>
    <w:rsid w:val="006F5E1E"/>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6F5E1E"/>
    <w:rPr>
      <w:rFonts w:ascii="Arial" w:eastAsia="Calibri" w:hAnsi="Arial" w:cs="Arial"/>
      <w:sz w:val="20"/>
      <w:szCs w:val="22"/>
    </w:rPr>
  </w:style>
  <w:style w:type="paragraph" w:styleId="ListBullet5">
    <w:name w:val="List Bullet 5"/>
    <w:basedOn w:val="Normal"/>
    <w:uiPriority w:val="99"/>
    <w:unhideWhenUsed/>
    <w:locked/>
    <w:rsid w:val="006F5E1E"/>
    <w:pPr>
      <w:tabs>
        <w:tab w:val="clear" w:pos="720"/>
        <w:tab w:val="num" w:pos="1492"/>
      </w:tabs>
      <w:spacing w:before="120" w:line="312" w:lineRule="auto"/>
      <w:ind w:left="1492" w:hanging="360"/>
      <w:contextualSpacing/>
      <w:jc w:val="both"/>
    </w:pPr>
    <w:rPr>
      <w:rFonts w:ascii="Arial" w:hAnsi="Arial" w:cs="Arial"/>
      <w:sz w:val="22"/>
      <w:szCs w:val="22"/>
    </w:rPr>
  </w:style>
  <w:style w:type="character" w:styleId="Hyperlink">
    <w:name w:val="Hyperlink"/>
    <w:basedOn w:val="DefaultParagraphFont"/>
    <w:uiPriority w:val="99"/>
    <w:unhideWhenUsed/>
    <w:locked/>
    <w:rsid w:val="006F5E1E"/>
    <w:rPr>
      <w:color w:val="0000FF" w:themeColor="hyperlink"/>
      <w:u w:val="single"/>
    </w:rPr>
  </w:style>
  <w:style w:type="character" w:styleId="UnresolvedMention">
    <w:name w:val="Unresolved Mention"/>
    <w:basedOn w:val="DefaultParagraphFont"/>
    <w:uiPriority w:val="99"/>
    <w:semiHidden/>
    <w:unhideWhenUsed/>
    <w:rsid w:val="006F5E1E"/>
    <w:rPr>
      <w:color w:val="605E5C"/>
      <w:shd w:val="clear" w:color="auto" w:fill="E1DFDD"/>
    </w:rPr>
  </w:style>
  <w:style w:type="paragraph" w:customStyle="1" w:styleId="Body">
    <w:name w:val="Body"/>
    <w:basedOn w:val="Normal"/>
    <w:qFormat/>
    <w:rsid w:val="00271BA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271BA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271BA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271BA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271BA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271BA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75530">
      <w:bodyDiv w:val="1"/>
      <w:marLeft w:val="0"/>
      <w:marRight w:val="0"/>
      <w:marTop w:val="0"/>
      <w:marBottom w:val="0"/>
      <w:divBdr>
        <w:top w:val="none" w:sz="0" w:space="0" w:color="auto"/>
        <w:left w:val="none" w:sz="0" w:space="0" w:color="auto"/>
        <w:bottom w:val="none" w:sz="0" w:space="0" w:color="auto"/>
        <w:right w:val="none" w:sz="0" w:space="0" w:color="auto"/>
      </w:divBdr>
    </w:div>
    <w:div w:id="14458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853AD94E-96CB-425C-B062-CA7DE233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85</Pages>
  <Words>26127</Words>
  <Characters>148924</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2025-08-04T03:28:00Z</dcterms:created>
  <dcterms:modified xsi:type="dcterms:W3CDTF">2025-08-04T03:31:00Z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