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4000E" w14:textId="77777777" w:rsidR="00C7596E" w:rsidRPr="00704FF8" w:rsidRDefault="00C7596E" w:rsidP="00704FF8">
      <w:pPr>
        <w:pStyle w:val="OrdersTopLine"/>
      </w:pPr>
      <w:r w:rsidRPr="00704FF8">
        <w:t>HIGH COURT OF AUSTRALIA</w:t>
      </w:r>
    </w:p>
    <w:p w14:paraId="5202F4F2" w14:textId="77777777" w:rsidR="00C7596E" w:rsidRPr="00704FF8" w:rsidRDefault="00C7596E" w:rsidP="00704FF8">
      <w:pPr>
        <w:pStyle w:val="OrderCentre"/>
      </w:pPr>
    </w:p>
    <w:p w14:paraId="567BDC47" w14:textId="77777777" w:rsidR="00C7596E" w:rsidRPr="00C46004" w:rsidRDefault="00C7596E" w:rsidP="00704FF8">
      <w:pPr>
        <w:pStyle w:val="OrderCentre"/>
        <w:rPr>
          <w:spacing w:val="-4"/>
          <w:sz w:val="24"/>
          <w:szCs w:val="24"/>
        </w:rPr>
      </w:pPr>
      <w:r w:rsidRPr="00C46004">
        <w:rPr>
          <w:spacing w:val="-4"/>
          <w:sz w:val="24"/>
          <w:szCs w:val="24"/>
        </w:rPr>
        <w:t>GAGELER CJ,</w:t>
      </w:r>
    </w:p>
    <w:p w14:paraId="68BE6D00" w14:textId="77777777" w:rsidR="00C7596E" w:rsidRPr="00704FF8" w:rsidRDefault="00C7596E"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6C6897B4" w14:textId="77777777" w:rsidR="00C7596E" w:rsidRPr="00427F3A" w:rsidRDefault="00C7596E" w:rsidP="00EE5374">
      <w:pPr>
        <w:pStyle w:val="Centre"/>
        <w:rPr>
          <w:lang w:val="en-AU"/>
        </w:rPr>
      </w:pPr>
    </w:p>
    <w:p w14:paraId="0390B427" w14:textId="77777777" w:rsidR="00C7596E" w:rsidRPr="00704FF8" w:rsidRDefault="00C7596E" w:rsidP="00704FF8">
      <w:pPr>
        <w:pStyle w:val="OrdersCenteredBorder"/>
      </w:pPr>
    </w:p>
    <w:p w14:paraId="615BF509" w14:textId="77777777" w:rsidR="00C7596E" w:rsidRPr="00704FF8" w:rsidRDefault="00C7596E" w:rsidP="0032341F">
      <w:pPr>
        <w:pStyle w:val="OrdersBodyHeading"/>
      </w:pPr>
    </w:p>
    <w:p w14:paraId="1FD4554E" w14:textId="77777777" w:rsidR="00C7596E" w:rsidRPr="0032341F" w:rsidRDefault="00C7596E" w:rsidP="009362E8">
      <w:pPr>
        <w:pStyle w:val="OrdersPartyName"/>
        <w:ind w:right="-1"/>
      </w:pPr>
      <w:r w:rsidRPr="00B805E9">
        <w:t>MJZP</w:t>
      </w:r>
      <w:r w:rsidRPr="0032341F">
        <w:tab/>
      </w:r>
      <w:r w:rsidRPr="00B805E9">
        <w:t>PLAINTIFF</w:t>
      </w:r>
    </w:p>
    <w:p w14:paraId="2FD94E8E" w14:textId="77777777" w:rsidR="00C7596E" w:rsidRPr="0032341F" w:rsidRDefault="00C7596E" w:rsidP="009362E8">
      <w:pPr>
        <w:pStyle w:val="OrdersPartyName"/>
        <w:ind w:right="-1"/>
      </w:pPr>
    </w:p>
    <w:p w14:paraId="3EA7606C" w14:textId="77777777" w:rsidR="00C7596E" w:rsidRPr="0032341F" w:rsidRDefault="00C7596E" w:rsidP="009362E8">
      <w:pPr>
        <w:pStyle w:val="OrdersPartyName"/>
        <w:ind w:right="-1"/>
      </w:pPr>
      <w:r w:rsidRPr="0032341F">
        <w:t>AND</w:t>
      </w:r>
    </w:p>
    <w:p w14:paraId="362AE9F9" w14:textId="77777777" w:rsidR="00C7596E" w:rsidRPr="0032341F" w:rsidRDefault="00C7596E" w:rsidP="009362E8">
      <w:pPr>
        <w:pStyle w:val="OrdersPartyName"/>
        <w:ind w:right="-1"/>
      </w:pPr>
    </w:p>
    <w:p w14:paraId="275ECE06" w14:textId="77777777" w:rsidR="00C7596E" w:rsidRPr="0032341F" w:rsidRDefault="00C7596E" w:rsidP="009362E8">
      <w:pPr>
        <w:pStyle w:val="OrdersPartyName"/>
        <w:ind w:right="-1"/>
      </w:pPr>
      <w:r w:rsidRPr="00B805E9">
        <w:t>DIRECTOR-GENERAL OF SECURITY &amp; ANOR</w:t>
      </w:r>
      <w:r w:rsidRPr="0032341F">
        <w:tab/>
      </w:r>
      <w:r w:rsidRPr="00B805E9">
        <w:t>DEFENDANT</w:t>
      </w:r>
      <w:r>
        <w:t>S</w:t>
      </w:r>
    </w:p>
    <w:p w14:paraId="7B128A7A" w14:textId="77777777" w:rsidR="00C7596E" w:rsidRPr="00427F3A" w:rsidRDefault="00C7596E" w:rsidP="00AF0A5E">
      <w:pPr>
        <w:pStyle w:val="BodyHeading"/>
      </w:pPr>
    </w:p>
    <w:p w14:paraId="11576368" w14:textId="77777777" w:rsidR="00C7596E" w:rsidRPr="00427F3A" w:rsidRDefault="00C7596E" w:rsidP="00BE0A6C">
      <w:pPr>
        <w:pStyle w:val="BodyHeading"/>
      </w:pPr>
    </w:p>
    <w:p w14:paraId="608D54A3" w14:textId="77777777" w:rsidR="00C7596E" w:rsidRPr="00427F3A" w:rsidRDefault="00C7596E" w:rsidP="00EE5374">
      <w:pPr>
        <w:pStyle w:val="CentreItalics"/>
      </w:pPr>
      <w:r w:rsidRPr="00B805E9">
        <w:t>MJZP v Director-General of Security</w:t>
      </w:r>
    </w:p>
    <w:p w14:paraId="28F4D279" w14:textId="77777777" w:rsidR="00C7596E" w:rsidRPr="00427F3A" w:rsidRDefault="00C7596E" w:rsidP="00E90E4F">
      <w:pPr>
        <w:pStyle w:val="OrdersCentre"/>
      </w:pPr>
      <w:r>
        <w:t>[2025</w:t>
      </w:r>
      <w:r w:rsidRPr="00427F3A">
        <w:t xml:space="preserve">] HCA </w:t>
      </w:r>
      <w:r>
        <w:t>26</w:t>
      </w:r>
    </w:p>
    <w:p w14:paraId="533B3CF4" w14:textId="77777777" w:rsidR="00C7596E" w:rsidRDefault="00C7596E" w:rsidP="00E90E4F">
      <w:pPr>
        <w:pStyle w:val="OrdersCentreItalics"/>
      </w:pPr>
      <w:r>
        <w:t>Date of Hearing:</w:t>
      </w:r>
      <w:r w:rsidRPr="00B805E9">
        <w:t xml:space="preserve"> 12</w:t>
      </w:r>
      <w:r>
        <w:t xml:space="preserve"> &amp; 13</w:t>
      </w:r>
      <w:r w:rsidRPr="00B805E9">
        <w:t xml:space="preserve"> December 2024</w:t>
      </w:r>
      <w:r>
        <w:t xml:space="preserve"> &amp; 11 March 2025</w:t>
      </w:r>
    </w:p>
    <w:p w14:paraId="229E440B" w14:textId="77777777" w:rsidR="00C7596E" w:rsidRPr="00427F3A" w:rsidRDefault="00C7596E" w:rsidP="00E90E4F">
      <w:pPr>
        <w:pStyle w:val="OrdersCentreItalics"/>
      </w:pPr>
      <w:r>
        <w:t>Date of Judgment: 6 August 2025</w:t>
      </w:r>
    </w:p>
    <w:p w14:paraId="2CA526F3" w14:textId="77777777" w:rsidR="00C7596E" w:rsidRDefault="00C7596E" w:rsidP="00E90E4F">
      <w:pPr>
        <w:pStyle w:val="OrdersCentre"/>
      </w:pPr>
      <w:r w:rsidRPr="00B805E9">
        <w:t>S142/2023</w:t>
      </w:r>
    </w:p>
    <w:p w14:paraId="56D400A8" w14:textId="77777777" w:rsidR="00C7596E" w:rsidRPr="00427F3A" w:rsidRDefault="00C7596E" w:rsidP="00E90E4F">
      <w:pPr>
        <w:pStyle w:val="OrdersCentre"/>
      </w:pPr>
    </w:p>
    <w:p w14:paraId="1E2A18B5" w14:textId="77777777" w:rsidR="00C7596E" w:rsidRPr="00BE0A6C" w:rsidRDefault="00C7596E" w:rsidP="00E90E4F">
      <w:pPr>
        <w:pStyle w:val="OrderCentreBold"/>
      </w:pPr>
      <w:r w:rsidRPr="00BE0A6C">
        <w:t>ORDER</w:t>
      </w:r>
    </w:p>
    <w:p w14:paraId="50028BE7" w14:textId="77777777" w:rsidR="00C7596E" w:rsidRPr="00427F3A" w:rsidRDefault="00C7596E" w:rsidP="00736C52">
      <w:pPr>
        <w:pStyle w:val="Centre"/>
        <w:rPr>
          <w:lang w:val="en-AU"/>
        </w:rPr>
      </w:pPr>
    </w:p>
    <w:p w14:paraId="0CBE06F2" w14:textId="77777777" w:rsidR="00C7596E" w:rsidRDefault="00C7596E" w:rsidP="00B841CF">
      <w:pPr>
        <w:pStyle w:val="OrdersText"/>
        <w:ind w:left="0" w:firstLine="0"/>
      </w:pPr>
      <w:r>
        <w:t xml:space="preserve">The questions stated for the opinion of the Full Court in the special case filed on 20 June </w:t>
      </w:r>
      <w:r w:rsidRPr="00A21D6D">
        <w:t>2024</w:t>
      </w:r>
      <w:r>
        <w:t xml:space="preserve"> be answered as follows:</w:t>
      </w:r>
    </w:p>
    <w:p w14:paraId="711D2636" w14:textId="77777777" w:rsidR="00C7596E" w:rsidRDefault="00C7596E" w:rsidP="003D7AB2">
      <w:pPr>
        <w:pStyle w:val="OrdersText"/>
      </w:pPr>
    </w:p>
    <w:p w14:paraId="064FDD95" w14:textId="77777777" w:rsidR="00C7596E" w:rsidRDefault="00C7596E" w:rsidP="009E01C5">
      <w:pPr>
        <w:pStyle w:val="OrdersText"/>
        <w:ind w:left="1440" w:hanging="1440"/>
      </w:pPr>
      <w:r>
        <w:t>Question (1):</w:t>
      </w:r>
      <w:r>
        <w:tab/>
      </w:r>
      <w:r w:rsidRPr="00B2637B">
        <w:t xml:space="preserve">Is s 46(2) of the </w:t>
      </w:r>
      <w:r w:rsidRPr="000B3E43">
        <w:rPr>
          <w:i w:val="0"/>
        </w:rPr>
        <w:t>Administrative Appeals Tribunal Act 1975</w:t>
      </w:r>
      <w:r>
        <w:rPr>
          <w:iCs/>
        </w:rPr>
        <w:t xml:space="preserve"> </w:t>
      </w:r>
      <w:r>
        <w:t>(</w:t>
      </w:r>
      <w:proofErr w:type="spellStart"/>
      <w:r>
        <w:t>Cth</w:t>
      </w:r>
      <w:proofErr w:type="spellEnd"/>
      <w:r>
        <w:t>)</w:t>
      </w:r>
      <w:r w:rsidRPr="00B2637B">
        <w:t xml:space="preserve"> invalid on the basis that it infringes Ch III of the </w:t>
      </w:r>
      <w:r w:rsidRPr="000B3E43">
        <w:rPr>
          <w:i w:val="0"/>
        </w:rPr>
        <w:t>Constitution</w:t>
      </w:r>
      <w:r w:rsidRPr="00B2637B">
        <w:t>?</w:t>
      </w:r>
    </w:p>
    <w:p w14:paraId="40F44943" w14:textId="77777777" w:rsidR="00C7596E" w:rsidRDefault="00C7596E" w:rsidP="009E01C5">
      <w:pPr>
        <w:pStyle w:val="OrdersText"/>
        <w:ind w:left="1440" w:hanging="1440"/>
      </w:pPr>
    </w:p>
    <w:p w14:paraId="76AB68A7" w14:textId="77777777" w:rsidR="00C7596E" w:rsidRDefault="00C7596E" w:rsidP="003D7AB2">
      <w:pPr>
        <w:pStyle w:val="OrdersText"/>
      </w:pPr>
      <w:r>
        <w:t>Answer:</w:t>
      </w:r>
      <w:r>
        <w:tab/>
        <w:t>No.</w:t>
      </w:r>
    </w:p>
    <w:p w14:paraId="28DABC4A" w14:textId="77777777" w:rsidR="00C7596E" w:rsidRDefault="00C7596E" w:rsidP="003D7AB2">
      <w:pPr>
        <w:pStyle w:val="OrdersText"/>
      </w:pPr>
    </w:p>
    <w:p w14:paraId="6A7632D4" w14:textId="77777777" w:rsidR="00C7596E" w:rsidRDefault="00C7596E" w:rsidP="00C83CED">
      <w:pPr>
        <w:pStyle w:val="OrdersText"/>
        <w:ind w:left="1440" w:hanging="1440"/>
      </w:pPr>
      <w:r>
        <w:t>Question (2):</w:t>
      </w:r>
      <w:r>
        <w:tab/>
      </w:r>
      <w:r w:rsidRPr="00061C93">
        <w:t>Who should pay the costs of the Special Case and of the proceeding?</w:t>
      </w:r>
    </w:p>
    <w:p w14:paraId="5388E7F3" w14:textId="77777777" w:rsidR="00C7596E" w:rsidRDefault="00C7596E" w:rsidP="00C83CED">
      <w:pPr>
        <w:pStyle w:val="OrdersText"/>
        <w:ind w:left="1440" w:hanging="1440"/>
      </w:pPr>
    </w:p>
    <w:p w14:paraId="4637358F" w14:textId="77777777" w:rsidR="00C7596E" w:rsidRDefault="00C7596E" w:rsidP="003D7AB2">
      <w:pPr>
        <w:pStyle w:val="OrdersText"/>
      </w:pPr>
      <w:r>
        <w:t>Answer:</w:t>
      </w:r>
      <w:r>
        <w:tab/>
        <w:t>The plaintiff.</w:t>
      </w:r>
    </w:p>
    <w:p w14:paraId="4F0E9873" w14:textId="77777777" w:rsidR="00C7596E" w:rsidRPr="00E70889" w:rsidRDefault="00C7596E" w:rsidP="0032341F">
      <w:pPr>
        <w:pStyle w:val="OrdersText"/>
      </w:pPr>
    </w:p>
    <w:p w14:paraId="7DFB4406" w14:textId="77777777" w:rsidR="00C7596E" w:rsidRPr="00E70889" w:rsidRDefault="00C7596E" w:rsidP="00E90E4F">
      <w:pPr>
        <w:pStyle w:val="OrdersBodyHeading"/>
      </w:pPr>
      <w:r w:rsidRPr="00E70889">
        <w:t>Representation</w:t>
      </w:r>
    </w:p>
    <w:p w14:paraId="2B6D88A0" w14:textId="77777777" w:rsidR="00C7596E" w:rsidRPr="00E70889" w:rsidRDefault="00C7596E" w:rsidP="00EE5374">
      <w:pPr>
        <w:pStyle w:val="Body"/>
      </w:pPr>
    </w:p>
    <w:p w14:paraId="241F3213" w14:textId="77777777" w:rsidR="00C7596E" w:rsidRPr="00E70889" w:rsidRDefault="00C7596E" w:rsidP="00E90E4F">
      <w:pPr>
        <w:pStyle w:val="OrdersBody"/>
      </w:pPr>
      <w:r w:rsidRPr="00E70889">
        <w:t xml:space="preserve">C L Lenehan SC and T M Wood with S N </w:t>
      </w:r>
      <w:proofErr w:type="spellStart"/>
      <w:r w:rsidRPr="00E70889">
        <w:t>Rajanayagam</w:t>
      </w:r>
      <w:proofErr w:type="spellEnd"/>
      <w:r w:rsidRPr="00E70889">
        <w:t xml:space="preserve"> for the plaintiff (instructed by Corrs Chambers Westgarth)</w:t>
      </w:r>
    </w:p>
    <w:p w14:paraId="5BD0D579" w14:textId="77777777" w:rsidR="00C7596E" w:rsidRPr="00E70889" w:rsidRDefault="00C7596E" w:rsidP="001B3C97">
      <w:pPr>
        <w:pStyle w:val="Body"/>
      </w:pPr>
    </w:p>
    <w:p w14:paraId="21AC53C1" w14:textId="77777777" w:rsidR="00C7596E" w:rsidRDefault="00C7596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3FCC055F" w14:textId="77777777" w:rsidR="00C7596E" w:rsidRDefault="00C7596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759A633D" w14:textId="6B15D652" w:rsidR="00C7596E" w:rsidRPr="00E70889" w:rsidRDefault="00C7596E" w:rsidP="00E90E4F">
      <w:pPr>
        <w:pStyle w:val="OrdersBody"/>
      </w:pPr>
      <w:r w:rsidRPr="00E70889">
        <w:lastRenderedPageBreak/>
        <w:t>S P Donaghue KC, Solicitor-General of the Commonwealth, with M </w:t>
      </w:r>
      <w:proofErr w:type="gramStart"/>
      <w:r w:rsidRPr="00E70889">
        <w:t>A</w:t>
      </w:r>
      <w:proofErr w:type="gramEnd"/>
      <w:r w:rsidRPr="00E70889">
        <w:t> Hosking and P F Bristow for the second defendant (instructed by Australian Government Solicitor)</w:t>
      </w:r>
    </w:p>
    <w:p w14:paraId="3EDE04A9" w14:textId="77777777" w:rsidR="00C7596E" w:rsidRPr="00E70889" w:rsidRDefault="00C7596E" w:rsidP="00E70889">
      <w:pPr>
        <w:pStyle w:val="Body"/>
      </w:pPr>
    </w:p>
    <w:p w14:paraId="666597A4" w14:textId="77777777" w:rsidR="00C7596E" w:rsidRPr="00E70889" w:rsidRDefault="00C7596E" w:rsidP="00E70889">
      <w:pPr>
        <w:pStyle w:val="OrdersBody"/>
      </w:pPr>
      <w:r w:rsidRPr="00E70889">
        <w:t xml:space="preserve">G J D </w:t>
      </w:r>
      <w:r>
        <w:t>d</w:t>
      </w:r>
      <w:r w:rsidRPr="00E70889">
        <w:t>el Villar KC, Solicitor-General of the State of Queensland, with F J </w:t>
      </w:r>
      <w:proofErr w:type="spellStart"/>
      <w:r w:rsidRPr="00E70889">
        <w:t>Nagorcka</w:t>
      </w:r>
      <w:proofErr w:type="spellEnd"/>
      <w:r w:rsidRPr="00E70889">
        <w:t xml:space="preserve"> and K J E Blore on behalf of the Attorney-General of the State of Queensland, intervening (instructed by Crown Law (Qld))</w:t>
      </w:r>
    </w:p>
    <w:p w14:paraId="62775D05" w14:textId="77777777" w:rsidR="00C7596E" w:rsidRPr="00E70889" w:rsidRDefault="00C7596E" w:rsidP="00E70889">
      <w:pPr>
        <w:pStyle w:val="Body"/>
      </w:pPr>
    </w:p>
    <w:p w14:paraId="18387EFB" w14:textId="77777777" w:rsidR="00C7596E" w:rsidRPr="00E70889" w:rsidRDefault="00C7596E" w:rsidP="00E70889">
      <w:pPr>
        <w:pStyle w:val="OrdersBody"/>
      </w:pPr>
      <w:r w:rsidRPr="00E70889">
        <w:t>C S Bydder SC, Solicitor-General for the State of Western Australia, with J E Shaw SC and G M Mullins on behalf of the Attorney-General for the State of Western Australia, intervening (instructed by State Solicitor</w:t>
      </w:r>
      <w:r w:rsidRPr="00E70889">
        <w:rPr>
          <w:lang w:val="en-AU"/>
        </w:rPr>
        <w:t>'</w:t>
      </w:r>
      <w:r w:rsidRPr="00E70889">
        <w:t>s Office (WA))</w:t>
      </w:r>
    </w:p>
    <w:p w14:paraId="4A6C27D1" w14:textId="77777777" w:rsidR="00C7596E" w:rsidRPr="00E70889" w:rsidRDefault="00C7596E" w:rsidP="00E70889">
      <w:pPr>
        <w:pStyle w:val="Body"/>
      </w:pPr>
    </w:p>
    <w:p w14:paraId="32406574" w14:textId="77777777" w:rsidR="00C7596E" w:rsidRPr="00E70889" w:rsidRDefault="00C7596E" w:rsidP="00E70889">
      <w:pPr>
        <w:pStyle w:val="OrdersBody"/>
      </w:pPr>
      <w:r w:rsidRPr="00E70889">
        <w:t>J G Renwick SC with M F Caristo on behalf of the Attorney-General for the State of New South Wales, intervening (instructed by Crown Solicitor for NSW)</w:t>
      </w:r>
    </w:p>
    <w:p w14:paraId="6B80D586" w14:textId="77777777" w:rsidR="00C7596E" w:rsidRPr="00E70889" w:rsidRDefault="00C7596E" w:rsidP="00A01277">
      <w:pPr>
        <w:pStyle w:val="Body"/>
      </w:pPr>
    </w:p>
    <w:p w14:paraId="488C7356" w14:textId="77777777" w:rsidR="00C7596E" w:rsidRPr="00E70889" w:rsidRDefault="00C7596E" w:rsidP="00F30924">
      <w:pPr>
        <w:pStyle w:val="OrdersBody"/>
      </w:pPr>
      <w:r w:rsidRPr="00E70889">
        <w:t>J L Rudolf with E A Warner on behalf of the Attorney</w:t>
      </w:r>
      <w:r>
        <w:t>-</w:t>
      </w:r>
      <w:r w:rsidRPr="00E70889">
        <w:t>General for the State of Tasmania, intervening (instructed by Solicitor</w:t>
      </w:r>
      <w:r>
        <w:t>-</w:t>
      </w:r>
      <w:r w:rsidRPr="00E70889">
        <w:t>General (Tas))</w:t>
      </w:r>
    </w:p>
    <w:p w14:paraId="4F31753F" w14:textId="77777777" w:rsidR="00C7596E" w:rsidRPr="00E70889" w:rsidRDefault="00C7596E" w:rsidP="00F30924">
      <w:pPr>
        <w:pStyle w:val="Body"/>
      </w:pPr>
    </w:p>
    <w:p w14:paraId="376BC4E8" w14:textId="77777777" w:rsidR="00C7596E" w:rsidRPr="00E70889" w:rsidRDefault="00C7596E" w:rsidP="00F30924">
      <w:pPr>
        <w:pStyle w:val="OrdersBody"/>
      </w:pPr>
      <w:r w:rsidRPr="00E70889">
        <w:t>Submitting appearance for the first defendant</w:t>
      </w:r>
    </w:p>
    <w:p w14:paraId="3C6DDC03" w14:textId="77777777" w:rsidR="00C7596E" w:rsidRPr="00E70889" w:rsidRDefault="00C7596E" w:rsidP="00A01277">
      <w:pPr>
        <w:pStyle w:val="Body"/>
      </w:pPr>
    </w:p>
    <w:p w14:paraId="5D9E2FDC" w14:textId="77777777" w:rsidR="00C7596E" w:rsidRDefault="00C7596E" w:rsidP="00EE5374">
      <w:pPr>
        <w:pStyle w:val="Body"/>
      </w:pPr>
    </w:p>
    <w:p w14:paraId="189F03C9" w14:textId="77777777" w:rsidR="00C7596E" w:rsidRDefault="00C7596E" w:rsidP="00EE5374">
      <w:pPr>
        <w:pStyle w:val="Body"/>
      </w:pPr>
    </w:p>
    <w:p w14:paraId="2760E8F9" w14:textId="77777777" w:rsidR="00C7596E" w:rsidRDefault="00C7596E" w:rsidP="00EE5374">
      <w:pPr>
        <w:pStyle w:val="Body"/>
      </w:pPr>
    </w:p>
    <w:p w14:paraId="4BD65FB7" w14:textId="77777777" w:rsidR="00C7596E" w:rsidRDefault="00C7596E" w:rsidP="00EE5374">
      <w:pPr>
        <w:pStyle w:val="Body"/>
      </w:pPr>
    </w:p>
    <w:p w14:paraId="7A22BF5A" w14:textId="77777777" w:rsidR="00C7596E" w:rsidRDefault="00C7596E" w:rsidP="00EE5374">
      <w:pPr>
        <w:pStyle w:val="Body"/>
      </w:pPr>
    </w:p>
    <w:p w14:paraId="2213D1AA" w14:textId="77777777" w:rsidR="00C7596E" w:rsidRDefault="00C7596E" w:rsidP="00EE5374">
      <w:pPr>
        <w:pStyle w:val="Body"/>
      </w:pPr>
    </w:p>
    <w:p w14:paraId="6D5F24DF" w14:textId="77777777" w:rsidR="00C7596E" w:rsidRDefault="00C7596E" w:rsidP="00EE5374">
      <w:pPr>
        <w:pStyle w:val="Body"/>
      </w:pPr>
    </w:p>
    <w:p w14:paraId="76166F1A" w14:textId="77777777" w:rsidR="00C7596E" w:rsidRDefault="00C7596E" w:rsidP="00EE5374">
      <w:pPr>
        <w:pStyle w:val="Body"/>
      </w:pPr>
    </w:p>
    <w:p w14:paraId="55B12E75" w14:textId="77777777" w:rsidR="00C7596E" w:rsidRDefault="00C7596E" w:rsidP="00EE5374">
      <w:pPr>
        <w:pStyle w:val="Body"/>
      </w:pPr>
    </w:p>
    <w:p w14:paraId="09501BA5" w14:textId="77777777" w:rsidR="00C7596E" w:rsidRDefault="00C7596E" w:rsidP="00EE5374">
      <w:pPr>
        <w:pStyle w:val="Body"/>
      </w:pPr>
    </w:p>
    <w:p w14:paraId="614133F3" w14:textId="77777777" w:rsidR="00C7596E" w:rsidRDefault="00C7596E" w:rsidP="00EE5374">
      <w:pPr>
        <w:pStyle w:val="Body"/>
      </w:pPr>
    </w:p>
    <w:p w14:paraId="1D72D529" w14:textId="77777777" w:rsidR="00C7596E" w:rsidRDefault="00C7596E" w:rsidP="00EE5374">
      <w:pPr>
        <w:pStyle w:val="Body"/>
      </w:pPr>
    </w:p>
    <w:p w14:paraId="59683E3D" w14:textId="77777777" w:rsidR="00C7596E" w:rsidRDefault="00C7596E" w:rsidP="00EE5374">
      <w:pPr>
        <w:pStyle w:val="Body"/>
      </w:pPr>
    </w:p>
    <w:p w14:paraId="0F289AC8" w14:textId="77777777" w:rsidR="00C7596E" w:rsidRDefault="00C7596E" w:rsidP="00EE5374">
      <w:pPr>
        <w:pStyle w:val="Body"/>
      </w:pPr>
    </w:p>
    <w:p w14:paraId="23C69E5C" w14:textId="77777777" w:rsidR="00C7596E" w:rsidRDefault="00C7596E" w:rsidP="00EE5374">
      <w:pPr>
        <w:pStyle w:val="Body"/>
      </w:pPr>
    </w:p>
    <w:p w14:paraId="15B5EFA3" w14:textId="77777777" w:rsidR="00C7596E" w:rsidRDefault="00C7596E" w:rsidP="00EE5374">
      <w:pPr>
        <w:pStyle w:val="Body"/>
      </w:pPr>
    </w:p>
    <w:p w14:paraId="7FB70D3D" w14:textId="77777777" w:rsidR="00C7596E" w:rsidRPr="00E70889" w:rsidRDefault="00C7596E" w:rsidP="00EE5374">
      <w:pPr>
        <w:pStyle w:val="Body"/>
      </w:pPr>
    </w:p>
    <w:p w14:paraId="2C83D2E0" w14:textId="77777777" w:rsidR="00C7596E" w:rsidRPr="00E70889" w:rsidRDefault="00C7596E" w:rsidP="00EE5374">
      <w:pPr>
        <w:pStyle w:val="Body"/>
      </w:pPr>
    </w:p>
    <w:p w14:paraId="583D9CA3" w14:textId="77777777" w:rsidR="00C7596E" w:rsidRPr="00427F3A" w:rsidRDefault="00C7596E" w:rsidP="00F9713B">
      <w:pPr>
        <w:pStyle w:val="Notice"/>
        <w:rPr>
          <w:lang w:val="en-AU"/>
        </w:rPr>
      </w:pPr>
      <w:r w:rsidRPr="00E70889">
        <w:rPr>
          <w:lang w:val="en-AU"/>
        </w:rPr>
        <w:t>Notice:  This copy of the Court's Reasons for Judgment is subject to</w:t>
      </w:r>
      <w:r w:rsidRPr="00427F3A">
        <w:rPr>
          <w:lang w:val="en-AU"/>
        </w:rPr>
        <w:t xml:space="preserve"> formal revision prior to publication in the Commonwealth Law Reports.</w:t>
      </w:r>
    </w:p>
    <w:p w14:paraId="695B9675" w14:textId="49C6BD6D" w:rsidR="00C7596E" w:rsidRDefault="00C7596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12BFE0C" w14:textId="77777777" w:rsidR="00C7596E" w:rsidRDefault="00C7596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C7596E" w:rsidSect="00C7596E">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71E52D12" w14:textId="77777777" w:rsidR="00C7596E" w:rsidRPr="008B39A4" w:rsidRDefault="00C7596E" w:rsidP="007A74C0">
      <w:pPr>
        <w:pStyle w:val="CatchwordsBold"/>
        <w:tabs>
          <w:tab w:val="clear" w:pos="3600"/>
          <w:tab w:val="clear" w:pos="6480"/>
          <w:tab w:val="left" w:pos="7560"/>
        </w:tabs>
      </w:pPr>
      <w:r w:rsidRPr="008B39A4">
        <w:lastRenderedPageBreak/>
        <w:t>CATCHWORDS</w:t>
      </w:r>
    </w:p>
    <w:p w14:paraId="7FFF0286" w14:textId="77777777" w:rsidR="00C7596E" w:rsidRPr="008B39A4" w:rsidRDefault="00C7596E" w:rsidP="008E2DC5">
      <w:pPr>
        <w:pStyle w:val="CatchwordsBold"/>
      </w:pPr>
    </w:p>
    <w:p w14:paraId="7510B999" w14:textId="77777777" w:rsidR="00C7596E" w:rsidRPr="008B39A4" w:rsidRDefault="00C7596E" w:rsidP="008E2DC5">
      <w:pPr>
        <w:pStyle w:val="CatchwordsBold"/>
      </w:pPr>
      <w:r>
        <w:t xml:space="preserve">MJZP </w:t>
      </w:r>
      <w:r w:rsidRPr="008B39A4">
        <w:t xml:space="preserve">v </w:t>
      </w:r>
      <w:r>
        <w:t>Director-General of Security</w:t>
      </w:r>
    </w:p>
    <w:p w14:paraId="1DAD2A94" w14:textId="77777777" w:rsidR="00C7596E" w:rsidRDefault="00C7596E" w:rsidP="001649CA">
      <w:pPr>
        <w:pStyle w:val="CatchwordsText"/>
        <w:rPr>
          <w:highlight w:val="yellow"/>
        </w:rPr>
      </w:pPr>
    </w:p>
    <w:p w14:paraId="17473D52" w14:textId="77777777" w:rsidR="00C7596E" w:rsidRPr="000A0E6D" w:rsidRDefault="00C7596E" w:rsidP="001649CA">
      <w:pPr>
        <w:pStyle w:val="CatchwordsText"/>
      </w:pPr>
      <w:r>
        <w:t>Constitutional law (</w:t>
      </w:r>
      <w:proofErr w:type="spellStart"/>
      <w:r>
        <w:t>Cth</w:t>
      </w:r>
      <w:proofErr w:type="spellEnd"/>
      <w:r>
        <w:t xml:space="preserve">) – Judicial power of Commonwealth – Where s 44(1) of </w:t>
      </w:r>
      <w:r>
        <w:rPr>
          <w:i/>
          <w:iCs/>
        </w:rPr>
        <w:t>Administrative Appeals Tribunal Act 1975</w:t>
      </w:r>
      <w:r>
        <w:t xml:space="preserve"> (</w:t>
      </w:r>
      <w:proofErr w:type="spellStart"/>
      <w:r>
        <w:t>Cth</w:t>
      </w:r>
      <w:proofErr w:type="spellEnd"/>
      <w:r>
        <w:t xml:space="preserve">) ("Act") provided party to certain proceedings before Administrative Appeals Tribunal ("Tribunal") may appeal to Federal Court of Australia on question of law from decision of Tribunal – Where s 46(2) of Act provided that if certificate in force certifying disclosure of matter contained in document would be contrary to public interest Federal Court must do all things necessary to ensure matter not disclosed to any person other than member of court as constituted for purposes of proceeding – Where in accordance with s 39B of Act such certificate included certificate issued by "ASIO Minister" certifying disclosure of matter would be contrary to public interest because it would prejudice security or defence or international relations of Australia – Where plaintiff sought declaration that s 46(2) of Act invalid on ground it infringes Ch III of the </w:t>
      </w:r>
      <w:r>
        <w:rPr>
          <w:i/>
          <w:iCs/>
        </w:rPr>
        <w:t>Constitution</w:t>
      </w:r>
      <w:r>
        <w:t xml:space="preserve"> – Where earlier decision of High Court in </w:t>
      </w:r>
      <w:r>
        <w:rPr>
          <w:i/>
          <w:iCs/>
        </w:rPr>
        <w:t>SDCV</w:t>
      </w:r>
      <w:r w:rsidRPr="00E26053">
        <w:rPr>
          <w:i/>
          <w:iCs/>
        </w:rPr>
        <w:t xml:space="preserve"> </w:t>
      </w:r>
      <w:r>
        <w:rPr>
          <w:i/>
          <w:iCs/>
        </w:rPr>
        <w:t xml:space="preserve">v Director-General of Security </w:t>
      </w:r>
      <w:r>
        <w:t>(2022) 277 CLR 241</w:t>
      </w:r>
      <w:r>
        <w:rPr>
          <w:i/>
          <w:iCs/>
        </w:rPr>
        <w:t xml:space="preserve"> </w:t>
      </w:r>
      <w:r>
        <w:t xml:space="preserve">held s 46(2) of Act valid – Whether s 46(2) invalid because it required Federal Court to depart from "general rule" of procedural fairness more than reasonably necessary to protect compelling and legitimate public interest – Whether </w:t>
      </w:r>
      <w:r>
        <w:rPr>
          <w:i/>
          <w:iCs/>
        </w:rPr>
        <w:t xml:space="preserve">SDCV </w:t>
      </w:r>
      <w:r>
        <w:t xml:space="preserve">authority to contrary – Whether leave to re-open and overrule </w:t>
      </w:r>
      <w:r>
        <w:rPr>
          <w:i/>
          <w:iCs/>
        </w:rPr>
        <w:t>SDCV</w:t>
      </w:r>
      <w:r>
        <w:t xml:space="preserve"> should be granted.</w:t>
      </w:r>
    </w:p>
    <w:p w14:paraId="23082631" w14:textId="77777777" w:rsidR="00C7596E" w:rsidRPr="00A20F06" w:rsidRDefault="00C7596E" w:rsidP="001649CA">
      <w:pPr>
        <w:pStyle w:val="CatchwordsText"/>
      </w:pPr>
    </w:p>
    <w:p w14:paraId="0AADF082" w14:textId="77777777" w:rsidR="00C7596E" w:rsidRDefault="00C7596E" w:rsidP="00AC6517">
      <w:pPr>
        <w:pStyle w:val="CatchwordsText"/>
      </w:pPr>
      <w:r w:rsidRPr="00A20F06">
        <w:t xml:space="preserve">Words and phrases </w:t>
      </w:r>
      <w:r>
        <w:t>– "adverse evidence", "ASIO", "certificate", "certified matter", "defence", "disclosure", "essential characteristic of a court", "forensic advantage", "heavy persuasive burden", "international relations", "practical injustice", "procedural fairness", "proportionality", "public interest immunity", "ratio decidendi", "reasonably necessary to protect a compelling and legitimate public interest", "security assessment", "special advocate".</w:t>
      </w:r>
    </w:p>
    <w:p w14:paraId="4DF06260" w14:textId="77777777" w:rsidR="00C7596E" w:rsidRDefault="00C7596E" w:rsidP="00AC6517">
      <w:pPr>
        <w:pStyle w:val="CatchwordsText"/>
      </w:pPr>
    </w:p>
    <w:p w14:paraId="19FACABA" w14:textId="77777777" w:rsidR="00C7596E" w:rsidRDefault="00C7596E" w:rsidP="00AC6517">
      <w:pPr>
        <w:pStyle w:val="CatchwordsText"/>
      </w:pPr>
      <w:r w:rsidRPr="00096CD0">
        <w:rPr>
          <w:i/>
          <w:iCs/>
        </w:rPr>
        <w:t>Constitu</w:t>
      </w:r>
      <w:r>
        <w:rPr>
          <w:i/>
          <w:iCs/>
        </w:rPr>
        <w:t>tion</w:t>
      </w:r>
      <w:r>
        <w:t>, Ch III.</w:t>
      </w:r>
    </w:p>
    <w:p w14:paraId="454010D8" w14:textId="77777777" w:rsidR="00C7596E" w:rsidRPr="00A704E3" w:rsidRDefault="00C7596E" w:rsidP="001649CA">
      <w:pPr>
        <w:pStyle w:val="CatchwordsText"/>
      </w:pPr>
      <w:r>
        <w:rPr>
          <w:i/>
          <w:iCs/>
        </w:rPr>
        <w:t>Administrative Appeals Tribunal Act 1975</w:t>
      </w:r>
      <w:r>
        <w:t xml:space="preserve"> (</w:t>
      </w:r>
      <w:proofErr w:type="spellStart"/>
      <w:r>
        <w:t>Cth</w:t>
      </w:r>
      <w:proofErr w:type="spellEnd"/>
      <w:r>
        <w:t>), ss 39A, 39B, 44, 46.</w:t>
      </w:r>
    </w:p>
    <w:p w14:paraId="685DEAA4" w14:textId="75FF92EE" w:rsidR="00C7596E" w:rsidRDefault="00C7596E" w:rsidP="00C7596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68B4B03E" w14:textId="212A4128" w:rsidR="00C7596E" w:rsidRDefault="00C7596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D127179" w14:textId="779815E8" w:rsidR="00C7596E" w:rsidRDefault="00C7596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208D554D" w14:textId="77777777" w:rsidR="00C7596E" w:rsidRDefault="00C7596E" w:rsidP="006632F7">
      <w:pPr>
        <w:pStyle w:val="FixListStyle"/>
        <w:tabs>
          <w:tab w:val="clear" w:pos="720"/>
          <w:tab w:val="left" w:pos="0"/>
        </w:tabs>
        <w:spacing w:after="260" w:line="280" w:lineRule="exact"/>
        <w:ind w:right="0"/>
        <w:jc w:val="both"/>
        <w:rPr>
          <w:rFonts w:ascii="Times New Roman" w:hAnsi="Times New Roman"/>
        </w:rPr>
        <w:sectPr w:rsidR="00C7596E" w:rsidSect="00C7596E">
          <w:pgSz w:w="11907" w:h="16839" w:code="9"/>
          <w:pgMar w:top="1440" w:right="1701" w:bottom="1984" w:left="1701" w:header="720" w:footer="720" w:gutter="0"/>
          <w:pgNumType w:start="1"/>
          <w:cols w:space="720"/>
          <w:titlePg/>
          <w:docGrid w:linePitch="354"/>
        </w:sectPr>
      </w:pPr>
    </w:p>
    <w:p w14:paraId="6612A872" w14:textId="001EC968" w:rsidR="00E850E5" w:rsidRPr="006632F7" w:rsidRDefault="006632F7" w:rsidP="006632F7">
      <w:pPr>
        <w:pStyle w:val="FixListStyle"/>
        <w:tabs>
          <w:tab w:val="clear" w:pos="720"/>
          <w:tab w:val="left" w:pos="0"/>
        </w:tabs>
        <w:spacing w:after="260" w:line="280" w:lineRule="exact"/>
        <w:ind w:right="0"/>
        <w:jc w:val="both"/>
        <w:rPr>
          <w:rFonts w:ascii="Times New Roman" w:hAnsi="Times New Roman"/>
        </w:rPr>
      </w:pPr>
      <w:r w:rsidRPr="006632F7">
        <w:rPr>
          <w:rFonts w:ascii="Times New Roman" w:hAnsi="Times New Roman"/>
        </w:rPr>
        <w:lastRenderedPageBreak/>
        <w:t xml:space="preserve">GAGELER CJ, GORDON, STEWARD, GLEESON, JAGOT AND BEECH-JONES JJ.   </w:t>
      </w:r>
      <w:r w:rsidR="00A259B2" w:rsidRPr="006632F7">
        <w:rPr>
          <w:rFonts w:ascii="Times New Roman" w:hAnsi="Times New Roman"/>
        </w:rPr>
        <w:t>The special case filed in this</w:t>
      </w:r>
      <w:r w:rsidR="001101E6" w:rsidRPr="006632F7">
        <w:rPr>
          <w:rFonts w:ascii="Times New Roman" w:hAnsi="Times New Roman"/>
        </w:rPr>
        <w:t xml:space="preserve"> proceeding</w:t>
      </w:r>
      <w:r w:rsidR="00A259B2" w:rsidRPr="006632F7">
        <w:rPr>
          <w:rFonts w:ascii="Times New Roman" w:hAnsi="Times New Roman"/>
        </w:rPr>
        <w:t xml:space="preserve"> pose</w:t>
      </w:r>
      <w:r w:rsidR="00F52FA5" w:rsidRPr="006632F7">
        <w:rPr>
          <w:rFonts w:ascii="Times New Roman" w:hAnsi="Times New Roman"/>
        </w:rPr>
        <w:t>d</w:t>
      </w:r>
      <w:r w:rsidR="00A259B2" w:rsidRPr="006632F7">
        <w:rPr>
          <w:rFonts w:ascii="Times New Roman" w:hAnsi="Times New Roman"/>
        </w:rPr>
        <w:t xml:space="preserve"> one </w:t>
      </w:r>
      <w:r w:rsidR="006635B0" w:rsidRPr="006632F7">
        <w:rPr>
          <w:rFonts w:ascii="Times New Roman" w:hAnsi="Times New Roman"/>
        </w:rPr>
        <w:t xml:space="preserve">substantive </w:t>
      </w:r>
      <w:r w:rsidR="00A259B2" w:rsidRPr="006632F7">
        <w:rPr>
          <w:rFonts w:ascii="Times New Roman" w:hAnsi="Times New Roman"/>
        </w:rPr>
        <w:t>question</w:t>
      </w:r>
      <w:r w:rsidR="00310D6A" w:rsidRPr="006632F7">
        <w:rPr>
          <w:rFonts w:ascii="Times New Roman" w:hAnsi="Times New Roman"/>
        </w:rPr>
        <w:t xml:space="preserve"> – </w:t>
      </w:r>
      <w:r w:rsidR="00A259B2" w:rsidRPr="006632F7">
        <w:rPr>
          <w:rFonts w:ascii="Times New Roman" w:hAnsi="Times New Roman"/>
        </w:rPr>
        <w:t>is s</w:t>
      </w:r>
      <w:r w:rsidR="00997B6C" w:rsidRPr="006632F7">
        <w:rPr>
          <w:rFonts w:ascii="Times New Roman" w:hAnsi="Times New Roman"/>
        </w:rPr>
        <w:t xml:space="preserve"> 46(2) of the </w:t>
      </w:r>
      <w:r w:rsidR="00F454CA" w:rsidRPr="006632F7">
        <w:rPr>
          <w:rFonts w:ascii="Times New Roman" w:hAnsi="Times New Roman"/>
          <w:i/>
          <w:iCs/>
        </w:rPr>
        <w:t xml:space="preserve">Administrative </w:t>
      </w:r>
      <w:r w:rsidR="00392A1B" w:rsidRPr="006632F7">
        <w:rPr>
          <w:rFonts w:ascii="Times New Roman" w:hAnsi="Times New Roman"/>
          <w:i/>
          <w:iCs/>
        </w:rPr>
        <w:t xml:space="preserve">Appeals Tribunal Act </w:t>
      </w:r>
      <w:r w:rsidR="00205E4D" w:rsidRPr="006632F7">
        <w:rPr>
          <w:rFonts w:ascii="Times New Roman" w:hAnsi="Times New Roman"/>
          <w:i/>
          <w:iCs/>
        </w:rPr>
        <w:t>1975</w:t>
      </w:r>
      <w:r w:rsidR="00205E4D" w:rsidRPr="006632F7">
        <w:rPr>
          <w:rFonts w:ascii="Times New Roman" w:hAnsi="Times New Roman"/>
        </w:rPr>
        <w:t xml:space="preserve"> (</w:t>
      </w:r>
      <w:proofErr w:type="spellStart"/>
      <w:r w:rsidR="00205E4D" w:rsidRPr="006632F7">
        <w:rPr>
          <w:rFonts w:ascii="Times New Roman" w:hAnsi="Times New Roman"/>
        </w:rPr>
        <w:t>Cth</w:t>
      </w:r>
      <w:proofErr w:type="spellEnd"/>
      <w:r w:rsidR="00205E4D" w:rsidRPr="006632F7">
        <w:rPr>
          <w:rFonts w:ascii="Times New Roman" w:hAnsi="Times New Roman"/>
        </w:rPr>
        <w:t>) (</w:t>
      </w:r>
      <w:r w:rsidR="006E7800" w:rsidRPr="006632F7">
        <w:rPr>
          <w:rFonts w:ascii="Times New Roman" w:hAnsi="Times New Roman"/>
        </w:rPr>
        <w:t>"</w:t>
      </w:r>
      <w:r w:rsidR="00205E4D" w:rsidRPr="006632F7">
        <w:rPr>
          <w:rFonts w:ascii="Times New Roman" w:hAnsi="Times New Roman"/>
        </w:rPr>
        <w:t xml:space="preserve">the AAT </w:t>
      </w:r>
      <w:r w:rsidR="00BD2A2C" w:rsidRPr="006632F7">
        <w:rPr>
          <w:rFonts w:ascii="Times New Roman" w:hAnsi="Times New Roman"/>
        </w:rPr>
        <w:t>A</w:t>
      </w:r>
      <w:r w:rsidR="00205E4D" w:rsidRPr="006632F7">
        <w:rPr>
          <w:rFonts w:ascii="Times New Roman" w:hAnsi="Times New Roman"/>
        </w:rPr>
        <w:t xml:space="preserve">ct") invalid on the basis that it infringes Ch III of the </w:t>
      </w:r>
      <w:r w:rsidR="00205E4D" w:rsidRPr="006632F7">
        <w:rPr>
          <w:rFonts w:ascii="Times New Roman" w:hAnsi="Times New Roman"/>
          <w:i/>
          <w:iCs/>
        </w:rPr>
        <w:t>Constitution</w:t>
      </w:r>
      <w:r w:rsidR="00205E4D" w:rsidRPr="006632F7">
        <w:rPr>
          <w:rFonts w:ascii="Times New Roman" w:hAnsi="Times New Roman"/>
        </w:rPr>
        <w:t>?</w:t>
      </w:r>
    </w:p>
    <w:p w14:paraId="52F50D3A" w14:textId="23F5C2C3" w:rsidR="00A73989" w:rsidRPr="006632F7" w:rsidRDefault="00E850E5" w:rsidP="006632F7">
      <w:pPr>
        <w:pStyle w:val="FixListStyle"/>
        <w:spacing w:after="260" w:line="280" w:lineRule="exact"/>
        <w:ind w:right="0"/>
        <w:jc w:val="both"/>
        <w:rPr>
          <w:rFonts w:ascii="Times New Roman" w:hAnsi="Times New Roman"/>
        </w:rPr>
      </w:pPr>
      <w:r w:rsidRPr="006632F7">
        <w:rPr>
          <w:rFonts w:ascii="Times New Roman" w:hAnsi="Times New Roman"/>
        </w:rPr>
        <w:tab/>
      </w:r>
      <w:r w:rsidR="008B1DD4" w:rsidRPr="006632F7">
        <w:rPr>
          <w:rFonts w:ascii="Times New Roman" w:hAnsi="Times New Roman"/>
        </w:rPr>
        <w:t>Section 46(2) applies to an appeal refer</w:t>
      </w:r>
      <w:r w:rsidR="00F41962" w:rsidRPr="006632F7">
        <w:rPr>
          <w:rFonts w:ascii="Times New Roman" w:hAnsi="Times New Roman"/>
        </w:rPr>
        <w:t>r</w:t>
      </w:r>
      <w:r w:rsidR="008B1DD4" w:rsidRPr="006632F7">
        <w:rPr>
          <w:rFonts w:ascii="Times New Roman" w:hAnsi="Times New Roman"/>
        </w:rPr>
        <w:t>ed to in s 46(1) of the AAT Act</w:t>
      </w:r>
      <w:r w:rsidR="00DE43D9" w:rsidRPr="006632F7">
        <w:rPr>
          <w:rFonts w:ascii="Times New Roman" w:hAnsi="Times New Roman"/>
        </w:rPr>
        <w:t>,</w:t>
      </w:r>
      <w:r w:rsidR="008B1DD4" w:rsidRPr="006632F7">
        <w:rPr>
          <w:rFonts w:ascii="Times New Roman" w:hAnsi="Times New Roman"/>
        </w:rPr>
        <w:t xml:space="preserve"> which includes an appeal under s 44 of that Act to the </w:t>
      </w:r>
      <w:r w:rsidR="00F41962" w:rsidRPr="006632F7">
        <w:rPr>
          <w:rFonts w:ascii="Times New Roman" w:hAnsi="Times New Roman"/>
        </w:rPr>
        <w:t>Federal</w:t>
      </w:r>
      <w:r w:rsidR="008B1DD4" w:rsidRPr="006632F7">
        <w:rPr>
          <w:rFonts w:ascii="Times New Roman" w:hAnsi="Times New Roman"/>
        </w:rPr>
        <w:t xml:space="preserve"> </w:t>
      </w:r>
      <w:r w:rsidR="00F41962" w:rsidRPr="006632F7">
        <w:rPr>
          <w:rFonts w:ascii="Times New Roman" w:hAnsi="Times New Roman"/>
        </w:rPr>
        <w:t xml:space="preserve">Court of Australia on a question of law. If there </w:t>
      </w:r>
      <w:r w:rsidR="00E27762" w:rsidRPr="006632F7">
        <w:rPr>
          <w:rFonts w:ascii="Times New Roman" w:hAnsi="Times New Roman"/>
        </w:rPr>
        <w:t>is in force a certificate as specified in s 46(2) certifying that the disclosure of matter contained in a document would be contrary to the public interest, the Federal Court must "do all things necessary to ensure that the matter is not disclosed to any person other than a member of the court as constituted for the purposes of the proceeding".</w:t>
      </w:r>
      <w:r w:rsidR="00F37EEB" w:rsidRPr="006632F7">
        <w:rPr>
          <w:rFonts w:ascii="Times New Roman" w:hAnsi="Times New Roman"/>
        </w:rPr>
        <w:t xml:space="preserve"> For the purposes of s 46(2) of the AAT Act, such a certificate in accordance with s 39B(2) includes, relevantly, a certificate issued by the "ASIO Minister" certifying that the disclosure of information with respect to a matter stated in the certificate, or the disclosure of the contents of a document, would be contrary to the public interest on one or more of three specified grounds including "because it would prejudice security or the defence or international relations of Australia".</w:t>
      </w:r>
    </w:p>
    <w:p w14:paraId="5FC3E152" w14:textId="62B8A462" w:rsidR="00570A0A" w:rsidRPr="006632F7" w:rsidRDefault="00AC45E3" w:rsidP="006632F7">
      <w:pPr>
        <w:pStyle w:val="FixListStyle"/>
        <w:spacing w:after="260" w:line="280" w:lineRule="exact"/>
        <w:ind w:right="0"/>
        <w:jc w:val="both"/>
        <w:rPr>
          <w:rFonts w:ascii="Times New Roman" w:hAnsi="Times New Roman"/>
        </w:rPr>
      </w:pPr>
      <w:r w:rsidRPr="006632F7">
        <w:rPr>
          <w:rFonts w:ascii="Times New Roman" w:hAnsi="Times New Roman"/>
        </w:rPr>
        <w:tab/>
      </w:r>
      <w:r w:rsidR="004154A1" w:rsidRPr="006632F7">
        <w:rPr>
          <w:rFonts w:ascii="Times New Roman" w:hAnsi="Times New Roman"/>
        </w:rPr>
        <w:t xml:space="preserve">The </w:t>
      </w:r>
      <w:r w:rsidR="00EB562E" w:rsidRPr="006632F7">
        <w:rPr>
          <w:rFonts w:ascii="Times New Roman" w:hAnsi="Times New Roman"/>
        </w:rPr>
        <w:t xml:space="preserve">one substantive </w:t>
      </w:r>
      <w:r w:rsidR="004154A1" w:rsidRPr="006632F7">
        <w:rPr>
          <w:rFonts w:ascii="Times New Roman" w:hAnsi="Times New Roman"/>
        </w:rPr>
        <w:t xml:space="preserve">question </w:t>
      </w:r>
      <w:r w:rsidR="00EB562E" w:rsidRPr="006632F7">
        <w:rPr>
          <w:rFonts w:ascii="Times New Roman" w:hAnsi="Times New Roman"/>
        </w:rPr>
        <w:t xml:space="preserve">posed </w:t>
      </w:r>
      <w:r w:rsidR="004154A1" w:rsidRPr="006632F7">
        <w:rPr>
          <w:rFonts w:ascii="Times New Roman" w:hAnsi="Times New Roman"/>
        </w:rPr>
        <w:t>reflect</w:t>
      </w:r>
      <w:r w:rsidR="00E27762" w:rsidRPr="006632F7">
        <w:rPr>
          <w:rFonts w:ascii="Times New Roman" w:hAnsi="Times New Roman"/>
        </w:rPr>
        <w:t>s</w:t>
      </w:r>
      <w:r w:rsidR="004154A1" w:rsidRPr="006632F7">
        <w:rPr>
          <w:rFonts w:ascii="Times New Roman" w:hAnsi="Times New Roman"/>
        </w:rPr>
        <w:t xml:space="preserve"> the </w:t>
      </w:r>
      <w:r w:rsidR="001A001D" w:rsidRPr="006632F7">
        <w:rPr>
          <w:rFonts w:ascii="Times New Roman" w:hAnsi="Times New Roman"/>
        </w:rPr>
        <w:t xml:space="preserve">plaintiff's principal contention that </w:t>
      </w:r>
      <w:r w:rsidR="00160051" w:rsidRPr="006632F7">
        <w:rPr>
          <w:rFonts w:ascii="Times New Roman" w:hAnsi="Times New Roman"/>
        </w:rPr>
        <w:t xml:space="preserve">s 46(2) of the AAT Act is invalid because it requires the Federal </w:t>
      </w:r>
      <w:r w:rsidR="007966B8" w:rsidRPr="006632F7">
        <w:rPr>
          <w:rFonts w:ascii="Times New Roman" w:hAnsi="Times New Roman"/>
        </w:rPr>
        <w:t>Court</w:t>
      </w:r>
      <w:r w:rsidR="00160051" w:rsidRPr="006632F7">
        <w:rPr>
          <w:rFonts w:ascii="Times New Roman" w:hAnsi="Times New Roman"/>
        </w:rPr>
        <w:t xml:space="preserve"> </w:t>
      </w:r>
      <w:r w:rsidR="00EE6EDE" w:rsidRPr="006632F7">
        <w:rPr>
          <w:rFonts w:ascii="Times New Roman" w:hAnsi="Times New Roman"/>
        </w:rPr>
        <w:t xml:space="preserve">of Australia </w:t>
      </w:r>
      <w:r w:rsidR="00160051" w:rsidRPr="006632F7">
        <w:rPr>
          <w:rFonts w:ascii="Times New Roman" w:hAnsi="Times New Roman"/>
        </w:rPr>
        <w:t xml:space="preserve">to </w:t>
      </w:r>
      <w:r w:rsidR="007966B8" w:rsidRPr="006632F7">
        <w:rPr>
          <w:rFonts w:ascii="Times New Roman" w:hAnsi="Times New Roman"/>
        </w:rPr>
        <w:t xml:space="preserve">depart from the "general rule" of procedural fairness more than </w:t>
      </w:r>
      <w:r w:rsidR="00BE7D95" w:rsidRPr="006632F7">
        <w:rPr>
          <w:rFonts w:ascii="Times New Roman" w:hAnsi="Times New Roman"/>
        </w:rPr>
        <w:t xml:space="preserve">is </w:t>
      </w:r>
      <w:r w:rsidR="007966B8" w:rsidRPr="006632F7">
        <w:rPr>
          <w:rFonts w:ascii="Times New Roman" w:hAnsi="Times New Roman"/>
        </w:rPr>
        <w:t>reasonably necessary to protect a compelling and legitimate public interest</w:t>
      </w:r>
      <w:r w:rsidR="00E03E64" w:rsidRPr="006632F7">
        <w:rPr>
          <w:rFonts w:ascii="Times New Roman" w:hAnsi="Times New Roman"/>
        </w:rPr>
        <w:t xml:space="preserve"> and</w:t>
      </w:r>
      <w:r w:rsidR="007D00A0" w:rsidRPr="006632F7">
        <w:rPr>
          <w:rFonts w:ascii="Times New Roman" w:hAnsi="Times New Roman"/>
        </w:rPr>
        <w:t xml:space="preserve"> </w:t>
      </w:r>
      <w:r w:rsidR="00A17945" w:rsidRPr="006632F7">
        <w:rPr>
          <w:rFonts w:ascii="Times New Roman" w:hAnsi="Times New Roman"/>
        </w:rPr>
        <w:t xml:space="preserve">thereby </w:t>
      </w:r>
      <w:r w:rsidR="001E1D62" w:rsidRPr="006632F7">
        <w:rPr>
          <w:rFonts w:ascii="Times New Roman" w:hAnsi="Times New Roman"/>
        </w:rPr>
        <w:t>depriv</w:t>
      </w:r>
      <w:r w:rsidR="00E03E64" w:rsidRPr="006632F7">
        <w:rPr>
          <w:rFonts w:ascii="Times New Roman" w:hAnsi="Times New Roman"/>
        </w:rPr>
        <w:t>es</w:t>
      </w:r>
      <w:r w:rsidR="001E1D62" w:rsidRPr="006632F7">
        <w:rPr>
          <w:rFonts w:ascii="Times New Roman" w:hAnsi="Times New Roman"/>
        </w:rPr>
        <w:t xml:space="preserve"> </w:t>
      </w:r>
      <w:r w:rsidR="00EE6EDE" w:rsidRPr="006632F7">
        <w:rPr>
          <w:rFonts w:ascii="Times New Roman" w:hAnsi="Times New Roman"/>
        </w:rPr>
        <w:t>it</w:t>
      </w:r>
      <w:r w:rsidR="001E1D62" w:rsidRPr="006632F7">
        <w:rPr>
          <w:rFonts w:ascii="Times New Roman" w:hAnsi="Times New Roman"/>
        </w:rPr>
        <w:t xml:space="preserve"> of an essential characteristic of a "court" under Ch III of the </w:t>
      </w:r>
      <w:r w:rsidR="001E1D62" w:rsidRPr="006632F7">
        <w:rPr>
          <w:rFonts w:ascii="Times New Roman" w:hAnsi="Times New Roman"/>
          <w:i/>
          <w:iCs/>
        </w:rPr>
        <w:t>Constitution</w:t>
      </w:r>
      <w:r w:rsidR="005C4B1B" w:rsidRPr="006632F7">
        <w:rPr>
          <w:rFonts w:ascii="Times New Roman" w:hAnsi="Times New Roman"/>
        </w:rPr>
        <w:t>.</w:t>
      </w:r>
      <w:r w:rsidR="00BE635A" w:rsidRPr="006632F7">
        <w:rPr>
          <w:rFonts w:ascii="Times New Roman" w:hAnsi="Times New Roman"/>
        </w:rPr>
        <w:t xml:space="preserve"> </w:t>
      </w:r>
      <w:r w:rsidR="005A439D" w:rsidRPr="006632F7">
        <w:rPr>
          <w:rFonts w:ascii="Times New Roman" w:hAnsi="Times New Roman"/>
        </w:rPr>
        <w:t>T</w:t>
      </w:r>
      <w:r w:rsidR="008A3542" w:rsidRPr="006632F7">
        <w:rPr>
          <w:rFonts w:ascii="Times New Roman" w:hAnsi="Times New Roman"/>
        </w:rPr>
        <w:t xml:space="preserve">he plaintiff </w:t>
      </w:r>
      <w:r w:rsidR="005A439D" w:rsidRPr="006632F7">
        <w:rPr>
          <w:rFonts w:ascii="Times New Roman" w:hAnsi="Times New Roman"/>
        </w:rPr>
        <w:t xml:space="preserve">submitted that </w:t>
      </w:r>
      <w:r w:rsidR="007439F0" w:rsidRPr="006632F7">
        <w:rPr>
          <w:rFonts w:ascii="Times New Roman" w:hAnsi="Times New Roman"/>
        </w:rPr>
        <w:t xml:space="preserve">the earlier decision of this Court in </w:t>
      </w:r>
      <w:r w:rsidR="005A439D" w:rsidRPr="006632F7">
        <w:rPr>
          <w:rFonts w:ascii="Times New Roman" w:hAnsi="Times New Roman"/>
          <w:i/>
          <w:iCs/>
        </w:rPr>
        <w:t>SDCV v Director-General of Security</w:t>
      </w:r>
      <w:r w:rsidR="00F074C3" w:rsidRPr="006632F7">
        <w:rPr>
          <w:rStyle w:val="FootnoteReference"/>
          <w:rFonts w:ascii="Times New Roman" w:hAnsi="Times New Roman"/>
          <w:sz w:val="24"/>
        </w:rPr>
        <w:footnoteReference w:id="2"/>
      </w:r>
      <w:r w:rsidR="005A439D" w:rsidRPr="006632F7">
        <w:rPr>
          <w:rFonts w:ascii="Times New Roman" w:hAnsi="Times New Roman"/>
        </w:rPr>
        <w:t xml:space="preserve"> is not authority to the contrary </w:t>
      </w:r>
      <w:r w:rsidR="002F2A19" w:rsidRPr="006632F7">
        <w:rPr>
          <w:rFonts w:ascii="Times New Roman" w:hAnsi="Times New Roman"/>
        </w:rPr>
        <w:t xml:space="preserve">but, to the extent necessary, sought leave for </w:t>
      </w:r>
      <w:r w:rsidR="002F2A19" w:rsidRPr="006632F7">
        <w:rPr>
          <w:rFonts w:ascii="Times New Roman" w:hAnsi="Times New Roman"/>
          <w:i/>
          <w:iCs/>
        </w:rPr>
        <w:t>SDCV</w:t>
      </w:r>
      <w:r w:rsidR="002F2A19" w:rsidRPr="006632F7">
        <w:rPr>
          <w:rFonts w:ascii="Times New Roman" w:hAnsi="Times New Roman"/>
        </w:rPr>
        <w:t xml:space="preserve"> to be re-opened and overruled.</w:t>
      </w:r>
    </w:p>
    <w:p w14:paraId="75ED87B8" w14:textId="60871C64" w:rsidR="009B36E9" w:rsidRPr="006632F7" w:rsidRDefault="00570A0A" w:rsidP="006632F7">
      <w:pPr>
        <w:pStyle w:val="FixListStyle"/>
        <w:spacing w:after="260" w:line="280" w:lineRule="exact"/>
        <w:ind w:right="0"/>
        <w:jc w:val="both"/>
        <w:rPr>
          <w:rFonts w:ascii="Times New Roman" w:hAnsi="Times New Roman"/>
        </w:rPr>
      </w:pPr>
      <w:r w:rsidRPr="006632F7">
        <w:rPr>
          <w:rFonts w:ascii="Times New Roman" w:hAnsi="Times New Roman"/>
        </w:rPr>
        <w:tab/>
      </w:r>
      <w:r w:rsidR="00832509" w:rsidRPr="006632F7">
        <w:rPr>
          <w:rFonts w:ascii="Times New Roman" w:hAnsi="Times New Roman"/>
        </w:rPr>
        <w:t>In response</w:t>
      </w:r>
      <w:r w:rsidR="005670C7" w:rsidRPr="006632F7">
        <w:rPr>
          <w:rFonts w:ascii="Times New Roman" w:hAnsi="Times New Roman"/>
        </w:rPr>
        <w:t>,</w:t>
      </w:r>
      <w:r w:rsidR="00832509" w:rsidRPr="006632F7">
        <w:rPr>
          <w:rFonts w:ascii="Times New Roman" w:hAnsi="Times New Roman"/>
        </w:rPr>
        <w:t xml:space="preserve"> the </w:t>
      </w:r>
      <w:r w:rsidR="00E77A24" w:rsidRPr="006632F7">
        <w:rPr>
          <w:rFonts w:ascii="Times New Roman" w:hAnsi="Times New Roman"/>
        </w:rPr>
        <w:t xml:space="preserve">second </w:t>
      </w:r>
      <w:r w:rsidR="00603DF4" w:rsidRPr="006632F7">
        <w:rPr>
          <w:rFonts w:ascii="Times New Roman" w:hAnsi="Times New Roman"/>
        </w:rPr>
        <w:t>defendant, the Commonwealth,</w:t>
      </w:r>
      <w:r w:rsidR="0054383C" w:rsidRPr="006632F7">
        <w:rPr>
          <w:rStyle w:val="FootnoteReference"/>
          <w:rFonts w:ascii="Times New Roman" w:hAnsi="Times New Roman"/>
          <w:sz w:val="24"/>
        </w:rPr>
        <w:footnoteReference w:id="3"/>
      </w:r>
      <w:r w:rsidR="00603DF4" w:rsidRPr="006632F7">
        <w:rPr>
          <w:rFonts w:ascii="Times New Roman" w:hAnsi="Times New Roman"/>
        </w:rPr>
        <w:t xml:space="preserve"> submitted that </w:t>
      </w:r>
      <w:r w:rsidR="00603DF4" w:rsidRPr="006632F7">
        <w:rPr>
          <w:rFonts w:ascii="Times New Roman" w:hAnsi="Times New Roman"/>
          <w:i/>
          <w:iCs/>
        </w:rPr>
        <w:t>SDCV</w:t>
      </w:r>
      <w:r w:rsidR="00603DF4" w:rsidRPr="006632F7">
        <w:rPr>
          <w:rFonts w:ascii="Times New Roman" w:hAnsi="Times New Roman"/>
        </w:rPr>
        <w:t xml:space="preserve"> provides a complete answer to the plaintiff's case and should not be re-</w:t>
      </w:r>
      <w:r w:rsidR="0054383C" w:rsidRPr="006632F7">
        <w:rPr>
          <w:rFonts w:ascii="Times New Roman" w:hAnsi="Times New Roman"/>
        </w:rPr>
        <w:t>opened</w:t>
      </w:r>
      <w:r w:rsidR="00603DF4" w:rsidRPr="006632F7">
        <w:rPr>
          <w:rFonts w:ascii="Times New Roman" w:hAnsi="Times New Roman"/>
        </w:rPr>
        <w:t>.</w:t>
      </w:r>
      <w:r w:rsidR="00884784" w:rsidRPr="006632F7">
        <w:rPr>
          <w:rFonts w:ascii="Times New Roman" w:hAnsi="Times New Roman"/>
        </w:rPr>
        <w:t xml:space="preserve"> </w:t>
      </w:r>
      <w:r w:rsidR="00FB5D31" w:rsidRPr="006632F7">
        <w:rPr>
          <w:rFonts w:ascii="Times New Roman" w:hAnsi="Times New Roman"/>
        </w:rPr>
        <w:t>T</w:t>
      </w:r>
      <w:r w:rsidR="00BC0D6B" w:rsidRPr="006632F7">
        <w:rPr>
          <w:rFonts w:ascii="Times New Roman" w:hAnsi="Times New Roman"/>
        </w:rPr>
        <w:t xml:space="preserve">he </w:t>
      </w:r>
      <w:r w:rsidR="00E77A24" w:rsidRPr="006632F7">
        <w:rPr>
          <w:rFonts w:ascii="Times New Roman" w:hAnsi="Times New Roman"/>
        </w:rPr>
        <w:t>Commonwealth</w:t>
      </w:r>
      <w:r w:rsidR="00394037" w:rsidRPr="006632F7">
        <w:rPr>
          <w:rFonts w:ascii="Times New Roman" w:hAnsi="Times New Roman"/>
        </w:rPr>
        <w:t xml:space="preserve"> </w:t>
      </w:r>
      <w:r w:rsidR="00962E9B" w:rsidRPr="006632F7">
        <w:rPr>
          <w:rFonts w:ascii="Times New Roman" w:hAnsi="Times New Roman"/>
        </w:rPr>
        <w:t xml:space="preserve">alternatively </w:t>
      </w:r>
      <w:r w:rsidR="000D2A42" w:rsidRPr="006632F7">
        <w:rPr>
          <w:rFonts w:ascii="Times New Roman" w:hAnsi="Times New Roman"/>
        </w:rPr>
        <w:t xml:space="preserve">proposed </w:t>
      </w:r>
      <w:r w:rsidR="00E77A24" w:rsidRPr="006632F7">
        <w:rPr>
          <w:rFonts w:ascii="Times New Roman" w:hAnsi="Times New Roman"/>
        </w:rPr>
        <w:t>that</w:t>
      </w:r>
      <w:r w:rsidR="003F3E40" w:rsidRPr="006632F7">
        <w:rPr>
          <w:rFonts w:ascii="Times New Roman" w:hAnsi="Times New Roman"/>
        </w:rPr>
        <w:t xml:space="preserve">, if </w:t>
      </w:r>
      <w:r w:rsidR="00BB70D0" w:rsidRPr="006632F7">
        <w:rPr>
          <w:rFonts w:ascii="Times New Roman" w:hAnsi="Times New Roman"/>
        </w:rPr>
        <w:t xml:space="preserve">the Court were to re-open </w:t>
      </w:r>
      <w:r w:rsidR="00BB70D0" w:rsidRPr="006632F7">
        <w:rPr>
          <w:rFonts w:ascii="Times New Roman" w:hAnsi="Times New Roman"/>
          <w:i/>
          <w:iCs/>
        </w:rPr>
        <w:t>SDCV</w:t>
      </w:r>
      <w:r w:rsidR="00BB70D0" w:rsidRPr="006632F7">
        <w:rPr>
          <w:rFonts w:ascii="Times New Roman" w:hAnsi="Times New Roman"/>
        </w:rPr>
        <w:t xml:space="preserve"> and were to consider s 46(2) to be invalid</w:t>
      </w:r>
      <w:r w:rsidR="001D049C" w:rsidRPr="006632F7">
        <w:rPr>
          <w:rFonts w:ascii="Times New Roman" w:hAnsi="Times New Roman"/>
        </w:rPr>
        <w:t xml:space="preserve">, it would be reasonably open to construe s 46(2) as Steward J proposed in </w:t>
      </w:r>
      <w:r w:rsidR="001D049C" w:rsidRPr="006632F7">
        <w:rPr>
          <w:rFonts w:ascii="Times New Roman" w:hAnsi="Times New Roman"/>
          <w:i/>
          <w:iCs/>
        </w:rPr>
        <w:t>SDCV</w:t>
      </w:r>
      <w:r w:rsidR="001D049C" w:rsidRPr="006632F7">
        <w:rPr>
          <w:rFonts w:ascii="Times New Roman" w:hAnsi="Times New Roman"/>
        </w:rPr>
        <w:t xml:space="preserve"> </w:t>
      </w:r>
      <w:r w:rsidR="00D80146" w:rsidRPr="006632F7">
        <w:rPr>
          <w:rFonts w:ascii="Times New Roman" w:hAnsi="Times New Roman"/>
        </w:rPr>
        <w:t xml:space="preserve">which would </w:t>
      </w:r>
      <w:r w:rsidR="00D968CE" w:rsidRPr="006632F7">
        <w:rPr>
          <w:rFonts w:ascii="Times New Roman" w:hAnsi="Times New Roman"/>
        </w:rPr>
        <w:t>enabl</w:t>
      </w:r>
      <w:r w:rsidR="00D80146" w:rsidRPr="006632F7">
        <w:rPr>
          <w:rFonts w:ascii="Times New Roman" w:hAnsi="Times New Roman"/>
        </w:rPr>
        <w:t>e</w:t>
      </w:r>
      <w:r w:rsidR="00D968CE" w:rsidRPr="006632F7">
        <w:rPr>
          <w:rFonts w:ascii="Times New Roman" w:hAnsi="Times New Roman"/>
        </w:rPr>
        <w:t xml:space="preserve"> the Federal </w:t>
      </w:r>
      <w:r w:rsidR="00057DB2" w:rsidRPr="006632F7">
        <w:rPr>
          <w:rFonts w:ascii="Times New Roman" w:hAnsi="Times New Roman"/>
        </w:rPr>
        <w:t>Court</w:t>
      </w:r>
      <w:r w:rsidR="00D968CE" w:rsidRPr="006632F7">
        <w:rPr>
          <w:rFonts w:ascii="Times New Roman" w:hAnsi="Times New Roman"/>
        </w:rPr>
        <w:t xml:space="preserve"> to adopt several strategies to avoid or ameliorate any </w:t>
      </w:r>
      <w:r w:rsidR="00057DB2" w:rsidRPr="006632F7">
        <w:rPr>
          <w:rFonts w:ascii="Times New Roman" w:hAnsi="Times New Roman"/>
        </w:rPr>
        <w:t>practical</w:t>
      </w:r>
      <w:r w:rsidR="00D968CE" w:rsidRPr="006632F7">
        <w:rPr>
          <w:rFonts w:ascii="Times New Roman" w:hAnsi="Times New Roman"/>
        </w:rPr>
        <w:t xml:space="preserve"> injustice in a</w:t>
      </w:r>
      <w:r w:rsidR="00057DB2" w:rsidRPr="006632F7">
        <w:rPr>
          <w:rFonts w:ascii="Times New Roman" w:hAnsi="Times New Roman"/>
        </w:rPr>
        <w:t>n</w:t>
      </w:r>
      <w:r w:rsidR="00D968CE" w:rsidRPr="006632F7">
        <w:rPr>
          <w:rFonts w:ascii="Times New Roman" w:hAnsi="Times New Roman"/>
        </w:rPr>
        <w:t xml:space="preserve"> appeal to it </w:t>
      </w:r>
      <w:r w:rsidR="00A13C08" w:rsidRPr="006632F7">
        <w:rPr>
          <w:rFonts w:ascii="Times New Roman" w:hAnsi="Times New Roman"/>
        </w:rPr>
        <w:t>as referred to in s 46(1) of the AAT Act.</w:t>
      </w:r>
      <w:r w:rsidR="00A13C08" w:rsidRPr="006632F7">
        <w:rPr>
          <w:rStyle w:val="FootnoteReference"/>
          <w:rFonts w:ascii="Times New Roman" w:hAnsi="Times New Roman"/>
          <w:sz w:val="24"/>
        </w:rPr>
        <w:footnoteReference w:id="4"/>
      </w:r>
      <w:r w:rsidR="00A13C08" w:rsidRPr="006632F7">
        <w:rPr>
          <w:rFonts w:ascii="Times New Roman" w:hAnsi="Times New Roman"/>
        </w:rPr>
        <w:t xml:space="preserve"> </w:t>
      </w:r>
    </w:p>
    <w:p w14:paraId="3E8B9226" w14:textId="0CEFBEF2" w:rsidR="00010BFC" w:rsidRPr="006632F7" w:rsidRDefault="00AF26E9" w:rsidP="006632F7">
      <w:pPr>
        <w:pStyle w:val="FixListStyle"/>
        <w:spacing w:after="260" w:line="280" w:lineRule="exact"/>
        <w:ind w:right="0"/>
        <w:jc w:val="both"/>
        <w:rPr>
          <w:rFonts w:ascii="Times New Roman" w:hAnsi="Times New Roman"/>
        </w:rPr>
      </w:pPr>
      <w:r w:rsidRPr="006632F7">
        <w:rPr>
          <w:rFonts w:ascii="Times New Roman" w:hAnsi="Times New Roman"/>
        </w:rPr>
        <w:lastRenderedPageBreak/>
        <w:tab/>
        <w:t xml:space="preserve">For the reasons which follow the </w:t>
      </w:r>
      <w:r w:rsidR="00825353" w:rsidRPr="006632F7">
        <w:rPr>
          <w:rFonts w:ascii="Times New Roman" w:hAnsi="Times New Roman"/>
        </w:rPr>
        <w:t xml:space="preserve">Commonwealth's </w:t>
      </w:r>
      <w:r w:rsidR="001C240B" w:rsidRPr="006632F7">
        <w:rPr>
          <w:rFonts w:ascii="Times New Roman" w:hAnsi="Times New Roman"/>
        </w:rPr>
        <w:t xml:space="preserve">principal </w:t>
      </w:r>
      <w:r w:rsidR="00825353" w:rsidRPr="006632F7">
        <w:rPr>
          <w:rFonts w:ascii="Times New Roman" w:hAnsi="Times New Roman"/>
        </w:rPr>
        <w:t xml:space="preserve">submission, that </w:t>
      </w:r>
      <w:r w:rsidR="00825353" w:rsidRPr="006632F7">
        <w:rPr>
          <w:rFonts w:ascii="Times New Roman" w:hAnsi="Times New Roman"/>
          <w:i/>
          <w:iCs/>
        </w:rPr>
        <w:t>SDCV</w:t>
      </w:r>
      <w:r w:rsidR="00825353" w:rsidRPr="006632F7">
        <w:rPr>
          <w:rFonts w:ascii="Times New Roman" w:hAnsi="Times New Roman"/>
        </w:rPr>
        <w:t xml:space="preserve"> provides a complete answer to the plaintiff's case and should not be re-opened</w:t>
      </w:r>
      <w:r w:rsidR="00927879" w:rsidRPr="006632F7">
        <w:rPr>
          <w:rFonts w:ascii="Times New Roman" w:hAnsi="Times New Roman"/>
        </w:rPr>
        <w:t>, is correct</w:t>
      </w:r>
      <w:r w:rsidR="00E04DA9" w:rsidRPr="006632F7">
        <w:rPr>
          <w:rFonts w:ascii="Times New Roman" w:hAnsi="Times New Roman"/>
        </w:rPr>
        <w:t>.</w:t>
      </w:r>
      <w:r w:rsidR="00927879" w:rsidRPr="006632F7">
        <w:rPr>
          <w:rFonts w:ascii="Times New Roman" w:hAnsi="Times New Roman"/>
        </w:rPr>
        <w:t xml:space="preserve"> </w:t>
      </w:r>
    </w:p>
    <w:p w14:paraId="64E9D316" w14:textId="4B08619B" w:rsidR="00BD77D6" w:rsidRPr="006632F7" w:rsidRDefault="00277AA0" w:rsidP="006632F7">
      <w:pPr>
        <w:pStyle w:val="HeadingL1"/>
        <w:spacing w:after="260" w:line="280" w:lineRule="exact"/>
        <w:ind w:right="0"/>
        <w:jc w:val="both"/>
        <w:rPr>
          <w:rFonts w:ascii="Times New Roman" w:hAnsi="Times New Roman"/>
        </w:rPr>
      </w:pPr>
      <w:r w:rsidRPr="006632F7">
        <w:rPr>
          <w:rFonts w:ascii="Times New Roman" w:hAnsi="Times New Roman"/>
        </w:rPr>
        <w:t xml:space="preserve">The </w:t>
      </w:r>
      <w:r w:rsidRPr="00CA4F6C">
        <w:rPr>
          <w:rFonts w:ascii="Times New Roman" w:hAnsi="Times New Roman"/>
          <w:i/>
          <w:iCs/>
        </w:rPr>
        <w:t>ratio</w:t>
      </w:r>
      <w:r w:rsidRPr="006632F7">
        <w:rPr>
          <w:rFonts w:ascii="Times New Roman" w:hAnsi="Times New Roman"/>
        </w:rPr>
        <w:t xml:space="preserve"> </w:t>
      </w:r>
      <w:r w:rsidR="006A48DA" w:rsidRPr="006632F7">
        <w:rPr>
          <w:rFonts w:ascii="Times New Roman" w:hAnsi="Times New Roman"/>
        </w:rPr>
        <w:t xml:space="preserve">of </w:t>
      </w:r>
      <w:r w:rsidR="006A48DA" w:rsidRPr="006632F7">
        <w:rPr>
          <w:rFonts w:ascii="Times New Roman" w:hAnsi="Times New Roman"/>
          <w:i/>
          <w:iCs/>
        </w:rPr>
        <w:t>SDCV</w:t>
      </w:r>
    </w:p>
    <w:p w14:paraId="5FF1E9B1" w14:textId="36358D0D" w:rsidR="00DC590D" w:rsidRPr="006632F7" w:rsidRDefault="00D8730F" w:rsidP="006632F7">
      <w:pPr>
        <w:pStyle w:val="FixListStyle"/>
        <w:spacing w:after="260" w:line="280" w:lineRule="exact"/>
        <w:ind w:right="0"/>
        <w:jc w:val="both"/>
        <w:rPr>
          <w:rFonts w:ascii="Times New Roman" w:hAnsi="Times New Roman"/>
        </w:rPr>
      </w:pPr>
      <w:r w:rsidRPr="006632F7">
        <w:rPr>
          <w:rFonts w:ascii="Times New Roman" w:hAnsi="Times New Roman"/>
        </w:rPr>
        <w:tab/>
      </w:r>
      <w:r w:rsidR="00E502C4" w:rsidRPr="006632F7">
        <w:rPr>
          <w:rFonts w:ascii="Times New Roman" w:hAnsi="Times New Roman"/>
        </w:rPr>
        <w:t>The Full Court of the Federal Court</w:t>
      </w:r>
      <w:r w:rsidR="008760FD" w:rsidRPr="006632F7">
        <w:rPr>
          <w:rFonts w:ascii="Times New Roman" w:hAnsi="Times New Roman"/>
        </w:rPr>
        <w:t>,</w:t>
      </w:r>
      <w:r w:rsidR="00E502C4" w:rsidRPr="006632F7">
        <w:rPr>
          <w:rFonts w:ascii="Times New Roman" w:hAnsi="Times New Roman"/>
        </w:rPr>
        <w:t xml:space="preserve"> from which the appeal was brought to this Court in </w:t>
      </w:r>
      <w:r w:rsidR="00E502C4" w:rsidRPr="006632F7">
        <w:rPr>
          <w:rFonts w:ascii="Times New Roman" w:hAnsi="Times New Roman"/>
          <w:i/>
          <w:iCs/>
        </w:rPr>
        <w:t>SDCV</w:t>
      </w:r>
      <w:r w:rsidR="008760FD" w:rsidRPr="006632F7">
        <w:rPr>
          <w:rFonts w:ascii="Times New Roman" w:hAnsi="Times New Roman"/>
          <w:i/>
          <w:iCs/>
        </w:rPr>
        <w:t>,</w:t>
      </w:r>
      <w:r w:rsidR="00E502C4" w:rsidRPr="006632F7">
        <w:rPr>
          <w:rFonts w:ascii="Times New Roman" w:hAnsi="Times New Roman"/>
        </w:rPr>
        <w:t xml:space="preserve"> had declared that </w:t>
      </w:r>
      <w:r w:rsidR="002E2D3D" w:rsidRPr="006632F7">
        <w:rPr>
          <w:rFonts w:ascii="Times New Roman" w:hAnsi="Times New Roman"/>
        </w:rPr>
        <w:t xml:space="preserve">s </w:t>
      </w:r>
      <w:r w:rsidR="00E502C4" w:rsidRPr="006632F7">
        <w:rPr>
          <w:rFonts w:ascii="Times New Roman" w:hAnsi="Times New Roman"/>
        </w:rPr>
        <w:t>46(2) of the</w:t>
      </w:r>
      <w:r w:rsidR="002E2D3D" w:rsidRPr="006632F7">
        <w:rPr>
          <w:rFonts w:ascii="Times New Roman" w:hAnsi="Times New Roman"/>
        </w:rPr>
        <w:t xml:space="preserve"> AAT Act</w:t>
      </w:r>
      <w:r w:rsidR="00E502C4" w:rsidRPr="006632F7">
        <w:rPr>
          <w:rFonts w:ascii="Times New Roman" w:hAnsi="Times New Roman"/>
        </w:rPr>
        <w:t xml:space="preserve"> </w:t>
      </w:r>
      <w:r w:rsidR="00F81B2A" w:rsidRPr="006632F7">
        <w:rPr>
          <w:rFonts w:ascii="Times New Roman" w:hAnsi="Times New Roman"/>
        </w:rPr>
        <w:t>"</w:t>
      </w:r>
      <w:r w:rsidR="00E502C4" w:rsidRPr="006632F7">
        <w:rPr>
          <w:rFonts w:ascii="Times New Roman" w:hAnsi="Times New Roman"/>
        </w:rPr>
        <w:t>is a valid law of the Commonwealth</w:t>
      </w:r>
      <w:r w:rsidR="00F23EEF" w:rsidRPr="006632F7">
        <w:rPr>
          <w:rFonts w:ascii="Times New Roman" w:hAnsi="Times New Roman"/>
        </w:rPr>
        <w:t>"</w:t>
      </w:r>
      <w:r w:rsidR="00E502C4" w:rsidRPr="006632F7">
        <w:rPr>
          <w:rFonts w:ascii="Times New Roman" w:hAnsi="Times New Roman"/>
        </w:rPr>
        <w:t>.</w:t>
      </w:r>
      <w:r w:rsidR="00E502C4" w:rsidRPr="006632F7">
        <w:rPr>
          <w:rStyle w:val="FootnoteReference"/>
          <w:rFonts w:ascii="Times New Roman" w:hAnsi="Times New Roman"/>
          <w:sz w:val="24"/>
        </w:rPr>
        <w:footnoteReference w:id="5"/>
      </w:r>
      <w:r w:rsidR="00E502C4" w:rsidRPr="006632F7">
        <w:rPr>
          <w:rFonts w:ascii="Times New Roman" w:hAnsi="Times New Roman"/>
        </w:rPr>
        <w:t xml:space="preserve"> </w:t>
      </w:r>
      <w:r w:rsidR="006243C0" w:rsidRPr="006632F7">
        <w:rPr>
          <w:rFonts w:ascii="Times New Roman" w:hAnsi="Times New Roman"/>
        </w:rPr>
        <w:t>T</w:t>
      </w:r>
      <w:r w:rsidR="00897C0C" w:rsidRPr="006632F7">
        <w:rPr>
          <w:rFonts w:ascii="Times New Roman" w:hAnsi="Times New Roman"/>
        </w:rPr>
        <w:t xml:space="preserve">he parties </w:t>
      </w:r>
      <w:r w:rsidR="00DB20B6" w:rsidRPr="006632F7">
        <w:rPr>
          <w:rFonts w:ascii="Times New Roman" w:hAnsi="Times New Roman"/>
        </w:rPr>
        <w:t xml:space="preserve">joined issue </w:t>
      </w:r>
      <w:r w:rsidR="006243C0" w:rsidRPr="006632F7">
        <w:rPr>
          <w:rFonts w:ascii="Times New Roman" w:hAnsi="Times New Roman"/>
        </w:rPr>
        <w:t xml:space="preserve">on the appeal to this Court </w:t>
      </w:r>
      <w:r w:rsidR="00A236A8" w:rsidRPr="006632F7">
        <w:rPr>
          <w:rFonts w:ascii="Times New Roman" w:hAnsi="Times New Roman"/>
        </w:rPr>
        <w:t>as to wh</w:t>
      </w:r>
      <w:r w:rsidR="001F2940" w:rsidRPr="006632F7">
        <w:rPr>
          <w:rFonts w:ascii="Times New Roman" w:hAnsi="Times New Roman"/>
        </w:rPr>
        <w:t>et</w:t>
      </w:r>
      <w:r w:rsidR="00A236A8" w:rsidRPr="006632F7">
        <w:rPr>
          <w:rFonts w:ascii="Times New Roman" w:hAnsi="Times New Roman"/>
        </w:rPr>
        <w:t>her</w:t>
      </w:r>
      <w:r w:rsidR="006A5773" w:rsidRPr="006632F7">
        <w:rPr>
          <w:rFonts w:ascii="Times New Roman" w:hAnsi="Times New Roman"/>
        </w:rPr>
        <w:t>: (a) </w:t>
      </w:r>
      <w:r w:rsidR="00A236A8" w:rsidRPr="006632F7">
        <w:rPr>
          <w:rFonts w:ascii="Times New Roman" w:hAnsi="Times New Roman"/>
        </w:rPr>
        <w:t>s 46(2) of the AA</w:t>
      </w:r>
      <w:r w:rsidR="001F2940" w:rsidRPr="006632F7">
        <w:rPr>
          <w:rFonts w:ascii="Times New Roman" w:hAnsi="Times New Roman"/>
        </w:rPr>
        <w:t>T</w:t>
      </w:r>
      <w:r w:rsidR="00A236A8" w:rsidRPr="006632F7">
        <w:rPr>
          <w:rFonts w:ascii="Times New Roman" w:hAnsi="Times New Roman"/>
        </w:rPr>
        <w:t xml:space="preserve"> Act was </w:t>
      </w:r>
      <w:r w:rsidR="001F2940" w:rsidRPr="006632F7">
        <w:rPr>
          <w:rFonts w:ascii="Times New Roman" w:hAnsi="Times New Roman"/>
        </w:rPr>
        <w:t>valid or invalid in its entirety</w:t>
      </w:r>
      <w:r w:rsidR="006A5773" w:rsidRPr="006632F7">
        <w:rPr>
          <w:rFonts w:ascii="Times New Roman" w:hAnsi="Times New Roman"/>
        </w:rPr>
        <w:t>;</w:t>
      </w:r>
      <w:r w:rsidR="00C7234D" w:rsidRPr="006632F7">
        <w:rPr>
          <w:rStyle w:val="FootnoteReference"/>
          <w:rFonts w:ascii="Times New Roman" w:hAnsi="Times New Roman"/>
          <w:sz w:val="24"/>
        </w:rPr>
        <w:footnoteReference w:id="6"/>
      </w:r>
      <w:r w:rsidR="001F2940" w:rsidRPr="006632F7">
        <w:rPr>
          <w:rFonts w:ascii="Times New Roman" w:hAnsi="Times New Roman"/>
        </w:rPr>
        <w:t xml:space="preserve"> </w:t>
      </w:r>
      <w:r w:rsidR="006A5773" w:rsidRPr="006632F7">
        <w:rPr>
          <w:rFonts w:ascii="Times New Roman" w:hAnsi="Times New Roman"/>
        </w:rPr>
        <w:t>and (b) </w:t>
      </w:r>
      <w:r w:rsidR="00032FAA" w:rsidRPr="006632F7">
        <w:rPr>
          <w:rFonts w:ascii="Times New Roman" w:hAnsi="Times New Roman"/>
        </w:rPr>
        <w:t xml:space="preserve">alternatively, </w:t>
      </w:r>
      <w:r w:rsidR="006A5773" w:rsidRPr="006632F7">
        <w:rPr>
          <w:rFonts w:ascii="Times New Roman" w:hAnsi="Times New Roman"/>
        </w:rPr>
        <w:t xml:space="preserve">s 46(2) </w:t>
      </w:r>
      <w:r w:rsidR="00E90404" w:rsidRPr="006632F7">
        <w:rPr>
          <w:rFonts w:ascii="Times New Roman" w:hAnsi="Times New Roman"/>
        </w:rPr>
        <w:t xml:space="preserve">was to be construed in accordance with s 15A of the </w:t>
      </w:r>
      <w:r w:rsidR="00E90404" w:rsidRPr="006632F7">
        <w:rPr>
          <w:rFonts w:ascii="Times New Roman" w:hAnsi="Times New Roman"/>
          <w:i/>
          <w:iCs/>
        </w:rPr>
        <w:t>Acts Interpretation Act</w:t>
      </w:r>
      <w:r w:rsidR="00E90404" w:rsidRPr="006632F7">
        <w:rPr>
          <w:rFonts w:ascii="Times New Roman" w:hAnsi="Times New Roman"/>
        </w:rPr>
        <w:t xml:space="preserve"> </w:t>
      </w:r>
      <w:r w:rsidR="00E90404" w:rsidRPr="006632F7">
        <w:rPr>
          <w:rFonts w:ascii="Times New Roman" w:hAnsi="Times New Roman"/>
          <w:i/>
          <w:iCs/>
        </w:rPr>
        <w:t>1901</w:t>
      </w:r>
      <w:r w:rsidR="00E90404" w:rsidRPr="006632F7">
        <w:rPr>
          <w:rFonts w:ascii="Times New Roman" w:hAnsi="Times New Roman"/>
        </w:rPr>
        <w:t xml:space="preserve"> (</w:t>
      </w:r>
      <w:proofErr w:type="spellStart"/>
      <w:r w:rsidR="00E90404" w:rsidRPr="006632F7">
        <w:rPr>
          <w:rFonts w:ascii="Times New Roman" w:hAnsi="Times New Roman"/>
        </w:rPr>
        <w:t>Cth</w:t>
      </w:r>
      <w:proofErr w:type="spellEnd"/>
      <w:r w:rsidR="00E90404" w:rsidRPr="006632F7">
        <w:rPr>
          <w:rFonts w:ascii="Times New Roman" w:hAnsi="Times New Roman"/>
        </w:rPr>
        <w:t xml:space="preserve">) </w:t>
      </w:r>
      <w:r w:rsidR="005B47E1" w:rsidRPr="006632F7">
        <w:rPr>
          <w:rFonts w:ascii="Times New Roman" w:hAnsi="Times New Roman"/>
        </w:rPr>
        <w:t>to</w:t>
      </w:r>
      <w:r w:rsidR="00986482" w:rsidRPr="006632F7">
        <w:rPr>
          <w:rFonts w:ascii="Times New Roman" w:hAnsi="Times New Roman"/>
        </w:rPr>
        <w:t xml:space="preserve"> </w:t>
      </w:r>
      <w:r w:rsidR="00E668B0" w:rsidRPr="006632F7">
        <w:rPr>
          <w:rFonts w:ascii="Times New Roman" w:hAnsi="Times New Roman"/>
        </w:rPr>
        <w:t xml:space="preserve">mean </w:t>
      </w:r>
      <w:r w:rsidR="00986482" w:rsidRPr="006632F7">
        <w:rPr>
          <w:rFonts w:ascii="Times New Roman" w:hAnsi="Times New Roman"/>
        </w:rPr>
        <w:t xml:space="preserve">that the Federal Court must "do all things necessary </w:t>
      </w:r>
      <w:r w:rsidR="00555047" w:rsidRPr="006632F7">
        <w:rPr>
          <w:rFonts w:ascii="Times New Roman" w:hAnsi="Times New Roman"/>
          <w:i/>
          <w:iCs/>
        </w:rPr>
        <w:t>in the due exercise of judicial power</w:t>
      </w:r>
      <w:r w:rsidR="00555047" w:rsidRPr="006632F7">
        <w:rPr>
          <w:rFonts w:ascii="Times New Roman" w:hAnsi="Times New Roman"/>
        </w:rPr>
        <w:t xml:space="preserve"> </w:t>
      </w:r>
      <w:r w:rsidR="00986482" w:rsidRPr="006632F7">
        <w:rPr>
          <w:rFonts w:ascii="Times New Roman" w:hAnsi="Times New Roman"/>
        </w:rPr>
        <w:t>to ensure that the</w:t>
      </w:r>
      <w:r w:rsidR="00673CF0" w:rsidRPr="006632F7">
        <w:rPr>
          <w:rFonts w:ascii="Times New Roman" w:hAnsi="Times New Roman"/>
        </w:rPr>
        <w:t xml:space="preserve"> ...</w:t>
      </w:r>
      <w:r w:rsidR="00986482" w:rsidRPr="006632F7">
        <w:rPr>
          <w:rFonts w:ascii="Times New Roman" w:hAnsi="Times New Roman"/>
        </w:rPr>
        <w:t xml:space="preserve"> matter is not disclosed to any person</w:t>
      </w:r>
      <w:r w:rsidR="004E6326" w:rsidRPr="006632F7">
        <w:rPr>
          <w:rFonts w:ascii="Times New Roman" w:hAnsi="Times New Roman"/>
        </w:rPr>
        <w:t>"</w:t>
      </w:r>
      <w:r w:rsidR="00986482" w:rsidRPr="006632F7">
        <w:rPr>
          <w:rFonts w:ascii="Times New Roman" w:hAnsi="Times New Roman"/>
        </w:rPr>
        <w:t xml:space="preserve"> other than a member of the court as constituted for the purposes of the proceeding.</w:t>
      </w:r>
      <w:r w:rsidR="00555047" w:rsidRPr="006632F7">
        <w:rPr>
          <w:rStyle w:val="FootnoteReference"/>
          <w:rFonts w:ascii="Times New Roman" w:hAnsi="Times New Roman"/>
          <w:sz w:val="24"/>
        </w:rPr>
        <w:footnoteReference w:id="7"/>
      </w:r>
      <w:r w:rsidR="00A1513C" w:rsidRPr="006632F7">
        <w:rPr>
          <w:rFonts w:ascii="Times New Roman" w:hAnsi="Times New Roman"/>
        </w:rPr>
        <w:t xml:space="preserve"> </w:t>
      </w:r>
    </w:p>
    <w:p w14:paraId="0EF3D1A7" w14:textId="1BF1A519" w:rsidR="00DC590D" w:rsidRPr="006632F7" w:rsidRDefault="00DC590D" w:rsidP="006632F7">
      <w:pPr>
        <w:pStyle w:val="FixListStyle"/>
        <w:spacing w:after="260" w:line="280" w:lineRule="exact"/>
        <w:ind w:right="0"/>
        <w:jc w:val="both"/>
        <w:rPr>
          <w:rFonts w:ascii="Times New Roman" w:hAnsi="Times New Roman"/>
        </w:rPr>
      </w:pPr>
      <w:r w:rsidRPr="006632F7">
        <w:rPr>
          <w:rFonts w:ascii="Times New Roman" w:hAnsi="Times New Roman"/>
        </w:rPr>
        <w:tab/>
      </w:r>
      <w:r w:rsidR="00F155A0" w:rsidRPr="006632F7">
        <w:rPr>
          <w:rFonts w:ascii="Times New Roman" w:hAnsi="Times New Roman"/>
        </w:rPr>
        <w:t>Kiefel CJ, Keane and Gleeson JJ concluded that</w:t>
      </w:r>
      <w:r w:rsidR="00CA209B" w:rsidRPr="006632F7">
        <w:rPr>
          <w:rFonts w:ascii="Times New Roman" w:hAnsi="Times New Roman"/>
        </w:rPr>
        <w:t xml:space="preserve"> s 46(2) was valid in its entirety</w:t>
      </w:r>
      <w:r w:rsidR="00DA2384" w:rsidRPr="006632F7">
        <w:rPr>
          <w:rStyle w:val="FootnoteReference"/>
          <w:rFonts w:ascii="Times New Roman" w:hAnsi="Times New Roman"/>
          <w:sz w:val="24"/>
        </w:rPr>
        <w:footnoteReference w:id="8"/>
      </w:r>
      <w:r w:rsidR="009520E8" w:rsidRPr="006632F7">
        <w:rPr>
          <w:rFonts w:ascii="Times New Roman" w:hAnsi="Times New Roman"/>
        </w:rPr>
        <w:t xml:space="preserve"> and</w:t>
      </w:r>
      <w:r w:rsidR="00A0201D" w:rsidRPr="006632F7">
        <w:rPr>
          <w:rFonts w:ascii="Times New Roman" w:hAnsi="Times New Roman"/>
        </w:rPr>
        <w:t xml:space="preserve"> </w:t>
      </w:r>
      <w:r w:rsidR="004237C8" w:rsidRPr="006632F7">
        <w:rPr>
          <w:rFonts w:ascii="Times New Roman" w:hAnsi="Times New Roman"/>
        </w:rPr>
        <w:t xml:space="preserve">that </w:t>
      </w:r>
      <w:r w:rsidR="0051097F" w:rsidRPr="006632F7">
        <w:rPr>
          <w:rFonts w:ascii="Times New Roman" w:hAnsi="Times New Roman"/>
        </w:rPr>
        <w:t>the</w:t>
      </w:r>
      <w:r w:rsidR="0030012E" w:rsidRPr="006632F7">
        <w:rPr>
          <w:rFonts w:ascii="Times New Roman" w:hAnsi="Times New Roman"/>
        </w:rPr>
        <w:t xml:space="preserve"> arguments in support of </w:t>
      </w:r>
      <w:r w:rsidR="00BE5892" w:rsidRPr="006632F7">
        <w:rPr>
          <w:rFonts w:ascii="Times New Roman" w:hAnsi="Times New Roman"/>
        </w:rPr>
        <w:t>its</w:t>
      </w:r>
      <w:r w:rsidR="0030012E" w:rsidRPr="006632F7">
        <w:rPr>
          <w:rFonts w:ascii="Times New Roman" w:hAnsi="Times New Roman"/>
        </w:rPr>
        <w:t xml:space="preserve"> invalidity </w:t>
      </w:r>
      <w:r w:rsidR="00A0201D" w:rsidRPr="006632F7">
        <w:rPr>
          <w:rFonts w:ascii="Times New Roman" w:hAnsi="Times New Roman"/>
        </w:rPr>
        <w:t>involved a "</w:t>
      </w:r>
      <w:r w:rsidR="008F05E9" w:rsidRPr="006632F7">
        <w:rPr>
          <w:rFonts w:ascii="Times New Roman" w:hAnsi="Times New Roman"/>
        </w:rPr>
        <w:t>fatal artificiality".</w:t>
      </w:r>
      <w:r w:rsidR="008F05E9" w:rsidRPr="006632F7">
        <w:rPr>
          <w:rStyle w:val="FootnoteReference"/>
          <w:rFonts w:ascii="Times New Roman" w:hAnsi="Times New Roman"/>
          <w:sz w:val="24"/>
        </w:rPr>
        <w:footnoteReference w:id="9"/>
      </w:r>
      <w:r w:rsidR="00A83EB4" w:rsidRPr="006632F7">
        <w:rPr>
          <w:rFonts w:ascii="Times New Roman" w:hAnsi="Times New Roman"/>
        </w:rPr>
        <w:t xml:space="preserve"> </w:t>
      </w:r>
      <w:r w:rsidR="00986982" w:rsidRPr="006632F7">
        <w:rPr>
          <w:rFonts w:ascii="Times New Roman" w:hAnsi="Times New Roman"/>
        </w:rPr>
        <w:t>As their Honours put it, s 46 "</w:t>
      </w:r>
      <w:r w:rsidR="005133FF" w:rsidRPr="006632F7">
        <w:rPr>
          <w:rFonts w:ascii="Times New Roman" w:hAnsi="Times New Roman"/>
        </w:rPr>
        <w:t>considered as a whole, does not disadvantage a person in the position of the appellant: it simply offers that person a statutory remedy in addition to the remedies otherwise provided by law, that additional remedy being attended with forensic consequences different from those attending those other remedies</w:t>
      </w:r>
      <w:r w:rsidR="00600DDF" w:rsidRPr="006632F7">
        <w:rPr>
          <w:rFonts w:ascii="Times New Roman" w:hAnsi="Times New Roman"/>
        </w:rPr>
        <w:t>"</w:t>
      </w:r>
      <w:r w:rsidR="005133FF" w:rsidRPr="006632F7">
        <w:rPr>
          <w:rFonts w:ascii="Times New Roman" w:hAnsi="Times New Roman"/>
        </w:rPr>
        <w:t>.</w:t>
      </w:r>
      <w:r w:rsidR="005133FF" w:rsidRPr="006632F7">
        <w:rPr>
          <w:rStyle w:val="FootnoteReference"/>
          <w:rFonts w:ascii="Times New Roman" w:hAnsi="Times New Roman"/>
          <w:sz w:val="24"/>
        </w:rPr>
        <w:footnoteReference w:id="10"/>
      </w:r>
      <w:r w:rsidR="000350D3" w:rsidRPr="006632F7">
        <w:rPr>
          <w:rFonts w:ascii="Times New Roman" w:hAnsi="Times New Roman"/>
        </w:rPr>
        <w:t xml:space="preserve"> </w:t>
      </w:r>
      <w:r w:rsidR="009A48B7" w:rsidRPr="006632F7">
        <w:rPr>
          <w:rFonts w:ascii="Times New Roman" w:hAnsi="Times New Roman"/>
        </w:rPr>
        <w:t>In these circumstances</w:t>
      </w:r>
      <w:r w:rsidR="00111BDF" w:rsidRPr="006632F7">
        <w:rPr>
          <w:rFonts w:ascii="Times New Roman" w:hAnsi="Times New Roman"/>
        </w:rPr>
        <w:t>,</w:t>
      </w:r>
      <w:r w:rsidR="009A48B7" w:rsidRPr="006632F7">
        <w:rPr>
          <w:rFonts w:ascii="Times New Roman" w:hAnsi="Times New Roman"/>
        </w:rPr>
        <w:t xml:space="preserve"> </w:t>
      </w:r>
      <w:r w:rsidR="00A83122" w:rsidRPr="006632F7">
        <w:rPr>
          <w:rFonts w:ascii="Times New Roman" w:hAnsi="Times New Roman"/>
        </w:rPr>
        <w:t xml:space="preserve">their Honours were satisfied that </w:t>
      </w:r>
      <w:r w:rsidR="009A48B7" w:rsidRPr="006632F7">
        <w:rPr>
          <w:rFonts w:ascii="Times New Roman" w:hAnsi="Times New Roman"/>
        </w:rPr>
        <w:t>s 46(2) did not impose any practical injustice on the appellant</w:t>
      </w:r>
      <w:r w:rsidR="00FF2F31" w:rsidRPr="006632F7">
        <w:rPr>
          <w:rFonts w:ascii="Times New Roman" w:hAnsi="Times New Roman"/>
        </w:rPr>
        <w:t xml:space="preserve"> and was valid</w:t>
      </w:r>
      <w:r w:rsidR="009A48B7" w:rsidRPr="006632F7">
        <w:rPr>
          <w:rFonts w:ascii="Times New Roman" w:hAnsi="Times New Roman"/>
        </w:rPr>
        <w:t xml:space="preserve">. </w:t>
      </w:r>
    </w:p>
    <w:p w14:paraId="3A4CB260" w14:textId="44089DFC" w:rsidR="00DC590D" w:rsidRPr="006632F7" w:rsidRDefault="00DC590D" w:rsidP="006632F7">
      <w:pPr>
        <w:pStyle w:val="FixListStyle"/>
        <w:spacing w:after="260" w:line="280" w:lineRule="exact"/>
        <w:ind w:right="0"/>
        <w:jc w:val="both"/>
        <w:rPr>
          <w:rFonts w:ascii="Times New Roman" w:hAnsi="Times New Roman"/>
        </w:rPr>
      </w:pPr>
      <w:r w:rsidRPr="006632F7">
        <w:rPr>
          <w:rFonts w:ascii="Times New Roman" w:hAnsi="Times New Roman"/>
        </w:rPr>
        <w:tab/>
      </w:r>
      <w:r w:rsidR="00F61079" w:rsidRPr="006632F7">
        <w:rPr>
          <w:rFonts w:ascii="Times New Roman" w:hAnsi="Times New Roman"/>
        </w:rPr>
        <w:t xml:space="preserve">In contrast, </w:t>
      </w:r>
      <w:proofErr w:type="spellStart"/>
      <w:r w:rsidR="00084AB9" w:rsidRPr="006632F7">
        <w:rPr>
          <w:rFonts w:ascii="Times New Roman" w:hAnsi="Times New Roman"/>
        </w:rPr>
        <w:t>Gag</w:t>
      </w:r>
      <w:r w:rsidR="00F803DB" w:rsidRPr="006632F7">
        <w:rPr>
          <w:rFonts w:ascii="Times New Roman" w:hAnsi="Times New Roman"/>
        </w:rPr>
        <w:t>e</w:t>
      </w:r>
      <w:r w:rsidR="00084AB9" w:rsidRPr="006632F7">
        <w:rPr>
          <w:rFonts w:ascii="Times New Roman" w:hAnsi="Times New Roman"/>
        </w:rPr>
        <w:t>ler</w:t>
      </w:r>
      <w:proofErr w:type="spellEnd"/>
      <w:r w:rsidR="00084AB9" w:rsidRPr="006632F7">
        <w:rPr>
          <w:rFonts w:ascii="Times New Roman" w:hAnsi="Times New Roman"/>
        </w:rPr>
        <w:t xml:space="preserve"> J concluded that </w:t>
      </w:r>
      <w:r w:rsidR="00F803DB" w:rsidRPr="006632F7">
        <w:rPr>
          <w:rFonts w:ascii="Times New Roman" w:hAnsi="Times New Roman"/>
        </w:rPr>
        <w:t>s 46(2) was invalid in its e</w:t>
      </w:r>
      <w:r w:rsidR="00D33BE8" w:rsidRPr="006632F7">
        <w:rPr>
          <w:rFonts w:ascii="Times New Roman" w:hAnsi="Times New Roman"/>
        </w:rPr>
        <w:t>n</w:t>
      </w:r>
      <w:r w:rsidR="00F803DB" w:rsidRPr="006632F7">
        <w:rPr>
          <w:rFonts w:ascii="Times New Roman" w:hAnsi="Times New Roman"/>
        </w:rPr>
        <w:t>tirety</w:t>
      </w:r>
      <w:r w:rsidR="000C11C6" w:rsidRPr="006632F7">
        <w:rPr>
          <w:rFonts w:ascii="Times New Roman" w:hAnsi="Times New Roman"/>
        </w:rPr>
        <w:t xml:space="preserve"> on the basis that </w:t>
      </w:r>
      <w:r w:rsidR="00E2388C" w:rsidRPr="006632F7">
        <w:rPr>
          <w:rFonts w:ascii="Times New Roman" w:hAnsi="Times New Roman"/>
        </w:rPr>
        <w:t xml:space="preserve">it </w:t>
      </w:r>
      <w:r w:rsidR="000C11C6" w:rsidRPr="006632F7">
        <w:rPr>
          <w:rFonts w:ascii="Times New Roman" w:hAnsi="Times New Roman"/>
        </w:rPr>
        <w:t>compelled a court "</w:t>
      </w:r>
      <w:r w:rsidR="00947591" w:rsidRPr="006632F7">
        <w:rPr>
          <w:rFonts w:ascii="Times New Roman" w:hAnsi="Times New Roman"/>
        </w:rPr>
        <w:t xml:space="preserve">never to disclose the certified information to a </w:t>
      </w:r>
      <w:r w:rsidR="00947591" w:rsidRPr="006632F7">
        <w:rPr>
          <w:rFonts w:ascii="Times New Roman" w:hAnsi="Times New Roman"/>
        </w:rPr>
        <w:lastRenderedPageBreak/>
        <w:t>party or to a legal representative of a party irrespective of the degree of relevance or perceived relevance of the information to the resolution of an issue in the appeal and irrespective of the degree of prejudice to security or the defence or international relations of Australia that would</w:t>
      </w:r>
      <w:r w:rsidR="00723334" w:rsidRPr="006632F7">
        <w:rPr>
          <w:rFonts w:ascii="Times New Roman" w:hAnsi="Times New Roman"/>
        </w:rPr>
        <w:t xml:space="preserve"> </w:t>
      </w:r>
      <w:r w:rsidR="00947591" w:rsidRPr="006632F7">
        <w:rPr>
          <w:rFonts w:ascii="Times New Roman" w:hAnsi="Times New Roman"/>
        </w:rPr>
        <w:t>result from disclosure to that party or legal representative</w:t>
      </w:r>
      <w:r w:rsidR="00723334" w:rsidRPr="006632F7">
        <w:rPr>
          <w:rFonts w:ascii="Times New Roman" w:hAnsi="Times New Roman"/>
        </w:rPr>
        <w:t>"</w:t>
      </w:r>
      <w:r w:rsidR="00E2388C" w:rsidRPr="006632F7">
        <w:rPr>
          <w:rFonts w:ascii="Times New Roman" w:hAnsi="Times New Roman"/>
        </w:rPr>
        <w:t>.</w:t>
      </w:r>
      <w:r w:rsidR="00961464" w:rsidRPr="006632F7">
        <w:rPr>
          <w:rStyle w:val="FootnoteReference"/>
          <w:rFonts w:ascii="Times New Roman" w:hAnsi="Times New Roman"/>
          <w:sz w:val="24"/>
        </w:rPr>
        <w:footnoteReference w:id="11"/>
      </w:r>
      <w:r w:rsidR="00E2388C" w:rsidRPr="006632F7">
        <w:rPr>
          <w:rFonts w:ascii="Times New Roman" w:hAnsi="Times New Roman"/>
        </w:rPr>
        <w:t xml:space="preserve"> </w:t>
      </w:r>
      <w:r w:rsidR="004E26F6" w:rsidRPr="006632F7">
        <w:rPr>
          <w:rFonts w:ascii="Times New Roman" w:hAnsi="Times New Roman"/>
        </w:rPr>
        <w:t xml:space="preserve">Accordingly, his Honour concluded that </w:t>
      </w:r>
      <w:r w:rsidR="00E65620" w:rsidRPr="006632F7">
        <w:rPr>
          <w:rFonts w:ascii="Times New Roman" w:hAnsi="Times New Roman"/>
        </w:rPr>
        <w:t>"the blanket proscription by s</w:t>
      </w:r>
      <w:r w:rsidR="00AE2408" w:rsidRPr="006632F7">
        <w:rPr>
          <w:rFonts w:ascii="Times New Roman" w:hAnsi="Times New Roman"/>
        </w:rPr>
        <w:t> </w:t>
      </w:r>
      <w:r w:rsidR="00E65620" w:rsidRPr="006632F7">
        <w:rPr>
          <w:rFonts w:ascii="Times New Roman" w:hAnsi="Times New Roman"/>
        </w:rPr>
        <w:t>46(2) of the AAT Act of disclosure of information</w:t>
      </w:r>
      <w:r w:rsidR="00A64D08" w:rsidRPr="006632F7">
        <w:rPr>
          <w:rFonts w:ascii="Times New Roman" w:hAnsi="Times New Roman"/>
        </w:rPr>
        <w:t xml:space="preserve"> ... </w:t>
      </w:r>
      <w:r w:rsidR="00E65620" w:rsidRPr="006632F7">
        <w:rPr>
          <w:rFonts w:ascii="Times New Roman" w:hAnsi="Times New Roman"/>
        </w:rPr>
        <w:t>renders the process by which the Federal Court is to hear and determine an appeal under s</w:t>
      </w:r>
      <w:r w:rsidR="00AE2408" w:rsidRPr="006632F7">
        <w:rPr>
          <w:rFonts w:ascii="Times New Roman" w:hAnsi="Times New Roman"/>
        </w:rPr>
        <w:t> </w:t>
      </w:r>
      <w:r w:rsidR="00E65620" w:rsidRPr="006632F7">
        <w:rPr>
          <w:rFonts w:ascii="Times New Roman" w:hAnsi="Times New Roman"/>
        </w:rPr>
        <w:t>44 of the AAT Act procedurally unfair</w:t>
      </w:r>
      <w:r w:rsidR="00AE2408" w:rsidRPr="006632F7">
        <w:rPr>
          <w:rFonts w:ascii="Times New Roman" w:hAnsi="Times New Roman"/>
        </w:rPr>
        <w:t>"</w:t>
      </w:r>
      <w:r w:rsidR="00AE2408" w:rsidRPr="006632F7">
        <w:rPr>
          <w:rStyle w:val="FootnoteReference"/>
          <w:rFonts w:ascii="Times New Roman" w:hAnsi="Times New Roman"/>
          <w:sz w:val="24"/>
        </w:rPr>
        <w:footnoteReference w:id="12"/>
      </w:r>
      <w:r w:rsidR="00F361A3" w:rsidRPr="006632F7">
        <w:rPr>
          <w:rFonts w:ascii="Times New Roman" w:hAnsi="Times New Roman"/>
        </w:rPr>
        <w:t xml:space="preserve"> and </w:t>
      </w:r>
      <w:r w:rsidR="0021535E" w:rsidRPr="006632F7">
        <w:rPr>
          <w:rFonts w:ascii="Times New Roman" w:hAnsi="Times New Roman"/>
        </w:rPr>
        <w:t>thereby</w:t>
      </w:r>
      <w:r w:rsidR="00F361A3" w:rsidRPr="006632F7">
        <w:rPr>
          <w:rFonts w:ascii="Times New Roman" w:hAnsi="Times New Roman"/>
        </w:rPr>
        <w:t xml:space="preserve"> incomp</w:t>
      </w:r>
      <w:r w:rsidR="0021535E" w:rsidRPr="006632F7">
        <w:rPr>
          <w:rFonts w:ascii="Times New Roman" w:hAnsi="Times New Roman"/>
        </w:rPr>
        <w:t xml:space="preserve">atible with Ch III of the </w:t>
      </w:r>
      <w:r w:rsidR="0021535E" w:rsidRPr="006632F7">
        <w:rPr>
          <w:rFonts w:ascii="Times New Roman" w:hAnsi="Times New Roman"/>
          <w:i/>
          <w:iCs/>
        </w:rPr>
        <w:t>Constitution</w:t>
      </w:r>
      <w:r w:rsidR="0021535E" w:rsidRPr="006632F7">
        <w:rPr>
          <w:rFonts w:ascii="Times New Roman" w:hAnsi="Times New Roman"/>
        </w:rPr>
        <w:t xml:space="preserve"> and invalid in consequence.</w:t>
      </w:r>
      <w:r w:rsidR="0021535E" w:rsidRPr="006632F7">
        <w:rPr>
          <w:rStyle w:val="FootnoteReference"/>
          <w:rFonts w:ascii="Times New Roman" w:hAnsi="Times New Roman"/>
          <w:sz w:val="24"/>
        </w:rPr>
        <w:footnoteReference w:id="13"/>
      </w:r>
    </w:p>
    <w:p w14:paraId="133072C8" w14:textId="7C732708" w:rsidR="00DC590D" w:rsidRPr="006632F7" w:rsidRDefault="00DC590D" w:rsidP="006632F7">
      <w:pPr>
        <w:pStyle w:val="FixListStyle"/>
        <w:spacing w:after="260" w:line="280" w:lineRule="exact"/>
        <w:ind w:right="0"/>
        <w:jc w:val="both"/>
        <w:rPr>
          <w:rFonts w:ascii="Times New Roman" w:hAnsi="Times New Roman"/>
        </w:rPr>
      </w:pPr>
      <w:r w:rsidRPr="006632F7">
        <w:rPr>
          <w:rFonts w:ascii="Times New Roman" w:hAnsi="Times New Roman"/>
        </w:rPr>
        <w:tab/>
      </w:r>
      <w:r w:rsidR="000B6193" w:rsidRPr="006632F7">
        <w:rPr>
          <w:rFonts w:ascii="Times New Roman" w:hAnsi="Times New Roman"/>
        </w:rPr>
        <w:t xml:space="preserve">Gordon J concluded that s 46(2) </w:t>
      </w:r>
      <w:r w:rsidR="00FC09BB" w:rsidRPr="006632F7">
        <w:rPr>
          <w:rFonts w:ascii="Times New Roman" w:hAnsi="Times New Roman"/>
        </w:rPr>
        <w:t xml:space="preserve">was </w:t>
      </w:r>
      <w:r w:rsidR="000B6193" w:rsidRPr="006632F7">
        <w:rPr>
          <w:rFonts w:ascii="Times New Roman" w:hAnsi="Times New Roman"/>
        </w:rPr>
        <w:t>"wholly invalid"</w:t>
      </w:r>
      <w:r w:rsidR="000B6193" w:rsidRPr="006632F7">
        <w:rPr>
          <w:rStyle w:val="FootnoteReference"/>
          <w:rFonts w:ascii="Times New Roman" w:hAnsi="Times New Roman"/>
          <w:sz w:val="24"/>
        </w:rPr>
        <w:footnoteReference w:id="14"/>
      </w:r>
      <w:r w:rsidR="00CF3141" w:rsidRPr="006632F7">
        <w:rPr>
          <w:rFonts w:ascii="Times New Roman" w:hAnsi="Times New Roman"/>
        </w:rPr>
        <w:t xml:space="preserve"> on the basis that the section </w:t>
      </w:r>
      <w:r w:rsidR="00D90BB7" w:rsidRPr="006632F7">
        <w:rPr>
          <w:rFonts w:ascii="Times New Roman" w:hAnsi="Times New Roman"/>
        </w:rPr>
        <w:t xml:space="preserve">"impermissibly excludes procedural fairness for a whole class of case by removing the ability of the Federal Court to respond to potential </w:t>
      </w:r>
      <w:r w:rsidR="00252B5F" w:rsidRPr="006632F7">
        <w:rPr>
          <w:rFonts w:ascii="Times New Roman" w:hAnsi="Times New Roman"/>
        </w:rPr>
        <w:t>'</w:t>
      </w:r>
      <w:r w:rsidR="00D90BB7" w:rsidRPr="006632F7">
        <w:rPr>
          <w:rFonts w:ascii="Times New Roman" w:hAnsi="Times New Roman"/>
        </w:rPr>
        <w:t>practical injustice</w:t>
      </w:r>
      <w:r w:rsidR="00252B5F" w:rsidRPr="006632F7">
        <w:rPr>
          <w:rFonts w:ascii="Times New Roman" w:hAnsi="Times New Roman"/>
        </w:rPr>
        <w:t>'</w:t>
      </w:r>
      <w:r w:rsidR="00D90BB7" w:rsidRPr="006632F7">
        <w:rPr>
          <w:rFonts w:ascii="Times New Roman" w:hAnsi="Times New Roman"/>
        </w:rPr>
        <w:t>"</w:t>
      </w:r>
      <w:r w:rsidR="00BA3B76" w:rsidRPr="006632F7">
        <w:rPr>
          <w:rStyle w:val="FootnoteReference"/>
          <w:rFonts w:ascii="Times New Roman" w:hAnsi="Times New Roman"/>
          <w:sz w:val="24"/>
        </w:rPr>
        <w:footnoteReference w:id="15"/>
      </w:r>
      <w:r w:rsidR="00093420" w:rsidRPr="006632F7">
        <w:rPr>
          <w:rFonts w:ascii="Times New Roman" w:hAnsi="Times New Roman"/>
        </w:rPr>
        <w:t xml:space="preserve"> and </w:t>
      </w:r>
      <w:r w:rsidR="0013716A" w:rsidRPr="006632F7">
        <w:rPr>
          <w:rFonts w:ascii="Times New Roman" w:hAnsi="Times New Roman"/>
        </w:rPr>
        <w:t xml:space="preserve">forbids </w:t>
      </w:r>
      <w:r w:rsidR="001F4BE5" w:rsidRPr="006632F7">
        <w:rPr>
          <w:rFonts w:ascii="Times New Roman" w:hAnsi="Times New Roman"/>
        </w:rPr>
        <w:t>"the Court in any and every case from making any certified matter available to the applicant or any representative of the applicant"</w:t>
      </w:r>
      <w:r w:rsidR="0013716A" w:rsidRPr="006632F7">
        <w:rPr>
          <w:rFonts w:ascii="Times New Roman" w:hAnsi="Times New Roman"/>
        </w:rPr>
        <w:t>.</w:t>
      </w:r>
      <w:r w:rsidR="00DD295D" w:rsidRPr="006632F7">
        <w:rPr>
          <w:rStyle w:val="FootnoteReference"/>
          <w:rFonts w:ascii="Times New Roman" w:hAnsi="Times New Roman"/>
          <w:sz w:val="24"/>
        </w:rPr>
        <w:footnoteReference w:id="16"/>
      </w:r>
      <w:r w:rsidR="0013716A" w:rsidRPr="006632F7">
        <w:rPr>
          <w:rFonts w:ascii="Times New Roman" w:hAnsi="Times New Roman"/>
        </w:rPr>
        <w:t xml:space="preserve"> </w:t>
      </w:r>
    </w:p>
    <w:p w14:paraId="366D249F" w14:textId="7DACF494" w:rsidR="00DC590D" w:rsidRPr="006632F7" w:rsidRDefault="00DC590D" w:rsidP="006632F7">
      <w:pPr>
        <w:pStyle w:val="FixListStyle"/>
        <w:spacing w:after="260" w:line="280" w:lineRule="exact"/>
        <w:ind w:right="0"/>
        <w:jc w:val="both"/>
        <w:rPr>
          <w:rFonts w:ascii="Times New Roman" w:hAnsi="Times New Roman"/>
        </w:rPr>
      </w:pPr>
      <w:r w:rsidRPr="006632F7">
        <w:rPr>
          <w:rFonts w:ascii="Times New Roman" w:hAnsi="Times New Roman"/>
        </w:rPr>
        <w:tab/>
      </w:r>
      <w:r w:rsidR="0021616B" w:rsidRPr="006632F7">
        <w:rPr>
          <w:rFonts w:ascii="Times New Roman" w:hAnsi="Times New Roman"/>
        </w:rPr>
        <w:t xml:space="preserve">Edelman J </w:t>
      </w:r>
      <w:r w:rsidR="00E06C31" w:rsidRPr="006632F7">
        <w:rPr>
          <w:rFonts w:ascii="Times New Roman" w:hAnsi="Times New Roman"/>
        </w:rPr>
        <w:t>concluded that s</w:t>
      </w:r>
      <w:r w:rsidR="008A42D5" w:rsidRPr="006632F7">
        <w:rPr>
          <w:rFonts w:ascii="Times New Roman" w:hAnsi="Times New Roman"/>
        </w:rPr>
        <w:t> </w:t>
      </w:r>
      <w:r w:rsidR="00E06C31" w:rsidRPr="006632F7">
        <w:rPr>
          <w:rFonts w:ascii="Times New Roman" w:hAnsi="Times New Roman"/>
        </w:rPr>
        <w:t>46(2) was invalid in its entirety</w:t>
      </w:r>
      <w:r w:rsidR="00E06C31" w:rsidRPr="006632F7">
        <w:rPr>
          <w:rStyle w:val="FootnoteReference"/>
          <w:rFonts w:ascii="Times New Roman" w:hAnsi="Times New Roman"/>
          <w:sz w:val="24"/>
        </w:rPr>
        <w:footnoteReference w:id="17"/>
      </w:r>
      <w:r w:rsidR="00A9562D" w:rsidRPr="006632F7">
        <w:rPr>
          <w:rFonts w:ascii="Times New Roman" w:hAnsi="Times New Roman"/>
        </w:rPr>
        <w:t xml:space="preserve"> and that it was not open to construe the sectio</w:t>
      </w:r>
      <w:r w:rsidR="007E36E6" w:rsidRPr="006632F7">
        <w:rPr>
          <w:rFonts w:ascii="Times New Roman" w:hAnsi="Times New Roman"/>
        </w:rPr>
        <w:t>n</w:t>
      </w:r>
      <w:r w:rsidR="00A9562D" w:rsidRPr="006632F7">
        <w:rPr>
          <w:rFonts w:ascii="Times New Roman" w:hAnsi="Times New Roman"/>
        </w:rPr>
        <w:t xml:space="preserve"> as if </w:t>
      </w:r>
      <w:r w:rsidR="007E36E6" w:rsidRPr="006632F7">
        <w:rPr>
          <w:rFonts w:ascii="Times New Roman" w:hAnsi="Times New Roman"/>
        </w:rPr>
        <w:t xml:space="preserve">the non-disclosure obligation it imposes on the Federal Court is </w:t>
      </w:r>
      <w:r w:rsidR="00A9562D" w:rsidRPr="006632F7">
        <w:rPr>
          <w:rFonts w:ascii="Times New Roman" w:hAnsi="Times New Roman"/>
        </w:rPr>
        <w:t>qualified</w:t>
      </w:r>
      <w:r w:rsidR="004D1788" w:rsidRPr="006632F7">
        <w:rPr>
          <w:rFonts w:ascii="Times New Roman" w:hAnsi="Times New Roman"/>
        </w:rPr>
        <w:t>.</w:t>
      </w:r>
      <w:r w:rsidR="004D1788" w:rsidRPr="006632F7">
        <w:rPr>
          <w:rStyle w:val="FootnoteReference"/>
          <w:rFonts w:ascii="Times New Roman" w:hAnsi="Times New Roman"/>
          <w:sz w:val="24"/>
        </w:rPr>
        <w:footnoteReference w:id="18"/>
      </w:r>
      <w:r w:rsidR="00D77B4F" w:rsidRPr="006632F7">
        <w:rPr>
          <w:rFonts w:ascii="Times New Roman" w:hAnsi="Times New Roman"/>
        </w:rPr>
        <w:t xml:space="preserve"> </w:t>
      </w:r>
    </w:p>
    <w:p w14:paraId="611AC527" w14:textId="466CBEFC" w:rsidR="00D8730F" w:rsidRPr="006632F7" w:rsidRDefault="00DC590D" w:rsidP="006632F7">
      <w:pPr>
        <w:pStyle w:val="FixListStyle"/>
        <w:spacing w:after="260" w:line="280" w:lineRule="exact"/>
        <w:ind w:right="0"/>
        <w:jc w:val="both"/>
        <w:rPr>
          <w:rFonts w:ascii="Times New Roman" w:hAnsi="Times New Roman"/>
        </w:rPr>
      </w:pPr>
      <w:r w:rsidRPr="006632F7">
        <w:rPr>
          <w:rFonts w:ascii="Times New Roman" w:hAnsi="Times New Roman"/>
        </w:rPr>
        <w:tab/>
      </w:r>
      <w:r w:rsidR="00D77B4F" w:rsidRPr="006632F7">
        <w:rPr>
          <w:rFonts w:ascii="Times New Roman" w:hAnsi="Times New Roman"/>
        </w:rPr>
        <w:t xml:space="preserve">Steward J </w:t>
      </w:r>
      <w:r w:rsidR="005C28DB" w:rsidRPr="006632F7">
        <w:rPr>
          <w:rFonts w:ascii="Times New Roman" w:hAnsi="Times New Roman"/>
        </w:rPr>
        <w:t>concluded that</w:t>
      </w:r>
      <w:r w:rsidR="00DE2B41" w:rsidRPr="006632F7">
        <w:rPr>
          <w:rFonts w:ascii="Times New Roman" w:hAnsi="Times New Roman"/>
        </w:rPr>
        <w:t xml:space="preserve"> </w:t>
      </w:r>
      <w:r w:rsidR="005C28DB" w:rsidRPr="006632F7">
        <w:rPr>
          <w:rFonts w:ascii="Times New Roman" w:hAnsi="Times New Roman"/>
        </w:rPr>
        <w:t>s 46(</w:t>
      </w:r>
      <w:r w:rsidR="00231842" w:rsidRPr="006632F7">
        <w:rPr>
          <w:rFonts w:ascii="Times New Roman" w:hAnsi="Times New Roman"/>
        </w:rPr>
        <w:t>2</w:t>
      </w:r>
      <w:r w:rsidR="005C28DB" w:rsidRPr="006632F7">
        <w:rPr>
          <w:rFonts w:ascii="Times New Roman" w:hAnsi="Times New Roman"/>
        </w:rPr>
        <w:t>)</w:t>
      </w:r>
      <w:r w:rsidR="00231842" w:rsidRPr="006632F7">
        <w:rPr>
          <w:rFonts w:ascii="Times New Roman" w:hAnsi="Times New Roman"/>
        </w:rPr>
        <w:t xml:space="preserve"> </w:t>
      </w:r>
      <w:r w:rsidR="00767A6A" w:rsidRPr="006632F7">
        <w:rPr>
          <w:rFonts w:ascii="Times New Roman" w:hAnsi="Times New Roman"/>
        </w:rPr>
        <w:t xml:space="preserve">did </w:t>
      </w:r>
      <w:r w:rsidR="005C28DB" w:rsidRPr="006632F7">
        <w:rPr>
          <w:rFonts w:ascii="Times New Roman" w:hAnsi="Times New Roman"/>
        </w:rPr>
        <w:t xml:space="preserve">not </w:t>
      </w:r>
      <w:r w:rsidR="00DE2B41" w:rsidRPr="006632F7">
        <w:rPr>
          <w:rFonts w:ascii="Times New Roman" w:hAnsi="Times New Roman"/>
        </w:rPr>
        <w:t xml:space="preserve">necessarily </w:t>
      </w:r>
      <w:r w:rsidR="00767A6A" w:rsidRPr="006632F7">
        <w:rPr>
          <w:rFonts w:ascii="Times New Roman" w:hAnsi="Times New Roman"/>
        </w:rPr>
        <w:t xml:space="preserve">prevent the Federal Court from </w:t>
      </w:r>
      <w:r w:rsidR="00C6558F" w:rsidRPr="006632F7">
        <w:rPr>
          <w:rFonts w:ascii="Times New Roman" w:hAnsi="Times New Roman"/>
        </w:rPr>
        <w:t>avoiding practical injustice to an applicant</w:t>
      </w:r>
      <w:r w:rsidR="00C6558F" w:rsidRPr="006632F7">
        <w:rPr>
          <w:rStyle w:val="FootnoteReference"/>
          <w:rFonts w:ascii="Times New Roman" w:hAnsi="Times New Roman"/>
          <w:sz w:val="24"/>
        </w:rPr>
        <w:footnoteReference w:id="19"/>
      </w:r>
      <w:r w:rsidR="002E443D" w:rsidRPr="006632F7">
        <w:rPr>
          <w:rFonts w:ascii="Times New Roman" w:hAnsi="Times New Roman"/>
        </w:rPr>
        <w:t xml:space="preserve"> on the basis that the "</w:t>
      </w:r>
      <w:r w:rsidR="00291BDE" w:rsidRPr="006632F7">
        <w:rPr>
          <w:rFonts w:ascii="Times New Roman" w:hAnsi="Times New Roman"/>
        </w:rPr>
        <w:t xml:space="preserve">act of supplying documents, including certified documents, to the Federal Court </w:t>
      </w:r>
      <w:r w:rsidR="00291BDE" w:rsidRPr="006632F7">
        <w:rPr>
          <w:rFonts w:ascii="Times New Roman" w:hAnsi="Times New Roman"/>
        </w:rPr>
        <w:lastRenderedPageBreak/>
        <w:t>pursuant to s 46 does not result in the Court being obliged to receive them into evidence or otherwise to consider them",</w:t>
      </w:r>
      <w:r w:rsidR="006E78AA" w:rsidRPr="006632F7">
        <w:rPr>
          <w:rStyle w:val="FootnoteReference"/>
          <w:rFonts w:ascii="Times New Roman" w:hAnsi="Times New Roman"/>
          <w:sz w:val="24"/>
        </w:rPr>
        <w:footnoteReference w:id="20"/>
      </w:r>
      <w:r w:rsidR="00291BDE" w:rsidRPr="006632F7">
        <w:rPr>
          <w:rFonts w:ascii="Times New Roman" w:hAnsi="Times New Roman"/>
        </w:rPr>
        <w:t xml:space="preserve"> with the consequence that the Federal </w:t>
      </w:r>
      <w:r w:rsidR="001D1EE6" w:rsidRPr="006632F7">
        <w:rPr>
          <w:rFonts w:ascii="Times New Roman" w:hAnsi="Times New Roman"/>
        </w:rPr>
        <w:t>Court</w:t>
      </w:r>
      <w:r w:rsidR="00291BDE" w:rsidRPr="006632F7">
        <w:rPr>
          <w:rFonts w:ascii="Times New Roman" w:hAnsi="Times New Roman"/>
        </w:rPr>
        <w:t xml:space="preserve"> could refuse to </w:t>
      </w:r>
      <w:r w:rsidR="001D1EE6" w:rsidRPr="006632F7">
        <w:rPr>
          <w:rFonts w:ascii="Times New Roman" w:hAnsi="Times New Roman"/>
        </w:rPr>
        <w:t xml:space="preserve">admit </w:t>
      </w:r>
      <w:r w:rsidR="00291BDE" w:rsidRPr="006632F7">
        <w:rPr>
          <w:rFonts w:ascii="Times New Roman" w:hAnsi="Times New Roman"/>
        </w:rPr>
        <w:t xml:space="preserve">the </w:t>
      </w:r>
      <w:r w:rsidR="001D1EE6" w:rsidRPr="006632F7">
        <w:rPr>
          <w:rFonts w:ascii="Times New Roman" w:hAnsi="Times New Roman"/>
        </w:rPr>
        <w:t>documents or admit them only on conditions agreed to by the respondent</w:t>
      </w:r>
      <w:r w:rsidR="006E78AA" w:rsidRPr="006632F7">
        <w:rPr>
          <w:rFonts w:ascii="Times New Roman" w:hAnsi="Times New Roman"/>
        </w:rPr>
        <w:t>.</w:t>
      </w:r>
      <w:r w:rsidR="006E78AA" w:rsidRPr="006632F7">
        <w:rPr>
          <w:rStyle w:val="FootnoteReference"/>
          <w:rFonts w:ascii="Times New Roman" w:hAnsi="Times New Roman"/>
          <w:sz w:val="24"/>
        </w:rPr>
        <w:footnoteReference w:id="21"/>
      </w:r>
      <w:r w:rsidR="003C26C7" w:rsidRPr="006632F7">
        <w:rPr>
          <w:rFonts w:ascii="Times New Roman" w:hAnsi="Times New Roman"/>
        </w:rPr>
        <w:t xml:space="preserve"> Steward J also consider</w:t>
      </w:r>
      <w:r w:rsidR="00194998" w:rsidRPr="006632F7">
        <w:rPr>
          <w:rFonts w:ascii="Times New Roman" w:hAnsi="Times New Roman"/>
        </w:rPr>
        <w:t>ed</w:t>
      </w:r>
      <w:r w:rsidR="003C26C7" w:rsidRPr="006632F7">
        <w:rPr>
          <w:rFonts w:ascii="Times New Roman" w:hAnsi="Times New Roman"/>
        </w:rPr>
        <w:t xml:space="preserve"> </w:t>
      </w:r>
      <w:r w:rsidR="00194998" w:rsidRPr="006632F7">
        <w:rPr>
          <w:rFonts w:ascii="Times New Roman" w:hAnsi="Times New Roman"/>
        </w:rPr>
        <w:t xml:space="preserve">that the fact that </w:t>
      </w:r>
      <w:r w:rsidR="003C26C7" w:rsidRPr="006632F7">
        <w:rPr>
          <w:rFonts w:ascii="Times New Roman" w:hAnsi="Times New Roman"/>
        </w:rPr>
        <w:t xml:space="preserve">the </w:t>
      </w:r>
      <w:r w:rsidR="00DE7D5F" w:rsidRPr="006632F7">
        <w:rPr>
          <w:rFonts w:ascii="Times New Roman" w:hAnsi="Times New Roman"/>
        </w:rPr>
        <w:t xml:space="preserve">power of the Federal Court to </w:t>
      </w:r>
      <w:r w:rsidR="00B131B3" w:rsidRPr="006632F7">
        <w:rPr>
          <w:rFonts w:ascii="Times New Roman" w:hAnsi="Times New Roman"/>
        </w:rPr>
        <w:t xml:space="preserve">ensure an </w:t>
      </w:r>
      <w:r w:rsidR="00BF6363" w:rsidRPr="006632F7">
        <w:rPr>
          <w:rFonts w:ascii="Times New Roman" w:hAnsi="Times New Roman"/>
        </w:rPr>
        <w:t xml:space="preserve">applicant </w:t>
      </w:r>
      <w:r w:rsidR="00A50419" w:rsidRPr="006632F7">
        <w:rPr>
          <w:rFonts w:ascii="Times New Roman" w:hAnsi="Times New Roman"/>
        </w:rPr>
        <w:t xml:space="preserve">has a fair opportunity to know the evidence </w:t>
      </w:r>
      <w:r w:rsidR="00194998" w:rsidRPr="006632F7">
        <w:rPr>
          <w:rFonts w:ascii="Times New Roman" w:hAnsi="Times New Roman"/>
        </w:rPr>
        <w:t xml:space="preserve">would </w:t>
      </w:r>
      <w:r w:rsidR="00DE7D5F" w:rsidRPr="006632F7">
        <w:rPr>
          <w:rFonts w:ascii="Times New Roman" w:hAnsi="Times New Roman"/>
        </w:rPr>
        <w:t xml:space="preserve">not </w:t>
      </w:r>
      <w:r w:rsidR="00194998" w:rsidRPr="006632F7">
        <w:rPr>
          <w:rFonts w:ascii="Times New Roman" w:hAnsi="Times New Roman"/>
        </w:rPr>
        <w:t xml:space="preserve">be available in </w:t>
      </w:r>
      <w:r w:rsidR="00474249" w:rsidRPr="006632F7">
        <w:rPr>
          <w:rFonts w:ascii="Times New Roman" w:hAnsi="Times New Roman"/>
        </w:rPr>
        <w:t xml:space="preserve">every case </w:t>
      </w:r>
      <w:r w:rsidR="00B20C6D" w:rsidRPr="006632F7">
        <w:rPr>
          <w:rFonts w:ascii="Times New Roman" w:hAnsi="Times New Roman"/>
        </w:rPr>
        <w:t>(</w:t>
      </w:r>
      <w:r w:rsidR="00474249" w:rsidRPr="006632F7">
        <w:rPr>
          <w:rFonts w:ascii="Times New Roman" w:hAnsi="Times New Roman"/>
        </w:rPr>
        <w:t>because the "certified material may be so sensitive that any form of disclosure would be too dangerous"</w:t>
      </w:r>
      <w:r w:rsidR="00B20C6D" w:rsidRPr="006632F7">
        <w:rPr>
          <w:rFonts w:ascii="Times New Roman" w:hAnsi="Times New Roman"/>
        </w:rPr>
        <w:t>)</w:t>
      </w:r>
      <w:r w:rsidR="00474249" w:rsidRPr="006632F7">
        <w:rPr>
          <w:rFonts w:ascii="Times New Roman" w:hAnsi="Times New Roman"/>
        </w:rPr>
        <w:t xml:space="preserve"> did not mean that s 46(2) was invalid</w:t>
      </w:r>
      <w:r w:rsidR="00B33E7D" w:rsidRPr="006632F7">
        <w:rPr>
          <w:rFonts w:ascii="Times New Roman" w:hAnsi="Times New Roman"/>
        </w:rPr>
        <w:t xml:space="preserve"> by operation of Ch III of the </w:t>
      </w:r>
      <w:r w:rsidR="00B33E7D" w:rsidRPr="006632F7">
        <w:rPr>
          <w:rFonts w:ascii="Times New Roman" w:hAnsi="Times New Roman"/>
          <w:i/>
          <w:iCs/>
        </w:rPr>
        <w:t>Constitution</w:t>
      </w:r>
      <w:r w:rsidR="00C80B3A" w:rsidRPr="006632F7">
        <w:rPr>
          <w:rFonts w:ascii="Times New Roman" w:hAnsi="Times New Roman"/>
        </w:rPr>
        <w:t>.</w:t>
      </w:r>
      <w:r w:rsidR="005A3947" w:rsidRPr="006632F7">
        <w:rPr>
          <w:rStyle w:val="FootnoteReference"/>
          <w:rFonts w:ascii="Times New Roman" w:hAnsi="Times New Roman"/>
          <w:sz w:val="24"/>
        </w:rPr>
        <w:footnoteReference w:id="22"/>
      </w:r>
      <w:r w:rsidR="00C25E74" w:rsidRPr="006632F7">
        <w:rPr>
          <w:rFonts w:ascii="Times New Roman" w:hAnsi="Times New Roman"/>
        </w:rPr>
        <w:t xml:space="preserve"> </w:t>
      </w:r>
      <w:r w:rsidR="00860A2A" w:rsidRPr="006632F7">
        <w:rPr>
          <w:rFonts w:ascii="Times New Roman" w:hAnsi="Times New Roman"/>
        </w:rPr>
        <w:t xml:space="preserve">Rather, </w:t>
      </w:r>
      <w:r w:rsidR="00914060" w:rsidRPr="006632F7">
        <w:rPr>
          <w:rFonts w:ascii="Times New Roman" w:hAnsi="Times New Roman"/>
        </w:rPr>
        <w:t>and consistently with the reasoning of Kiefel</w:t>
      </w:r>
      <w:r w:rsidR="00AF2DC4" w:rsidRPr="006632F7">
        <w:rPr>
          <w:rFonts w:ascii="Times New Roman" w:hAnsi="Times New Roman"/>
        </w:rPr>
        <w:t> CJ</w:t>
      </w:r>
      <w:r w:rsidR="00914060" w:rsidRPr="006632F7">
        <w:rPr>
          <w:rFonts w:ascii="Times New Roman" w:hAnsi="Times New Roman"/>
        </w:rPr>
        <w:t xml:space="preserve">, Keane and Gleeson JJ, </w:t>
      </w:r>
      <w:r w:rsidR="00205C97" w:rsidRPr="006632F7">
        <w:rPr>
          <w:rFonts w:ascii="Times New Roman" w:hAnsi="Times New Roman"/>
        </w:rPr>
        <w:t>Steward </w:t>
      </w:r>
      <w:r w:rsidR="00860A2A" w:rsidRPr="006632F7">
        <w:rPr>
          <w:rFonts w:ascii="Times New Roman" w:hAnsi="Times New Roman"/>
        </w:rPr>
        <w:t xml:space="preserve">J considered that </w:t>
      </w:r>
      <w:r w:rsidR="00C25E74" w:rsidRPr="006632F7">
        <w:rPr>
          <w:rFonts w:ascii="Times New Roman" w:hAnsi="Times New Roman"/>
        </w:rPr>
        <w:t xml:space="preserve">because the right of appeal to the </w:t>
      </w:r>
      <w:r w:rsidR="00A92117" w:rsidRPr="006632F7">
        <w:rPr>
          <w:rFonts w:ascii="Times New Roman" w:hAnsi="Times New Roman"/>
        </w:rPr>
        <w:t>Federal Court on a question of law which s 46 of the AAT Act regulate</w:t>
      </w:r>
      <w:r w:rsidR="00A47C95" w:rsidRPr="006632F7">
        <w:rPr>
          <w:rFonts w:ascii="Times New Roman" w:hAnsi="Times New Roman"/>
        </w:rPr>
        <w:t>d</w:t>
      </w:r>
      <w:r w:rsidR="00A92117" w:rsidRPr="006632F7">
        <w:rPr>
          <w:rFonts w:ascii="Times New Roman" w:hAnsi="Times New Roman"/>
        </w:rPr>
        <w:t xml:space="preserve"> was itself a beneficial aspect of the overall statutory scheme</w:t>
      </w:r>
      <w:r w:rsidR="00860A2A" w:rsidRPr="006632F7">
        <w:rPr>
          <w:rFonts w:ascii="Times New Roman" w:hAnsi="Times New Roman"/>
        </w:rPr>
        <w:t xml:space="preserve">, </w:t>
      </w:r>
      <w:r w:rsidR="007013C6" w:rsidRPr="006632F7">
        <w:rPr>
          <w:rFonts w:ascii="Times New Roman" w:hAnsi="Times New Roman"/>
        </w:rPr>
        <w:t>an applicant under that provision suffered no "practical injustice" by reason of s 46(2)</w:t>
      </w:r>
      <w:r w:rsidR="00BF6363" w:rsidRPr="006632F7">
        <w:rPr>
          <w:rFonts w:ascii="Times New Roman" w:hAnsi="Times New Roman"/>
        </w:rPr>
        <w:t>.</w:t>
      </w:r>
      <w:r w:rsidR="00BA278C" w:rsidRPr="006632F7">
        <w:rPr>
          <w:rStyle w:val="FootnoteReference"/>
          <w:rFonts w:ascii="Times New Roman" w:hAnsi="Times New Roman"/>
          <w:sz w:val="24"/>
        </w:rPr>
        <w:footnoteReference w:id="23"/>
      </w:r>
      <w:r w:rsidR="00E87123" w:rsidRPr="006632F7">
        <w:rPr>
          <w:rFonts w:ascii="Times New Roman" w:hAnsi="Times New Roman"/>
        </w:rPr>
        <w:t xml:space="preserve"> For these reasons</w:t>
      </w:r>
      <w:r w:rsidR="00CF102B" w:rsidRPr="006632F7">
        <w:rPr>
          <w:rFonts w:ascii="Times New Roman" w:hAnsi="Times New Roman"/>
        </w:rPr>
        <w:t>,</w:t>
      </w:r>
      <w:r w:rsidR="00E87123" w:rsidRPr="006632F7">
        <w:rPr>
          <w:rFonts w:ascii="Times New Roman" w:hAnsi="Times New Roman"/>
        </w:rPr>
        <w:t xml:space="preserve"> Steward J agreed with the making of the orders proposed by Kiefel CJ, Keane and Gleeson JJ</w:t>
      </w:r>
      <w:r w:rsidR="005908EC" w:rsidRPr="006632F7">
        <w:rPr>
          <w:rFonts w:ascii="Times New Roman" w:hAnsi="Times New Roman"/>
        </w:rPr>
        <w:t xml:space="preserve"> dismissing the appeal</w:t>
      </w:r>
      <w:r w:rsidR="00E87123" w:rsidRPr="006632F7">
        <w:rPr>
          <w:rFonts w:ascii="Times New Roman" w:hAnsi="Times New Roman"/>
        </w:rPr>
        <w:t>.</w:t>
      </w:r>
      <w:r w:rsidR="00E87123" w:rsidRPr="006632F7">
        <w:rPr>
          <w:rStyle w:val="FootnoteReference"/>
          <w:rFonts w:ascii="Times New Roman" w:hAnsi="Times New Roman"/>
          <w:sz w:val="24"/>
        </w:rPr>
        <w:footnoteReference w:id="24"/>
      </w:r>
      <w:r w:rsidR="00B55F2B" w:rsidRPr="006632F7">
        <w:rPr>
          <w:rFonts w:ascii="Times New Roman" w:hAnsi="Times New Roman"/>
        </w:rPr>
        <w:t xml:space="preserve"> </w:t>
      </w:r>
    </w:p>
    <w:p w14:paraId="2BB202DC" w14:textId="0AE804F2" w:rsidR="00F55B41" w:rsidRPr="006632F7" w:rsidRDefault="00D242A2" w:rsidP="006632F7">
      <w:pPr>
        <w:pStyle w:val="FixListStyle"/>
        <w:spacing w:after="260" w:line="280" w:lineRule="exact"/>
        <w:ind w:right="0"/>
        <w:jc w:val="both"/>
        <w:rPr>
          <w:rFonts w:ascii="Times New Roman" w:hAnsi="Times New Roman"/>
        </w:rPr>
      </w:pPr>
      <w:r w:rsidRPr="006632F7">
        <w:rPr>
          <w:rFonts w:ascii="Times New Roman" w:hAnsi="Times New Roman"/>
        </w:rPr>
        <w:tab/>
      </w:r>
      <w:r w:rsidR="000069C2" w:rsidRPr="006632F7">
        <w:rPr>
          <w:rFonts w:ascii="Times New Roman" w:hAnsi="Times New Roman"/>
        </w:rPr>
        <w:t xml:space="preserve">It follows that the plaintiff's submission that </w:t>
      </w:r>
      <w:r w:rsidR="00700E39" w:rsidRPr="006632F7">
        <w:rPr>
          <w:rFonts w:ascii="Times New Roman" w:hAnsi="Times New Roman"/>
        </w:rPr>
        <w:t xml:space="preserve">no </w:t>
      </w:r>
      <w:r w:rsidR="00700E39" w:rsidRPr="006632F7">
        <w:rPr>
          <w:rFonts w:ascii="Times New Roman" w:hAnsi="Times New Roman"/>
          <w:i/>
          <w:iCs/>
        </w:rPr>
        <w:t>ratio decidendi</w:t>
      </w:r>
      <w:r w:rsidR="00700E39" w:rsidRPr="006632F7">
        <w:rPr>
          <w:rFonts w:ascii="Times New Roman" w:hAnsi="Times New Roman"/>
        </w:rPr>
        <w:t xml:space="preserve"> can be extracted from the reasoning in </w:t>
      </w:r>
      <w:r w:rsidR="000C5AD7" w:rsidRPr="006632F7">
        <w:rPr>
          <w:rFonts w:ascii="Times New Roman" w:hAnsi="Times New Roman"/>
          <w:i/>
          <w:iCs/>
        </w:rPr>
        <w:t>SDCV</w:t>
      </w:r>
      <w:r w:rsidR="000C5AD7" w:rsidRPr="006632F7">
        <w:rPr>
          <w:rFonts w:ascii="Times New Roman" w:hAnsi="Times New Roman"/>
        </w:rPr>
        <w:t xml:space="preserve"> beyond that s 46(2) does not infringe Ch III of the </w:t>
      </w:r>
      <w:r w:rsidR="00D3028D" w:rsidRPr="006632F7">
        <w:rPr>
          <w:rFonts w:ascii="Times New Roman" w:hAnsi="Times New Roman"/>
          <w:i/>
          <w:iCs/>
        </w:rPr>
        <w:t>C</w:t>
      </w:r>
      <w:r w:rsidR="000C5AD7" w:rsidRPr="006632F7">
        <w:rPr>
          <w:rFonts w:ascii="Times New Roman" w:hAnsi="Times New Roman"/>
          <w:i/>
          <w:iCs/>
        </w:rPr>
        <w:t>onstitution</w:t>
      </w:r>
      <w:r w:rsidR="000C5AD7" w:rsidRPr="006632F7">
        <w:rPr>
          <w:rFonts w:ascii="Times New Roman" w:hAnsi="Times New Roman"/>
        </w:rPr>
        <w:t xml:space="preserve"> is incorrect. </w:t>
      </w:r>
      <w:r w:rsidR="00447683" w:rsidRPr="006632F7">
        <w:rPr>
          <w:rFonts w:ascii="Times New Roman" w:hAnsi="Times New Roman"/>
        </w:rPr>
        <w:t xml:space="preserve">It was necessary to the order dismissing the appeal in </w:t>
      </w:r>
      <w:r w:rsidR="00447683" w:rsidRPr="006632F7">
        <w:rPr>
          <w:rFonts w:ascii="Times New Roman" w:hAnsi="Times New Roman"/>
          <w:i/>
          <w:iCs/>
        </w:rPr>
        <w:t>SDCV</w:t>
      </w:r>
      <w:r w:rsidR="00447683" w:rsidRPr="006632F7">
        <w:rPr>
          <w:rFonts w:ascii="Times New Roman" w:hAnsi="Times New Roman"/>
        </w:rPr>
        <w:t xml:space="preserve"> that four </w:t>
      </w:r>
      <w:r w:rsidR="004B235E" w:rsidRPr="006632F7">
        <w:rPr>
          <w:rFonts w:ascii="Times New Roman" w:hAnsi="Times New Roman"/>
        </w:rPr>
        <w:t>J</w:t>
      </w:r>
      <w:r w:rsidR="00447683" w:rsidRPr="006632F7">
        <w:rPr>
          <w:rFonts w:ascii="Times New Roman" w:hAnsi="Times New Roman"/>
        </w:rPr>
        <w:t>ustices (Kiefel CJ, Keane and Gleeson JJ</w:t>
      </w:r>
      <w:r w:rsidR="00E9792C" w:rsidRPr="006632F7">
        <w:rPr>
          <w:rFonts w:ascii="Times New Roman" w:hAnsi="Times New Roman"/>
        </w:rPr>
        <w:t>,</w:t>
      </w:r>
      <w:r w:rsidR="00447683" w:rsidRPr="006632F7">
        <w:rPr>
          <w:rFonts w:ascii="Times New Roman" w:hAnsi="Times New Roman"/>
        </w:rPr>
        <w:t xml:space="preserve"> and Steward J) held that </w:t>
      </w:r>
      <w:r w:rsidR="00720F02" w:rsidRPr="006632F7">
        <w:rPr>
          <w:rFonts w:ascii="Times New Roman" w:hAnsi="Times New Roman"/>
        </w:rPr>
        <w:t>s 46(2)</w:t>
      </w:r>
      <w:r w:rsidR="00601072" w:rsidRPr="006632F7">
        <w:rPr>
          <w:rFonts w:ascii="Times New Roman" w:hAnsi="Times New Roman"/>
        </w:rPr>
        <w:t>, in its application to documents in respect of which there is a certificate in accordance with s 39B(2),</w:t>
      </w:r>
      <w:r w:rsidR="00720F02" w:rsidRPr="006632F7">
        <w:rPr>
          <w:rFonts w:ascii="Times New Roman" w:hAnsi="Times New Roman"/>
        </w:rPr>
        <w:t xml:space="preserve"> did not infringe Ch III of the </w:t>
      </w:r>
      <w:r w:rsidR="00720F02" w:rsidRPr="006632F7">
        <w:rPr>
          <w:rFonts w:ascii="Times New Roman" w:hAnsi="Times New Roman"/>
          <w:i/>
          <w:iCs/>
        </w:rPr>
        <w:t>Constitution</w:t>
      </w:r>
      <w:r w:rsidR="00720F02" w:rsidRPr="006632F7">
        <w:rPr>
          <w:rFonts w:ascii="Times New Roman" w:hAnsi="Times New Roman"/>
        </w:rPr>
        <w:t xml:space="preserve"> because</w:t>
      </w:r>
      <w:r w:rsidR="0061781E" w:rsidRPr="006632F7">
        <w:rPr>
          <w:rFonts w:ascii="Times New Roman" w:hAnsi="Times New Roman"/>
        </w:rPr>
        <w:t>,</w:t>
      </w:r>
      <w:r w:rsidR="00E9792C" w:rsidRPr="006632F7">
        <w:rPr>
          <w:rFonts w:ascii="Times New Roman" w:hAnsi="Times New Roman"/>
        </w:rPr>
        <w:t xml:space="preserve"> </w:t>
      </w:r>
      <w:r w:rsidR="0061781E" w:rsidRPr="006632F7">
        <w:rPr>
          <w:rFonts w:ascii="Times New Roman" w:hAnsi="Times New Roman"/>
        </w:rPr>
        <w:t xml:space="preserve">as the </w:t>
      </w:r>
      <w:r w:rsidR="0007417C" w:rsidRPr="006632F7">
        <w:rPr>
          <w:rFonts w:ascii="Times New Roman" w:hAnsi="Times New Roman"/>
        </w:rPr>
        <w:t>Commonwealth</w:t>
      </w:r>
      <w:r w:rsidR="00424FB6" w:rsidRPr="006632F7">
        <w:rPr>
          <w:rFonts w:ascii="Times New Roman" w:hAnsi="Times New Roman"/>
        </w:rPr>
        <w:t xml:space="preserve"> submitted</w:t>
      </w:r>
      <w:r w:rsidR="0070415A" w:rsidRPr="006632F7">
        <w:rPr>
          <w:rFonts w:ascii="Times New Roman" w:hAnsi="Times New Roman"/>
        </w:rPr>
        <w:t xml:space="preserve"> in the present case</w:t>
      </w:r>
      <w:r w:rsidR="0007417C" w:rsidRPr="006632F7">
        <w:rPr>
          <w:rFonts w:ascii="Times New Roman" w:hAnsi="Times New Roman"/>
        </w:rPr>
        <w:t xml:space="preserve">, </w:t>
      </w:r>
      <w:r w:rsidR="00BA2093" w:rsidRPr="006632F7">
        <w:rPr>
          <w:rFonts w:ascii="Times New Roman" w:hAnsi="Times New Roman"/>
        </w:rPr>
        <w:t>"even where s 46(2) of the AAT Act prevents the Federal Court from providing an applicant with any means to respond to material subject to a certificate</w:t>
      </w:r>
      <w:r w:rsidR="00C1564A" w:rsidRPr="006632F7">
        <w:rPr>
          <w:rFonts w:ascii="Times New Roman" w:hAnsi="Times New Roman"/>
        </w:rPr>
        <w:t> </w:t>
      </w:r>
      <w:r w:rsidR="00BA2093" w:rsidRPr="006632F7">
        <w:rPr>
          <w:rFonts w:ascii="Times New Roman" w:hAnsi="Times New Roman"/>
        </w:rPr>
        <w:t>...</w:t>
      </w:r>
      <w:r w:rsidR="00C1564A" w:rsidRPr="006632F7">
        <w:rPr>
          <w:rFonts w:ascii="Times New Roman" w:hAnsi="Times New Roman"/>
        </w:rPr>
        <w:t> </w:t>
      </w:r>
      <w:r w:rsidR="00BA2093" w:rsidRPr="006632F7">
        <w:rPr>
          <w:rFonts w:ascii="Times New Roman" w:hAnsi="Times New Roman"/>
        </w:rPr>
        <w:t xml:space="preserve">, it is not contrary to Ch III because it forms an inseverable part of an </w:t>
      </w:r>
      <w:r w:rsidR="00BA2093" w:rsidRPr="006632F7">
        <w:rPr>
          <w:rFonts w:ascii="Times New Roman" w:hAnsi="Times New Roman"/>
          <w:i/>
          <w:iCs/>
        </w:rPr>
        <w:t>additional</w:t>
      </w:r>
      <w:r w:rsidR="00BA2093" w:rsidRPr="006632F7">
        <w:rPr>
          <w:rFonts w:ascii="Times New Roman" w:hAnsi="Times New Roman"/>
        </w:rPr>
        <w:t xml:space="preserve"> avenue for review that is beneficial (when compared to the other available avenues of review), and therefore causes no </w:t>
      </w:r>
      <w:r w:rsidR="00BA2093" w:rsidRPr="006632F7">
        <w:rPr>
          <w:rFonts w:ascii="Times New Roman" w:hAnsi="Times New Roman"/>
        </w:rPr>
        <w:lastRenderedPageBreak/>
        <w:t>practical injustice</w:t>
      </w:r>
      <w:r w:rsidR="00646030" w:rsidRPr="006632F7">
        <w:rPr>
          <w:rFonts w:ascii="Times New Roman" w:hAnsi="Times New Roman"/>
        </w:rPr>
        <w:t>"</w:t>
      </w:r>
      <w:r w:rsidR="00BA2093" w:rsidRPr="006632F7">
        <w:rPr>
          <w:rFonts w:ascii="Times New Roman" w:hAnsi="Times New Roman"/>
        </w:rPr>
        <w:t>.</w:t>
      </w:r>
      <w:r w:rsidR="005B13C4" w:rsidRPr="006632F7">
        <w:rPr>
          <w:rStyle w:val="FootnoteReference"/>
          <w:rFonts w:ascii="Times New Roman" w:hAnsi="Times New Roman"/>
          <w:sz w:val="24"/>
        </w:rPr>
        <w:footnoteReference w:id="25"/>
      </w:r>
      <w:r w:rsidR="00A06B92" w:rsidRPr="006632F7">
        <w:rPr>
          <w:rFonts w:ascii="Times New Roman" w:hAnsi="Times New Roman"/>
        </w:rPr>
        <w:t xml:space="preserve"> </w:t>
      </w:r>
      <w:r w:rsidR="00BC025A" w:rsidRPr="006632F7">
        <w:rPr>
          <w:rFonts w:ascii="Times New Roman" w:hAnsi="Times New Roman"/>
        </w:rPr>
        <w:t xml:space="preserve">In respect of the statutory and factual situation it resolved, </w:t>
      </w:r>
      <w:r w:rsidR="00CA1555" w:rsidRPr="006632F7">
        <w:rPr>
          <w:rFonts w:ascii="Times New Roman" w:hAnsi="Times New Roman"/>
        </w:rPr>
        <w:t>t</w:t>
      </w:r>
      <w:r w:rsidR="006B26A7" w:rsidRPr="006632F7">
        <w:rPr>
          <w:rFonts w:ascii="Times New Roman" w:hAnsi="Times New Roman"/>
        </w:rPr>
        <w:t>hat is</w:t>
      </w:r>
      <w:r w:rsidR="006B26A7" w:rsidRPr="006632F7">
        <w:rPr>
          <w:rFonts w:ascii="Times New Roman" w:hAnsi="Times New Roman"/>
          <w:b/>
          <w:bCs/>
        </w:rPr>
        <w:t xml:space="preserve"> </w:t>
      </w:r>
      <w:r w:rsidR="006B26A7" w:rsidRPr="006632F7">
        <w:rPr>
          <w:rFonts w:ascii="Times New Roman" w:hAnsi="Times New Roman"/>
        </w:rPr>
        <w:t xml:space="preserve">the </w:t>
      </w:r>
      <w:r w:rsidR="006B26A7" w:rsidRPr="006632F7">
        <w:rPr>
          <w:rFonts w:ascii="Times New Roman" w:hAnsi="Times New Roman"/>
          <w:i/>
          <w:iCs/>
        </w:rPr>
        <w:t>ratio decidendi</w:t>
      </w:r>
      <w:r w:rsidR="006B26A7" w:rsidRPr="006632F7">
        <w:rPr>
          <w:rFonts w:ascii="Times New Roman" w:hAnsi="Times New Roman"/>
        </w:rPr>
        <w:t xml:space="preserve"> of </w:t>
      </w:r>
      <w:r w:rsidR="006B26A7" w:rsidRPr="006632F7">
        <w:rPr>
          <w:rFonts w:ascii="Times New Roman" w:hAnsi="Times New Roman"/>
          <w:i/>
          <w:iCs/>
        </w:rPr>
        <w:t>SDCV</w:t>
      </w:r>
      <w:r w:rsidR="006B26A7" w:rsidRPr="006632F7">
        <w:rPr>
          <w:rFonts w:ascii="Times New Roman" w:hAnsi="Times New Roman"/>
        </w:rPr>
        <w:t>.</w:t>
      </w:r>
    </w:p>
    <w:p w14:paraId="159AE44D" w14:textId="248EFABB" w:rsidR="00D242A2" w:rsidRPr="006632F7" w:rsidRDefault="00F55B41" w:rsidP="006632F7">
      <w:pPr>
        <w:pStyle w:val="FixListStyle"/>
        <w:spacing w:after="260" w:line="280" w:lineRule="exact"/>
        <w:ind w:right="0"/>
        <w:jc w:val="both"/>
        <w:rPr>
          <w:rFonts w:ascii="Times New Roman" w:hAnsi="Times New Roman"/>
        </w:rPr>
      </w:pPr>
      <w:r w:rsidRPr="006632F7">
        <w:rPr>
          <w:rFonts w:ascii="Times New Roman" w:hAnsi="Times New Roman"/>
        </w:rPr>
        <w:tab/>
      </w:r>
      <w:r w:rsidR="0013277B" w:rsidRPr="006632F7">
        <w:rPr>
          <w:rFonts w:ascii="Times New Roman" w:hAnsi="Times New Roman"/>
        </w:rPr>
        <w:t xml:space="preserve">It is true </w:t>
      </w:r>
      <w:r w:rsidRPr="006632F7">
        <w:rPr>
          <w:rFonts w:ascii="Times New Roman" w:hAnsi="Times New Roman"/>
        </w:rPr>
        <w:t xml:space="preserve">that </w:t>
      </w:r>
      <w:r w:rsidR="00A06B92" w:rsidRPr="006632F7">
        <w:rPr>
          <w:rFonts w:ascii="Times New Roman" w:hAnsi="Times New Roman"/>
        </w:rPr>
        <w:t xml:space="preserve">Steward J also said </w:t>
      </w:r>
      <w:r w:rsidRPr="006632F7">
        <w:rPr>
          <w:rFonts w:ascii="Times New Roman" w:hAnsi="Times New Roman"/>
        </w:rPr>
        <w:t xml:space="preserve">in </w:t>
      </w:r>
      <w:r w:rsidRPr="006632F7">
        <w:rPr>
          <w:rFonts w:ascii="Times New Roman" w:hAnsi="Times New Roman"/>
          <w:i/>
          <w:iCs/>
        </w:rPr>
        <w:t>SDCV</w:t>
      </w:r>
      <w:r w:rsidRPr="006632F7">
        <w:rPr>
          <w:rFonts w:ascii="Times New Roman" w:hAnsi="Times New Roman"/>
        </w:rPr>
        <w:t xml:space="preserve"> </w:t>
      </w:r>
      <w:r w:rsidR="00A06B92" w:rsidRPr="006632F7">
        <w:rPr>
          <w:rFonts w:ascii="Times New Roman" w:hAnsi="Times New Roman"/>
        </w:rPr>
        <w:t>that</w:t>
      </w:r>
      <w:r w:rsidR="00AB1918" w:rsidRPr="006632F7">
        <w:rPr>
          <w:rFonts w:ascii="Times New Roman" w:hAnsi="Times New Roman"/>
        </w:rPr>
        <w:t xml:space="preserve"> "[b]</w:t>
      </w:r>
      <w:proofErr w:type="spellStart"/>
      <w:r w:rsidR="00AB1918" w:rsidRPr="006632F7">
        <w:rPr>
          <w:rFonts w:ascii="Times New Roman" w:hAnsi="Times New Roman"/>
        </w:rPr>
        <w:t>ecause</w:t>
      </w:r>
      <w:proofErr w:type="spellEnd"/>
      <w:r w:rsidR="00AB1918" w:rsidRPr="006632F7">
        <w:rPr>
          <w:rFonts w:ascii="Times New Roman" w:hAnsi="Times New Roman"/>
        </w:rPr>
        <w:t xml:space="preserve"> the duty and the capacity of the Court to provide different forms of procedural fairness, of the kind described above, are not necessarily precluded by s</w:t>
      </w:r>
      <w:r w:rsidR="0014204B" w:rsidRPr="006632F7">
        <w:rPr>
          <w:rFonts w:ascii="Times New Roman" w:hAnsi="Times New Roman"/>
        </w:rPr>
        <w:t> </w:t>
      </w:r>
      <w:r w:rsidR="00AB1918" w:rsidRPr="006632F7">
        <w:rPr>
          <w:rFonts w:ascii="Times New Roman" w:hAnsi="Times New Roman"/>
        </w:rPr>
        <w:t>46(2) of the AAT Act, it is a valid law</w:t>
      </w:r>
      <w:r w:rsidR="0014204B" w:rsidRPr="006632F7">
        <w:rPr>
          <w:rFonts w:ascii="Times New Roman" w:hAnsi="Times New Roman"/>
        </w:rPr>
        <w:t>" and "[</w:t>
      </w:r>
      <w:proofErr w:type="spellStart"/>
      <w:r w:rsidR="0014204B" w:rsidRPr="006632F7">
        <w:rPr>
          <w:rFonts w:ascii="Times New Roman" w:hAnsi="Times New Roman"/>
        </w:rPr>
        <w:t>i</w:t>
      </w:r>
      <w:proofErr w:type="spellEnd"/>
      <w:r w:rsidR="0014204B" w:rsidRPr="006632F7">
        <w:rPr>
          <w:rFonts w:ascii="Times New Roman" w:hAnsi="Times New Roman"/>
        </w:rPr>
        <w:t>]f it were otherwise</w:t>
      </w:r>
      <w:r w:rsidR="009210B8" w:rsidRPr="006632F7">
        <w:rPr>
          <w:rFonts w:ascii="Times New Roman" w:hAnsi="Times New Roman"/>
        </w:rPr>
        <w:t> </w:t>
      </w:r>
      <w:r w:rsidR="00931EE2" w:rsidRPr="006632F7">
        <w:rPr>
          <w:rFonts w:ascii="Times New Roman" w:hAnsi="Times New Roman"/>
        </w:rPr>
        <w:t>...</w:t>
      </w:r>
      <w:r w:rsidR="009210B8" w:rsidRPr="006632F7">
        <w:rPr>
          <w:rFonts w:ascii="Times New Roman" w:hAnsi="Times New Roman"/>
        </w:rPr>
        <w:t> </w:t>
      </w:r>
      <w:r w:rsidR="00931EE2" w:rsidRPr="006632F7">
        <w:rPr>
          <w:rFonts w:ascii="Times New Roman" w:hAnsi="Times New Roman"/>
        </w:rPr>
        <w:t>I may well have formed the view that s 46(2) was not a valid law"</w:t>
      </w:r>
      <w:r w:rsidR="00062682" w:rsidRPr="006632F7">
        <w:rPr>
          <w:rFonts w:ascii="Times New Roman" w:hAnsi="Times New Roman"/>
        </w:rPr>
        <w:t>.</w:t>
      </w:r>
      <w:r w:rsidR="00931EE2" w:rsidRPr="006632F7">
        <w:rPr>
          <w:rStyle w:val="FootnoteReference"/>
          <w:rFonts w:ascii="Times New Roman" w:hAnsi="Times New Roman"/>
          <w:sz w:val="24"/>
        </w:rPr>
        <w:footnoteReference w:id="26"/>
      </w:r>
      <w:r w:rsidR="00DF44C4" w:rsidRPr="006632F7">
        <w:rPr>
          <w:rFonts w:ascii="Times New Roman" w:hAnsi="Times New Roman"/>
        </w:rPr>
        <w:t xml:space="preserve"> </w:t>
      </w:r>
      <w:r w:rsidR="00062682" w:rsidRPr="006632F7">
        <w:rPr>
          <w:rFonts w:ascii="Times New Roman" w:hAnsi="Times New Roman"/>
        </w:rPr>
        <w:t>These observations</w:t>
      </w:r>
      <w:r w:rsidR="003A3D3F" w:rsidRPr="006632F7">
        <w:rPr>
          <w:rFonts w:ascii="Times New Roman" w:hAnsi="Times New Roman"/>
        </w:rPr>
        <w:t>, however,</w:t>
      </w:r>
      <w:r w:rsidR="00062682" w:rsidRPr="006632F7">
        <w:rPr>
          <w:rFonts w:ascii="Times New Roman" w:hAnsi="Times New Roman"/>
        </w:rPr>
        <w:t xml:space="preserve"> cannot alter </w:t>
      </w:r>
      <w:r w:rsidR="00DF44C4" w:rsidRPr="006632F7">
        <w:rPr>
          <w:rFonts w:ascii="Times New Roman" w:hAnsi="Times New Roman"/>
        </w:rPr>
        <w:t xml:space="preserve">the fact that </w:t>
      </w:r>
      <w:r w:rsidR="00232E4C" w:rsidRPr="006632F7">
        <w:rPr>
          <w:rFonts w:ascii="Times New Roman" w:hAnsi="Times New Roman"/>
        </w:rPr>
        <w:t>what</w:t>
      </w:r>
      <w:r w:rsidR="00DF44C4" w:rsidRPr="006632F7">
        <w:rPr>
          <w:rFonts w:ascii="Times New Roman" w:hAnsi="Times New Roman"/>
        </w:rPr>
        <w:t xml:space="preserve"> was </w:t>
      </w:r>
      <w:r w:rsidR="007F3E56" w:rsidRPr="006632F7">
        <w:rPr>
          <w:rFonts w:ascii="Times New Roman" w:hAnsi="Times New Roman"/>
        </w:rPr>
        <w:t xml:space="preserve">ultimately </w:t>
      </w:r>
      <w:r w:rsidR="00DF44C4" w:rsidRPr="006632F7">
        <w:rPr>
          <w:rFonts w:ascii="Times New Roman" w:hAnsi="Times New Roman"/>
        </w:rPr>
        <w:t xml:space="preserve">essential to Steward J agreeing with the making of the orders </w:t>
      </w:r>
      <w:r w:rsidR="00232E4C" w:rsidRPr="006632F7">
        <w:rPr>
          <w:rFonts w:ascii="Times New Roman" w:hAnsi="Times New Roman"/>
        </w:rPr>
        <w:t xml:space="preserve">dismissing the appeal, and leaving </w:t>
      </w:r>
      <w:r w:rsidR="007F3E56" w:rsidRPr="006632F7">
        <w:rPr>
          <w:rFonts w:ascii="Times New Roman" w:hAnsi="Times New Roman"/>
        </w:rPr>
        <w:t xml:space="preserve">undisturbed </w:t>
      </w:r>
      <w:r w:rsidR="00232E4C" w:rsidRPr="006632F7">
        <w:rPr>
          <w:rFonts w:ascii="Times New Roman" w:hAnsi="Times New Roman"/>
        </w:rPr>
        <w:t>the Full Court's declaration</w:t>
      </w:r>
      <w:r w:rsidR="006E1C14" w:rsidRPr="006632F7">
        <w:rPr>
          <w:rFonts w:ascii="Times New Roman" w:hAnsi="Times New Roman"/>
        </w:rPr>
        <w:t>,</w:t>
      </w:r>
      <w:r w:rsidR="00232E4C" w:rsidRPr="006632F7">
        <w:rPr>
          <w:rFonts w:ascii="Times New Roman" w:hAnsi="Times New Roman"/>
        </w:rPr>
        <w:t xml:space="preserve"> </w:t>
      </w:r>
      <w:r w:rsidR="008D5AE9" w:rsidRPr="006632F7">
        <w:rPr>
          <w:rFonts w:ascii="Times New Roman" w:hAnsi="Times New Roman"/>
        </w:rPr>
        <w:t xml:space="preserve">was his Honour's conclusion that </w:t>
      </w:r>
      <w:r w:rsidR="00061BFA" w:rsidRPr="006632F7">
        <w:rPr>
          <w:rFonts w:ascii="Times New Roman" w:hAnsi="Times New Roman"/>
        </w:rPr>
        <w:t xml:space="preserve">even in a case where s 46(2) strictly applied in accordance with its terms </w:t>
      </w:r>
      <w:r w:rsidR="00D94FF3" w:rsidRPr="006632F7">
        <w:rPr>
          <w:rFonts w:ascii="Times New Roman" w:hAnsi="Times New Roman"/>
        </w:rPr>
        <w:t xml:space="preserve">it did not result in an applicant suffering any practical injustice because </w:t>
      </w:r>
      <w:r w:rsidR="007F402B" w:rsidRPr="006632F7">
        <w:rPr>
          <w:rFonts w:ascii="Times New Roman" w:hAnsi="Times New Roman"/>
        </w:rPr>
        <w:t xml:space="preserve">the provision forms part of an otherwise beneficial regime providing an applicant with a </w:t>
      </w:r>
      <w:r w:rsidR="000B70B3" w:rsidRPr="006632F7">
        <w:rPr>
          <w:rFonts w:ascii="Times New Roman" w:hAnsi="Times New Roman"/>
        </w:rPr>
        <w:t>"meaningful</w:t>
      </w:r>
      <w:r w:rsidR="00F82D26" w:rsidRPr="006632F7">
        <w:rPr>
          <w:rFonts w:ascii="Times New Roman" w:hAnsi="Times New Roman"/>
        </w:rPr>
        <w:t> </w:t>
      </w:r>
      <w:r w:rsidR="000B70B3" w:rsidRPr="006632F7">
        <w:rPr>
          <w:rFonts w:ascii="Times New Roman" w:hAnsi="Times New Roman"/>
        </w:rPr>
        <w:t>...</w:t>
      </w:r>
      <w:r w:rsidR="00F82D26" w:rsidRPr="006632F7">
        <w:rPr>
          <w:rFonts w:ascii="Times New Roman" w:hAnsi="Times New Roman"/>
        </w:rPr>
        <w:t> </w:t>
      </w:r>
      <w:r w:rsidR="000B70B3" w:rsidRPr="006632F7">
        <w:rPr>
          <w:rFonts w:ascii="Times New Roman" w:hAnsi="Times New Roman"/>
        </w:rPr>
        <w:t xml:space="preserve">chance of </w:t>
      </w:r>
      <w:r w:rsidR="003F3542" w:rsidRPr="006632F7">
        <w:rPr>
          <w:rFonts w:ascii="Times New Roman" w:hAnsi="Times New Roman"/>
        </w:rPr>
        <w:t>independent</w:t>
      </w:r>
      <w:r w:rsidR="000B70B3" w:rsidRPr="006632F7">
        <w:rPr>
          <w:rFonts w:ascii="Times New Roman" w:hAnsi="Times New Roman"/>
        </w:rPr>
        <w:t xml:space="preserve"> review</w:t>
      </w:r>
      <w:r w:rsidR="003F3542" w:rsidRPr="006632F7">
        <w:rPr>
          <w:rFonts w:ascii="Times New Roman" w:hAnsi="Times New Roman"/>
        </w:rPr>
        <w:t xml:space="preserve"> with subsequent judicial oversight".</w:t>
      </w:r>
      <w:r w:rsidR="003F3542" w:rsidRPr="006632F7">
        <w:rPr>
          <w:rStyle w:val="FootnoteReference"/>
          <w:rFonts w:ascii="Times New Roman" w:hAnsi="Times New Roman"/>
          <w:sz w:val="24"/>
        </w:rPr>
        <w:footnoteReference w:id="27"/>
      </w:r>
    </w:p>
    <w:p w14:paraId="17A50D2F" w14:textId="1E11F863" w:rsidR="0044353F" w:rsidRPr="006632F7" w:rsidRDefault="00BD2818" w:rsidP="006632F7">
      <w:pPr>
        <w:pStyle w:val="FixListStyle"/>
        <w:spacing w:after="260" w:line="280" w:lineRule="exact"/>
        <w:ind w:right="0"/>
        <w:jc w:val="both"/>
        <w:rPr>
          <w:rFonts w:ascii="Times New Roman" w:hAnsi="Times New Roman"/>
        </w:rPr>
      </w:pPr>
      <w:r w:rsidRPr="006632F7">
        <w:rPr>
          <w:rFonts w:ascii="Times New Roman" w:hAnsi="Times New Roman"/>
        </w:rPr>
        <w:tab/>
        <w:t xml:space="preserve">It follows that to </w:t>
      </w:r>
      <w:r w:rsidR="00AF58A5" w:rsidRPr="006632F7">
        <w:rPr>
          <w:rFonts w:ascii="Times New Roman" w:hAnsi="Times New Roman"/>
        </w:rPr>
        <w:t xml:space="preserve">be granted </w:t>
      </w:r>
      <w:r w:rsidRPr="006632F7">
        <w:rPr>
          <w:rFonts w:ascii="Times New Roman" w:hAnsi="Times New Roman"/>
        </w:rPr>
        <w:t>the declaration sought in the summons</w:t>
      </w:r>
      <w:r w:rsidR="00DB1F0D" w:rsidRPr="006632F7">
        <w:rPr>
          <w:rFonts w:ascii="Times New Roman" w:hAnsi="Times New Roman"/>
        </w:rPr>
        <w:t xml:space="preserve"> in this case</w:t>
      </w:r>
      <w:r w:rsidRPr="006632F7">
        <w:rPr>
          <w:rFonts w:ascii="Times New Roman" w:hAnsi="Times New Roman"/>
        </w:rPr>
        <w:t xml:space="preserve">, </w:t>
      </w:r>
      <w:r w:rsidR="00C42F30" w:rsidRPr="006632F7">
        <w:rPr>
          <w:rFonts w:ascii="Times New Roman" w:hAnsi="Times New Roman"/>
        </w:rPr>
        <w:t xml:space="preserve">that </w:t>
      </w:r>
      <w:r w:rsidR="00AF58A5" w:rsidRPr="006632F7">
        <w:rPr>
          <w:rFonts w:ascii="Times New Roman" w:hAnsi="Times New Roman"/>
        </w:rPr>
        <w:t xml:space="preserve">s 46(2) of the AAT Act infringes Ch III of the </w:t>
      </w:r>
      <w:r w:rsidR="00AF58A5" w:rsidRPr="006632F7">
        <w:rPr>
          <w:rFonts w:ascii="Times New Roman" w:hAnsi="Times New Roman"/>
          <w:i/>
          <w:iCs/>
        </w:rPr>
        <w:t>Constitution</w:t>
      </w:r>
      <w:r w:rsidR="00AF58A5" w:rsidRPr="006632F7">
        <w:rPr>
          <w:rFonts w:ascii="Times New Roman" w:hAnsi="Times New Roman"/>
        </w:rPr>
        <w:t xml:space="preserve"> and is therefore invalid (or partially invalid), the plaintiff must obtain leave to re-open </w:t>
      </w:r>
      <w:proofErr w:type="gramStart"/>
      <w:r w:rsidR="00AF58A5" w:rsidRPr="006632F7">
        <w:rPr>
          <w:rFonts w:ascii="Times New Roman" w:hAnsi="Times New Roman"/>
          <w:i/>
          <w:iCs/>
        </w:rPr>
        <w:t>SDCV</w:t>
      </w:r>
      <w:proofErr w:type="gramEnd"/>
      <w:r w:rsidR="00AF58A5" w:rsidRPr="006632F7">
        <w:rPr>
          <w:rFonts w:ascii="Times New Roman" w:hAnsi="Times New Roman"/>
        </w:rPr>
        <w:t xml:space="preserve"> and </w:t>
      </w:r>
      <w:r w:rsidR="00800891" w:rsidRPr="006632F7">
        <w:rPr>
          <w:rFonts w:ascii="Times New Roman" w:hAnsi="Times New Roman"/>
        </w:rPr>
        <w:t xml:space="preserve">this Court must overturn </w:t>
      </w:r>
      <w:r w:rsidR="00800891" w:rsidRPr="006632F7">
        <w:rPr>
          <w:rFonts w:ascii="Times New Roman" w:hAnsi="Times New Roman"/>
          <w:i/>
          <w:iCs/>
        </w:rPr>
        <w:t>SDCV</w:t>
      </w:r>
      <w:r w:rsidR="00800891" w:rsidRPr="006632F7">
        <w:rPr>
          <w:rFonts w:ascii="Times New Roman" w:hAnsi="Times New Roman"/>
        </w:rPr>
        <w:t>.</w:t>
      </w:r>
    </w:p>
    <w:p w14:paraId="65C68120" w14:textId="1C5798EB" w:rsidR="00800891" w:rsidRPr="006632F7" w:rsidRDefault="006A48DA" w:rsidP="006632F7">
      <w:pPr>
        <w:pStyle w:val="HeadingL1"/>
        <w:spacing w:after="260" w:line="280" w:lineRule="exact"/>
        <w:ind w:right="0"/>
        <w:jc w:val="both"/>
        <w:rPr>
          <w:rFonts w:ascii="Times New Roman" w:hAnsi="Times New Roman"/>
        </w:rPr>
      </w:pPr>
      <w:r w:rsidRPr="006632F7">
        <w:rPr>
          <w:rFonts w:ascii="Times New Roman" w:hAnsi="Times New Roman"/>
        </w:rPr>
        <w:t xml:space="preserve">Leave to re-open </w:t>
      </w:r>
      <w:r w:rsidRPr="006632F7">
        <w:rPr>
          <w:rFonts w:ascii="Times New Roman" w:hAnsi="Times New Roman"/>
          <w:i/>
          <w:iCs/>
        </w:rPr>
        <w:t>SDCV</w:t>
      </w:r>
    </w:p>
    <w:p w14:paraId="4C9B965A" w14:textId="1B5D8B40" w:rsidR="006A48DA" w:rsidRPr="006632F7" w:rsidRDefault="006A48DA" w:rsidP="006632F7">
      <w:pPr>
        <w:pStyle w:val="FixListStyle"/>
        <w:spacing w:after="260" w:line="280" w:lineRule="exact"/>
        <w:ind w:right="0"/>
        <w:jc w:val="both"/>
        <w:rPr>
          <w:rFonts w:ascii="Times New Roman" w:hAnsi="Times New Roman"/>
        </w:rPr>
      </w:pPr>
      <w:r w:rsidRPr="006632F7">
        <w:rPr>
          <w:rFonts w:ascii="Times New Roman" w:hAnsi="Times New Roman"/>
        </w:rPr>
        <w:tab/>
      </w:r>
      <w:r w:rsidR="00B53E30" w:rsidRPr="006632F7">
        <w:rPr>
          <w:rFonts w:ascii="Times New Roman" w:hAnsi="Times New Roman"/>
        </w:rPr>
        <w:t xml:space="preserve">The plaintiff </w:t>
      </w:r>
      <w:r w:rsidR="00770A10" w:rsidRPr="006632F7">
        <w:rPr>
          <w:rFonts w:ascii="Times New Roman" w:hAnsi="Times New Roman"/>
        </w:rPr>
        <w:t>submitted</w:t>
      </w:r>
      <w:r w:rsidR="00B53E30" w:rsidRPr="006632F7">
        <w:rPr>
          <w:rFonts w:ascii="Times New Roman" w:hAnsi="Times New Roman"/>
        </w:rPr>
        <w:t xml:space="preserve"> that </w:t>
      </w:r>
      <w:r w:rsidR="00770A10" w:rsidRPr="006632F7">
        <w:rPr>
          <w:rFonts w:ascii="Times New Roman" w:hAnsi="Times New Roman"/>
        </w:rPr>
        <w:t xml:space="preserve">it should be granted leave to re-open </w:t>
      </w:r>
      <w:r w:rsidR="00770A10" w:rsidRPr="006632F7">
        <w:rPr>
          <w:rFonts w:ascii="Times New Roman" w:hAnsi="Times New Roman"/>
          <w:i/>
          <w:iCs/>
        </w:rPr>
        <w:t>SDCV</w:t>
      </w:r>
      <w:r w:rsidR="00770A10" w:rsidRPr="006632F7">
        <w:rPr>
          <w:rFonts w:ascii="Times New Roman" w:hAnsi="Times New Roman"/>
        </w:rPr>
        <w:t xml:space="preserve"> on several bases. According to the plaintiff</w:t>
      </w:r>
      <w:r w:rsidR="00AD32DA" w:rsidRPr="006632F7">
        <w:rPr>
          <w:rFonts w:ascii="Times New Roman" w:hAnsi="Times New Roman"/>
        </w:rPr>
        <w:t>,</w:t>
      </w:r>
      <w:r w:rsidR="00770A10" w:rsidRPr="006632F7">
        <w:rPr>
          <w:rFonts w:ascii="Times New Roman" w:hAnsi="Times New Roman"/>
        </w:rPr>
        <w:t xml:space="preserve"> </w:t>
      </w:r>
      <w:r w:rsidR="00F85606" w:rsidRPr="006632F7">
        <w:rPr>
          <w:rFonts w:ascii="Times New Roman" w:hAnsi="Times New Roman"/>
        </w:rPr>
        <w:t xml:space="preserve">it "seeks to make an argument that was not put in </w:t>
      </w:r>
      <w:r w:rsidR="00F85606" w:rsidRPr="006632F7">
        <w:rPr>
          <w:rFonts w:ascii="Times New Roman" w:hAnsi="Times New Roman"/>
          <w:i/>
          <w:iCs/>
        </w:rPr>
        <w:t>SDCV</w:t>
      </w:r>
      <w:r w:rsidR="00F85606" w:rsidRPr="006632F7">
        <w:rPr>
          <w:rFonts w:ascii="Times New Roman" w:hAnsi="Times New Roman"/>
        </w:rPr>
        <w:t xml:space="preserve">, which depends upon the relationship between means and ends (or </w:t>
      </w:r>
      <w:r w:rsidR="00224716" w:rsidRPr="006632F7">
        <w:rPr>
          <w:rFonts w:ascii="Times New Roman" w:hAnsi="Times New Roman"/>
        </w:rPr>
        <w:t>'</w:t>
      </w:r>
      <w:r w:rsidR="00F85606" w:rsidRPr="006632F7">
        <w:rPr>
          <w:rFonts w:ascii="Times New Roman" w:hAnsi="Times New Roman"/>
        </w:rPr>
        <w:t>proportionality</w:t>
      </w:r>
      <w:r w:rsidR="00224716" w:rsidRPr="006632F7">
        <w:rPr>
          <w:rFonts w:ascii="Times New Roman" w:hAnsi="Times New Roman"/>
        </w:rPr>
        <w:t>'</w:t>
      </w:r>
      <w:r w:rsidR="00F85606" w:rsidRPr="006632F7">
        <w:rPr>
          <w:rFonts w:ascii="Times New Roman" w:hAnsi="Times New Roman"/>
        </w:rPr>
        <w:t>)</w:t>
      </w:r>
      <w:r w:rsidR="0064054B" w:rsidRPr="006632F7">
        <w:rPr>
          <w:rFonts w:ascii="Times New Roman" w:hAnsi="Times New Roman"/>
        </w:rPr>
        <w:t xml:space="preserve">" and </w:t>
      </w:r>
      <w:r w:rsidR="0064054B" w:rsidRPr="006632F7">
        <w:rPr>
          <w:rFonts w:ascii="Times New Roman" w:hAnsi="Times New Roman"/>
          <w:i/>
          <w:iCs/>
        </w:rPr>
        <w:t>SDCV</w:t>
      </w:r>
      <w:r w:rsidR="0064054B" w:rsidRPr="006632F7">
        <w:rPr>
          <w:rFonts w:ascii="Times New Roman" w:hAnsi="Times New Roman"/>
        </w:rPr>
        <w:t xml:space="preserve"> does not stand as authority against this new argument because "</w:t>
      </w:r>
      <w:r w:rsidR="00A61640" w:rsidRPr="006632F7">
        <w:rPr>
          <w:rFonts w:ascii="Times New Roman" w:hAnsi="Times New Roman"/>
        </w:rPr>
        <w:t>[</w:t>
      </w:r>
      <w:proofErr w:type="spellStart"/>
      <w:r w:rsidR="00A61640" w:rsidRPr="006632F7">
        <w:rPr>
          <w:rFonts w:ascii="Times New Roman" w:hAnsi="Times New Roman"/>
        </w:rPr>
        <w:t>i</w:t>
      </w:r>
      <w:proofErr w:type="spellEnd"/>
      <w:r w:rsidR="00A61640" w:rsidRPr="006632F7">
        <w:rPr>
          <w:rFonts w:ascii="Times New Roman" w:hAnsi="Times New Roman"/>
        </w:rPr>
        <w:t>]f a point is not in dispute in a case, the decision lays down no legal rule concerning that issue</w:t>
      </w:r>
      <w:r w:rsidR="006C4EDF" w:rsidRPr="006632F7">
        <w:rPr>
          <w:rFonts w:ascii="Times New Roman" w:hAnsi="Times New Roman"/>
        </w:rPr>
        <w:t>"</w:t>
      </w:r>
      <w:r w:rsidR="003A1D03" w:rsidRPr="006632F7">
        <w:rPr>
          <w:rFonts w:ascii="Times New Roman" w:hAnsi="Times New Roman"/>
        </w:rPr>
        <w:t>.</w:t>
      </w:r>
      <w:r w:rsidR="00A61640" w:rsidRPr="006632F7">
        <w:rPr>
          <w:rStyle w:val="FootnoteReference"/>
          <w:rFonts w:ascii="Times New Roman" w:hAnsi="Times New Roman"/>
          <w:sz w:val="24"/>
        </w:rPr>
        <w:footnoteReference w:id="28"/>
      </w:r>
      <w:r w:rsidR="00072286" w:rsidRPr="006632F7">
        <w:rPr>
          <w:rFonts w:ascii="Times New Roman" w:hAnsi="Times New Roman"/>
        </w:rPr>
        <w:t xml:space="preserve"> Further, and having regard to the </w:t>
      </w:r>
      <w:r w:rsidR="004F2055" w:rsidRPr="006632F7">
        <w:rPr>
          <w:rFonts w:ascii="Times New Roman" w:hAnsi="Times New Roman"/>
        </w:rPr>
        <w:t xml:space="preserve">factors identified in </w:t>
      </w:r>
      <w:r w:rsidR="004F2055" w:rsidRPr="006632F7">
        <w:rPr>
          <w:rFonts w:ascii="Times New Roman" w:hAnsi="Times New Roman"/>
          <w:i/>
          <w:iCs/>
        </w:rPr>
        <w:t>John v Federal Commissioner of Taxation</w:t>
      </w:r>
      <w:r w:rsidR="00566AB8" w:rsidRPr="006632F7">
        <w:rPr>
          <w:rFonts w:ascii="Times New Roman" w:hAnsi="Times New Roman"/>
        </w:rPr>
        <w:t>,</w:t>
      </w:r>
      <w:r w:rsidR="00560458" w:rsidRPr="006632F7">
        <w:rPr>
          <w:rStyle w:val="FootnoteReference"/>
          <w:rFonts w:ascii="Times New Roman" w:hAnsi="Times New Roman"/>
          <w:sz w:val="24"/>
        </w:rPr>
        <w:footnoteReference w:id="29"/>
      </w:r>
      <w:r w:rsidR="00566AB8" w:rsidRPr="006632F7">
        <w:rPr>
          <w:rFonts w:ascii="Times New Roman" w:hAnsi="Times New Roman"/>
        </w:rPr>
        <w:t xml:space="preserve"> the plaintiff submitted </w:t>
      </w:r>
      <w:r w:rsidR="00566AB8" w:rsidRPr="006632F7">
        <w:rPr>
          <w:rFonts w:ascii="Times New Roman" w:hAnsi="Times New Roman"/>
        </w:rPr>
        <w:lastRenderedPageBreak/>
        <w:t xml:space="preserve">that leave to re-open </w:t>
      </w:r>
      <w:r w:rsidR="00566AB8" w:rsidRPr="006632F7">
        <w:rPr>
          <w:rFonts w:ascii="Times New Roman" w:hAnsi="Times New Roman"/>
          <w:i/>
          <w:iCs/>
        </w:rPr>
        <w:t>SDCV</w:t>
      </w:r>
      <w:r w:rsidR="00566AB8" w:rsidRPr="006632F7">
        <w:rPr>
          <w:rFonts w:ascii="Times New Roman" w:hAnsi="Times New Roman"/>
        </w:rPr>
        <w:t xml:space="preserve"> should be granted because: (a) </w:t>
      </w:r>
      <w:r w:rsidR="00987D29" w:rsidRPr="006632F7">
        <w:rPr>
          <w:rFonts w:ascii="Times New Roman" w:hAnsi="Times New Roman"/>
          <w:i/>
          <w:iCs/>
        </w:rPr>
        <w:t>SDCV</w:t>
      </w:r>
      <w:r w:rsidR="00987D29" w:rsidRPr="006632F7">
        <w:rPr>
          <w:rFonts w:ascii="Times New Roman" w:hAnsi="Times New Roman"/>
        </w:rPr>
        <w:t xml:space="preserve"> does not rest upon a principle carefully worked out in a significant succession of cases,</w:t>
      </w:r>
      <w:r w:rsidR="00987D29" w:rsidRPr="006632F7">
        <w:rPr>
          <w:rStyle w:val="FootnoteReference"/>
          <w:rFonts w:ascii="Times New Roman" w:hAnsi="Times New Roman"/>
          <w:sz w:val="24"/>
        </w:rPr>
        <w:footnoteReference w:id="30"/>
      </w:r>
      <w:r w:rsidR="00987D29" w:rsidRPr="006632F7">
        <w:rPr>
          <w:rFonts w:ascii="Times New Roman" w:hAnsi="Times New Roman"/>
        </w:rPr>
        <w:t xml:space="preserve"> nor does it form part of a </w:t>
      </w:r>
      <w:r w:rsidR="004A4E7F" w:rsidRPr="006632F7">
        <w:rPr>
          <w:rFonts w:ascii="Times New Roman" w:hAnsi="Times New Roman"/>
        </w:rPr>
        <w:t>"</w:t>
      </w:r>
      <w:r w:rsidR="00987D29" w:rsidRPr="006632F7">
        <w:rPr>
          <w:rFonts w:ascii="Times New Roman" w:hAnsi="Times New Roman"/>
        </w:rPr>
        <w:t>definite stream of authority"</w:t>
      </w:r>
      <w:r w:rsidR="00746464" w:rsidRPr="006632F7">
        <w:rPr>
          <w:rFonts w:ascii="Times New Roman" w:hAnsi="Times New Roman"/>
        </w:rPr>
        <w:t>;</w:t>
      </w:r>
      <w:r w:rsidR="00987D29" w:rsidRPr="006632F7">
        <w:rPr>
          <w:rStyle w:val="FootnoteReference"/>
          <w:rFonts w:ascii="Times New Roman" w:hAnsi="Times New Roman"/>
          <w:sz w:val="24"/>
        </w:rPr>
        <w:footnoteReference w:id="31"/>
      </w:r>
      <w:r w:rsidR="00746464" w:rsidRPr="006632F7">
        <w:rPr>
          <w:rFonts w:ascii="Times New Roman" w:hAnsi="Times New Roman"/>
        </w:rPr>
        <w:t xml:space="preserve"> (b) rather, "</w:t>
      </w:r>
      <w:r w:rsidR="003E6DE4" w:rsidRPr="006632F7">
        <w:rPr>
          <w:rFonts w:ascii="Times New Roman" w:hAnsi="Times New Roman"/>
        </w:rPr>
        <w:t xml:space="preserve">the plurality’s conception of </w:t>
      </w:r>
      <w:r w:rsidR="001C0C69" w:rsidRPr="006632F7">
        <w:rPr>
          <w:rFonts w:ascii="Times New Roman" w:hAnsi="Times New Roman"/>
        </w:rPr>
        <w:t>'</w:t>
      </w:r>
      <w:r w:rsidR="003E6DE4" w:rsidRPr="006632F7">
        <w:rPr>
          <w:rFonts w:ascii="Times New Roman" w:hAnsi="Times New Roman"/>
        </w:rPr>
        <w:t>practical injustice</w:t>
      </w:r>
      <w:r w:rsidR="001C0C69" w:rsidRPr="006632F7">
        <w:rPr>
          <w:rFonts w:ascii="Times New Roman" w:hAnsi="Times New Roman"/>
        </w:rPr>
        <w:t>'</w:t>
      </w:r>
      <w:r w:rsidR="003F57C4" w:rsidRPr="006632F7">
        <w:rPr>
          <w:rFonts w:ascii="Times New Roman" w:hAnsi="Times New Roman"/>
        </w:rPr>
        <w:t> </w:t>
      </w:r>
      <w:r w:rsidR="003E6DE4" w:rsidRPr="006632F7">
        <w:rPr>
          <w:rFonts w:ascii="Times New Roman" w:hAnsi="Times New Roman"/>
        </w:rPr>
        <w:t>...</w:t>
      </w:r>
      <w:r w:rsidR="003F57C4" w:rsidRPr="006632F7">
        <w:rPr>
          <w:rFonts w:ascii="Times New Roman" w:hAnsi="Times New Roman"/>
        </w:rPr>
        <w:t> </w:t>
      </w:r>
      <w:r w:rsidR="003E6DE4" w:rsidRPr="006632F7">
        <w:rPr>
          <w:rFonts w:ascii="Times New Roman" w:hAnsi="Times New Roman"/>
        </w:rPr>
        <w:t>was novel and unsupported by any previous authority ...</w:t>
      </w:r>
      <w:r w:rsidR="00E50D28" w:rsidRPr="006632F7">
        <w:rPr>
          <w:rFonts w:ascii="Times New Roman" w:hAnsi="Times New Roman"/>
        </w:rPr>
        <w:t xml:space="preserve"> </w:t>
      </w:r>
      <w:r w:rsidR="003E6DE4" w:rsidRPr="006632F7">
        <w:rPr>
          <w:rFonts w:ascii="Times New Roman" w:hAnsi="Times New Roman"/>
        </w:rPr>
        <w:t xml:space="preserve">[and] </w:t>
      </w:r>
      <w:r w:rsidR="00E50D28" w:rsidRPr="006632F7">
        <w:rPr>
          <w:rFonts w:ascii="Times New Roman" w:hAnsi="Times New Roman"/>
        </w:rPr>
        <w:t>is contrary to principle";</w:t>
      </w:r>
      <w:r w:rsidR="00637DD0" w:rsidRPr="006632F7">
        <w:rPr>
          <w:rFonts w:ascii="Times New Roman" w:hAnsi="Times New Roman"/>
          <w:b/>
          <w:bCs/>
        </w:rPr>
        <w:t xml:space="preserve"> </w:t>
      </w:r>
      <w:r w:rsidR="00E50D28" w:rsidRPr="006632F7">
        <w:rPr>
          <w:rFonts w:ascii="Times New Roman" w:hAnsi="Times New Roman"/>
        </w:rPr>
        <w:t>(c) </w:t>
      </w:r>
      <w:r w:rsidR="00694B0E" w:rsidRPr="006632F7">
        <w:rPr>
          <w:rFonts w:ascii="Times New Roman" w:hAnsi="Times New Roman"/>
        </w:rPr>
        <w:t xml:space="preserve">the Justices who upheld the validity of s 46(2) </w:t>
      </w:r>
      <w:r w:rsidR="008219BB" w:rsidRPr="006632F7">
        <w:rPr>
          <w:rFonts w:ascii="Times New Roman" w:hAnsi="Times New Roman"/>
        </w:rPr>
        <w:t xml:space="preserve">in </w:t>
      </w:r>
      <w:r w:rsidR="008219BB" w:rsidRPr="006632F7">
        <w:rPr>
          <w:rFonts w:ascii="Times New Roman" w:hAnsi="Times New Roman"/>
          <w:i/>
          <w:iCs/>
        </w:rPr>
        <w:t>SDCV</w:t>
      </w:r>
      <w:r w:rsidR="008219BB" w:rsidRPr="006632F7">
        <w:rPr>
          <w:rFonts w:ascii="Times New Roman" w:hAnsi="Times New Roman"/>
        </w:rPr>
        <w:t xml:space="preserve"> </w:t>
      </w:r>
      <w:r w:rsidR="00694B0E" w:rsidRPr="006632F7">
        <w:rPr>
          <w:rFonts w:ascii="Times New Roman" w:hAnsi="Times New Roman"/>
        </w:rPr>
        <w:t>reached that conclusion for different reasons; (d) </w:t>
      </w:r>
      <w:r w:rsidR="00B13C25" w:rsidRPr="006632F7">
        <w:rPr>
          <w:rFonts w:ascii="Times New Roman" w:hAnsi="Times New Roman"/>
        </w:rPr>
        <w:t>the significant differences in the reasoning of the Justices comprising the majority have the effect that</w:t>
      </w:r>
      <w:r w:rsidR="0049717B" w:rsidRPr="006632F7">
        <w:rPr>
          <w:rFonts w:ascii="Times New Roman" w:hAnsi="Times New Roman"/>
        </w:rPr>
        <w:t>,</w:t>
      </w:r>
      <w:r w:rsidR="00B13C25" w:rsidRPr="006632F7">
        <w:rPr>
          <w:rFonts w:ascii="Times New Roman" w:hAnsi="Times New Roman"/>
        </w:rPr>
        <w:t xml:space="preserve"> far from producing a "useful result", </w:t>
      </w:r>
      <w:r w:rsidR="00B13C25" w:rsidRPr="006632F7">
        <w:rPr>
          <w:rFonts w:ascii="Times New Roman" w:hAnsi="Times New Roman"/>
          <w:i/>
          <w:iCs/>
        </w:rPr>
        <w:t>SDCV</w:t>
      </w:r>
      <w:r w:rsidR="00B13C25" w:rsidRPr="006632F7">
        <w:rPr>
          <w:rFonts w:ascii="Times New Roman" w:hAnsi="Times New Roman"/>
        </w:rPr>
        <w:t xml:space="preserve"> has been productive of "inconvenience"</w:t>
      </w:r>
      <w:r w:rsidR="00DB6640" w:rsidRPr="006632F7">
        <w:rPr>
          <w:rStyle w:val="FootnoteReference"/>
          <w:rFonts w:ascii="Times New Roman" w:hAnsi="Times New Roman"/>
          <w:sz w:val="24"/>
        </w:rPr>
        <w:footnoteReference w:id="32"/>
      </w:r>
      <w:r w:rsidR="00417A51" w:rsidRPr="006632F7">
        <w:rPr>
          <w:rFonts w:ascii="Times New Roman" w:hAnsi="Times New Roman"/>
        </w:rPr>
        <w:t> </w:t>
      </w:r>
      <w:r w:rsidR="0049717B" w:rsidRPr="006632F7">
        <w:rPr>
          <w:rFonts w:ascii="Times New Roman" w:hAnsi="Times New Roman"/>
        </w:rPr>
        <w:t>–</w:t>
      </w:r>
      <w:r w:rsidR="00417A51" w:rsidRPr="006632F7">
        <w:rPr>
          <w:rFonts w:ascii="Times New Roman" w:hAnsi="Times New Roman"/>
        </w:rPr>
        <w:t> </w:t>
      </w:r>
      <w:r w:rsidR="004F7D25" w:rsidRPr="006632F7">
        <w:rPr>
          <w:rFonts w:ascii="Times New Roman" w:hAnsi="Times New Roman"/>
        </w:rPr>
        <w:t xml:space="preserve">because </w:t>
      </w:r>
      <w:r w:rsidR="00FB2AD2" w:rsidRPr="006632F7">
        <w:rPr>
          <w:rFonts w:ascii="Times New Roman" w:hAnsi="Times New Roman"/>
          <w:i/>
          <w:iCs/>
        </w:rPr>
        <w:t>SDCV</w:t>
      </w:r>
      <w:r w:rsidR="00FB2AD2" w:rsidRPr="006632F7">
        <w:rPr>
          <w:rFonts w:ascii="Times New Roman" w:hAnsi="Times New Roman"/>
        </w:rPr>
        <w:t xml:space="preserve"> produced no binding statement on the</w:t>
      </w:r>
      <w:r w:rsidR="00A81F9D" w:rsidRPr="006632F7">
        <w:rPr>
          <w:rFonts w:ascii="Times New Roman" w:hAnsi="Times New Roman"/>
        </w:rPr>
        <w:t xml:space="preserve"> </w:t>
      </w:r>
      <w:r w:rsidR="00FB2AD2" w:rsidRPr="006632F7">
        <w:rPr>
          <w:rFonts w:ascii="Times New Roman" w:hAnsi="Times New Roman"/>
        </w:rPr>
        <w:t>proper construction of s</w:t>
      </w:r>
      <w:r w:rsidR="000A6DFB" w:rsidRPr="006632F7">
        <w:rPr>
          <w:rFonts w:ascii="Times New Roman" w:hAnsi="Times New Roman"/>
        </w:rPr>
        <w:t> </w:t>
      </w:r>
      <w:r w:rsidR="00FB2AD2" w:rsidRPr="006632F7">
        <w:rPr>
          <w:rFonts w:ascii="Times New Roman" w:hAnsi="Times New Roman"/>
        </w:rPr>
        <w:t xml:space="preserve">46(2), the construction adopted by the Full Court in </w:t>
      </w:r>
      <w:r w:rsidR="00FB2AD2" w:rsidRPr="006632F7">
        <w:rPr>
          <w:rFonts w:ascii="Times New Roman" w:hAnsi="Times New Roman"/>
          <w:i/>
          <w:iCs/>
        </w:rPr>
        <w:t>SDCV</w:t>
      </w:r>
      <w:r w:rsidR="00FB2AD2" w:rsidRPr="006632F7">
        <w:rPr>
          <w:rFonts w:ascii="Times New Roman" w:hAnsi="Times New Roman"/>
        </w:rPr>
        <w:t xml:space="preserve"> remains binding on a single judge of the Federal Court</w:t>
      </w:r>
      <w:r w:rsidR="00E05336" w:rsidRPr="006632F7">
        <w:rPr>
          <w:rFonts w:ascii="Times New Roman" w:hAnsi="Times New Roman"/>
        </w:rPr>
        <w:t xml:space="preserve"> and "the Commonwealth Parliament presently is in a position of not knowing whether a law that operates analogously to s 46(2) would infringe Ch III"; </w:t>
      </w:r>
      <w:r w:rsidR="0028551F" w:rsidRPr="006632F7">
        <w:rPr>
          <w:rFonts w:ascii="Times New Roman" w:hAnsi="Times New Roman"/>
        </w:rPr>
        <w:t xml:space="preserve">and </w:t>
      </w:r>
      <w:r w:rsidR="003D7F57" w:rsidRPr="006632F7">
        <w:rPr>
          <w:rFonts w:ascii="Times New Roman" w:hAnsi="Times New Roman"/>
        </w:rPr>
        <w:t xml:space="preserve">(e) there is no evidentiary basis to conclude that </w:t>
      </w:r>
      <w:r w:rsidR="003D7F57" w:rsidRPr="006632F7">
        <w:rPr>
          <w:rFonts w:ascii="Times New Roman" w:hAnsi="Times New Roman"/>
          <w:i/>
          <w:iCs/>
        </w:rPr>
        <w:t>SDCV</w:t>
      </w:r>
      <w:r w:rsidR="003D7F57" w:rsidRPr="006632F7">
        <w:rPr>
          <w:rFonts w:ascii="Times New Roman" w:hAnsi="Times New Roman"/>
        </w:rPr>
        <w:t xml:space="preserve"> has been independently acted upon in a manner that militates against reconsideration other than in the </w:t>
      </w:r>
      <w:r w:rsidR="006334FC" w:rsidRPr="006632F7">
        <w:rPr>
          <w:rFonts w:ascii="Times New Roman" w:hAnsi="Times New Roman"/>
          <w:i/>
          <w:iCs/>
        </w:rPr>
        <w:t>Administrative Review Tribunal Act 2024</w:t>
      </w:r>
      <w:r w:rsidR="006334FC" w:rsidRPr="006632F7">
        <w:rPr>
          <w:rFonts w:ascii="Times New Roman" w:hAnsi="Times New Roman"/>
        </w:rPr>
        <w:t xml:space="preserve"> (</w:t>
      </w:r>
      <w:proofErr w:type="spellStart"/>
      <w:r w:rsidR="006334FC" w:rsidRPr="006632F7">
        <w:rPr>
          <w:rFonts w:ascii="Times New Roman" w:hAnsi="Times New Roman"/>
        </w:rPr>
        <w:t>Cth</w:t>
      </w:r>
      <w:proofErr w:type="spellEnd"/>
      <w:r w:rsidR="006334FC" w:rsidRPr="006632F7">
        <w:rPr>
          <w:rFonts w:ascii="Times New Roman" w:hAnsi="Times New Roman"/>
        </w:rPr>
        <w:t>)</w:t>
      </w:r>
      <w:r w:rsidR="00D804EF" w:rsidRPr="006632F7">
        <w:rPr>
          <w:rFonts w:ascii="Times New Roman" w:hAnsi="Times New Roman"/>
        </w:rPr>
        <w:t>,</w:t>
      </w:r>
      <w:r w:rsidR="006334FC" w:rsidRPr="006632F7">
        <w:rPr>
          <w:rFonts w:ascii="Times New Roman" w:hAnsi="Times New Roman"/>
        </w:rPr>
        <w:t xml:space="preserve"> which contains provisions equivalent to s 46</w:t>
      </w:r>
      <w:r w:rsidR="0028551F" w:rsidRPr="006632F7">
        <w:rPr>
          <w:rFonts w:ascii="Times New Roman" w:hAnsi="Times New Roman"/>
        </w:rPr>
        <w:t>.</w:t>
      </w:r>
    </w:p>
    <w:p w14:paraId="0D3D921A" w14:textId="431D4C5D" w:rsidR="00B24F4A" w:rsidRPr="006632F7" w:rsidRDefault="00B24F4A" w:rsidP="006632F7">
      <w:pPr>
        <w:pStyle w:val="FixListStyle"/>
        <w:spacing w:after="260" w:line="280" w:lineRule="exact"/>
        <w:ind w:right="0"/>
        <w:jc w:val="both"/>
        <w:rPr>
          <w:rFonts w:ascii="Times New Roman" w:hAnsi="Times New Roman"/>
        </w:rPr>
      </w:pPr>
      <w:r w:rsidRPr="006632F7">
        <w:rPr>
          <w:rFonts w:ascii="Times New Roman" w:hAnsi="Times New Roman"/>
        </w:rPr>
        <w:tab/>
      </w:r>
      <w:r w:rsidR="00AD32DA" w:rsidRPr="006632F7">
        <w:rPr>
          <w:rFonts w:ascii="Times New Roman" w:hAnsi="Times New Roman"/>
        </w:rPr>
        <w:t xml:space="preserve">The plaintiff, however, overlooks the </w:t>
      </w:r>
      <w:r w:rsidR="0047452C" w:rsidRPr="006632F7">
        <w:rPr>
          <w:rFonts w:ascii="Times New Roman" w:hAnsi="Times New Roman"/>
        </w:rPr>
        <w:t xml:space="preserve">"strongly conservative cautionary principle, adopted in the interests of continuity and consistency in the law, that such a course [granting leave to re-open a </w:t>
      </w:r>
      <w:r w:rsidR="00037604" w:rsidRPr="006632F7">
        <w:rPr>
          <w:rFonts w:ascii="Times New Roman" w:hAnsi="Times New Roman"/>
        </w:rPr>
        <w:t xml:space="preserve">decision] </w:t>
      </w:r>
      <w:r w:rsidR="0047452C" w:rsidRPr="006632F7">
        <w:rPr>
          <w:rFonts w:ascii="Times New Roman" w:hAnsi="Times New Roman"/>
        </w:rPr>
        <w:t>should not lightly be taken</w:t>
      </w:r>
      <w:r w:rsidR="00037604" w:rsidRPr="006632F7">
        <w:rPr>
          <w:rFonts w:ascii="Times New Roman" w:hAnsi="Times New Roman"/>
        </w:rPr>
        <w:t>"</w:t>
      </w:r>
      <w:r w:rsidR="0047452C" w:rsidRPr="006632F7">
        <w:rPr>
          <w:rFonts w:ascii="Times New Roman" w:hAnsi="Times New Roman"/>
        </w:rPr>
        <w:t>.</w:t>
      </w:r>
      <w:r w:rsidR="00037604" w:rsidRPr="006632F7">
        <w:rPr>
          <w:rStyle w:val="FootnoteReference"/>
          <w:rFonts w:ascii="Times New Roman" w:hAnsi="Times New Roman"/>
          <w:sz w:val="24"/>
        </w:rPr>
        <w:footnoteReference w:id="33"/>
      </w:r>
      <w:r w:rsidR="00372182" w:rsidRPr="006632F7">
        <w:rPr>
          <w:rFonts w:ascii="Times New Roman" w:hAnsi="Times New Roman"/>
        </w:rPr>
        <w:t xml:space="preserve"> In particular, as </w:t>
      </w:r>
      <w:r w:rsidR="00D659F7" w:rsidRPr="006632F7">
        <w:rPr>
          <w:rFonts w:ascii="Times New Roman" w:hAnsi="Times New Roman"/>
        </w:rPr>
        <w:t xml:space="preserve">Gibbs J said in </w:t>
      </w:r>
      <w:r w:rsidR="000C7692" w:rsidRPr="006632F7">
        <w:rPr>
          <w:rFonts w:ascii="Times New Roman" w:hAnsi="Times New Roman"/>
          <w:i/>
          <w:iCs/>
        </w:rPr>
        <w:t xml:space="preserve">Queensland v </w:t>
      </w:r>
      <w:r w:rsidR="00D804EF" w:rsidRPr="006632F7">
        <w:rPr>
          <w:rFonts w:ascii="Times New Roman" w:hAnsi="Times New Roman"/>
          <w:i/>
          <w:iCs/>
        </w:rPr>
        <w:t xml:space="preserve">The </w:t>
      </w:r>
      <w:r w:rsidR="000C7692" w:rsidRPr="006632F7">
        <w:rPr>
          <w:rFonts w:ascii="Times New Roman" w:hAnsi="Times New Roman"/>
          <w:i/>
          <w:iCs/>
        </w:rPr>
        <w:t>Commonwealth</w:t>
      </w:r>
      <w:r w:rsidR="00FF4F5F" w:rsidRPr="006632F7">
        <w:rPr>
          <w:rFonts w:ascii="Times New Roman" w:hAnsi="Times New Roman"/>
        </w:rPr>
        <w:t xml:space="preserve">, </w:t>
      </w:r>
      <w:r w:rsidR="0055206C" w:rsidRPr="006632F7">
        <w:rPr>
          <w:rFonts w:ascii="Times New Roman" w:hAnsi="Times New Roman"/>
        </w:rPr>
        <w:t xml:space="preserve">no </w:t>
      </w:r>
      <w:r w:rsidR="00FF4F5F" w:rsidRPr="006632F7">
        <w:rPr>
          <w:rFonts w:ascii="Times New Roman" w:hAnsi="Times New Roman"/>
        </w:rPr>
        <w:t xml:space="preserve">Justice is entitled to arrive at </w:t>
      </w:r>
      <w:r w:rsidR="0055206C" w:rsidRPr="006632F7">
        <w:rPr>
          <w:rFonts w:ascii="Times New Roman" w:hAnsi="Times New Roman"/>
        </w:rPr>
        <w:t xml:space="preserve">their </w:t>
      </w:r>
      <w:r w:rsidR="00FF4F5F" w:rsidRPr="006632F7">
        <w:rPr>
          <w:rFonts w:ascii="Times New Roman" w:hAnsi="Times New Roman"/>
        </w:rPr>
        <w:t xml:space="preserve">own judgment </w:t>
      </w:r>
      <w:r w:rsidR="0055206C" w:rsidRPr="006632F7">
        <w:rPr>
          <w:rFonts w:ascii="Times New Roman" w:hAnsi="Times New Roman"/>
        </w:rPr>
        <w:t>"</w:t>
      </w:r>
      <w:r w:rsidR="00FF4F5F" w:rsidRPr="006632F7">
        <w:rPr>
          <w:rFonts w:ascii="Times New Roman" w:hAnsi="Times New Roman"/>
        </w:rPr>
        <w:t>as though the pages of the law reports were blank, or as though the authority of a decision did not survive beyond the rising of the Court</w:t>
      </w:r>
      <w:r w:rsidR="00646030" w:rsidRPr="006632F7">
        <w:rPr>
          <w:rFonts w:ascii="Times New Roman" w:hAnsi="Times New Roman"/>
        </w:rPr>
        <w:t>"</w:t>
      </w:r>
      <w:r w:rsidR="00FF4F5F" w:rsidRPr="006632F7">
        <w:rPr>
          <w:rFonts w:ascii="Times New Roman" w:hAnsi="Times New Roman"/>
        </w:rPr>
        <w:t>.</w:t>
      </w:r>
      <w:r w:rsidR="0055206C" w:rsidRPr="006632F7">
        <w:rPr>
          <w:rStyle w:val="FootnoteReference"/>
          <w:rFonts w:ascii="Times New Roman" w:hAnsi="Times New Roman"/>
          <w:sz w:val="24"/>
        </w:rPr>
        <w:footnoteReference w:id="34"/>
      </w:r>
      <w:r w:rsidR="00FC113F" w:rsidRPr="006632F7">
        <w:rPr>
          <w:rFonts w:ascii="Times New Roman" w:hAnsi="Times New Roman"/>
        </w:rPr>
        <w:t xml:space="preserve"> </w:t>
      </w:r>
      <w:r w:rsidR="0034181C" w:rsidRPr="006632F7">
        <w:rPr>
          <w:rFonts w:ascii="Times New Roman" w:hAnsi="Times New Roman"/>
        </w:rPr>
        <w:t xml:space="preserve">A party seeking to </w:t>
      </w:r>
      <w:r w:rsidR="003D67AB" w:rsidRPr="006632F7">
        <w:rPr>
          <w:rFonts w:ascii="Times New Roman" w:hAnsi="Times New Roman"/>
        </w:rPr>
        <w:t xml:space="preserve">re-open an earlier decision of this Court </w:t>
      </w:r>
      <w:r w:rsidR="00B96908" w:rsidRPr="006632F7">
        <w:rPr>
          <w:rFonts w:ascii="Times New Roman" w:hAnsi="Times New Roman"/>
        </w:rPr>
        <w:t xml:space="preserve">and </w:t>
      </w:r>
      <w:r w:rsidR="0034181C" w:rsidRPr="006632F7">
        <w:rPr>
          <w:rFonts w:ascii="Times New Roman" w:hAnsi="Times New Roman"/>
        </w:rPr>
        <w:t xml:space="preserve">challenging the validity of the same provision </w:t>
      </w:r>
      <w:r w:rsidR="00B96908" w:rsidRPr="006632F7">
        <w:rPr>
          <w:rFonts w:ascii="Times New Roman" w:hAnsi="Times New Roman"/>
        </w:rPr>
        <w:t xml:space="preserve">that </w:t>
      </w:r>
      <w:r w:rsidR="0034181C" w:rsidRPr="006632F7">
        <w:rPr>
          <w:rFonts w:ascii="Times New Roman" w:hAnsi="Times New Roman"/>
        </w:rPr>
        <w:t xml:space="preserve">the earlier decision </w:t>
      </w:r>
      <w:r w:rsidR="007E4D49" w:rsidRPr="006632F7">
        <w:rPr>
          <w:rFonts w:ascii="Times New Roman" w:hAnsi="Times New Roman"/>
        </w:rPr>
        <w:t xml:space="preserve">held to be valid, </w:t>
      </w:r>
      <w:r w:rsidR="0034181C" w:rsidRPr="006632F7">
        <w:rPr>
          <w:rFonts w:ascii="Times New Roman" w:hAnsi="Times New Roman"/>
        </w:rPr>
        <w:t xml:space="preserve">on precisely the same basis as the challenge rejected in the earlier </w:t>
      </w:r>
      <w:r w:rsidR="0034181C" w:rsidRPr="006632F7">
        <w:rPr>
          <w:rFonts w:ascii="Times New Roman" w:hAnsi="Times New Roman"/>
        </w:rPr>
        <w:lastRenderedPageBreak/>
        <w:t>decision</w:t>
      </w:r>
      <w:r w:rsidR="007E4D49" w:rsidRPr="006632F7">
        <w:rPr>
          <w:rFonts w:ascii="Times New Roman" w:hAnsi="Times New Roman"/>
        </w:rPr>
        <w:t>,</w:t>
      </w:r>
      <w:r w:rsidR="00CA52FD" w:rsidRPr="006632F7">
        <w:rPr>
          <w:rFonts w:ascii="Times New Roman" w:hAnsi="Times New Roman"/>
        </w:rPr>
        <w:t xml:space="preserve"> carries a particularly heavy persuasive burden which the plaintiff in this case has not come close to discharging</w:t>
      </w:r>
      <w:r w:rsidR="0034181C" w:rsidRPr="006632F7">
        <w:rPr>
          <w:rFonts w:ascii="Times New Roman" w:hAnsi="Times New Roman"/>
        </w:rPr>
        <w:t>.</w:t>
      </w:r>
    </w:p>
    <w:p w14:paraId="1121F22A" w14:textId="3C765D40" w:rsidR="00763F47" w:rsidRPr="006632F7" w:rsidRDefault="00763F47" w:rsidP="006632F7">
      <w:pPr>
        <w:pStyle w:val="FixListStyle"/>
        <w:spacing w:after="260" w:line="280" w:lineRule="exact"/>
        <w:ind w:right="0"/>
        <w:jc w:val="both"/>
        <w:rPr>
          <w:rFonts w:ascii="Times New Roman" w:hAnsi="Times New Roman"/>
        </w:rPr>
      </w:pPr>
      <w:r w:rsidRPr="006632F7">
        <w:rPr>
          <w:rFonts w:ascii="Times New Roman" w:hAnsi="Times New Roman"/>
        </w:rPr>
        <w:tab/>
      </w:r>
      <w:r w:rsidR="004408D0" w:rsidRPr="006632F7">
        <w:rPr>
          <w:rFonts w:ascii="Times New Roman" w:hAnsi="Times New Roman"/>
        </w:rPr>
        <w:t xml:space="preserve">First, </w:t>
      </w:r>
      <w:r w:rsidR="004E2A47" w:rsidRPr="006632F7">
        <w:rPr>
          <w:rFonts w:ascii="Times New Roman" w:hAnsi="Times New Roman"/>
        </w:rPr>
        <w:t xml:space="preserve">the </w:t>
      </w:r>
      <w:r w:rsidR="00FB5D20" w:rsidRPr="006632F7">
        <w:rPr>
          <w:rFonts w:ascii="Times New Roman" w:hAnsi="Times New Roman"/>
        </w:rPr>
        <w:t xml:space="preserve">substance of the </w:t>
      </w:r>
      <w:r w:rsidR="004E2A47" w:rsidRPr="006632F7">
        <w:rPr>
          <w:rFonts w:ascii="Times New Roman" w:hAnsi="Times New Roman"/>
        </w:rPr>
        <w:t>plaintiff</w:t>
      </w:r>
      <w:r w:rsidR="00B90286" w:rsidRPr="006632F7">
        <w:rPr>
          <w:rFonts w:ascii="Times New Roman" w:hAnsi="Times New Roman"/>
        </w:rPr>
        <w:t xml:space="preserve">'s </w:t>
      </w:r>
      <w:r w:rsidR="00FA594F" w:rsidRPr="006632F7">
        <w:rPr>
          <w:rFonts w:ascii="Times New Roman" w:hAnsi="Times New Roman"/>
        </w:rPr>
        <w:t>"</w:t>
      </w:r>
      <w:r w:rsidR="00B90286" w:rsidRPr="006632F7">
        <w:rPr>
          <w:rFonts w:ascii="Times New Roman" w:hAnsi="Times New Roman"/>
        </w:rPr>
        <w:t>means and ends</w:t>
      </w:r>
      <w:r w:rsidR="00FA594F" w:rsidRPr="006632F7">
        <w:rPr>
          <w:rFonts w:ascii="Times New Roman" w:hAnsi="Times New Roman"/>
        </w:rPr>
        <w:t>"</w:t>
      </w:r>
      <w:r w:rsidR="00B90286" w:rsidRPr="006632F7">
        <w:rPr>
          <w:rFonts w:ascii="Times New Roman" w:hAnsi="Times New Roman"/>
        </w:rPr>
        <w:t xml:space="preserve"> or </w:t>
      </w:r>
      <w:r w:rsidR="00FA594F" w:rsidRPr="006632F7">
        <w:rPr>
          <w:rFonts w:ascii="Times New Roman" w:hAnsi="Times New Roman"/>
        </w:rPr>
        <w:t>"proportionality" contention</w:t>
      </w:r>
      <w:r w:rsidR="009B0145" w:rsidRPr="006632F7">
        <w:rPr>
          <w:rFonts w:ascii="Times New Roman" w:hAnsi="Times New Roman"/>
        </w:rPr>
        <w:t>, as now framed, is that the "end" or object which s 46(2) of t</w:t>
      </w:r>
      <w:r w:rsidR="0074644A" w:rsidRPr="006632F7">
        <w:rPr>
          <w:rFonts w:ascii="Times New Roman" w:hAnsi="Times New Roman"/>
        </w:rPr>
        <w:t>h</w:t>
      </w:r>
      <w:r w:rsidR="009B0145" w:rsidRPr="006632F7">
        <w:rPr>
          <w:rFonts w:ascii="Times New Roman" w:hAnsi="Times New Roman"/>
        </w:rPr>
        <w:t xml:space="preserve">e AAT </w:t>
      </w:r>
      <w:r w:rsidR="0074644A" w:rsidRPr="006632F7">
        <w:rPr>
          <w:rFonts w:ascii="Times New Roman" w:hAnsi="Times New Roman"/>
        </w:rPr>
        <w:t>Act pursues</w:t>
      </w:r>
      <w:r w:rsidR="00851C50" w:rsidRPr="006632F7">
        <w:rPr>
          <w:rFonts w:ascii="Times New Roman" w:hAnsi="Times New Roman"/>
        </w:rPr>
        <w:t xml:space="preserve"> is</w:t>
      </w:r>
      <w:r w:rsidR="00606C3A" w:rsidRPr="006632F7">
        <w:rPr>
          <w:rFonts w:ascii="Times New Roman" w:hAnsi="Times New Roman"/>
        </w:rPr>
        <w:t xml:space="preserve"> </w:t>
      </w:r>
      <w:r w:rsidR="00EB36BE" w:rsidRPr="006632F7">
        <w:rPr>
          <w:rFonts w:ascii="Times New Roman" w:hAnsi="Times New Roman"/>
        </w:rPr>
        <w:t>"prevention of the disclosure of information where that disclosure would be injurious to the public interest because it would prejudice the security of Australia or involve the disclosure of deliberations or decisions of the Cabinet"</w:t>
      </w:r>
      <w:r w:rsidR="00851C50" w:rsidRPr="006632F7">
        <w:rPr>
          <w:rFonts w:ascii="Times New Roman" w:hAnsi="Times New Roman"/>
        </w:rPr>
        <w:t>.</w:t>
      </w:r>
      <w:r w:rsidR="00606C3A" w:rsidRPr="006632F7">
        <w:rPr>
          <w:rFonts w:ascii="Times New Roman" w:hAnsi="Times New Roman"/>
        </w:rPr>
        <w:t xml:space="preserve"> </w:t>
      </w:r>
      <w:r w:rsidR="00AE77BA" w:rsidRPr="006632F7">
        <w:rPr>
          <w:rFonts w:ascii="Times New Roman" w:hAnsi="Times New Roman"/>
        </w:rPr>
        <w:t xml:space="preserve">The plaintiff </w:t>
      </w:r>
      <w:r w:rsidR="00D92653" w:rsidRPr="006632F7">
        <w:rPr>
          <w:rFonts w:ascii="Times New Roman" w:hAnsi="Times New Roman"/>
        </w:rPr>
        <w:t xml:space="preserve">contends that </w:t>
      </w:r>
      <w:r w:rsidR="004C4C89" w:rsidRPr="006632F7">
        <w:rPr>
          <w:rFonts w:ascii="Times New Roman" w:hAnsi="Times New Roman"/>
        </w:rPr>
        <w:t>s 46(2)</w:t>
      </w:r>
      <w:r w:rsidR="00D92653" w:rsidRPr="006632F7">
        <w:rPr>
          <w:rFonts w:ascii="Times New Roman" w:hAnsi="Times New Roman"/>
        </w:rPr>
        <w:t xml:space="preserve">, </w:t>
      </w:r>
      <w:r w:rsidR="0090278C" w:rsidRPr="006632F7">
        <w:rPr>
          <w:rFonts w:ascii="Times New Roman" w:hAnsi="Times New Roman"/>
        </w:rPr>
        <w:t>as the means to achieve this end</w:t>
      </w:r>
      <w:r w:rsidR="00D92653" w:rsidRPr="006632F7">
        <w:rPr>
          <w:rFonts w:ascii="Times New Roman" w:hAnsi="Times New Roman"/>
        </w:rPr>
        <w:t>,</w:t>
      </w:r>
      <w:r w:rsidR="004C4C89" w:rsidRPr="006632F7">
        <w:rPr>
          <w:rFonts w:ascii="Times New Roman" w:hAnsi="Times New Roman"/>
        </w:rPr>
        <w:t xml:space="preserve"> </w:t>
      </w:r>
      <w:r w:rsidR="0090278C" w:rsidRPr="006632F7">
        <w:rPr>
          <w:rFonts w:ascii="Times New Roman" w:hAnsi="Times New Roman"/>
        </w:rPr>
        <w:t xml:space="preserve">is </w:t>
      </w:r>
      <w:r w:rsidR="004C4C89" w:rsidRPr="006632F7">
        <w:rPr>
          <w:rFonts w:ascii="Times New Roman" w:hAnsi="Times New Roman"/>
        </w:rPr>
        <w:t>inflexible</w:t>
      </w:r>
      <w:r w:rsidR="0090278C" w:rsidRPr="006632F7">
        <w:rPr>
          <w:rFonts w:ascii="Times New Roman" w:hAnsi="Times New Roman"/>
        </w:rPr>
        <w:t xml:space="preserve">, </w:t>
      </w:r>
      <w:r w:rsidR="00BD31D3" w:rsidRPr="006632F7">
        <w:rPr>
          <w:rFonts w:ascii="Times New Roman" w:hAnsi="Times New Roman"/>
        </w:rPr>
        <w:t>operat</w:t>
      </w:r>
      <w:r w:rsidR="0090278C" w:rsidRPr="006632F7">
        <w:rPr>
          <w:rFonts w:ascii="Times New Roman" w:hAnsi="Times New Roman"/>
        </w:rPr>
        <w:t>ing in every case</w:t>
      </w:r>
      <w:r w:rsidR="00BD31D3" w:rsidRPr="006632F7">
        <w:rPr>
          <w:rFonts w:ascii="Times New Roman" w:hAnsi="Times New Roman"/>
        </w:rPr>
        <w:t xml:space="preserve"> irrespective of all other countervailing considerations</w:t>
      </w:r>
      <w:r w:rsidR="0090278C" w:rsidRPr="006632F7">
        <w:rPr>
          <w:rFonts w:ascii="Times New Roman" w:hAnsi="Times New Roman"/>
        </w:rPr>
        <w:t xml:space="preserve"> in that case</w:t>
      </w:r>
      <w:r w:rsidR="00BD31D3" w:rsidRPr="006632F7">
        <w:rPr>
          <w:rFonts w:ascii="Times New Roman" w:hAnsi="Times New Roman"/>
        </w:rPr>
        <w:t>.</w:t>
      </w:r>
      <w:r w:rsidR="0096300B" w:rsidRPr="006632F7">
        <w:rPr>
          <w:rFonts w:ascii="Times New Roman" w:hAnsi="Times New Roman"/>
        </w:rPr>
        <w:t xml:space="preserve"> </w:t>
      </w:r>
      <w:r w:rsidR="008A5D7C" w:rsidRPr="006632F7">
        <w:rPr>
          <w:rFonts w:ascii="Times New Roman" w:hAnsi="Times New Roman"/>
        </w:rPr>
        <w:t>The essence of th</w:t>
      </w:r>
      <w:r w:rsidR="0090278C" w:rsidRPr="006632F7">
        <w:rPr>
          <w:rFonts w:ascii="Times New Roman" w:hAnsi="Times New Roman"/>
        </w:rPr>
        <w:t>is</w:t>
      </w:r>
      <w:r w:rsidR="008A5D7C" w:rsidRPr="006632F7">
        <w:rPr>
          <w:rFonts w:ascii="Times New Roman" w:hAnsi="Times New Roman"/>
        </w:rPr>
        <w:t xml:space="preserve"> complaint, however, </w:t>
      </w:r>
      <w:r w:rsidR="00F204F3" w:rsidRPr="006632F7">
        <w:rPr>
          <w:rFonts w:ascii="Times New Roman" w:hAnsi="Times New Roman"/>
        </w:rPr>
        <w:t>is not new</w:t>
      </w:r>
      <w:r w:rsidR="00417A51" w:rsidRPr="006632F7">
        <w:rPr>
          <w:rFonts w:ascii="Times New Roman" w:hAnsi="Times New Roman"/>
        </w:rPr>
        <w:t> </w:t>
      </w:r>
      <w:r w:rsidR="006B18FE" w:rsidRPr="006632F7">
        <w:rPr>
          <w:rFonts w:ascii="Times New Roman" w:hAnsi="Times New Roman"/>
        </w:rPr>
        <w:t>–</w:t>
      </w:r>
      <w:r w:rsidR="00417A51" w:rsidRPr="006632F7">
        <w:rPr>
          <w:rFonts w:ascii="Times New Roman" w:hAnsi="Times New Roman"/>
        </w:rPr>
        <w:t> </w:t>
      </w:r>
      <w:r w:rsidR="00725C37" w:rsidRPr="006632F7">
        <w:rPr>
          <w:rFonts w:ascii="Times New Roman" w:hAnsi="Times New Roman"/>
        </w:rPr>
        <w:t xml:space="preserve">it </w:t>
      </w:r>
      <w:r w:rsidR="008A5D7C" w:rsidRPr="006632F7">
        <w:rPr>
          <w:rFonts w:ascii="Times New Roman" w:hAnsi="Times New Roman"/>
        </w:rPr>
        <w:t xml:space="preserve">was captured in the submissions put for the </w:t>
      </w:r>
      <w:r w:rsidR="00915C5F" w:rsidRPr="006632F7">
        <w:rPr>
          <w:rFonts w:ascii="Times New Roman" w:hAnsi="Times New Roman"/>
        </w:rPr>
        <w:t xml:space="preserve">appellant </w:t>
      </w:r>
      <w:r w:rsidR="008A5D7C" w:rsidRPr="006632F7">
        <w:rPr>
          <w:rFonts w:ascii="Times New Roman" w:hAnsi="Times New Roman"/>
        </w:rPr>
        <w:t xml:space="preserve">in </w:t>
      </w:r>
      <w:r w:rsidR="008A5D7C" w:rsidRPr="006632F7">
        <w:rPr>
          <w:rFonts w:ascii="Times New Roman" w:hAnsi="Times New Roman"/>
          <w:i/>
          <w:iCs/>
        </w:rPr>
        <w:t>SDCV</w:t>
      </w:r>
      <w:r w:rsidR="008A5D7C" w:rsidRPr="006632F7">
        <w:rPr>
          <w:rFonts w:ascii="Times New Roman" w:hAnsi="Times New Roman"/>
        </w:rPr>
        <w:t xml:space="preserve">. In that case the </w:t>
      </w:r>
      <w:r w:rsidR="00B96C70" w:rsidRPr="006632F7">
        <w:rPr>
          <w:rFonts w:ascii="Times New Roman" w:hAnsi="Times New Roman"/>
        </w:rPr>
        <w:t xml:space="preserve">appellant </w:t>
      </w:r>
      <w:r w:rsidR="008A5D7C" w:rsidRPr="006632F7">
        <w:rPr>
          <w:rFonts w:ascii="Times New Roman" w:hAnsi="Times New Roman"/>
        </w:rPr>
        <w:t xml:space="preserve">submitted, and the minority accepted, that </w:t>
      </w:r>
      <w:r w:rsidR="00625AF7" w:rsidRPr="006632F7">
        <w:rPr>
          <w:rFonts w:ascii="Times New Roman" w:hAnsi="Times New Roman"/>
        </w:rPr>
        <w:t>the constitutional invalidity of s 46(2) sprang from its "rigidity"</w:t>
      </w:r>
      <w:r w:rsidR="00B15E35" w:rsidRPr="006632F7">
        <w:rPr>
          <w:rFonts w:ascii="Times New Roman" w:hAnsi="Times New Roman"/>
        </w:rPr>
        <w:t xml:space="preserve">, </w:t>
      </w:r>
      <w:r w:rsidR="00B14897" w:rsidRPr="006632F7">
        <w:rPr>
          <w:rFonts w:ascii="Times New Roman" w:hAnsi="Times New Roman"/>
        </w:rPr>
        <w:t xml:space="preserve">inflexibility, and exclusion of the Federal </w:t>
      </w:r>
      <w:r w:rsidR="007205C2" w:rsidRPr="006632F7">
        <w:rPr>
          <w:rFonts w:ascii="Times New Roman" w:hAnsi="Times New Roman"/>
        </w:rPr>
        <w:t>Court's</w:t>
      </w:r>
      <w:r w:rsidR="00B14897" w:rsidRPr="006632F7">
        <w:rPr>
          <w:rFonts w:ascii="Times New Roman" w:hAnsi="Times New Roman"/>
        </w:rPr>
        <w:t xml:space="preserve"> </w:t>
      </w:r>
      <w:r w:rsidR="007205C2" w:rsidRPr="006632F7">
        <w:rPr>
          <w:rFonts w:ascii="Times New Roman" w:hAnsi="Times New Roman"/>
        </w:rPr>
        <w:t>capacity</w:t>
      </w:r>
      <w:r w:rsidR="00B14897" w:rsidRPr="006632F7">
        <w:rPr>
          <w:rFonts w:ascii="Times New Roman" w:hAnsi="Times New Roman"/>
        </w:rPr>
        <w:t xml:space="preserve"> to weigh any </w:t>
      </w:r>
      <w:r w:rsidR="007205C2" w:rsidRPr="006632F7">
        <w:rPr>
          <w:rFonts w:ascii="Times New Roman" w:hAnsi="Times New Roman"/>
        </w:rPr>
        <w:t>countervailing interest</w:t>
      </w:r>
      <w:r w:rsidR="00725C37" w:rsidRPr="006632F7">
        <w:rPr>
          <w:rFonts w:ascii="Times New Roman" w:hAnsi="Times New Roman"/>
        </w:rPr>
        <w:t xml:space="preserve"> </w:t>
      </w:r>
      <w:proofErr w:type="gramStart"/>
      <w:r w:rsidR="00725C37" w:rsidRPr="006632F7">
        <w:rPr>
          <w:rFonts w:ascii="Times New Roman" w:hAnsi="Times New Roman"/>
        </w:rPr>
        <w:t>in a given</w:t>
      </w:r>
      <w:proofErr w:type="gramEnd"/>
      <w:r w:rsidR="00725C37" w:rsidRPr="006632F7">
        <w:rPr>
          <w:rFonts w:ascii="Times New Roman" w:hAnsi="Times New Roman"/>
        </w:rPr>
        <w:t xml:space="preserve"> case</w:t>
      </w:r>
      <w:r w:rsidR="007205C2" w:rsidRPr="006632F7">
        <w:rPr>
          <w:rFonts w:ascii="Times New Roman" w:hAnsi="Times New Roman"/>
        </w:rPr>
        <w:t>.</w:t>
      </w:r>
      <w:r w:rsidR="007205C2" w:rsidRPr="006632F7">
        <w:rPr>
          <w:rStyle w:val="FootnoteReference"/>
          <w:rFonts w:ascii="Times New Roman" w:hAnsi="Times New Roman"/>
          <w:sz w:val="24"/>
        </w:rPr>
        <w:footnoteReference w:id="35"/>
      </w:r>
      <w:r w:rsidR="005F4B2F" w:rsidRPr="006632F7">
        <w:rPr>
          <w:rFonts w:ascii="Times New Roman" w:hAnsi="Times New Roman"/>
        </w:rPr>
        <w:t xml:space="preserve"> </w:t>
      </w:r>
      <w:r w:rsidR="004967A8" w:rsidRPr="006632F7">
        <w:rPr>
          <w:rFonts w:ascii="Times New Roman" w:hAnsi="Times New Roman"/>
        </w:rPr>
        <w:t>As explained, t</w:t>
      </w:r>
      <w:r w:rsidR="004139B1" w:rsidRPr="006632F7">
        <w:rPr>
          <w:rFonts w:ascii="Times New Roman" w:hAnsi="Times New Roman"/>
        </w:rPr>
        <w:t xml:space="preserve">hat submission was not accepted by Kiefel CJ, Keane and Gleeson JJ, </w:t>
      </w:r>
      <w:r w:rsidR="006B3284" w:rsidRPr="006632F7">
        <w:rPr>
          <w:rFonts w:ascii="Times New Roman" w:hAnsi="Times New Roman"/>
        </w:rPr>
        <w:t>n</w:t>
      </w:r>
      <w:r w:rsidR="004139B1" w:rsidRPr="006632F7">
        <w:rPr>
          <w:rFonts w:ascii="Times New Roman" w:hAnsi="Times New Roman"/>
        </w:rPr>
        <w:t xml:space="preserve">or </w:t>
      </w:r>
      <w:r w:rsidR="004B77C6" w:rsidRPr="006632F7">
        <w:rPr>
          <w:rFonts w:ascii="Times New Roman" w:hAnsi="Times New Roman"/>
        </w:rPr>
        <w:t xml:space="preserve">(ultimately) </w:t>
      </w:r>
      <w:r w:rsidR="004139B1" w:rsidRPr="006632F7">
        <w:rPr>
          <w:rFonts w:ascii="Times New Roman" w:hAnsi="Times New Roman"/>
        </w:rPr>
        <w:t>by Steward J</w:t>
      </w:r>
      <w:r w:rsidR="004967A8" w:rsidRPr="006632F7">
        <w:rPr>
          <w:rFonts w:ascii="Times New Roman" w:hAnsi="Times New Roman"/>
        </w:rPr>
        <w:t xml:space="preserve">. </w:t>
      </w:r>
      <w:r w:rsidR="00141D57" w:rsidRPr="006632F7">
        <w:rPr>
          <w:rFonts w:ascii="Times New Roman" w:hAnsi="Times New Roman"/>
        </w:rPr>
        <w:t xml:space="preserve">Now characterising the same argument as one of "means and ends" or "proportionality" does not </w:t>
      </w:r>
      <w:r w:rsidR="00A346FE" w:rsidRPr="006632F7">
        <w:rPr>
          <w:rFonts w:ascii="Times New Roman" w:hAnsi="Times New Roman"/>
        </w:rPr>
        <w:t xml:space="preserve">mean that </w:t>
      </w:r>
      <w:r w:rsidR="006B411E" w:rsidRPr="006632F7">
        <w:rPr>
          <w:rFonts w:ascii="Times New Roman" w:hAnsi="Times New Roman"/>
        </w:rPr>
        <w:t xml:space="preserve">the substance of this argument was overlooked in </w:t>
      </w:r>
      <w:r w:rsidR="006B411E" w:rsidRPr="006632F7">
        <w:rPr>
          <w:rFonts w:ascii="Times New Roman" w:hAnsi="Times New Roman"/>
          <w:i/>
          <w:iCs/>
        </w:rPr>
        <w:t>SDCV</w:t>
      </w:r>
      <w:r w:rsidR="006B411E" w:rsidRPr="006632F7">
        <w:rPr>
          <w:rFonts w:ascii="Times New Roman" w:hAnsi="Times New Roman"/>
        </w:rPr>
        <w:t xml:space="preserve"> or that </w:t>
      </w:r>
      <w:r w:rsidR="006B411E" w:rsidRPr="006632F7">
        <w:rPr>
          <w:rFonts w:ascii="Times New Roman" w:hAnsi="Times New Roman"/>
          <w:i/>
          <w:iCs/>
        </w:rPr>
        <w:t>SDCV</w:t>
      </w:r>
      <w:r w:rsidR="006B411E" w:rsidRPr="006632F7">
        <w:rPr>
          <w:rFonts w:ascii="Times New Roman" w:hAnsi="Times New Roman"/>
        </w:rPr>
        <w:t xml:space="preserve"> does not stand as authority against the argument. </w:t>
      </w:r>
    </w:p>
    <w:p w14:paraId="277225BF" w14:textId="3DB7EB87" w:rsidR="0099529F" w:rsidRPr="006632F7" w:rsidRDefault="0099529F" w:rsidP="006632F7">
      <w:pPr>
        <w:pStyle w:val="FixListStyle"/>
        <w:spacing w:after="260" w:line="280" w:lineRule="exact"/>
        <w:ind w:right="0"/>
        <w:jc w:val="both"/>
        <w:rPr>
          <w:rFonts w:ascii="Times New Roman" w:hAnsi="Times New Roman"/>
        </w:rPr>
      </w:pPr>
      <w:r w:rsidRPr="006632F7">
        <w:rPr>
          <w:rFonts w:ascii="Times New Roman" w:hAnsi="Times New Roman"/>
        </w:rPr>
        <w:tab/>
        <w:t xml:space="preserve">Second, it may be accepted that the </w:t>
      </w:r>
      <w:r w:rsidR="00FB7184" w:rsidRPr="006632F7">
        <w:rPr>
          <w:rFonts w:ascii="Times New Roman" w:hAnsi="Times New Roman"/>
        </w:rPr>
        <w:t xml:space="preserve">reasoning of Kiefel CJ, Keane and Gleeson JJ, and of Steward J, was responsive to the </w:t>
      </w:r>
      <w:r w:rsidR="000D0C0E" w:rsidRPr="006632F7">
        <w:rPr>
          <w:rFonts w:ascii="Times New Roman" w:hAnsi="Times New Roman"/>
        </w:rPr>
        <w:t xml:space="preserve">immediate </w:t>
      </w:r>
      <w:r w:rsidR="00FB7184" w:rsidRPr="006632F7">
        <w:rPr>
          <w:rFonts w:ascii="Times New Roman" w:hAnsi="Times New Roman"/>
        </w:rPr>
        <w:t>context of s 46(2) of t</w:t>
      </w:r>
      <w:r w:rsidR="00EE615E" w:rsidRPr="006632F7">
        <w:rPr>
          <w:rFonts w:ascii="Times New Roman" w:hAnsi="Times New Roman"/>
        </w:rPr>
        <w:t>h</w:t>
      </w:r>
      <w:r w:rsidR="00FB7184" w:rsidRPr="006632F7">
        <w:rPr>
          <w:rFonts w:ascii="Times New Roman" w:hAnsi="Times New Roman"/>
        </w:rPr>
        <w:t>e AAT Act</w:t>
      </w:r>
      <w:r w:rsidR="00EE615E" w:rsidRPr="006632F7">
        <w:rPr>
          <w:rFonts w:ascii="Times New Roman" w:hAnsi="Times New Roman"/>
        </w:rPr>
        <w:t xml:space="preserve">, rather than reflecting a more general principle </w:t>
      </w:r>
      <w:r w:rsidR="00B96C70" w:rsidRPr="006632F7">
        <w:rPr>
          <w:rFonts w:ascii="Times New Roman" w:hAnsi="Times New Roman"/>
        </w:rPr>
        <w:t>which</w:t>
      </w:r>
      <w:r w:rsidR="00EE615E" w:rsidRPr="006632F7">
        <w:rPr>
          <w:rFonts w:ascii="Times New Roman" w:hAnsi="Times New Roman"/>
        </w:rPr>
        <w:t xml:space="preserve"> had been worked out in a series of cases. That fact, </w:t>
      </w:r>
      <w:r w:rsidR="00B96C70" w:rsidRPr="006632F7">
        <w:rPr>
          <w:rFonts w:ascii="Times New Roman" w:hAnsi="Times New Roman"/>
        </w:rPr>
        <w:t>however</w:t>
      </w:r>
      <w:r w:rsidR="00EE615E" w:rsidRPr="006632F7">
        <w:rPr>
          <w:rFonts w:ascii="Times New Roman" w:hAnsi="Times New Roman"/>
        </w:rPr>
        <w:t xml:space="preserve">, works </w:t>
      </w:r>
      <w:r w:rsidR="00B96C70" w:rsidRPr="006632F7">
        <w:rPr>
          <w:rFonts w:ascii="Times New Roman" w:hAnsi="Times New Roman"/>
        </w:rPr>
        <w:t>against</w:t>
      </w:r>
      <w:r w:rsidR="00EE615E" w:rsidRPr="006632F7">
        <w:rPr>
          <w:rFonts w:ascii="Times New Roman" w:hAnsi="Times New Roman"/>
        </w:rPr>
        <w:t xml:space="preserve"> the application for leave to re-open </w:t>
      </w:r>
      <w:r w:rsidR="00EE615E" w:rsidRPr="006632F7">
        <w:rPr>
          <w:rFonts w:ascii="Times New Roman" w:hAnsi="Times New Roman"/>
          <w:i/>
          <w:iCs/>
        </w:rPr>
        <w:t>SDCV</w:t>
      </w:r>
      <w:r w:rsidR="00EE615E" w:rsidRPr="006632F7">
        <w:rPr>
          <w:rFonts w:ascii="Times New Roman" w:hAnsi="Times New Roman"/>
        </w:rPr>
        <w:t xml:space="preserve">. </w:t>
      </w:r>
      <w:r w:rsidR="00901576" w:rsidRPr="006632F7">
        <w:rPr>
          <w:rFonts w:ascii="Times New Roman" w:hAnsi="Times New Roman"/>
        </w:rPr>
        <w:t>T</w:t>
      </w:r>
      <w:r w:rsidR="00B96C70" w:rsidRPr="006632F7">
        <w:rPr>
          <w:rFonts w:ascii="Times New Roman" w:hAnsi="Times New Roman"/>
        </w:rPr>
        <w:t xml:space="preserve">he appellant in </w:t>
      </w:r>
      <w:r w:rsidR="00B96C70" w:rsidRPr="006632F7">
        <w:rPr>
          <w:rFonts w:ascii="Times New Roman" w:hAnsi="Times New Roman"/>
          <w:i/>
          <w:iCs/>
        </w:rPr>
        <w:t>SDCV</w:t>
      </w:r>
      <w:r w:rsidR="00B96C70" w:rsidRPr="006632F7">
        <w:rPr>
          <w:rFonts w:ascii="Times New Roman" w:hAnsi="Times New Roman"/>
        </w:rPr>
        <w:t xml:space="preserve"> </w:t>
      </w:r>
      <w:r w:rsidR="00ED30E5" w:rsidRPr="006632F7">
        <w:rPr>
          <w:rFonts w:ascii="Times New Roman" w:hAnsi="Times New Roman"/>
        </w:rPr>
        <w:t xml:space="preserve">appealed against </w:t>
      </w:r>
      <w:r w:rsidR="00904D8B" w:rsidRPr="006632F7">
        <w:rPr>
          <w:rFonts w:ascii="Times New Roman" w:hAnsi="Times New Roman"/>
        </w:rPr>
        <w:t xml:space="preserve">the Full </w:t>
      </w:r>
      <w:r w:rsidR="00F41886" w:rsidRPr="006632F7">
        <w:rPr>
          <w:rFonts w:ascii="Times New Roman" w:hAnsi="Times New Roman"/>
        </w:rPr>
        <w:t>Court's</w:t>
      </w:r>
      <w:r w:rsidR="00904D8B" w:rsidRPr="006632F7">
        <w:rPr>
          <w:rFonts w:ascii="Times New Roman" w:hAnsi="Times New Roman"/>
        </w:rPr>
        <w:t xml:space="preserve"> rejection of </w:t>
      </w:r>
      <w:r w:rsidR="00F41886" w:rsidRPr="006632F7">
        <w:rPr>
          <w:rFonts w:ascii="Times New Roman" w:hAnsi="Times New Roman"/>
        </w:rPr>
        <w:t xml:space="preserve">the appellant's challenge to the constitutional validity of s 46(2) of the AAT Act, which had resulted in the Full Court </w:t>
      </w:r>
      <w:r w:rsidR="000E290D" w:rsidRPr="006632F7">
        <w:rPr>
          <w:rFonts w:ascii="Times New Roman" w:hAnsi="Times New Roman"/>
        </w:rPr>
        <w:t xml:space="preserve">specifically </w:t>
      </w:r>
      <w:r w:rsidR="00F41886" w:rsidRPr="006632F7">
        <w:rPr>
          <w:rFonts w:ascii="Times New Roman" w:hAnsi="Times New Roman"/>
        </w:rPr>
        <w:t xml:space="preserve">declaring that </w:t>
      </w:r>
      <w:r w:rsidR="00861073" w:rsidRPr="006632F7">
        <w:rPr>
          <w:rFonts w:ascii="Times New Roman" w:hAnsi="Times New Roman"/>
        </w:rPr>
        <w:t>s 46(2) "is a valid law of the Commonwealth</w:t>
      </w:r>
      <w:r w:rsidR="00646030" w:rsidRPr="006632F7">
        <w:rPr>
          <w:rFonts w:ascii="Times New Roman" w:hAnsi="Times New Roman"/>
        </w:rPr>
        <w:t>"</w:t>
      </w:r>
      <w:r w:rsidR="00861073" w:rsidRPr="006632F7">
        <w:rPr>
          <w:rFonts w:ascii="Times New Roman" w:hAnsi="Times New Roman"/>
        </w:rPr>
        <w:t>.</w:t>
      </w:r>
      <w:r w:rsidR="00861073" w:rsidRPr="006632F7">
        <w:rPr>
          <w:rStyle w:val="FootnoteReference"/>
          <w:rFonts w:ascii="Times New Roman" w:hAnsi="Times New Roman"/>
          <w:sz w:val="24"/>
        </w:rPr>
        <w:footnoteReference w:id="36"/>
      </w:r>
      <w:r w:rsidR="00901576" w:rsidRPr="006632F7">
        <w:rPr>
          <w:rFonts w:ascii="Times New Roman" w:hAnsi="Times New Roman"/>
        </w:rPr>
        <w:t xml:space="preserve"> </w:t>
      </w:r>
      <w:r w:rsidR="005D1A9B" w:rsidRPr="006632F7">
        <w:rPr>
          <w:rFonts w:ascii="Times New Roman" w:hAnsi="Times New Roman"/>
        </w:rPr>
        <w:t>This Court</w:t>
      </w:r>
      <w:r w:rsidR="00DC6AC1" w:rsidRPr="006632F7">
        <w:rPr>
          <w:rFonts w:ascii="Times New Roman" w:hAnsi="Times New Roman"/>
        </w:rPr>
        <w:t xml:space="preserve"> in </w:t>
      </w:r>
      <w:r w:rsidR="00DC6AC1" w:rsidRPr="006632F7">
        <w:rPr>
          <w:rFonts w:ascii="Times New Roman" w:hAnsi="Times New Roman"/>
          <w:i/>
          <w:iCs/>
        </w:rPr>
        <w:t>SDCV</w:t>
      </w:r>
      <w:r w:rsidR="005D1A9B" w:rsidRPr="006632F7">
        <w:rPr>
          <w:rFonts w:ascii="Times New Roman" w:hAnsi="Times New Roman"/>
        </w:rPr>
        <w:t xml:space="preserve">, by majority of 4:3, dismissed that appeal. The plaintiff </w:t>
      </w:r>
      <w:r w:rsidR="003E7E6A" w:rsidRPr="006632F7">
        <w:rPr>
          <w:rFonts w:ascii="Times New Roman" w:hAnsi="Times New Roman"/>
        </w:rPr>
        <w:t xml:space="preserve">in this matter </w:t>
      </w:r>
      <w:r w:rsidR="005D1A9B" w:rsidRPr="006632F7">
        <w:rPr>
          <w:rFonts w:ascii="Times New Roman" w:hAnsi="Times New Roman"/>
        </w:rPr>
        <w:t xml:space="preserve">now seeks to </w:t>
      </w:r>
      <w:r w:rsidR="00B93E2B" w:rsidRPr="006632F7">
        <w:rPr>
          <w:rFonts w:ascii="Times New Roman" w:hAnsi="Times New Roman"/>
        </w:rPr>
        <w:t>raise</w:t>
      </w:r>
      <w:r w:rsidR="008A1FF1" w:rsidRPr="006632F7">
        <w:rPr>
          <w:rFonts w:ascii="Times New Roman" w:hAnsi="Times New Roman"/>
        </w:rPr>
        <w:t xml:space="preserve"> the very same question</w:t>
      </w:r>
      <w:r w:rsidR="003E7E6A" w:rsidRPr="006632F7">
        <w:rPr>
          <w:rFonts w:ascii="Times New Roman" w:hAnsi="Times New Roman"/>
        </w:rPr>
        <w:t>.</w:t>
      </w:r>
      <w:r w:rsidR="008A1FF1" w:rsidRPr="006632F7">
        <w:rPr>
          <w:rFonts w:ascii="Times New Roman" w:hAnsi="Times New Roman"/>
        </w:rPr>
        <w:t xml:space="preserve"> </w:t>
      </w:r>
      <w:r w:rsidR="00F27A20" w:rsidRPr="006632F7">
        <w:rPr>
          <w:rFonts w:ascii="Times New Roman" w:hAnsi="Times New Roman"/>
        </w:rPr>
        <w:t>Yet n</w:t>
      </w:r>
      <w:r w:rsidR="005D1A9B" w:rsidRPr="006632F7">
        <w:rPr>
          <w:rFonts w:ascii="Times New Roman" w:hAnsi="Times New Roman"/>
        </w:rPr>
        <w:t xml:space="preserve">othing has changed since </w:t>
      </w:r>
      <w:r w:rsidR="003E7E6A" w:rsidRPr="006632F7">
        <w:rPr>
          <w:rFonts w:ascii="Times New Roman" w:hAnsi="Times New Roman"/>
          <w:i/>
          <w:iCs/>
        </w:rPr>
        <w:t>SDCV</w:t>
      </w:r>
      <w:r w:rsidR="003E7E6A" w:rsidRPr="006632F7">
        <w:rPr>
          <w:rFonts w:ascii="Times New Roman" w:hAnsi="Times New Roman"/>
        </w:rPr>
        <w:t xml:space="preserve"> was decided </w:t>
      </w:r>
      <w:r w:rsidR="005D1A9B" w:rsidRPr="006632F7">
        <w:rPr>
          <w:rFonts w:ascii="Times New Roman" w:hAnsi="Times New Roman"/>
        </w:rPr>
        <w:t xml:space="preserve">except the constitution of this Court. </w:t>
      </w:r>
    </w:p>
    <w:p w14:paraId="5607BEA6" w14:textId="0071B2F5" w:rsidR="00124659" w:rsidRPr="006632F7" w:rsidRDefault="00F308D0" w:rsidP="006632F7">
      <w:pPr>
        <w:pStyle w:val="FixListStyle"/>
        <w:spacing w:after="260" w:line="280" w:lineRule="exact"/>
        <w:ind w:right="0"/>
        <w:jc w:val="both"/>
        <w:rPr>
          <w:rFonts w:ascii="Times New Roman" w:hAnsi="Times New Roman"/>
        </w:rPr>
      </w:pPr>
      <w:r w:rsidRPr="006632F7">
        <w:rPr>
          <w:rFonts w:ascii="Times New Roman" w:hAnsi="Times New Roman"/>
        </w:rPr>
        <w:tab/>
        <w:t>T</w:t>
      </w:r>
      <w:r w:rsidR="000D0C0E" w:rsidRPr="006632F7">
        <w:rPr>
          <w:rFonts w:ascii="Times New Roman" w:hAnsi="Times New Roman"/>
        </w:rPr>
        <w:t>hird</w:t>
      </w:r>
      <w:r w:rsidR="00946C10" w:rsidRPr="006632F7">
        <w:rPr>
          <w:rFonts w:ascii="Times New Roman" w:hAnsi="Times New Roman"/>
        </w:rPr>
        <w:t xml:space="preserve">, </w:t>
      </w:r>
      <w:r w:rsidR="00AC5EBE" w:rsidRPr="006632F7">
        <w:rPr>
          <w:rFonts w:ascii="Times New Roman" w:hAnsi="Times New Roman"/>
        </w:rPr>
        <w:t xml:space="preserve">and importantly, </w:t>
      </w:r>
      <w:r w:rsidR="00E72319" w:rsidRPr="006632F7">
        <w:rPr>
          <w:rFonts w:ascii="Times New Roman" w:hAnsi="Times New Roman"/>
        </w:rPr>
        <w:t xml:space="preserve">Kiefel CJ, Keane and Gleeson JJ, and Steward J (on the one hand) and </w:t>
      </w:r>
      <w:proofErr w:type="spellStart"/>
      <w:r w:rsidR="00E72319" w:rsidRPr="006632F7">
        <w:rPr>
          <w:rFonts w:ascii="Times New Roman" w:hAnsi="Times New Roman"/>
        </w:rPr>
        <w:t>Gageler</w:t>
      </w:r>
      <w:proofErr w:type="spellEnd"/>
      <w:r w:rsidR="00E72319" w:rsidRPr="006632F7">
        <w:rPr>
          <w:rFonts w:ascii="Times New Roman" w:hAnsi="Times New Roman"/>
        </w:rPr>
        <w:t> J, Gordon J</w:t>
      </w:r>
      <w:r w:rsidR="005B22B7" w:rsidRPr="006632F7">
        <w:rPr>
          <w:rFonts w:ascii="Times New Roman" w:hAnsi="Times New Roman"/>
        </w:rPr>
        <w:t>,</w:t>
      </w:r>
      <w:r w:rsidR="00E72319" w:rsidRPr="006632F7">
        <w:rPr>
          <w:rFonts w:ascii="Times New Roman" w:hAnsi="Times New Roman"/>
        </w:rPr>
        <w:t xml:space="preserve"> and Edelman J (on the other hand) all </w:t>
      </w:r>
      <w:r w:rsidR="00E72319" w:rsidRPr="006632F7">
        <w:rPr>
          <w:rFonts w:ascii="Times New Roman" w:hAnsi="Times New Roman"/>
        </w:rPr>
        <w:lastRenderedPageBreak/>
        <w:t xml:space="preserve">accepted that </w:t>
      </w:r>
      <w:r w:rsidR="00134DB6" w:rsidRPr="006632F7">
        <w:rPr>
          <w:rFonts w:ascii="Times New Roman" w:hAnsi="Times New Roman"/>
        </w:rPr>
        <w:t xml:space="preserve">an essential characteristic of a Ch III court is that </w:t>
      </w:r>
      <w:r w:rsidR="008421F6" w:rsidRPr="006632F7">
        <w:rPr>
          <w:rFonts w:ascii="Times New Roman" w:hAnsi="Times New Roman"/>
        </w:rPr>
        <w:t>it provides parties with procedural fairness. A</w:t>
      </w:r>
      <w:r w:rsidR="00716A55" w:rsidRPr="006632F7">
        <w:rPr>
          <w:rFonts w:ascii="Times New Roman" w:hAnsi="Times New Roman"/>
        </w:rPr>
        <w:t>l</w:t>
      </w:r>
      <w:r w:rsidR="008421F6" w:rsidRPr="006632F7">
        <w:rPr>
          <w:rFonts w:ascii="Times New Roman" w:hAnsi="Times New Roman"/>
        </w:rPr>
        <w:t>l the Justice</w:t>
      </w:r>
      <w:r w:rsidR="00662B44" w:rsidRPr="006632F7">
        <w:rPr>
          <w:rFonts w:ascii="Times New Roman" w:hAnsi="Times New Roman"/>
        </w:rPr>
        <w:t>s</w:t>
      </w:r>
      <w:r w:rsidR="008421F6" w:rsidRPr="006632F7">
        <w:rPr>
          <w:rFonts w:ascii="Times New Roman" w:hAnsi="Times New Roman"/>
        </w:rPr>
        <w:t xml:space="preserve"> also </w:t>
      </w:r>
      <w:r w:rsidR="00716A55" w:rsidRPr="006632F7">
        <w:rPr>
          <w:rFonts w:ascii="Times New Roman" w:hAnsi="Times New Roman"/>
        </w:rPr>
        <w:t xml:space="preserve">proceeded on the basis that </w:t>
      </w:r>
      <w:r w:rsidR="008421F6" w:rsidRPr="006632F7">
        <w:rPr>
          <w:rFonts w:ascii="Times New Roman" w:hAnsi="Times New Roman"/>
        </w:rPr>
        <w:t xml:space="preserve">procedural fairness is </w:t>
      </w:r>
      <w:r w:rsidR="00716A55" w:rsidRPr="006632F7">
        <w:rPr>
          <w:rFonts w:ascii="Times New Roman" w:hAnsi="Times New Roman"/>
        </w:rPr>
        <w:t>concerned with "practical injustice" to a party in the case, not abstract conceptions of possible unfairness.</w:t>
      </w:r>
      <w:r w:rsidR="00283AD4" w:rsidRPr="006632F7">
        <w:rPr>
          <w:rStyle w:val="FootnoteReference"/>
          <w:rFonts w:ascii="Times New Roman" w:hAnsi="Times New Roman"/>
          <w:sz w:val="24"/>
        </w:rPr>
        <w:footnoteReference w:id="37"/>
      </w:r>
      <w:r w:rsidR="00716A55" w:rsidRPr="006632F7">
        <w:rPr>
          <w:rFonts w:ascii="Times New Roman" w:hAnsi="Times New Roman"/>
        </w:rPr>
        <w:t xml:space="preserve"> </w:t>
      </w:r>
      <w:r w:rsidR="005B22B7" w:rsidRPr="006632F7">
        <w:rPr>
          <w:rFonts w:ascii="Times New Roman" w:hAnsi="Times New Roman"/>
        </w:rPr>
        <w:t>The difference between the approaches of Kiefel CJ, Keane and Gleeson JJ, and of Steward J</w:t>
      </w:r>
      <w:r w:rsidR="007F29E5" w:rsidRPr="006632F7">
        <w:rPr>
          <w:rFonts w:ascii="Times New Roman" w:hAnsi="Times New Roman"/>
        </w:rPr>
        <w:t xml:space="preserve"> </w:t>
      </w:r>
      <w:r w:rsidR="005B22B7" w:rsidRPr="006632F7">
        <w:rPr>
          <w:rFonts w:ascii="Times New Roman" w:hAnsi="Times New Roman"/>
        </w:rPr>
        <w:t xml:space="preserve">(on the one hand) and </w:t>
      </w:r>
      <w:proofErr w:type="spellStart"/>
      <w:r w:rsidR="005B22B7" w:rsidRPr="006632F7">
        <w:rPr>
          <w:rFonts w:ascii="Times New Roman" w:hAnsi="Times New Roman"/>
        </w:rPr>
        <w:t>Gageler</w:t>
      </w:r>
      <w:proofErr w:type="spellEnd"/>
      <w:r w:rsidR="005B22B7" w:rsidRPr="006632F7">
        <w:rPr>
          <w:rFonts w:ascii="Times New Roman" w:hAnsi="Times New Roman"/>
        </w:rPr>
        <w:t> J, Gordon J, and Edelman J (on the other hand) was that</w:t>
      </w:r>
      <w:r w:rsidR="00DF5B97" w:rsidRPr="006632F7">
        <w:rPr>
          <w:rFonts w:ascii="Times New Roman" w:hAnsi="Times New Roman"/>
        </w:rPr>
        <w:t>: (a) </w:t>
      </w:r>
      <w:r w:rsidR="005B22B7" w:rsidRPr="006632F7">
        <w:rPr>
          <w:rFonts w:ascii="Times New Roman" w:hAnsi="Times New Roman"/>
        </w:rPr>
        <w:t xml:space="preserve">the former considered that the question of "practical injustice" </w:t>
      </w:r>
      <w:r w:rsidR="00A305D6" w:rsidRPr="006632F7">
        <w:rPr>
          <w:rFonts w:ascii="Times New Roman" w:hAnsi="Times New Roman"/>
        </w:rPr>
        <w:t>wa</w:t>
      </w:r>
      <w:r w:rsidR="005B22B7" w:rsidRPr="006632F7">
        <w:rPr>
          <w:rFonts w:ascii="Times New Roman" w:hAnsi="Times New Roman"/>
        </w:rPr>
        <w:t xml:space="preserve">s to be determined in </w:t>
      </w:r>
      <w:r w:rsidR="000F0DAB" w:rsidRPr="006632F7">
        <w:rPr>
          <w:rFonts w:ascii="Times New Roman" w:hAnsi="Times New Roman"/>
        </w:rPr>
        <w:t xml:space="preserve">both </w:t>
      </w:r>
      <w:r w:rsidR="005B22B7" w:rsidRPr="006632F7">
        <w:rPr>
          <w:rFonts w:ascii="Times New Roman" w:hAnsi="Times New Roman"/>
        </w:rPr>
        <w:t xml:space="preserve">the </w:t>
      </w:r>
      <w:r w:rsidR="000F0DAB" w:rsidRPr="006632F7">
        <w:rPr>
          <w:rFonts w:ascii="Times New Roman" w:hAnsi="Times New Roman"/>
        </w:rPr>
        <w:t xml:space="preserve">specific statutory context and the broader </w:t>
      </w:r>
      <w:r w:rsidR="005B22B7" w:rsidRPr="006632F7">
        <w:rPr>
          <w:rFonts w:ascii="Times New Roman" w:hAnsi="Times New Roman"/>
        </w:rPr>
        <w:t xml:space="preserve">context of the </w:t>
      </w:r>
      <w:r w:rsidR="00B31662" w:rsidRPr="006632F7">
        <w:rPr>
          <w:rFonts w:ascii="Times New Roman" w:hAnsi="Times New Roman"/>
        </w:rPr>
        <w:t>options available to a person</w:t>
      </w:r>
      <w:r w:rsidR="00D10E25" w:rsidRPr="006632F7">
        <w:rPr>
          <w:rFonts w:ascii="Times New Roman" w:hAnsi="Times New Roman"/>
        </w:rPr>
        <w:t xml:space="preserve"> </w:t>
      </w:r>
      <w:r w:rsidR="004D3F12" w:rsidRPr="006632F7">
        <w:rPr>
          <w:rFonts w:ascii="Times New Roman" w:hAnsi="Times New Roman"/>
        </w:rPr>
        <w:t>(</w:t>
      </w:r>
      <w:r w:rsidR="00B31662" w:rsidRPr="006632F7">
        <w:rPr>
          <w:rFonts w:ascii="Times New Roman" w:hAnsi="Times New Roman"/>
        </w:rPr>
        <w:t xml:space="preserve">relevantly, to challenge </w:t>
      </w:r>
      <w:r w:rsidR="00CB5A8E" w:rsidRPr="006632F7">
        <w:rPr>
          <w:rFonts w:ascii="Times New Roman" w:hAnsi="Times New Roman"/>
        </w:rPr>
        <w:t>a decision of the Tribunal</w:t>
      </w:r>
      <w:r w:rsidR="004D3F12" w:rsidRPr="006632F7">
        <w:rPr>
          <w:rFonts w:ascii="Times New Roman" w:hAnsi="Times New Roman"/>
        </w:rPr>
        <w:t>)</w:t>
      </w:r>
      <w:r w:rsidR="00CB5A8E" w:rsidRPr="006632F7">
        <w:rPr>
          <w:rFonts w:ascii="Times New Roman" w:hAnsi="Times New Roman"/>
        </w:rPr>
        <w:t xml:space="preserve"> </w:t>
      </w:r>
      <w:r w:rsidR="00A305D6" w:rsidRPr="006632F7">
        <w:rPr>
          <w:rFonts w:ascii="Times New Roman" w:hAnsi="Times New Roman"/>
        </w:rPr>
        <w:t>and that s 46(2) of the AAT Act affect</w:t>
      </w:r>
      <w:r w:rsidR="004875DD" w:rsidRPr="006632F7">
        <w:rPr>
          <w:rFonts w:ascii="Times New Roman" w:hAnsi="Times New Roman"/>
        </w:rPr>
        <w:t>s</w:t>
      </w:r>
      <w:r w:rsidR="00A305D6" w:rsidRPr="006632F7">
        <w:rPr>
          <w:rFonts w:ascii="Times New Roman" w:hAnsi="Times New Roman"/>
        </w:rPr>
        <w:t xml:space="preserve"> the exercise of only one of those options</w:t>
      </w:r>
      <w:r w:rsidR="00DF5B97" w:rsidRPr="006632F7">
        <w:rPr>
          <w:rFonts w:ascii="Times New Roman" w:hAnsi="Times New Roman"/>
        </w:rPr>
        <w:t>,</w:t>
      </w:r>
      <w:r w:rsidR="00A305D6" w:rsidRPr="006632F7">
        <w:rPr>
          <w:rFonts w:ascii="Times New Roman" w:hAnsi="Times New Roman"/>
        </w:rPr>
        <w:t xml:space="preserve"> whereas </w:t>
      </w:r>
      <w:r w:rsidR="00DF5B97" w:rsidRPr="006632F7">
        <w:rPr>
          <w:rFonts w:ascii="Times New Roman" w:hAnsi="Times New Roman"/>
        </w:rPr>
        <w:t>(b) </w:t>
      </w:r>
      <w:r w:rsidR="00A305D6" w:rsidRPr="006632F7">
        <w:rPr>
          <w:rFonts w:ascii="Times New Roman" w:hAnsi="Times New Roman"/>
        </w:rPr>
        <w:t xml:space="preserve">the latter considered that the question of "practical injustice" was to be determined in the context </w:t>
      </w:r>
      <w:r w:rsidR="004875DD" w:rsidRPr="006632F7">
        <w:rPr>
          <w:rFonts w:ascii="Times New Roman" w:hAnsi="Times New Roman"/>
        </w:rPr>
        <w:t xml:space="preserve">that </w:t>
      </w:r>
      <w:r w:rsidR="00A305D6" w:rsidRPr="006632F7">
        <w:rPr>
          <w:rFonts w:ascii="Times New Roman" w:hAnsi="Times New Roman"/>
        </w:rPr>
        <w:t xml:space="preserve">the specific right </w:t>
      </w:r>
      <w:r w:rsidR="004875DD" w:rsidRPr="006632F7">
        <w:rPr>
          <w:rFonts w:ascii="Times New Roman" w:hAnsi="Times New Roman"/>
        </w:rPr>
        <w:t xml:space="preserve">conferred to </w:t>
      </w:r>
      <w:r w:rsidR="00A305D6" w:rsidRPr="006632F7">
        <w:rPr>
          <w:rFonts w:ascii="Times New Roman" w:hAnsi="Times New Roman"/>
        </w:rPr>
        <w:t>which s 46(2) of the AAT Act applie</w:t>
      </w:r>
      <w:r w:rsidR="004875DD" w:rsidRPr="006632F7">
        <w:rPr>
          <w:rFonts w:ascii="Times New Roman" w:hAnsi="Times New Roman"/>
        </w:rPr>
        <w:t>s</w:t>
      </w:r>
      <w:r w:rsidR="00014B95" w:rsidRPr="006632F7">
        <w:rPr>
          <w:rFonts w:ascii="Times New Roman" w:hAnsi="Times New Roman"/>
        </w:rPr>
        <w:t xml:space="preserve"> is a right of appeal to a Ch III court</w:t>
      </w:r>
      <w:r w:rsidR="00A305D6" w:rsidRPr="006632F7">
        <w:rPr>
          <w:rFonts w:ascii="Times New Roman" w:hAnsi="Times New Roman"/>
        </w:rPr>
        <w:t>. Th</w:t>
      </w:r>
      <w:r w:rsidR="00014B95" w:rsidRPr="006632F7">
        <w:rPr>
          <w:rFonts w:ascii="Times New Roman" w:hAnsi="Times New Roman"/>
        </w:rPr>
        <w:t>is</w:t>
      </w:r>
      <w:r w:rsidR="00A305D6" w:rsidRPr="006632F7">
        <w:rPr>
          <w:rFonts w:ascii="Times New Roman" w:hAnsi="Times New Roman"/>
        </w:rPr>
        <w:t xml:space="preserve"> difference in focus yielded </w:t>
      </w:r>
      <w:r w:rsidR="00DB3158" w:rsidRPr="006632F7">
        <w:rPr>
          <w:rFonts w:ascii="Times New Roman" w:hAnsi="Times New Roman"/>
        </w:rPr>
        <w:t xml:space="preserve">different answers to </w:t>
      </w:r>
      <w:r w:rsidR="0070253E" w:rsidRPr="006632F7">
        <w:rPr>
          <w:rFonts w:ascii="Times New Roman" w:hAnsi="Times New Roman"/>
        </w:rPr>
        <w:t xml:space="preserve">the question </w:t>
      </w:r>
      <w:r w:rsidR="00DB3158" w:rsidRPr="006632F7">
        <w:rPr>
          <w:rFonts w:ascii="Times New Roman" w:hAnsi="Times New Roman"/>
        </w:rPr>
        <w:t>whether s 46(2) work</w:t>
      </w:r>
      <w:r w:rsidR="0070253E" w:rsidRPr="006632F7">
        <w:rPr>
          <w:rFonts w:ascii="Times New Roman" w:hAnsi="Times New Roman"/>
        </w:rPr>
        <w:t>ed</w:t>
      </w:r>
      <w:r w:rsidR="00DB3158" w:rsidRPr="006632F7">
        <w:rPr>
          <w:rFonts w:ascii="Times New Roman" w:hAnsi="Times New Roman"/>
        </w:rPr>
        <w:t xml:space="preserve"> a practical injustice. </w:t>
      </w:r>
      <w:r w:rsidR="00316736" w:rsidRPr="006632F7">
        <w:rPr>
          <w:rFonts w:ascii="Times New Roman" w:hAnsi="Times New Roman"/>
        </w:rPr>
        <w:t xml:space="preserve">The appellant </w:t>
      </w:r>
      <w:r w:rsidR="0070253E" w:rsidRPr="006632F7">
        <w:rPr>
          <w:rFonts w:ascii="Times New Roman" w:hAnsi="Times New Roman"/>
        </w:rPr>
        <w:t xml:space="preserve">in </w:t>
      </w:r>
      <w:r w:rsidR="0070253E" w:rsidRPr="006632F7">
        <w:rPr>
          <w:rFonts w:ascii="Times New Roman" w:hAnsi="Times New Roman"/>
          <w:i/>
          <w:iCs/>
        </w:rPr>
        <w:t>SDCV</w:t>
      </w:r>
      <w:r w:rsidR="0070253E" w:rsidRPr="006632F7">
        <w:rPr>
          <w:rFonts w:ascii="Times New Roman" w:hAnsi="Times New Roman"/>
        </w:rPr>
        <w:t xml:space="preserve"> </w:t>
      </w:r>
      <w:r w:rsidR="00316736" w:rsidRPr="006632F7">
        <w:rPr>
          <w:rFonts w:ascii="Times New Roman" w:hAnsi="Times New Roman"/>
        </w:rPr>
        <w:t>having obtained an unfavourable answer to that question, the plaintiff in this case now seeks to obtain a different answer to precisely the same question.</w:t>
      </w:r>
      <w:r w:rsidR="00C101CE" w:rsidRPr="006632F7">
        <w:rPr>
          <w:rFonts w:ascii="Times New Roman" w:hAnsi="Times New Roman"/>
        </w:rPr>
        <w:t xml:space="preserve"> </w:t>
      </w:r>
    </w:p>
    <w:p w14:paraId="2BC20955" w14:textId="6ED51FCC" w:rsidR="008F35DC" w:rsidRPr="006632F7" w:rsidRDefault="00182715" w:rsidP="006632F7">
      <w:pPr>
        <w:pStyle w:val="FixListStyle"/>
        <w:spacing w:after="260" w:line="280" w:lineRule="exact"/>
        <w:ind w:right="0"/>
        <w:jc w:val="both"/>
        <w:rPr>
          <w:rFonts w:ascii="Times New Roman" w:hAnsi="Times New Roman"/>
        </w:rPr>
      </w:pPr>
      <w:r w:rsidRPr="006632F7">
        <w:rPr>
          <w:rFonts w:ascii="Times New Roman" w:hAnsi="Times New Roman"/>
        </w:rPr>
        <w:tab/>
        <w:t xml:space="preserve">Fourth, </w:t>
      </w:r>
      <w:r w:rsidR="006C60EC" w:rsidRPr="006632F7">
        <w:rPr>
          <w:rFonts w:ascii="Times New Roman" w:hAnsi="Times New Roman"/>
        </w:rPr>
        <w:t>it is not the case</w:t>
      </w:r>
      <w:r w:rsidR="00F40BA7" w:rsidRPr="006632F7">
        <w:rPr>
          <w:rFonts w:ascii="Times New Roman" w:hAnsi="Times New Roman"/>
        </w:rPr>
        <w:t>, as the plaintiff would have it,</w:t>
      </w:r>
      <w:r w:rsidR="006C60EC" w:rsidRPr="006632F7">
        <w:rPr>
          <w:rFonts w:ascii="Times New Roman" w:hAnsi="Times New Roman"/>
        </w:rPr>
        <w:t xml:space="preserve"> that the reasoning of Kiefel CJ, Keane and Gleeson JJ in </w:t>
      </w:r>
      <w:r w:rsidR="006C60EC" w:rsidRPr="006632F7">
        <w:rPr>
          <w:rFonts w:ascii="Times New Roman" w:hAnsi="Times New Roman"/>
          <w:i/>
          <w:iCs/>
        </w:rPr>
        <w:t>SDCV</w:t>
      </w:r>
      <w:r w:rsidR="006C60EC" w:rsidRPr="006632F7">
        <w:rPr>
          <w:rFonts w:ascii="Times New Roman" w:hAnsi="Times New Roman"/>
        </w:rPr>
        <w:t xml:space="preserve"> </w:t>
      </w:r>
      <w:r w:rsidR="0006583F" w:rsidRPr="006632F7">
        <w:rPr>
          <w:rFonts w:ascii="Times New Roman" w:hAnsi="Times New Roman"/>
        </w:rPr>
        <w:t xml:space="preserve">assumes </w:t>
      </w:r>
      <w:r w:rsidR="00AE521A" w:rsidRPr="006632F7">
        <w:rPr>
          <w:rFonts w:ascii="Times New Roman" w:hAnsi="Times New Roman"/>
        </w:rPr>
        <w:t>"that the content of procedural fairness can be reduced to nothing if the substantive right is sourced in statute</w:t>
      </w:r>
      <w:r w:rsidR="00971A26" w:rsidRPr="006632F7">
        <w:rPr>
          <w:rFonts w:ascii="Times New Roman" w:hAnsi="Times New Roman"/>
        </w:rPr>
        <w:t>"</w:t>
      </w:r>
      <w:r w:rsidR="00AE521A" w:rsidRPr="006632F7">
        <w:rPr>
          <w:rFonts w:ascii="Times New Roman" w:hAnsi="Times New Roman"/>
        </w:rPr>
        <w:t xml:space="preserve">. No such general proposition is apparent from the joint reasons. </w:t>
      </w:r>
      <w:r w:rsidR="00AB5F3B" w:rsidRPr="006632F7">
        <w:rPr>
          <w:rFonts w:ascii="Times New Roman" w:hAnsi="Times New Roman"/>
        </w:rPr>
        <w:t xml:space="preserve">Their Honours </w:t>
      </w:r>
      <w:r w:rsidR="009A6DE3" w:rsidRPr="006632F7">
        <w:rPr>
          <w:rFonts w:ascii="Times New Roman" w:hAnsi="Times New Roman"/>
        </w:rPr>
        <w:t xml:space="preserve">did </w:t>
      </w:r>
      <w:r w:rsidR="00AB5F3B" w:rsidRPr="006632F7">
        <w:rPr>
          <w:rFonts w:ascii="Times New Roman" w:hAnsi="Times New Roman"/>
        </w:rPr>
        <w:t>not express any free-standing principle to the effect that the content of procedural fairness can be reduced to nothing if the substantive right is sourced in statute.</w:t>
      </w:r>
      <w:r w:rsidR="00AC5B5A" w:rsidRPr="006632F7">
        <w:rPr>
          <w:rFonts w:ascii="Times New Roman" w:hAnsi="Times New Roman"/>
        </w:rPr>
        <w:t xml:space="preserve"> </w:t>
      </w:r>
      <w:r w:rsidR="008F35DC" w:rsidRPr="006632F7">
        <w:rPr>
          <w:rFonts w:ascii="Times New Roman" w:hAnsi="Times New Roman"/>
        </w:rPr>
        <w:t>It is also not the case that</w:t>
      </w:r>
      <w:r w:rsidR="009D5C39" w:rsidRPr="006632F7">
        <w:rPr>
          <w:rFonts w:ascii="Times New Roman" w:hAnsi="Times New Roman"/>
        </w:rPr>
        <w:t>, as the plaintiff would have it,</w:t>
      </w:r>
      <w:r w:rsidR="008F35DC" w:rsidRPr="006632F7">
        <w:rPr>
          <w:rFonts w:ascii="Times New Roman" w:hAnsi="Times New Roman"/>
        </w:rPr>
        <w:t xml:space="preserve"> the reasoning of </w:t>
      </w:r>
      <w:r w:rsidR="00C8574F" w:rsidRPr="006632F7">
        <w:rPr>
          <w:rFonts w:ascii="Times New Roman" w:hAnsi="Times New Roman"/>
        </w:rPr>
        <w:t>Kiefel CJ, Kean</w:t>
      </w:r>
      <w:r w:rsidR="00367FFD" w:rsidRPr="006632F7">
        <w:rPr>
          <w:rFonts w:ascii="Times New Roman" w:hAnsi="Times New Roman"/>
        </w:rPr>
        <w:t>e</w:t>
      </w:r>
      <w:r w:rsidR="00C8574F" w:rsidRPr="006632F7">
        <w:rPr>
          <w:rFonts w:ascii="Times New Roman" w:hAnsi="Times New Roman"/>
        </w:rPr>
        <w:t xml:space="preserve"> and Gleeson JJ </w:t>
      </w:r>
      <w:r w:rsidR="00367FFD" w:rsidRPr="006632F7">
        <w:rPr>
          <w:rFonts w:ascii="Times New Roman" w:hAnsi="Times New Roman"/>
        </w:rPr>
        <w:t xml:space="preserve">in </w:t>
      </w:r>
      <w:r w:rsidR="00367FFD" w:rsidRPr="006632F7">
        <w:rPr>
          <w:rFonts w:ascii="Times New Roman" w:hAnsi="Times New Roman"/>
          <w:i/>
          <w:iCs/>
        </w:rPr>
        <w:t>SDCV</w:t>
      </w:r>
      <w:r w:rsidR="00367FFD" w:rsidRPr="006632F7">
        <w:rPr>
          <w:rFonts w:ascii="Times New Roman" w:hAnsi="Times New Roman"/>
        </w:rPr>
        <w:t xml:space="preserve"> </w:t>
      </w:r>
      <w:r w:rsidR="009D5C39" w:rsidRPr="006632F7">
        <w:rPr>
          <w:rFonts w:ascii="Times New Roman" w:hAnsi="Times New Roman"/>
        </w:rPr>
        <w:t>"assumes that a public interest immunity claim over certified material would inevitably be upheld"</w:t>
      </w:r>
      <w:r w:rsidR="0001393B" w:rsidRPr="006632F7">
        <w:rPr>
          <w:rFonts w:ascii="Times New Roman" w:hAnsi="Times New Roman"/>
        </w:rPr>
        <w:t xml:space="preserve"> in judicial review proceedings.</w:t>
      </w:r>
      <w:r w:rsidR="00F40BA7" w:rsidRPr="006632F7">
        <w:rPr>
          <w:rFonts w:ascii="Times New Roman" w:hAnsi="Times New Roman"/>
        </w:rPr>
        <w:t xml:space="preserve"> </w:t>
      </w:r>
      <w:r w:rsidR="009E3967" w:rsidRPr="006632F7">
        <w:rPr>
          <w:rFonts w:ascii="Times New Roman" w:hAnsi="Times New Roman"/>
        </w:rPr>
        <w:t>T</w:t>
      </w:r>
      <w:r w:rsidR="009276B1" w:rsidRPr="006632F7">
        <w:rPr>
          <w:rFonts w:ascii="Times New Roman" w:hAnsi="Times New Roman"/>
        </w:rPr>
        <w:t xml:space="preserve">heir Honours said no more than it was "likely" that in judicial review proceedings the doctrine of public interest immunity would have resulted in neither the Federal Court nor the appellant having </w:t>
      </w:r>
      <w:r w:rsidR="00A1391B" w:rsidRPr="006632F7">
        <w:rPr>
          <w:rFonts w:ascii="Times New Roman" w:hAnsi="Times New Roman"/>
        </w:rPr>
        <w:t>access to the material the subject of the certificate.</w:t>
      </w:r>
      <w:r w:rsidR="00A1391B" w:rsidRPr="006632F7">
        <w:rPr>
          <w:rStyle w:val="FootnoteReference"/>
          <w:rFonts w:ascii="Times New Roman" w:hAnsi="Times New Roman"/>
          <w:sz w:val="24"/>
        </w:rPr>
        <w:footnoteReference w:id="38"/>
      </w:r>
    </w:p>
    <w:p w14:paraId="1E97B4E6" w14:textId="2E97D8BD" w:rsidR="002D4FBF" w:rsidRPr="006632F7" w:rsidRDefault="000E111E" w:rsidP="006632F7">
      <w:pPr>
        <w:pStyle w:val="FixListStyle"/>
        <w:spacing w:after="260" w:line="280" w:lineRule="exact"/>
        <w:ind w:right="0"/>
        <w:jc w:val="both"/>
        <w:rPr>
          <w:rFonts w:ascii="Times New Roman" w:hAnsi="Times New Roman"/>
        </w:rPr>
      </w:pPr>
      <w:r w:rsidRPr="006632F7">
        <w:rPr>
          <w:rFonts w:ascii="Times New Roman" w:hAnsi="Times New Roman"/>
        </w:rPr>
        <w:tab/>
      </w:r>
      <w:r w:rsidR="00182715" w:rsidRPr="006632F7">
        <w:rPr>
          <w:rFonts w:ascii="Times New Roman" w:hAnsi="Times New Roman"/>
        </w:rPr>
        <w:t>Fifth</w:t>
      </w:r>
      <w:r w:rsidR="00D73896" w:rsidRPr="006632F7">
        <w:rPr>
          <w:rFonts w:ascii="Times New Roman" w:hAnsi="Times New Roman"/>
        </w:rPr>
        <w:t xml:space="preserve">, </w:t>
      </w:r>
      <w:r w:rsidR="0006583F" w:rsidRPr="006632F7">
        <w:rPr>
          <w:rFonts w:ascii="Times New Roman" w:hAnsi="Times New Roman"/>
        </w:rPr>
        <w:t xml:space="preserve">and as apparent from the third and fourth points, the issue determined in </w:t>
      </w:r>
      <w:r w:rsidR="0006583F" w:rsidRPr="006632F7">
        <w:rPr>
          <w:rFonts w:ascii="Times New Roman" w:hAnsi="Times New Roman"/>
          <w:i/>
          <w:iCs/>
        </w:rPr>
        <w:t>SDCV</w:t>
      </w:r>
      <w:r w:rsidR="0006583F" w:rsidRPr="006632F7">
        <w:rPr>
          <w:rFonts w:ascii="Times New Roman" w:hAnsi="Times New Roman"/>
        </w:rPr>
        <w:t xml:space="preserve">, that s 46(2) of the AAT Act is not invalid by reason of Ch III of the </w:t>
      </w:r>
      <w:r w:rsidR="0006583F" w:rsidRPr="006632F7">
        <w:rPr>
          <w:rFonts w:ascii="Times New Roman" w:hAnsi="Times New Roman"/>
          <w:i/>
          <w:iCs/>
        </w:rPr>
        <w:t>Constitution</w:t>
      </w:r>
      <w:r w:rsidR="0006583F" w:rsidRPr="006632F7">
        <w:rPr>
          <w:rFonts w:ascii="Times New Roman" w:hAnsi="Times New Roman"/>
        </w:rPr>
        <w:t xml:space="preserve"> requiring protection of the essential integrity of Ch III courts, does </w:t>
      </w:r>
      <w:r w:rsidR="0006583F" w:rsidRPr="006632F7">
        <w:rPr>
          <w:rFonts w:ascii="Times New Roman" w:hAnsi="Times New Roman"/>
        </w:rPr>
        <w:lastRenderedPageBreak/>
        <w:t xml:space="preserve">not concern any principle of </w:t>
      </w:r>
      <w:r w:rsidR="000F1174" w:rsidRPr="006632F7">
        <w:rPr>
          <w:rFonts w:ascii="Times New Roman" w:hAnsi="Times New Roman"/>
        </w:rPr>
        <w:t>c</w:t>
      </w:r>
      <w:r w:rsidR="0006583F" w:rsidRPr="006632F7">
        <w:rPr>
          <w:rFonts w:ascii="Times New Roman" w:hAnsi="Times New Roman"/>
        </w:rPr>
        <w:t xml:space="preserve">onstitutional interpretation or the meaning of any </w:t>
      </w:r>
      <w:r w:rsidR="000F1174" w:rsidRPr="006632F7">
        <w:rPr>
          <w:rFonts w:ascii="Times New Roman" w:hAnsi="Times New Roman"/>
        </w:rPr>
        <w:t>c</w:t>
      </w:r>
      <w:r w:rsidR="0006583F" w:rsidRPr="006632F7">
        <w:rPr>
          <w:rFonts w:ascii="Times New Roman" w:hAnsi="Times New Roman"/>
        </w:rPr>
        <w:t xml:space="preserve">onstitutional provision. It </w:t>
      </w:r>
      <w:r w:rsidR="001D661F" w:rsidRPr="006632F7">
        <w:rPr>
          <w:rFonts w:ascii="Times New Roman" w:hAnsi="Times New Roman"/>
        </w:rPr>
        <w:t xml:space="preserve">also </w:t>
      </w:r>
      <w:r w:rsidR="0006583F" w:rsidRPr="006632F7">
        <w:rPr>
          <w:rFonts w:ascii="Times New Roman" w:hAnsi="Times New Roman"/>
        </w:rPr>
        <w:t xml:space="preserve">does not concern the formulation of any </w:t>
      </w:r>
      <w:r w:rsidR="002E4B1A" w:rsidRPr="006632F7">
        <w:rPr>
          <w:rFonts w:ascii="Times New Roman" w:hAnsi="Times New Roman"/>
        </w:rPr>
        <w:t xml:space="preserve">general </w:t>
      </w:r>
      <w:r w:rsidR="0006583F" w:rsidRPr="006632F7">
        <w:rPr>
          <w:rFonts w:ascii="Times New Roman" w:hAnsi="Times New Roman"/>
        </w:rPr>
        <w:t xml:space="preserve">principle of procedural fairness. It concerns only the application of </w:t>
      </w:r>
      <w:r w:rsidR="00AB798F" w:rsidRPr="006632F7">
        <w:rPr>
          <w:rFonts w:ascii="Times New Roman" w:hAnsi="Times New Roman"/>
        </w:rPr>
        <w:t xml:space="preserve">established </w:t>
      </w:r>
      <w:r w:rsidR="000F1174" w:rsidRPr="006632F7">
        <w:rPr>
          <w:rFonts w:ascii="Times New Roman" w:hAnsi="Times New Roman"/>
        </w:rPr>
        <w:t>c</w:t>
      </w:r>
      <w:r w:rsidR="00622018" w:rsidRPr="006632F7">
        <w:rPr>
          <w:rFonts w:ascii="Times New Roman" w:hAnsi="Times New Roman"/>
        </w:rPr>
        <w:t xml:space="preserve">onstitutional and interpretative </w:t>
      </w:r>
      <w:r w:rsidR="0006583F" w:rsidRPr="006632F7">
        <w:rPr>
          <w:rFonts w:ascii="Times New Roman" w:hAnsi="Times New Roman"/>
        </w:rPr>
        <w:t xml:space="preserve">principles to one statutory provision applying to one kind of </w:t>
      </w:r>
      <w:r w:rsidR="002526D4" w:rsidRPr="006632F7">
        <w:rPr>
          <w:rFonts w:ascii="Times New Roman" w:hAnsi="Times New Roman"/>
        </w:rPr>
        <w:t xml:space="preserve">proceeding in </w:t>
      </w:r>
      <w:r w:rsidR="0006583F" w:rsidRPr="006632F7">
        <w:rPr>
          <w:rFonts w:ascii="Times New Roman" w:hAnsi="Times New Roman"/>
        </w:rPr>
        <w:t>the Federal Court</w:t>
      </w:r>
      <w:r w:rsidR="007410C7" w:rsidRPr="006632F7">
        <w:rPr>
          <w:rFonts w:ascii="Times New Roman" w:hAnsi="Times New Roman"/>
        </w:rPr>
        <w:t xml:space="preserve"> – </w:t>
      </w:r>
      <w:r w:rsidR="0006583F" w:rsidRPr="006632F7">
        <w:rPr>
          <w:rFonts w:ascii="Times New Roman" w:hAnsi="Times New Roman"/>
        </w:rPr>
        <w:t xml:space="preserve">an appeal on a question of law from a decision of the </w:t>
      </w:r>
      <w:r w:rsidR="00BE3798" w:rsidRPr="006632F7">
        <w:rPr>
          <w:rFonts w:ascii="Times New Roman" w:hAnsi="Times New Roman"/>
        </w:rPr>
        <w:t xml:space="preserve">Tribunal </w:t>
      </w:r>
      <w:r w:rsidR="002526D4" w:rsidRPr="006632F7">
        <w:rPr>
          <w:rFonts w:ascii="Times New Roman" w:hAnsi="Times New Roman"/>
        </w:rPr>
        <w:t xml:space="preserve">or a referral of such a question </w:t>
      </w:r>
      <w:r w:rsidR="0006583F" w:rsidRPr="006632F7">
        <w:rPr>
          <w:rFonts w:ascii="Times New Roman" w:hAnsi="Times New Roman"/>
        </w:rPr>
        <w:t>where there is in force a certificate in accordance with the provisions identified in s 46(2)</w:t>
      </w:r>
      <w:r w:rsidR="004C4451" w:rsidRPr="006632F7">
        <w:rPr>
          <w:rFonts w:ascii="Times New Roman" w:hAnsi="Times New Roman"/>
        </w:rPr>
        <w:t xml:space="preserve"> certif</w:t>
      </w:r>
      <w:r w:rsidR="00010E07" w:rsidRPr="006632F7">
        <w:rPr>
          <w:rFonts w:ascii="Times New Roman" w:hAnsi="Times New Roman"/>
        </w:rPr>
        <w:t>ying</w:t>
      </w:r>
      <w:r w:rsidR="0006583F" w:rsidRPr="006632F7">
        <w:rPr>
          <w:rFonts w:ascii="Times New Roman" w:hAnsi="Times New Roman"/>
        </w:rPr>
        <w:t xml:space="preserve"> that "the disclosure of matter contained in the document would be contrary to the public interest</w:t>
      </w:r>
      <w:r w:rsidR="00681B2E" w:rsidRPr="006632F7">
        <w:rPr>
          <w:rFonts w:ascii="Times New Roman" w:hAnsi="Times New Roman"/>
        </w:rPr>
        <w:t>"</w:t>
      </w:r>
      <w:r w:rsidR="0006583F" w:rsidRPr="006632F7">
        <w:rPr>
          <w:rFonts w:ascii="Times New Roman" w:hAnsi="Times New Roman"/>
        </w:rPr>
        <w:t>.</w:t>
      </w:r>
      <w:r w:rsidR="00CC03BB" w:rsidRPr="006632F7">
        <w:rPr>
          <w:rFonts w:ascii="Times New Roman" w:hAnsi="Times New Roman"/>
        </w:rPr>
        <w:t xml:space="preserve"> </w:t>
      </w:r>
      <w:r w:rsidR="00597017" w:rsidRPr="006632F7">
        <w:rPr>
          <w:rFonts w:ascii="Times New Roman" w:hAnsi="Times New Roman"/>
        </w:rPr>
        <w:t>T</w:t>
      </w:r>
      <w:r w:rsidR="00CC03BB" w:rsidRPr="006632F7">
        <w:rPr>
          <w:rFonts w:ascii="Times New Roman" w:hAnsi="Times New Roman"/>
        </w:rPr>
        <w:t>he difference</w:t>
      </w:r>
      <w:r w:rsidR="00597017" w:rsidRPr="006632F7">
        <w:rPr>
          <w:rFonts w:ascii="Times New Roman" w:hAnsi="Times New Roman"/>
        </w:rPr>
        <w:t>s</w:t>
      </w:r>
      <w:r w:rsidR="00CC03BB" w:rsidRPr="006632F7">
        <w:rPr>
          <w:rFonts w:ascii="Times New Roman" w:hAnsi="Times New Roman"/>
        </w:rPr>
        <w:t xml:space="preserve"> </w:t>
      </w:r>
      <w:r w:rsidR="00597017" w:rsidRPr="006632F7">
        <w:rPr>
          <w:rFonts w:ascii="Times New Roman" w:hAnsi="Times New Roman"/>
        </w:rPr>
        <w:t xml:space="preserve">in reasoning </w:t>
      </w:r>
      <w:r w:rsidR="00CC03BB" w:rsidRPr="006632F7">
        <w:rPr>
          <w:rFonts w:ascii="Times New Roman" w:hAnsi="Times New Roman"/>
        </w:rPr>
        <w:t>bet</w:t>
      </w:r>
      <w:r w:rsidR="00597017" w:rsidRPr="006632F7">
        <w:rPr>
          <w:rFonts w:ascii="Times New Roman" w:hAnsi="Times New Roman"/>
        </w:rPr>
        <w:t xml:space="preserve">ween the judgments in </w:t>
      </w:r>
      <w:r w:rsidR="00597017" w:rsidRPr="006632F7">
        <w:rPr>
          <w:rFonts w:ascii="Times New Roman" w:hAnsi="Times New Roman"/>
          <w:i/>
          <w:iCs/>
        </w:rPr>
        <w:t>SDCV</w:t>
      </w:r>
      <w:r w:rsidR="00597017" w:rsidRPr="006632F7">
        <w:rPr>
          <w:rFonts w:ascii="Times New Roman" w:hAnsi="Times New Roman"/>
        </w:rPr>
        <w:t xml:space="preserve"> concern only the </w:t>
      </w:r>
      <w:r w:rsidR="00397429" w:rsidRPr="006632F7">
        <w:rPr>
          <w:rFonts w:ascii="Times New Roman" w:hAnsi="Times New Roman"/>
        </w:rPr>
        <w:t xml:space="preserve">application of established principles to a single provision. </w:t>
      </w:r>
    </w:p>
    <w:p w14:paraId="6DA63662" w14:textId="53917C1E" w:rsidR="0058170D" w:rsidRPr="006632F7" w:rsidRDefault="002D4FBF" w:rsidP="006632F7">
      <w:pPr>
        <w:pStyle w:val="FixListStyle"/>
        <w:spacing w:after="260" w:line="280" w:lineRule="exact"/>
        <w:ind w:right="0"/>
        <w:jc w:val="both"/>
        <w:rPr>
          <w:rFonts w:ascii="Times New Roman" w:hAnsi="Times New Roman"/>
        </w:rPr>
      </w:pPr>
      <w:r w:rsidRPr="006632F7">
        <w:rPr>
          <w:rFonts w:ascii="Times New Roman" w:hAnsi="Times New Roman"/>
        </w:rPr>
        <w:tab/>
        <w:t xml:space="preserve">Sixth, </w:t>
      </w:r>
      <w:r w:rsidR="00D73896" w:rsidRPr="006632F7">
        <w:rPr>
          <w:rFonts w:ascii="Times New Roman" w:hAnsi="Times New Roman"/>
        </w:rPr>
        <w:t>it cannot be said that</w:t>
      </w:r>
      <w:r w:rsidR="001F2C0E" w:rsidRPr="006632F7">
        <w:rPr>
          <w:rFonts w:ascii="Times New Roman" w:hAnsi="Times New Roman"/>
        </w:rPr>
        <w:t xml:space="preserve"> that the practical consequences</w:t>
      </w:r>
      <w:r w:rsidR="009872C9" w:rsidRPr="006632F7">
        <w:rPr>
          <w:rFonts w:ascii="Times New Roman" w:hAnsi="Times New Roman"/>
        </w:rPr>
        <w:t xml:space="preserve"> of</w:t>
      </w:r>
      <w:r w:rsidR="00D73896" w:rsidRPr="006632F7">
        <w:rPr>
          <w:rFonts w:ascii="Times New Roman" w:hAnsi="Times New Roman"/>
        </w:rPr>
        <w:t xml:space="preserve"> </w:t>
      </w:r>
      <w:r w:rsidR="00AC6E6A" w:rsidRPr="006632F7">
        <w:rPr>
          <w:rFonts w:ascii="Times New Roman" w:hAnsi="Times New Roman"/>
          <w:i/>
          <w:iCs/>
        </w:rPr>
        <w:t>SDCV</w:t>
      </w:r>
      <w:r w:rsidR="00AC6E6A" w:rsidRPr="006632F7">
        <w:rPr>
          <w:rFonts w:ascii="Times New Roman" w:hAnsi="Times New Roman"/>
        </w:rPr>
        <w:t xml:space="preserve"> </w:t>
      </w:r>
      <w:r w:rsidR="009872C9" w:rsidRPr="006632F7">
        <w:rPr>
          <w:rFonts w:ascii="Times New Roman" w:hAnsi="Times New Roman"/>
        </w:rPr>
        <w:t xml:space="preserve">were not apparent to </w:t>
      </w:r>
      <w:r w:rsidR="000628ED" w:rsidRPr="006632F7">
        <w:rPr>
          <w:rFonts w:ascii="Times New Roman" w:hAnsi="Times New Roman"/>
        </w:rPr>
        <w:t xml:space="preserve">the majority in making the decision </w:t>
      </w:r>
      <w:r w:rsidR="004773AA" w:rsidRPr="006632F7">
        <w:rPr>
          <w:rFonts w:ascii="Times New Roman" w:hAnsi="Times New Roman"/>
        </w:rPr>
        <w:t>that was made</w:t>
      </w:r>
      <w:r w:rsidR="00AC6E6A" w:rsidRPr="006632F7">
        <w:rPr>
          <w:rFonts w:ascii="Times New Roman" w:hAnsi="Times New Roman"/>
        </w:rPr>
        <w:t xml:space="preserve">. </w:t>
      </w:r>
    </w:p>
    <w:p w14:paraId="6AC1BFFA" w14:textId="456769FA" w:rsidR="00235D86" w:rsidRPr="006632F7" w:rsidRDefault="00235D86" w:rsidP="006632F7">
      <w:pPr>
        <w:pStyle w:val="HeadingL1"/>
        <w:spacing w:after="260" w:line="280" w:lineRule="exact"/>
        <w:ind w:right="0"/>
        <w:jc w:val="both"/>
        <w:rPr>
          <w:rFonts w:ascii="Times New Roman" w:hAnsi="Times New Roman"/>
        </w:rPr>
      </w:pPr>
      <w:r w:rsidRPr="006632F7">
        <w:rPr>
          <w:rFonts w:ascii="Times New Roman" w:hAnsi="Times New Roman"/>
        </w:rPr>
        <w:t>Conclusions and orders</w:t>
      </w:r>
    </w:p>
    <w:p w14:paraId="548ACD05" w14:textId="30905EEF" w:rsidR="004F393D" w:rsidRPr="006632F7" w:rsidRDefault="00235D86" w:rsidP="006632F7">
      <w:pPr>
        <w:pStyle w:val="FixListStyle"/>
        <w:spacing w:after="260" w:line="280" w:lineRule="exact"/>
        <w:ind w:right="0"/>
        <w:jc w:val="both"/>
        <w:rPr>
          <w:rFonts w:ascii="Times New Roman" w:hAnsi="Times New Roman"/>
        </w:rPr>
      </w:pPr>
      <w:r w:rsidRPr="006632F7">
        <w:rPr>
          <w:rFonts w:ascii="Times New Roman" w:hAnsi="Times New Roman"/>
        </w:rPr>
        <w:tab/>
      </w:r>
      <w:r w:rsidRPr="006632F7">
        <w:rPr>
          <w:rFonts w:ascii="Times New Roman" w:hAnsi="Times New Roman"/>
          <w:i/>
          <w:iCs/>
        </w:rPr>
        <w:t>SDCV</w:t>
      </w:r>
      <w:r w:rsidRPr="006632F7">
        <w:rPr>
          <w:rFonts w:ascii="Times New Roman" w:hAnsi="Times New Roman"/>
        </w:rPr>
        <w:t xml:space="preserve"> is a complete answer to the plaintiff's claims in this case. Leave to re-open </w:t>
      </w:r>
      <w:r w:rsidRPr="006632F7">
        <w:rPr>
          <w:rFonts w:ascii="Times New Roman" w:hAnsi="Times New Roman"/>
          <w:i/>
          <w:iCs/>
        </w:rPr>
        <w:t>SDCV</w:t>
      </w:r>
      <w:r w:rsidRPr="006632F7">
        <w:rPr>
          <w:rFonts w:ascii="Times New Roman" w:hAnsi="Times New Roman"/>
        </w:rPr>
        <w:t xml:space="preserve"> should not be granted.</w:t>
      </w:r>
    </w:p>
    <w:p w14:paraId="2AF3E32A" w14:textId="7F11C8EC" w:rsidR="001C240B" w:rsidRPr="006632F7" w:rsidRDefault="00D71270" w:rsidP="006632F7">
      <w:pPr>
        <w:pStyle w:val="FixListStyle"/>
        <w:spacing w:after="260" w:line="280" w:lineRule="exact"/>
        <w:ind w:right="0"/>
        <w:jc w:val="both"/>
        <w:rPr>
          <w:rFonts w:ascii="Times New Roman" w:hAnsi="Times New Roman"/>
        </w:rPr>
      </w:pPr>
      <w:r w:rsidRPr="006632F7">
        <w:rPr>
          <w:rFonts w:ascii="Times New Roman" w:hAnsi="Times New Roman"/>
        </w:rPr>
        <w:tab/>
      </w:r>
      <w:r w:rsidR="001C240B" w:rsidRPr="006632F7">
        <w:rPr>
          <w:rFonts w:ascii="Times New Roman" w:hAnsi="Times New Roman"/>
        </w:rPr>
        <w:t>The questions in the special case should therefore be answered:</w:t>
      </w:r>
    </w:p>
    <w:p w14:paraId="695E96ED" w14:textId="403F665D" w:rsidR="001C240B" w:rsidRPr="006632F7" w:rsidRDefault="001C240B" w:rsidP="006632F7">
      <w:pPr>
        <w:pStyle w:val="leftright"/>
        <w:spacing w:before="0" w:after="260" w:line="280" w:lineRule="exact"/>
        <w:ind w:left="1440" w:right="0" w:hanging="720"/>
        <w:jc w:val="both"/>
        <w:rPr>
          <w:rFonts w:ascii="Times New Roman" w:hAnsi="Times New Roman"/>
        </w:rPr>
      </w:pPr>
      <w:r w:rsidRPr="006632F7">
        <w:rPr>
          <w:rFonts w:ascii="Times New Roman" w:hAnsi="Times New Roman"/>
        </w:rPr>
        <w:t>(1)</w:t>
      </w:r>
      <w:r w:rsidR="008639C9" w:rsidRPr="006632F7">
        <w:rPr>
          <w:rFonts w:ascii="Times New Roman" w:hAnsi="Times New Roman"/>
        </w:rPr>
        <w:tab/>
      </w:r>
      <w:r w:rsidRPr="006632F7">
        <w:rPr>
          <w:rFonts w:ascii="Times New Roman" w:hAnsi="Times New Roman"/>
        </w:rPr>
        <w:t>Is s</w:t>
      </w:r>
      <w:r w:rsidR="00035E2E" w:rsidRPr="006632F7">
        <w:rPr>
          <w:rFonts w:ascii="Times New Roman" w:hAnsi="Times New Roman"/>
        </w:rPr>
        <w:t xml:space="preserve"> </w:t>
      </w:r>
      <w:r w:rsidRPr="006632F7">
        <w:rPr>
          <w:rFonts w:ascii="Times New Roman" w:hAnsi="Times New Roman"/>
        </w:rPr>
        <w:t xml:space="preserve">46(2) of the AAT Act invalid on the basis that it infringes Ch III of the </w:t>
      </w:r>
      <w:r w:rsidRPr="006632F7">
        <w:rPr>
          <w:rFonts w:ascii="Times New Roman" w:hAnsi="Times New Roman"/>
          <w:i/>
          <w:iCs/>
        </w:rPr>
        <w:t>Constitution</w:t>
      </w:r>
      <w:r w:rsidRPr="006632F7">
        <w:rPr>
          <w:rFonts w:ascii="Times New Roman" w:hAnsi="Times New Roman"/>
        </w:rPr>
        <w:t>?</w:t>
      </w:r>
    </w:p>
    <w:p w14:paraId="6CD0E5AD" w14:textId="58E75487" w:rsidR="001C240B" w:rsidRPr="006632F7" w:rsidRDefault="008639C9" w:rsidP="006632F7">
      <w:pPr>
        <w:pStyle w:val="leftright"/>
        <w:spacing w:before="0" w:after="260" w:line="280" w:lineRule="exact"/>
        <w:ind w:right="0"/>
        <w:jc w:val="both"/>
        <w:rPr>
          <w:rFonts w:ascii="Times New Roman" w:hAnsi="Times New Roman"/>
          <w:i/>
          <w:iCs/>
        </w:rPr>
      </w:pPr>
      <w:r w:rsidRPr="006632F7">
        <w:rPr>
          <w:rFonts w:ascii="Times New Roman" w:hAnsi="Times New Roman"/>
          <w:i/>
          <w:iCs/>
        </w:rPr>
        <w:tab/>
      </w:r>
      <w:r w:rsidR="001C240B" w:rsidRPr="006632F7">
        <w:rPr>
          <w:rFonts w:ascii="Times New Roman" w:hAnsi="Times New Roman"/>
          <w:i/>
          <w:iCs/>
        </w:rPr>
        <w:t>Answer: No.</w:t>
      </w:r>
    </w:p>
    <w:p w14:paraId="2508070D" w14:textId="59728883" w:rsidR="001C240B" w:rsidRPr="006632F7" w:rsidRDefault="001C240B" w:rsidP="006632F7">
      <w:pPr>
        <w:pStyle w:val="leftright"/>
        <w:spacing w:before="0" w:after="260" w:line="280" w:lineRule="exact"/>
        <w:ind w:left="1440" w:right="0" w:hanging="720"/>
        <w:jc w:val="both"/>
        <w:rPr>
          <w:rFonts w:ascii="Times New Roman" w:hAnsi="Times New Roman"/>
        </w:rPr>
      </w:pPr>
      <w:r w:rsidRPr="006632F7">
        <w:rPr>
          <w:rFonts w:ascii="Times New Roman" w:hAnsi="Times New Roman"/>
        </w:rPr>
        <w:t xml:space="preserve">(2) </w:t>
      </w:r>
      <w:r w:rsidR="008639C9" w:rsidRPr="006632F7">
        <w:rPr>
          <w:rFonts w:ascii="Times New Roman" w:hAnsi="Times New Roman"/>
        </w:rPr>
        <w:tab/>
      </w:r>
      <w:r w:rsidRPr="006632F7">
        <w:rPr>
          <w:rFonts w:ascii="Times New Roman" w:hAnsi="Times New Roman"/>
        </w:rPr>
        <w:t>Who should pay the costs of the Special Case and of the proceeding?</w:t>
      </w:r>
    </w:p>
    <w:p w14:paraId="1AE4CA7C" w14:textId="77777777" w:rsidR="006632F7" w:rsidRDefault="008639C9" w:rsidP="006632F7">
      <w:pPr>
        <w:pStyle w:val="leftright"/>
        <w:spacing w:before="0" w:after="260" w:line="280" w:lineRule="exact"/>
        <w:ind w:right="0"/>
        <w:jc w:val="both"/>
        <w:rPr>
          <w:rFonts w:ascii="Times New Roman" w:hAnsi="Times New Roman"/>
          <w:i/>
          <w:iCs/>
        </w:rPr>
      </w:pPr>
      <w:r w:rsidRPr="006632F7">
        <w:rPr>
          <w:rFonts w:ascii="Times New Roman" w:hAnsi="Times New Roman"/>
          <w:i/>
          <w:iCs/>
        </w:rPr>
        <w:tab/>
      </w:r>
      <w:r w:rsidR="001C240B" w:rsidRPr="006632F7">
        <w:rPr>
          <w:rFonts w:ascii="Times New Roman" w:hAnsi="Times New Roman"/>
          <w:i/>
          <w:iCs/>
        </w:rPr>
        <w:t>Answer: The plaintiff.</w:t>
      </w:r>
    </w:p>
    <w:p w14:paraId="71459B4B" w14:textId="77777777" w:rsidR="007359C1" w:rsidRDefault="007359C1" w:rsidP="00C40F39">
      <w:pPr>
        <w:pStyle w:val="FixListStyle"/>
        <w:numPr>
          <w:ilvl w:val="0"/>
          <w:numId w:val="0"/>
        </w:numPr>
        <w:spacing w:after="260" w:line="280" w:lineRule="exact"/>
        <w:ind w:right="0"/>
        <w:jc w:val="both"/>
        <w:rPr>
          <w:rFonts w:ascii="Times New Roman" w:hAnsi="Times New Roman"/>
        </w:rPr>
      </w:pPr>
    </w:p>
    <w:p w14:paraId="01AE84F2" w14:textId="77777777" w:rsidR="007359C1" w:rsidRDefault="007359C1" w:rsidP="00C40F39">
      <w:pPr>
        <w:pStyle w:val="FixListStyle"/>
        <w:numPr>
          <w:ilvl w:val="0"/>
          <w:numId w:val="0"/>
        </w:numPr>
        <w:spacing w:after="260" w:line="280" w:lineRule="exact"/>
        <w:ind w:right="0"/>
        <w:jc w:val="both"/>
        <w:rPr>
          <w:rFonts w:ascii="Times New Roman" w:hAnsi="Times New Roman"/>
        </w:rPr>
        <w:sectPr w:rsidR="007359C1" w:rsidSect="00C7596E">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5487849D" w14:textId="77777777" w:rsidR="007359C1" w:rsidRPr="000935F0" w:rsidRDefault="007359C1" w:rsidP="000935F0">
      <w:pPr>
        <w:pStyle w:val="NormalBody"/>
        <w:tabs>
          <w:tab w:val="clear" w:pos="720"/>
          <w:tab w:val="left" w:pos="0"/>
        </w:tabs>
        <w:spacing w:after="260" w:line="280" w:lineRule="exact"/>
        <w:ind w:right="0"/>
        <w:jc w:val="both"/>
        <w:rPr>
          <w:rFonts w:ascii="Times New Roman" w:hAnsi="Times New Roman"/>
        </w:rPr>
      </w:pPr>
      <w:r w:rsidRPr="000935F0">
        <w:rPr>
          <w:rFonts w:ascii="Times New Roman" w:hAnsi="Times New Roman"/>
        </w:rPr>
        <w:lastRenderedPageBreak/>
        <w:t xml:space="preserve">EDELMAN J.   </w:t>
      </w:r>
    </w:p>
    <w:p w14:paraId="6DF74DE7" w14:textId="77777777" w:rsidR="007359C1" w:rsidRPr="000935F0" w:rsidRDefault="007359C1" w:rsidP="000935F0">
      <w:pPr>
        <w:pStyle w:val="HeadingL1"/>
        <w:spacing w:after="260" w:line="280" w:lineRule="exact"/>
        <w:ind w:right="0"/>
        <w:jc w:val="both"/>
        <w:rPr>
          <w:rFonts w:ascii="Times New Roman" w:hAnsi="Times New Roman"/>
        </w:rPr>
      </w:pPr>
      <w:r w:rsidRPr="000935F0">
        <w:rPr>
          <w:rFonts w:ascii="Times New Roman" w:hAnsi="Times New Roman"/>
        </w:rPr>
        <w:t xml:space="preserve">Precedent and integrity in application of the decision in </w:t>
      </w:r>
      <w:r w:rsidRPr="000935F0">
        <w:rPr>
          <w:rFonts w:ascii="Times New Roman" w:hAnsi="Times New Roman"/>
          <w:i/>
          <w:iCs/>
        </w:rPr>
        <w:t>SDCV</w:t>
      </w:r>
    </w:p>
    <w:p w14:paraId="43749313"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 xml:space="preserve">In </w:t>
      </w:r>
      <w:r w:rsidRPr="000935F0">
        <w:rPr>
          <w:rFonts w:ascii="Times New Roman" w:hAnsi="Times New Roman"/>
          <w:i/>
          <w:iCs/>
        </w:rPr>
        <w:t>SDCV v Director-General of Security</w:t>
      </w:r>
      <w:r w:rsidRPr="000935F0">
        <w:rPr>
          <w:rFonts w:ascii="Times New Roman" w:hAnsi="Times New Roman"/>
        </w:rPr>
        <w:t>,</w:t>
      </w:r>
      <w:r w:rsidRPr="000935F0">
        <w:rPr>
          <w:rStyle w:val="FootnoteReference"/>
          <w:rFonts w:ascii="Times New Roman" w:hAnsi="Times New Roman"/>
          <w:sz w:val="24"/>
        </w:rPr>
        <w:footnoteReference w:id="39"/>
      </w:r>
      <w:r w:rsidRPr="000935F0">
        <w:rPr>
          <w:rFonts w:ascii="Times New Roman" w:hAnsi="Times New Roman"/>
        </w:rPr>
        <w:t xml:space="preserve"> this Court considered the effect of s 46(2) of the </w:t>
      </w:r>
      <w:r w:rsidRPr="000935F0">
        <w:rPr>
          <w:rFonts w:ascii="Times New Roman" w:hAnsi="Times New Roman"/>
          <w:i/>
          <w:iCs/>
        </w:rPr>
        <w:t xml:space="preserve">Administrative Appeals Tribunal Act 1975 </w:t>
      </w:r>
      <w:r w:rsidRPr="000935F0">
        <w:rPr>
          <w:rFonts w:ascii="Times New Roman" w:hAnsi="Times New Roman"/>
        </w:rPr>
        <w:t>(Cth) ("the AAT Act") in circumstances where, on character grounds,</w:t>
      </w:r>
      <w:r w:rsidRPr="000935F0">
        <w:rPr>
          <w:rStyle w:val="FootnoteReference"/>
          <w:rFonts w:ascii="Times New Roman" w:hAnsi="Times New Roman"/>
          <w:sz w:val="24"/>
        </w:rPr>
        <w:footnoteReference w:id="40"/>
      </w:r>
      <w:r w:rsidRPr="000935F0">
        <w:rPr>
          <w:rFonts w:ascii="Times New Roman" w:hAnsi="Times New Roman"/>
        </w:rPr>
        <w:t xml:space="preserve"> the (then) Administrative Appeals Tribunal ("the Tribunal") had upheld an adverse security assessment decision, which led to SDCV being stripped of his liberty to remain in Australia. The adverse security assessment decision had been made, and consequentially SDCV's visa cancelled, essentially for reasons which he was not given, based upon allegations about which he was not told and evidence which he did not see. </w:t>
      </w:r>
    </w:p>
    <w:p w14:paraId="6A3B18FD"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 xml:space="preserve">On SDCV's application to the Federal Court of Australia under s 44 of the AAT Act asserting an error of law, documents containing matter certified by the Minister ("the ASIO Minister") administering the </w:t>
      </w:r>
      <w:r w:rsidRPr="000935F0">
        <w:rPr>
          <w:rFonts w:ascii="Times New Roman" w:hAnsi="Times New Roman"/>
          <w:i/>
          <w:iCs/>
        </w:rPr>
        <w:t xml:space="preserve">Australian Security Intelligence Organisation Act 1979 </w:t>
      </w:r>
      <w:r w:rsidRPr="000935F0">
        <w:rPr>
          <w:rFonts w:ascii="Times New Roman" w:hAnsi="Times New Roman"/>
        </w:rPr>
        <w:t>(Cth) ("the ASIO Act") were transmitted to the Federal Court from the Tribunal under s 46(1) of the AAT Act. The Federal Court, exercising original jurisdiction, was required by s 46(2) of the AAT Act to "do all things necessary to ensure that the [certified] matter is not disclosed to any person other than a member of the court as constituted for the purposes of the proceeding". Due to certification by the ASIO Minister,</w:t>
      </w:r>
      <w:r w:rsidRPr="000935F0">
        <w:rPr>
          <w:rStyle w:val="FootnoteReference"/>
          <w:rFonts w:ascii="Times New Roman" w:hAnsi="Times New Roman"/>
          <w:sz w:val="24"/>
        </w:rPr>
        <w:footnoteReference w:id="41"/>
      </w:r>
      <w:r w:rsidRPr="000935F0">
        <w:rPr>
          <w:rFonts w:ascii="Times New Roman" w:hAnsi="Times New Roman"/>
        </w:rPr>
        <w:t xml:space="preserve"> the Federal Court followed the requirement of s 46(2) and had regard to the documents and the "closed" part of the reasons of the Tribunal, documents and reasons that SDCV and his legal representatives had not </w:t>
      </w:r>
      <w:proofErr w:type="gramStart"/>
      <w:r w:rsidRPr="000935F0">
        <w:rPr>
          <w:rFonts w:ascii="Times New Roman" w:hAnsi="Times New Roman"/>
        </w:rPr>
        <w:t>seen</w:t>
      </w:r>
      <w:proofErr w:type="gramEnd"/>
      <w:r w:rsidRPr="000935F0">
        <w:rPr>
          <w:rFonts w:ascii="Times New Roman" w:hAnsi="Times New Roman"/>
        </w:rPr>
        <w:t xml:space="preserve"> and which contained allegations and evidence about which SDCV and his legal representatives had not been told. </w:t>
      </w:r>
      <w:proofErr w:type="gramStart"/>
      <w:r w:rsidRPr="000935F0">
        <w:rPr>
          <w:rFonts w:ascii="Times New Roman" w:hAnsi="Times New Roman"/>
        </w:rPr>
        <w:t>A majority of</w:t>
      </w:r>
      <w:proofErr w:type="gramEnd"/>
      <w:r w:rsidRPr="000935F0">
        <w:rPr>
          <w:rFonts w:ascii="Times New Roman" w:hAnsi="Times New Roman"/>
        </w:rPr>
        <w:t xml:space="preserve"> this Court held that there was no practical injustice in this procedure. </w:t>
      </w:r>
    </w:p>
    <w:p w14:paraId="783AA0FC"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 xml:space="preserve">The narrowest, and with respect most principled, approach taken in the majority in this Court in </w:t>
      </w:r>
      <w:r w:rsidRPr="000935F0">
        <w:rPr>
          <w:rFonts w:ascii="Times New Roman" w:hAnsi="Times New Roman"/>
          <w:i/>
          <w:iCs/>
        </w:rPr>
        <w:t>SDCV</w:t>
      </w:r>
      <w:r w:rsidRPr="000935F0">
        <w:rPr>
          <w:rFonts w:ascii="Times New Roman" w:hAnsi="Times New Roman"/>
        </w:rPr>
        <w:t xml:space="preserve"> was that of Steward J. As explained in detail below, Steward J differed in his approach in significant respects from the other three members of the majority (Kiefel CJ, Keane and Gleeson JJ) because he recognised that, in some circumstances, practical injustice could arise from the operation of a provision that denied procedural fairness to an applicant even if the applicant had other, potentially less beneficial, routes of review. But Steward J considered that s 46(2) did not cause practical injustice because it was a beneficial provision within a scheme that provided for the possibility of amelioration of the denial of procedural fairness, albeit in ways not accepted by the plurality. </w:t>
      </w:r>
    </w:p>
    <w:p w14:paraId="7C3EE625"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lastRenderedPageBreak/>
        <w:tab/>
        <w:t xml:space="preserve">At a high level of generality, it is possible to identify a ratio decidendi in </w:t>
      </w:r>
      <w:r w:rsidRPr="000935F0">
        <w:rPr>
          <w:rFonts w:ascii="Times New Roman" w:hAnsi="Times New Roman"/>
          <w:i/>
          <w:iCs/>
        </w:rPr>
        <w:t>SDCV</w:t>
      </w:r>
      <w:r w:rsidRPr="000935F0">
        <w:rPr>
          <w:rFonts w:ascii="Times New Roman" w:hAnsi="Times New Roman"/>
        </w:rPr>
        <w:t xml:space="preserve">. That ratio decidendi is capable of strong justification. But at low levels of generality, important to the procedure to be applied by </w:t>
      </w:r>
      <w:r w:rsidRPr="000935F0" w:rsidDel="00EE31EB">
        <w:rPr>
          <w:rFonts w:ascii="Times New Roman" w:hAnsi="Times New Roman"/>
        </w:rPr>
        <w:t>lower courts</w:t>
      </w:r>
      <w:r w:rsidRPr="000935F0">
        <w:rPr>
          <w:rFonts w:ascii="Times New Roman" w:hAnsi="Times New Roman"/>
        </w:rPr>
        <w:t xml:space="preserve"> when certified documents are transmitted to a court under s 46(1), the decision in </w:t>
      </w:r>
      <w:r w:rsidRPr="000935F0">
        <w:rPr>
          <w:rFonts w:ascii="Times New Roman" w:hAnsi="Times New Roman"/>
          <w:i/>
          <w:iCs/>
        </w:rPr>
        <w:t xml:space="preserve">SDCV </w:t>
      </w:r>
      <w:r w:rsidRPr="000935F0">
        <w:rPr>
          <w:rFonts w:ascii="Times New Roman" w:hAnsi="Times New Roman"/>
        </w:rPr>
        <w:t xml:space="preserve">has no ratio decidendi. In many cases, this might be a powerful reason to re-open a decision, even if only to re-explain the result in a way that would provide clarity and guidance for lower courts. Initially I was strongly inclined to do so if clear guidance could be provided. Ultimately, however, a clear restatement by this Court of the ratio decidendi of </w:t>
      </w:r>
      <w:r w:rsidRPr="000935F0">
        <w:rPr>
          <w:rFonts w:ascii="Times New Roman" w:hAnsi="Times New Roman"/>
          <w:i/>
          <w:iCs/>
        </w:rPr>
        <w:t xml:space="preserve">SDCV </w:t>
      </w:r>
      <w:r w:rsidRPr="000935F0">
        <w:rPr>
          <w:rFonts w:ascii="Times New Roman" w:hAnsi="Times New Roman"/>
        </w:rPr>
        <w:t>will have to await another case.</w:t>
      </w:r>
    </w:p>
    <w:p w14:paraId="14100A5D"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 xml:space="preserve">The answer to the principal question in this special case is that s 46(2) of the AAT Act is not invalid on the basis that it infringes Ch III of the </w:t>
      </w:r>
      <w:r w:rsidRPr="000935F0">
        <w:rPr>
          <w:rFonts w:ascii="Times New Roman" w:hAnsi="Times New Roman"/>
          <w:i/>
        </w:rPr>
        <w:t>Constitution</w:t>
      </w:r>
      <w:r w:rsidRPr="000935F0">
        <w:rPr>
          <w:rFonts w:ascii="Times New Roman" w:hAnsi="Times New Roman"/>
        </w:rPr>
        <w:t xml:space="preserve">. The creation of principles for the application of that provision at lower levels of generality will be left, for the time being, for development by lower courts.  </w:t>
      </w:r>
    </w:p>
    <w:p w14:paraId="466A3B12" w14:textId="77777777" w:rsidR="007359C1" w:rsidRPr="000935F0" w:rsidRDefault="007359C1" w:rsidP="000935F0">
      <w:pPr>
        <w:pStyle w:val="HeadingL1"/>
        <w:spacing w:after="260" w:line="280" w:lineRule="exact"/>
        <w:ind w:right="0"/>
        <w:jc w:val="both"/>
        <w:rPr>
          <w:rFonts w:ascii="Times New Roman" w:hAnsi="Times New Roman"/>
        </w:rPr>
      </w:pPr>
      <w:r w:rsidRPr="000935F0">
        <w:rPr>
          <w:rFonts w:ascii="Times New Roman" w:hAnsi="Times New Roman"/>
        </w:rPr>
        <w:t>How this issue arises in this special case</w:t>
      </w:r>
    </w:p>
    <w:p w14:paraId="7468FE99"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 xml:space="preserve">Unlike the individual appellant in </w:t>
      </w:r>
      <w:r w:rsidRPr="000935F0">
        <w:rPr>
          <w:rFonts w:ascii="Times New Roman" w:hAnsi="Times New Roman"/>
          <w:i/>
          <w:iCs/>
        </w:rPr>
        <w:t>SDCV</w:t>
      </w:r>
      <w:r w:rsidRPr="000935F0">
        <w:rPr>
          <w:rFonts w:ascii="Times New Roman" w:hAnsi="Times New Roman"/>
        </w:rPr>
        <w:t xml:space="preserve">, the plaintiff in this special case is a corporation providing a carriage service pursuant to the </w:t>
      </w:r>
      <w:r w:rsidRPr="000935F0">
        <w:rPr>
          <w:rFonts w:ascii="Times New Roman" w:hAnsi="Times New Roman"/>
          <w:i/>
          <w:iCs/>
        </w:rPr>
        <w:t>Telecommunications Act 1997</w:t>
      </w:r>
      <w:r w:rsidRPr="000935F0">
        <w:rPr>
          <w:rFonts w:ascii="Times New Roman" w:hAnsi="Times New Roman"/>
        </w:rPr>
        <w:t xml:space="preserve"> (Cth). Following an adverse security assessment by the Director-General of Security in connection with s 315A of the </w:t>
      </w:r>
      <w:r w:rsidRPr="000935F0">
        <w:rPr>
          <w:rFonts w:ascii="Times New Roman" w:hAnsi="Times New Roman"/>
          <w:i/>
          <w:iCs/>
        </w:rPr>
        <w:t>Telecommunications Act</w:t>
      </w:r>
      <w:r w:rsidRPr="000935F0">
        <w:rPr>
          <w:rFonts w:ascii="Times New Roman" w:hAnsi="Times New Roman"/>
        </w:rPr>
        <w:t xml:space="preserve">, the Minister for Home Affairs, being the ASIO Minister, certified under s 38A(3) of the ASIO Act that she was satisfied that the disclosure of certain information to the plaintiff, or its directors or its employees, would be prejudicial to the interests of security. The plaintiff was given a notice of the adverse security assessment and a statement of grounds. </w:t>
      </w:r>
    </w:p>
    <w:p w14:paraId="7AFC2459"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The plaintiff applied under s 54(1) of the ASIO Act for a review by the Tribunal of the adverse security assessment. Prior to the hearing by the Tribunal of the plaintiff's application, the ASIO Minister partially revoked the certificate issued under s 38</w:t>
      </w:r>
      <w:proofErr w:type="gramStart"/>
      <w:r w:rsidRPr="000935F0">
        <w:rPr>
          <w:rFonts w:ascii="Times New Roman" w:hAnsi="Times New Roman"/>
        </w:rPr>
        <w:t>A(</w:t>
      </w:r>
      <w:proofErr w:type="gramEnd"/>
      <w:r w:rsidRPr="000935F0">
        <w:rPr>
          <w:rFonts w:ascii="Times New Roman" w:hAnsi="Times New Roman"/>
        </w:rPr>
        <w:t>3) of the ASIO Act, permitting partial disclosure of information in the statement of grounds not previously disclosed due to the certificate. The plaintiff was provided with a revised unclassified statement of grounds.</w:t>
      </w:r>
    </w:p>
    <w:p w14:paraId="360B5269"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 xml:space="preserve">The plaintiff's hearing before the Tribunal was heavily constrained. This was because, prior to the hearing, the ASIO Minister issued three certificates under ss 39A and 39B of the AAT Act. The first certificate certified that the disclosure, including by way of evidence or submissions, of the information and contents of specified documents, and other specified information, would be contrary to the public interest because it would prejudice the security of Australia within ss 39A(8) and 39B(2)(a) of the AAT Act and, in relation to two of those documents, involve the disclosure of deliberations or decisions of the Cabinet within s 39B(2)(b) of the AAT Act. The second and third certificates certified that the disclosure, including by way of evidence or submissions, of the information and contents of specified documents, and other specified information, would be </w:t>
      </w:r>
      <w:r w:rsidRPr="000935F0">
        <w:rPr>
          <w:rFonts w:ascii="Times New Roman" w:hAnsi="Times New Roman"/>
        </w:rPr>
        <w:lastRenderedPageBreak/>
        <w:t>contrary to the public interest because it would prejudice the security of Australia within ss 39</w:t>
      </w:r>
      <w:proofErr w:type="gramStart"/>
      <w:r w:rsidRPr="000935F0">
        <w:rPr>
          <w:rFonts w:ascii="Times New Roman" w:hAnsi="Times New Roman"/>
        </w:rPr>
        <w:t>A(</w:t>
      </w:r>
      <w:proofErr w:type="gramEnd"/>
      <w:r w:rsidRPr="000935F0">
        <w:rPr>
          <w:rFonts w:ascii="Times New Roman" w:hAnsi="Times New Roman"/>
        </w:rPr>
        <w:t xml:space="preserve">8) and 39B(2)(a) of the AAT Act. </w:t>
      </w:r>
    </w:p>
    <w:p w14:paraId="6B654528"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Under s 39</w:t>
      </w:r>
      <w:proofErr w:type="gramStart"/>
      <w:r w:rsidRPr="000935F0">
        <w:rPr>
          <w:rFonts w:ascii="Times New Roman" w:hAnsi="Times New Roman"/>
        </w:rPr>
        <w:t>A(</w:t>
      </w:r>
      <w:proofErr w:type="gramEnd"/>
      <w:r w:rsidRPr="000935F0">
        <w:rPr>
          <w:rFonts w:ascii="Times New Roman" w:hAnsi="Times New Roman"/>
        </w:rPr>
        <w:t>9) of the AAT Act, the Minister did not consent to the plaintiff or its representatives being present when that evidence was adduced or those submissions made. After a four-day hearing, at which the certified information and documents were not disclosed to the plaintiff or its legal representatives, the Tribunal decided to affirm the decision under review pursuant to s 43(1) of the AAT Act. The Tribunal provided "open" reasons to the plaintiff and the Director-General of Security and "closed" reasons only to the Director-General, pursuant to s 43</w:t>
      </w:r>
      <w:proofErr w:type="gramStart"/>
      <w:r w:rsidRPr="000935F0">
        <w:rPr>
          <w:rFonts w:ascii="Times New Roman" w:hAnsi="Times New Roman"/>
        </w:rPr>
        <w:t>AAA(</w:t>
      </w:r>
      <w:proofErr w:type="gramEnd"/>
      <w:r w:rsidRPr="000935F0">
        <w:rPr>
          <w:rFonts w:ascii="Times New Roman" w:hAnsi="Times New Roman"/>
        </w:rPr>
        <w:t>5) of the AAT Act.</w:t>
      </w:r>
    </w:p>
    <w:p w14:paraId="271B0685"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The plaintiff brought a proceeding under s 44(1) of the AAT Act in the Federal Court of Australia alleging error of law in the decision of the Tribunal. In this special case, the plaintiff challenges the validity of s 46(2) of the AAT Act which precludes the disclosure by the Federal Court to the plaintiff, or its legal representatives, of the certified matter.</w:t>
      </w:r>
    </w:p>
    <w:p w14:paraId="52D5E0E0"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 xml:space="preserve">The issue that arises in this proceeding is, therefore, as the Commonwealth submits, the "precise issue" that was considered in </w:t>
      </w:r>
      <w:r w:rsidRPr="000935F0">
        <w:rPr>
          <w:rFonts w:ascii="Times New Roman" w:hAnsi="Times New Roman"/>
          <w:i/>
          <w:iCs/>
        </w:rPr>
        <w:t>SDCV</w:t>
      </w:r>
      <w:r w:rsidRPr="000935F0">
        <w:rPr>
          <w:rFonts w:ascii="Times New Roman" w:hAnsi="Times New Roman"/>
        </w:rPr>
        <w:t xml:space="preserve">. </w:t>
      </w:r>
    </w:p>
    <w:p w14:paraId="7220D2EE" w14:textId="77777777" w:rsidR="007359C1" w:rsidRPr="000935F0" w:rsidRDefault="007359C1" w:rsidP="000935F0">
      <w:pPr>
        <w:pStyle w:val="HeadingL1"/>
        <w:spacing w:after="260" w:line="280" w:lineRule="exact"/>
        <w:ind w:right="0"/>
        <w:jc w:val="both"/>
        <w:rPr>
          <w:rFonts w:ascii="Times New Roman" w:hAnsi="Times New Roman"/>
        </w:rPr>
      </w:pPr>
      <w:r w:rsidRPr="000935F0">
        <w:rPr>
          <w:rFonts w:ascii="Times New Roman" w:hAnsi="Times New Roman"/>
        </w:rPr>
        <w:t>The ratio decidendi of a decision</w:t>
      </w:r>
    </w:p>
    <w:p w14:paraId="7048E154"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r>
      <w:r w:rsidRPr="000935F0">
        <w:rPr>
          <w:rFonts w:ascii="Times New Roman" w:hAnsi="Times New Roman"/>
          <w:iCs/>
        </w:rPr>
        <w:t xml:space="preserve">Courts at lower levels of the judicial </w:t>
      </w:r>
      <w:r w:rsidRPr="000935F0">
        <w:rPr>
          <w:rFonts w:ascii="Times New Roman" w:hAnsi="Times New Roman"/>
        </w:rPr>
        <w:t>hierarchy</w:t>
      </w:r>
      <w:r w:rsidRPr="000935F0">
        <w:rPr>
          <w:rFonts w:ascii="Times New Roman" w:hAnsi="Times New Roman"/>
          <w:iCs/>
        </w:rPr>
        <w:t xml:space="preserve"> are generally bound by the rationes decidendi ("reasons for deciding") of a court at a higher level in the judicial </w:t>
      </w:r>
      <w:r w:rsidRPr="000935F0">
        <w:rPr>
          <w:rFonts w:ascii="Times New Roman" w:hAnsi="Times New Roman"/>
        </w:rPr>
        <w:t>hierarchy</w:t>
      </w:r>
      <w:r w:rsidRPr="000935F0">
        <w:rPr>
          <w:rFonts w:ascii="Times New Roman" w:hAnsi="Times New Roman"/>
          <w:iCs/>
        </w:rPr>
        <w:t>. As a general proposition, the rationes decidendi are the rules of law treated by the judge or judges as sufficient</w:t>
      </w:r>
      <w:r w:rsidRPr="000935F0">
        <w:rPr>
          <w:rStyle w:val="FootnoteReference"/>
          <w:rFonts w:ascii="Times New Roman" w:hAnsi="Times New Roman"/>
          <w:iCs/>
          <w:sz w:val="24"/>
        </w:rPr>
        <w:footnoteReference w:id="42"/>
      </w:r>
      <w:r w:rsidRPr="000935F0">
        <w:rPr>
          <w:rFonts w:ascii="Times New Roman" w:hAnsi="Times New Roman"/>
          <w:iCs/>
        </w:rPr>
        <w:t xml:space="preserve"> to support the orders made based on the material facts before the court.</w:t>
      </w:r>
      <w:r w:rsidRPr="000935F0">
        <w:rPr>
          <w:rStyle w:val="FootnoteReference"/>
          <w:rFonts w:ascii="Times New Roman" w:hAnsi="Times New Roman"/>
          <w:iCs/>
          <w:sz w:val="24"/>
        </w:rPr>
        <w:footnoteReference w:id="43"/>
      </w:r>
      <w:r w:rsidRPr="000935F0">
        <w:rPr>
          <w:rFonts w:ascii="Times New Roman" w:hAnsi="Times New Roman"/>
          <w:iCs/>
        </w:rPr>
        <w:t xml:space="preserve"> Since "in common law judicial reasoning a ratio is rarely spelled out explicitly" by the judge, the task for a later court in identifying the binding rules of law is to interpret what "the judge </w:t>
      </w:r>
      <w:r w:rsidRPr="000935F0">
        <w:rPr>
          <w:rFonts w:ascii="Times New Roman" w:hAnsi="Times New Roman"/>
          <w:i/>
          <w:iCs/>
        </w:rPr>
        <w:t xml:space="preserve">must logically </w:t>
      </w:r>
      <w:r w:rsidRPr="000935F0">
        <w:rPr>
          <w:rFonts w:ascii="Times New Roman" w:hAnsi="Times New Roman"/>
          <w:iCs/>
        </w:rPr>
        <w:t>have considered necessary or treated as material".</w:t>
      </w:r>
      <w:r w:rsidRPr="000935F0">
        <w:rPr>
          <w:rStyle w:val="FootnoteReference"/>
          <w:rFonts w:ascii="Times New Roman" w:hAnsi="Times New Roman"/>
          <w:iCs/>
          <w:sz w:val="24"/>
        </w:rPr>
        <w:footnoteReference w:id="44"/>
      </w:r>
      <w:r w:rsidRPr="000935F0">
        <w:rPr>
          <w:rFonts w:ascii="Times New Roman" w:hAnsi="Times New Roman"/>
        </w:rPr>
        <w:t xml:space="preserve"> Even in the rare case where a ratio decidendi is positively expressed by a judge, that statement is not conclusive. A later court might determine </w:t>
      </w:r>
      <w:r w:rsidRPr="000935F0">
        <w:rPr>
          <w:rFonts w:ascii="Times New Roman" w:hAnsi="Times New Roman"/>
          <w:iCs/>
        </w:rPr>
        <w:t xml:space="preserve">that it was expressed at the wrong level of generality: either too low or too high. Whether the subsequent restatement of the ratio </w:t>
      </w:r>
      <w:r w:rsidRPr="000935F0">
        <w:rPr>
          <w:rFonts w:ascii="Times New Roman" w:hAnsi="Times New Roman"/>
          <w:iCs/>
        </w:rPr>
        <w:lastRenderedPageBreak/>
        <w:t>decidendi should be described as the new ratio decidendi or, as McHugh J preferred,</w:t>
      </w:r>
      <w:r w:rsidRPr="000935F0">
        <w:rPr>
          <w:rStyle w:val="FootnoteReference"/>
          <w:rFonts w:ascii="Times New Roman" w:hAnsi="Times New Roman"/>
          <w:iCs/>
          <w:sz w:val="24"/>
        </w:rPr>
        <w:footnoteReference w:id="45"/>
      </w:r>
      <w:r w:rsidRPr="000935F0">
        <w:rPr>
          <w:rFonts w:ascii="Times New Roman" w:hAnsi="Times New Roman"/>
          <w:iCs/>
        </w:rPr>
        <w:t xml:space="preserve"> the new "rule of the case" is semantic.</w:t>
      </w:r>
    </w:p>
    <w:p w14:paraId="36F950DF"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iCs/>
        </w:rPr>
        <w:tab/>
        <w:t>Since material facts can be expressed at different levels of generality, so too can the rules of law based on those facts</w:t>
      </w:r>
      <w:r>
        <w:rPr>
          <w:rFonts w:ascii="Times New Roman" w:hAnsi="Times New Roman"/>
          <w:iCs/>
        </w:rPr>
        <w:t>:</w:t>
      </w:r>
      <w:r w:rsidRPr="000935F0">
        <w:rPr>
          <w:rStyle w:val="FootnoteReference"/>
          <w:rFonts w:ascii="Times New Roman" w:hAnsi="Times New Roman"/>
          <w:iCs/>
          <w:sz w:val="24"/>
        </w:rPr>
        <w:footnoteReference w:id="46"/>
      </w:r>
    </w:p>
    <w:p w14:paraId="15A05082" w14:textId="77777777" w:rsidR="007359C1" w:rsidRDefault="007359C1" w:rsidP="000935F0">
      <w:pPr>
        <w:pStyle w:val="LeftrightafterHC"/>
        <w:spacing w:before="0" w:after="260" w:line="280" w:lineRule="exact"/>
        <w:ind w:right="0"/>
        <w:jc w:val="both"/>
        <w:rPr>
          <w:rFonts w:ascii="Times New Roman" w:hAnsi="Times New Roman"/>
        </w:rPr>
      </w:pPr>
      <w:r w:rsidRPr="000935F0">
        <w:rPr>
          <w:rFonts w:ascii="Times New Roman" w:hAnsi="Times New Roman"/>
        </w:rPr>
        <w:t>"[</w:t>
      </w:r>
      <w:proofErr w:type="spellStart"/>
      <w:r w:rsidRPr="000935F0">
        <w:rPr>
          <w:rFonts w:ascii="Times New Roman" w:hAnsi="Times New Roman"/>
        </w:rPr>
        <w:t>i</w:t>
      </w:r>
      <w:proofErr w:type="spellEnd"/>
      <w:r w:rsidRPr="000935F0">
        <w:rPr>
          <w:rFonts w:ascii="Times New Roman" w:hAnsi="Times New Roman"/>
        </w:rPr>
        <w:t xml:space="preserve">]t might not have seemed sensible to confine the ratio of </w:t>
      </w:r>
      <w:r w:rsidRPr="000935F0">
        <w:rPr>
          <w:rFonts w:ascii="Times New Roman" w:hAnsi="Times New Roman"/>
          <w:i/>
        </w:rPr>
        <w:t xml:space="preserve">Donoghue v Stevenson </w:t>
      </w:r>
      <w:r w:rsidRPr="000935F0">
        <w:rPr>
          <w:rFonts w:ascii="Times New Roman" w:hAnsi="Times New Roman"/>
        </w:rPr>
        <w:t xml:space="preserve">(1932) to dead snails in ginger beer bottles; but it might have been sensible to confine it to deleterious foreign matter, undetectable before consumption, in articles of food or drink. In </w:t>
      </w:r>
      <w:proofErr w:type="gramStart"/>
      <w:r w:rsidRPr="000935F0">
        <w:rPr>
          <w:rFonts w:ascii="Times New Roman" w:hAnsi="Times New Roman"/>
        </w:rPr>
        <w:t>fact</w:t>
      </w:r>
      <w:proofErr w:type="gramEnd"/>
      <w:r w:rsidRPr="000935F0">
        <w:rPr>
          <w:rFonts w:ascii="Times New Roman" w:hAnsi="Times New Roman"/>
        </w:rPr>
        <w:t xml:space="preserve"> it has been understood much more broadly, as a general foundation for the law of negligence."</w:t>
      </w:r>
    </w:p>
    <w:p w14:paraId="423D485E" w14:textId="77777777" w:rsidR="007359C1" w:rsidRPr="000935F0" w:rsidRDefault="007359C1" w:rsidP="000935F0">
      <w:pPr>
        <w:pStyle w:val="NormalBody"/>
        <w:spacing w:after="260" w:line="280" w:lineRule="exact"/>
        <w:ind w:right="0"/>
        <w:jc w:val="both"/>
        <w:rPr>
          <w:rFonts w:ascii="Times New Roman" w:hAnsi="Times New Roman"/>
        </w:rPr>
      </w:pPr>
      <w:r w:rsidRPr="000935F0">
        <w:rPr>
          <w:rFonts w:ascii="Times New Roman" w:hAnsi="Times New Roman"/>
          <w:iCs/>
        </w:rPr>
        <w:t>In many cases, therefore, it would not merely be a "near</w:t>
      </w:r>
      <w:r w:rsidRPr="000935F0">
        <w:rPr>
          <w:rFonts w:ascii="Times New Roman" w:hAnsi="Times New Roman"/>
          <w:iCs/>
        </w:rPr>
        <w:noBreakHyphen/>
        <w:t>miracle" for judicial discourse to yield only one possible ratio decidendi: it would be "logically impossible".</w:t>
      </w:r>
      <w:r w:rsidRPr="000935F0">
        <w:rPr>
          <w:rStyle w:val="FootnoteReference"/>
          <w:rFonts w:ascii="Times New Roman" w:hAnsi="Times New Roman"/>
          <w:iCs/>
          <w:sz w:val="24"/>
        </w:rPr>
        <w:footnoteReference w:id="47"/>
      </w:r>
      <w:r w:rsidRPr="000935F0">
        <w:rPr>
          <w:rFonts w:ascii="Times New Roman" w:hAnsi="Times New Roman"/>
          <w:iCs/>
        </w:rPr>
        <w:t xml:space="preserve"> Different rationes decidendi can be identified depending upon the generality at which the relevant facts are identified.</w:t>
      </w:r>
      <w:r w:rsidRPr="000935F0">
        <w:rPr>
          <w:rStyle w:val="FootnoteReference"/>
          <w:rFonts w:ascii="Times New Roman" w:hAnsi="Times New Roman"/>
          <w:iCs/>
          <w:sz w:val="24"/>
        </w:rPr>
        <w:footnoteReference w:id="48"/>
      </w:r>
    </w:p>
    <w:p w14:paraId="440E2061"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iCs/>
        </w:rPr>
        <w:tab/>
        <w:t xml:space="preserve">A complication arises in the identification of a ratio decidendi of a decision of an appellate court which is composed of multiple judges who give separate judgments. On a narrow view, where a ratio decidendi is treated as the essential reasons that are common to </w:t>
      </w:r>
      <w:proofErr w:type="gramStart"/>
      <w:r w:rsidRPr="000935F0">
        <w:rPr>
          <w:rFonts w:ascii="Times New Roman" w:hAnsi="Times New Roman"/>
          <w:iCs/>
        </w:rPr>
        <w:t>a majority of</w:t>
      </w:r>
      <w:proofErr w:type="gramEnd"/>
      <w:r w:rsidRPr="000935F0">
        <w:rPr>
          <w:rFonts w:ascii="Times New Roman" w:hAnsi="Times New Roman"/>
          <w:iCs/>
        </w:rPr>
        <w:t xml:space="preserve"> the appellate judges, expressed with a high degree of particularity, it has sometimes been thought that it is possible for a decision to have no ratio decidendi. But even on that view, a ratio decidendi does not exhaust the binding effect of a decision. For instance, seriously considered obiter dicta of this Court, which by any definition is not part of a ratio decidendi, is binding upon lower courts.</w:t>
      </w:r>
      <w:r w:rsidRPr="000935F0">
        <w:rPr>
          <w:rStyle w:val="FootnoteReference"/>
          <w:rFonts w:ascii="Times New Roman" w:hAnsi="Times New Roman"/>
          <w:iCs/>
          <w:sz w:val="24"/>
        </w:rPr>
        <w:footnoteReference w:id="49"/>
      </w:r>
      <w:r w:rsidRPr="000935F0">
        <w:rPr>
          <w:rFonts w:ascii="Times New Roman" w:hAnsi="Times New Roman"/>
          <w:iCs/>
        </w:rPr>
        <w:t xml:space="preserve"> Indeed, that very rule of precedent, as enunciated by this Court in obiter dicta, could not be binding on lower courts unless such a </w:t>
      </w:r>
      <w:r w:rsidRPr="000935F0">
        <w:rPr>
          <w:rFonts w:ascii="Times New Roman" w:hAnsi="Times New Roman"/>
          <w:iCs/>
        </w:rPr>
        <w:lastRenderedPageBreak/>
        <w:t>rule were accepted.</w:t>
      </w:r>
      <w:r w:rsidRPr="000935F0">
        <w:rPr>
          <w:rFonts w:ascii="Times New Roman" w:hAnsi="Times New Roman"/>
        </w:rPr>
        <w:t xml:space="preserve"> </w:t>
      </w:r>
      <w:r w:rsidRPr="000935F0">
        <w:rPr>
          <w:rFonts w:ascii="Times New Roman" w:hAnsi="Times New Roman"/>
          <w:iCs/>
        </w:rPr>
        <w:t xml:space="preserve">Hence, as McHugh J said </w:t>
      </w:r>
      <w:r w:rsidRPr="000935F0">
        <w:rPr>
          <w:rFonts w:ascii="Times New Roman" w:hAnsi="Times New Roman"/>
        </w:rPr>
        <w:t>in</w:t>
      </w:r>
      <w:r w:rsidRPr="000935F0">
        <w:rPr>
          <w:rFonts w:ascii="Times New Roman" w:hAnsi="Times New Roman"/>
          <w:iCs/>
        </w:rPr>
        <w:t xml:space="preserve"> </w:t>
      </w:r>
      <w:r w:rsidRPr="000935F0">
        <w:rPr>
          <w:rFonts w:ascii="Times New Roman" w:hAnsi="Times New Roman"/>
          <w:i/>
          <w:iCs/>
        </w:rPr>
        <w:t>Re Tyler; Ex parte Foley</w:t>
      </w:r>
      <w:r w:rsidRPr="000935F0">
        <w:rPr>
          <w:rStyle w:val="FootnoteReference"/>
          <w:rFonts w:ascii="Times New Roman" w:hAnsi="Times New Roman"/>
          <w:iCs/>
          <w:sz w:val="24"/>
        </w:rPr>
        <w:footnoteReference w:id="50"/>
      </w:r>
      <w:r w:rsidRPr="000935F0">
        <w:rPr>
          <w:rFonts w:ascii="Times New Roman" w:hAnsi="Times New Roman"/>
          <w:iCs/>
        </w:rPr>
        <w:t xml:space="preserve"> of decisions which might be thought to have no ratio decidendi in the narrow sense:</w:t>
      </w:r>
    </w:p>
    <w:p w14:paraId="6CFD0818" w14:textId="77777777" w:rsidR="007359C1" w:rsidRDefault="007359C1" w:rsidP="000935F0">
      <w:pPr>
        <w:pStyle w:val="LeftrightafterHC"/>
        <w:spacing w:before="0" w:after="260" w:line="280" w:lineRule="exact"/>
        <w:ind w:right="0"/>
        <w:jc w:val="both"/>
        <w:rPr>
          <w:rFonts w:ascii="Times New Roman" w:hAnsi="Times New Roman"/>
        </w:rPr>
      </w:pPr>
      <w:r w:rsidRPr="000935F0">
        <w:rPr>
          <w:rFonts w:ascii="Times New Roman" w:hAnsi="Times New Roman"/>
        </w:rPr>
        <w:t>"</w:t>
      </w:r>
      <w:proofErr w:type="gramStart"/>
      <w:r w:rsidRPr="000935F0">
        <w:rPr>
          <w:rFonts w:ascii="Times New Roman" w:hAnsi="Times New Roman"/>
        </w:rPr>
        <w:t>that</w:t>
      </w:r>
      <w:proofErr w:type="gramEnd"/>
      <w:r w:rsidRPr="000935F0">
        <w:rPr>
          <w:rFonts w:ascii="Times New Roman" w:hAnsi="Times New Roman"/>
        </w:rPr>
        <w:t xml:space="preserve"> does not mean that the doctrine of stare decisis has no relevance or that the decisions in those cases have no authority as precedents ... But what is meant by saying that a case, whose ratio decidendi cannot be discerned, is authority for what it decided? It cannot mean that a court bound by that decision is bound only by the precise facts of the case ... the true rule is that a court, bound by a previous decision whose ratio decidendi is not discernible, is bound to apply that decision when the circumstances of the instant case 'are not reasonably distinguishable from those which gave rise to the decision'".</w:t>
      </w:r>
    </w:p>
    <w:p w14:paraId="422C7F46"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iCs/>
        </w:rPr>
        <w:tab/>
        <w:t>There is, however, a broader view of a ratio decidendi that has been applied to multi-member appellate courts. On a broader view, a ratio decidendi can be identified at a high level of generality, even coming close to an expression of the result itself. For instance, even if different members of a majority differ in all aspects of their dispositive reasoning, a ratio decidendi at a high level of generality would involve the formulation of a legal rule that respected the necessary aspects of the reasoning of all the members of the majority. As Goodhart explained, a ratio decidendi can emerge from a decision even if "the rules of law set forth by the different judges may have no relation to each other"; a ratio decidendi is the "principle which can be discovered on proper analysis".</w:t>
      </w:r>
      <w:r w:rsidRPr="000935F0">
        <w:rPr>
          <w:rStyle w:val="FootnoteReference"/>
          <w:rFonts w:ascii="Times New Roman" w:hAnsi="Times New Roman"/>
          <w:iCs/>
          <w:sz w:val="24"/>
        </w:rPr>
        <w:footnoteReference w:id="51"/>
      </w:r>
      <w:r w:rsidRPr="000935F0">
        <w:rPr>
          <w:rFonts w:ascii="Times New Roman" w:hAnsi="Times New Roman"/>
          <w:iCs/>
        </w:rPr>
        <w:t xml:space="preserve"> The principle of the case "is not necessarily found in either the reasoning of the court or in the proposition of law set forth".</w:t>
      </w:r>
      <w:r w:rsidRPr="000935F0">
        <w:rPr>
          <w:rStyle w:val="FootnoteReference"/>
          <w:rFonts w:ascii="Times New Roman" w:hAnsi="Times New Roman"/>
          <w:iCs/>
          <w:sz w:val="24"/>
        </w:rPr>
        <w:footnoteReference w:id="52"/>
      </w:r>
      <w:r w:rsidRPr="000935F0">
        <w:rPr>
          <w:rFonts w:ascii="Times New Roman" w:hAnsi="Times New Roman"/>
          <w:iCs/>
        </w:rPr>
        <w:t xml:space="preserve"> Hence, even if three appellate judges </w:t>
      </w:r>
      <w:r w:rsidRPr="000935F0">
        <w:rPr>
          <w:rFonts w:ascii="Times New Roman" w:hAnsi="Times New Roman"/>
        </w:rPr>
        <w:t>gave</w:t>
      </w:r>
      <w:r w:rsidRPr="000935F0">
        <w:rPr>
          <w:rFonts w:ascii="Times New Roman" w:hAnsi="Times New Roman"/>
          <w:iCs/>
        </w:rPr>
        <w:t xml:space="preserve"> entirely divergent reasoning for allowing an appeal—judge 1 based the orders on fact A; judge 2 based the orders on fact B; </w:t>
      </w:r>
      <w:r w:rsidRPr="000935F0">
        <w:rPr>
          <w:rFonts w:ascii="Times New Roman" w:hAnsi="Times New Roman"/>
        </w:rPr>
        <w:t>and</w:t>
      </w:r>
      <w:r w:rsidRPr="000935F0">
        <w:rPr>
          <w:rFonts w:ascii="Times New Roman" w:hAnsi="Times New Roman"/>
          <w:iCs/>
        </w:rPr>
        <w:t xml:space="preserve"> judge 3 based the orders on fact C—the ratio decidendi will be that the legal conclusion follows when facts A, B, and C all exist.</w:t>
      </w:r>
      <w:r w:rsidRPr="000935F0">
        <w:rPr>
          <w:rStyle w:val="FootnoteReference"/>
          <w:rFonts w:ascii="Times New Roman" w:hAnsi="Times New Roman"/>
          <w:iCs/>
          <w:sz w:val="24"/>
        </w:rPr>
        <w:footnoteReference w:id="53"/>
      </w:r>
      <w:r w:rsidRPr="000935F0">
        <w:rPr>
          <w:rFonts w:ascii="Times New Roman" w:hAnsi="Times New Roman"/>
          <w:iCs/>
        </w:rPr>
        <w:t xml:space="preserve"> </w:t>
      </w:r>
    </w:p>
    <w:p w14:paraId="401B7254"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iCs/>
        </w:rPr>
        <w:lastRenderedPageBreak/>
        <w:tab/>
        <w:t xml:space="preserve">On this broader view, as Sir Anthony Mason rightly said, the suggestion that a decision can be without a ratio decidendi is wrong: "Every decision has its </w:t>
      </w:r>
      <w:r w:rsidRPr="000935F0">
        <w:rPr>
          <w:rFonts w:ascii="Times New Roman" w:hAnsi="Times New Roman"/>
          <w:i/>
        </w:rPr>
        <w:t>ratio</w:t>
      </w:r>
      <w:r w:rsidRPr="000935F0">
        <w:rPr>
          <w:rFonts w:ascii="Times New Roman" w:hAnsi="Times New Roman"/>
          <w:iCs/>
        </w:rPr>
        <w:t>."</w:t>
      </w:r>
      <w:r w:rsidRPr="000935F0">
        <w:rPr>
          <w:rStyle w:val="FootnoteReference"/>
          <w:rFonts w:ascii="Times New Roman" w:hAnsi="Times New Roman"/>
          <w:iCs/>
          <w:sz w:val="24"/>
        </w:rPr>
        <w:footnoteReference w:id="54"/>
      </w:r>
      <w:r w:rsidRPr="000935F0">
        <w:rPr>
          <w:rFonts w:ascii="Times New Roman" w:hAnsi="Times New Roman"/>
          <w:iCs/>
        </w:rPr>
        <w:t xml:space="preserve"> A ratio decidendi exists even if there is </w:t>
      </w:r>
      <w:r w:rsidRPr="000935F0">
        <w:rPr>
          <w:rFonts w:ascii="Times New Roman" w:hAnsi="Times New Roman"/>
        </w:rPr>
        <w:t xml:space="preserve">no commonality to the essential reasoning of </w:t>
      </w:r>
      <w:proofErr w:type="gramStart"/>
      <w:r w:rsidRPr="000935F0">
        <w:rPr>
          <w:rFonts w:ascii="Times New Roman" w:hAnsi="Times New Roman"/>
        </w:rPr>
        <w:t>a majority of</w:t>
      </w:r>
      <w:proofErr w:type="gramEnd"/>
      <w:r w:rsidRPr="000935F0">
        <w:rPr>
          <w:rFonts w:ascii="Times New Roman" w:hAnsi="Times New Roman"/>
        </w:rPr>
        <w:t xml:space="preserve"> the Court sufficient to support its orders </w:t>
      </w:r>
      <w:r w:rsidRPr="000935F0">
        <w:rPr>
          <w:rFonts w:ascii="Times New Roman" w:hAnsi="Times New Roman"/>
          <w:iCs/>
        </w:rPr>
        <w:t>at anything other than the highest level of generality</w:t>
      </w:r>
      <w:r w:rsidRPr="000935F0">
        <w:rPr>
          <w:rFonts w:ascii="Times New Roman" w:hAnsi="Times New Roman"/>
        </w:rPr>
        <w:t xml:space="preserve">. </w:t>
      </w:r>
      <w:r w:rsidRPr="000935F0">
        <w:rPr>
          <w:rFonts w:ascii="Times New Roman" w:hAnsi="Times New Roman"/>
          <w:iCs/>
        </w:rPr>
        <w:t>That broader view is now, as Nettle J has said, "orthodox".</w:t>
      </w:r>
      <w:r w:rsidRPr="000935F0">
        <w:rPr>
          <w:rStyle w:val="FootnoteReference"/>
          <w:rFonts w:ascii="Times New Roman" w:hAnsi="Times New Roman"/>
          <w:iCs/>
          <w:sz w:val="24"/>
        </w:rPr>
        <w:footnoteReference w:id="55"/>
      </w:r>
      <w:r w:rsidRPr="000935F0">
        <w:rPr>
          <w:rFonts w:ascii="Times New Roman" w:hAnsi="Times New Roman"/>
          <w:iCs/>
        </w:rPr>
        <w:t xml:space="preserve"> For instance, even if (which is doubtful) </w:t>
      </w:r>
      <w:r w:rsidRPr="000935F0">
        <w:rPr>
          <w:rFonts w:ascii="Times New Roman" w:hAnsi="Times New Roman"/>
        </w:rPr>
        <w:t xml:space="preserve">there were no commonality at a low level of generality to the essential reasoning of any four members of this Court sufficient to support the orders made in </w:t>
      </w:r>
      <w:r w:rsidRPr="000935F0">
        <w:rPr>
          <w:rFonts w:ascii="Times New Roman" w:hAnsi="Times New Roman"/>
          <w:i/>
          <w:iCs/>
        </w:rPr>
        <w:t>Mabo v Queensland [No 2]</w:t>
      </w:r>
      <w:r w:rsidRPr="000935F0">
        <w:rPr>
          <w:rStyle w:val="FootnoteReference"/>
          <w:rFonts w:ascii="Times New Roman" w:hAnsi="Times New Roman"/>
          <w:sz w:val="24"/>
        </w:rPr>
        <w:footnoteReference w:id="56"/>
      </w:r>
      <w:r w:rsidRPr="000935F0">
        <w:rPr>
          <w:rFonts w:ascii="Times New Roman" w:hAnsi="Times New Roman"/>
        </w:rPr>
        <w:t xml:space="preserve"> or in </w:t>
      </w:r>
      <w:r w:rsidRPr="000935F0">
        <w:rPr>
          <w:rFonts w:ascii="Times New Roman" w:hAnsi="Times New Roman"/>
          <w:i/>
          <w:iCs/>
        </w:rPr>
        <w:t>Love v The Commonwealth</w:t>
      </w:r>
      <w:r w:rsidRPr="000935F0">
        <w:rPr>
          <w:rFonts w:ascii="Times New Roman" w:hAnsi="Times New Roman"/>
        </w:rPr>
        <w:t>,</w:t>
      </w:r>
      <w:r w:rsidRPr="000935F0">
        <w:rPr>
          <w:rStyle w:val="FootnoteReference"/>
          <w:rFonts w:ascii="Times New Roman" w:hAnsi="Times New Roman"/>
          <w:sz w:val="24"/>
        </w:rPr>
        <w:footnoteReference w:id="57"/>
      </w:r>
      <w:r w:rsidRPr="000935F0">
        <w:rPr>
          <w:rFonts w:ascii="Times New Roman" w:hAnsi="Times New Roman"/>
        </w:rPr>
        <w:t xml:space="preserve"> the ratio decidendi would exist at a higher level of generality by combining the essential reasons of the members of the majority in each of those decisions.</w:t>
      </w:r>
      <w:r w:rsidRPr="000935F0">
        <w:rPr>
          <w:rStyle w:val="FootnoteReference"/>
          <w:rFonts w:ascii="Times New Roman" w:hAnsi="Times New Roman"/>
          <w:sz w:val="24"/>
        </w:rPr>
        <w:footnoteReference w:id="58"/>
      </w:r>
    </w:p>
    <w:p w14:paraId="77FDC872"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iCs/>
        </w:rPr>
        <w:tab/>
        <w:t>That broader view of the rationes decidendi of multi-member appellate courts respects the long-standing premium placed by common law legal systems upon stability and integrity. For that reason, this Court has required leave to re-open the results of its previous decisions, even if those decisions might have lacked a ratio decidendi in a narrow sense.</w:t>
      </w:r>
      <w:r w:rsidRPr="000935F0">
        <w:rPr>
          <w:rStyle w:val="FootnoteReference"/>
          <w:rFonts w:ascii="Times New Roman" w:hAnsi="Times New Roman"/>
          <w:iCs/>
          <w:sz w:val="24"/>
        </w:rPr>
        <w:footnoteReference w:id="59"/>
      </w:r>
      <w:r w:rsidRPr="000935F0">
        <w:rPr>
          <w:rFonts w:ascii="Times New Roman" w:hAnsi="Times New Roman"/>
          <w:iCs/>
        </w:rPr>
        <w:t xml:space="preserve"> </w:t>
      </w:r>
    </w:p>
    <w:p w14:paraId="5DFFA5A3" w14:textId="77777777" w:rsidR="007359C1" w:rsidRPr="000935F0" w:rsidRDefault="007359C1" w:rsidP="000935F0">
      <w:pPr>
        <w:pStyle w:val="HeadingL1"/>
        <w:spacing w:after="260" w:line="280" w:lineRule="exact"/>
        <w:ind w:right="0"/>
        <w:jc w:val="both"/>
        <w:rPr>
          <w:rFonts w:ascii="Times New Roman" w:hAnsi="Times New Roman"/>
          <w:i/>
          <w:iCs/>
        </w:rPr>
      </w:pPr>
      <w:r w:rsidRPr="000935F0">
        <w:rPr>
          <w:rFonts w:ascii="Times New Roman" w:hAnsi="Times New Roman"/>
        </w:rPr>
        <w:t xml:space="preserve">The ratio decidendi of </w:t>
      </w:r>
      <w:r w:rsidRPr="000935F0">
        <w:rPr>
          <w:rFonts w:ascii="Times New Roman" w:hAnsi="Times New Roman"/>
          <w:i/>
          <w:iCs/>
        </w:rPr>
        <w:t>SDCV</w:t>
      </w:r>
    </w:p>
    <w:p w14:paraId="33825188"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 xml:space="preserve">The ratio decidendi of </w:t>
      </w:r>
      <w:r w:rsidRPr="000935F0">
        <w:rPr>
          <w:rFonts w:ascii="Times New Roman" w:hAnsi="Times New Roman"/>
          <w:i/>
          <w:iCs/>
        </w:rPr>
        <w:t xml:space="preserve">SDCV </w:t>
      </w:r>
      <w:r w:rsidRPr="000935F0">
        <w:rPr>
          <w:rFonts w:ascii="Times New Roman" w:hAnsi="Times New Roman"/>
        </w:rPr>
        <w:t xml:space="preserve">can be identified only from the reasons of </w:t>
      </w:r>
      <w:proofErr w:type="gramStart"/>
      <w:r w:rsidRPr="000935F0">
        <w:rPr>
          <w:rFonts w:ascii="Times New Roman" w:hAnsi="Times New Roman"/>
        </w:rPr>
        <w:t>the majority of</w:t>
      </w:r>
      <w:proofErr w:type="gramEnd"/>
      <w:r w:rsidRPr="000935F0">
        <w:rPr>
          <w:rFonts w:ascii="Times New Roman" w:hAnsi="Times New Roman"/>
        </w:rPr>
        <w:t xml:space="preserve"> the Court who supported the orders made in that case. The reasons of the majority comprised a plurality judgment of Kiefel CJ, Keane and Gleeson JJ and a separate judgment of Steward J. The other members of this Court, including myself, were in dissent. Their reasons must be put to one side when determining the ratio decidendi.</w:t>
      </w:r>
      <w:r w:rsidRPr="000935F0">
        <w:rPr>
          <w:rStyle w:val="FootnoteReference"/>
          <w:rFonts w:ascii="Times New Roman" w:hAnsi="Times New Roman"/>
          <w:sz w:val="24"/>
        </w:rPr>
        <w:footnoteReference w:id="60"/>
      </w:r>
    </w:p>
    <w:p w14:paraId="297E96CA" w14:textId="77777777" w:rsidR="007359C1" w:rsidRPr="000935F0" w:rsidRDefault="007359C1" w:rsidP="000935F0">
      <w:pPr>
        <w:pStyle w:val="HeadingL2"/>
        <w:spacing w:after="260" w:line="280" w:lineRule="exact"/>
        <w:ind w:right="0"/>
        <w:jc w:val="both"/>
        <w:rPr>
          <w:rFonts w:ascii="Times New Roman" w:hAnsi="Times New Roman"/>
        </w:rPr>
      </w:pPr>
      <w:r w:rsidRPr="000935F0">
        <w:rPr>
          <w:rFonts w:ascii="Times New Roman" w:hAnsi="Times New Roman"/>
        </w:rPr>
        <w:lastRenderedPageBreak/>
        <w:t>The plurality's reasons</w:t>
      </w:r>
    </w:p>
    <w:p w14:paraId="786B88B0"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The plurality</w:t>
      </w:r>
      <w:r w:rsidRPr="000935F0">
        <w:rPr>
          <w:rStyle w:val="FootnoteReference"/>
          <w:rFonts w:ascii="Times New Roman" w:hAnsi="Times New Roman"/>
          <w:sz w:val="24"/>
        </w:rPr>
        <w:footnoteReference w:id="61"/>
      </w:r>
      <w:r w:rsidRPr="000935F0">
        <w:rPr>
          <w:rFonts w:ascii="Times New Roman" w:hAnsi="Times New Roman"/>
        </w:rPr>
        <w:t xml:space="preserve"> reasons of Kiefel CJ, Keane and Gleeson JJ relied heavily upon the existence of alternative routes open to SDCV to institute judicial proceedings challenging his adverse security assessment to which s 46(2) did not apply. For instance, SDCV "might have challenged the Tribunal's decision in proceedings for judicial review under s 75(v) of the </w:t>
      </w:r>
      <w:r w:rsidRPr="000935F0">
        <w:rPr>
          <w:rFonts w:ascii="Times New Roman" w:hAnsi="Times New Roman"/>
          <w:i/>
          <w:iCs/>
        </w:rPr>
        <w:t xml:space="preserve">Constitution </w:t>
      </w:r>
      <w:r w:rsidRPr="000935F0">
        <w:rPr>
          <w:rFonts w:ascii="Times New Roman" w:hAnsi="Times New Roman"/>
        </w:rPr>
        <w:t xml:space="preserve">or s 39B of the </w:t>
      </w:r>
      <w:r w:rsidRPr="000935F0">
        <w:rPr>
          <w:rFonts w:ascii="Times New Roman" w:hAnsi="Times New Roman"/>
          <w:i/>
          <w:iCs/>
        </w:rPr>
        <w:t xml:space="preserve">Judiciary Act 1903 </w:t>
      </w:r>
      <w:r w:rsidRPr="000935F0">
        <w:rPr>
          <w:rFonts w:ascii="Times New Roman" w:hAnsi="Times New Roman"/>
        </w:rPr>
        <w:t>(Cth)".</w:t>
      </w:r>
      <w:r w:rsidRPr="000935F0">
        <w:rPr>
          <w:rStyle w:val="FootnoteReference"/>
          <w:rFonts w:ascii="Times New Roman" w:hAnsi="Times New Roman"/>
          <w:sz w:val="24"/>
        </w:rPr>
        <w:footnoteReference w:id="62"/>
      </w:r>
      <w:r w:rsidRPr="000935F0">
        <w:rPr>
          <w:rFonts w:ascii="Times New Roman" w:hAnsi="Times New Roman"/>
        </w:rPr>
        <w:t xml:space="preserve"> By contrast, however, a proceeding for error of law under s 44 of the AAT Act provided SDCV with a "forensic advantage".</w:t>
      </w:r>
      <w:r w:rsidRPr="000935F0">
        <w:rPr>
          <w:rStyle w:val="FootnoteReference"/>
          <w:rFonts w:ascii="Times New Roman" w:hAnsi="Times New Roman"/>
          <w:sz w:val="24"/>
        </w:rPr>
        <w:footnoteReference w:id="63"/>
      </w:r>
      <w:r w:rsidRPr="000935F0">
        <w:rPr>
          <w:rFonts w:ascii="Times New Roman" w:hAnsi="Times New Roman"/>
        </w:rPr>
        <w:t xml:space="preserve"> The forensic advantage identified was not the (vanishingly small) gap between, on the one hand, a proceeding for a material error of law and, on the other hand, a proceeding for judicial review which usually requires jurisdictional error. Rather, the forensic advantage was considered to arise because s 46(1) and (2) of the AAT Act required the documents before the Tribunal to be transmitted to, and made available to be considered by, the Federal Court ("these provisions determined what material might be before the Federal Court"</w:t>
      </w:r>
      <w:r w:rsidRPr="000935F0">
        <w:rPr>
          <w:rStyle w:val="FootnoteReference"/>
          <w:rFonts w:ascii="Times New Roman" w:hAnsi="Times New Roman"/>
          <w:sz w:val="24"/>
        </w:rPr>
        <w:footnoteReference w:id="64"/>
      </w:r>
      <w:r w:rsidRPr="000935F0">
        <w:rPr>
          <w:rFonts w:ascii="Times New Roman" w:hAnsi="Times New Roman"/>
        </w:rPr>
        <w:t>). By contrast, the process of tender in a judicial review proceeding would have meant that "public interest immunity would likely have prevented the use of the certificated matter by the Federal Court".</w:t>
      </w:r>
      <w:r w:rsidRPr="000935F0">
        <w:rPr>
          <w:rStyle w:val="FootnoteReference"/>
          <w:rFonts w:ascii="Times New Roman" w:hAnsi="Times New Roman"/>
          <w:sz w:val="24"/>
        </w:rPr>
        <w:footnoteReference w:id="65"/>
      </w:r>
      <w:r w:rsidRPr="000935F0">
        <w:rPr>
          <w:rFonts w:ascii="Times New Roman" w:hAnsi="Times New Roman"/>
        </w:rPr>
        <w:t xml:space="preserve"> The net effect, therefore, was said to be a lack of "practical injustice" to SDCV due to SDCV's own choices. As the plurality expressed the point:</w:t>
      </w:r>
      <w:r w:rsidRPr="000935F0">
        <w:rPr>
          <w:rStyle w:val="FootnoteReference"/>
          <w:rFonts w:ascii="Times New Roman" w:hAnsi="Times New Roman"/>
          <w:sz w:val="24"/>
        </w:rPr>
        <w:footnoteReference w:id="66"/>
      </w:r>
    </w:p>
    <w:p w14:paraId="5067C8D0" w14:textId="77777777" w:rsidR="007359C1" w:rsidRDefault="007359C1" w:rsidP="000935F0">
      <w:pPr>
        <w:pStyle w:val="LeftrightafterHC"/>
        <w:spacing w:before="0" w:after="260" w:line="280" w:lineRule="exact"/>
        <w:ind w:right="0"/>
        <w:jc w:val="both"/>
        <w:rPr>
          <w:rFonts w:ascii="Times New Roman" w:hAnsi="Times New Roman"/>
        </w:rPr>
      </w:pPr>
      <w:r w:rsidRPr="000935F0">
        <w:rPr>
          <w:rFonts w:ascii="Times New Roman" w:hAnsi="Times New Roman"/>
        </w:rPr>
        <w:t xml:space="preserve">"One cannot maintain the proposition that one has been subjected to a practical impediment by reason of the presence of a known obstacle on the path that one has chosen to pursue."  </w:t>
      </w:r>
    </w:p>
    <w:p w14:paraId="388FBD96"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 xml:space="preserve">If "practical impediment" was being used by the plurality as a euphemism for the injustice of a proceeding in which central accusations and evidence might not be seen by an applicant, then I confess that I find this reasoning very difficult to understand. If an accused person charged with a petty crime were to gamble on the choice of a novel court proceeding, which might be thought less likely to result </w:t>
      </w:r>
      <w:r w:rsidRPr="000935F0">
        <w:rPr>
          <w:rFonts w:ascii="Times New Roman" w:hAnsi="Times New Roman"/>
        </w:rPr>
        <w:lastRenderedPageBreak/>
        <w:t>in conviction but in which the penalty was amputation of a limb, would the plurality really say that there could be no injustice because the accused chose the proceeding for a "forensic advantage"? And if the answer to that (fortunately) rhetorical question is "no", then why is the result any different if the injustice involves a process with some Kafkaesque elements of secrecy rather than the amputation of a limb?</w:t>
      </w:r>
    </w:p>
    <w:p w14:paraId="7D68FE27"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 xml:space="preserve">If the reasoning of the plurality were the ratio decidendi of </w:t>
      </w:r>
      <w:r w:rsidRPr="000935F0">
        <w:rPr>
          <w:rFonts w:ascii="Times New Roman" w:hAnsi="Times New Roman"/>
          <w:i/>
          <w:iCs/>
        </w:rPr>
        <w:t>SDCV</w:t>
      </w:r>
      <w:r w:rsidRPr="000935F0">
        <w:rPr>
          <w:rFonts w:ascii="Times New Roman" w:hAnsi="Times New Roman"/>
        </w:rPr>
        <w:t>, and if it were generally applicable beyond the specific context of s 46(2) of the AAT Act,</w:t>
      </w:r>
      <w:r w:rsidRPr="000935F0">
        <w:rPr>
          <w:rFonts w:ascii="Times New Roman" w:hAnsi="Times New Roman"/>
          <w:i/>
          <w:iCs/>
        </w:rPr>
        <w:t xml:space="preserve"> </w:t>
      </w:r>
      <w:r w:rsidRPr="000935F0">
        <w:rPr>
          <w:rFonts w:ascii="Times New Roman" w:hAnsi="Times New Roman"/>
        </w:rPr>
        <w:t>then that decision might have been a rare example involving reasoning that is so fundamentally contrary to basic principle that my ethical duty would be one of perpetual dissent.</w:t>
      </w:r>
      <w:r w:rsidRPr="000935F0">
        <w:rPr>
          <w:rStyle w:val="FootnoteReference"/>
          <w:rFonts w:ascii="Times New Roman" w:hAnsi="Times New Roman"/>
          <w:sz w:val="24"/>
        </w:rPr>
        <w:footnoteReference w:id="67"/>
      </w:r>
      <w:r w:rsidRPr="000935F0">
        <w:rPr>
          <w:rFonts w:ascii="Times New Roman" w:hAnsi="Times New Roman"/>
        </w:rPr>
        <w:t xml:space="preserve"> But the plurality's reasoning, at least as a matter of that general principle, was not the ratio decidendi of </w:t>
      </w:r>
      <w:r w:rsidRPr="000935F0">
        <w:rPr>
          <w:rFonts w:ascii="Times New Roman" w:hAnsi="Times New Roman"/>
          <w:i/>
          <w:iCs/>
        </w:rPr>
        <w:t>SDCV</w:t>
      </w:r>
      <w:r w:rsidRPr="000935F0">
        <w:rPr>
          <w:rFonts w:ascii="Times New Roman" w:hAnsi="Times New Roman"/>
        </w:rPr>
        <w:t>. The reasoning of the fourth member of the majority, Steward J, was, with respect, both narrower and more principled and depended upon a close assessment of the scheme in which s 46(2) operated.</w:t>
      </w:r>
    </w:p>
    <w:p w14:paraId="3FEB1621" w14:textId="77777777" w:rsidR="007359C1" w:rsidRPr="000935F0" w:rsidRDefault="007359C1" w:rsidP="000935F0">
      <w:pPr>
        <w:pStyle w:val="HeadingL2"/>
        <w:spacing w:after="260" w:line="280" w:lineRule="exact"/>
        <w:ind w:right="0"/>
        <w:jc w:val="both"/>
        <w:rPr>
          <w:rFonts w:ascii="Times New Roman" w:hAnsi="Times New Roman"/>
        </w:rPr>
      </w:pPr>
      <w:r w:rsidRPr="000935F0">
        <w:rPr>
          <w:rFonts w:ascii="Times New Roman" w:hAnsi="Times New Roman"/>
        </w:rPr>
        <w:t>Steward J's reasons</w:t>
      </w:r>
    </w:p>
    <w:p w14:paraId="38BCC27C"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In Steward J's assessment of the scheme in which s 46(2) of the AAT Act operated, essential aspects of his Honour's reasoning differed from the reasoning of the plurality. In the very opening of his Honour's reasons, after expressing agreement with the conclusion reached by the plurality, his Honour then said:</w:t>
      </w:r>
      <w:r w:rsidRPr="000935F0">
        <w:rPr>
          <w:rStyle w:val="FootnoteReference"/>
          <w:rFonts w:ascii="Times New Roman" w:hAnsi="Times New Roman"/>
          <w:sz w:val="24"/>
        </w:rPr>
        <w:footnoteReference w:id="68"/>
      </w:r>
    </w:p>
    <w:p w14:paraId="3C7DE85D" w14:textId="77777777" w:rsidR="007359C1" w:rsidRDefault="007359C1" w:rsidP="000935F0">
      <w:pPr>
        <w:pStyle w:val="LeftrightafterHC"/>
        <w:spacing w:before="0" w:after="260" w:line="280" w:lineRule="exact"/>
        <w:ind w:right="0"/>
        <w:jc w:val="both"/>
        <w:rPr>
          <w:rFonts w:ascii="Times New Roman" w:hAnsi="Times New Roman"/>
        </w:rPr>
      </w:pPr>
      <w:r w:rsidRPr="000935F0">
        <w:rPr>
          <w:rFonts w:ascii="Times New Roman" w:hAnsi="Times New Roman"/>
        </w:rPr>
        <w:tab/>
        <w:t xml:space="preserve">"I, otherwise, and with very great respect, differ with some parts of the reasons of Kiefel CJ, Keane and Gleeson JJ. Those differences are explained below. In addition, for the reasons that follow, I do not consider that s 46(2), properly construed, necessarily prevents the Federal Court of Australia from affording such a fair opportunity [to respond to evidence deployed against an applicant] in every case." </w:t>
      </w:r>
    </w:p>
    <w:p w14:paraId="4547FF0B"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 xml:space="preserve">From that opening onwards, the reasons of Steward J consistently and repeatedly tied his conclusion that s 46(2) was valid to his consideration of the </w:t>
      </w:r>
      <w:proofErr w:type="gramStart"/>
      <w:r w:rsidRPr="000935F0">
        <w:rPr>
          <w:rFonts w:ascii="Times New Roman" w:hAnsi="Times New Roman"/>
        </w:rPr>
        <w:t>particular scheme</w:t>
      </w:r>
      <w:proofErr w:type="gramEnd"/>
      <w:r w:rsidRPr="000935F0">
        <w:rPr>
          <w:rFonts w:ascii="Times New Roman" w:hAnsi="Times New Roman"/>
        </w:rPr>
        <w:t xml:space="preserve"> in which s 46(2) operated. Steward J began his reasons by saying that "[t]here are narrow circumstances where a court may justifiably deny an applicant a fair opportunity to respond to evidence deployed against them without causing 'practical injustice'".</w:t>
      </w:r>
      <w:r w:rsidRPr="000935F0">
        <w:rPr>
          <w:rStyle w:val="FootnoteReference"/>
          <w:rFonts w:ascii="Times New Roman" w:hAnsi="Times New Roman"/>
          <w:sz w:val="24"/>
        </w:rPr>
        <w:footnoteReference w:id="69"/>
      </w:r>
      <w:r w:rsidRPr="000935F0">
        <w:rPr>
          <w:rFonts w:ascii="Times New Roman" w:hAnsi="Times New Roman"/>
        </w:rPr>
        <w:t xml:space="preserve"> His Honour then explained how s 46(2) fell within those narrow circumstances by a consideration of the scheme of which s 46(2) </w:t>
      </w:r>
      <w:r w:rsidRPr="000935F0">
        <w:rPr>
          <w:rFonts w:ascii="Times New Roman" w:hAnsi="Times New Roman"/>
        </w:rPr>
        <w:lastRenderedPageBreak/>
        <w:t xml:space="preserve">formed a part. </w:t>
      </w:r>
      <w:proofErr w:type="gramStart"/>
      <w:r w:rsidRPr="000935F0">
        <w:rPr>
          <w:rFonts w:ascii="Times New Roman" w:hAnsi="Times New Roman"/>
        </w:rPr>
        <w:t>In the course of</w:t>
      </w:r>
      <w:proofErr w:type="gramEnd"/>
      <w:r w:rsidRPr="000935F0">
        <w:rPr>
          <w:rFonts w:ascii="Times New Roman" w:hAnsi="Times New Roman"/>
        </w:rPr>
        <w:t xml:space="preserve"> that consideration, Steward J reiterated that s 46(2) "even with its adoption of an unfair procedure, is not inimical to an exercise of federal judicial power".</w:t>
      </w:r>
      <w:r w:rsidRPr="000935F0">
        <w:rPr>
          <w:rStyle w:val="FootnoteReference"/>
          <w:rFonts w:ascii="Times New Roman" w:hAnsi="Times New Roman"/>
          <w:sz w:val="24"/>
        </w:rPr>
        <w:footnoteReference w:id="70"/>
      </w:r>
      <w:r w:rsidRPr="000935F0">
        <w:rPr>
          <w:rFonts w:ascii="Times New Roman" w:hAnsi="Times New Roman"/>
        </w:rPr>
        <w:t xml:space="preserve"> His Honour emphasised that if s 46(2) had not preserved "the duty and the capacity of the Court to provide different forms of procedural fairness ... I may well have formed the view that s 46(2) was not a valid law".</w:t>
      </w:r>
      <w:r w:rsidRPr="000935F0">
        <w:rPr>
          <w:rStyle w:val="FootnoteReference"/>
          <w:rFonts w:ascii="Times New Roman" w:hAnsi="Times New Roman"/>
          <w:sz w:val="24"/>
        </w:rPr>
        <w:footnoteReference w:id="71"/>
      </w:r>
      <w:r w:rsidRPr="000935F0">
        <w:rPr>
          <w:rFonts w:ascii="Times New Roman" w:hAnsi="Times New Roman"/>
        </w:rPr>
        <w:t xml:space="preserve"> </w:t>
      </w:r>
    </w:p>
    <w:p w14:paraId="761018DE"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 xml:space="preserve">Consistently with Steward J's focused consideration of the scheme of which s 46(2) formed a part, his Honour's </w:t>
      </w:r>
      <w:proofErr w:type="gramStart"/>
      <w:r w:rsidRPr="000935F0">
        <w:rPr>
          <w:rFonts w:ascii="Times New Roman" w:hAnsi="Times New Roman"/>
        </w:rPr>
        <w:t>ultimate conclusion</w:t>
      </w:r>
      <w:proofErr w:type="gramEnd"/>
      <w:r w:rsidRPr="000935F0">
        <w:rPr>
          <w:rFonts w:ascii="Times New Roman" w:hAnsi="Times New Roman"/>
        </w:rPr>
        <w:t xml:space="preserve"> was also tailored to the particular context of s 46(2). His Honour recognised that, although "in a given case" an applicant for relief under s 44 of the AAT Act might incur the cost of "a fair opportunity to respond to adverse evidence", </w:t>
      </w:r>
      <w:proofErr w:type="gramStart"/>
      <w:r w:rsidRPr="000935F0">
        <w:rPr>
          <w:rFonts w:ascii="Times New Roman" w:hAnsi="Times New Roman"/>
        </w:rPr>
        <w:t>overall</w:t>
      </w:r>
      <w:proofErr w:type="gramEnd"/>
      <w:r w:rsidRPr="000935F0">
        <w:rPr>
          <w:rFonts w:ascii="Times New Roman" w:hAnsi="Times New Roman"/>
        </w:rPr>
        <w:t xml:space="preserve"> in "an otherwise beneficial regime" there was no "practical injustice" and that "</w:t>
      </w:r>
      <w:r w:rsidRPr="000935F0">
        <w:rPr>
          <w:rFonts w:ascii="Times New Roman" w:hAnsi="Times New Roman"/>
          <w:i/>
          <w:iCs/>
        </w:rPr>
        <w:t>[</w:t>
      </w:r>
      <w:proofErr w:type="spellStart"/>
      <w:r w:rsidRPr="000935F0">
        <w:rPr>
          <w:rFonts w:ascii="Times New Roman" w:hAnsi="Times New Roman"/>
          <w:i/>
          <w:iCs/>
        </w:rPr>
        <w:t>i</w:t>
      </w:r>
      <w:proofErr w:type="spellEnd"/>
      <w:r w:rsidRPr="000935F0">
        <w:rPr>
          <w:rFonts w:ascii="Times New Roman" w:hAnsi="Times New Roman"/>
          <w:i/>
          <w:iCs/>
        </w:rPr>
        <w:t>]n this context</w:t>
      </w:r>
      <w:r w:rsidRPr="000935F0">
        <w:rPr>
          <w:rFonts w:ascii="Times New Roman" w:hAnsi="Times New Roman"/>
        </w:rPr>
        <w:t>, that cost does not offend justice."</w:t>
      </w:r>
      <w:r w:rsidRPr="000935F0">
        <w:rPr>
          <w:rStyle w:val="FootnoteReference"/>
          <w:rFonts w:ascii="Times New Roman" w:hAnsi="Times New Roman"/>
          <w:sz w:val="24"/>
        </w:rPr>
        <w:footnoteReference w:id="72"/>
      </w:r>
    </w:p>
    <w:p w14:paraId="6296EE9D"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 xml:space="preserve">In Steward J's careful assessment of the scheme of which s 46(2) formed a part, his Honour's interpretation differed in three very important respects from that of the plurality. In the first two of those respects, the reasoning of Steward J, which was essential to his Honour's conclusion, was inconsistent with that of the plurality. </w:t>
      </w:r>
    </w:p>
    <w:p w14:paraId="534CE183"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r>
      <w:r w:rsidRPr="000935F0">
        <w:rPr>
          <w:rFonts w:ascii="Times New Roman" w:hAnsi="Times New Roman"/>
          <w:b/>
          <w:bCs/>
        </w:rPr>
        <w:t>First</w:t>
      </w:r>
      <w:r w:rsidRPr="000935F0">
        <w:rPr>
          <w:rFonts w:ascii="Times New Roman" w:hAnsi="Times New Roman"/>
        </w:rPr>
        <w:t>, his Honour's interpretation differed from the reasons of the plurality concerning the "forensic advantage" that their Honours had identified. Unlike the plurality, Steward J conceived of the operation of s 46(1) as involving the supply of documents to the Federal Court but not obliging the Court "to receive them into evidence or otherwise to consider them":</w:t>
      </w:r>
      <w:r w:rsidRPr="000935F0">
        <w:rPr>
          <w:rStyle w:val="FootnoteReference"/>
          <w:rFonts w:ascii="Times New Roman" w:hAnsi="Times New Roman"/>
          <w:sz w:val="24"/>
        </w:rPr>
        <w:footnoteReference w:id="73"/>
      </w:r>
      <w:r w:rsidRPr="000935F0">
        <w:rPr>
          <w:rFonts w:ascii="Times New Roman" w:hAnsi="Times New Roman"/>
        </w:rPr>
        <w:t xml:space="preserve"> "It is the act of tendering the documents and having them adduced into evidence that places them before the Court".</w:t>
      </w:r>
      <w:r w:rsidRPr="000935F0">
        <w:rPr>
          <w:rStyle w:val="FootnoteReference"/>
          <w:rFonts w:ascii="Times New Roman" w:hAnsi="Times New Roman"/>
          <w:sz w:val="24"/>
        </w:rPr>
        <w:footnoteReference w:id="74"/>
      </w:r>
      <w:r w:rsidRPr="000935F0">
        <w:rPr>
          <w:rFonts w:ascii="Times New Roman" w:hAnsi="Times New Roman"/>
        </w:rPr>
        <w:t xml:space="preserve"> </w:t>
      </w:r>
    </w:p>
    <w:p w14:paraId="47744EAF"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 xml:space="preserve">In the present special case, there was lengthy argument about the consequences and effect of this approach of Steward J to s 46(1). A requirement for tender of documents has the consequence that a court might refuse the tender. For instance, in a proceeding under s 44 of the AAT Act, if the Director-General of Security had sought to tender certified documents that had been transmitted to the Federal Court from the Tribunal then, arguably subject to waiver by the applicant, the Court might have refused the tender of those documents on the basis </w:t>
      </w:r>
      <w:r w:rsidRPr="000935F0">
        <w:rPr>
          <w:rFonts w:ascii="Times New Roman" w:hAnsi="Times New Roman"/>
        </w:rPr>
        <w:lastRenderedPageBreak/>
        <w:t xml:space="preserve">that their receipt would have created manifest unfairness to the applicant since s 46(2) would have precluded the applicant or their legal representatives from seeing the documents. Independently of other rules of evidence, including those contained in the </w:t>
      </w:r>
      <w:r w:rsidRPr="000935F0">
        <w:rPr>
          <w:rFonts w:ascii="Times New Roman" w:hAnsi="Times New Roman"/>
          <w:i/>
          <w:iCs/>
        </w:rPr>
        <w:t xml:space="preserve">Evidence Act 1995 </w:t>
      </w:r>
      <w:r w:rsidRPr="000935F0">
        <w:rPr>
          <w:rFonts w:ascii="Times New Roman" w:hAnsi="Times New Roman"/>
        </w:rPr>
        <w:t>(Cth) and cognate legislation,</w:t>
      </w:r>
      <w:r w:rsidRPr="000935F0">
        <w:rPr>
          <w:rStyle w:val="FootnoteReference"/>
          <w:rFonts w:ascii="Times New Roman" w:hAnsi="Times New Roman"/>
          <w:sz w:val="24"/>
        </w:rPr>
        <w:footnoteReference w:id="75"/>
      </w:r>
      <w:r w:rsidRPr="000935F0">
        <w:rPr>
          <w:rFonts w:ascii="Times New Roman" w:hAnsi="Times New Roman"/>
        </w:rPr>
        <w:t xml:space="preserve"> courts have broad and general express or implied statutory powers (sometimes confusingly described as "inherent"</w:t>
      </w:r>
      <w:r w:rsidRPr="000935F0">
        <w:rPr>
          <w:rStyle w:val="FootnoteReference"/>
          <w:rFonts w:ascii="Times New Roman" w:hAnsi="Times New Roman"/>
          <w:sz w:val="24"/>
        </w:rPr>
        <w:footnoteReference w:id="76"/>
      </w:r>
      <w:r w:rsidRPr="000935F0">
        <w:rPr>
          <w:rFonts w:ascii="Times New Roman" w:hAnsi="Times New Roman"/>
        </w:rPr>
        <w:t>) to protect their own processes,</w:t>
      </w:r>
      <w:r w:rsidRPr="000935F0">
        <w:rPr>
          <w:rStyle w:val="FootnoteReference"/>
          <w:rFonts w:ascii="Times New Roman" w:hAnsi="Times New Roman"/>
          <w:sz w:val="24"/>
        </w:rPr>
        <w:footnoteReference w:id="77"/>
      </w:r>
      <w:r w:rsidRPr="000935F0">
        <w:rPr>
          <w:rFonts w:ascii="Times New Roman" w:hAnsi="Times New Roman"/>
        </w:rPr>
        <w:t xml:space="preserve"> which include the power to exclude evidence based upon extreme unfairness,</w:t>
      </w:r>
      <w:r w:rsidRPr="000935F0">
        <w:rPr>
          <w:rStyle w:val="FootnoteReference"/>
          <w:rFonts w:ascii="Times New Roman" w:hAnsi="Times New Roman"/>
          <w:sz w:val="24"/>
        </w:rPr>
        <w:footnoteReference w:id="78"/>
      </w:r>
      <w:r w:rsidRPr="000935F0">
        <w:rPr>
          <w:rFonts w:ascii="Times New Roman" w:hAnsi="Times New Roman"/>
        </w:rPr>
        <w:t xml:space="preserve"> even short of the gross injustice that could substantially impair the institutional integrity of a court.</w:t>
      </w:r>
      <w:r w:rsidRPr="000935F0">
        <w:rPr>
          <w:rStyle w:val="FootnoteReference"/>
          <w:rFonts w:ascii="Times New Roman" w:hAnsi="Times New Roman"/>
          <w:sz w:val="24"/>
        </w:rPr>
        <w:footnoteReference w:id="79"/>
      </w:r>
      <w:r w:rsidRPr="000935F0">
        <w:rPr>
          <w:rFonts w:ascii="Times New Roman" w:hAnsi="Times New Roman"/>
        </w:rPr>
        <w:t xml:space="preserve"> </w:t>
      </w:r>
    </w:p>
    <w:p w14:paraId="53FB5F39"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 xml:space="preserve">The power to exclude evidence to protect the processes of a court exists within the same court armoury as the power to grant a stay of proceedings. When speaking of the injustice caused to an accused person by undue delay, Mason CJ observed in </w:t>
      </w:r>
      <w:r w:rsidRPr="000935F0">
        <w:rPr>
          <w:rFonts w:ascii="Times New Roman" w:hAnsi="Times New Roman"/>
          <w:i/>
          <w:iCs/>
        </w:rPr>
        <w:t xml:space="preserve">Jago v District Court </w:t>
      </w:r>
      <w:r w:rsidRPr="000935F0">
        <w:rPr>
          <w:rFonts w:ascii="Times New Roman" w:hAnsi="Times New Roman"/>
          <w:i/>
        </w:rPr>
        <w:t>(NSW)</w:t>
      </w:r>
      <w:r w:rsidRPr="000935F0">
        <w:rPr>
          <w:rStyle w:val="FootnoteReference"/>
          <w:rFonts w:ascii="Times New Roman" w:hAnsi="Times New Roman"/>
          <w:sz w:val="24"/>
        </w:rPr>
        <w:footnoteReference w:id="80"/>
      </w:r>
      <w:r w:rsidRPr="000935F0">
        <w:rPr>
          <w:rFonts w:ascii="Times New Roman" w:hAnsi="Times New Roman"/>
          <w:i/>
          <w:iCs/>
        </w:rPr>
        <w:t xml:space="preserve"> </w:t>
      </w:r>
      <w:r w:rsidRPr="000935F0">
        <w:rPr>
          <w:rFonts w:ascii="Times New Roman" w:hAnsi="Times New Roman"/>
        </w:rPr>
        <w:t xml:space="preserve">that "[t]here is no reason to confine the discretionary power of the courts by arbitrarily stipulating that a stay is the only proper remedy for undue delay" and that "it is important to bear in mind that the court may mould its order to meet the exigencies of the particular case".  </w:t>
      </w:r>
    </w:p>
    <w:p w14:paraId="6D80EAC4"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 xml:space="preserve">In his reasons in </w:t>
      </w:r>
      <w:r w:rsidRPr="000935F0">
        <w:rPr>
          <w:rFonts w:ascii="Times New Roman" w:hAnsi="Times New Roman"/>
          <w:i/>
          <w:iCs/>
        </w:rPr>
        <w:t>SDCV</w:t>
      </w:r>
      <w:r w:rsidRPr="000935F0">
        <w:rPr>
          <w:rFonts w:ascii="Times New Roman" w:hAnsi="Times New Roman"/>
        </w:rPr>
        <w:t>, Steward J referred to a further possibility short of excluding the certified documents entirely. Where a respondent to an error of law proceeding under s 44 sought to tender certified material, "it would be open to the Court to require, as a condition of admission into evidence, those documents, or parts of those documents, to be shown to an applicant's legal representatives on a confidential basis".</w:t>
      </w:r>
      <w:r w:rsidRPr="000935F0">
        <w:rPr>
          <w:rStyle w:val="FootnoteReference"/>
          <w:rFonts w:ascii="Times New Roman" w:hAnsi="Times New Roman"/>
          <w:sz w:val="24"/>
        </w:rPr>
        <w:footnoteReference w:id="81"/>
      </w:r>
      <w:r w:rsidRPr="000935F0">
        <w:rPr>
          <w:rFonts w:ascii="Times New Roman" w:hAnsi="Times New Roman"/>
        </w:rPr>
        <w:t xml:space="preserve"> At a further hearing of the present case, the Commonwealth submitted that in the event that a respondent rejects that condition, precluding the admission of the documents under a procedure brought in relation to s 44(1) of the AAT Act, it might be open to an applicant to fall back on a judicial review </w:t>
      </w:r>
      <w:r w:rsidRPr="000935F0">
        <w:rPr>
          <w:rFonts w:ascii="Times New Roman" w:hAnsi="Times New Roman"/>
        </w:rPr>
        <w:lastRenderedPageBreak/>
        <w:t xml:space="preserve">proceeding under s 39B of the </w:t>
      </w:r>
      <w:r w:rsidRPr="000935F0">
        <w:rPr>
          <w:rFonts w:ascii="Times New Roman" w:hAnsi="Times New Roman"/>
          <w:i/>
          <w:iCs/>
        </w:rPr>
        <w:t xml:space="preserve">Judiciary Act 1903 </w:t>
      </w:r>
      <w:r w:rsidRPr="000935F0">
        <w:rPr>
          <w:rFonts w:ascii="Times New Roman" w:hAnsi="Times New Roman"/>
        </w:rPr>
        <w:t xml:space="preserve">(Cth) or s 75(v) of the </w:t>
      </w:r>
      <w:r w:rsidRPr="000935F0">
        <w:rPr>
          <w:rFonts w:ascii="Times New Roman" w:hAnsi="Times New Roman"/>
          <w:i/>
          <w:iCs/>
        </w:rPr>
        <w:t>Constitution</w:t>
      </w:r>
      <w:r w:rsidRPr="000935F0">
        <w:rPr>
          <w:rFonts w:ascii="Times New Roman" w:hAnsi="Times New Roman"/>
        </w:rPr>
        <w:t xml:space="preserve">, which would require the documents to be admitted if relevant unless they were excluded by public interest immunity or another exception. In those circumstances, the documents would be closely scrutinised by the court and there would be no doubt that any proper exclusion for public interest immunity would be proportionate to the legitimate interests that the immunity protects.   </w:t>
      </w:r>
    </w:p>
    <w:p w14:paraId="05BB51F9"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The same power by which a court could exclude the documents entirely must also permit the admission of the documents on condition. The power to impose such a condition depends upon an interpretation of s 46(2) that treats conduct by the Director</w:t>
      </w:r>
      <w:r w:rsidRPr="000935F0">
        <w:rPr>
          <w:rFonts w:ascii="Times New Roman" w:hAnsi="Times New Roman"/>
        </w:rPr>
        <w:noBreakHyphen/>
        <w:t xml:space="preserve">General to allow a plaintiff's legal representatives to view the documents, following a condition upon tender imposed by the court (that the consequence of a tender of documents must not deprive a party of procedural fairness), as not involving the </w:t>
      </w:r>
      <w:r w:rsidRPr="000935F0">
        <w:rPr>
          <w:rFonts w:ascii="Times New Roman" w:hAnsi="Times New Roman"/>
          <w:i/>
          <w:iCs/>
        </w:rPr>
        <w:t xml:space="preserve">court </w:t>
      </w:r>
      <w:r w:rsidRPr="000935F0">
        <w:rPr>
          <w:rFonts w:ascii="Times New Roman" w:hAnsi="Times New Roman"/>
        </w:rPr>
        <w:t xml:space="preserve">doing anything other than ensuring "that the matter is not disclosed to any person other than a member of the court as constituted for the purposes of the proceeding".    </w:t>
      </w:r>
    </w:p>
    <w:p w14:paraId="7E447F2A"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r>
      <w:r w:rsidRPr="000935F0">
        <w:rPr>
          <w:rFonts w:ascii="Times New Roman" w:hAnsi="Times New Roman"/>
          <w:b/>
          <w:bCs/>
        </w:rPr>
        <w:t>Secondly</w:t>
      </w:r>
      <w:r w:rsidRPr="000935F0">
        <w:rPr>
          <w:rFonts w:ascii="Times New Roman" w:hAnsi="Times New Roman"/>
        </w:rPr>
        <w:t>, a further respect in which the reasons of Steward J differed from those of the plurality was that his Honour held that "it was possible for the Federal Court to appoint a special advocate who could examine certified material and unredacted reasons and make independent submissions to the Court".</w:t>
      </w:r>
      <w:r w:rsidRPr="000935F0">
        <w:rPr>
          <w:rStyle w:val="FootnoteReference"/>
          <w:rFonts w:ascii="Times New Roman" w:hAnsi="Times New Roman"/>
          <w:sz w:val="24"/>
        </w:rPr>
        <w:footnoteReference w:id="82"/>
      </w:r>
      <w:r w:rsidRPr="000935F0">
        <w:rPr>
          <w:rFonts w:ascii="Times New Roman" w:hAnsi="Times New Roman"/>
        </w:rPr>
        <w:t xml:space="preserve"> His Honour reached that conclusion by recognising that a special advocate would be an "officer of the court", a person to whom disclosure could be made within the terms of s 46(4).</w:t>
      </w:r>
      <w:r w:rsidRPr="000935F0">
        <w:rPr>
          <w:rStyle w:val="FootnoteReference"/>
          <w:rFonts w:ascii="Times New Roman" w:hAnsi="Times New Roman"/>
          <w:sz w:val="24"/>
        </w:rPr>
        <w:footnoteReference w:id="83"/>
      </w:r>
      <w:r w:rsidRPr="000935F0">
        <w:rPr>
          <w:rFonts w:ascii="Times New Roman" w:hAnsi="Times New Roman"/>
        </w:rPr>
        <w:t xml:space="preserve"> By contrast, the plurality held that "s 46 of the AAT Act cannot be construed to allow the appointment of special counsel to whom the matter the subject of ministerial certificates might be disclosed".</w:t>
      </w:r>
      <w:r w:rsidRPr="000935F0">
        <w:rPr>
          <w:rStyle w:val="FootnoteReference"/>
          <w:rFonts w:ascii="Times New Roman" w:hAnsi="Times New Roman"/>
          <w:sz w:val="24"/>
        </w:rPr>
        <w:footnoteReference w:id="84"/>
      </w:r>
    </w:p>
    <w:p w14:paraId="24CF79ED"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r>
      <w:r w:rsidRPr="000935F0">
        <w:rPr>
          <w:rFonts w:ascii="Times New Roman" w:hAnsi="Times New Roman"/>
          <w:b/>
          <w:bCs/>
        </w:rPr>
        <w:t>Thirdly</w:t>
      </w:r>
      <w:r w:rsidRPr="000935F0">
        <w:rPr>
          <w:rFonts w:ascii="Times New Roman" w:hAnsi="Times New Roman"/>
        </w:rPr>
        <w:t>, a potential inconsistency with the reasons of the plurality arises in so far as Steward J held that so long as a disclosure did not reveal the certified matters, "it would be open to the Court to order that the gist of certified documents be disclosed by the Director-General to an applicant".</w:t>
      </w:r>
      <w:r w:rsidRPr="000935F0">
        <w:rPr>
          <w:rStyle w:val="FootnoteReference"/>
          <w:rFonts w:ascii="Times New Roman" w:hAnsi="Times New Roman"/>
          <w:sz w:val="24"/>
        </w:rPr>
        <w:footnoteReference w:id="85"/>
      </w:r>
      <w:r w:rsidRPr="000935F0">
        <w:rPr>
          <w:rFonts w:ascii="Times New Roman" w:hAnsi="Times New Roman"/>
        </w:rPr>
        <w:t xml:space="preserve"> Although the plurality did not reject this possibility, their Honours diminished it by reasoning, by analogy with criminal cases involving informants, that "the gist of the information will often suffice to identify the informant".</w:t>
      </w:r>
      <w:r w:rsidRPr="000935F0">
        <w:rPr>
          <w:rStyle w:val="FootnoteReference"/>
          <w:rFonts w:ascii="Times New Roman" w:hAnsi="Times New Roman"/>
          <w:sz w:val="24"/>
        </w:rPr>
        <w:footnoteReference w:id="86"/>
      </w:r>
      <w:r w:rsidRPr="000935F0">
        <w:rPr>
          <w:rFonts w:ascii="Times New Roman" w:hAnsi="Times New Roman"/>
        </w:rPr>
        <w:t xml:space="preserve"> That reasoning was not supported by the </w:t>
      </w:r>
      <w:r w:rsidRPr="000935F0">
        <w:rPr>
          <w:rFonts w:ascii="Times New Roman" w:hAnsi="Times New Roman"/>
        </w:rPr>
        <w:lastRenderedPageBreak/>
        <w:t xml:space="preserve">authority cited in which the Supreme Court of the United Kingdom considered that </w:t>
      </w:r>
      <w:proofErr w:type="spellStart"/>
      <w:r w:rsidRPr="000935F0">
        <w:rPr>
          <w:rFonts w:ascii="Times New Roman" w:hAnsi="Times New Roman"/>
        </w:rPr>
        <w:t>gisting</w:t>
      </w:r>
      <w:proofErr w:type="spellEnd"/>
      <w:r w:rsidRPr="000935F0">
        <w:rPr>
          <w:rFonts w:ascii="Times New Roman" w:hAnsi="Times New Roman"/>
        </w:rPr>
        <w:t xml:space="preserve"> in some cases is not possible without undue prejudice.</w:t>
      </w:r>
      <w:r w:rsidRPr="000935F0">
        <w:rPr>
          <w:rStyle w:val="FootnoteReference"/>
          <w:rFonts w:ascii="Times New Roman" w:hAnsi="Times New Roman"/>
          <w:sz w:val="24"/>
        </w:rPr>
        <w:footnoteReference w:id="87"/>
      </w:r>
    </w:p>
    <w:p w14:paraId="468542C1" w14:textId="77777777" w:rsidR="007359C1" w:rsidRPr="000935F0" w:rsidRDefault="007359C1" w:rsidP="000935F0">
      <w:pPr>
        <w:pStyle w:val="HeadingL2"/>
        <w:spacing w:after="260" w:line="280" w:lineRule="exact"/>
        <w:ind w:right="0"/>
        <w:jc w:val="both"/>
        <w:rPr>
          <w:rFonts w:ascii="Times New Roman" w:hAnsi="Times New Roman"/>
        </w:rPr>
      </w:pPr>
      <w:r w:rsidRPr="000935F0">
        <w:rPr>
          <w:rFonts w:ascii="Times New Roman" w:hAnsi="Times New Roman"/>
        </w:rPr>
        <w:t>The ratio decidendi by combining the reasons of the plurality and Steward J</w:t>
      </w:r>
    </w:p>
    <w:p w14:paraId="015EAECC"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 xml:space="preserve">No ratio decidendi of </w:t>
      </w:r>
      <w:r w:rsidRPr="000935F0">
        <w:rPr>
          <w:rFonts w:ascii="Times New Roman" w:hAnsi="Times New Roman"/>
          <w:i/>
          <w:iCs/>
        </w:rPr>
        <w:t xml:space="preserve">SDCV </w:t>
      </w:r>
      <w:r w:rsidRPr="000935F0">
        <w:rPr>
          <w:rFonts w:ascii="Times New Roman" w:hAnsi="Times New Roman"/>
        </w:rPr>
        <w:t>can be identified which is inconsistent with those matters that were essential to Steward J's reasons, namely that it was the particular operation of the scheme of which s 46(2) formed a part that was beneficial and involved no practical injustice, including the three mechanisms rejected or (in the third instance) diminished by the plurality: (</w:t>
      </w:r>
      <w:proofErr w:type="spellStart"/>
      <w:r w:rsidRPr="000935F0">
        <w:rPr>
          <w:rFonts w:ascii="Times New Roman" w:hAnsi="Times New Roman"/>
        </w:rPr>
        <w:t>i</w:t>
      </w:r>
      <w:proofErr w:type="spellEnd"/>
      <w:r w:rsidRPr="000935F0">
        <w:rPr>
          <w:rFonts w:ascii="Times New Roman" w:hAnsi="Times New Roman"/>
        </w:rPr>
        <w:t xml:space="preserve">) a tender requirement; (ii) availability of a special advocate; and (iii) the power to reveal the gist of certified information without revealing the certified content. </w:t>
      </w:r>
    </w:p>
    <w:p w14:paraId="286482EE"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 xml:space="preserve">In the narrow sense of a ratio decidendi—requiring identification of the essential reasoning common to the majority judges at a low level of generality—there was no ratio decidendi in </w:t>
      </w:r>
      <w:r w:rsidRPr="000935F0">
        <w:rPr>
          <w:rFonts w:ascii="Times New Roman" w:hAnsi="Times New Roman"/>
          <w:i/>
          <w:iCs/>
        </w:rPr>
        <w:t xml:space="preserve">SDCV. </w:t>
      </w:r>
      <w:r w:rsidRPr="000935F0">
        <w:rPr>
          <w:rFonts w:ascii="Times New Roman" w:hAnsi="Times New Roman"/>
        </w:rPr>
        <w:t xml:space="preserve">At least two matters that were essential to the reasons of Steward J were rejected by the plurality. But in the broader sense, at a higher level of generality, the ratio decidendi of </w:t>
      </w:r>
      <w:r w:rsidRPr="000935F0">
        <w:rPr>
          <w:rFonts w:ascii="Times New Roman" w:hAnsi="Times New Roman"/>
          <w:i/>
          <w:iCs/>
        </w:rPr>
        <w:t>SDCV</w:t>
      </w:r>
      <w:r w:rsidRPr="000935F0">
        <w:rPr>
          <w:rFonts w:ascii="Times New Roman" w:hAnsi="Times New Roman"/>
        </w:rPr>
        <w:t xml:space="preserve"> is that s 46(2) of the AAT Act, in its </w:t>
      </w:r>
      <w:proofErr w:type="gramStart"/>
      <w:r w:rsidRPr="000935F0">
        <w:rPr>
          <w:rFonts w:ascii="Times New Roman" w:hAnsi="Times New Roman"/>
        </w:rPr>
        <w:t>particular context</w:t>
      </w:r>
      <w:proofErr w:type="gramEnd"/>
      <w:r w:rsidRPr="000935F0">
        <w:rPr>
          <w:rFonts w:ascii="Times New Roman" w:hAnsi="Times New Roman"/>
        </w:rPr>
        <w:t xml:space="preserve">, is consistent with Ch III of the </w:t>
      </w:r>
      <w:r w:rsidRPr="000935F0">
        <w:rPr>
          <w:rFonts w:ascii="Times New Roman" w:hAnsi="Times New Roman"/>
          <w:i/>
          <w:iCs/>
        </w:rPr>
        <w:t xml:space="preserve">Constitution </w:t>
      </w:r>
      <w:r w:rsidRPr="000935F0">
        <w:rPr>
          <w:rFonts w:ascii="Times New Roman" w:hAnsi="Times New Roman"/>
        </w:rPr>
        <w:t xml:space="preserve">because it is not productive of practical injustice.    </w:t>
      </w:r>
    </w:p>
    <w:p w14:paraId="32FFAE7E" w14:textId="77777777" w:rsidR="007359C1" w:rsidRPr="000935F0" w:rsidRDefault="007359C1" w:rsidP="000935F0">
      <w:pPr>
        <w:pStyle w:val="HeadingL1"/>
        <w:spacing w:after="260" w:line="280" w:lineRule="exact"/>
        <w:ind w:right="0"/>
        <w:jc w:val="both"/>
        <w:rPr>
          <w:rFonts w:ascii="Times New Roman" w:hAnsi="Times New Roman"/>
        </w:rPr>
      </w:pPr>
      <w:r w:rsidRPr="000935F0">
        <w:rPr>
          <w:rFonts w:ascii="Times New Roman" w:hAnsi="Times New Roman"/>
        </w:rPr>
        <w:t xml:space="preserve">Should the result in </w:t>
      </w:r>
      <w:r w:rsidRPr="000935F0">
        <w:rPr>
          <w:rFonts w:ascii="Times New Roman" w:hAnsi="Times New Roman"/>
          <w:i/>
          <w:iCs/>
        </w:rPr>
        <w:t xml:space="preserve">SDCV </w:t>
      </w:r>
      <w:r w:rsidRPr="000935F0">
        <w:rPr>
          <w:rFonts w:ascii="Times New Roman" w:hAnsi="Times New Roman"/>
        </w:rPr>
        <w:t>be re-opened in this special case?</w:t>
      </w:r>
    </w:p>
    <w:p w14:paraId="15D5E870"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 xml:space="preserve">There are two broad dimensions of consideration when asking whether the reasoning or result of a case should be re-opened </w:t>
      </w:r>
      <w:proofErr w:type="gramStart"/>
      <w:r w:rsidRPr="000935F0">
        <w:rPr>
          <w:rFonts w:ascii="Times New Roman" w:hAnsi="Times New Roman"/>
        </w:rPr>
        <w:t>in order to</w:t>
      </w:r>
      <w:proofErr w:type="gramEnd"/>
      <w:r w:rsidRPr="000935F0">
        <w:rPr>
          <w:rFonts w:ascii="Times New Roman" w:hAnsi="Times New Roman"/>
        </w:rPr>
        <w:t xml:space="preserve"> determine whether it should be overruled. At the stage of re-opening, those dimensions must be more easily satisfied than when considering whether to overrule the reasoning or result. The two dimensions of consideration, reflected in the factors in </w:t>
      </w:r>
      <w:r w:rsidRPr="000935F0">
        <w:rPr>
          <w:rFonts w:ascii="Times New Roman" w:hAnsi="Times New Roman"/>
          <w:i/>
          <w:iCs/>
        </w:rPr>
        <w:t>John v Federal Commissioner of Taxation</w:t>
      </w:r>
      <w:r w:rsidRPr="000935F0">
        <w:rPr>
          <w:rFonts w:ascii="Times New Roman" w:hAnsi="Times New Roman"/>
        </w:rPr>
        <w:t>,</w:t>
      </w:r>
      <w:r w:rsidRPr="000935F0">
        <w:rPr>
          <w:rStyle w:val="FootnoteReference"/>
          <w:rFonts w:ascii="Times New Roman" w:hAnsi="Times New Roman"/>
          <w:sz w:val="24"/>
        </w:rPr>
        <w:footnoteReference w:id="88"/>
      </w:r>
      <w:r w:rsidRPr="000935F0">
        <w:rPr>
          <w:rFonts w:ascii="Times New Roman" w:hAnsi="Times New Roman"/>
        </w:rPr>
        <w:t xml:space="preserve"> are the extent to which the reasoning or result is erroneous and the consequences of overruling the reasoning or result.</w:t>
      </w:r>
      <w:r w:rsidRPr="000935F0">
        <w:rPr>
          <w:rStyle w:val="FootnoteReference"/>
          <w:rFonts w:ascii="Times New Roman" w:hAnsi="Times New Roman"/>
          <w:sz w:val="24"/>
        </w:rPr>
        <w:footnoteReference w:id="89"/>
      </w:r>
    </w:p>
    <w:p w14:paraId="4A42C58D"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 xml:space="preserve">If the decision in </w:t>
      </w:r>
      <w:r w:rsidRPr="000935F0">
        <w:rPr>
          <w:rFonts w:ascii="Times New Roman" w:hAnsi="Times New Roman"/>
          <w:i/>
          <w:iCs/>
        </w:rPr>
        <w:t xml:space="preserve">SDCV </w:t>
      </w:r>
      <w:r w:rsidRPr="000935F0">
        <w:rPr>
          <w:rFonts w:ascii="Times New Roman" w:hAnsi="Times New Roman"/>
        </w:rPr>
        <w:t>had rested only upon the reasons of the plurality, then there would have been great force to the application to re-open that reasoning.</w:t>
      </w:r>
      <w:r w:rsidRPr="000935F0">
        <w:rPr>
          <w:rStyle w:val="FootnoteReference"/>
          <w:rFonts w:ascii="Times New Roman" w:hAnsi="Times New Roman"/>
          <w:sz w:val="24"/>
        </w:rPr>
        <w:footnoteReference w:id="90"/>
      </w:r>
      <w:r w:rsidRPr="000935F0">
        <w:rPr>
          <w:rFonts w:ascii="Times New Roman" w:hAnsi="Times New Roman"/>
        </w:rPr>
        <w:t xml:space="preserve"> There are grave difficulties with reasoning that treats any court procedure as beneficial, no matter how the litigants are required to be treated by the court, merely because it confers some advantages over other procedures. But the ratio decidendi of </w:t>
      </w:r>
      <w:r w:rsidRPr="000935F0">
        <w:rPr>
          <w:rFonts w:ascii="Times New Roman" w:hAnsi="Times New Roman"/>
          <w:i/>
          <w:iCs/>
        </w:rPr>
        <w:t xml:space="preserve">SDCV </w:t>
      </w:r>
      <w:r w:rsidRPr="000935F0">
        <w:rPr>
          <w:rFonts w:ascii="Times New Roman" w:hAnsi="Times New Roman"/>
        </w:rPr>
        <w:t xml:space="preserve">does not lie in this reasoning of the plurality. It lies in </w:t>
      </w:r>
      <w:r w:rsidRPr="000935F0">
        <w:rPr>
          <w:rFonts w:ascii="Times New Roman" w:hAnsi="Times New Roman"/>
        </w:rPr>
        <w:lastRenderedPageBreak/>
        <w:t xml:space="preserve">the much broader proposition that s 46(2) of the AAT Act is, in its </w:t>
      </w:r>
      <w:proofErr w:type="gramStart"/>
      <w:r w:rsidRPr="000935F0">
        <w:rPr>
          <w:rFonts w:ascii="Times New Roman" w:hAnsi="Times New Roman"/>
        </w:rPr>
        <w:t>particular context</w:t>
      </w:r>
      <w:proofErr w:type="gramEnd"/>
      <w:r w:rsidRPr="000935F0">
        <w:rPr>
          <w:rFonts w:ascii="Times New Roman" w:hAnsi="Times New Roman"/>
        </w:rPr>
        <w:t xml:space="preserve">, consistent with Ch III of the </w:t>
      </w:r>
      <w:r w:rsidRPr="000935F0">
        <w:rPr>
          <w:rFonts w:ascii="Times New Roman" w:hAnsi="Times New Roman"/>
          <w:i/>
          <w:iCs/>
        </w:rPr>
        <w:t xml:space="preserve">Constitution </w:t>
      </w:r>
      <w:r w:rsidRPr="000935F0">
        <w:rPr>
          <w:rFonts w:ascii="Times New Roman" w:hAnsi="Times New Roman"/>
        </w:rPr>
        <w:t xml:space="preserve">because it is not productive of practical injustice.  </w:t>
      </w:r>
    </w:p>
    <w:p w14:paraId="7EA17E89"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 xml:space="preserve">Legislation will not be inconsistent with the requirements of Ch III of the </w:t>
      </w:r>
      <w:r w:rsidRPr="000935F0">
        <w:rPr>
          <w:rFonts w:ascii="Times New Roman" w:hAnsi="Times New Roman"/>
          <w:i/>
          <w:iCs/>
        </w:rPr>
        <w:t xml:space="preserve">Constitution </w:t>
      </w:r>
      <w:r w:rsidRPr="000935F0">
        <w:rPr>
          <w:rFonts w:ascii="Times New Roman" w:hAnsi="Times New Roman"/>
        </w:rPr>
        <w:t xml:space="preserve">merely because it obliges a court to act unjustly. Invalidity will arise only in the extreme category where the legislation is not reasonably capable of being seen as necessary for a legitimate purpose. In making such assessments, reasonable minds can differ. Indeed, on this issue, my conclusion changed between drafts of my reasons in </w:t>
      </w:r>
      <w:r w:rsidRPr="000935F0">
        <w:rPr>
          <w:rFonts w:ascii="Times New Roman" w:hAnsi="Times New Roman"/>
          <w:i/>
          <w:iCs/>
        </w:rPr>
        <w:t>SDCV</w:t>
      </w:r>
      <w:r w:rsidRPr="000935F0">
        <w:rPr>
          <w:rFonts w:ascii="Times New Roman" w:hAnsi="Times New Roman"/>
        </w:rPr>
        <w:t xml:space="preserve">. If, as a matter of interpretation, I had reached the same conclusion as Steward J in relation to either of the first two aspects of the scheme discussed above, then I would have concluded that s 46(2) was valid because it was not productive of sufficient practical injustice when compared with alternatives. In other words, it involved pursuit of a legitimate purpose by means that were reasonably capable of being seen as necessary. </w:t>
      </w:r>
    </w:p>
    <w:p w14:paraId="14803ADE"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 xml:space="preserve">More fundamentally, however, my reasoning in </w:t>
      </w:r>
      <w:r w:rsidRPr="000935F0">
        <w:rPr>
          <w:rFonts w:ascii="Times New Roman" w:hAnsi="Times New Roman"/>
          <w:i/>
          <w:iCs/>
        </w:rPr>
        <w:t>SDCV</w:t>
      </w:r>
      <w:r w:rsidRPr="000935F0">
        <w:rPr>
          <w:rFonts w:ascii="Times New Roman" w:hAnsi="Times New Roman"/>
        </w:rPr>
        <w:t xml:space="preserve"> was not informed by the possibility that s 15A of the </w:t>
      </w:r>
      <w:r w:rsidRPr="000935F0">
        <w:rPr>
          <w:rFonts w:ascii="Times New Roman" w:hAnsi="Times New Roman"/>
          <w:i/>
          <w:iCs/>
        </w:rPr>
        <w:t xml:space="preserve">Acts Interpretation Act 1901 </w:t>
      </w:r>
      <w:r w:rsidRPr="000935F0">
        <w:rPr>
          <w:rFonts w:ascii="Times New Roman" w:hAnsi="Times New Roman"/>
        </w:rPr>
        <w:t>(Cth), or the common law principle of conforming interpretation,</w:t>
      </w:r>
      <w:r w:rsidRPr="000935F0">
        <w:rPr>
          <w:rStyle w:val="FootnoteReference"/>
          <w:rFonts w:ascii="Times New Roman" w:hAnsi="Times New Roman"/>
          <w:sz w:val="24"/>
        </w:rPr>
        <w:footnoteReference w:id="91"/>
      </w:r>
      <w:r w:rsidRPr="000935F0">
        <w:rPr>
          <w:rFonts w:ascii="Times New Roman" w:hAnsi="Times New Roman"/>
        </w:rPr>
        <w:t xml:space="preserve"> might apply so that the Court should prefer an interpretation of s 46(1) that reads that provision as requiring the tender of certified documents. No submission to that effect had been made in </w:t>
      </w:r>
      <w:r w:rsidRPr="000935F0">
        <w:rPr>
          <w:rFonts w:ascii="Times New Roman" w:hAnsi="Times New Roman"/>
          <w:i/>
          <w:iCs/>
        </w:rPr>
        <w:t>SDCV</w:t>
      </w:r>
      <w:r w:rsidRPr="000935F0">
        <w:rPr>
          <w:rFonts w:ascii="Times New Roman" w:hAnsi="Times New Roman"/>
        </w:rPr>
        <w:t xml:space="preserve">. But an argument to that effect was made in this special case. </w:t>
      </w:r>
    </w:p>
    <w:p w14:paraId="165F1C1C"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 xml:space="preserve">For these reasons, not only do I consider it strongly arguable that, contrary to my reasons in that case, the result of </w:t>
      </w:r>
      <w:r w:rsidRPr="000935F0">
        <w:rPr>
          <w:rFonts w:ascii="Times New Roman" w:hAnsi="Times New Roman"/>
          <w:i/>
          <w:iCs/>
        </w:rPr>
        <w:t xml:space="preserve">SDCV </w:t>
      </w:r>
      <w:r w:rsidRPr="000935F0">
        <w:rPr>
          <w:rFonts w:ascii="Times New Roman" w:hAnsi="Times New Roman"/>
        </w:rPr>
        <w:t xml:space="preserve">is correct but I also consider that the result can be justified by the application of principles of proportionality which, by a variety of different labels, have been adopted in numerous areas as a discrimen between constitutional validity and invalidity. In the minority reasons </w:t>
      </w:r>
      <w:r>
        <w:rPr>
          <w:rFonts w:ascii="Times New Roman" w:hAnsi="Times New Roman"/>
        </w:rPr>
        <w:t>given by</w:t>
      </w:r>
      <w:r w:rsidRPr="000935F0">
        <w:rPr>
          <w:rFonts w:ascii="Times New Roman" w:hAnsi="Times New Roman"/>
        </w:rPr>
        <w:t xml:space="preserve"> Gageler J, Gordon J and </w:t>
      </w:r>
      <w:r>
        <w:rPr>
          <w:rFonts w:ascii="Times New Roman" w:hAnsi="Times New Roman"/>
        </w:rPr>
        <w:t>me</w:t>
      </w:r>
      <w:r w:rsidRPr="000935F0">
        <w:rPr>
          <w:rFonts w:ascii="Times New Roman" w:hAnsi="Times New Roman"/>
        </w:rPr>
        <w:t>, it was suggested or held that a framework for consideration might involve asking a question such as whether s 46(2) was reasonably necessary to protect a legitimate public interest.</w:t>
      </w:r>
      <w:r w:rsidRPr="000935F0">
        <w:rPr>
          <w:rStyle w:val="FootnoteReference"/>
          <w:rFonts w:ascii="Times New Roman" w:hAnsi="Times New Roman"/>
          <w:sz w:val="24"/>
        </w:rPr>
        <w:footnoteReference w:id="92"/>
      </w:r>
      <w:r w:rsidRPr="000935F0">
        <w:rPr>
          <w:rFonts w:ascii="Times New Roman" w:hAnsi="Times New Roman"/>
        </w:rPr>
        <w:t xml:space="preserve"> In that sense, the decision can be seen to be justified by a principle that has been worked out in a succession of cases.</w:t>
      </w:r>
      <w:r w:rsidRPr="000935F0">
        <w:rPr>
          <w:rStyle w:val="FootnoteReference"/>
          <w:rFonts w:ascii="Times New Roman" w:hAnsi="Times New Roman"/>
          <w:sz w:val="24"/>
        </w:rPr>
        <w:footnoteReference w:id="93"/>
      </w:r>
      <w:r w:rsidRPr="000935F0">
        <w:rPr>
          <w:rFonts w:ascii="Times New Roman" w:hAnsi="Times New Roman"/>
        </w:rPr>
        <w:t xml:space="preserve"> Apart from one significant issue, addressed below, these matters involving justification weigh heavily against re-opening the result of </w:t>
      </w:r>
      <w:r w:rsidRPr="000935F0">
        <w:rPr>
          <w:rFonts w:ascii="Times New Roman" w:hAnsi="Times New Roman"/>
          <w:i/>
          <w:iCs/>
        </w:rPr>
        <w:t>SDCV</w:t>
      </w:r>
      <w:r w:rsidRPr="000935F0">
        <w:rPr>
          <w:rFonts w:ascii="Times New Roman" w:hAnsi="Times New Roman"/>
        </w:rPr>
        <w:t xml:space="preserve">.  </w:t>
      </w:r>
    </w:p>
    <w:p w14:paraId="59C62042"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 xml:space="preserve">The Commonwealth pointed to </w:t>
      </w:r>
      <w:proofErr w:type="gramStart"/>
      <w:r w:rsidRPr="000935F0">
        <w:rPr>
          <w:rFonts w:ascii="Times New Roman" w:hAnsi="Times New Roman"/>
        </w:rPr>
        <w:t>a number of</w:t>
      </w:r>
      <w:proofErr w:type="gramEnd"/>
      <w:r w:rsidRPr="000935F0">
        <w:rPr>
          <w:rFonts w:ascii="Times New Roman" w:hAnsi="Times New Roman"/>
        </w:rPr>
        <w:t xml:space="preserve"> consequential matters that were said to weigh against re-opening the result in </w:t>
      </w:r>
      <w:r w:rsidRPr="000935F0">
        <w:rPr>
          <w:rFonts w:ascii="Times New Roman" w:hAnsi="Times New Roman"/>
          <w:i/>
          <w:iCs/>
        </w:rPr>
        <w:t>SDCV</w:t>
      </w:r>
      <w:r w:rsidRPr="000935F0">
        <w:rPr>
          <w:rFonts w:ascii="Times New Roman" w:hAnsi="Times New Roman"/>
        </w:rPr>
        <w:t xml:space="preserve">. One of those matters was the </w:t>
      </w:r>
      <w:r w:rsidRPr="000935F0">
        <w:rPr>
          <w:rFonts w:ascii="Times New Roman" w:hAnsi="Times New Roman"/>
        </w:rPr>
        <w:lastRenderedPageBreak/>
        <w:t xml:space="preserve">reliance by the Commonwealth Parliament upon the decision in </w:t>
      </w:r>
      <w:r w:rsidRPr="000935F0">
        <w:rPr>
          <w:rFonts w:ascii="Times New Roman" w:hAnsi="Times New Roman"/>
          <w:i/>
          <w:iCs/>
        </w:rPr>
        <w:t xml:space="preserve">SDCV </w:t>
      </w:r>
      <w:r w:rsidRPr="000935F0">
        <w:rPr>
          <w:rFonts w:ascii="Times New Roman" w:hAnsi="Times New Roman"/>
        </w:rPr>
        <w:t xml:space="preserve">in re-enacting s 46(2) in terms to "materially the same effect" in the </w:t>
      </w:r>
      <w:r w:rsidRPr="000935F0">
        <w:rPr>
          <w:rFonts w:ascii="Times New Roman" w:hAnsi="Times New Roman"/>
          <w:i/>
          <w:iCs/>
        </w:rPr>
        <w:t xml:space="preserve">Administrative Review Tribunal Act 2024 </w:t>
      </w:r>
      <w:r w:rsidRPr="000935F0">
        <w:rPr>
          <w:rFonts w:ascii="Times New Roman" w:hAnsi="Times New Roman"/>
        </w:rPr>
        <w:t>(Cth).</w:t>
      </w:r>
      <w:r w:rsidRPr="000935F0">
        <w:rPr>
          <w:rStyle w:val="FootnoteReference"/>
          <w:rFonts w:ascii="Times New Roman" w:hAnsi="Times New Roman"/>
          <w:sz w:val="24"/>
        </w:rPr>
        <w:footnoteReference w:id="94"/>
      </w:r>
      <w:r w:rsidRPr="000935F0">
        <w:rPr>
          <w:rFonts w:ascii="Times New Roman" w:hAnsi="Times New Roman"/>
        </w:rPr>
        <w:t xml:space="preserve"> But that factor has no real weight in circumstances in which this litigation challenging s 46(2) had been brought before the new legislation was introduced into Parliament. Another matter, which was also the concern of the Attorneys-General for the States of Queensland and Western Australia, intervening, was the reliance by the plurality and by State Parliaments upon the decisions in </w:t>
      </w:r>
      <w:r w:rsidRPr="000935F0">
        <w:rPr>
          <w:rFonts w:ascii="Times New Roman" w:hAnsi="Times New Roman"/>
          <w:i/>
          <w:iCs/>
        </w:rPr>
        <w:t>Gypsy Jokers Motorcycle Club Inc v Commissioner of Police</w:t>
      </w:r>
      <w:r w:rsidRPr="000935F0">
        <w:rPr>
          <w:rStyle w:val="FootnoteReference"/>
          <w:rFonts w:ascii="Times New Roman" w:hAnsi="Times New Roman"/>
          <w:sz w:val="24"/>
        </w:rPr>
        <w:footnoteReference w:id="95"/>
      </w:r>
      <w:r w:rsidRPr="000935F0">
        <w:rPr>
          <w:rFonts w:ascii="Times New Roman" w:hAnsi="Times New Roman"/>
          <w:i/>
          <w:iCs/>
        </w:rPr>
        <w:t xml:space="preserve"> </w:t>
      </w:r>
      <w:r w:rsidRPr="000935F0">
        <w:rPr>
          <w:rFonts w:ascii="Times New Roman" w:hAnsi="Times New Roman"/>
        </w:rPr>
        <w:t xml:space="preserve">and </w:t>
      </w:r>
      <w:r w:rsidRPr="000935F0">
        <w:rPr>
          <w:rFonts w:ascii="Times New Roman" w:hAnsi="Times New Roman"/>
          <w:i/>
          <w:iCs/>
        </w:rPr>
        <w:t>Condon v Pompano Pty Ltd</w:t>
      </w:r>
      <w:r w:rsidRPr="000935F0">
        <w:rPr>
          <w:rFonts w:ascii="Times New Roman" w:hAnsi="Times New Roman"/>
        </w:rPr>
        <w:t>.</w:t>
      </w:r>
      <w:r w:rsidRPr="000935F0">
        <w:rPr>
          <w:rStyle w:val="FootnoteReference"/>
          <w:rFonts w:ascii="Times New Roman" w:hAnsi="Times New Roman"/>
          <w:sz w:val="24"/>
        </w:rPr>
        <w:footnoteReference w:id="96"/>
      </w:r>
      <w:r w:rsidRPr="000935F0">
        <w:rPr>
          <w:rFonts w:ascii="Times New Roman" w:hAnsi="Times New Roman"/>
        </w:rPr>
        <w:t xml:space="preserve"> But neither of those decisions required the conclusion that s 46(2) was valid and neither decision established a clear test of validity for provisions closer to the border of invalidity such as s 46(2) of the AAT Act.</w:t>
      </w:r>
    </w:p>
    <w:p w14:paraId="20D065C3"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The one significant issue that weighs heavily in favour of re</w:t>
      </w:r>
      <w:r w:rsidRPr="000935F0">
        <w:rPr>
          <w:rFonts w:ascii="Times New Roman" w:hAnsi="Times New Roman"/>
        </w:rPr>
        <w:noBreakHyphen/>
        <w:t xml:space="preserve">opening is the lack of any ratio decidendi in </w:t>
      </w:r>
      <w:r w:rsidRPr="000935F0">
        <w:rPr>
          <w:rFonts w:ascii="Times New Roman" w:hAnsi="Times New Roman"/>
          <w:i/>
          <w:iCs/>
        </w:rPr>
        <w:t xml:space="preserve">SDCV </w:t>
      </w:r>
      <w:r w:rsidRPr="000935F0">
        <w:rPr>
          <w:rFonts w:ascii="Times New Roman" w:hAnsi="Times New Roman"/>
        </w:rPr>
        <w:t xml:space="preserve">at lower levels of generality. If the same issue were litigated in the Federal Court of Australia, a Federal Court judge would have no binding reasoning to follow concerning a procedure that would minimise injustice. Are certified documents required to be tendered </w:t>
      </w:r>
      <w:proofErr w:type="gramStart"/>
      <w:r w:rsidRPr="000935F0">
        <w:rPr>
          <w:rFonts w:ascii="Times New Roman" w:hAnsi="Times New Roman"/>
        </w:rPr>
        <w:t>in order to</w:t>
      </w:r>
      <w:proofErr w:type="gramEnd"/>
      <w:r w:rsidRPr="000935F0">
        <w:rPr>
          <w:rFonts w:ascii="Times New Roman" w:hAnsi="Times New Roman"/>
        </w:rPr>
        <w:t xml:space="preserve"> be considered by a court? The plurality reasons held that tender is not required because s 46(1) meant that the documents are already "before the Federal Court".</w:t>
      </w:r>
      <w:r w:rsidRPr="000935F0">
        <w:rPr>
          <w:rStyle w:val="FootnoteReference"/>
          <w:rFonts w:ascii="Times New Roman" w:hAnsi="Times New Roman"/>
          <w:sz w:val="24"/>
        </w:rPr>
        <w:footnoteReference w:id="97"/>
      </w:r>
      <w:r w:rsidRPr="000935F0">
        <w:rPr>
          <w:rFonts w:ascii="Times New Roman" w:hAnsi="Times New Roman"/>
        </w:rPr>
        <w:t xml:space="preserve"> Steward J's reasons held that their tender is required. Could a special advocate be appointed by the Court? The plurality reasons held that one could not. Steward J's reasons held that one could. Is </w:t>
      </w:r>
      <w:proofErr w:type="spellStart"/>
      <w:r w:rsidRPr="000935F0">
        <w:rPr>
          <w:rFonts w:ascii="Times New Roman" w:hAnsi="Times New Roman"/>
        </w:rPr>
        <w:t>gisting</w:t>
      </w:r>
      <w:proofErr w:type="spellEnd"/>
      <w:r w:rsidRPr="000935F0">
        <w:rPr>
          <w:rFonts w:ascii="Times New Roman" w:hAnsi="Times New Roman"/>
        </w:rPr>
        <w:t xml:space="preserve"> generally available? The plurality doubt that it is but Steward J implicitly recognises the ingenuity of creative lawyers.    </w:t>
      </w:r>
    </w:p>
    <w:p w14:paraId="75DC9EE3"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 xml:space="preserve">Ultimately, there is much to be said for re-opening </w:t>
      </w:r>
      <w:r w:rsidRPr="000935F0">
        <w:rPr>
          <w:rFonts w:ascii="Times New Roman" w:hAnsi="Times New Roman"/>
          <w:i/>
          <w:iCs/>
        </w:rPr>
        <w:t xml:space="preserve">SDCV </w:t>
      </w:r>
      <w:r w:rsidRPr="000935F0">
        <w:rPr>
          <w:rFonts w:ascii="Times New Roman" w:hAnsi="Times New Roman"/>
        </w:rPr>
        <w:t>to re-explain a result that has no ratio decidendi in a narrow sense, even if the result of the decision would just be reaffirmed. History reveals the danger of the opposite approach taken</w:t>
      </w:r>
      <w:r w:rsidRPr="000935F0">
        <w:rPr>
          <w:rFonts w:ascii="Times New Roman" w:hAnsi="Times New Roman"/>
          <w:iCs/>
        </w:rPr>
        <w:t xml:space="preserve"> in </w:t>
      </w:r>
      <w:proofErr w:type="spellStart"/>
      <w:r w:rsidRPr="000935F0">
        <w:rPr>
          <w:rFonts w:ascii="Times New Roman" w:hAnsi="Times New Roman"/>
          <w:i/>
          <w:iCs/>
        </w:rPr>
        <w:t>Evda</w:t>
      </w:r>
      <w:proofErr w:type="spellEnd"/>
      <w:r w:rsidRPr="000935F0">
        <w:rPr>
          <w:rFonts w:ascii="Times New Roman" w:hAnsi="Times New Roman"/>
          <w:i/>
          <w:iCs/>
        </w:rPr>
        <w:t xml:space="preserve"> Nominees Pty Ltd v Victoria</w:t>
      </w:r>
      <w:r w:rsidRPr="000935F0">
        <w:rPr>
          <w:rFonts w:ascii="Times New Roman" w:hAnsi="Times New Roman"/>
        </w:rPr>
        <w:t>,</w:t>
      </w:r>
      <w:r w:rsidRPr="000935F0">
        <w:rPr>
          <w:rStyle w:val="FootnoteReference"/>
          <w:rFonts w:ascii="Times New Roman" w:hAnsi="Times New Roman"/>
          <w:iCs/>
          <w:sz w:val="24"/>
        </w:rPr>
        <w:footnoteReference w:id="98"/>
      </w:r>
      <w:r w:rsidRPr="000935F0">
        <w:rPr>
          <w:rFonts w:ascii="Times New Roman" w:hAnsi="Times New Roman"/>
          <w:iCs/>
        </w:rPr>
        <w:t xml:space="preserve"> where six members of this Court refused leave to argue for a result that was contrary to earlier decisions of the Court,</w:t>
      </w:r>
      <w:r w:rsidRPr="000935F0">
        <w:rPr>
          <w:rStyle w:val="FootnoteReference"/>
          <w:rFonts w:ascii="Times New Roman" w:hAnsi="Times New Roman"/>
          <w:iCs/>
          <w:sz w:val="24"/>
        </w:rPr>
        <w:footnoteReference w:id="99"/>
      </w:r>
      <w:r w:rsidRPr="000935F0">
        <w:rPr>
          <w:rFonts w:ascii="Times New Roman" w:hAnsi="Times New Roman"/>
          <w:iCs/>
        </w:rPr>
        <w:t xml:space="preserve"> even though those earlier decisions may have had no ratio decidendi in the narrow sense, standing instead "as authority for a result, rather than for any strand of reasoning </w:t>
      </w:r>
      <w:r w:rsidRPr="000935F0">
        <w:rPr>
          <w:rFonts w:ascii="Times New Roman" w:hAnsi="Times New Roman"/>
          <w:iCs/>
        </w:rPr>
        <w:lastRenderedPageBreak/>
        <w:t>common to a majority of Justices"</w:t>
      </w:r>
      <w:r w:rsidRPr="000935F0">
        <w:rPr>
          <w:rFonts w:ascii="Times New Roman" w:hAnsi="Times New Roman"/>
        </w:rPr>
        <w:t>.</w:t>
      </w:r>
      <w:r w:rsidRPr="000935F0">
        <w:rPr>
          <w:rStyle w:val="FootnoteReference"/>
          <w:rFonts w:ascii="Times New Roman" w:hAnsi="Times New Roman"/>
          <w:iCs/>
          <w:sz w:val="24"/>
        </w:rPr>
        <w:footnoteReference w:id="100"/>
      </w:r>
      <w:r w:rsidRPr="000935F0">
        <w:rPr>
          <w:rFonts w:ascii="Times New Roman" w:hAnsi="Times New Roman"/>
          <w:iCs/>
        </w:rPr>
        <w:t xml:space="preserve"> The six members of this Court said, referring to those cases, that the impugned legislation was indistinguishable from legislation previously upheld and the Court should not "</w:t>
      </w:r>
      <w:r w:rsidRPr="000935F0">
        <w:rPr>
          <w:rFonts w:ascii="Times New Roman" w:hAnsi="Times New Roman"/>
        </w:rPr>
        <w:t>hear further argument urging it to depart from the actual decision reached in those cases".</w:t>
      </w:r>
      <w:r w:rsidRPr="000935F0">
        <w:rPr>
          <w:rStyle w:val="FootnoteReference"/>
          <w:rFonts w:ascii="Times New Roman" w:hAnsi="Times New Roman"/>
          <w:sz w:val="24"/>
        </w:rPr>
        <w:footnoteReference w:id="101"/>
      </w:r>
      <w:r w:rsidRPr="000935F0">
        <w:rPr>
          <w:rFonts w:ascii="Times New Roman" w:hAnsi="Times New Roman"/>
        </w:rPr>
        <w:t xml:space="preserve"> With hindsight, that reasoning might be seen as short-sighted. It was, perhaps, inevitable that decisions lacking the support of any clear principle, and unsupported by any ratio decidendi in a narrow sense, would eventually be re-opened,</w:t>
      </w:r>
      <w:r w:rsidRPr="000935F0">
        <w:rPr>
          <w:rStyle w:val="FootnoteReference"/>
          <w:rFonts w:ascii="Times New Roman" w:hAnsi="Times New Roman"/>
          <w:sz w:val="24"/>
        </w:rPr>
        <w:footnoteReference w:id="102"/>
      </w:r>
      <w:r w:rsidRPr="000935F0">
        <w:rPr>
          <w:rFonts w:ascii="Times New Roman" w:hAnsi="Times New Roman"/>
        </w:rPr>
        <w:t xml:space="preserve"> at least "in order to settle ... constitutional doctrine".</w:t>
      </w:r>
      <w:r w:rsidRPr="000935F0">
        <w:rPr>
          <w:rStyle w:val="FootnoteReference"/>
          <w:rFonts w:ascii="Times New Roman" w:hAnsi="Times New Roman"/>
          <w:sz w:val="24"/>
        </w:rPr>
        <w:footnoteReference w:id="103"/>
      </w:r>
    </w:p>
    <w:p w14:paraId="2BC85B62"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On the other hand, there is a strong likelihood that any re</w:t>
      </w:r>
      <w:r w:rsidRPr="000935F0">
        <w:rPr>
          <w:rFonts w:ascii="Times New Roman" w:hAnsi="Times New Roman"/>
        </w:rPr>
        <w:noBreakHyphen/>
        <w:t xml:space="preserve">opening of </w:t>
      </w:r>
      <w:r w:rsidRPr="000935F0">
        <w:rPr>
          <w:rFonts w:ascii="Times New Roman" w:hAnsi="Times New Roman"/>
          <w:i/>
          <w:iCs/>
        </w:rPr>
        <w:t>SDCV</w:t>
      </w:r>
      <w:r w:rsidRPr="000935F0">
        <w:rPr>
          <w:rFonts w:ascii="Times New Roman" w:hAnsi="Times New Roman"/>
        </w:rPr>
        <w:t xml:space="preserve"> for this Court to re-explain the result on a cogent basis could fail to achieve that objective and leave lower courts in a state of even greater uncertainty. The large variety of ways in which both the plaintiff and the Commonwealth conceived of a valid operation of s 46(2) within the scheme in which it existed, and the numerous permutations explored by the different members of this Court over two hearings of this special case, present a real possibility that the reasoning of this Court would splinter even further than it did in </w:t>
      </w:r>
      <w:r w:rsidRPr="000935F0">
        <w:rPr>
          <w:rFonts w:ascii="Times New Roman" w:hAnsi="Times New Roman"/>
          <w:i/>
          <w:iCs/>
        </w:rPr>
        <w:t>SDCV</w:t>
      </w:r>
      <w:r w:rsidRPr="000935F0">
        <w:rPr>
          <w:rFonts w:ascii="Times New Roman" w:hAnsi="Times New Roman"/>
        </w:rPr>
        <w:t xml:space="preserve">. My present view, therefore, is that the development of the principles underlying the result in </w:t>
      </w:r>
      <w:r w:rsidRPr="000935F0">
        <w:rPr>
          <w:rFonts w:ascii="Times New Roman" w:hAnsi="Times New Roman"/>
          <w:i/>
          <w:iCs/>
        </w:rPr>
        <w:t xml:space="preserve">SDCV </w:t>
      </w:r>
      <w:r w:rsidRPr="000935F0">
        <w:rPr>
          <w:rFonts w:ascii="Times New Roman" w:hAnsi="Times New Roman"/>
        </w:rPr>
        <w:t xml:space="preserve">should, for the time being, be left to lower courts. </w:t>
      </w:r>
    </w:p>
    <w:p w14:paraId="40668E40" w14:textId="77777777" w:rsidR="007359C1" w:rsidRPr="000935F0" w:rsidRDefault="007359C1" w:rsidP="000935F0">
      <w:pPr>
        <w:pStyle w:val="FixListStyle"/>
        <w:spacing w:after="260" w:line="280" w:lineRule="exact"/>
        <w:ind w:right="0"/>
        <w:jc w:val="both"/>
        <w:rPr>
          <w:rFonts w:ascii="Times New Roman" w:hAnsi="Times New Roman"/>
        </w:rPr>
      </w:pPr>
      <w:r w:rsidRPr="000935F0">
        <w:rPr>
          <w:rFonts w:ascii="Times New Roman" w:hAnsi="Times New Roman"/>
        </w:rPr>
        <w:tab/>
        <w:t>There are numerous creative possibilities that might be explored in the lower courts to deal with potential injustice to an applicant. Some of those were explored during the hearing of this special case. Just to develop a single example: rather than relying upon the court, of its own motion, to review the validity of the certification of documents,</w:t>
      </w:r>
      <w:r w:rsidRPr="000935F0">
        <w:rPr>
          <w:rStyle w:val="FootnoteReference"/>
          <w:rFonts w:ascii="Times New Roman" w:hAnsi="Times New Roman"/>
          <w:sz w:val="24"/>
        </w:rPr>
        <w:footnoteReference w:id="104"/>
      </w:r>
      <w:r w:rsidRPr="000935F0">
        <w:rPr>
          <w:rFonts w:ascii="Times New Roman" w:hAnsi="Times New Roman"/>
        </w:rPr>
        <w:t xml:space="preserve"> an applicant might arguably obtain court scrutiny of the certified documents by concurrent proceedings under s 39B of the </w:t>
      </w:r>
      <w:r w:rsidRPr="000935F0">
        <w:rPr>
          <w:rFonts w:ascii="Times New Roman" w:hAnsi="Times New Roman"/>
          <w:i/>
          <w:iCs/>
        </w:rPr>
        <w:t xml:space="preserve">Judiciary Act </w:t>
      </w:r>
      <w:r w:rsidRPr="000935F0">
        <w:rPr>
          <w:rFonts w:ascii="Times New Roman" w:hAnsi="Times New Roman"/>
        </w:rPr>
        <w:t xml:space="preserve">(or s 75(v) of the </w:t>
      </w:r>
      <w:r w:rsidRPr="000935F0">
        <w:rPr>
          <w:rFonts w:ascii="Times New Roman" w:hAnsi="Times New Roman"/>
          <w:i/>
          <w:iCs/>
        </w:rPr>
        <w:t>Constitution</w:t>
      </w:r>
      <w:r w:rsidRPr="000935F0">
        <w:rPr>
          <w:rFonts w:ascii="Times New Roman" w:hAnsi="Times New Roman"/>
        </w:rPr>
        <w:t xml:space="preserve">) and s 44(1) of the AAT Act (or its equivalent now in the </w:t>
      </w:r>
      <w:r w:rsidRPr="000935F0">
        <w:rPr>
          <w:rFonts w:ascii="Times New Roman" w:hAnsi="Times New Roman"/>
          <w:i/>
          <w:iCs/>
        </w:rPr>
        <w:t>Administrative Review Tribunal Act</w:t>
      </w:r>
      <w:r w:rsidRPr="000935F0">
        <w:rPr>
          <w:rFonts w:ascii="Times New Roman" w:hAnsi="Times New Roman"/>
        </w:rPr>
        <w:t xml:space="preserve">). A preliminary determination of public interest immunity could be made in the s 39B proceeding, with a s 44 proceeding to be commenced in the event that the public interest immunity challenge </w:t>
      </w:r>
      <w:proofErr w:type="gramStart"/>
      <w:r w:rsidRPr="000935F0">
        <w:rPr>
          <w:rFonts w:ascii="Times New Roman" w:hAnsi="Times New Roman"/>
        </w:rPr>
        <w:t>were</w:t>
      </w:r>
      <w:proofErr w:type="gramEnd"/>
      <w:r w:rsidRPr="000935F0">
        <w:rPr>
          <w:rFonts w:ascii="Times New Roman" w:hAnsi="Times New Roman"/>
        </w:rPr>
        <w:t xml:space="preserve"> upheld. Further, some potential injustice might be avoided by lower courts carefully disclosing the gist of certified information, including by </w:t>
      </w:r>
      <w:proofErr w:type="gramStart"/>
      <w:r w:rsidRPr="000935F0">
        <w:rPr>
          <w:rFonts w:ascii="Times New Roman" w:hAnsi="Times New Roman"/>
        </w:rPr>
        <w:lastRenderedPageBreak/>
        <w:t>close scrutiny</w:t>
      </w:r>
      <w:proofErr w:type="gramEnd"/>
      <w:r w:rsidRPr="000935F0">
        <w:rPr>
          <w:rFonts w:ascii="Times New Roman" w:hAnsi="Times New Roman"/>
        </w:rPr>
        <w:t xml:space="preserve"> of the generality with which the ASIO Minister has described "the matter".</w:t>
      </w:r>
      <w:r w:rsidRPr="000935F0">
        <w:rPr>
          <w:rStyle w:val="FootnoteReference"/>
          <w:rFonts w:ascii="Times New Roman" w:hAnsi="Times New Roman"/>
          <w:sz w:val="24"/>
        </w:rPr>
        <w:footnoteReference w:id="105"/>
      </w:r>
      <w:r w:rsidRPr="000935F0">
        <w:rPr>
          <w:rFonts w:ascii="Times New Roman" w:hAnsi="Times New Roman"/>
        </w:rPr>
        <w:t xml:space="preserve"> </w:t>
      </w:r>
    </w:p>
    <w:p w14:paraId="396C0A50" w14:textId="77777777" w:rsidR="007359C1" w:rsidRPr="000935F0" w:rsidRDefault="007359C1" w:rsidP="000935F0">
      <w:pPr>
        <w:pStyle w:val="HeadingL1"/>
        <w:spacing w:after="260" w:line="280" w:lineRule="exact"/>
        <w:ind w:right="0"/>
        <w:jc w:val="both"/>
        <w:rPr>
          <w:rFonts w:ascii="Times New Roman" w:hAnsi="Times New Roman"/>
        </w:rPr>
      </w:pPr>
      <w:r w:rsidRPr="000935F0">
        <w:rPr>
          <w:rFonts w:ascii="Times New Roman" w:hAnsi="Times New Roman"/>
        </w:rPr>
        <w:t>Conclusion</w:t>
      </w:r>
    </w:p>
    <w:p w14:paraId="178D3078" w14:textId="082D59F7" w:rsidR="00235D86" w:rsidRPr="007359C1" w:rsidRDefault="007359C1" w:rsidP="007359C1">
      <w:pPr>
        <w:pStyle w:val="FixListStyle"/>
        <w:spacing w:after="260" w:line="280" w:lineRule="exact"/>
        <w:ind w:right="0"/>
        <w:jc w:val="both"/>
        <w:rPr>
          <w:rFonts w:ascii="Times New Roman" w:hAnsi="Times New Roman"/>
        </w:rPr>
      </w:pPr>
      <w:r w:rsidRPr="000935F0">
        <w:rPr>
          <w:rFonts w:ascii="Times New Roman" w:hAnsi="Times New Roman"/>
        </w:rPr>
        <w:tab/>
        <w:t xml:space="preserve">I agree with the answers proposed by the joint judgment to the questions in this special case.  </w:t>
      </w:r>
    </w:p>
    <w:sectPr w:rsidR="00235D86" w:rsidRPr="007359C1" w:rsidSect="007359C1">
      <w:headerReference w:type="even" r:id="rId23"/>
      <w:headerReference w:type="default" r:id="rId24"/>
      <w:headerReference w:type="first" r:id="rId25"/>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0C0B6" w14:textId="77777777" w:rsidR="00DB4BAF" w:rsidRDefault="00DB4BAF">
      <w:pPr>
        <w:spacing w:line="240" w:lineRule="auto"/>
      </w:pPr>
      <w:r>
        <w:separator/>
      </w:r>
    </w:p>
  </w:endnote>
  <w:endnote w:type="continuationSeparator" w:id="0">
    <w:p w14:paraId="6D0989CF" w14:textId="77777777" w:rsidR="00DB4BAF" w:rsidRDefault="00DB4BAF">
      <w:pPr>
        <w:spacing w:line="240" w:lineRule="auto"/>
      </w:pPr>
      <w:r>
        <w:continuationSeparator/>
      </w:r>
    </w:p>
  </w:endnote>
  <w:endnote w:type="continuationNotice" w:id="1">
    <w:p w14:paraId="610F1C70" w14:textId="77777777" w:rsidR="00DB4BAF" w:rsidRDefault="00DB4B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64089" w14:textId="77777777" w:rsidR="00C7596E" w:rsidRDefault="00C75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750F8" w14:textId="77777777" w:rsidR="00C7596E" w:rsidRDefault="00C759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2CEEE" w14:textId="77777777" w:rsidR="00C7596E" w:rsidRDefault="00C759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7352E" w14:textId="77777777" w:rsidR="00C7596E" w:rsidRDefault="00C759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0B257" w14:textId="77777777" w:rsidR="00C7596E" w:rsidRDefault="00C759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032BA" w14:textId="77777777" w:rsidR="00C7596E" w:rsidRDefault="00C75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A367D" w14:textId="77777777" w:rsidR="00DB4BAF" w:rsidRPr="006632F7" w:rsidRDefault="00DB4BAF" w:rsidP="006632F7">
      <w:pPr>
        <w:pStyle w:val="Footer"/>
        <w:spacing w:before="120" w:after="20"/>
        <w:ind w:right="0"/>
        <w:rPr>
          <w:rFonts w:ascii="Times New Roman" w:hAnsi="Times New Roman"/>
        </w:rPr>
      </w:pPr>
      <w:r>
        <w:continuationSeparator/>
      </w:r>
    </w:p>
  </w:footnote>
  <w:footnote w:type="continuationSeparator" w:id="0">
    <w:p w14:paraId="0760AC9F" w14:textId="77777777" w:rsidR="00DB4BAF" w:rsidRPr="006632F7" w:rsidRDefault="00DB4BAF" w:rsidP="006632F7">
      <w:pPr>
        <w:pStyle w:val="Footer"/>
        <w:spacing w:before="120" w:after="20"/>
        <w:ind w:right="0"/>
        <w:rPr>
          <w:rFonts w:ascii="Times New Roman" w:hAnsi="Times New Roman"/>
        </w:rPr>
      </w:pPr>
      <w:r w:rsidRPr="006632F7">
        <w:rPr>
          <w:rFonts w:ascii="Times New Roman" w:hAnsi="Times New Roman"/>
        </w:rPr>
        <w:continuationSeparator/>
      </w:r>
    </w:p>
  </w:footnote>
  <w:footnote w:type="continuationNotice" w:id="1">
    <w:p w14:paraId="5F56C334" w14:textId="77777777" w:rsidR="00DB4BAF" w:rsidRPr="007359C1" w:rsidRDefault="00DB4BAF">
      <w:pPr>
        <w:jc w:val="right"/>
        <w:rPr>
          <w:rFonts w:ascii="Times New Roman" w:hAnsi="Times New Roman"/>
          <w:sz w:val="24"/>
        </w:rPr>
      </w:pPr>
    </w:p>
  </w:footnote>
  <w:footnote w:id="2">
    <w:p w14:paraId="53C9E780" w14:textId="2EDE283B" w:rsidR="00F074C3" w:rsidRPr="006632F7" w:rsidRDefault="00F074C3"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t>(2022) 277 CLR 241.</w:t>
      </w:r>
    </w:p>
  </w:footnote>
  <w:footnote w:id="3">
    <w:p w14:paraId="0E660BFE" w14:textId="40572C76" w:rsidR="0054383C" w:rsidRPr="006632F7" w:rsidRDefault="0054383C"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t xml:space="preserve">Along with interveners the Attorneys-General for </w:t>
      </w:r>
      <w:r w:rsidR="009B36E9" w:rsidRPr="006632F7">
        <w:rPr>
          <w:rFonts w:ascii="Times New Roman" w:hAnsi="Times New Roman"/>
          <w:sz w:val="24"/>
        </w:rPr>
        <w:t>Tasmania, Queensland, Western Australia, and New South Wales.</w:t>
      </w:r>
    </w:p>
  </w:footnote>
  <w:footnote w:id="4">
    <w:p w14:paraId="4F895802" w14:textId="128F2609" w:rsidR="00A13C08" w:rsidRPr="006632F7" w:rsidRDefault="00A13C08"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t xml:space="preserve">(2022) 277 CLR 241 at </w:t>
      </w:r>
      <w:r w:rsidR="00A72674" w:rsidRPr="006632F7">
        <w:rPr>
          <w:rFonts w:ascii="Times New Roman" w:hAnsi="Times New Roman"/>
          <w:sz w:val="24"/>
        </w:rPr>
        <w:t xml:space="preserve">338 [270], </w:t>
      </w:r>
      <w:r w:rsidR="00016BA7" w:rsidRPr="006632F7">
        <w:rPr>
          <w:rFonts w:ascii="Times New Roman" w:hAnsi="Times New Roman"/>
          <w:sz w:val="24"/>
        </w:rPr>
        <w:t>34</w:t>
      </w:r>
      <w:r w:rsidR="00003C1D" w:rsidRPr="006632F7">
        <w:rPr>
          <w:rFonts w:ascii="Times New Roman" w:hAnsi="Times New Roman"/>
          <w:sz w:val="24"/>
        </w:rPr>
        <w:t>2</w:t>
      </w:r>
      <w:r w:rsidR="00016BA7" w:rsidRPr="006632F7">
        <w:rPr>
          <w:rFonts w:ascii="Times New Roman" w:hAnsi="Times New Roman"/>
          <w:sz w:val="24"/>
        </w:rPr>
        <w:t xml:space="preserve"> [280], </w:t>
      </w:r>
      <w:r w:rsidR="008C7FA1" w:rsidRPr="006632F7">
        <w:rPr>
          <w:rFonts w:ascii="Times New Roman" w:hAnsi="Times New Roman"/>
          <w:sz w:val="24"/>
        </w:rPr>
        <w:t>346-</w:t>
      </w:r>
      <w:r w:rsidR="00B61431" w:rsidRPr="006632F7">
        <w:rPr>
          <w:rFonts w:ascii="Times New Roman" w:hAnsi="Times New Roman"/>
          <w:sz w:val="24"/>
        </w:rPr>
        <w:t>353</w:t>
      </w:r>
      <w:r w:rsidR="008C7FA1" w:rsidRPr="006632F7">
        <w:rPr>
          <w:rFonts w:ascii="Times New Roman" w:hAnsi="Times New Roman"/>
          <w:sz w:val="24"/>
        </w:rPr>
        <w:t xml:space="preserve"> [291]-</w:t>
      </w:r>
      <w:r w:rsidR="00B61431" w:rsidRPr="006632F7">
        <w:rPr>
          <w:rFonts w:ascii="Times New Roman" w:hAnsi="Times New Roman"/>
          <w:sz w:val="24"/>
        </w:rPr>
        <w:t>[309].</w:t>
      </w:r>
    </w:p>
  </w:footnote>
  <w:footnote w:id="5">
    <w:p w14:paraId="0DDF6FE0" w14:textId="77777777" w:rsidR="00E502C4" w:rsidRPr="006632F7" w:rsidRDefault="00E502C4"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r>
      <w:r w:rsidRPr="006632F7">
        <w:rPr>
          <w:rFonts w:ascii="Times New Roman" w:hAnsi="Times New Roman"/>
          <w:i/>
          <w:iCs/>
          <w:sz w:val="24"/>
        </w:rPr>
        <w:t>SDCV v Director-General of Security</w:t>
      </w:r>
      <w:r w:rsidRPr="006632F7">
        <w:rPr>
          <w:rFonts w:ascii="Times New Roman" w:hAnsi="Times New Roman"/>
          <w:sz w:val="24"/>
        </w:rPr>
        <w:t xml:space="preserve"> (2021) 284 FCR 357.</w:t>
      </w:r>
    </w:p>
  </w:footnote>
  <w:footnote w:id="6">
    <w:p w14:paraId="1838529F" w14:textId="17F613DC" w:rsidR="00C7234D" w:rsidRPr="006632F7" w:rsidRDefault="00C7234D"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r>
      <w:r w:rsidR="00AC53B2" w:rsidRPr="006632F7">
        <w:rPr>
          <w:rFonts w:ascii="Times New Roman" w:hAnsi="Times New Roman"/>
          <w:sz w:val="24"/>
        </w:rPr>
        <w:t>See, e</w:t>
      </w:r>
      <w:r w:rsidRPr="006632F7">
        <w:rPr>
          <w:rFonts w:ascii="Times New Roman" w:hAnsi="Times New Roman"/>
          <w:sz w:val="24"/>
        </w:rPr>
        <w:t>g, (2022) 277 CLR 2</w:t>
      </w:r>
      <w:r w:rsidR="00B62276" w:rsidRPr="006632F7">
        <w:rPr>
          <w:rFonts w:ascii="Times New Roman" w:hAnsi="Times New Roman"/>
          <w:sz w:val="24"/>
        </w:rPr>
        <w:t>41</w:t>
      </w:r>
      <w:r w:rsidRPr="006632F7">
        <w:rPr>
          <w:rFonts w:ascii="Times New Roman" w:hAnsi="Times New Roman"/>
          <w:sz w:val="24"/>
        </w:rPr>
        <w:t xml:space="preserve"> at 278 [83]. </w:t>
      </w:r>
    </w:p>
  </w:footnote>
  <w:footnote w:id="7">
    <w:p w14:paraId="4E127F95" w14:textId="6B9A9B38" w:rsidR="00555047" w:rsidRPr="006632F7" w:rsidRDefault="00555047"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r>
      <w:r w:rsidR="0048520B" w:rsidRPr="006632F7">
        <w:rPr>
          <w:rFonts w:ascii="Times New Roman" w:hAnsi="Times New Roman"/>
          <w:sz w:val="24"/>
        </w:rPr>
        <w:t>(</w:t>
      </w:r>
      <w:r w:rsidRPr="006632F7">
        <w:rPr>
          <w:rFonts w:ascii="Times New Roman" w:hAnsi="Times New Roman"/>
          <w:sz w:val="24"/>
        </w:rPr>
        <w:t>2022) 277 CLR 2</w:t>
      </w:r>
      <w:r w:rsidR="00604D06" w:rsidRPr="006632F7">
        <w:rPr>
          <w:rFonts w:ascii="Times New Roman" w:hAnsi="Times New Roman"/>
          <w:sz w:val="24"/>
        </w:rPr>
        <w:t>41</w:t>
      </w:r>
      <w:r w:rsidRPr="006632F7">
        <w:rPr>
          <w:rFonts w:ascii="Times New Roman" w:hAnsi="Times New Roman"/>
          <w:sz w:val="24"/>
        </w:rPr>
        <w:t xml:space="preserve"> at 282 [96].</w:t>
      </w:r>
      <w:r w:rsidR="003B59C1" w:rsidRPr="006632F7">
        <w:rPr>
          <w:rFonts w:ascii="Times New Roman" w:hAnsi="Times New Roman"/>
          <w:sz w:val="24"/>
        </w:rPr>
        <w:t xml:space="preserve"> See also </w:t>
      </w:r>
      <w:r w:rsidR="00813C98" w:rsidRPr="006632F7">
        <w:rPr>
          <w:rFonts w:ascii="Times New Roman" w:hAnsi="Times New Roman"/>
          <w:i/>
          <w:iCs/>
          <w:sz w:val="24"/>
        </w:rPr>
        <w:t>Residual Assco</w:t>
      </w:r>
      <w:r w:rsidR="00E35CE1" w:rsidRPr="006632F7">
        <w:rPr>
          <w:rFonts w:ascii="Times New Roman" w:hAnsi="Times New Roman"/>
          <w:i/>
          <w:iCs/>
          <w:sz w:val="24"/>
        </w:rPr>
        <w:t xml:space="preserve"> Group Ltd v Spalvins</w:t>
      </w:r>
      <w:r w:rsidR="00E35CE1" w:rsidRPr="006632F7">
        <w:rPr>
          <w:rFonts w:ascii="Times New Roman" w:hAnsi="Times New Roman"/>
          <w:sz w:val="24"/>
        </w:rPr>
        <w:t xml:space="preserve"> (2000) 202 CLR 629 at </w:t>
      </w:r>
      <w:r w:rsidR="000B0F2F" w:rsidRPr="006632F7">
        <w:rPr>
          <w:rFonts w:ascii="Times New Roman" w:hAnsi="Times New Roman"/>
          <w:sz w:val="24"/>
        </w:rPr>
        <w:t>644 [28].</w:t>
      </w:r>
    </w:p>
  </w:footnote>
  <w:footnote w:id="8">
    <w:p w14:paraId="4EA7E5D3" w14:textId="2EF8A0F9" w:rsidR="00DA2384" w:rsidRPr="006632F7" w:rsidRDefault="00DA2384"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r>
      <w:r w:rsidR="00CF301F" w:rsidRPr="006632F7">
        <w:rPr>
          <w:rFonts w:ascii="Times New Roman" w:hAnsi="Times New Roman"/>
          <w:sz w:val="24"/>
        </w:rPr>
        <w:t>(</w:t>
      </w:r>
      <w:r w:rsidRPr="006632F7">
        <w:rPr>
          <w:rFonts w:ascii="Times New Roman" w:hAnsi="Times New Roman"/>
          <w:sz w:val="24"/>
        </w:rPr>
        <w:t>2022) 277 CLR 2</w:t>
      </w:r>
      <w:r w:rsidR="00B62276" w:rsidRPr="006632F7">
        <w:rPr>
          <w:rFonts w:ascii="Times New Roman" w:hAnsi="Times New Roman"/>
          <w:sz w:val="24"/>
        </w:rPr>
        <w:t>41</w:t>
      </w:r>
      <w:r w:rsidRPr="006632F7">
        <w:rPr>
          <w:rFonts w:ascii="Times New Roman" w:hAnsi="Times New Roman"/>
          <w:sz w:val="24"/>
        </w:rPr>
        <w:t xml:space="preserve"> at</w:t>
      </w:r>
      <w:r w:rsidR="00CF301F" w:rsidRPr="006632F7">
        <w:rPr>
          <w:rFonts w:ascii="Times New Roman" w:hAnsi="Times New Roman"/>
          <w:sz w:val="24"/>
        </w:rPr>
        <w:t xml:space="preserve"> 278</w:t>
      </w:r>
      <w:r w:rsidR="00A03A55" w:rsidRPr="006632F7">
        <w:rPr>
          <w:rFonts w:ascii="Times New Roman" w:hAnsi="Times New Roman"/>
          <w:sz w:val="24"/>
        </w:rPr>
        <w:t xml:space="preserve"> </w:t>
      </w:r>
      <w:r w:rsidR="00CF301F" w:rsidRPr="006632F7">
        <w:rPr>
          <w:rFonts w:ascii="Times New Roman" w:hAnsi="Times New Roman"/>
          <w:sz w:val="24"/>
        </w:rPr>
        <w:t xml:space="preserve">[83], </w:t>
      </w:r>
      <w:r w:rsidR="00A03A55" w:rsidRPr="006632F7">
        <w:rPr>
          <w:rFonts w:ascii="Times New Roman" w:hAnsi="Times New Roman"/>
          <w:sz w:val="24"/>
        </w:rPr>
        <w:t>281 [91]</w:t>
      </w:r>
      <w:r w:rsidR="00E92646" w:rsidRPr="006632F7">
        <w:rPr>
          <w:rFonts w:ascii="Times New Roman" w:hAnsi="Times New Roman"/>
          <w:sz w:val="24"/>
        </w:rPr>
        <w:t>.</w:t>
      </w:r>
      <w:r w:rsidR="00A03A55" w:rsidRPr="006632F7">
        <w:rPr>
          <w:rFonts w:ascii="Times New Roman" w:hAnsi="Times New Roman"/>
          <w:sz w:val="24"/>
        </w:rPr>
        <w:t xml:space="preserve"> </w:t>
      </w:r>
    </w:p>
  </w:footnote>
  <w:footnote w:id="9">
    <w:p w14:paraId="6C99DCC3" w14:textId="3D255FD1" w:rsidR="008F05E9" w:rsidRPr="006632F7" w:rsidRDefault="008F05E9"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r>
      <w:r w:rsidR="00A83EB4" w:rsidRPr="006632F7">
        <w:rPr>
          <w:rFonts w:ascii="Times New Roman" w:hAnsi="Times New Roman"/>
          <w:sz w:val="24"/>
        </w:rPr>
        <w:t>(2022) 277 CLR 2</w:t>
      </w:r>
      <w:r w:rsidR="00B62276" w:rsidRPr="006632F7">
        <w:rPr>
          <w:rFonts w:ascii="Times New Roman" w:hAnsi="Times New Roman"/>
          <w:sz w:val="24"/>
        </w:rPr>
        <w:t>41</w:t>
      </w:r>
      <w:r w:rsidR="00A83EB4" w:rsidRPr="006632F7">
        <w:rPr>
          <w:rFonts w:ascii="Times New Roman" w:hAnsi="Times New Roman"/>
          <w:sz w:val="24"/>
        </w:rPr>
        <w:t xml:space="preserve"> at 254 [12].</w:t>
      </w:r>
    </w:p>
  </w:footnote>
  <w:footnote w:id="10">
    <w:p w14:paraId="3118DA71" w14:textId="5DD9B1C3" w:rsidR="005133FF" w:rsidRPr="006632F7" w:rsidRDefault="005133FF"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t>(2022) 277 CLR 2</w:t>
      </w:r>
      <w:r w:rsidR="00B62276" w:rsidRPr="006632F7">
        <w:rPr>
          <w:rFonts w:ascii="Times New Roman" w:hAnsi="Times New Roman"/>
          <w:sz w:val="24"/>
        </w:rPr>
        <w:t>41</w:t>
      </w:r>
      <w:r w:rsidRPr="006632F7">
        <w:rPr>
          <w:rFonts w:ascii="Times New Roman" w:hAnsi="Times New Roman"/>
          <w:sz w:val="24"/>
        </w:rPr>
        <w:t xml:space="preserve"> at 254 [12].</w:t>
      </w:r>
    </w:p>
  </w:footnote>
  <w:footnote w:id="11">
    <w:p w14:paraId="400DC366" w14:textId="0E52DD23" w:rsidR="00961464" w:rsidRPr="006632F7" w:rsidRDefault="00961464"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t xml:space="preserve">(2022) 277 CLR 241 at </w:t>
      </w:r>
      <w:r w:rsidR="00CC1BC3" w:rsidRPr="006632F7">
        <w:rPr>
          <w:rFonts w:ascii="Times New Roman" w:hAnsi="Times New Roman"/>
          <w:sz w:val="24"/>
        </w:rPr>
        <w:t>298 [152].</w:t>
      </w:r>
    </w:p>
  </w:footnote>
  <w:footnote w:id="12">
    <w:p w14:paraId="54C1DE53" w14:textId="6B293F82" w:rsidR="00AE2408" w:rsidRPr="006632F7" w:rsidRDefault="00AE2408"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r>
      <w:r w:rsidR="007B296F" w:rsidRPr="006632F7">
        <w:rPr>
          <w:rFonts w:ascii="Times New Roman" w:hAnsi="Times New Roman"/>
          <w:sz w:val="24"/>
        </w:rPr>
        <w:t>(2022) 277 CLR 2</w:t>
      </w:r>
      <w:r w:rsidR="0097262D" w:rsidRPr="006632F7">
        <w:rPr>
          <w:rFonts w:ascii="Times New Roman" w:hAnsi="Times New Roman"/>
          <w:sz w:val="24"/>
        </w:rPr>
        <w:t>41</w:t>
      </w:r>
      <w:r w:rsidR="007B296F" w:rsidRPr="006632F7">
        <w:rPr>
          <w:rFonts w:ascii="Times New Roman" w:hAnsi="Times New Roman"/>
          <w:sz w:val="24"/>
        </w:rPr>
        <w:t xml:space="preserve"> at 286 [112].</w:t>
      </w:r>
    </w:p>
  </w:footnote>
  <w:footnote w:id="13">
    <w:p w14:paraId="1F92E4DB" w14:textId="28764E3F" w:rsidR="0021535E" w:rsidRPr="006632F7" w:rsidRDefault="0021535E"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t>(2022) 277 CLR 2</w:t>
      </w:r>
      <w:r w:rsidR="0097262D" w:rsidRPr="006632F7">
        <w:rPr>
          <w:rFonts w:ascii="Times New Roman" w:hAnsi="Times New Roman"/>
          <w:sz w:val="24"/>
        </w:rPr>
        <w:t>41</w:t>
      </w:r>
      <w:r w:rsidRPr="006632F7">
        <w:rPr>
          <w:rFonts w:ascii="Times New Roman" w:hAnsi="Times New Roman"/>
          <w:sz w:val="24"/>
        </w:rPr>
        <w:t xml:space="preserve"> at </w:t>
      </w:r>
      <w:r w:rsidR="00B840C1" w:rsidRPr="006632F7">
        <w:rPr>
          <w:rFonts w:ascii="Times New Roman" w:hAnsi="Times New Roman"/>
          <w:sz w:val="24"/>
        </w:rPr>
        <w:t>301 [162].</w:t>
      </w:r>
    </w:p>
  </w:footnote>
  <w:footnote w:id="14">
    <w:p w14:paraId="26AA394B" w14:textId="5DA48FA4" w:rsidR="000B6193" w:rsidRPr="006632F7" w:rsidRDefault="000B6193"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t>(2022) 277 CLR 2</w:t>
      </w:r>
      <w:r w:rsidR="0097262D" w:rsidRPr="006632F7">
        <w:rPr>
          <w:rFonts w:ascii="Times New Roman" w:hAnsi="Times New Roman"/>
          <w:sz w:val="24"/>
        </w:rPr>
        <w:t>41</w:t>
      </w:r>
      <w:r w:rsidRPr="006632F7">
        <w:rPr>
          <w:rFonts w:ascii="Times New Roman" w:hAnsi="Times New Roman"/>
          <w:sz w:val="24"/>
        </w:rPr>
        <w:t xml:space="preserve"> at </w:t>
      </w:r>
      <w:r w:rsidR="00D53570" w:rsidRPr="006632F7">
        <w:rPr>
          <w:rFonts w:ascii="Times New Roman" w:hAnsi="Times New Roman"/>
          <w:sz w:val="24"/>
        </w:rPr>
        <w:t>303 [170].</w:t>
      </w:r>
    </w:p>
  </w:footnote>
  <w:footnote w:id="15">
    <w:p w14:paraId="344FB847" w14:textId="0D276EBB" w:rsidR="00BA3B76" w:rsidRPr="006632F7" w:rsidRDefault="00BA3B76"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t>(2022) 277 CLR 2</w:t>
      </w:r>
      <w:r w:rsidR="0097262D" w:rsidRPr="006632F7">
        <w:rPr>
          <w:rFonts w:ascii="Times New Roman" w:hAnsi="Times New Roman"/>
          <w:sz w:val="24"/>
        </w:rPr>
        <w:t>41</w:t>
      </w:r>
      <w:r w:rsidRPr="006632F7">
        <w:rPr>
          <w:rFonts w:ascii="Times New Roman" w:hAnsi="Times New Roman"/>
          <w:sz w:val="24"/>
        </w:rPr>
        <w:t xml:space="preserve"> at 309 [17</w:t>
      </w:r>
      <w:r w:rsidR="00093420" w:rsidRPr="006632F7">
        <w:rPr>
          <w:rFonts w:ascii="Times New Roman" w:hAnsi="Times New Roman"/>
          <w:sz w:val="24"/>
        </w:rPr>
        <w:t>9</w:t>
      </w:r>
      <w:r w:rsidRPr="006632F7">
        <w:rPr>
          <w:rFonts w:ascii="Times New Roman" w:hAnsi="Times New Roman"/>
          <w:sz w:val="24"/>
        </w:rPr>
        <w:t xml:space="preserve">]. </w:t>
      </w:r>
    </w:p>
  </w:footnote>
  <w:footnote w:id="16">
    <w:p w14:paraId="08325ED1" w14:textId="5E5ECF7D" w:rsidR="00DD295D" w:rsidRPr="006632F7" w:rsidRDefault="00DD295D"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r>
      <w:r w:rsidR="00B07EAE" w:rsidRPr="006632F7">
        <w:rPr>
          <w:rFonts w:ascii="Times New Roman" w:hAnsi="Times New Roman"/>
          <w:sz w:val="24"/>
        </w:rPr>
        <w:t>(2022) 277 CLR 2</w:t>
      </w:r>
      <w:r w:rsidR="0097262D" w:rsidRPr="006632F7">
        <w:rPr>
          <w:rFonts w:ascii="Times New Roman" w:hAnsi="Times New Roman"/>
          <w:sz w:val="24"/>
        </w:rPr>
        <w:t>41</w:t>
      </w:r>
      <w:r w:rsidR="00B07EAE" w:rsidRPr="006632F7">
        <w:rPr>
          <w:rFonts w:ascii="Times New Roman" w:hAnsi="Times New Roman"/>
          <w:sz w:val="24"/>
        </w:rPr>
        <w:t xml:space="preserve"> at 312</w:t>
      </w:r>
      <w:r w:rsidR="00867971" w:rsidRPr="006632F7">
        <w:rPr>
          <w:rFonts w:ascii="Times New Roman" w:hAnsi="Times New Roman"/>
          <w:sz w:val="24"/>
        </w:rPr>
        <w:t>-313</w:t>
      </w:r>
      <w:r w:rsidR="00B07EAE" w:rsidRPr="006632F7">
        <w:rPr>
          <w:rFonts w:ascii="Times New Roman" w:hAnsi="Times New Roman"/>
          <w:sz w:val="24"/>
        </w:rPr>
        <w:t xml:space="preserve"> [189].</w:t>
      </w:r>
    </w:p>
  </w:footnote>
  <w:footnote w:id="17">
    <w:p w14:paraId="134F1A8A" w14:textId="7225C287" w:rsidR="00E06C31" w:rsidRPr="006632F7" w:rsidRDefault="00E06C31"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t>(2022) 277 CLR 2</w:t>
      </w:r>
      <w:r w:rsidR="00DD54D4" w:rsidRPr="006632F7">
        <w:rPr>
          <w:rFonts w:ascii="Times New Roman" w:hAnsi="Times New Roman"/>
          <w:sz w:val="24"/>
        </w:rPr>
        <w:t>41</w:t>
      </w:r>
      <w:r w:rsidRPr="006632F7">
        <w:rPr>
          <w:rFonts w:ascii="Times New Roman" w:hAnsi="Times New Roman"/>
          <w:sz w:val="24"/>
        </w:rPr>
        <w:t xml:space="preserve"> at 3</w:t>
      </w:r>
      <w:r w:rsidR="00110B2B" w:rsidRPr="006632F7">
        <w:rPr>
          <w:rFonts w:ascii="Times New Roman" w:hAnsi="Times New Roman"/>
          <w:sz w:val="24"/>
        </w:rPr>
        <w:t>22</w:t>
      </w:r>
      <w:r w:rsidRPr="006632F7">
        <w:rPr>
          <w:rFonts w:ascii="Times New Roman" w:hAnsi="Times New Roman"/>
          <w:sz w:val="24"/>
        </w:rPr>
        <w:t xml:space="preserve"> [</w:t>
      </w:r>
      <w:r w:rsidR="00110B2B" w:rsidRPr="006632F7">
        <w:rPr>
          <w:rFonts w:ascii="Times New Roman" w:hAnsi="Times New Roman"/>
          <w:sz w:val="24"/>
        </w:rPr>
        <w:t>2</w:t>
      </w:r>
      <w:r w:rsidRPr="006632F7">
        <w:rPr>
          <w:rFonts w:ascii="Times New Roman" w:hAnsi="Times New Roman"/>
          <w:sz w:val="24"/>
        </w:rPr>
        <w:t>2</w:t>
      </w:r>
      <w:r w:rsidR="00110B2B" w:rsidRPr="006632F7">
        <w:rPr>
          <w:rFonts w:ascii="Times New Roman" w:hAnsi="Times New Roman"/>
          <w:sz w:val="24"/>
        </w:rPr>
        <w:t>0</w:t>
      </w:r>
      <w:r w:rsidRPr="006632F7">
        <w:rPr>
          <w:rFonts w:ascii="Times New Roman" w:hAnsi="Times New Roman"/>
          <w:sz w:val="24"/>
        </w:rPr>
        <w:t>].</w:t>
      </w:r>
    </w:p>
  </w:footnote>
  <w:footnote w:id="18">
    <w:p w14:paraId="077F3406" w14:textId="2DA4B732" w:rsidR="004D1788" w:rsidRPr="006632F7" w:rsidRDefault="004D1788"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t>(2022) 277 CLR 2</w:t>
      </w:r>
      <w:r w:rsidR="00DD54D4" w:rsidRPr="006632F7">
        <w:rPr>
          <w:rFonts w:ascii="Times New Roman" w:hAnsi="Times New Roman"/>
          <w:sz w:val="24"/>
        </w:rPr>
        <w:t>41</w:t>
      </w:r>
      <w:r w:rsidRPr="006632F7">
        <w:rPr>
          <w:rFonts w:ascii="Times New Roman" w:hAnsi="Times New Roman"/>
          <w:sz w:val="24"/>
        </w:rPr>
        <w:t xml:space="preserve"> at 323 </w:t>
      </w:r>
      <w:r w:rsidR="00386F2F" w:rsidRPr="006632F7">
        <w:rPr>
          <w:rFonts w:ascii="Times New Roman" w:hAnsi="Times New Roman"/>
          <w:sz w:val="24"/>
        </w:rPr>
        <w:t xml:space="preserve">[223]. </w:t>
      </w:r>
    </w:p>
  </w:footnote>
  <w:footnote w:id="19">
    <w:p w14:paraId="70E825F4" w14:textId="2314C046" w:rsidR="00C6558F" w:rsidRPr="006632F7" w:rsidRDefault="00C6558F"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t>(2022) 277 CLR 2</w:t>
      </w:r>
      <w:r w:rsidR="00DD54D4" w:rsidRPr="006632F7">
        <w:rPr>
          <w:rFonts w:ascii="Times New Roman" w:hAnsi="Times New Roman"/>
          <w:sz w:val="24"/>
        </w:rPr>
        <w:t>41</w:t>
      </w:r>
      <w:r w:rsidRPr="006632F7">
        <w:rPr>
          <w:rFonts w:ascii="Times New Roman" w:hAnsi="Times New Roman"/>
          <w:sz w:val="24"/>
        </w:rPr>
        <w:t xml:space="preserve"> at</w:t>
      </w:r>
      <w:r w:rsidR="004B2850" w:rsidRPr="006632F7">
        <w:rPr>
          <w:rFonts w:ascii="Times New Roman" w:hAnsi="Times New Roman"/>
          <w:sz w:val="24"/>
        </w:rPr>
        <w:t xml:space="preserve"> 338 [270].</w:t>
      </w:r>
    </w:p>
  </w:footnote>
  <w:footnote w:id="20">
    <w:p w14:paraId="578305F4" w14:textId="6E20FF5D" w:rsidR="006E78AA" w:rsidRPr="006632F7" w:rsidRDefault="006E78AA"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r>
      <w:r w:rsidR="00512135" w:rsidRPr="006632F7">
        <w:rPr>
          <w:rFonts w:ascii="Times New Roman" w:hAnsi="Times New Roman"/>
          <w:sz w:val="24"/>
        </w:rPr>
        <w:t>(</w:t>
      </w:r>
      <w:r w:rsidRPr="006632F7">
        <w:rPr>
          <w:rFonts w:ascii="Times New Roman" w:hAnsi="Times New Roman"/>
          <w:sz w:val="24"/>
        </w:rPr>
        <w:t>2022) 277 CLR 2</w:t>
      </w:r>
      <w:r w:rsidR="00DD54D4" w:rsidRPr="006632F7">
        <w:rPr>
          <w:rFonts w:ascii="Times New Roman" w:hAnsi="Times New Roman"/>
          <w:sz w:val="24"/>
        </w:rPr>
        <w:t>41</w:t>
      </w:r>
      <w:r w:rsidRPr="006632F7">
        <w:rPr>
          <w:rFonts w:ascii="Times New Roman" w:hAnsi="Times New Roman"/>
          <w:sz w:val="24"/>
        </w:rPr>
        <w:t xml:space="preserve"> at 344 [286].</w:t>
      </w:r>
    </w:p>
  </w:footnote>
  <w:footnote w:id="21">
    <w:p w14:paraId="56FED670" w14:textId="03237AE2" w:rsidR="006E78AA" w:rsidRPr="006632F7" w:rsidRDefault="006E78AA"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r>
      <w:r w:rsidR="00512135" w:rsidRPr="006632F7">
        <w:rPr>
          <w:rFonts w:ascii="Times New Roman" w:hAnsi="Times New Roman"/>
          <w:sz w:val="24"/>
        </w:rPr>
        <w:t>(2022) 277 CLR 2</w:t>
      </w:r>
      <w:r w:rsidR="00DD54D4" w:rsidRPr="006632F7">
        <w:rPr>
          <w:rFonts w:ascii="Times New Roman" w:hAnsi="Times New Roman"/>
          <w:sz w:val="24"/>
        </w:rPr>
        <w:t>41</w:t>
      </w:r>
      <w:r w:rsidR="00512135" w:rsidRPr="006632F7">
        <w:rPr>
          <w:rFonts w:ascii="Times New Roman" w:hAnsi="Times New Roman"/>
          <w:sz w:val="24"/>
        </w:rPr>
        <w:t xml:space="preserve"> at 345</w:t>
      </w:r>
      <w:r w:rsidR="003B7D66" w:rsidRPr="006632F7">
        <w:rPr>
          <w:rFonts w:ascii="Times New Roman" w:hAnsi="Times New Roman"/>
          <w:sz w:val="24"/>
        </w:rPr>
        <w:t xml:space="preserve">-352 </w:t>
      </w:r>
      <w:r w:rsidR="007D4B8A" w:rsidRPr="006632F7">
        <w:rPr>
          <w:rFonts w:ascii="Times New Roman" w:hAnsi="Times New Roman"/>
          <w:sz w:val="24"/>
        </w:rPr>
        <w:t>[287]-</w:t>
      </w:r>
      <w:r w:rsidR="003B7D66" w:rsidRPr="006632F7">
        <w:rPr>
          <w:rFonts w:ascii="Times New Roman" w:hAnsi="Times New Roman"/>
          <w:sz w:val="24"/>
        </w:rPr>
        <w:t>[304]</w:t>
      </w:r>
      <w:r w:rsidR="009E0EEF">
        <w:rPr>
          <w:rFonts w:ascii="Times New Roman" w:hAnsi="Times New Roman"/>
          <w:sz w:val="24"/>
        </w:rPr>
        <w:t>.</w:t>
      </w:r>
    </w:p>
  </w:footnote>
  <w:footnote w:id="22">
    <w:p w14:paraId="5BFA09AE" w14:textId="07BAD002" w:rsidR="005A3947" w:rsidRPr="006632F7" w:rsidRDefault="005A3947"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t>(2022) 277 CLR 2</w:t>
      </w:r>
      <w:r w:rsidR="00DD54D4" w:rsidRPr="006632F7">
        <w:rPr>
          <w:rFonts w:ascii="Times New Roman" w:hAnsi="Times New Roman"/>
          <w:sz w:val="24"/>
        </w:rPr>
        <w:t>41</w:t>
      </w:r>
      <w:r w:rsidRPr="006632F7">
        <w:rPr>
          <w:rFonts w:ascii="Times New Roman" w:hAnsi="Times New Roman"/>
          <w:sz w:val="24"/>
        </w:rPr>
        <w:t xml:space="preserve"> at 353 [309].</w:t>
      </w:r>
    </w:p>
  </w:footnote>
  <w:footnote w:id="23">
    <w:p w14:paraId="00BA5E4C" w14:textId="24CA8724" w:rsidR="00BA278C" w:rsidRPr="006632F7" w:rsidRDefault="00BA278C"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t>(2022) 277 CLR 2</w:t>
      </w:r>
      <w:r w:rsidR="00DD54D4" w:rsidRPr="006632F7">
        <w:rPr>
          <w:rFonts w:ascii="Times New Roman" w:hAnsi="Times New Roman"/>
          <w:sz w:val="24"/>
        </w:rPr>
        <w:t>41</w:t>
      </w:r>
      <w:r w:rsidRPr="006632F7">
        <w:rPr>
          <w:rFonts w:ascii="Times New Roman" w:hAnsi="Times New Roman"/>
          <w:sz w:val="24"/>
        </w:rPr>
        <w:t xml:space="preserve"> at </w:t>
      </w:r>
      <w:r w:rsidR="00133999" w:rsidRPr="006632F7">
        <w:rPr>
          <w:rFonts w:ascii="Times New Roman" w:hAnsi="Times New Roman"/>
          <w:sz w:val="24"/>
        </w:rPr>
        <w:t>353-</w:t>
      </w:r>
      <w:r w:rsidR="00E87123" w:rsidRPr="006632F7">
        <w:rPr>
          <w:rFonts w:ascii="Times New Roman" w:hAnsi="Times New Roman"/>
          <w:sz w:val="24"/>
        </w:rPr>
        <w:t>356</w:t>
      </w:r>
      <w:r w:rsidR="00133999" w:rsidRPr="006632F7">
        <w:rPr>
          <w:rFonts w:ascii="Times New Roman" w:hAnsi="Times New Roman"/>
          <w:sz w:val="24"/>
        </w:rPr>
        <w:t xml:space="preserve"> [310]-[314].</w:t>
      </w:r>
    </w:p>
  </w:footnote>
  <w:footnote w:id="24">
    <w:p w14:paraId="503DF155" w14:textId="08AF3335" w:rsidR="00E87123" w:rsidRPr="006632F7" w:rsidRDefault="00E87123"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r>
      <w:r w:rsidR="00931EE2" w:rsidRPr="006632F7">
        <w:rPr>
          <w:rFonts w:ascii="Times New Roman" w:hAnsi="Times New Roman"/>
          <w:sz w:val="24"/>
        </w:rPr>
        <w:t>(</w:t>
      </w:r>
      <w:r w:rsidRPr="006632F7">
        <w:rPr>
          <w:rFonts w:ascii="Times New Roman" w:hAnsi="Times New Roman"/>
          <w:sz w:val="24"/>
        </w:rPr>
        <w:t>2022) 277 CLR 2</w:t>
      </w:r>
      <w:r w:rsidR="00DD54D4" w:rsidRPr="006632F7">
        <w:rPr>
          <w:rFonts w:ascii="Times New Roman" w:hAnsi="Times New Roman"/>
          <w:sz w:val="24"/>
        </w:rPr>
        <w:t>41</w:t>
      </w:r>
      <w:r w:rsidRPr="006632F7">
        <w:rPr>
          <w:rFonts w:ascii="Times New Roman" w:hAnsi="Times New Roman"/>
          <w:sz w:val="24"/>
        </w:rPr>
        <w:t xml:space="preserve"> at 356 [315].</w:t>
      </w:r>
    </w:p>
  </w:footnote>
  <w:footnote w:id="25">
    <w:p w14:paraId="158F152B" w14:textId="77777777" w:rsidR="005B13C4" w:rsidRPr="006632F7" w:rsidRDefault="005B13C4"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t>(2022) 277 CLR 241 at 273 [67], 276-278 [75]-[83], 284 [101], 353-356 [309]-[314].</w:t>
      </w:r>
    </w:p>
  </w:footnote>
  <w:footnote w:id="26">
    <w:p w14:paraId="4BE9BD56" w14:textId="444C3941" w:rsidR="00931EE2" w:rsidRPr="006632F7" w:rsidRDefault="00931EE2"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t>(2022) 277 CLR 2</w:t>
      </w:r>
      <w:r w:rsidR="00DD54D4" w:rsidRPr="006632F7">
        <w:rPr>
          <w:rFonts w:ascii="Times New Roman" w:hAnsi="Times New Roman"/>
          <w:sz w:val="24"/>
        </w:rPr>
        <w:t>41</w:t>
      </w:r>
      <w:r w:rsidRPr="006632F7">
        <w:rPr>
          <w:rFonts w:ascii="Times New Roman" w:hAnsi="Times New Roman"/>
          <w:sz w:val="24"/>
        </w:rPr>
        <w:t xml:space="preserve"> at </w:t>
      </w:r>
      <w:r w:rsidR="00DF44C4" w:rsidRPr="006632F7">
        <w:rPr>
          <w:rFonts w:ascii="Times New Roman" w:hAnsi="Times New Roman"/>
          <w:sz w:val="24"/>
        </w:rPr>
        <w:t>353 [308].</w:t>
      </w:r>
    </w:p>
  </w:footnote>
  <w:footnote w:id="27">
    <w:p w14:paraId="3D472487" w14:textId="3B3D4F43" w:rsidR="003F3542" w:rsidRPr="006632F7" w:rsidRDefault="003F3542"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t>(2022) 277 CLR 2</w:t>
      </w:r>
      <w:r w:rsidR="00DD54D4" w:rsidRPr="006632F7">
        <w:rPr>
          <w:rFonts w:ascii="Times New Roman" w:hAnsi="Times New Roman"/>
          <w:sz w:val="24"/>
        </w:rPr>
        <w:t>41</w:t>
      </w:r>
      <w:r w:rsidRPr="006632F7">
        <w:rPr>
          <w:rFonts w:ascii="Times New Roman" w:hAnsi="Times New Roman"/>
          <w:sz w:val="24"/>
        </w:rPr>
        <w:t xml:space="preserve"> at </w:t>
      </w:r>
      <w:r w:rsidR="008B0ABE" w:rsidRPr="006632F7">
        <w:rPr>
          <w:rFonts w:ascii="Times New Roman" w:hAnsi="Times New Roman"/>
          <w:sz w:val="24"/>
        </w:rPr>
        <w:t>356 [314].</w:t>
      </w:r>
    </w:p>
  </w:footnote>
  <w:footnote w:id="28">
    <w:p w14:paraId="7E1F8524" w14:textId="01D223CC" w:rsidR="00A61640" w:rsidRPr="006632F7" w:rsidRDefault="00A61640"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r>
      <w:r w:rsidR="00451E23" w:rsidRPr="006632F7">
        <w:rPr>
          <w:rFonts w:ascii="Times New Roman" w:hAnsi="Times New Roman"/>
          <w:i/>
          <w:iCs/>
          <w:sz w:val="24"/>
        </w:rPr>
        <w:t>Coleman v Power</w:t>
      </w:r>
      <w:r w:rsidR="00451E23" w:rsidRPr="006632F7">
        <w:rPr>
          <w:rFonts w:ascii="Times New Roman" w:hAnsi="Times New Roman"/>
          <w:sz w:val="24"/>
        </w:rPr>
        <w:t xml:space="preserve"> (2004) 220 CLR 1 at </w:t>
      </w:r>
      <w:r w:rsidR="003A1D03" w:rsidRPr="006632F7">
        <w:rPr>
          <w:rFonts w:ascii="Times New Roman" w:hAnsi="Times New Roman"/>
          <w:sz w:val="24"/>
        </w:rPr>
        <w:t>44</w:t>
      </w:r>
      <w:r w:rsidR="00934168" w:rsidRPr="006632F7">
        <w:rPr>
          <w:rFonts w:ascii="Times New Roman" w:hAnsi="Times New Roman"/>
          <w:sz w:val="24"/>
        </w:rPr>
        <w:t xml:space="preserve"> </w:t>
      </w:r>
      <w:r w:rsidR="00451E23" w:rsidRPr="006632F7">
        <w:rPr>
          <w:rFonts w:ascii="Times New Roman" w:hAnsi="Times New Roman"/>
          <w:sz w:val="24"/>
        </w:rPr>
        <w:t>[79].</w:t>
      </w:r>
    </w:p>
  </w:footnote>
  <w:footnote w:id="29">
    <w:p w14:paraId="0379970A" w14:textId="77777777" w:rsidR="00560458" w:rsidRPr="006632F7" w:rsidRDefault="00560458"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t>(1989) 166 CLR 417 at 438-439.</w:t>
      </w:r>
    </w:p>
  </w:footnote>
  <w:footnote w:id="30">
    <w:p w14:paraId="255B9369" w14:textId="659F64E1" w:rsidR="00987D29" w:rsidRPr="006632F7" w:rsidRDefault="00987D29"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r>
      <w:r w:rsidR="00DB6C32" w:rsidRPr="006632F7">
        <w:rPr>
          <w:rFonts w:ascii="Times New Roman" w:hAnsi="Times New Roman"/>
          <w:i/>
          <w:iCs/>
          <w:sz w:val="24"/>
        </w:rPr>
        <w:t>John v Federal Commissioner of Taxation</w:t>
      </w:r>
      <w:r w:rsidR="00DB6C32" w:rsidRPr="006632F7">
        <w:rPr>
          <w:rFonts w:ascii="Times New Roman" w:hAnsi="Times New Roman"/>
          <w:sz w:val="24"/>
        </w:rPr>
        <w:t xml:space="preserve"> (1989) 166 CLR 417 at 438.</w:t>
      </w:r>
    </w:p>
  </w:footnote>
  <w:footnote w:id="31">
    <w:p w14:paraId="3E039BB7" w14:textId="2B6F982D" w:rsidR="00987D29" w:rsidRPr="006632F7" w:rsidRDefault="00987D29"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r>
      <w:r w:rsidR="00BD2A1E" w:rsidRPr="006632F7">
        <w:rPr>
          <w:rFonts w:ascii="Times New Roman" w:hAnsi="Times New Roman"/>
          <w:i/>
          <w:iCs/>
          <w:sz w:val="24"/>
        </w:rPr>
        <w:t xml:space="preserve">Queensland v </w:t>
      </w:r>
      <w:r w:rsidR="006F7DD1" w:rsidRPr="006632F7">
        <w:rPr>
          <w:rFonts w:ascii="Times New Roman" w:hAnsi="Times New Roman"/>
          <w:i/>
          <w:iCs/>
          <w:sz w:val="24"/>
        </w:rPr>
        <w:t xml:space="preserve">The </w:t>
      </w:r>
      <w:r w:rsidR="00BD2A1E" w:rsidRPr="006632F7">
        <w:rPr>
          <w:rFonts w:ascii="Times New Roman" w:hAnsi="Times New Roman"/>
          <w:i/>
          <w:iCs/>
          <w:sz w:val="24"/>
        </w:rPr>
        <w:t>Commonwealth</w:t>
      </w:r>
      <w:r w:rsidR="00BD2A1E" w:rsidRPr="006632F7">
        <w:rPr>
          <w:rFonts w:ascii="Times New Roman" w:hAnsi="Times New Roman"/>
          <w:sz w:val="24"/>
        </w:rPr>
        <w:t xml:space="preserve"> (1977) 139 CLR 585 at 630.</w:t>
      </w:r>
    </w:p>
  </w:footnote>
  <w:footnote w:id="32">
    <w:p w14:paraId="6E14B4B0" w14:textId="1E3E88D4" w:rsidR="00DB6640" w:rsidRPr="006632F7" w:rsidRDefault="00DB6640"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r>
      <w:r w:rsidRPr="006632F7">
        <w:rPr>
          <w:rFonts w:ascii="Times New Roman" w:hAnsi="Times New Roman"/>
          <w:i/>
          <w:iCs/>
          <w:sz w:val="24"/>
        </w:rPr>
        <w:t>John v Federal Commissioner of Taxation</w:t>
      </w:r>
      <w:r w:rsidRPr="006632F7">
        <w:rPr>
          <w:rFonts w:ascii="Times New Roman" w:hAnsi="Times New Roman"/>
          <w:sz w:val="24"/>
        </w:rPr>
        <w:t xml:space="preserve"> (1989) 166 CLR 417 at 438.</w:t>
      </w:r>
    </w:p>
  </w:footnote>
  <w:footnote w:id="33">
    <w:p w14:paraId="703836ED" w14:textId="15369204" w:rsidR="00037604" w:rsidRPr="006632F7" w:rsidRDefault="00037604"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r>
      <w:r w:rsidR="00BD50B7" w:rsidRPr="006632F7">
        <w:rPr>
          <w:rFonts w:ascii="Times New Roman" w:hAnsi="Times New Roman"/>
          <w:i/>
          <w:iCs/>
          <w:sz w:val="24"/>
        </w:rPr>
        <w:t>NZYQ v Minister for Immigration, Citizenship and Multicultural Affairs</w:t>
      </w:r>
      <w:r w:rsidR="00BD50B7" w:rsidRPr="006632F7">
        <w:rPr>
          <w:rFonts w:ascii="Times New Roman" w:hAnsi="Times New Roman"/>
          <w:sz w:val="24"/>
        </w:rPr>
        <w:t xml:space="preserve"> </w:t>
      </w:r>
      <w:r w:rsidR="001635EA" w:rsidRPr="006632F7">
        <w:rPr>
          <w:rFonts w:ascii="Times New Roman" w:hAnsi="Times New Roman"/>
          <w:sz w:val="24"/>
        </w:rPr>
        <w:t xml:space="preserve">(2023) </w:t>
      </w:r>
      <w:r w:rsidR="00D440CA">
        <w:rPr>
          <w:rFonts w:ascii="Times New Roman" w:hAnsi="Times New Roman"/>
          <w:sz w:val="24"/>
        </w:rPr>
        <w:t xml:space="preserve">280 CLR 137 at 150 </w:t>
      </w:r>
      <w:r w:rsidR="001635EA" w:rsidRPr="006632F7">
        <w:rPr>
          <w:rFonts w:ascii="Times New Roman" w:hAnsi="Times New Roman"/>
          <w:sz w:val="24"/>
        </w:rPr>
        <w:t>[17]</w:t>
      </w:r>
      <w:r w:rsidR="003D168E" w:rsidRPr="006632F7">
        <w:rPr>
          <w:rFonts w:ascii="Times New Roman" w:hAnsi="Times New Roman"/>
          <w:sz w:val="24"/>
        </w:rPr>
        <w:t>,</w:t>
      </w:r>
      <w:r w:rsidR="001635EA" w:rsidRPr="006632F7">
        <w:rPr>
          <w:rFonts w:ascii="Times New Roman" w:hAnsi="Times New Roman"/>
          <w:sz w:val="24"/>
        </w:rPr>
        <w:t xml:space="preserve"> quoting </w:t>
      </w:r>
      <w:r w:rsidR="00BD50B7" w:rsidRPr="006632F7">
        <w:rPr>
          <w:rFonts w:ascii="Times New Roman" w:hAnsi="Times New Roman"/>
          <w:i/>
          <w:iCs/>
          <w:sz w:val="24"/>
        </w:rPr>
        <w:t xml:space="preserve">Wurridjal v </w:t>
      </w:r>
      <w:r w:rsidR="00D804EF" w:rsidRPr="006632F7">
        <w:rPr>
          <w:rFonts w:ascii="Times New Roman" w:hAnsi="Times New Roman"/>
          <w:i/>
          <w:iCs/>
          <w:sz w:val="24"/>
        </w:rPr>
        <w:t xml:space="preserve">The </w:t>
      </w:r>
      <w:r w:rsidR="00BD50B7" w:rsidRPr="006632F7">
        <w:rPr>
          <w:rFonts w:ascii="Times New Roman" w:hAnsi="Times New Roman"/>
          <w:i/>
          <w:iCs/>
          <w:sz w:val="24"/>
        </w:rPr>
        <w:t>Commonwealth</w:t>
      </w:r>
      <w:r w:rsidR="00BD50B7" w:rsidRPr="006632F7">
        <w:rPr>
          <w:rFonts w:ascii="Times New Roman" w:hAnsi="Times New Roman"/>
          <w:sz w:val="24"/>
        </w:rPr>
        <w:t xml:space="preserve"> </w:t>
      </w:r>
      <w:r w:rsidR="00D164FA" w:rsidRPr="006632F7">
        <w:rPr>
          <w:rFonts w:ascii="Times New Roman" w:hAnsi="Times New Roman"/>
          <w:sz w:val="24"/>
        </w:rPr>
        <w:t xml:space="preserve">(2009) 237 CLR 309 at </w:t>
      </w:r>
      <w:r w:rsidR="00372182" w:rsidRPr="006632F7">
        <w:rPr>
          <w:rFonts w:ascii="Times New Roman" w:hAnsi="Times New Roman"/>
          <w:sz w:val="24"/>
        </w:rPr>
        <w:t xml:space="preserve">352 </w:t>
      </w:r>
      <w:r w:rsidR="00D164FA" w:rsidRPr="006632F7">
        <w:rPr>
          <w:rFonts w:ascii="Times New Roman" w:hAnsi="Times New Roman"/>
          <w:sz w:val="24"/>
        </w:rPr>
        <w:t>[70].</w:t>
      </w:r>
    </w:p>
  </w:footnote>
  <w:footnote w:id="34">
    <w:p w14:paraId="4815513B" w14:textId="28B84094" w:rsidR="0055206C" w:rsidRPr="006632F7" w:rsidRDefault="0055206C"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r>
      <w:r w:rsidR="00032CBD" w:rsidRPr="006632F7">
        <w:rPr>
          <w:rFonts w:ascii="Times New Roman" w:hAnsi="Times New Roman"/>
          <w:sz w:val="24"/>
        </w:rPr>
        <w:t xml:space="preserve">(1977) </w:t>
      </w:r>
      <w:r w:rsidR="00763F47" w:rsidRPr="006632F7">
        <w:rPr>
          <w:rFonts w:ascii="Times New Roman" w:hAnsi="Times New Roman"/>
          <w:sz w:val="24"/>
        </w:rPr>
        <w:t xml:space="preserve">139 CLR 585 </w:t>
      </w:r>
      <w:r w:rsidR="00032CBD" w:rsidRPr="006632F7">
        <w:rPr>
          <w:rFonts w:ascii="Times New Roman" w:hAnsi="Times New Roman"/>
          <w:sz w:val="24"/>
        </w:rPr>
        <w:t>at 599.</w:t>
      </w:r>
    </w:p>
  </w:footnote>
  <w:footnote w:id="35">
    <w:p w14:paraId="4B8A4929" w14:textId="26AA380D" w:rsidR="007205C2" w:rsidRPr="006632F7" w:rsidRDefault="007205C2"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r>
      <w:r w:rsidR="008437BC" w:rsidRPr="006632F7">
        <w:rPr>
          <w:rFonts w:ascii="Times New Roman" w:hAnsi="Times New Roman"/>
          <w:sz w:val="24"/>
        </w:rPr>
        <w:t>See, e</w:t>
      </w:r>
      <w:r w:rsidRPr="006632F7">
        <w:rPr>
          <w:rFonts w:ascii="Times New Roman" w:hAnsi="Times New Roman"/>
          <w:sz w:val="24"/>
        </w:rPr>
        <w:t xml:space="preserve">g, </w:t>
      </w:r>
      <w:r w:rsidR="009B7E6F" w:rsidRPr="006632F7">
        <w:rPr>
          <w:rFonts w:ascii="Times New Roman" w:hAnsi="Times New Roman"/>
          <w:sz w:val="24"/>
        </w:rPr>
        <w:t>(2022) 277 CLR 2</w:t>
      </w:r>
      <w:r w:rsidR="00F14749" w:rsidRPr="006632F7">
        <w:rPr>
          <w:rFonts w:ascii="Times New Roman" w:hAnsi="Times New Roman"/>
          <w:sz w:val="24"/>
        </w:rPr>
        <w:t>41</w:t>
      </w:r>
      <w:r w:rsidR="009B7E6F" w:rsidRPr="006632F7">
        <w:rPr>
          <w:rFonts w:ascii="Times New Roman" w:hAnsi="Times New Roman"/>
          <w:sz w:val="24"/>
        </w:rPr>
        <w:t xml:space="preserve"> at </w:t>
      </w:r>
      <w:r w:rsidR="00F14749" w:rsidRPr="006632F7">
        <w:rPr>
          <w:rFonts w:ascii="Times New Roman" w:hAnsi="Times New Roman"/>
          <w:sz w:val="24"/>
        </w:rPr>
        <w:t xml:space="preserve">286 </w:t>
      </w:r>
      <w:r w:rsidR="004D54D4" w:rsidRPr="006632F7">
        <w:rPr>
          <w:rFonts w:ascii="Times New Roman" w:hAnsi="Times New Roman"/>
          <w:sz w:val="24"/>
        </w:rPr>
        <w:t>[110]-[112],</w:t>
      </w:r>
      <w:r w:rsidR="00C41292" w:rsidRPr="006632F7">
        <w:rPr>
          <w:rFonts w:ascii="Times New Roman" w:hAnsi="Times New Roman"/>
          <w:sz w:val="24"/>
        </w:rPr>
        <w:t xml:space="preserve"> 298-301</w:t>
      </w:r>
      <w:r w:rsidR="004D54D4" w:rsidRPr="006632F7">
        <w:rPr>
          <w:rFonts w:ascii="Times New Roman" w:hAnsi="Times New Roman"/>
          <w:sz w:val="24"/>
        </w:rPr>
        <w:t xml:space="preserve"> </w:t>
      </w:r>
      <w:r w:rsidR="002D7C48" w:rsidRPr="006632F7">
        <w:rPr>
          <w:rFonts w:ascii="Times New Roman" w:hAnsi="Times New Roman"/>
          <w:sz w:val="24"/>
        </w:rPr>
        <w:t>[152]</w:t>
      </w:r>
      <w:r w:rsidR="004D54D4" w:rsidRPr="006632F7">
        <w:rPr>
          <w:rFonts w:ascii="Times New Roman" w:hAnsi="Times New Roman"/>
          <w:sz w:val="24"/>
        </w:rPr>
        <w:t xml:space="preserve">-[161], </w:t>
      </w:r>
      <w:r w:rsidR="0082029A" w:rsidRPr="006632F7">
        <w:rPr>
          <w:rFonts w:ascii="Times New Roman" w:hAnsi="Times New Roman"/>
          <w:sz w:val="24"/>
        </w:rPr>
        <w:t>309</w:t>
      </w:r>
      <w:r w:rsidR="00295998" w:rsidRPr="006632F7">
        <w:rPr>
          <w:rFonts w:ascii="Times New Roman" w:hAnsi="Times New Roman"/>
          <w:sz w:val="24"/>
        </w:rPr>
        <w:t>-313</w:t>
      </w:r>
      <w:r w:rsidR="0082029A" w:rsidRPr="006632F7">
        <w:rPr>
          <w:rFonts w:ascii="Times New Roman" w:hAnsi="Times New Roman"/>
          <w:sz w:val="24"/>
        </w:rPr>
        <w:t xml:space="preserve"> </w:t>
      </w:r>
      <w:r w:rsidR="007F2257" w:rsidRPr="006632F7">
        <w:rPr>
          <w:rFonts w:ascii="Times New Roman" w:hAnsi="Times New Roman"/>
          <w:sz w:val="24"/>
        </w:rPr>
        <w:t>[179]-</w:t>
      </w:r>
      <w:r w:rsidR="004D54D4" w:rsidRPr="006632F7">
        <w:rPr>
          <w:rFonts w:ascii="Times New Roman" w:hAnsi="Times New Roman"/>
          <w:sz w:val="24"/>
        </w:rPr>
        <w:t>[19</w:t>
      </w:r>
      <w:r w:rsidR="009C7202" w:rsidRPr="006632F7">
        <w:rPr>
          <w:rFonts w:ascii="Times New Roman" w:hAnsi="Times New Roman"/>
          <w:sz w:val="24"/>
        </w:rPr>
        <w:t>1</w:t>
      </w:r>
      <w:r w:rsidR="004D54D4" w:rsidRPr="006632F7">
        <w:rPr>
          <w:rFonts w:ascii="Times New Roman" w:hAnsi="Times New Roman"/>
          <w:sz w:val="24"/>
        </w:rPr>
        <w:t xml:space="preserve">], </w:t>
      </w:r>
      <w:r w:rsidR="0082029A" w:rsidRPr="006632F7">
        <w:rPr>
          <w:rFonts w:ascii="Times New Roman" w:hAnsi="Times New Roman"/>
          <w:sz w:val="24"/>
        </w:rPr>
        <w:t xml:space="preserve">314 </w:t>
      </w:r>
      <w:r w:rsidR="009C7202" w:rsidRPr="006632F7">
        <w:rPr>
          <w:rFonts w:ascii="Times New Roman" w:hAnsi="Times New Roman"/>
          <w:sz w:val="24"/>
        </w:rPr>
        <w:t>[194],</w:t>
      </w:r>
      <w:r w:rsidR="001037CE" w:rsidRPr="006632F7">
        <w:rPr>
          <w:rFonts w:ascii="Times New Roman" w:hAnsi="Times New Roman"/>
          <w:sz w:val="24"/>
        </w:rPr>
        <w:t xml:space="preserve"> 331</w:t>
      </w:r>
      <w:r w:rsidR="009C7202" w:rsidRPr="006632F7">
        <w:rPr>
          <w:rFonts w:ascii="Times New Roman" w:hAnsi="Times New Roman"/>
          <w:sz w:val="24"/>
        </w:rPr>
        <w:t xml:space="preserve"> </w:t>
      </w:r>
      <w:r w:rsidR="005F4B2F" w:rsidRPr="006632F7">
        <w:rPr>
          <w:rFonts w:ascii="Times New Roman" w:hAnsi="Times New Roman"/>
          <w:sz w:val="24"/>
        </w:rPr>
        <w:t>[246],</w:t>
      </w:r>
      <w:r w:rsidR="00C10365" w:rsidRPr="006632F7">
        <w:rPr>
          <w:rFonts w:ascii="Times New Roman" w:hAnsi="Times New Roman"/>
          <w:sz w:val="24"/>
        </w:rPr>
        <w:t xml:space="preserve"> 334</w:t>
      </w:r>
      <w:r w:rsidR="005F4B2F" w:rsidRPr="006632F7">
        <w:rPr>
          <w:rFonts w:ascii="Times New Roman" w:hAnsi="Times New Roman"/>
          <w:sz w:val="24"/>
        </w:rPr>
        <w:t xml:space="preserve"> [255].</w:t>
      </w:r>
    </w:p>
  </w:footnote>
  <w:footnote w:id="36">
    <w:p w14:paraId="37844D67" w14:textId="69B12571" w:rsidR="00861073" w:rsidRPr="006632F7" w:rsidRDefault="00861073"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r>
      <w:r w:rsidR="00901576" w:rsidRPr="006632F7">
        <w:rPr>
          <w:rFonts w:ascii="Times New Roman" w:hAnsi="Times New Roman"/>
          <w:i/>
          <w:iCs/>
          <w:sz w:val="24"/>
        </w:rPr>
        <w:t>SDCV v Director-General of Security</w:t>
      </w:r>
      <w:r w:rsidR="00901576" w:rsidRPr="006632F7">
        <w:rPr>
          <w:rFonts w:ascii="Times New Roman" w:hAnsi="Times New Roman"/>
          <w:sz w:val="24"/>
        </w:rPr>
        <w:t xml:space="preserve"> (2021) 284 FCR 357.</w:t>
      </w:r>
    </w:p>
  </w:footnote>
  <w:footnote w:id="37">
    <w:p w14:paraId="1C452157" w14:textId="3BF1E587" w:rsidR="00283AD4" w:rsidRPr="006632F7" w:rsidRDefault="00283AD4"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r>
      <w:r w:rsidR="008437BC" w:rsidRPr="006632F7">
        <w:rPr>
          <w:rFonts w:ascii="Times New Roman" w:hAnsi="Times New Roman"/>
          <w:sz w:val="24"/>
        </w:rPr>
        <w:t>See, e</w:t>
      </w:r>
      <w:r w:rsidR="00C44928" w:rsidRPr="006632F7">
        <w:rPr>
          <w:rFonts w:ascii="Times New Roman" w:hAnsi="Times New Roman"/>
          <w:sz w:val="24"/>
        </w:rPr>
        <w:t xml:space="preserve">g, </w:t>
      </w:r>
      <w:r w:rsidR="00C44928" w:rsidRPr="006632F7">
        <w:rPr>
          <w:rFonts w:ascii="Times New Roman" w:hAnsi="Times New Roman"/>
          <w:i/>
          <w:iCs/>
          <w:sz w:val="24"/>
        </w:rPr>
        <w:t>Condon v Pompano</w:t>
      </w:r>
      <w:r w:rsidR="007E7A6D" w:rsidRPr="006632F7">
        <w:rPr>
          <w:rFonts w:ascii="Times New Roman" w:hAnsi="Times New Roman"/>
          <w:i/>
          <w:iCs/>
          <w:sz w:val="24"/>
        </w:rPr>
        <w:t xml:space="preserve"> Pty Ltd</w:t>
      </w:r>
      <w:r w:rsidR="00C44928" w:rsidRPr="006632F7">
        <w:rPr>
          <w:rFonts w:ascii="Times New Roman" w:hAnsi="Times New Roman"/>
          <w:sz w:val="24"/>
        </w:rPr>
        <w:t xml:space="preserve"> (2013) 252 CLR 38 at 99 [156]</w:t>
      </w:r>
      <w:r w:rsidR="002A6195" w:rsidRPr="006632F7">
        <w:rPr>
          <w:rFonts w:ascii="Times New Roman" w:hAnsi="Times New Roman"/>
          <w:sz w:val="24"/>
        </w:rPr>
        <w:t>,</w:t>
      </w:r>
      <w:r w:rsidR="00C44928" w:rsidRPr="006632F7">
        <w:rPr>
          <w:rFonts w:ascii="Times New Roman" w:hAnsi="Times New Roman"/>
          <w:sz w:val="24"/>
        </w:rPr>
        <w:t xml:space="preserve"> </w:t>
      </w:r>
      <w:r w:rsidR="00D5477F" w:rsidRPr="006632F7">
        <w:rPr>
          <w:rFonts w:ascii="Times New Roman" w:hAnsi="Times New Roman"/>
          <w:sz w:val="24"/>
        </w:rPr>
        <w:t xml:space="preserve">quoting </w:t>
      </w:r>
      <w:r w:rsidR="00D5477F" w:rsidRPr="006632F7">
        <w:rPr>
          <w:rFonts w:ascii="Times New Roman" w:hAnsi="Times New Roman"/>
          <w:i/>
          <w:iCs/>
          <w:sz w:val="24"/>
        </w:rPr>
        <w:t>Re Minister for Immigration and Multicultural and Indigenous Affairs; Ex parte Lam</w:t>
      </w:r>
      <w:r w:rsidR="00D5477F" w:rsidRPr="006632F7">
        <w:rPr>
          <w:rFonts w:ascii="Times New Roman" w:hAnsi="Times New Roman"/>
          <w:sz w:val="24"/>
        </w:rPr>
        <w:t xml:space="preserve"> (2003) 214 CLR 1 at 14 [37].</w:t>
      </w:r>
    </w:p>
  </w:footnote>
  <w:footnote w:id="38">
    <w:p w14:paraId="768DCAE4" w14:textId="16EF06D2" w:rsidR="00A1391B" w:rsidRPr="006632F7" w:rsidRDefault="00A1391B" w:rsidP="006632F7">
      <w:pPr>
        <w:pStyle w:val="FootnoteText"/>
        <w:spacing w:line="280" w:lineRule="exact"/>
        <w:ind w:right="0"/>
        <w:jc w:val="both"/>
        <w:rPr>
          <w:rFonts w:ascii="Times New Roman" w:hAnsi="Times New Roman"/>
          <w:sz w:val="24"/>
        </w:rPr>
      </w:pPr>
      <w:r w:rsidRPr="006632F7">
        <w:rPr>
          <w:rStyle w:val="FootnoteReference"/>
          <w:rFonts w:ascii="Times New Roman" w:hAnsi="Times New Roman"/>
          <w:sz w:val="22"/>
          <w:vertAlign w:val="baseline"/>
        </w:rPr>
        <w:footnoteRef/>
      </w:r>
      <w:r w:rsidRPr="006632F7">
        <w:rPr>
          <w:rFonts w:ascii="Times New Roman" w:hAnsi="Times New Roman"/>
          <w:sz w:val="24"/>
        </w:rPr>
        <w:t xml:space="preserve"> </w:t>
      </w:r>
      <w:r w:rsidRPr="006632F7">
        <w:rPr>
          <w:rFonts w:ascii="Times New Roman" w:hAnsi="Times New Roman"/>
          <w:sz w:val="24"/>
        </w:rPr>
        <w:tab/>
        <w:t>(2022) 277 CLR 2</w:t>
      </w:r>
      <w:r w:rsidR="00F977BF" w:rsidRPr="006632F7">
        <w:rPr>
          <w:rFonts w:ascii="Times New Roman" w:hAnsi="Times New Roman"/>
          <w:sz w:val="24"/>
        </w:rPr>
        <w:t>41</w:t>
      </w:r>
      <w:r w:rsidRPr="006632F7">
        <w:rPr>
          <w:rFonts w:ascii="Times New Roman" w:hAnsi="Times New Roman"/>
          <w:sz w:val="24"/>
        </w:rPr>
        <w:t xml:space="preserve"> at 254-255 [13]-[14].</w:t>
      </w:r>
    </w:p>
  </w:footnote>
  <w:footnote w:id="39">
    <w:p w14:paraId="6FDEE23A"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t xml:space="preserve">(2022) 277 CLR 241. </w:t>
      </w:r>
    </w:p>
  </w:footnote>
  <w:footnote w:id="40">
    <w:p w14:paraId="5499CFC5"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iCs/>
          <w:sz w:val="24"/>
        </w:rPr>
        <w:t xml:space="preserve">Migration Act 1958 </w:t>
      </w:r>
      <w:r w:rsidRPr="000935F0">
        <w:rPr>
          <w:rFonts w:ascii="Times New Roman" w:hAnsi="Times New Roman"/>
          <w:sz w:val="24"/>
        </w:rPr>
        <w:t xml:space="preserve">(Cth), s 501(3). </w:t>
      </w:r>
    </w:p>
  </w:footnote>
  <w:footnote w:id="41">
    <w:p w14:paraId="2BC491F5"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t>AAT Act, s 39B(2)(a).</w:t>
      </w:r>
    </w:p>
  </w:footnote>
  <w:footnote w:id="42">
    <w:p w14:paraId="2F20323B"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t>Since there can be alternatively expressed grounds for a decision.</w:t>
      </w:r>
    </w:p>
  </w:footnote>
  <w:footnote w:id="43">
    <w:p w14:paraId="0133CD31"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t xml:space="preserve">See Paton, </w:t>
      </w:r>
      <w:r w:rsidRPr="000935F0">
        <w:rPr>
          <w:rFonts w:ascii="Times New Roman" w:hAnsi="Times New Roman"/>
          <w:i/>
          <w:iCs/>
          <w:sz w:val="24"/>
        </w:rPr>
        <w:t>A</w:t>
      </w:r>
      <w:r w:rsidRPr="000935F0">
        <w:rPr>
          <w:rFonts w:ascii="Times New Roman" w:hAnsi="Times New Roman"/>
          <w:i/>
          <w:sz w:val="24"/>
        </w:rPr>
        <w:t xml:space="preserve"> Text-book of Jurisprudence </w:t>
      </w:r>
      <w:r w:rsidRPr="000935F0">
        <w:rPr>
          <w:rFonts w:ascii="Times New Roman" w:hAnsi="Times New Roman"/>
          <w:sz w:val="24"/>
        </w:rPr>
        <w:t xml:space="preserve">(1946) at 159; Montrose, "Ratio Decidendi and the House of Lords" (1957) 20 </w:t>
      </w:r>
      <w:r w:rsidRPr="000935F0">
        <w:rPr>
          <w:rFonts w:ascii="Times New Roman" w:hAnsi="Times New Roman"/>
          <w:i/>
          <w:sz w:val="24"/>
        </w:rPr>
        <w:t xml:space="preserve">Modern Law Review </w:t>
      </w:r>
      <w:r w:rsidRPr="000935F0">
        <w:rPr>
          <w:rFonts w:ascii="Times New Roman" w:hAnsi="Times New Roman"/>
          <w:sz w:val="24"/>
        </w:rPr>
        <w:t>124 at 124</w:t>
      </w:r>
      <w:r w:rsidRPr="000935F0">
        <w:rPr>
          <w:rFonts w:ascii="Times New Roman" w:hAnsi="Times New Roman"/>
          <w:sz w:val="24"/>
        </w:rPr>
        <w:noBreakHyphen/>
        <w:t xml:space="preserve">125; Cross and Harris, </w:t>
      </w:r>
      <w:r w:rsidRPr="000935F0">
        <w:rPr>
          <w:rFonts w:ascii="Times New Roman" w:hAnsi="Times New Roman"/>
          <w:i/>
          <w:iCs/>
          <w:sz w:val="24"/>
        </w:rPr>
        <w:t>Precedent in English Law</w:t>
      </w:r>
      <w:r w:rsidRPr="000935F0">
        <w:rPr>
          <w:rFonts w:ascii="Times New Roman" w:hAnsi="Times New Roman"/>
          <w:sz w:val="24"/>
        </w:rPr>
        <w:t>,</w:t>
      </w:r>
      <w:r w:rsidRPr="000935F0">
        <w:rPr>
          <w:rFonts w:ascii="Times New Roman" w:hAnsi="Times New Roman"/>
          <w:i/>
          <w:iCs/>
          <w:sz w:val="24"/>
        </w:rPr>
        <w:t xml:space="preserve"> </w:t>
      </w:r>
      <w:r w:rsidRPr="000935F0">
        <w:rPr>
          <w:rFonts w:ascii="Times New Roman" w:hAnsi="Times New Roman"/>
          <w:sz w:val="24"/>
        </w:rPr>
        <w:t xml:space="preserve">4th ed (1991) at 72; </w:t>
      </w:r>
      <w:r w:rsidRPr="000935F0">
        <w:rPr>
          <w:rFonts w:ascii="Times New Roman" w:hAnsi="Times New Roman"/>
          <w:i/>
          <w:iCs/>
          <w:sz w:val="24"/>
        </w:rPr>
        <w:t xml:space="preserve">Woolcock Street Investments Pty Ltd v CDG Pty Ltd </w:t>
      </w:r>
      <w:r w:rsidRPr="000935F0">
        <w:rPr>
          <w:rFonts w:ascii="Times New Roman" w:hAnsi="Times New Roman"/>
          <w:sz w:val="24"/>
        </w:rPr>
        <w:t>(2004) 216 CLR 515</w:t>
      </w:r>
      <w:r w:rsidRPr="000935F0">
        <w:rPr>
          <w:rFonts w:ascii="Times New Roman" w:hAnsi="Times New Roman"/>
          <w:i/>
          <w:iCs/>
          <w:sz w:val="24"/>
        </w:rPr>
        <w:t xml:space="preserve"> </w:t>
      </w:r>
      <w:r w:rsidRPr="000935F0">
        <w:rPr>
          <w:rFonts w:ascii="Times New Roman" w:hAnsi="Times New Roman"/>
          <w:sz w:val="24"/>
        </w:rPr>
        <w:t>at 543 [61].</w:t>
      </w:r>
    </w:p>
  </w:footnote>
  <w:footnote w:id="44">
    <w:p w14:paraId="3B53766A"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t xml:space="preserve">Blackshield, "Ratio decidendi", in Blackshield, Coper and Williams (eds), </w:t>
      </w:r>
      <w:r w:rsidRPr="000935F0">
        <w:rPr>
          <w:rFonts w:ascii="Times New Roman" w:hAnsi="Times New Roman"/>
          <w:i/>
          <w:sz w:val="24"/>
        </w:rPr>
        <w:t xml:space="preserve">The Oxford Companion to the High Court of Australia </w:t>
      </w:r>
      <w:r w:rsidRPr="000935F0">
        <w:rPr>
          <w:rFonts w:ascii="Times New Roman" w:hAnsi="Times New Roman"/>
          <w:sz w:val="24"/>
        </w:rPr>
        <w:t>(2001) 579 at 579 (emphasis in original).</w:t>
      </w:r>
    </w:p>
  </w:footnote>
  <w:footnote w:id="45">
    <w:p w14:paraId="0BF2A165" w14:textId="77777777" w:rsidR="007359C1" w:rsidRPr="000935F0" w:rsidRDefault="007359C1" w:rsidP="000935F0">
      <w:pPr>
        <w:pStyle w:val="FootnoteText"/>
        <w:spacing w:line="280" w:lineRule="exact"/>
        <w:ind w:right="0"/>
        <w:jc w:val="both"/>
        <w:rPr>
          <w:rFonts w:ascii="Times New Roman" w:hAnsi="Times New Roman"/>
          <w:i/>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sz w:val="24"/>
        </w:rPr>
        <w:t xml:space="preserve">Woolcock Street Investments Pty Ltd v CDG Pty Ltd </w:t>
      </w:r>
      <w:r w:rsidRPr="000935F0">
        <w:rPr>
          <w:rFonts w:ascii="Times New Roman" w:hAnsi="Times New Roman"/>
          <w:sz w:val="24"/>
        </w:rPr>
        <w:t>(2004) 216 CLR 515</w:t>
      </w:r>
      <w:r w:rsidRPr="000935F0">
        <w:rPr>
          <w:rFonts w:ascii="Times New Roman" w:hAnsi="Times New Roman"/>
          <w:i/>
          <w:sz w:val="24"/>
        </w:rPr>
        <w:t xml:space="preserve"> </w:t>
      </w:r>
      <w:r w:rsidRPr="000935F0">
        <w:rPr>
          <w:rFonts w:ascii="Times New Roman" w:hAnsi="Times New Roman"/>
          <w:sz w:val="24"/>
        </w:rPr>
        <w:t>at 542 [59].</w:t>
      </w:r>
    </w:p>
  </w:footnote>
  <w:footnote w:id="46">
    <w:p w14:paraId="7626594F"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t>Blackshield, "Ratio decidendi</w:t>
      </w:r>
      <w:r w:rsidRPr="000935F0">
        <w:rPr>
          <w:rFonts w:ascii="Times New Roman" w:hAnsi="Times New Roman"/>
          <w:iCs/>
          <w:sz w:val="24"/>
        </w:rPr>
        <w:t>",</w:t>
      </w:r>
      <w:r w:rsidRPr="000935F0">
        <w:rPr>
          <w:rFonts w:ascii="Times New Roman" w:hAnsi="Times New Roman"/>
          <w:sz w:val="24"/>
        </w:rPr>
        <w:t xml:space="preserve"> in Blackshield, Coper and Williams (eds), </w:t>
      </w:r>
      <w:r w:rsidRPr="000935F0">
        <w:rPr>
          <w:rFonts w:ascii="Times New Roman" w:hAnsi="Times New Roman"/>
          <w:i/>
          <w:sz w:val="24"/>
        </w:rPr>
        <w:t xml:space="preserve">The Oxford Companion to the High Court of Australia </w:t>
      </w:r>
      <w:r w:rsidRPr="000935F0">
        <w:rPr>
          <w:rFonts w:ascii="Times New Roman" w:hAnsi="Times New Roman"/>
          <w:sz w:val="24"/>
        </w:rPr>
        <w:t xml:space="preserve">(2001) 579 at 579. See also Montrose, "The Ratio Decidendi of a Case" (1957) 20 </w:t>
      </w:r>
      <w:r w:rsidRPr="000935F0">
        <w:rPr>
          <w:rFonts w:ascii="Times New Roman" w:hAnsi="Times New Roman"/>
          <w:i/>
          <w:sz w:val="24"/>
        </w:rPr>
        <w:t>Modern Law Review</w:t>
      </w:r>
      <w:r w:rsidRPr="000935F0">
        <w:rPr>
          <w:rFonts w:ascii="Times New Roman" w:hAnsi="Times New Roman"/>
          <w:sz w:val="24"/>
        </w:rPr>
        <w:t xml:space="preserve"> 587 at 591; Lücke, "Ratio Decidendi: Adjudicative Rationale and Source of Law" (1989) 1 </w:t>
      </w:r>
      <w:r w:rsidRPr="000935F0">
        <w:rPr>
          <w:rFonts w:ascii="Times New Roman" w:hAnsi="Times New Roman"/>
          <w:i/>
          <w:sz w:val="24"/>
        </w:rPr>
        <w:t>Bond Law Review</w:t>
      </w:r>
      <w:r w:rsidRPr="000935F0">
        <w:rPr>
          <w:rFonts w:ascii="Times New Roman" w:hAnsi="Times New Roman"/>
          <w:sz w:val="24"/>
        </w:rPr>
        <w:t xml:space="preserve"> 36 at 44.</w:t>
      </w:r>
    </w:p>
  </w:footnote>
  <w:footnote w:id="47">
    <w:p w14:paraId="383D1FB0"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t xml:space="preserve">Stone, </w:t>
      </w:r>
      <w:r w:rsidRPr="000935F0">
        <w:rPr>
          <w:rFonts w:ascii="Times New Roman" w:hAnsi="Times New Roman"/>
          <w:i/>
          <w:iCs/>
          <w:sz w:val="24"/>
        </w:rPr>
        <w:t xml:space="preserve">Precedent and Law: Dynamics of Common Law Growth </w:t>
      </w:r>
      <w:r w:rsidRPr="000935F0">
        <w:rPr>
          <w:rFonts w:ascii="Times New Roman" w:hAnsi="Times New Roman"/>
          <w:sz w:val="24"/>
        </w:rPr>
        <w:t>(1985) at 124.</w:t>
      </w:r>
    </w:p>
  </w:footnote>
  <w:footnote w:id="48">
    <w:p w14:paraId="1BF583AC"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t xml:space="preserve">Stone, </w:t>
      </w:r>
      <w:r w:rsidRPr="000935F0">
        <w:rPr>
          <w:rFonts w:ascii="Times New Roman" w:hAnsi="Times New Roman"/>
          <w:i/>
          <w:iCs/>
          <w:sz w:val="24"/>
        </w:rPr>
        <w:t xml:space="preserve">Precedent and Law: Dynamics of Common Law Growth </w:t>
      </w:r>
      <w:r w:rsidRPr="000935F0">
        <w:rPr>
          <w:rFonts w:ascii="Times New Roman" w:hAnsi="Times New Roman"/>
          <w:sz w:val="24"/>
        </w:rPr>
        <w:t>(1985) at 128.</w:t>
      </w:r>
    </w:p>
  </w:footnote>
  <w:footnote w:id="49">
    <w:p w14:paraId="34C92411"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sz w:val="24"/>
        </w:rPr>
        <w:t xml:space="preserve">Farah Constructions Pty Ltd v Say-Dee Pty Ltd </w:t>
      </w:r>
      <w:r w:rsidRPr="000935F0">
        <w:rPr>
          <w:rFonts w:ascii="Times New Roman" w:hAnsi="Times New Roman"/>
          <w:sz w:val="24"/>
        </w:rPr>
        <w:t>(2007) 230 CLR 89 at 150</w:t>
      </w:r>
      <w:r w:rsidRPr="000935F0">
        <w:rPr>
          <w:rFonts w:ascii="Times New Roman" w:hAnsi="Times New Roman"/>
          <w:sz w:val="24"/>
        </w:rPr>
        <w:noBreakHyphen/>
        <w:t>151 [134].</w:t>
      </w:r>
    </w:p>
  </w:footnote>
  <w:footnote w:id="50">
    <w:p w14:paraId="23797E10"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t xml:space="preserve">(1994) 181 CLR 18 at 37, quoting </w:t>
      </w:r>
      <w:r w:rsidRPr="000935F0">
        <w:rPr>
          <w:rFonts w:ascii="Times New Roman" w:hAnsi="Times New Roman"/>
          <w:i/>
          <w:iCs/>
          <w:sz w:val="24"/>
        </w:rPr>
        <w:t>Midland Silicones Ltd</w:t>
      </w:r>
      <w:r w:rsidRPr="000935F0">
        <w:rPr>
          <w:rFonts w:ascii="Times New Roman" w:hAnsi="Times New Roman"/>
          <w:i/>
          <w:sz w:val="24"/>
        </w:rPr>
        <w:t xml:space="preserve"> </w:t>
      </w:r>
      <w:r w:rsidRPr="000935F0">
        <w:rPr>
          <w:rFonts w:ascii="Times New Roman" w:hAnsi="Times New Roman"/>
          <w:i/>
          <w:iCs/>
          <w:sz w:val="24"/>
        </w:rPr>
        <w:t>v Scruttons Ltd</w:t>
      </w:r>
      <w:r w:rsidRPr="000935F0">
        <w:rPr>
          <w:rFonts w:ascii="Times New Roman" w:hAnsi="Times New Roman"/>
          <w:sz w:val="24"/>
        </w:rPr>
        <w:t xml:space="preserve"> [1962] AC 446 at 479. See also </w:t>
      </w:r>
      <w:r w:rsidRPr="000935F0">
        <w:rPr>
          <w:rFonts w:ascii="Times New Roman" w:hAnsi="Times New Roman"/>
          <w:i/>
          <w:iCs/>
          <w:sz w:val="24"/>
        </w:rPr>
        <w:t xml:space="preserve">Re Minister for Immigration and Multicultural Affairs; Ex parte Te </w:t>
      </w:r>
      <w:r w:rsidRPr="000935F0">
        <w:rPr>
          <w:rFonts w:ascii="Times New Roman" w:hAnsi="Times New Roman"/>
          <w:sz w:val="24"/>
        </w:rPr>
        <w:t xml:space="preserve">(2002) 212 CLR 162 at 187 [87]; </w:t>
      </w:r>
      <w:r w:rsidRPr="000935F0">
        <w:rPr>
          <w:rFonts w:ascii="Times New Roman" w:hAnsi="Times New Roman"/>
          <w:i/>
          <w:sz w:val="24"/>
        </w:rPr>
        <w:t>D'Orta</w:t>
      </w:r>
      <w:r w:rsidRPr="000935F0">
        <w:rPr>
          <w:rFonts w:ascii="Times New Roman" w:hAnsi="Times New Roman"/>
          <w:i/>
          <w:sz w:val="24"/>
        </w:rPr>
        <w:noBreakHyphen/>
        <w:t xml:space="preserve">Ekenaike v Victoria Legal Aid </w:t>
      </w:r>
      <w:r w:rsidRPr="000935F0">
        <w:rPr>
          <w:rFonts w:ascii="Times New Roman" w:hAnsi="Times New Roman"/>
          <w:sz w:val="24"/>
        </w:rPr>
        <w:t>(2005) 223 CLR 1 at 46</w:t>
      </w:r>
      <w:r w:rsidRPr="000935F0">
        <w:rPr>
          <w:rFonts w:ascii="Times New Roman" w:hAnsi="Times New Roman"/>
          <w:sz w:val="24"/>
        </w:rPr>
        <w:noBreakHyphen/>
        <w:t xml:space="preserve">47 [133]. See further Oliphant, "A Return to Stare Decisis" (1928) 14 </w:t>
      </w:r>
      <w:r w:rsidRPr="000935F0">
        <w:rPr>
          <w:rFonts w:ascii="Times New Roman" w:hAnsi="Times New Roman"/>
          <w:i/>
          <w:sz w:val="24"/>
        </w:rPr>
        <w:t xml:space="preserve">American Bar Association Journal </w:t>
      </w:r>
      <w:r w:rsidRPr="000935F0">
        <w:rPr>
          <w:rFonts w:ascii="Times New Roman" w:hAnsi="Times New Roman"/>
          <w:sz w:val="24"/>
        </w:rPr>
        <w:t>71 at 72</w:t>
      </w:r>
      <w:r w:rsidRPr="000935F0">
        <w:rPr>
          <w:rFonts w:ascii="Times New Roman" w:hAnsi="Times New Roman"/>
          <w:sz w:val="24"/>
        </w:rPr>
        <w:noBreakHyphen/>
        <w:t>73.</w:t>
      </w:r>
    </w:p>
  </w:footnote>
  <w:footnote w:id="51">
    <w:p w14:paraId="06E5F625"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t xml:space="preserve">Goodhart, "Determining the Ratio Decidendi of a Case" (1930) 40 </w:t>
      </w:r>
      <w:r w:rsidRPr="000935F0">
        <w:rPr>
          <w:rFonts w:ascii="Times New Roman" w:hAnsi="Times New Roman"/>
          <w:i/>
          <w:iCs/>
          <w:sz w:val="24"/>
        </w:rPr>
        <w:t xml:space="preserve">Yale Law Journal </w:t>
      </w:r>
      <w:r w:rsidRPr="000935F0">
        <w:rPr>
          <w:rFonts w:ascii="Times New Roman" w:hAnsi="Times New Roman"/>
          <w:sz w:val="24"/>
        </w:rPr>
        <w:t>161 at 165.</w:t>
      </w:r>
    </w:p>
  </w:footnote>
  <w:footnote w:id="52">
    <w:p w14:paraId="3F20A41C"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t xml:space="preserve">Goodhart, "Determining the Ratio Decidendi of a Case" (1930) 40 </w:t>
      </w:r>
      <w:r w:rsidRPr="000935F0">
        <w:rPr>
          <w:rFonts w:ascii="Times New Roman" w:hAnsi="Times New Roman"/>
          <w:i/>
          <w:iCs/>
          <w:sz w:val="24"/>
        </w:rPr>
        <w:t xml:space="preserve">Yale Law Journal </w:t>
      </w:r>
      <w:r w:rsidRPr="000935F0">
        <w:rPr>
          <w:rFonts w:ascii="Times New Roman" w:hAnsi="Times New Roman"/>
          <w:sz w:val="24"/>
        </w:rPr>
        <w:t>161 at 168.</w:t>
      </w:r>
    </w:p>
  </w:footnote>
  <w:footnote w:id="53">
    <w:p w14:paraId="6244A8A0"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t xml:space="preserve">Goodhart, "Determining the Ratio Decidendi of a Case" (1930) 40 </w:t>
      </w:r>
      <w:r w:rsidRPr="000935F0">
        <w:rPr>
          <w:rFonts w:ascii="Times New Roman" w:hAnsi="Times New Roman"/>
          <w:i/>
          <w:iCs/>
          <w:sz w:val="24"/>
        </w:rPr>
        <w:t xml:space="preserve">Yale Law Journal </w:t>
      </w:r>
      <w:r w:rsidRPr="000935F0">
        <w:rPr>
          <w:rFonts w:ascii="Times New Roman" w:hAnsi="Times New Roman"/>
          <w:sz w:val="24"/>
        </w:rPr>
        <w:t>161 at 178-179.</w:t>
      </w:r>
    </w:p>
  </w:footnote>
  <w:footnote w:id="54">
    <w:p w14:paraId="7F05F5E3"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t xml:space="preserve">Mason, "The Use and Abuse of Precedent" (1988) 4 </w:t>
      </w:r>
      <w:r w:rsidRPr="000935F0">
        <w:rPr>
          <w:rFonts w:ascii="Times New Roman" w:hAnsi="Times New Roman"/>
          <w:i/>
          <w:iCs/>
          <w:sz w:val="24"/>
        </w:rPr>
        <w:t xml:space="preserve">Australian Bar Review </w:t>
      </w:r>
      <w:r w:rsidRPr="000935F0">
        <w:rPr>
          <w:rFonts w:ascii="Times New Roman" w:hAnsi="Times New Roman"/>
          <w:sz w:val="24"/>
        </w:rPr>
        <w:t>93 at 104.</w:t>
      </w:r>
    </w:p>
  </w:footnote>
  <w:footnote w:id="55">
    <w:p w14:paraId="22B6F7A8"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iCs/>
          <w:sz w:val="24"/>
        </w:rPr>
        <w:t xml:space="preserve">Murphy v Electoral Commissioner </w:t>
      </w:r>
      <w:r w:rsidRPr="000935F0">
        <w:rPr>
          <w:rFonts w:ascii="Times New Roman" w:hAnsi="Times New Roman"/>
          <w:sz w:val="24"/>
        </w:rPr>
        <w:t xml:space="preserve">(2016) 261 CLR 28 at 105 [239]. </w:t>
      </w:r>
    </w:p>
  </w:footnote>
  <w:footnote w:id="56">
    <w:p w14:paraId="6047BAFA"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t xml:space="preserve">(1992) 175 CLR 1. </w:t>
      </w:r>
    </w:p>
  </w:footnote>
  <w:footnote w:id="57">
    <w:p w14:paraId="3ADCE595"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t xml:space="preserve">(2020) 270 CLR 152. </w:t>
      </w:r>
    </w:p>
  </w:footnote>
  <w:footnote w:id="58">
    <w:p w14:paraId="47605A06" w14:textId="77777777" w:rsidR="007359C1" w:rsidRPr="000935F0" w:rsidRDefault="007359C1" w:rsidP="000935F0">
      <w:pPr>
        <w:pStyle w:val="FootnoteText"/>
        <w:spacing w:line="280" w:lineRule="exact"/>
        <w:ind w:right="0"/>
        <w:jc w:val="both"/>
        <w:rPr>
          <w:rFonts w:ascii="Times New Roman" w:hAnsi="Times New Roman"/>
          <w:i/>
          <w:iCs/>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iCs/>
          <w:sz w:val="24"/>
        </w:rPr>
        <w:t>Mabo v Queensland [No 2]</w:t>
      </w:r>
      <w:r w:rsidRPr="000935F0">
        <w:rPr>
          <w:rFonts w:ascii="Times New Roman" w:hAnsi="Times New Roman"/>
          <w:sz w:val="24"/>
        </w:rPr>
        <w:t xml:space="preserve"> (1992) 175 CLR 1 at 15-16; </w:t>
      </w:r>
      <w:r w:rsidRPr="000935F0">
        <w:rPr>
          <w:rFonts w:ascii="Times New Roman" w:hAnsi="Times New Roman"/>
          <w:i/>
          <w:iCs/>
          <w:sz w:val="24"/>
        </w:rPr>
        <w:t xml:space="preserve">Love v The Commonwealth </w:t>
      </w:r>
      <w:r w:rsidRPr="000935F0">
        <w:rPr>
          <w:rFonts w:ascii="Times New Roman" w:hAnsi="Times New Roman"/>
          <w:sz w:val="24"/>
        </w:rPr>
        <w:t xml:space="preserve">(2020) 270 CLR 152 at 192 [81]. </w:t>
      </w:r>
      <w:r w:rsidRPr="000935F0">
        <w:rPr>
          <w:rFonts w:ascii="Times New Roman" w:hAnsi="Times New Roman"/>
          <w:i/>
          <w:iCs/>
          <w:sz w:val="24"/>
        </w:rPr>
        <w:t xml:space="preserve"> </w:t>
      </w:r>
    </w:p>
  </w:footnote>
  <w:footnote w:id="59">
    <w:p w14:paraId="566A6A4D"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iCs/>
          <w:sz w:val="24"/>
        </w:rPr>
        <w:t xml:space="preserve">Evda Nominees Pty Ltd v Victoria </w:t>
      </w:r>
      <w:r w:rsidRPr="000935F0">
        <w:rPr>
          <w:rFonts w:ascii="Times New Roman" w:hAnsi="Times New Roman"/>
          <w:sz w:val="24"/>
        </w:rPr>
        <w:t>(1984) 154 CLR 311 at 316.</w:t>
      </w:r>
    </w:p>
  </w:footnote>
  <w:footnote w:id="60">
    <w:p w14:paraId="4B7CE8CF" w14:textId="77777777" w:rsidR="007359C1" w:rsidRPr="000935F0" w:rsidRDefault="007359C1" w:rsidP="000935F0">
      <w:pPr>
        <w:pStyle w:val="FootnoteText"/>
        <w:spacing w:line="280" w:lineRule="exact"/>
        <w:ind w:right="0"/>
        <w:jc w:val="both"/>
        <w:rPr>
          <w:rFonts w:ascii="Times New Roman" w:hAnsi="Times New Roman"/>
          <w:i/>
          <w:iCs/>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iCs/>
          <w:sz w:val="24"/>
        </w:rPr>
        <w:t xml:space="preserve">O'Toole v Charles David Pty Ltd </w:t>
      </w:r>
      <w:r w:rsidRPr="000935F0">
        <w:rPr>
          <w:rFonts w:ascii="Times New Roman" w:hAnsi="Times New Roman"/>
          <w:sz w:val="24"/>
        </w:rPr>
        <w:t xml:space="preserve">(1990) 171 CLR 232 at 267; </w:t>
      </w:r>
      <w:r w:rsidRPr="000935F0">
        <w:rPr>
          <w:rFonts w:ascii="Times New Roman" w:hAnsi="Times New Roman"/>
          <w:i/>
          <w:iCs/>
          <w:sz w:val="24"/>
        </w:rPr>
        <w:t>The Commonwealth v Yunupingu</w:t>
      </w:r>
      <w:r w:rsidRPr="000935F0">
        <w:rPr>
          <w:rFonts w:ascii="Times New Roman" w:hAnsi="Times New Roman"/>
          <w:sz w:val="24"/>
        </w:rPr>
        <w:t xml:space="preserve"> (2025) 99 ALJR 519 at 533 [25], 564 [177], 585 [263]-[264]</w:t>
      </w:r>
      <w:r>
        <w:rPr>
          <w:rFonts w:ascii="Times New Roman" w:hAnsi="Times New Roman"/>
          <w:sz w:val="24"/>
        </w:rPr>
        <w:t>; 421 ALR 604 at 613, 652, 677-678</w:t>
      </w:r>
      <w:r w:rsidRPr="000935F0">
        <w:rPr>
          <w:rFonts w:ascii="Times New Roman" w:hAnsi="Times New Roman"/>
          <w:sz w:val="24"/>
        </w:rPr>
        <w:t xml:space="preserve">. </w:t>
      </w:r>
    </w:p>
  </w:footnote>
  <w:footnote w:id="61">
    <w:p w14:paraId="11FC2910"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t xml:space="preserve">In the sense of the largest group within a majority but not itself constituting a majority: see </w:t>
      </w:r>
      <w:r w:rsidRPr="000935F0">
        <w:rPr>
          <w:rFonts w:ascii="Times New Roman" w:hAnsi="Times New Roman"/>
          <w:i/>
          <w:sz w:val="24"/>
        </w:rPr>
        <w:t>The</w:t>
      </w:r>
      <w:r w:rsidRPr="000935F0">
        <w:rPr>
          <w:rFonts w:ascii="Times New Roman" w:hAnsi="Times New Roman"/>
          <w:sz w:val="24"/>
        </w:rPr>
        <w:t xml:space="preserve"> </w:t>
      </w:r>
      <w:r w:rsidRPr="000935F0">
        <w:rPr>
          <w:rFonts w:ascii="Times New Roman" w:hAnsi="Times New Roman"/>
          <w:i/>
          <w:iCs/>
          <w:sz w:val="24"/>
        </w:rPr>
        <w:t xml:space="preserve">Oxford English Dictionary, </w:t>
      </w:r>
      <w:r w:rsidRPr="000935F0">
        <w:rPr>
          <w:rFonts w:ascii="Times New Roman" w:hAnsi="Times New Roman"/>
          <w:sz w:val="24"/>
        </w:rPr>
        <w:t xml:space="preserve">2nd ed (1989), vol 11 at 1090, "plurality", sense 4.  </w:t>
      </w:r>
    </w:p>
  </w:footnote>
  <w:footnote w:id="62">
    <w:p w14:paraId="11C018D1"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iCs/>
          <w:sz w:val="24"/>
        </w:rPr>
        <w:t>SDCV v Director-General of Security</w:t>
      </w:r>
      <w:r w:rsidRPr="000935F0">
        <w:rPr>
          <w:rFonts w:ascii="Times New Roman" w:hAnsi="Times New Roman"/>
          <w:sz w:val="24"/>
        </w:rPr>
        <w:t xml:space="preserve"> (2022) 277 CLR 241 at 254-255 [13] (footnote omitted).</w:t>
      </w:r>
    </w:p>
  </w:footnote>
  <w:footnote w:id="63">
    <w:p w14:paraId="1184C0C7"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iCs/>
          <w:sz w:val="24"/>
        </w:rPr>
        <w:t>SDCV v Director-General of Security</w:t>
      </w:r>
      <w:r w:rsidRPr="000935F0">
        <w:rPr>
          <w:rFonts w:ascii="Times New Roman" w:hAnsi="Times New Roman"/>
          <w:sz w:val="24"/>
        </w:rPr>
        <w:t xml:space="preserve"> (2022) 277 CLR 241 at 255 [13].</w:t>
      </w:r>
    </w:p>
  </w:footnote>
  <w:footnote w:id="64">
    <w:p w14:paraId="2CE44446"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iCs/>
          <w:sz w:val="24"/>
        </w:rPr>
        <w:t>SDCV v Director-General of Security</w:t>
      </w:r>
      <w:r w:rsidRPr="000935F0">
        <w:rPr>
          <w:rFonts w:ascii="Times New Roman" w:hAnsi="Times New Roman"/>
          <w:sz w:val="24"/>
        </w:rPr>
        <w:t xml:space="preserve"> (2022) 277 CLR 241 at 261 [41].</w:t>
      </w:r>
    </w:p>
  </w:footnote>
  <w:footnote w:id="65">
    <w:p w14:paraId="4C1BEAD3"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iCs/>
          <w:sz w:val="24"/>
        </w:rPr>
        <w:t>SDCV v Director-General of Security</w:t>
      </w:r>
      <w:r w:rsidRPr="000935F0">
        <w:rPr>
          <w:rFonts w:ascii="Times New Roman" w:hAnsi="Times New Roman"/>
          <w:sz w:val="24"/>
        </w:rPr>
        <w:t xml:space="preserve"> (2022) 277 CLR 241 at 255 [13].</w:t>
      </w:r>
    </w:p>
  </w:footnote>
  <w:footnote w:id="66">
    <w:p w14:paraId="660C7FBC"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iCs/>
          <w:sz w:val="24"/>
        </w:rPr>
        <w:t>SDCV v Director-General of Security</w:t>
      </w:r>
      <w:r w:rsidRPr="000935F0">
        <w:rPr>
          <w:rFonts w:ascii="Times New Roman" w:hAnsi="Times New Roman"/>
          <w:sz w:val="24"/>
        </w:rPr>
        <w:t xml:space="preserve"> (2022) 277 CLR 241 at 255 [14].</w:t>
      </w:r>
    </w:p>
  </w:footnote>
  <w:footnote w:id="67">
    <w:p w14:paraId="088D3C65"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iCs/>
          <w:sz w:val="24"/>
        </w:rPr>
        <w:t xml:space="preserve">Vunilagi v The Queen </w:t>
      </w:r>
      <w:r w:rsidRPr="000935F0">
        <w:rPr>
          <w:rFonts w:ascii="Times New Roman" w:hAnsi="Times New Roman"/>
          <w:sz w:val="24"/>
        </w:rPr>
        <w:t xml:space="preserve">(2023) 279 CLR 259 at 311 [164]. </w:t>
      </w:r>
    </w:p>
  </w:footnote>
  <w:footnote w:id="68">
    <w:p w14:paraId="2D52B427"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iCs/>
          <w:sz w:val="24"/>
        </w:rPr>
        <w:t>SDCV v Director-General of Security</w:t>
      </w:r>
      <w:r w:rsidRPr="000935F0">
        <w:rPr>
          <w:rFonts w:ascii="Times New Roman" w:hAnsi="Times New Roman"/>
          <w:sz w:val="24"/>
        </w:rPr>
        <w:t xml:space="preserve"> (2022) 277 CLR 241 at 338 [270].</w:t>
      </w:r>
    </w:p>
  </w:footnote>
  <w:footnote w:id="69">
    <w:p w14:paraId="58D5FE41"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iCs/>
          <w:sz w:val="24"/>
        </w:rPr>
        <w:t>SDCV v Director-General of Security</w:t>
      </w:r>
      <w:r w:rsidRPr="000935F0">
        <w:rPr>
          <w:rFonts w:ascii="Times New Roman" w:hAnsi="Times New Roman"/>
          <w:sz w:val="24"/>
        </w:rPr>
        <w:t xml:space="preserve"> (2022) 277 CLR 241 at 337-338 [269], quoting </w:t>
      </w:r>
      <w:r w:rsidRPr="000935F0">
        <w:rPr>
          <w:rFonts w:ascii="Times New Roman" w:hAnsi="Times New Roman"/>
          <w:i/>
          <w:sz w:val="24"/>
        </w:rPr>
        <w:t xml:space="preserve">Condon v Pompano Pty Ltd </w:t>
      </w:r>
      <w:r w:rsidRPr="000935F0">
        <w:rPr>
          <w:rFonts w:ascii="Times New Roman" w:hAnsi="Times New Roman"/>
          <w:sz w:val="24"/>
        </w:rPr>
        <w:t>(2013) 252 CLR 38 at 99 [156].</w:t>
      </w:r>
    </w:p>
  </w:footnote>
  <w:footnote w:id="70">
    <w:p w14:paraId="2487E566"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iCs/>
          <w:sz w:val="24"/>
        </w:rPr>
        <w:t>SDCV v Director-General of Security</w:t>
      </w:r>
      <w:r w:rsidRPr="000935F0">
        <w:rPr>
          <w:rFonts w:ascii="Times New Roman" w:hAnsi="Times New Roman"/>
          <w:sz w:val="24"/>
        </w:rPr>
        <w:t xml:space="preserve"> (2022) 277 CLR 241 at 353 [309].</w:t>
      </w:r>
    </w:p>
  </w:footnote>
  <w:footnote w:id="71">
    <w:p w14:paraId="0C782F1B"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iCs/>
          <w:sz w:val="24"/>
        </w:rPr>
        <w:t>SDCV v Director-General of Security</w:t>
      </w:r>
      <w:r w:rsidRPr="000935F0">
        <w:rPr>
          <w:rFonts w:ascii="Times New Roman" w:hAnsi="Times New Roman"/>
          <w:sz w:val="24"/>
        </w:rPr>
        <w:t xml:space="preserve"> (2022) 277 CLR 241 at 353 [308]. </w:t>
      </w:r>
    </w:p>
  </w:footnote>
  <w:footnote w:id="72">
    <w:p w14:paraId="79B3E95C"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iCs/>
          <w:sz w:val="24"/>
        </w:rPr>
        <w:t>SDCV v Director-General of Security</w:t>
      </w:r>
      <w:r w:rsidRPr="000935F0">
        <w:rPr>
          <w:rFonts w:ascii="Times New Roman" w:hAnsi="Times New Roman"/>
          <w:sz w:val="24"/>
        </w:rPr>
        <w:t xml:space="preserve"> (2022) 277 CLR 241 at 356 [313]-[314] (emphasis added). </w:t>
      </w:r>
    </w:p>
  </w:footnote>
  <w:footnote w:id="73">
    <w:p w14:paraId="060C645D"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iCs/>
          <w:sz w:val="24"/>
        </w:rPr>
        <w:t>SDCV v Director-General of Security</w:t>
      </w:r>
      <w:r w:rsidRPr="000935F0">
        <w:rPr>
          <w:rFonts w:ascii="Times New Roman" w:hAnsi="Times New Roman"/>
          <w:sz w:val="24"/>
        </w:rPr>
        <w:t xml:space="preserve"> (2022) 277 CLR 241 at 344 [286].</w:t>
      </w:r>
    </w:p>
  </w:footnote>
  <w:footnote w:id="74">
    <w:p w14:paraId="2472F3AB"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sz w:val="24"/>
        </w:rPr>
        <w:t>SDCV v Director-General of Security</w:t>
      </w:r>
      <w:r w:rsidRPr="000935F0">
        <w:rPr>
          <w:rFonts w:ascii="Times New Roman" w:hAnsi="Times New Roman"/>
          <w:sz w:val="24"/>
        </w:rPr>
        <w:t xml:space="preserve"> (2022) 277 CLR 241 at 344 [284], citing </w:t>
      </w:r>
      <w:r w:rsidRPr="000935F0">
        <w:rPr>
          <w:rFonts w:ascii="Times New Roman" w:hAnsi="Times New Roman"/>
          <w:i/>
          <w:sz w:val="24"/>
        </w:rPr>
        <w:t xml:space="preserve">Evidence Act 1995 </w:t>
      </w:r>
      <w:r w:rsidRPr="000935F0">
        <w:rPr>
          <w:rFonts w:ascii="Times New Roman" w:hAnsi="Times New Roman"/>
          <w:sz w:val="24"/>
        </w:rPr>
        <w:t>(Cth), s 48.</w:t>
      </w:r>
    </w:p>
  </w:footnote>
  <w:footnote w:id="75">
    <w:p w14:paraId="68FA9D38"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t xml:space="preserve">See, eg, </w:t>
      </w:r>
      <w:r w:rsidRPr="000935F0">
        <w:rPr>
          <w:rFonts w:ascii="Times New Roman" w:hAnsi="Times New Roman"/>
          <w:i/>
          <w:iCs/>
          <w:sz w:val="24"/>
        </w:rPr>
        <w:t xml:space="preserve">Evidence Act 1995 </w:t>
      </w:r>
      <w:r w:rsidRPr="000935F0">
        <w:rPr>
          <w:rFonts w:ascii="Times New Roman" w:hAnsi="Times New Roman"/>
          <w:sz w:val="24"/>
        </w:rPr>
        <w:t xml:space="preserve">(Cth), ss 135, 136. See also </w:t>
      </w:r>
      <w:r w:rsidRPr="000935F0">
        <w:rPr>
          <w:rFonts w:ascii="Times New Roman" w:hAnsi="Times New Roman"/>
          <w:i/>
          <w:iCs/>
          <w:sz w:val="24"/>
        </w:rPr>
        <w:t>Haddara v The Queen</w:t>
      </w:r>
      <w:r w:rsidRPr="000935F0">
        <w:rPr>
          <w:rFonts w:ascii="Times New Roman" w:hAnsi="Times New Roman"/>
          <w:sz w:val="24"/>
        </w:rPr>
        <w:t xml:space="preserve"> (2014) 43 VR 53 at 57-58 [12], 59-60 [16], 70 [50].</w:t>
      </w:r>
    </w:p>
  </w:footnote>
  <w:footnote w:id="76">
    <w:p w14:paraId="716E4CBA"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iCs/>
          <w:sz w:val="24"/>
        </w:rPr>
        <w:t>Minister for Immigration and Multicultural Affairs v MZAPC</w:t>
      </w:r>
      <w:r w:rsidRPr="000935F0">
        <w:rPr>
          <w:rFonts w:ascii="Times New Roman" w:hAnsi="Times New Roman"/>
          <w:sz w:val="24"/>
        </w:rPr>
        <w:t xml:space="preserve"> (2025) 99 ALJR 486 at 503 [57]; 421 ALR 483 at 503.</w:t>
      </w:r>
    </w:p>
  </w:footnote>
  <w:footnote w:id="77">
    <w:p w14:paraId="2F825E2D"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iCs/>
          <w:sz w:val="24"/>
        </w:rPr>
        <w:t>Barton v The Queen</w:t>
      </w:r>
      <w:r w:rsidRPr="000935F0">
        <w:rPr>
          <w:rFonts w:ascii="Times New Roman" w:hAnsi="Times New Roman"/>
          <w:sz w:val="24"/>
        </w:rPr>
        <w:t xml:space="preserve"> (1980) 147 CLR 75 at 96.</w:t>
      </w:r>
    </w:p>
  </w:footnote>
  <w:footnote w:id="78">
    <w:p w14:paraId="3763BFB0"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iCs/>
          <w:sz w:val="24"/>
        </w:rPr>
        <w:t xml:space="preserve">Strickland (a pseudonym) v Director of Public Prosecutions (Cth) </w:t>
      </w:r>
      <w:r w:rsidRPr="000935F0">
        <w:rPr>
          <w:rFonts w:ascii="Times New Roman" w:hAnsi="Times New Roman"/>
          <w:sz w:val="24"/>
        </w:rPr>
        <w:t xml:space="preserve">(2018) 266 CLR 325 at 415-419 [264]-[272]. See </w:t>
      </w:r>
      <w:r w:rsidRPr="000935F0">
        <w:rPr>
          <w:rFonts w:ascii="Times New Roman" w:hAnsi="Times New Roman"/>
          <w:i/>
          <w:iCs/>
          <w:sz w:val="24"/>
        </w:rPr>
        <w:t>R v McLean; Ex parte Attorney‑General</w:t>
      </w:r>
      <w:r w:rsidRPr="000935F0">
        <w:rPr>
          <w:rFonts w:ascii="Times New Roman" w:hAnsi="Times New Roman"/>
          <w:sz w:val="24"/>
        </w:rPr>
        <w:t xml:space="preserve"> [1991] 1 Qd R 231 at 239-240, 241, 246; </w:t>
      </w:r>
      <w:r w:rsidRPr="000935F0">
        <w:rPr>
          <w:rFonts w:ascii="Times New Roman" w:hAnsi="Times New Roman"/>
          <w:i/>
          <w:iCs/>
          <w:sz w:val="24"/>
        </w:rPr>
        <w:t xml:space="preserve">R v Edelsten </w:t>
      </w:r>
      <w:r w:rsidRPr="000935F0">
        <w:rPr>
          <w:rFonts w:ascii="Times New Roman" w:hAnsi="Times New Roman"/>
          <w:sz w:val="24"/>
        </w:rPr>
        <w:t xml:space="preserve">(1990) 21 NSWLR 542 at 554; </w:t>
      </w:r>
      <w:r w:rsidRPr="000935F0">
        <w:rPr>
          <w:rFonts w:ascii="Times New Roman" w:hAnsi="Times New Roman"/>
          <w:i/>
          <w:iCs/>
          <w:sz w:val="24"/>
        </w:rPr>
        <w:t>Haddara v The Queen</w:t>
      </w:r>
      <w:r w:rsidRPr="000935F0">
        <w:rPr>
          <w:rFonts w:ascii="Times New Roman" w:hAnsi="Times New Roman"/>
          <w:sz w:val="24"/>
        </w:rPr>
        <w:t xml:space="preserve"> (2014) 43 VR 53 at 57-58 [12], 59-60 [16], 70 [50].</w:t>
      </w:r>
    </w:p>
  </w:footnote>
  <w:footnote w:id="79">
    <w:p w14:paraId="08BD8687"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iCs/>
          <w:sz w:val="24"/>
        </w:rPr>
        <w:t xml:space="preserve">Kable v Director of Public Prosecutions (NSW) </w:t>
      </w:r>
      <w:r w:rsidRPr="000935F0">
        <w:rPr>
          <w:rFonts w:ascii="Times New Roman" w:hAnsi="Times New Roman"/>
          <w:sz w:val="24"/>
        </w:rPr>
        <w:t>(1996) 189 CLR 51. See</w:t>
      </w:r>
      <w:r w:rsidRPr="000935F0">
        <w:rPr>
          <w:rFonts w:ascii="Times New Roman" w:hAnsi="Times New Roman"/>
          <w:i/>
          <w:iCs/>
          <w:sz w:val="24"/>
        </w:rPr>
        <w:t xml:space="preserve"> Garlett v Western Australia </w:t>
      </w:r>
      <w:r w:rsidRPr="000935F0">
        <w:rPr>
          <w:rFonts w:ascii="Times New Roman" w:hAnsi="Times New Roman"/>
          <w:sz w:val="24"/>
        </w:rPr>
        <w:t>(2022) 277 CLR 1</w:t>
      </w:r>
      <w:r w:rsidRPr="000935F0">
        <w:rPr>
          <w:rFonts w:ascii="Times New Roman" w:hAnsi="Times New Roman"/>
          <w:i/>
          <w:iCs/>
          <w:sz w:val="24"/>
        </w:rPr>
        <w:t xml:space="preserve"> </w:t>
      </w:r>
      <w:r w:rsidRPr="000935F0">
        <w:rPr>
          <w:rFonts w:ascii="Times New Roman" w:hAnsi="Times New Roman"/>
          <w:sz w:val="24"/>
        </w:rPr>
        <w:t>at 94 [257]-[258].</w:t>
      </w:r>
    </w:p>
  </w:footnote>
  <w:footnote w:id="80">
    <w:p w14:paraId="69DE965F"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t xml:space="preserve">(1989) </w:t>
      </w:r>
      <w:bookmarkStart w:id="0" w:name="_Hlk196749078"/>
      <w:r w:rsidRPr="000935F0">
        <w:rPr>
          <w:rFonts w:ascii="Times New Roman" w:hAnsi="Times New Roman"/>
          <w:sz w:val="24"/>
        </w:rPr>
        <w:t xml:space="preserve">168 CLR 23 </w:t>
      </w:r>
      <w:bookmarkEnd w:id="0"/>
      <w:r w:rsidRPr="000935F0">
        <w:rPr>
          <w:rFonts w:ascii="Times New Roman" w:hAnsi="Times New Roman"/>
          <w:sz w:val="24"/>
        </w:rPr>
        <w:t xml:space="preserve">at 31, 32. </w:t>
      </w:r>
    </w:p>
  </w:footnote>
  <w:footnote w:id="81">
    <w:p w14:paraId="1B3BB698"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sz w:val="24"/>
        </w:rPr>
        <w:t>SDCV v Director-General of Security</w:t>
      </w:r>
      <w:r w:rsidRPr="000935F0">
        <w:rPr>
          <w:rFonts w:ascii="Times New Roman" w:hAnsi="Times New Roman"/>
          <w:sz w:val="24"/>
        </w:rPr>
        <w:t xml:space="preserve"> (2022) 277 CLR 241 at 351 [302].</w:t>
      </w:r>
    </w:p>
  </w:footnote>
  <w:footnote w:id="82">
    <w:p w14:paraId="5CD8B744"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sz w:val="24"/>
        </w:rPr>
        <w:t>SDCV v Director-General of Security</w:t>
      </w:r>
      <w:r w:rsidRPr="000935F0">
        <w:rPr>
          <w:rFonts w:ascii="Times New Roman" w:hAnsi="Times New Roman"/>
          <w:sz w:val="24"/>
        </w:rPr>
        <w:t xml:space="preserve"> (2022) 277 CLR 241 at 347 [295].</w:t>
      </w:r>
    </w:p>
  </w:footnote>
  <w:footnote w:id="83">
    <w:p w14:paraId="00FB8193"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sz w:val="24"/>
        </w:rPr>
        <w:t>SDCV v Director-General of Security</w:t>
      </w:r>
      <w:r w:rsidRPr="000935F0">
        <w:rPr>
          <w:rFonts w:ascii="Times New Roman" w:hAnsi="Times New Roman"/>
          <w:sz w:val="24"/>
        </w:rPr>
        <w:t xml:space="preserve"> (2022) 277 CLR 241 at 348 [296]. </w:t>
      </w:r>
    </w:p>
  </w:footnote>
  <w:footnote w:id="84">
    <w:p w14:paraId="4BA69E06"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sz w:val="24"/>
        </w:rPr>
        <w:t>SDCV v Director-General of Security</w:t>
      </w:r>
      <w:r w:rsidRPr="000935F0">
        <w:rPr>
          <w:rFonts w:ascii="Times New Roman" w:hAnsi="Times New Roman"/>
          <w:sz w:val="24"/>
        </w:rPr>
        <w:t xml:space="preserve"> (2022) 277 CLR 241 at 283 [98].</w:t>
      </w:r>
    </w:p>
  </w:footnote>
  <w:footnote w:id="85">
    <w:p w14:paraId="520919CE"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sz w:val="24"/>
        </w:rPr>
        <w:t>SDCV v Director-General of Security</w:t>
      </w:r>
      <w:r w:rsidRPr="000935F0">
        <w:rPr>
          <w:rFonts w:ascii="Times New Roman" w:hAnsi="Times New Roman"/>
          <w:sz w:val="24"/>
        </w:rPr>
        <w:t xml:space="preserve"> (2022) 277 CLR 241 at 346 [291].</w:t>
      </w:r>
    </w:p>
  </w:footnote>
  <w:footnote w:id="86">
    <w:p w14:paraId="422FE008"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sz w:val="24"/>
        </w:rPr>
        <w:t>SDCV v Director-General of Security</w:t>
      </w:r>
      <w:r w:rsidRPr="000935F0">
        <w:rPr>
          <w:rFonts w:ascii="Times New Roman" w:hAnsi="Times New Roman"/>
          <w:sz w:val="24"/>
        </w:rPr>
        <w:t xml:space="preserve"> (2022) 277 CLR 241 at 266 [54].</w:t>
      </w:r>
    </w:p>
  </w:footnote>
  <w:footnote w:id="87">
    <w:p w14:paraId="41B277D6"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iCs/>
          <w:sz w:val="24"/>
        </w:rPr>
        <w:t>R (Haralambous) v Crown Court at St Albans</w:t>
      </w:r>
      <w:r w:rsidRPr="000935F0">
        <w:rPr>
          <w:rFonts w:ascii="Times New Roman" w:hAnsi="Times New Roman"/>
          <w:sz w:val="24"/>
        </w:rPr>
        <w:t xml:space="preserve"> [2018] AC 236 at 273 [63].</w:t>
      </w:r>
    </w:p>
  </w:footnote>
  <w:footnote w:id="88">
    <w:p w14:paraId="76AC19EA"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t>(1989) 166 CLR 417 at 438-439.</w:t>
      </w:r>
    </w:p>
  </w:footnote>
  <w:footnote w:id="89">
    <w:p w14:paraId="436B29A8"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sz w:val="24"/>
        </w:rPr>
        <w:t xml:space="preserve">Vunilagi v The Queen </w:t>
      </w:r>
      <w:r w:rsidRPr="000935F0">
        <w:rPr>
          <w:rFonts w:ascii="Times New Roman" w:hAnsi="Times New Roman"/>
          <w:sz w:val="24"/>
        </w:rPr>
        <w:t>(2023) 279 CLR 259 at 310-311 [160]-[161].</w:t>
      </w:r>
    </w:p>
  </w:footnote>
  <w:footnote w:id="90">
    <w:p w14:paraId="0129F16B"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iCs/>
          <w:sz w:val="24"/>
        </w:rPr>
        <w:t xml:space="preserve">Lange v Australian Broadcasting Corporation </w:t>
      </w:r>
      <w:r w:rsidRPr="000935F0">
        <w:rPr>
          <w:rFonts w:ascii="Times New Roman" w:hAnsi="Times New Roman"/>
          <w:sz w:val="24"/>
        </w:rPr>
        <w:t xml:space="preserve">(1997) 189 CLR 520 at 554; </w:t>
      </w:r>
      <w:r w:rsidRPr="000935F0">
        <w:rPr>
          <w:rFonts w:ascii="Times New Roman" w:hAnsi="Times New Roman"/>
          <w:i/>
          <w:iCs/>
          <w:sz w:val="24"/>
        </w:rPr>
        <w:t xml:space="preserve">Vunilagi v The Queen </w:t>
      </w:r>
      <w:r w:rsidRPr="000935F0">
        <w:rPr>
          <w:rFonts w:ascii="Times New Roman" w:hAnsi="Times New Roman"/>
          <w:sz w:val="24"/>
        </w:rPr>
        <w:t>(2023) 279 CLR 259 at 311 [162].</w:t>
      </w:r>
    </w:p>
  </w:footnote>
  <w:footnote w:id="91">
    <w:p w14:paraId="411F521D" w14:textId="77777777" w:rsidR="007359C1" w:rsidRPr="000935F0" w:rsidRDefault="007359C1" w:rsidP="000935F0">
      <w:pPr>
        <w:pStyle w:val="FootnoteText"/>
        <w:spacing w:line="280" w:lineRule="exact"/>
        <w:ind w:right="0"/>
        <w:jc w:val="both"/>
        <w:rPr>
          <w:rFonts w:ascii="Times New Roman" w:hAnsi="Times New Roman"/>
          <w:i/>
          <w:iCs/>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iCs/>
          <w:sz w:val="24"/>
        </w:rPr>
        <w:t xml:space="preserve">Residual Assco Group Ltd v Spalvins </w:t>
      </w:r>
      <w:r w:rsidRPr="000935F0">
        <w:rPr>
          <w:rFonts w:ascii="Times New Roman" w:hAnsi="Times New Roman"/>
          <w:sz w:val="24"/>
        </w:rPr>
        <w:t>(2000) 202 CLR 629 at 644 [28].</w:t>
      </w:r>
    </w:p>
  </w:footnote>
  <w:footnote w:id="92">
    <w:p w14:paraId="699DFDDF"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sz w:val="24"/>
        </w:rPr>
        <w:t>SDCV v Director-General of Security</w:t>
      </w:r>
      <w:r w:rsidRPr="000935F0">
        <w:rPr>
          <w:rFonts w:ascii="Times New Roman" w:hAnsi="Times New Roman"/>
          <w:sz w:val="24"/>
        </w:rPr>
        <w:t xml:space="preserve"> (2022) 277 CLR 241 at 293-294 [138], 307 [176], 326 [231]. </w:t>
      </w:r>
    </w:p>
  </w:footnote>
  <w:footnote w:id="93">
    <w:p w14:paraId="6D21496C"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iCs/>
          <w:sz w:val="24"/>
        </w:rPr>
        <w:t xml:space="preserve">John v Federal Commissioner of Taxation </w:t>
      </w:r>
      <w:r w:rsidRPr="000935F0">
        <w:rPr>
          <w:rFonts w:ascii="Times New Roman" w:hAnsi="Times New Roman"/>
          <w:sz w:val="24"/>
        </w:rPr>
        <w:t>(1989) 166 CLR 417 at 438.</w:t>
      </w:r>
    </w:p>
  </w:footnote>
  <w:footnote w:id="94">
    <w:p w14:paraId="310AA647"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iCs/>
          <w:sz w:val="24"/>
        </w:rPr>
        <w:t xml:space="preserve">Administrative Review Tribunal Act 2024 </w:t>
      </w:r>
      <w:r w:rsidRPr="000935F0">
        <w:rPr>
          <w:rFonts w:ascii="Times New Roman" w:hAnsi="Times New Roman"/>
          <w:sz w:val="24"/>
        </w:rPr>
        <w:t>(Cth), Pt 7, Div 6.</w:t>
      </w:r>
    </w:p>
  </w:footnote>
  <w:footnote w:id="95">
    <w:p w14:paraId="0099B6F5"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t xml:space="preserve">(2008) 234 CLR 532. </w:t>
      </w:r>
    </w:p>
  </w:footnote>
  <w:footnote w:id="96">
    <w:p w14:paraId="240C7B38"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t>(2013) 252 CLR 38.</w:t>
      </w:r>
    </w:p>
  </w:footnote>
  <w:footnote w:id="97">
    <w:p w14:paraId="0DDFDF40"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sz w:val="24"/>
        </w:rPr>
        <w:t>SDCV v Director-General of Security</w:t>
      </w:r>
      <w:r w:rsidRPr="000935F0">
        <w:rPr>
          <w:rFonts w:ascii="Times New Roman" w:hAnsi="Times New Roman"/>
          <w:sz w:val="24"/>
        </w:rPr>
        <w:t xml:space="preserve"> (2022) 277 CLR 241 at 261 [41].</w:t>
      </w:r>
    </w:p>
  </w:footnote>
  <w:footnote w:id="98">
    <w:p w14:paraId="6084594D"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t>(1984) 154 CLR 311 at 316.</w:t>
      </w:r>
    </w:p>
  </w:footnote>
  <w:footnote w:id="99">
    <w:p w14:paraId="5062C643"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sz w:val="24"/>
        </w:rPr>
        <w:t xml:space="preserve">Dennis Hotels Pty Ltd v Victoria </w:t>
      </w:r>
      <w:r w:rsidRPr="000935F0">
        <w:rPr>
          <w:rFonts w:ascii="Times New Roman" w:hAnsi="Times New Roman"/>
          <w:sz w:val="24"/>
        </w:rPr>
        <w:t xml:space="preserve">(1960) 104 CLR 529; </w:t>
      </w:r>
      <w:r w:rsidRPr="000935F0">
        <w:rPr>
          <w:rFonts w:ascii="Times New Roman" w:hAnsi="Times New Roman"/>
          <w:i/>
          <w:sz w:val="24"/>
        </w:rPr>
        <w:t xml:space="preserve">Dickenson's Arcade Pty Ltd v Tasmania </w:t>
      </w:r>
      <w:r w:rsidRPr="000935F0">
        <w:rPr>
          <w:rFonts w:ascii="Times New Roman" w:hAnsi="Times New Roman"/>
          <w:sz w:val="24"/>
        </w:rPr>
        <w:t xml:space="preserve">(1974) 130 CLR 177; </w:t>
      </w:r>
      <w:r w:rsidRPr="000935F0">
        <w:rPr>
          <w:rFonts w:ascii="Times New Roman" w:hAnsi="Times New Roman"/>
          <w:i/>
          <w:sz w:val="24"/>
        </w:rPr>
        <w:t xml:space="preserve">H C Sleigh Ltd v South Australia </w:t>
      </w:r>
      <w:r w:rsidRPr="000935F0">
        <w:rPr>
          <w:rFonts w:ascii="Times New Roman" w:hAnsi="Times New Roman"/>
          <w:sz w:val="24"/>
        </w:rPr>
        <w:t>(1977) 136 CLR 475.</w:t>
      </w:r>
    </w:p>
  </w:footnote>
  <w:footnote w:id="100">
    <w:p w14:paraId="785CCE0E"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sz w:val="24"/>
        </w:rPr>
        <w:t xml:space="preserve">Philip Morris Ltd v Commissioner of Business Franchises (Vict) </w:t>
      </w:r>
      <w:r w:rsidRPr="000935F0">
        <w:rPr>
          <w:rFonts w:ascii="Times New Roman" w:hAnsi="Times New Roman"/>
          <w:sz w:val="24"/>
        </w:rPr>
        <w:t xml:space="preserve">(1989) 167 CLR 399 at 438. See also </w:t>
      </w:r>
      <w:r w:rsidRPr="000935F0">
        <w:rPr>
          <w:rFonts w:ascii="Times New Roman" w:hAnsi="Times New Roman"/>
          <w:i/>
          <w:sz w:val="24"/>
        </w:rPr>
        <w:t xml:space="preserve">Dickenson's Arcade Pty Ltd v Tasmania </w:t>
      </w:r>
      <w:r w:rsidRPr="000935F0">
        <w:rPr>
          <w:rFonts w:ascii="Times New Roman" w:hAnsi="Times New Roman"/>
          <w:sz w:val="24"/>
        </w:rPr>
        <w:t>(1974) 130 CLR 177 at 188.</w:t>
      </w:r>
    </w:p>
  </w:footnote>
  <w:footnote w:id="101">
    <w:p w14:paraId="1B59E780"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iCs/>
          <w:sz w:val="24"/>
        </w:rPr>
        <w:t xml:space="preserve">Evda Nominees Pty Ltd v Victoria </w:t>
      </w:r>
      <w:r w:rsidRPr="000935F0">
        <w:rPr>
          <w:rFonts w:ascii="Times New Roman" w:hAnsi="Times New Roman"/>
          <w:sz w:val="24"/>
        </w:rPr>
        <w:t>(1984) 154 CLR 311 at 316.</w:t>
      </w:r>
    </w:p>
  </w:footnote>
  <w:footnote w:id="102">
    <w:p w14:paraId="6312C914"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iCs/>
          <w:sz w:val="24"/>
        </w:rPr>
        <w:t xml:space="preserve">Ha v New South Wales </w:t>
      </w:r>
      <w:r w:rsidRPr="000935F0">
        <w:rPr>
          <w:rFonts w:ascii="Times New Roman" w:hAnsi="Times New Roman"/>
          <w:sz w:val="24"/>
        </w:rPr>
        <w:t>(1997) 189 CLR 465 at 504.</w:t>
      </w:r>
    </w:p>
  </w:footnote>
  <w:footnote w:id="103">
    <w:p w14:paraId="62B8EB37"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iCs/>
          <w:sz w:val="24"/>
        </w:rPr>
        <w:t xml:space="preserve">Lange v Australian Broadcasting Corporation </w:t>
      </w:r>
      <w:r w:rsidRPr="000935F0">
        <w:rPr>
          <w:rFonts w:ascii="Times New Roman" w:hAnsi="Times New Roman"/>
          <w:sz w:val="24"/>
        </w:rPr>
        <w:t xml:space="preserve">(1997) 189 CLR 520 at 556. </w:t>
      </w:r>
    </w:p>
  </w:footnote>
  <w:footnote w:id="104">
    <w:p w14:paraId="6B248CD9"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r>
      <w:r w:rsidRPr="000935F0">
        <w:rPr>
          <w:rFonts w:ascii="Times New Roman" w:hAnsi="Times New Roman"/>
          <w:i/>
          <w:iCs/>
          <w:sz w:val="24"/>
        </w:rPr>
        <w:t xml:space="preserve">SDCV v Director-General of Security </w:t>
      </w:r>
      <w:r w:rsidRPr="000935F0">
        <w:rPr>
          <w:rFonts w:ascii="Times New Roman" w:hAnsi="Times New Roman"/>
          <w:sz w:val="24"/>
        </w:rPr>
        <w:t>(2022) 277 CLR 241 at 333 [251].</w:t>
      </w:r>
    </w:p>
  </w:footnote>
  <w:footnote w:id="105">
    <w:p w14:paraId="743C41F0" w14:textId="77777777" w:rsidR="007359C1" w:rsidRPr="000935F0" w:rsidRDefault="007359C1" w:rsidP="000935F0">
      <w:pPr>
        <w:pStyle w:val="FootnoteText"/>
        <w:spacing w:line="280" w:lineRule="exact"/>
        <w:ind w:right="0"/>
        <w:jc w:val="both"/>
        <w:rPr>
          <w:rFonts w:ascii="Times New Roman" w:hAnsi="Times New Roman"/>
          <w:sz w:val="24"/>
        </w:rPr>
      </w:pPr>
      <w:r w:rsidRPr="000935F0">
        <w:rPr>
          <w:rStyle w:val="FootnoteReference"/>
          <w:rFonts w:ascii="Times New Roman" w:hAnsi="Times New Roman"/>
          <w:sz w:val="22"/>
          <w:vertAlign w:val="baseline"/>
        </w:rPr>
        <w:footnoteRef/>
      </w:r>
      <w:r w:rsidRPr="000935F0">
        <w:rPr>
          <w:rFonts w:ascii="Times New Roman" w:hAnsi="Times New Roman"/>
          <w:sz w:val="24"/>
        </w:rPr>
        <w:t xml:space="preserve"> </w:t>
      </w:r>
      <w:r w:rsidRPr="000935F0">
        <w:rPr>
          <w:rFonts w:ascii="Times New Roman" w:hAnsi="Times New Roman"/>
          <w:sz w:val="24"/>
        </w:rPr>
        <w:tab/>
        <w:t xml:space="preserve">See </w:t>
      </w:r>
      <w:r w:rsidRPr="000935F0">
        <w:rPr>
          <w:rFonts w:ascii="Times New Roman" w:hAnsi="Times New Roman"/>
          <w:i/>
          <w:iCs/>
          <w:sz w:val="24"/>
        </w:rPr>
        <w:t xml:space="preserve">SDCV v Director-General of Security </w:t>
      </w:r>
      <w:r w:rsidRPr="000935F0">
        <w:rPr>
          <w:rFonts w:ascii="Times New Roman" w:hAnsi="Times New Roman"/>
          <w:sz w:val="24"/>
        </w:rPr>
        <w:t>(2022) 277 CLR 241 at 314 [193], 333-334 [252]-[255].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5F0FA" w14:textId="77777777" w:rsidR="006632F7" w:rsidRPr="00C7596E" w:rsidRDefault="006632F7" w:rsidP="00C759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4B425" w14:textId="02FABE75" w:rsidR="006632F7" w:rsidRPr="00C7596E" w:rsidRDefault="00C7596E" w:rsidP="00C7596E">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8E2DC5">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8E2DC5">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39B45" w14:textId="77777777" w:rsidR="00AB076E" w:rsidRPr="00C7596E" w:rsidRDefault="00AB076E" w:rsidP="00C759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74045" w14:textId="77777777" w:rsidR="00C7596E" w:rsidRPr="006632F7" w:rsidRDefault="00C7596E" w:rsidP="006632F7">
    <w:pPr>
      <w:pStyle w:val="Header"/>
      <w:tabs>
        <w:tab w:val="clear" w:pos="4153"/>
        <w:tab w:val="clear" w:pos="8306"/>
        <w:tab w:val="right" w:pos="1304"/>
      </w:tabs>
      <w:spacing w:line="280" w:lineRule="exact"/>
      <w:ind w:firstLine="0"/>
      <w:rPr>
        <w:rFonts w:ascii="Times New Roman" w:hAnsi="Times New Roman"/>
        <w:i/>
        <w:sz w:val="22"/>
      </w:rPr>
    </w:pPr>
    <w:proofErr w:type="spellStart"/>
    <w:r w:rsidRPr="006632F7">
      <w:rPr>
        <w:rFonts w:ascii="Times New Roman" w:hAnsi="Times New Roman"/>
        <w:i/>
        <w:sz w:val="22"/>
      </w:rPr>
      <w:t>Gageler</w:t>
    </w:r>
    <w:proofErr w:type="spellEnd"/>
    <w:r w:rsidRPr="006632F7">
      <w:rPr>
        <w:rFonts w:ascii="Times New Roman" w:hAnsi="Times New Roman"/>
        <w:i/>
        <w:sz w:val="22"/>
      </w:rPr>
      <w:tab/>
      <w:t>CJ</w:t>
    </w:r>
  </w:p>
  <w:p w14:paraId="45E9721B" w14:textId="77777777" w:rsidR="00C7596E" w:rsidRPr="006632F7" w:rsidRDefault="00C7596E" w:rsidP="006632F7">
    <w:pPr>
      <w:pStyle w:val="Header"/>
      <w:tabs>
        <w:tab w:val="clear" w:pos="4153"/>
        <w:tab w:val="clear" w:pos="8306"/>
        <w:tab w:val="right" w:pos="1304"/>
      </w:tabs>
      <w:spacing w:line="280" w:lineRule="exact"/>
      <w:ind w:firstLine="0"/>
      <w:rPr>
        <w:rFonts w:ascii="Times New Roman" w:hAnsi="Times New Roman"/>
        <w:i/>
        <w:sz w:val="22"/>
      </w:rPr>
    </w:pPr>
    <w:r w:rsidRPr="006632F7">
      <w:rPr>
        <w:rFonts w:ascii="Times New Roman" w:hAnsi="Times New Roman"/>
        <w:i/>
        <w:sz w:val="22"/>
      </w:rPr>
      <w:t>Gordon</w:t>
    </w:r>
    <w:r w:rsidRPr="006632F7">
      <w:rPr>
        <w:rFonts w:ascii="Times New Roman" w:hAnsi="Times New Roman"/>
        <w:i/>
        <w:sz w:val="22"/>
      </w:rPr>
      <w:tab/>
      <w:t>J</w:t>
    </w:r>
  </w:p>
  <w:p w14:paraId="27CB43E3" w14:textId="77777777" w:rsidR="00C7596E" w:rsidRPr="006632F7" w:rsidRDefault="00C7596E" w:rsidP="006632F7">
    <w:pPr>
      <w:pStyle w:val="Header"/>
      <w:tabs>
        <w:tab w:val="clear" w:pos="4153"/>
        <w:tab w:val="clear" w:pos="8306"/>
        <w:tab w:val="right" w:pos="1304"/>
      </w:tabs>
      <w:spacing w:line="280" w:lineRule="exact"/>
      <w:ind w:firstLine="0"/>
      <w:rPr>
        <w:rFonts w:ascii="Times New Roman" w:hAnsi="Times New Roman"/>
        <w:i/>
        <w:sz w:val="22"/>
      </w:rPr>
    </w:pPr>
    <w:r w:rsidRPr="006632F7">
      <w:rPr>
        <w:rFonts w:ascii="Times New Roman" w:hAnsi="Times New Roman"/>
        <w:i/>
        <w:sz w:val="22"/>
      </w:rPr>
      <w:t>Steward</w:t>
    </w:r>
    <w:r w:rsidRPr="006632F7">
      <w:rPr>
        <w:rFonts w:ascii="Times New Roman" w:hAnsi="Times New Roman"/>
        <w:i/>
        <w:sz w:val="22"/>
      </w:rPr>
      <w:tab/>
      <w:t>J</w:t>
    </w:r>
  </w:p>
  <w:p w14:paraId="3BF81948" w14:textId="77777777" w:rsidR="00C7596E" w:rsidRPr="006632F7" w:rsidRDefault="00C7596E" w:rsidP="006632F7">
    <w:pPr>
      <w:pStyle w:val="Header"/>
      <w:tabs>
        <w:tab w:val="clear" w:pos="4153"/>
        <w:tab w:val="clear" w:pos="8306"/>
        <w:tab w:val="right" w:pos="1304"/>
      </w:tabs>
      <w:spacing w:line="280" w:lineRule="exact"/>
      <w:ind w:firstLine="0"/>
      <w:rPr>
        <w:rFonts w:ascii="Times New Roman" w:hAnsi="Times New Roman"/>
        <w:i/>
        <w:sz w:val="22"/>
      </w:rPr>
    </w:pPr>
    <w:r w:rsidRPr="006632F7">
      <w:rPr>
        <w:rFonts w:ascii="Times New Roman" w:hAnsi="Times New Roman"/>
        <w:i/>
        <w:sz w:val="22"/>
      </w:rPr>
      <w:t>Gleeson</w:t>
    </w:r>
    <w:r w:rsidRPr="006632F7">
      <w:rPr>
        <w:rFonts w:ascii="Times New Roman" w:hAnsi="Times New Roman"/>
        <w:i/>
        <w:sz w:val="22"/>
      </w:rPr>
      <w:tab/>
      <w:t>J</w:t>
    </w:r>
  </w:p>
  <w:p w14:paraId="37EEB360" w14:textId="77777777" w:rsidR="00C7596E" w:rsidRPr="006632F7" w:rsidRDefault="00C7596E" w:rsidP="006632F7">
    <w:pPr>
      <w:pStyle w:val="Header"/>
      <w:tabs>
        <w:tab w:val="clear" w:pos="4153"/>
        <w:tab w:val="clear" w:pos="8306"/>
        <w:tab w:val="right" w:pos="1304"/>
      </w:tabs>
      <w:spacing w:line="280" w:lineRule="exact"/>
      <w:ind w:firstLine="0"/>
      <w:rPr>
        <w:rFonts w:ascii="Times New Roman" w:hAnsi="Times New Roman"/>
        <w:i/>
        <w:sz w:val="22"/>
      </w:rPr>
    </w:pPr>
    <w:r w:rsidRPr="006632F7">
      <w:rPr>
        <w:rFonts w:ascii="Times New Roman" w:hAnsi="Times New Roman"/>
        <w:i/>
        <w:sz w:val="22"/>
      </w:rPr>
      <w:t>Jagot</w:t>
    </w:r>
    <w:r w:rsidRPr="006632F7">
      <w:rPr>
        <w:rFonts w:ascii="Times New Roman" w:hAnsi="Times New Roman"/>
        <w:i/>
        <w:sz w:val="22"/>
      </w:rPr>
      <w:tab/>
      <w:t>J</w:t>
    </w:r>
  </w:p>
  <w:p w14:paraId="5B644A02" w14:textId="77777777" w:rsidR="00C7596E" w:rsidRDefault="00C7596E" w:rsidP="006632F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31780A4A" w14:textId="77777777" w:rsidR="00C7596E" w:rsidRDefault="00C7596E" w:rsidP="006632F7">
    <w:pPr>
      <w:pStyle w:val="Header"/>
      <w:tabs>
        <w:tab w:val="clear" w:pos="4153"/>
        <w:tab w:val="clear" w:pos="8306"/>
        <w:tab w:val="right" w:pos="1304"/>
      </w:tabs>
      <w:spacing w:line="280" w:lineRule="exact"/>
      <w:ind w:firstLine="0"/>
      <w:rPr>
        <w:rFonts w:ascii="Times New Roman" w:hAnsi="Times New Roman"/>
        <w:i/>
        <w:sz w:val="22"/>
      </w:rPr>
    </w:pPr>
  </w:p>
  <w:p w14:paraId="652F915F" w14:textId="77777777" w:rsidR="00C7596E" w:rsidRDefault="00C7596E" w:rsidP="006632F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CE8D734" w14:textId="77777777" w:rsidR="00C7596E" w:rsidRPr="006632F7" w:rsidRDefault="00C7596E" w:rsidP="006632F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91710" w14:textId="77777777" w:rsidR="00C7596E" w:rsidRPr="006632F7" w:rsidRDefault="00C7596E" w:rsidP="006632F7">
    <w:pPr>
      <w:pStyle w:val="Header"/>
      <w:tabs>
        <w:tab w:val="clear" w:pos="4153"/>
        <w:tab w:val="clear" w:pos="8306"/>
        <w:tab w:val="left" w:pos="7200"/>
        <w:tab w:val="right" w:pos="8504"/>
      </w:tabs>
      <w:spacing w:line="280" w:lineRule="exact"/>
      <w:jc w:val="right"/>
      <w:rPr>
        <w:rFonts w:ascii="Times New Roman" w:hAnsi="Times New Roman"/>
        <w:i/>
        <w:sz w:val="22"/>
      </w:rPr>
    </w:pPr>
    <w:r w:rsidRPr="006632F7">
      <w:rPr>
        <w:rFonts w:ascii="Times New Roman" w:hAnsi="Times New Roman"/>
        <w:i/>
        <w:sz w:val="22"/>
      </w:rPr>
      <w:tab/>
    </w:r>
    <w:proofErr w:type="spellStart"/>
    <w:r w:rsidRPr="006632F7">
      <w:rPr>
        <w:rFonts w:ascii="Times New Roman" w:hAnsi="Times New Roman"/>
        <w:i/>
        <w:sz w:val="22"/>
      </w:rPr>
      <w:t>Gageler</w:t>
    </w:r>
    <w:proofErr w:type="spellEnd"/>
    <w:r w:rsidRPr="006632F7">
      <w:rPr>
        <w:rFonts w:ascii="Times New Roman" w:hAnsi="Times New Roman"/>
        <w:i/>
        <w:sz w:val="22"/>
      </w:rPr>
      <w:tab/>
      <w:t>CJ</w:t>
    </w:r>
  </w:p>
  <w:p w14:paraId="5706AE0F" w14:textId="77777777" w:rsidR="00C7596E" w:rsidRPr="006632F7" w:rsidRDefault="00C7596E" w:rsidP="006632F7">
    <w:pPr>
      <w:pStyle w:val="Header"/>
      <w:tabs>
        <w:tab w:val="clear" w:pos="4153"/>
        <w:tab w:val="clear" w:pos="8306"/>
        <w:tab w:val="left" w:pos="7200"/>
        <w:tab w:val="right" w:pos="8504"/>
      </w:tabs>
      <w:spacing w:line="280" w:lineRule="exact"/>
      <w:jc w:val="right"/>
      <w:rPr>
        <w:rFonts w:ascii="Times New Roman" w:hAnsi="Times New Roman"/>
        <w:i/>
        <w:sz w:val="22"/>
      </w:rPr>
    </w:pPr>
    <w:r w:rsidRPr="006632F7">
      <w:rPr>
        <w:rFonts w:ascii="Times New Roman" w:hAnsi="Times New Roman"/>
        <w:i/>
        <w:sz w:val="22"/>
      </w:rPr>
      <w:tab/>
      <w:t>Gordon</w:t>
    </w:r>
    <w:r w:rsidRPr="006632F7">
      <w:rPr>
        <w:rFonts w:ascii="Times New Roman" w:hAnsi="Times New Roman"/>
        <w:i/>
        <w:sz w:val="22"/>
      </w:rPr>
      <w:tab/>
      <w:t>J</w:t>
    </w:r>
  </w:p>
  <w:p w14:paraId="365048D8" w14:textId="77777777" w:rsidR="00C7596E" w:rsidRPr="006632F7" w:rsidRDefault="00C7596E" w:rsidP="006632F7">
    <w:pPr>
      <w:pStyle w:val="Header"/>
      <w:tabs>
        <w:tab w:val="clear" w:pos="4153"/>
        <w:tab w:val="clear" w:pos="8306"/>
        <w:tab w:val="left" w:pos="7200"/>
        <w:tab w:val="right" w:pos="8504"/>
      </w:tabs>
      <w:spacing w:line="280" w:lineRule="exact"/>
      <w:jc w:val="right"/>
      <w:rPr>
        <w:rFonts w:ascii="Times New Roman" w:hAnsi="Times New Roman"/>
        <w:i/>
        <w:sz w:val="22"/>
      </w:rPr>
    </w:pPr>
    <w:r w:rsidRPr="006632F7">
      <w:rPr>
        <w:rFonts w:ascii="Times New Roman" w:hAnsi="Times New Roman"/>
        <w:i/>
        <w:sz w:val="22"/>
      </w:rPr>
      <w:tab/>
      <w:t>Steward</w:t>
    </w:r>
    <w:r w:rsidRPr="006632F7">
      <w:rPr>
        <w:rFonts w:ascii="Times New Roman" w:hAnsi="Times New Roman"/>
        <w:i/>
        <w:sz w:val="22"/>
      </w:rPr>
      <w:tab/>
      <w:t>J</w:t>
    </w:r>
  </w:p>
  <w:p w14:paraId="410766AD" w14:textId="77777777" w:rsidR="00C7596E" w:rsidRPr="006632F7" w:rsidRDefault="00C7596E" w:rsidP="006632F7">
    <w:pPr>
      <w:pStyle w:val="Header"/>
      <w:tabs>
        <w:tab w:val="clear" w:pos="4153"/>
        <w:tab w:val="clear" w:pos="8306"/>
        <w:tab w:val="left" w:pos="7200"/>
        <w:tab w:val="right" w:pos="8504"/>
      </w:tabs>
      <w:spacing w:line="280" w:lineRule="exact"/>
      <w:jc w:val="right"/>
      <w:rPr>
        <w:rFonts w:ascii="Times New Roman" w:hAnsi="Times New Roman"/>
        <w:i/>
        <w:sz w:val="22"/>
      </w:rPr>
    </w:pPr>
    <w:r w:rsidRPr="006632F7">
      <w:rPr>
        <w:rFonts w:ascii="Times New Roman" w:hAnsi="Times New Roman"/>
        <w:i/>
        <w:sz w:val="22"/>
      </w:rPr>
      <w:tab/>
      <w:t>Gleeson</w:t>
    </w:r>
    <w:r w:rsidRPr="006632F7">
      <w:rPr>
        <w:rFonts w:ascii="Times New Roman" w:hAnsi="Times New Roman"/>
        <w:i/>
        <w:sz w:val="22"/>
      </w:rPr>
      <w:tab/>
      <w:t>J</w:t>
    </w:r>
  </w:p>
  <w:p w14:paraId="53FADD61" w14:textId="77777777" w:rsidR="00C7596E" w:rsidRPr="006632F7" w:rsidRDefault="00C7596E" w:rsidP="006632F7">
    <w:pPr>
      <w:pStyle w:val="Header"/>
      <w:tabs>
        <w:tab w:val="clear" w:pos="4153"/>
        <w:tab w:val="clear" w:pos="8306"/>
        <w:tab w:val="left" w:pos="7200"/>
        <w:tab w:val="right" w:pos="8504"/>
      </w:tabs>
      <w:spacing w:line="280" w:lineRule="exact"/>
      <w:jc w:val="right"/>
      <w:rPr>
        <w:rFonts w:ascii="Times New Roman" w:hAnsi="Times New Roman"/>
        <w:i/>
        <w:sz w:val="22"/>
      </w:rPr>
    </w:pPr>
    <w:r w:rsidRPr="006632F7">
      <w:rPr>
        <w:rFonts w:ascii="Times New Roman" w:hAnsi="Times New Roman"/>
        <w:i/>
        <w:sz w:val="22"/>
      </w:rPr>
      <w:tab/>
      <w:t>Jagot</w:t>
    </w:r>
    <w:r w:rsidRPr="006632F7">
      <w:rPr>
        <w:rFonts w:ascii="Times New Roman" w:hAnsi="Times New Roman"/>
        <w:i/>
        <w:sz w:val="22"/>
      </w:rPr>
      <w:tab/>
      <w:t>J</w:t>
    </w:r>
  </w:p>
  <w:p w14:paraId="5A0BA69B" w14:textId="77777777" w:rsidR="00C7596E" w:rsidRDefault="00C7596E" w:rsidP="006632F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0C037662" w14:textId="77777777" w:rsidR="00C7596E" w:rsidRDefault="00C7596E" w:rsidP="006632F7">
    <w:pPr>
      <w:pStyle w:val="Header"/>
      <w:tabs>
        <w:tab w:val="clear" w:pos="4153"/>
        <w:tab w:val="clear" w:pos="8306"/>
        <w:tab w:val="left" w:pos="7200"/>
        <w:tab w:val="right" w:pos="8504"/>
      </w:tabs>
      <w:spacing w:line="280" w:lineRule="exact"/>
      <w:jc w:val="right"/>
      <w:rPr>
        <w:rFonts w:ascii="Times New Roman" w:hAnsi="Times New Roman"/>
        <w:i/>
        <w:sz w:val="22"/>
      </w:rPr>
    </w:pPr>
  </w:p>
  <w:p w14:paraId="7BE13A8E" w14:textId="77777777" w:rsidR="00C7596E" w:rsidRDefault="00C7596E" w:rsidP="006632F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A905931" w14:textId="77777777" w:rsidR="00C7596E" w:rsidRPr="006632F7" w:rsidRDefault="00C7596E" w:rsidP="006632F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22EA6" w14:textId="77777777" w:rsidR="00C7596E" w:rsidRDefault="00C7596E" w:rsidP="006632F7">
    <w:pPr>
      <w:pStyle w:val="Header"/>
      <w:tabs>
        <w:tab w:val="clear" w:pos="4153"/>
        <w:tab w:val="clear" w:pos="8306"/>
        <w:tab w:val="center" w:pos="1134"/>
      </w:tabs>
      <w:spacing w:line="280" w:lineRule="exact"/>
      <w:ind w:firstLine="0"/>
      <w:rPr>
        <w:rFonts w:ascii="Times New Roman" w:hAnsi="Times New Roman"/>
        <w:i/>
        <w:sz w:val="22"/>
      </w:rPr>
    </w:pPr>
  </w:p>
  <w:p w14:paraId="251439BF" w14:textId="77777777" w:rsidR="00C7596E" w:rsidRDefault="00C7596E" w:rsidP="006632F7">
    <w:pPr>
      <w:pStyle w:val="Header"/>
      <w:tabs>
        <w:tab w:val="clear" w:pos="4153"/>
        <w:tab w:val="clear" w:pos="8306"/>
        <w:tab w:val="center" w:pos="1134"/>
      </w:tabs>
      <w:spacing w:line="280" w:lineRule="exact"/>
      <w:ind w:firstLine="0"/>
      <w:rPr>
        <w:rFonts w:ascii="Times New Roman" w:hAnsi="Times New Roman"/>
        <w:i/>
        <w:sz w:val="22"/>
      </w:rPr>
    </w:pPr>
  </w:p>
  <w:p w14:paraId="13F82B02" w14:textId="77777777" w:rsidR="00C7596E" w:rsidRDefault="00C7596E" w:rsidP="006632F7">
    <w:pPr>
      <w:pStyle w:val="Header"/>
      <w:tabs>
        <w:tab w:val="clear" w:pos="4153"/>
        <w:tab w:val="clear" w:pos="8306"/>
        <w:tab w:val="center" w:pos="1134"/>
      </w:tabs>
      <w:spacing w:line="280" w:lineRule="exact"/>
      <w:ind w:firstLine="0"/>
      <w:rPr>
        <w:rFonts w:ascii="Times New Roman" w:hAnsi="Times New Roman"/>
        <w:i/>
        <w:sz w:val="22"/>
      </w:rPr>
    </w:pPr>
  </w:p>
  <w:p w14:paraId="32969E4E" w14:textId="77777777" w:rsidR="00C7596E" w:rsidRPr="006632F7" w:rsidRDefault="00C7596E" w:rsidP="006632F7">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A7D9D" w14:textId="77777777" w:rsidR="007359C1" w:rsidRDefault="007359C1" w:rsidP="000935F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7B71B963" w14:textId="77777777" w:rsidR="007359C1" w:rsidRDefault="007359C1" w:rsidP="000935F0">
    <w:pPr>
      <w:pStyle w:val="Header"/>
      <w:tabs>
        <w:tab w:val="clear" w:pos="4153"/>
        <w:tab w:val="clear" w:pos="8306"/>
        <w:tab w:val="right" w:pos="1304"/>
      </w:tabs>
      <w:spacing w:line="280" w:lineRule="exact"/>
      <w:ind w:firstLine="0"/>
      <w:rPr>
        <w:rFonts w:ascii="Times New Roman" w:hAnsi="Times New Roman"/>
        <w:i/>
        <w:sz w:val="22"/>
      </w:rPr>
    </w:pPr>
  </w:p>
  <w:p w14:paraId="54E2047F" w14:textId="77777777" w:rsidR="007359C1" w:rsidRDefault="007359C1" w:rsidP="000935F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DD36DF3" w14:textId="77777777" w:rsidR="007359C1" w:rsidRPr="000935F0" w:rsidRDefault="007359C1" w:rsidP="000935F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6FD54" w14:textId="77777777" w:rsidR="007359C1" w:rsidRDefault="007359C1" w:rsidP="000935F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1AF13A1D" w14:textId="77777777" w:rsidR="007359C1" w:rsidRDefault="007359C1" w:rsidP="000935F0">
    <w:pPr>
      <w:pStyle w:val="Header"/>
      <w:tabs>
        <w:tab w:val="clear" w:pos="4153"/>
        <w:tab w:val="clear" w:pos="8306"/>
        <w:tab w:val="left" w:pos="7200"/>
        <w:tab w:val="right" w:pos="8504"/>
      </w:tabs>
      <w:spacing w:line="280" w:lineRule="exact"/>
      <w:jc w:val="right"/>
      <w:rPr>
        <w:rFonts w:ascii="Times New Roman" w:hAnsi="Times New Roman"/>
        <w:i/>
        <w:sz w:val="22"/>
      </w:rPr>
    </w:pPr>
  </w:p>
  <w:p w14:paraId="334F1FA9" w14:textId="77777777" w:rsidR="007359C1" w:rsidRDefault="007359C1" w:rsidP="000935F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D7E67EA" w14:textId="77777777" w:rsidR="007359C1" w:rsidRPr="000935F0" w:rsidRDefault="007359C1" w:rsidP="000935F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30E32" w14:textId="77777777" w:rsidR="007359C1" w:rsidRDefault="007359C1" w:rsidP="000935F0">
    <w:pPr>
      <w:pStyle w:val="Header"/>
      <w:tabs>
        <w:tab w:val="clear" w:pos="4153"/>
        <w:tab w:val="clear" w:pos="8306"/>
        <w:tab w:val="center" w:pos="1134"/>
      </w:tabs>
      <w:spacing w:line="280" w:lineRule="exact"/>
      <w:ind w:firstLine="0"/>
      <w:rPr>
        <w:rFonts w:ascii="Times New Roman" w:hAnsi="Times New Roman"/>
        <w:i/>
        <w:sz w:val="22"/>
      </w:rPr>
    </w:pPr>
  </w:p>
  <w:p w14:paraId="74B46635" w14:textId="77777777" w:rsidR="007359C1" w:rsidRDefault="007359C1" w:rsidP="000935F0">
    <w:pPr>
      <w:pStyle w:val="Header"/>
      <w:tabs>
        <w:tab w:val="clear" w:pos="4153"/>
        <w:tab w:val="clear" w:pos="8306"/>
        <w:tab w:val="center" w:pos="1134"/>
      </w:tabs>
      <w:spacing w:line="280" w:lineRule="exact"/>
      <w:ind w:firstLine="0"/>
      <w:rPr>
        <w:rFonts w:ascii="Times New Roman" w:hAnsi="Times New Roman"/>
        <w:i/>
        <w:sz w:val="22"/>
      </w:rPr>
    </w:pPr>
  </w:p>
  <w:p w14:paraId="47C1FB7C" w14:textId="77777777" w:rsidR="007359C1" w:rsidRDefault="007359C1" w:rsidP="000935F0">
    <w:pPr>
      <w:pStyle w:val="Header"/>
      <w:tabs>
        <w:tab w:val="clear" w:pos="4153"/>
        <w:tab w:val="clear" w:pos="8306"/>
        <w:tab w:val="center" w:pos="1134"/>
      </w:tabs>
      <w:spacing w:line="280" w:lineRule="exact"/>
      <w:ind w:firstLine="0"/>
      <w:rPr>
        <w:rFonts w:ascii="Times New Roman" w:hAnsi="Times New Roman"/>
        <w:i/>
        <w:sz w:val="22"/>
      </w:rPr>
    </w:pPr>
  </w:p>
  <w:p w14:paraId="77D9A42D" w14:textId="77777777" w:rsidR="007359C1" w:rsidRPr="000935F0" w:rsidRDefault="007359C1" w:rsidP="000935F0">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9B"/>
    <w:rsid w:val="00002069"/>
    <w:rsid w:val="00002CE6"/>
    <w:rsid w:val="0000316A"/>
    <w:rsid w:val="00003C1D"/>
    <w:rsid w:val="000049B7"/>
    <w:rsid w:val="000069C2"/>
    <w:rsid w:val="00010BFC"/>
    <w:rsid w:val="00010E07"/>
    <w:rsid w:val="0001393B"/>
    <w:rsid w:val="000141CA"/>
    <w:rsid w:val="00014B34"/>
    <w:rsid w:val="00014B95"/>
    <w:rsid w:val="00016566"/>
    <w:rsid w:val="000168C9"/>
    <w:rsid w:val="00016966"/>
    <w:rsid w:val="00016BA7"/>
    <w:rsid w:val="00016C20"/>
    <w:rsid w:val="00016DBB"/>
    <w:rsid w:val="00017144"/>
    <w:rsid w:val="00021D45"/>
    <w:rsid w:val="00021DE8"/>
    <w:rsid w:val="00022A53"/>
    <w:rsid w:val="00023C54"/>
    <w:rsid w:val="000250AF"/>
    <w:rsid w:val="00025490"/>
    <w:rsid w:val="0002561E"/>
    <w:rsid w:val="000268E1"/>
    <w:rsid w:val="000303B9"/>
    <w:rsid w:val="00030FC9"/>
    <w:rsid w:val="0003113F"/>
    <w:rsid w:val="00032CBD"/>
    <w:rsid w:val="00032FAA"/>
    <w:rsid w:val="000350D3"/>
    <w:rsid w:val="0003575A"/>
    <w:rsid w:val="00035E2E"/>
    <w:rsid w:val="000360EB"/>
    <w:rsid w:val="00036987"/>
    <w:rsid w:val="00037604"/>
    <w:rsid w:val="00037A5F"/>
    <w:rsid w:val="00037B44"/>
    <w:rsid w:val="00037D87"/>
    <w:rsid w:val="000420F9"/>
    <w:rsid w:val="00042EF3"/>
    <w:rsid w:val="00043D2C"/>
    <w:rsid w:val="0004577B"/>
    <w:rsid w:val="00045919"/>
    <w:rsid w:val="00046812"/>
    <w:rsid w:val="000475FC"/>
    <w:rsid w:val="00055ACD"/>
    <w:rsid w:val="00056F27"/>
    <w:rsid w:val="0005728F"/>
    <w:rsid w:val="000573AF"/>
    <w:rsid w:val="00057DB2"/>
    <w:rsid w:val="0006169E"/>
    <w:rsid w:val="00061BFA"/>
    <w:rsid w:val="00062682"/>
    <w:rsid w:val="000626FD"/>
    <w:rsid w:val="000628ED"/>
    <w:rsid w:val="0006432B"/>
    <w:rsid w:val="000653D4"/>
    <w:rsid w:val="0006583F"/>
    <w:rsid w:val="00066144"/>
    <w:rsid w:val="00071C35"/>
    <w:rsid w:val="00072286"/>
    <w:rsid w:val="000729AC"/>
    <w:rsid w:val="00073A6D"/>
    <w:rsid w:val="0007417C"/>
    <w:rsid w:val="000746C3"/>
    <w:rsid w:val="00075148"/>
    <w:rsid w:val="00075F50"/>
    <w:rsid w:val="00076B91"/>
    <w:rsid w:val="00080D77"/>
    <w:rsid w:val="00083256"/>
    <w:rsid w:val="0008435D"/>
    <w:rsid w:val="00084AB9"/>
    <w:rsid w:val="0008558C"/>
    <w:rsid w:val="00085F13"/>
    <w:rsid w:val="00090373"/>
    <w:rsid w:val="00092778"/>
    <w:rsid w:val="00092C7A"/>
    <w:rsid w:val="00093420"/>
    <w:rsid w:val="0009548D"/>
    <w:rsid w:val="000A05CB"/>
    <w:rsid w:val="000A28D4"/>
    <w:rsid w:val="000A2EB4"/>
    <w:rsid w:val="000A3DA3"/>
    <w:rsid w:val="000A5595"/>
    <w:rsid w:val="000A63C6"/>
    <w:rsid w:val="000A6DFB"/>
    <w:rsid w:val="000A6F42"/>
    <w:rsid w:val="000A73B3"/>
    <w:rsid w:val="000A78C9"/>
    <w:rsid w:val="000B0F2F"/>
    <w:rsid w:val="000B0F90"/>
    <w:rsid w:val="000B19F9"/>
    <w:rsid w:val="000B1FFE"/>
    <w:rsid w:val="000B23CE"/>
    <w:rsid w:val="000B4630"/>
    <w:rsid w:val="000B497F"/>
    <w:rsid w:val="000B6193"/>
    <w:rsid w:val="000B6346"/>
    <w:rsid w:val="000B642A"/>
    <w:rsid w:val="000B70B3"/>
    <w:rsid w:val="000B710D"/>
    <w:rsid w:val="000B7558"/>
    <w:rsid w:val="000B7E91"/>
    <w:rsid w:val="000C04DC"/>
    <w:rsid w:val="000C099E"/>
    <w:rsid w:val="000C0D98"/>
    <w:rsid w:val="000C11C6"/>
    <w:rsid w:val="000C2C16"/>
    <w:rsid w:val="000C2F09"/>
    <w:rsid w:val="000C43E1"/>
    <w:rsid w:val="000C5AD7"/>
    <w:rsid w:val="000C6474"/>
    <w:rsid w:val="000C7692"/>
    <w:rsid w:val="000D0C0E"/>
    <w:rsid w:val="000D111B"/>
    <w:rsid w:val="000D14E0"/>
    <w:rsid w:val="000D25E6"/>
    <w:rsid w:val="000D2A42"/>
    <w:rsid w:val="000D53C8"/>
    <w:rsid w:val="000D5D46"/>
    <w:rsid w:val="000D6A1F"/>
    <w:rsid w:val="000E111E"/>
    <w:rsid w:val="000E111F"/>
    <w:rsid w:val="000E1742"/>
    <w:rsid w:val="000E290D"/>
    <w:rsid w:val="000E5809"/>
    <w:rsid w:val="000E612C"/>
    <w:rsid w:val="000E65F7"/>
    <w:rsid w:val="000E721C"/>
    <w:rsid w:val="000F0DAB"/>
    <w:rsid w:val="000F1174"/>
    <w:rsid w:val="000F1345"/>
    <w:rsid w:val="000F190F"/>
    <w:rsid w:val="000F32CD"/>
    <w:rsid w:val="000F3BB3"/>
    <w:rsid w:val="000F3C0C"/>
    <w:rsid w:val="000F63E6"/>
    <w:rsid w:val="000F7050"/>
    <w:rsid w:val="001001B9"/>
    <w:rsid w:val="00100327"/>
    <w:rsid w:val="0010184F"/>
    <w:rsid w:val="00102254"/>
    <w:rsid w:val="001037CE"/>
    <w:rsid w:val="001067E2"/>
    <w:rsid w:val="0010702C"/>
    <w:rsid w:val="001101E6"/>
    <w:rsid w:val="00110970"/>
    <w:rsid w:val="00110B2B"/>
    <w:rsid w:val="00111568"/>
    <w:rsid w:val="00111BDF"/>
    <w:rsid w:val="001120C0"/>
    <w:rsid w:val="0011259B"/>
    <w:rsid w:val="00113ABA"/>
    <w:rsid w:val="00114E17"/>
    <w:rsid w:val="001150BF"/>
    <w:rsid w:val="00115EB0"/>
    <w:rsid w:val="001168F2"/>
    <w:rsid w:val="00116964"/>
    <w:rsid w:val="00120207"/>
    <w:rsid w:val="00120263"/>
    <w:rsid w:val="00123C1B"/>
    <w:rsid w:val="00124659"/>
    <w:rsid w:val="001246F2"/>
    <w:rsid w:val="00124CBC"/>
    <w:rsid w:val="00125C57"/>
    <w:rsid w:val="00125E3C"/>
    <w:rsid w:val="00127A8D"/>
    <w:rsid w:val="0013277B"/>
    <w:rsid w:val="00133999"/>
    <w:rsid w:val="00133E7E"/>
    <w:rsid w:val="0013456F"/>
    <w:rsid w:val="00134DB6"/>
    <w:rsid w:val="00136E31"/>
    <w:rsid w:val="0013716A"/>
    <w:rsid w:val="00137DC7"/>
    <w:rsid w:val="00141D57"/>
    <w:rsid w:val="0014204B"/>
    <w:rsid w:val="00142072"/>
    <w:rsid w:val="00143867"/>
    <w:rsid w:val="00143FCB"/>
    <w:rsid w:val="00144FEF"/>
    <w:rsid w:val="00145627"/>
    <w:rsid w:val="00146A41"/>
    <w:rsid w:val="00147377"/>
    <w:rsid w:val="00147CC8"/>
    <w:rsid w:val="0015031C"/>
    <w:rsid w:val="00150469"/>
    <w:rsid w:val="00151679"/>
    <w:rsid w:val="00151B98"/>
    <w:rsid w:val="00151D63"/>
    <w:rsid w:val="0015318E"/>
    <w:rsid w:val="0015471C"/>
    <w:rsid w:val="0015772F"/>
    <w:rsid w:val="00157BB2"/>
    <w:rsid w:val="00160051"/>
    <w:rsid w:val="00160AB1"/>
    <w:rsid w:val="001635EA"/>
    <w:rsid w:val="00163D92"/>
    <w:rsid w:val="00164144"/>
    <w:rsid w:val="001708DE"/>
    <w:rsid w:val="00172ADE"/>
    <w:rsid w:val="00173CD8"/>
    <w:rsid w:val="00175703"/>
    <w:rsid w:val="001758DE"/>
    <w:rsid w:val="00175D02"/>
    <w:rsid w:val="00175FBB"/>
    <w:rsid w:val="00176B38"/>
    <w:rsid w:val="00176D25"/>
    <w:rsid w:val="00180F63"/>
    <w:rsid w:val="00181DFA"/>
    <w:rsid w:val="00182005"/>
    <w:rsid w:val="00182715"/>
    <w:rsid w:val="0018342E"/>
    <w:rsid w:val="001840C2"/>
    <w:rsid w:val="00184B46"/>
    <w:rsid w:val="00184BBF"/>
    <w:rsid w:val="00185939"/>
    <w:rsid w:val="001876F6"/>
    <w:rsid w:val="001877AC"/>
    <w:rsid w:val="00190493"/>
    <w:rsid w:val="00191E23"/>
    <w:rsid w:val="00192C4B"/>
    <w:rsid w:val="00194998"/>
    <w:rsid w:val="001953B1"/>
    <w:rsid w:val="001963C0"/>
    <w:rsid w:val="00197956"/>
    <w:rsid w:val="001A001D"/>
    <w:rsid w:val="001A1841"/>
    <w:rsid w:val="001A29B6"/>
    <w:rsid w:val="001A2F3D"/>
    <w:rsid w:val="001A361D"/>
    <w:rsid w:val="001A409D"/>
    <w:rsid w:val="001A446E"/>
    <w:rsid w:val="001A69C3"/>
    <w:rsid w:val="001B1676"/>
    <w:rsid w:val="001B17A8"/>
    <w:rsid w:val="001B208A"/>
    <w:rsid w:val="001B27E9"/>
    <w:rsid w:val="001B2FB9"/>
    <w:rsid w:val="001B55C8"/>
    <w:rsid w:val="001B63C6"/>
    <w:rsid w:val="001B720E"/>
    <w:rsid w:val="001B7E4D"/>
    <w:rsid w:val="001C0644"/>
    <w:rsid w:val="001C0C69"/>
    <w:rsid w:val="001C1A9E"/>
    <w:rsid w:val="001C240B"/>
    <w:rsid w:val="001C449C"/>
    <w:rsid w:val="001C48D4"/>
    <w:rsid w:val="001C545B"/>
    <w:rsid w:val="001C7C93"/>
    <w:rsid w:val="001C7CC9"/>
    <w:rsid w:val="001D049C"/>
    <w:rsid w:val="001D1EE6"/>
    <w:rsid w:val="001D1F35"/>
    <w:rsid w:val="001D36CD"/>
    <w:rsid w:val="001D4F49"/>
    <w:rsid w:val="001D661F"/>
    <w:rsid w:val="001D7982"/>
    <w:rsid w:val="001E07DC"/>
    <w:rsid w:val="001E1D3D"/>
    <w:rsid w:val="001E1D62"/>
    <w:rsid w:val="001E47D1"/>
    <w:rsid w:val="001E55F4"/>
    <w:rsid w:val="001E6744"/>
    <w:rsid w:val="001E6A64"/>
    <w:rsid w:val="001E75C5"/>
    <w:rsid w:val="001F12E3"/>
    <w:rsid w:val="001F1B5F"/>
    <w:rsid w:val="001F2940"/>
    <w:rsid w:val="001F2C0E"/>
    <w:rsid w:val="001F2C3D"/>
    <w:rsid w:val="001F3F2A"/>
    <w:rsid w:val="001F3FC4"/>
    <w:rsid w:val="001F4BE5"/>
    <w:rsid w:val="001F4DCF"/>
    <w:rsid w:val="001F52B5"/>
    <w:rsid w:val="001F69C2"/>
    <w:rsid w:val="002000CE"/>
    <w:rsid w:val="002003AE"/>
    <w:rsid w:val="0020442D"/>
    <w:rsid w:val="0020463C"/>
    <w:rsid w:val="002048D1"/>
    <w:rsid w:val="002055DF"/>
    <w:rsid w:val="00205C97"/>
    <w:rsid w:val="00205E4D"/>
    <w:rsid w:val="002079CB"/>
    <w:rsid w:val="00207AD8"/>
    <w:rsid w:val="0021096E"/>
    <w:rsid w:val="00210BF6"/>
    <w:rsid w:val="00210DE8"/>
    <w:rsid w:val="00211549"/>
    <w:rsid w:val="00211A68"/>
    <w:rsid w:val="00211D73"/>
    <w:rsid w:val="00212A3E"/>
    <w:rsid w:val="00214BF2"/>
    <w:rsid w:val="0021535E"/>
    <w:rsid w:val="00215A7F"/>
    <w:rsid w:val="0021616B"/>
    <w:rsid w:val="00216522"/>
    <w:rsid w:val="00216576"/>
    <w:rsid w:val="00217601"/>
    <w:rsid w:val="00221D19"/>
    <w:rsid w:val="00224716"/>
    <w:rsid w:val="0022666B"/>
    <w:rsid w:val="0022734D"/>
    <w:rsid w:val="00227F8F"/>
    <w:rsid w:val="00231842"/>
    <w:rsid w:val="00231F26"/>
    <w:rsid w:val="002320E0"/>
    <w:rsid w:val="00232105"/>
    <w:rsid w:val="00232E4C"/>
    <w:rsid w:val="00233BDA"/>
    <w:rsid w:val="0023447F"/>
    <w:rsid w:val="002350B3"/>
    <w:rsid w:val="00235D86"/>
    <w:rsid w:val="0023798E"/>
    <w:rsid w:val="00241744"/>
    <w:rsid w:val="00242EE4"/>
    <w:rsid w:val="0024462E"/>
    <w:rsid w:val="00245CDC"/>
    <w:rsid w:val="002474FA"/>
    <w:rsid w:val="00250099"/>
    <w:rsid w:val="00250F12"/>
    <w:rsid w:val="00250F6C"/>
    <w:rsid w:val="00251AFE"/>
    <w:rsid w:val="002525D8"/>
    <w:rsid w:val="002526D4"/>
    <w:rsid w:val="00252989"/>
    <w:rsid w:val="00252B5F"/>
    <w:rsid w:val="00253493"/>
    <w:rsid w:val="00253DE9"/>
    <w:rsid w:val="002551EA"/>
    <w:rsid w:val="0025543C"/>
    <w:rsid w:val="0025649E"/>
    <w:rsid w:val="00257AFB"/>
    <w:rsid w:val="0026293D"/>
    <w:rsid w:val="00263D76"/>
    <w:rsid w:val="00265982"/>
    <w:rsid w:val="00267EDD"/>
    <w:rsid w:val="00270154"/>
    <w:rsid w:val="00271534"/>
    <w:rsid w:val="00271F70"/>
    <w:rsid w:val="002733D8"/>
    <w:rsid w:val="0027387C"/>
    <w:rsid w:val="0027408B"/>
    <w:rsid w:val="00276B56"/>
    <w:rsid w:val="00277AA0"/>
    <w:rsid w:val="00280A88"/>
    <w:rsid w:val="00280AA1"/>
    <w:rsid w:val="00280F46"/>
    <w:rsid w:val="002819FD"/>
    <w:rsid w:val="002839FB"/>
    <w:rsid w:val="00283AD4"/>
    <w:rsid w:val="0028551F"/>
    <w:rsid w:val="0028583A"/>
    <w:rsid w:val="00286B43"/>
    <w:rsid w:val="00287368"/>
    <w:rsid w:val="00287873"/>
    <w:rsid w:val="002916CC"/>
    <w:rsid w:val="00291BDE"/>
    <w:rsid w:val="0029278C"/>
    <w:rsid w:val="00292E65"/>
    <w:rsid w:val="002958EE"/>
    <w:rsid w:val="00295998"/>
    <w:rsid w:val="0029697C"/>
    <w:rsid w:val="00296C7E"/>
    <w:rsid w:val="002979F1"/>
    <w:rsid w:val="00297BF9"/>
    <w:rsid w:val="002A09CD"/>
    <w:rsid w:val="002A13E1"/>
    <w:rsid w:val="002A2080"/>
    <w:rsid w:val="002A3248"/>
    <w:rsid w:val="002A6195"/>
    <w:rsid w:val="002B0846"/>
    <w:rsid w:val="002B1304"/>
    <w:rsid w:val="002B3C32"/>
    <w:rsid w:val="002C0624"/>
    <w:rsid w:val="002C1EDE"/>
    <w:rsid w:val="002C2C3A"/>
    <w:rsid w:val="002C4FAA"/>
    <w:rsid w:val="002C546A"/>
    <w:rsid w:val="002C5981"/>
    <w:rsid w:val="002C61B1"/>
    <w:rsid w:val="002C7307"/>
    <w:rsid w:val="002D0410"/>
    <w:rsid w:val="002D05D7"/>
    <w:rsid w:val="002D0899"/>
    <w:rsid w:val="002D1707"/>
    <w:rsid w:val="002D17E2"/>
    <w:rsid w:val="002D3965"/>
    <w:rsid w:val="002D3F5B"/>
    <w:rsid w:val="002D4B16"/>
    <w:rsid w:val="002D4FBF"/>
    <w:rsid w:val="002D7C48"/>
    <w:rsid w:val="002E0EC8"/>
    <w:rsid w:val="002E1F4A"/>
    <w:rsid w:val="002E278F"/>
    <w:rsid w:val="002E2D3D"/>
    <w:rsid w:val="002E3B4D"/>
    <w:rsid w:val="002E443D"/>
    <w:rsid w:val="002E4B1A"/>
    <w:rsid w:val="002E6108"/>
    <w:rsid w:val="002E7FB3"/>
    <w:rsid w:val="002F0522"/>
    <w:rsid w:val="002F0734"/>
    <w:rsid w:val="002F09D0"/>
    <w:rsid w:val="002F2A19"/>
    <w:rsid w:val="002F31A4"/>
    <w:rsid w:val="002F3EFC"/>
    <w:rsid w:val="002F7095"/>
    <w:rsid w:val="0030012E"/>
    <w:rsid w:val="0030026A"/>
    <w:rsid w:val="00301975"/>
    <w:rsid w:val="003031B3"/>
    <w:rsid w:val="00303E85"/>
    <w:rsid w:val="00304703"/>
    <w:rsid w:val="0030542C"/>
    <w:rsid w:val="00306501"/>
    <w:rsid w:val="00310418"/>
    <w:rsid w:val="00310D6A"/>
    <w:rsid w:val="00312FFC"/>
    <w:rsid w:val="003150BF"/>
    <w:rsid w:val="003150CE"/>
    <w:rsid w:val="00315E92"/>
    <w:rsid w:val="00316736"/>
    <w:rsid w:val="003171A0"/>
    <w:rsid w:val="003210F1"/>
    <w:rsid w:val="00321571"/>
    <w:rsid w:val="00323B9E"/>
    <w:rsid w:val="00323E6F"/>
    <w:rsid w:val="00323F84"/>
    <w:rsid w:val="00326E57"/>
    <w:rsid w:val="00330804"/>
    <w:rsid w:val="0033126F"/>
    <w:rsid w:val="00331BF8"/>
    <w:rsid w:val="0033278E"/>
    <w:rsid w:val="003339B8"/>
    <w:rsid w:val="00333E7B"/>
    <w:rsid w:val="00334A6B"/>
    <w:rsid w:val="003366B2"/>
    <w:rsid w:val="003375CF"/>
    <w:rsid w:val="00337F34"/>
    <w:rsid w:val="00340066"/>
    <w:rsid w:val="003408A7"/>
    <w:rsid w:val="0034097A"/>
    <w:rsid w:val="0034122D"/>
    <w:rsid w:val="0034181C"/>
    <w:rsid w:val="0034288B"/>
    <w:rsid w:val="00342EB9"/>
    <w:rsid w:val="0034332B"/>
    <w:rsid w:val="0034390C"/>
    <w:rsid w:val="00346397"/>
    <w:rsid w:val="0034681C"/>
    <w:rsid w:val="00346D47"/>
    <w:rsid w:val="00346FBC"/>
    <w:rsid w:val="0035037C"/>
    <w:rsid w:val="003561FE"/>
    <w:rsid w:val="003600A8"/>
    <w:rsid w:val="0036144A"/>
    <w:rsid w:val="0036284D"/>
    <w:rsid w:val="00363C62"/>
    <w:rsid w:val="00364AD6"/>
    <w:rsid w:val="00365686"/>
    <w:rsid w:val="00366524"/>
    <w:rsid w:val="00366857"/>
    <w:rsid w:val="00367DFF"/>
    <w:rsid w:val="00367FFD"/>
    <w:rsid w:val="003702C0"/>
    <w:rsid w:val="00372182"/>
    <w:rsid w:val="00373E58"/>
    <w:rsid w:val="00376073"/>
    <w:rsid w:val="00377452"/>
    <w:rsid w:val="00380DAC"/>
    <w:rsid w:val="00381223"/>
    <w:rsid w:val="00381849"/>
    <w:rsid w:val="003823A0"/>
    <w:rsid w:val="00383D86"/>
    <w:rsid w:val="003847BD"/>
    <w:rsid w:val="00384F36"/>
    <w:rsid w:val="00385271"/>
    <w:rsid w:val="003863FA"/>
    <w:rsid w:val="003864B0"/>
    <w:rsid w:val="00386F2F"/>
    <w:rsid w:val="003871E6"/>
    <w:rsid w:val="0038797F"/>
    <w:rsid w:val="00387CB8"/>
    <w:rsid w:val="003921E2"/>
    <w:rsid w:val="0039226E"/>
    <w:rsid w:val="00392372"/>
    <w:rsid w:val="003928C8"/>
    <w:rsid w:val="00392A1B"/>
    <w:rsid w:val="00392CC8"/>
    <w:rsid w:val="00394037"/>
    <w:rsid w:val="00394FBA"/>
    <w:rsid w:val="0039698A"/>
    <w:rsid w:val="003969BA"/>
    <w:rsid w:val="00397429"/>
    <w:rsid w:val="00397708"/>
    <w:rsid w:val="003A1D03"/>
    <w:rsid w:val="003A1EB6"/>
    <w:rsid w:val="003A2017"/>
    <w:rsid w:val="003A2442"/>
    <w:rsid w:val="003A3D3F"/>
    <w:rsid w:val="003A48CC"/>
    <w:rsid w:val="003A6473"/>
    <w:rsid w:val="003A6985"/>
    <w:rsid w:val="003A6DFF"/>
    <w:rsid w:val="003A72EF"/>
    <w:rsid w:val="003A7479"/>
    <w:rsid w:val="003A7E21"/>
    <w:rsid w:val="003B4EED"/>
    <w:rsid w:val="003B59C1"/>
    <w:rsid w:val="003B6B2C"/>
    <w:rsid w:val="003B6F8A"/>
    <w:rsid w:val="003B7D66"/>
    <w:rsid w:val="003C0455"/>
    <w:rsid w:val="003C249C"/>
    <w:rsid w:val="003C266A"/>
    <w:rsid w:val="003C26C7"/>
    <w:rsid w:val="003C3458"/>
    <w:rsid w:val="003C602A"/>
    <w:rsid w:val="003D168E"/>
    <w:rsid w:val="003D1759"/>
    <w:rsid w:val="003D1896"/>
    <w:rsid w:val="003D2A74"/>
    <w:rsid w:val="003D3B14"/>
    <w:rsid w:val="003D3D28"/>
    <w:rsid w:val="003D62F7"/>
    <w:rsid w:val="003D67AB"/>
    <w:rsid w:val="003D78E8"/>
    <w:rsid w:val="003D7F57"/>
    <w:rsid w:val="003E0AEA"/>
    <w:rsid w:val="003E1035"/>
    <w:rsid w:val="003E17F2"/>
    <w:rsid w:val="003E19F7"/>
    <w:rsid w:val="003E1EB2"/>
    <w:rsid w:val="003E2BC4"/>
    <w:rsid w:val="003E443F"/>
    <w:rsid w:val="003E492C"/>
    <w:rsid w:val="003E4938"/>
    <w:rsid w:val="003E6A9D"/>
    <w:rsid w:val="003E6DE4"/>
    <w:rsid w:val="003E710D"/>
    <w:rsid w:val="003E7A9C"/>
    <w:rsid w:val="003E7E6A"/>
    <w:rsid w:val="003E7FA7"/>
    <w:rsid w:val="003F328F"/>
    <w:rsid w:val="003F3542"/>
    <w:rsid w:val="003F3E40"/>
    <w:rsid w:val="003F3F3B"/>
    <w:rsid w:val="003F531A"/>
    <w:rsid w:val="003F56B9"/>
    <w:rsid w:val="003F57C4"/>
    <w:rsid w:val="003F5E9D"/>
    <w:rsid w:val="003F6DCD"/>
    <w:rsid w:val="003F7C9E"/>
    <w:rsid w:val="0040088B"/>
    <w:rsid w:val="0040158C"/>
    <w:rsid w:val="00401979"/>
    <w:rsid w:val="004025E8"/>
    <w:rsid w:val="00402768"/>
    <w:rsid w:val="00404B78"/>
    <w:rsid w:val="00404C36"/>
    <w:rsid w:val="00406F38"/>
    <w:rsid w:val="004107CA"/>
    <w:rsid w:val="004111BC"/>
    <w:rsid w:val="004114CB"/>
    <w:rsid w:val="004125F4"/>
    <w:rsid w:val="004126D4"/>
    <w:rsid w:val="004139B1"/>
    <w:rsid w:val="00414703"/>
    <w:rsid w:val="004154A1"/>
    <w:rsid w:val="00415A90"/>
    <w:rsid w:val="00415D2B"/>
    <w:rsid w:val="00416C0A"/>
    <w:rsid w:val="00417A51"/>
    <w:rsid w:val="00420579"/>
    <w:rsid w:val="00421941"/>
    <w:rsid w:val="004237C8"/>
    <w:rsid w:val="0042389F"/>
    <w:rsid w:val="004238CF"/>
    <w:rsid w:val="00424DE2"/>
    <w:rsid w:val="00424FB6"/>
    <w:rsid w:val="004305A4"/>
    <w:rsid w:val="00431BF4"/>
    <w:rsid w:val="00432528"/>
    <w:rsid w:val="00432836"/>
    <w:rsid w:val="00432F1F"/>
    <w:rsid w:val="00434E77"/>
    <w:rsid w:val="004363BF"/>
    <w:rsid w:val="004365DE"/>
    <w:rsid w:val="004373D1"/>
    <w:rsid w:val="0043778D"/>
    <w:rsid w:val="004408D0"/>
    <w:rsid w:val="00440C7B"/>
    <w:rsid w:val="004416DC"/>
    <w:rsid w:val="0044353F"/>
    <w:rsid w:val="004454C2"/>
    <w:rsid w:val="00447347"/>
    <w:rsid w:val="00447683"/>
    <w:rsid w:val="00447EBE"/>
    <w:rsid w:val="00447F33"/>
    <w:rsid w:val="00450A27"/>
    <w:rsid w:val="00451E23"/>
    <w:rsid w:val="00451EC2"/>
    <w:rsid w:val="0045464D"/>
    <w:rsid w:val="00454A57"/>
    <w:rsid w:val="0045567A"/>
    <w:rsid w:val="00456CC8"/>
    <w:rsid w:val="00457DBB"/>
    <w:rsid w:val="00463357"/>
    <w:rsid w:val="004636C8"/>
    <w:rsid w:val="00463A04"/>
    <w:rsid w:val="00464BBD"/>
    <w:rsid w:val="00465255"/>
    <w:rsid w:val="00465578"/>
    <w:rsid w:val="004710A6"/>
    <w:rsid w:val="004735D7"/>
    <w:rsid w:val="00473718"/>
    <w:rsid w:val="00473869"/>
    <w:rsid w:val="004740B0"/>
    <w:rsid w:val="004740E5"/>
    <w:rsid w:val="0047410E"/>
    <w:rsid w:val="00474249"/>
    <w:rsid w:val="0047452C"/>
    <w:rsid w:val="00475B5E"/>
    <w:rsid w:val="004773AA"/>
    <w:rsid w:val="004801DA"/>
    <w:rsid w:val="0048054A"/>
    <w:rsid w:val="0048107D"/>
    <w:rsid w:val="004818E8"/>
    <w:rsid w:val="00482E4C"/>
    <w:rsid w:val="00482F67"/>
    <w:rsid w:val="00483006"/>
    <w:rsid w:val="00483DF8"/>
    <w:rsid w:val="00484915"/>
    <w:rsid w:val="0048520B"/>
    <w:rsid w:val="00485961"/>
    <w:rsid w:val="00487387"/>
    <w:rsid w:val="004875DD"/>
    <w:rsid w:val="00487F37"/>
    <w:rsid w:val="00490E50"/>
    <w:rsid w:val="004919FD"/>
    <w:rsid w:val="00493B7C"/>
    <w:rsid w:val="0049431B"/>
    <w:rsid w:val="00494B3D"/>
    <w:rsid w:val="00494B82"/>
    <w:rsid w:val="004967A8"/>
    <w:rsid w:val="0049717B"/>
    <w:rsid w:val="004A05FF"/>
    <w:rsid w:val="004A06FC"/>
    <w:rsid w:val="004A0D86"/>
    <w:rsid w:val="004A132C"/>
    <w:rsid w:val="004A4B50"/>
    <w:rsid w:val="004A4E7F"/>
    <w:rsid w:val="004A74F1"/>
    <w:rsid w:val="004A7D46"/>
    <w:rsid w:val="004B235E"/>
    <w:rsid w:val="004B26D9"/>
    <w:rsid w:val="004B2850"/>
    <w:rsid w:val="004B2C5E"/>
    <w:rsid w:val="004B4CF3"/>
    <w:rsid w:val="004B5B7C"/>
    <w:rsid w:val="004B774B"/>
    <w:rsid w:val="004B77C6"/>
    <w:rsid w:val="004C4451"/>
    <w:rsid w:val="004C4629"/>
    <w:rsid w:val="004C4B71"/>
    <w:rsid w:val="004C4C89"/>
    <w:rsid w:val="004D087E"/>
    <w:rsid w:val="004D1788"/>
    <w:rsid w:val="004D19DB"/>
    <w:rsid w:val="004D1E88"/>
    <w:rsid w:val="004D3CD7"/>
    <w:rsid w:val="004D3F12"/>
    <w:rsid w:val="004D4F3B"/>
    <w:rsid w:val="004D54D4"/>
    <w:rsid w:val="004D58DE"/>
    <w:rsid w:val="004D63E2"/>
    <w:rsid w:val="004E08D5"/>
    <w:rsid w:val="004E1F06"/>
    <w:rsid w:val="004E26F6"/>
    <w:rsid w:val="004E2A47"/>
    <w:rsid w:val="004E345B"/>
    <w:rsid w:val="004E3F30"/>
    <w:rsid w:val="004E4211"/>
    <w:rsid w:val="004E46F8"/>
    <w:rsid w:val="004E50C8"/>
    <w:rsid w:val="004E6326"/>
    <w:rsid w:val="004E653E"/>
    <w:rsid w:val="004E65F5"/>
    <w:rsid w:val="004E67CC"/>
    <w:rsid w:val="004E7A9B"/>
    <w:rsid w:val="004E7CF1"/>
    <w:rsid w:val="004F2055"/>
    <w:rsid w:val="004F2A7B"/>
    <w:rsid w:val="004F2AC0"/>
    <w:rsid w:val="004F2D77"/>
    <w:rsid w:val="004F393D"/>
    <w:rsid w:val="004F3991"/>
    <w:rsid w:val="004F3C00"/>
    <w:rsid w:val="004F3E28"/>
    <w:rsid w:val="004F621F"/>
    <w:rsid w:val="004F7D25"/>
    <w:rsid w:val="004F7ECB"/>
    <w:rsid w:val="00502EAE"/>
    <w:rsid w:val="00503769"/>
    <w:rsid w:val="00503A1B"/>
    <w:rsid w:val="0050500F"/>
    <w:rsid w:val="00505279"/>
    <w:rsid w:val="005063E1"/>
    <w:rsid w:val="00507CC5"/>
    <w:rsid w:val="005100AA"/>
    <w:rsid w:val="0051097F"/>
    <w:rsid w:val="00512135"/>
    <w:rsid w:val="0051239B"/>
    <w:rsid w:val="005133FF"/>
    <w:rsid w:val="00516BBB"/>
    <w:rsid w:val="0052060B"/>
    <w:rsid w:val="00522575"/>
    <w:rsid w:val="00523E83"/>
    <w:rsid w:val="005248BB"/>
    <w:rsid w:val="00525C12"/>
    <w:rsid w:val="0052631F"/>
    <w:rsid w:val="005308A5"/>
    <w:rsid w:val="005314E9"/>
    <w:rsid w:val="00531723"/>
    <w:rsid w:val="00531827"/>
    <w:rsid w:val="0053275E"/>
    <w:rsid w:val="005329CD"/>
    <w:rsid w:val="0053324F"/>
    <w:rsid w:val="005348BF"/>
    <w:rsid w:val="005370E7"/>
    <w:rsid w:val="00541E10"/>
    <w:rsid w:val="00541EF9"/>
    <w:rsid w:val="005431CF"/>
    <w:rsid w:val="0054383C"/>
    <w:rsid w:val="00543D0A"/>
    <w:rsid w:val="00544268"/>
    <w:rsid w:val="00544EFB"/>
    <w:rsid w:val="005454F3"/>
    <w:rsid w:val="005455E5"/>
    <w:rsid w:val="0054681B"/>
    <w:rsid w:val="0054779A"/>
    <w:rsid w:val="00547BA1"/>
    <w:rsid w:val="0055206C"/>
    <w:rsid w:val="00552360"/>
    <w:rsid w:val="00554865"/>
    <w:rsid w:val="00555047"/>
    <w:rsid w:val="00555C4C"/>
    <w:rsid w:val="00556101"/>
    <w:rsid w:val="00556772"/>
    <w:rsid w:val="00557CB1"/>
    <w:rsid w:val="00557D3B"/>
    <w:rsid w:val="00560458"/>
    <w:rsid w:val="0056072C"/>
    <w:rsid w:val="0056091E"/>
    <w:rsid w:val="00561371"/>
    <w:rsid w:val="0056172D"/>
    <w:rsid w:val="005633C3"/>
    <w:rsid w:val="005635F3"/>
    <w:rsid w:val="0056411C"/>
    <w:rsid w:val="00564704"/>
    <w:rsid w:val="00564E50"/>
    <w:rsid w:val="00565B4C"/>
    <w:rsid w:val="005660A1"/>
    <w:rsid w:val="005663FF"/>
    <w:rsid w:val="00566AB8"/>
    <w:rsid w:val="005670C7"/>
    <w:rsid w:val="00567730"/>
    <w:rsid w:val="005677E5"/>
    <w:rsid w:val="0057074B"/>
    <w:rsid w:val="00570A0A"/>
    <w:rsid w:val="00570D24"/>
    <w:rsid w:val="005733B9"/>
    <w:rsid w:val="005749AA"/>
    <w:rsid w:val="00574C1A"/>
    <w:rsid w:val="00575FA6"/>
    <w:rsid w:val="0057674E"/>
    <w:rsid w:val="005767EF"/>
    <w:rsid w:val="00576BFA"/>
    <w:rsid w:val="00577E4E"/>
    <w:rsid w:val="00580EEB"/>
    <w:rsid w:val="00580FCF"/>
    <w:rsid w:val="00581459"/>
    <w:rsid w:val="0058170D"/>
    <w:rsid w:val="00583673"/>
    <w:rsid w:val="00583D08"/>
    <w:rsid w:val="00583EC7"/>
    <w:rsid w:val="00584C1E"/>
    <w:rsid w:val="00584CB0"/>
    <w:rsid w:val="00587BE7"/>
    <w:rsid w:val="00587CBC"/>
    <w:rsid w:val="00590397"/>
    <w:rsid w:val="005908EC"/>
    <w:rsid w:val="00593464"/>
    <w:rsid w:val="00595DF1"/>
    <w:rsid w:val="00596524"/>
    <w:rsid w:val="00597017"/>
    <w:rsid w:val="00597D35"/>
    <w:rsid w:val="005A11DF"/>
    <w:rsid w:val="005A204B"/>
    <w:rsid w:val="005A23EE"/>
    <w:rsid w:val="005A3947"/>
    <w:rsid w:val="005A439D"/>
    <w:rsid w:val="005A4763"/>
    <w:rsid w:val="005A4A36"/>
    <w:rsid w:val="005A6D6D"/>
    <w:rsid w:val="005A7264"/>
    <w:rsid w:val="005A7419"/>
    <w:rsid w:val="005A7F64"/>
    <w:rsid w:val="005B13C4"/>
    <w:rsid w:val="005B1601"/>
    <w:rsid w:val="005B22B7"/>
    <w:rsid w:val="005B3E2A"/>
    <w:rsid w:val="005B47E1"/>
    <w:rsid w:val="005B4CFC"/>
    <w:rsid w:val="005B58B0"/>
    <w:rsid w:val="005B660B"/>
    <w:rsid w:val="005B6E0D"/>
    <w:rsid w:val="005C0298"/>
    <w:rsid w:val="005C0769"/>
    <w:rsid w:val="005C28DB"/>
    <w:rsid w:val="005C360A"/>
    <w:rsid w:val="005C4990"/>
    <w:rsid w:val="005C4B1B"/>
    <w:rsid w:val="005C7EE9"/>
    <w:rsid w:val="005D0A6B"/>
    <w:rsid w:val="005D1A9B"/>
    <w:rsid w:val="005D1E9A"/>
    <w:rsid w:val="005D221C"/>
    <w:rsid w:val="005D2A43"/>
    <w:rsid w:val="005D6EA0"/>
    <w:rsid w:val="005E3188"/>
    <w:rsid w:val="005E76E2"/>
    <w:rsid w:val="005E7B36"/>
    <w:rsid w:val="005F02E6"/>
    <w:rsid w:val="005F10F1"/>
    <w:rsid w:val="005F1911"/>
    <w:rsid w:val="005F2CBA"/>
    <w:rsid w:val="005F3216"/>
    <w:rsid w:val="005F40D8"/>
    <w:rsid w:val="005F4B2F"/>
    <w:rsid w:val="005F4DFE"/>
    <w:rsid w:val="005F4EF9"/>
    <w:rsid w:val="005F6C97"/>
    <w:rsid w:val="00600B6C"/>
    <w:rsid w:val="00600DDF"/>
    <w:rsid w:val="00601072"/>
    <w:rsid w:val="006015AE"/>
    <w:rsid w:val="006017B1"/>
    <w:rsid w:val="00603DF4"/>
    <w:rsid w:val="00604D06"/>
    <w:rsid w:val="0060685F"/>
    <w:rsid w:val="00606C3A"/>
    <w:rsid w:val="00607066"/>
    <w:rsid w:val="00607197"/>
    <w:rsid w:val="00607A16"/>
    <w:rsid w:val="006109F8"/>
    <w:rsid w:val="006147EA"/>
    <w:rsid w:val="00614E04"/>
    <w:rsid w:val="0061708E"/>
    <w:rsid w:val="0061781E"/>
    <w:rsid w:val="00621496"/>
    <w:rsid w:val="00622018"/>
    <w:rsid w:val="00622877"/>
    <w:rsid w:val="00623075"/>
    <w:rsid w:val="00623910"/>
    <w:rsid w:val="006243C0"/>
    <w:rsid w:val="00624A27"/>
    <w:rsid w:val="00624D74"/>
    <w:rsid w:val="00625AF7"/>
    <w:rsid w:val="006262EE"/>
    <w:rsid w:val="0062716D"/>
    <w:rsid w:val="00627AF2"/>
    <w:rsid w:val="00632F94"/>
    <w:rsid w:val="006334FC"/>
    <w:rsid w:val="00633B71"/>
    <w:rsid w:val="0063632F"/>
    <w:rsid w:val="00637DD0"/>
    <w:rsid w:val="0064054B"/>
    <w:rsid w:val="00640833"/>
    <w:rsid w:val="00640B70"/>
    <w:rsid w:val="00640E38"/>
    <w:rsid w:val="00641347"/>
    <w:rsid w:val="006421E0"/>
    <w:rsid w:val="006436B7"/>
    <w:rsid w:val="00645176"/>
    <w:rsid w:val="00646030"/>
    <w:rsid w:val="00650C56"/>
    <w:rsid w:val="00652858"/>
    <w:rsid w:val="00655788"/>
    <w:rsid w:val="006558DC"/>
    <w:rsid w:val="00656B27"/>
    <w:rsid w:val="00657F8B"/>
    <w:rsid w:val="00660401"/>
    <w:rsid w:val="006618FC"/>
    <w:rsid w:val="00662B44"/>
    <w:rsid w:val="006632F7"/>
    <w:rsid w:val="006635B0"/>
    <w:rsid w:val="00663D00"/>
    <w:rsid w:val="00663E86"/>
    <w:rsid w:val="00666AA9"/>
    <w:rsid w:val="00671455"/>
    <w:rsid w:val="00671B7E"/>
    <w:rsid w:val="00673CF0"/>
    <w:rsid w:val="00673CF6"/>
    <w:rsid w:val="00674B7A"/>
    <w:rsid w:val="00674E5E"/>
    <w:rsid w:val="00675E8F"/>
    <w:rsid w:val="006767BC"/>
    <w:rsid w:val="00680AF8"/>
    <w:rsid w:val="00681B2E"/>
    <w:rsid w:val="00681D75"/>
    <w:rsid w:val="0068242E"/>
    <w:rsid w:val="0068488E"/>
    <w:rsid w:val="00684BAF"/>
    <w:rsid w:val="0068591C"/>
    <w:rsid w:val="00685AD3"/>
    <w:rsid w:val="006904D9"/>
    <w:rsid w:val="00691F2C"/>
    <w:rsid w:val="00693A96"/>
    <w:rsid w:val="00694B0E"/>
    <w:rsid w:val="006950AE"/>
    <w:rsid w:val="006965A6"/>
    <w:rsid w:val="00696EBB"/>
    <w:rsid w:val="00697E05"/>
    <w:rsid w:val="006A1F10"/>
    <w:rsid w:val="006A48DA"/>
    <w:rsid w:val="006A4D4E"/>
    <w:rsid w:val="006A4E8C"/>
    <w:rsid w:val="006A5773"/>
    <w:rsid w:val="006A5EC7"/>
    <w:rsid w:val="006B07B4"/>
    <w:rsid w:val="006B18FE"/>
    <w:rsid w:val="006B26A7"/>
    <w:rsid w:val="006B3284"/>
    <w:rsid w:val="006B411E"/>
    <w:rsid w:val="006B4817"/>
    <w:rsid w:val="006B630A"/>
    <w:rsid w:val="006B67D5"/>
    <w:rsid w:val="006B7C24"/>
    <w:rsid w:val="006C0C31"/>
    <w:rsid w:val="006C1577"/>
    <w:rsid w:val="006C195A"/>
    <w:rsid w:val="006C1A37"/>
    <w:rsid w:val="006C3D10"/>
    <w:rsid w:val="006C41FE"/>
    <w:rsid w:val="006C4EDF"/>
    <w:rsid w:val="006C5ACD"/>
    <w:rsid w:val="006C60EC"/>
    <w:rsid w:val="006C6300"/>
    <w:rsid w:val="006C65DE"/>
    <w:rsid w:val="006D13F8"/>
    <w:rsid w:val="006D1544"/>
    <w:rsid w:val="006D34C3"/>
    <w:rsid w:val="006D36B7"/>
    <w:rsid w:val="006D3A49"/>
    <w:rsid w:val="006D468B"/>
    <w:rsid w:val="006D4A20"/>
    <w:rsid w:val="006D4E8E"/>
    <w:rsid w:val="006D52BF"/>
    <w:rsid w:val="006D686D"/>
    <w:rsid w:val="006E16F1"/>
    <w:rsid w:val="006E1C14"/>
    <w:rsid w:val="006E22C4"/>
    <w:rsid w:val="006E359B"/>
    <w:rsid w:val="006E55A6"/>
    <w:rsid w:val="006E75BF"/>
    <w:rsid w:val="006E7681"/>
    <w:rsid w:val="006E7800"/>
    <w:rsid w:val="006E78AA"/>
    <w:rsid w:val="006F09B5"/>
    <w:rsid w:val="006F1349"/>
    <w:rsid w:val="006F201F"/>
    <w:rsid w:val="006F2119"/>
    <w:rsid w:val="006F2C03"/>
    <w:rsid w:val="006F48B3"/>
    <w:rsid w:val="006F48B8"/>
    <w:rsid w:val="006F4ACE"/>
    <w:rsid w:val="006F4DAC"/>
    <w:rsid w:val="006F52C6"/>
    <w:rsid w:val="006F553C"/>
    <w:rsid w:val="006F55F6"/>
    <w:rsid w:val="006F5924"/>
    <w:rsid w:val="006F6258"/>
    <w:rsid w:val="006F65E1"/>
    <w:rsid w:val="006F68C9"/>
    <w:rsid w:val="006F6918"/>
    <w:rsid w:val="006F6D87"/>
    <w:rsid w:val="006F7DD1"/>
    <w:rsid w:val="006F7F8E"/>
    <w:rsid w:val="00700E39"/>
    <w:rsid w:val="007013C6"/>
    <w:rsid w:val="00701552"/>
    <w:rsid w:val="0070253E"/>
    <w:rsid w:val="00703871"/>
    <w:rsid w:val="0070415A"/>
    <w:rsid w:val="00704FDE"/>
    <w:rsid w:val="00705448"/>
    <w:rsid w:val="007060F3"/>
    <w:rsid w:val="007122EC"/>
    <w:rsid w:val="00714504"/>
    <w:rsid w:val="00714EB8"/>
    <w:rsid w:val="00714EC9"/>
    <w:rsid w:val="00716A55"/>
    <w:rsid w:val="0071742A"/>
    <w:rsid w:val="00717CA5"/>
    <w:rsid w:val="00717CDD"/>
    <w:rsid w:val="007205C2"/>
    <w:rsid w:val="00720F02"/>
    <w:rsid w:val="0072242B"/>
    <w:rsid w:val="00723334"/>
    <w:rsid w:val="00725C37"/>
    <w:rsid w:val="0073005B"/>
    <w:rsid w:val="00730E8F"/>
    <w:rsid w:val="00731D48"/>
    <w:rsid w:val="00733A2A"/>
    <w:rsid w:val="00733BED"/>
    <w:rsid w:val="00733D9F"/>
    <w:rsid w:val="00734484"/>
    <w:rsid w:val="00734CC0"/>
    <w:rsid w:val="007359C1"/>
    <w:rsid w:val="007410C7"/>
    <w:rsid w:val="00742076"/>
    <w:rsid w:val="007439F0"/>
    <w:rsid w:val="00745136"/>
    <w:rsid w:val="00745A15"/>
    <w:rsid w:val="00745DD2"/>
    <w:rsid w:val="0074644A"/>
    <w:rsid w:val="00746464"/>
    <w:rsid w:val="00750239"/>
    <w:rsid w:val="00751354"/>
    <w:rsid w:val="00756909"/>
    <w:rsid w:val="00760D10"/>
    <w:rsid w:val="00762108"/>
    <w:rsid w:val="007626D7"/>
    <w:rsid w:val="00763F47"/>
    <w:rsid w:val="00767A6A"/>
    <w:rsid w:val="00770A10"/>
    <w:rsid w:val="00770E38"/>
    <w:rsid w:val="00775188"/>
    <w:rsid w:val="007751DE"/>
    <w:rsid w:val="00775AF6"/>
    <w:rsid w:val="00776AF1"/>
    <w:rsid w:val="007773B9"/>
    <w:rsid w:val="007777FE"/>
    <w:rsid w:val="00777C35"/>
    <w:rsid w:val="00780803"/>
    <w:rsid w:val="0078133D"/>
    <w:rsid w:val="00781E34"/>
    <w:rsid w:val="00785568"/>
    <w:rsid w:val="00785785"/>
    <w:rsid w:val="007906D7"/>
    <w:rsid w:val="007907D4"/>
    <w:rsid w:val="007917CC"/>
    <w:rsid w:val="00791DED"/>
    <w:rsid w:val="00792AA8"/>
    <w:rsid w:val="00793AAE"/>
    <w:rsid w:val="00794972"/>
    <w:rsid w:val="0079648D"/>
    <w:rsid w:val="007966B8"/>
    <w:rsid w:val="007966F9"/>
    <w:rsid w:val="00796EE7"/>
    <w:rsid w:val="00797022"/>
    <w:rsid w:val="007A1E13"/>
    <w:rsid w:val="007A1F6C"/>
    <w:rsid w:val="007A2169"/>
    <w:rsid w:val="007A3ABE"/>
    <w:rsid w:val="007A4CB0"/>
    <w:rsid w:val="007A5681"/>
    <w:rsid w:val="007A5B52"/>
    <w:rsid w:val="007A5F76"/>
    <w:rsid w:val="007A60F8"/>
    <w:rsid w:val="007A6112"/>
    <w:rsid w:val="007A62C3"/>
    <w:rsid w:val="007A67CE"/>
    <w:rsid w:val="007B2642"/>
    <w:rsid w:val="007B296F"/>
    <w:rsid w:val="007B2AD8"/>
    <w:rsid w:val="007B341B"/>
    <w:rsid w:val="007B4102"/>
    <w:rsid w:val="007B4730"/>
    <w:rsid w:val="007B5239"/>
    <w:rsid w:val="007B651A"/>
    <w:rsid w:val="007B6648"/>
    <w:rsid w:val="007B6669"/>
    <w:rsid w:val="007B7E99"/>
    <w:rsid w:val="007B7F32"/>
    <w:rsid w:val="007C16FB"/>
    <w:rsid w:val="007C2B87"/>
    <w:rsid w:val="007C311B"/>
    <w:rsid w:val="007C462E"/>
    <w:rsid w:val="007C506B"/>
    <w:rsid w:val="007C6356"/>
    <w:rsid w:val="007C6FA7"/>
    <w:rsid w:val="007D00A0"/>
    <w:rsid w:val="007D0986"/>
    <w:rsid w:val="007D232E"/>
    <w:rsid w:val="007D316E"/>
    <w:rsid w:val="007D38EB"/>
    <w:rsid w:val="007D4B8A"/>
    <w:rsid w:val="007D59A7"/>
    <w:rsid w:val="007D698B"/>
    <w:rsid w:val="007D759C"/>
    <w:rsid w:val="007D7BB6"/>
    <w:rsid w:val="007E1DD4"/>
    <w:rsid w:val="007E28F1"/>
    <w:rsid w:val="007E338B"/>
    <w:rsid w:val="007E36E6"/>
    <w:rsid w:val="007E4D49"/>
    <w:rsid w:val="007E4E73"/>
    <w:rsid w:val="007E5D35"/>
    <w:rsid w:val="007E7A6D"/>
    <w:rsid w:val="007F2257"/>
    <w:rsid w:val="007F281B"/>
    <w:rsid w:val="007F29E5"/>
    <w:rsid w:val="007F3C8D"/>
    <w:rsid w:val="007F3E56"/>
    <w:rsid w:val="007F402B"/>
    <w:rsid w:val="007F44D9"/>
    <w:rsid w:val="007F52A6"/>
    <w:rsid w:val="007F5789"/>
    <w:rsid w:val="007F5A1A"/>
    <w:rsid w:val="007F68DA"/>
    <w:rsid w:val="007F6DFE"/>
    <w:rsid w:val="007F73D6"/>
    <w:rsid w:val="008004E7"/>
    <w:rsid w:val="0080056A"/>
    <w:rsid w:val="00800891"/>
    <w:rsid w:val="0080133E"/>
    <w:rsid w:val="00801517"/>
    <w:rsid w:val="0080276C"/>
    <w:rsid w:val="008033E2"/>
    <w:rsid w:val="00804CB0"/>
    <w:rsid w:val="00804F57"/>
    <w:rsid w:val="008054BE"/>
    <w:rsid w:val="008060C8"/>
    <w:rsid w:val="0080642F"/>
    <w:rsid w:val="00806E30"/>
    <w:rsid w:val="00810F5C"/>
    <w:rsid w:val="0081161C"/>
    <w:rsid w:val="008116EB"/>
    <w:rsid w:val="00812723"/>
    <w:rsid w:val="00813C98"/>
    <w:rsid w:val="00813FAA"/>
    <w:rsid w:val="00814068"/>
    <w:rsid w:val="00814258"/>
    <w:rsid w:val="00814A6A"/>
    <w:rsid w:val="00814ED4"/>
    <w:rsid w:val="008152E3"/>
    <w:rsid w:val="0081557C"/>
    <w:rsid w:val="008159B1"/>
    <w:rsid w:val="00816148"/>
    <w:rsid w:val="00820282"/>
    <w:rsid w:val="0082029A"/>
    <w:rsid w:val="00820651"/>
    <w:rsid w:val="0082117F"/>
    <w:rsid w:val="008219BB"/>
    <w:rsid w:val="00825353"/>
    <w:rsid w:val="008255A3"/>
    <w:rsid w:val="0082619C"/>
    <w:rsid w:val="00831A0D"/>
    <w:rsid w:val="00831DFF"/>
    <w:rsid w:val="00832160"/>
    <w:rsid w:val="00832509"/>
    <w:rsid w:val="008342BF"/>
    <w:rsid w:val="00836418"/>
    <w:rsid w:val="00836AD2"/>
    <w:rsid w:val="008375CC"/>
    <w:rsid w:val="00837C06"/>
    <w:rsid w:val="0084087A"/>
    <w:rsid w:val="00840D08"/>
    <w:rsid w:val="008415CC"/>
    <w:rsid w:val="008421F6"/>
    <w:rsid w:val="00842862"/>
    <w:rsid w:val="008437BC"/>
    <w:rsid w:val="00844A64"/>
    <w:rsid w:val="00845005"/>
    <w:rsid w:val="00845199"/>
    <w:rsid w:val="008472FC"/>
    <w:rsid w:val="00847DFE"/>
    <w:rsid w:val="00851111"/>
    <w:rsid w:val="008515A9"/>
    <w:rsid w:val="00851896"/>
    <w:rsid w:val="00851C50"/>
    <w:rsid w:val="008525CF"/>
    <w:rsid w:val="0085416D"/>
    <w:rsid w:val="008542CC"/>
    <w:rsid w:val="00856C33"/>
    <w:rsid w:val="008571C3"/>
    <w:rsid w:val="00857BFA"/>
    <w:rsid w:val="00860973"/>
    <w:rsid w:val="00860A2A"/>
    <w:rsid w:val="00860B77"/>
    <w:rsid w:val="0086106A"/>
    <w:rsid w:val="00861073"/>
    <w:rsid w:val="0086183E"/>
    <w:rsid w:val="008635E4"/>
    <w:rsid w:val="008639C9"/>
    <w:rsid w:val="008648B5"/>
    <w:rsid w:val="00865A78"/>
    <w:rsid w:val="0086641A"/>
    <w:rsid w:val="00867971"/>
    <w:rsid w:val="00867F68"/>
    <w:rsid w:val="008737D3"/>
    <w:rsid w:val="00873B77"/>
    <w:rsid w:val="00873E0E"/>
    <w:rsid w:val="00874EFB"/>
    <w:rsid w:val="008760FD"/>
    <w:rsid w:val="00877CBF"/>
    <w:rsid w:val="0088031C"/>
    <w:rsid w:val="00881D9D"/>
    <w:rsid w:val="00882D53"/>
    <w:rsid w:val="00883437"/>
    <w:rsid w:val="008834C5"/>
    <w:rsid w:val="00883C24"/>
    <w:rsid w:val="00884784"/>
    <w:rsid w:val="008853F8"/>
    <w:rsid w:val="00887997"/>
    <w:rsid w:val="00890D79"/>
    <w:rsid w:val="008919CA"/>
    <w:rsid w:val="00891CB0"/>
    <w:rsid w:val="008953BD"/>
    <w:rsid w:val="00895E8E"/>
    <w:rsid w:val="00897C0C"/>
    <w:rsid w:val="008A1FF1"/>
    <w:rsid w:val="008A3542"/>
    <w:rsid w:val="008A42D5"/>
    <w:rsid w:val="008A4628"/>
    <w:rsid w:val="008A5293"/>
    <w:rsid w:val="008A5D7C"/>
    <w:rsid w:val="008B0ABE"/>
    <w:rsid w:val="008B1029"/>
    <w:rsid w:val="008B1DD4"/>
    <w:rsid w:val="008B47CB"/>
    <w:rsid w:val="008B6A6C"/>
    <w:rsid w:val="008B6F2C"/>
    <w:rsid w:val="008B7BFE"/>
    <w:rsid w:val="008C15BB"/>
    <w:rsid w:val="008C172C"/>
    <w:rsid w:val="008C28E5"/>
    <w:rsid w:val="008C4E5F"/>
    <w:rsid w:val="008C5F98"/>
    <w:rsid w:val="008C6886"/>
    <w:rsid w:val="008C6C82"/>
    <w:rsid w:val="008C7FA1"/>
    <w:rsid w:val="008D0D56"/>
    <w:rsid w:val="008D15F7"/>
    <w:rsid w:val="008D1C1C"/>
    <w:rsid w:val="008D1FDE"/>
    <w:rsid w:val="008D351D"/>
    <w:rsid w:val="008D3726"/>
    <w:rsid w:val="008D5AE9"/>
    <w:rsid w:val="008D6210"/>
    <w:rsid w:val="008D7A5E"/>
    <w:rsid w:val="008E1C45"/>
    <w:rsid w:val="008E23C0"/>
    <w:rsid w:val="008E242E"/>
    <w:rsid w:val="008E2535"/>
    <w:rsid w:val="008E2DC5"/>
    <w:rsid w:val="008E647B"/>
    <w:rsid w:val="008E7943"/>
    <w:rsid w:val="008E7B61"/>
    <w:rsid w:val="008F0530"/>
    <w:rsid w:val="008F05E9"/>
    <w:rsid w:val="008F35DC"/>
    <w:rsid w:val="008F3AE2"/>
    <w:rsid w:val="008F6221"/>
    <w:rsid w:val="008F722B"/>
    <w:rsid w:val="008F777B"/>
    <w:rsid w:val="008F7A2D"/>
    <w:rsid w:val="008F7CCE"/>
    <w:rsid w:val="00900ECD"/>
    <w:rsid w:val="00901189"/>
    <w:rsid w:val="00901576"/>
    <w:rsid w:val="009026C8"/>
    <w:rsid w:val="0090278C"/>
    <w:rsid w:val="00904D8B"/>
    <w:rsid w:val="009064E2"/>
    <w:rsid w:val="009077C7"/>
    <w:rsid w:val="00910194"/>
    <w:rsid w:val="0091220E"/>
    <w:rsid w:val="00914060"/>
    <w:rsid w:val="0091465A"/>
    <w:rsid w:val="00915C5F"/>
    <w:rsid w:val="009201B8"/>
    <w:rsid w:val="00920216"/>
    <w:rsid w:val="00920463"/>
    <w:rsid w:val="00920A85"/>
    <w:rsid w:val="009210B8"/>
    <w:rsid w:val="00921CBC"/>
    <w:rsid w:val="009231E5"/>
    <w:rsid w:val="009238C7"/>
    <w:rsid w:val="00923D68"/>
    <w:rsid w:val="009245CA"/>
    <w:rsid w:val="00926E4D"/>
    <w:rsid w:val="009276B1"/>
    <w:rsid w:val="00927879"/>
    <w:rsid w:val="00931EE2"/>
    <w:rsid w:val="00932D45"/>
    <w:rsid w:val="009332C7"/>
    <w:rsid w:val="0093352D"/>
    <w:rsid w:val="0093389D"/>
    <w:rsid w:val="00934168"/>
    <w:rsid w:val="0093551B"/>
    <w:rsid w:val="0093737F"/>
    <w:rsid w:val="009376FF"/>
    <w:rsid w:val="00940185"/>
    <w:rsid w:val="00940468"/>
    <w:rsid w:val="00940BCD"/>
    <w:rsid w:val="00941279"/>
    <w:rsid w:val="00941D6E"/>
    <w:rsid w:val="0094599F"/>
    <w:rsid w:val="009462D5"/>
    <w:rsid w:val="00946645"/>
    <w:rsid w:val="00946C10"/>
    <w:rsid w:val="00947591"/>
    <w:rsid w:val="009520E8"/>
    <w:rsid w:val="00952726"/>
    <w:rsid w:val="00952B14"/>
    <w:rsid w:val="00953EB6"/>
    <w:rsid w:val="0095456C"/>
    <w:rsid w:val="009547B3"/>
    <w:rsid w:val="0095538D"/>
    <w:rsid w:val="00956905"/>
    <w:rsid w:val="00961464"/>
    <w:rsid w:val="009614C6"/>
    <w:rsid w:val="009614F0"/>
    <w:rsid w:val="00962262"/>
    <w:rsid w:val="00962BFB"/>
    <w:rsid w:val="00962E1C"/>
    <w:rsid w:val="00962E9B"/>
    <w:rsid w:val="0096300B"/>
    <w:rsid w:val="0096349D"/>
    <w:rsid w:val="00964954"/>
    <w:rsid w:val="00966DEC"/>
    <w:rsid w:val="00971A26"/>
    <w:rsid w:val="0097262D"/>
    <w:rsid w:val="00973206"/>
    <w:rsid w:val="0097673B"/>
    <w:rsid w:val="009775AA"/>
    <w:rsid w:val="00981FDB"/>
    <w:rsid w:val="00982E41"/>
    <w:rsid w:val="0098501F"/>
    <w:rsid w:val="00986482"/>
    <w:rsid w:val="00986982"/>
    <w:rsid w:val="009872C9"/>
    <w:rsid w:val="0098749E"/>
    <w:rsid w:val="00987C7D"/>
    <w:rsid w:val="00987D29"/>
    <w:rsid w:val="00990380"/>
    <w:rsid w:val="0099102F"/>
    <w:rsid w:val="009921DB"/>
    <w:rsid w:val="009921FC"/>
    <w:rsid w:val="009940EF"/>
    <w:rsid w:val="00994A8D"/>
    <w:rsid w:val="00994D06"/>
    <w:rsid w:val="0099529F"/>
    <w:rsid w:val="00995C57"/>
    <w:rsid w:val="00997B6C"/>
    <w:rsid w:val="00997CF0"/>
    <w:rsid w:val="009A0BBC"/>
    <w:rsid w:val="009A2232"/>
    <w:rsid w:val="009A48B7"/>
    <w:rsid w:val="009A5AFD"/>
    <w:rsid w:val="009A6DE3"/>
    <w:rsid w:val="009A6EFD"/>
    <w:rsid w:val="009A6F55"/>
    <w:rsid w:val="009A72DC"/>
    <w:rsid w:val="009B0145"/>
    <w:rsid w:val="009B36E9"/>
    <w:rsid w:val="009B39DC"/>
    <w:rsid w:val="009B5EB1"/>
    <w:rsid w:val="009B61E7"/>
    <w:rsid w:val="009B681D"/>
    <w:rsid w:val="009B7E6F"/>
    <w:rsid w:val="009C0087"/>
    <w:rsid w:val="009C1F71"/>
    <w:rsid w:val="009C6A1C"/>
    <w:rsid w:val="009C6E72"/>
    <w:rsid w:val="009C7202"/>
    <w:rsid w:val="009D340A"/>
    <w:rsid w:val="009D3C3F"/>
    <w:rsid w:val="009D472D"/>
    <w:rsid w:val="009D4D67"/>
    <w:rsid w:val="009D5630"/>
    <w:rsid w:val="009D5C39"/>
    <w:rsid w:val="009D635B"/>
    <w:rsid w:val="009D66DC"/>
    <w:rsid w:val="009D7F6F"/>
    <w:rsid w:val="009E0393"/>
    <w:rsid w:val="009E07D3"/>
    <w:rsid w:val="009E0EEF"/>
    <w:rsid w:val="009E3967"/>
    <w:rsid w:val="009E3A10"/>
    <w:rsid w:val="009E4BF3"/>
    <w:rsid w:val="009E5D8B"/>
    <w:rsid w:val="009F06F2"/>
    <w:rsid w:val="009F10EE"/>
    <w:rsid w:val="009F635E"/>
    <w:rsid w:val="00A0013D"/>
    <w:rsid w:val="00A0128D"/>
    <w:rsid w:val="00A0201D"/>
    <w:rsid w:val="00A02C5D"/>
    <w:rsid w:val="00A03A55"/>
    <w:rsid w:val="00A06B92"/>
    <w:rsid w:val="00A10FFF"/>
    <w:rsid w:val="00A1391B"/>
    <w:rsid w:val="00A13C08"/>
    <w:rsid w:val="00A140D3"/>
    <w:rsid w:val="00A1446B"/>
    <w:rsid w:val="00A1513C"/>
    <w:rsid w:val="00A167F2"/>
    <w:rsid w:val="00A175B3"/>
    <w:rsid w:val="00A17945"/>
    <w:rsid w:val="00A17EFE"/>
    <w:rsid w:val="00A20499"/>
    <w:rsid w:val="00A20C78"/>
    <w:rsid w:val="00A210C8"/>
    <w:rsid w:val="00A22DE5"/>
    <w:rsid w:val="00A2312E"/>
    <w:rsid w:val="00A236A8"/>
    <w:rsid w:val="00A24323"/>
    <w:rsid w:val="00A2512C"/>
    <w:rsid w:val="00A2515B"/>
    <w:rsid w:val="00A253B4"/>
    <w:rsid w:val="00A2588E"/>
    <w:rsid w:val="00A259B2"/>
    <w:rsid w:val="00A26EDF"/>
    <w:rsid w:val="00A277CD"/>
    <w:rsid w:val="00A27F7F"/>
    <w:rsid w:val="00A305D6"/>
    <w:rsid w:val="00A346FE"/>
    <w:rsid w:val="00A34789"/>
    <w:rsid w:val="00A353C8"/>
    <w:rsid w:val="00A3630E"/>
    <w:rsid w:val="00A36813"/>
    <w:rsid w:val="00A36F1C"/>
    <w:rsid w:val="00A371C9"/>
    <w:rsid w:val="00A37ACD"/>
    <w:rsid w:val="00A37BB8"/>
    <w:rsid w:val="00A37D74"/>
    <w:rsid w:val="00A4157D"/>
    <w:rsid w:val="00A41FF8"/>
    <w:rsid w:val="00A42D87"/>
    <w:rsid w:val="00A44BD3"/>
    <w:rsid w:val="00A4521D"/>
    <w:rsid w:val="00A45BE4"/>
    <w:rsid w:val="00A46D6F"/>
    <w:rsid w:val="00A47C95"/>
    <w:rsid w:val="00A5019A"/>
    <w:rsid w:val="00A50419"/>
    <w:rsid w:val="00A50F70"/>
    <w:rsid w:val="00A51F0A"/>
    <w:rsid w:val="00A54AAC"/>
    <w:rsid w:val="00A54EF2"/>
    <w:rsid w:val="00A55D48"/>
    <w:rsid w:val="00A574C4"/>
    <w:rsid w:val="00A5750D"/>
    <w:rsid w:val="00A57BEB"/>
    <w:rsid w:val="00A6033C"/>
    <w:rsid w:val="00A608ED"/>
    <w:rsid w:val="00A613B7"/>
    <w:rsid w:val="00A61640"/>
    <w:rsid w:val="00A61673"/>
    <w:rsid w:val="00A617EA"/>
    <w:rsid w:val="00A64926"/>
    <w:rsid w:val="00A64B09"/>
    <w:rsid w:val="00A64D08"/>
    <w:rsid w:val="00A65106"/>
    <w:rsid w:val="00A665CF"/>
    <w:rsid w:val="00A67CA7"/>
    <w:rsid w:val="00A71D48"/>
    <w:rsid w:val="00A72084"/>
    <w:rsid w:val="00A72674"/>
    <w:rsid w:val="00A73989"/>
    <w:rsid w:val="00A7752F"/>
    <w:rsid w:val="00A818D3"/>
    <w:rsid w:val="00A81F9D"/>
    <w:rsid w:val="00A83122"/>
    <w:rsid w:val="00A83442"/>
    <w:rsid w:val="00A83EB4"/>
    <w:rsid w:val="00A85C35"/>
    <w:rsid w:val="00A85FA2"/>
    <w:rsid w:val="00A87948"/>
    <w:rsid w:val="00A87A30"/>
    <w:rsid w:val="00A913B3"/>
    <w:rsid w:val="00A92061"/>
    <w:rsid w:val="00A92117"/>
    <w:rsid w:val="00A940B7"/>
    <w:rsid w:val="00A94249"/>
    <w:rsid w:val="00A94BC9"/>
    <w:rsid w:val="00A9562D"/>
    <w:rsid w:val="00A959BC"/>
    <w:rsid w:val="00A95E67"/>
    <w:rsid w:val="00A9661A"/>
    <w:rsid w:val="00A96939"/>
    <w:rsid w:val="00A97435"/>
    <w:rsid w:val="00A97844"/>
    <w:rsid w:val="00AA2562"/>
    <w:rsid w:val="00AA3C60"/>
    <w:rsid w:val="00AA5CC1"/>
    <w:rsid w:val="00AA683C"/>
    <w:rsid w:val="00AA7948"/>
    <w:rsid w:val="00AB076E"/>
    <w:rsid w:val="00AB1918"/>
    <w:rsid w:val="00AB2ABE"/>
    <w:rsid w:val="00AB2FF4"/>
    <w:rsid w:val="00AB48F6"/>
    <w:rsid w:val="00AB5F3B"/>
    <w:rsid w:val="00AB5F9C"/>
    <w:rsid w:val="00AB6A1C"/>
    <w:rsid w:val="00AB798F"/>
    <w:rsid w:val="00AC1AD6"/>
    <w:rsid w:val="00AC4046"/>
    <w:rsid w:val="00AC45E3"/>
    <w:rsid w:val="00AC53B2"/>
    <w:rsid w:val="00AC5B5A"/>
    <w:rsid w:val="00AC5EBE"/>
    <w:rsid w:val="00AC6E6A"/>
    <w:rsid w:val="00AC7521"/>
    <w:rsid w:val="00AC778E"/>
    <w:rsid w:val="00AD04E9"/>
    <w:rsid w:val="00AD06BE"/>
    <w:rsid w:val="00AD32DA"/>
    <w:rsid w:val="00AD64DF"/>
    <w:rsid w:val="00AE1025"/>
    <w:rsid w:val="00AE2408"/>
    <w:rsid w:val="00AE3C23"/>
    <w:rsid w:val="00AE3F03"/>
    <w:rsid w:val="00AE521A"/>
    <w:rsid w:val="00AE5807"/>
    <w:rsid w:val="00AE64F0"/>
    <w:rsid w:val="00AE77BA"/>
    <w:rsid w:val="00AF025E"/>
    <w:rsid w:val="00AF0513"/>
    <w:rsid w:val="00AF0BC3"/>
    <w:rsid w:val="00AF2040"/>
    <w:rsid w:val="00AF23C8"/>
    <w:rsid w:val="00AF26E9"/>
    <w:rsid w:val="00AF2AE2"/>
    <w:rsid w:val="00AF2DC4"/>
    <w:rsid w:val="00AF3D6F"/>
    <w:rsid w:val="00AF58A5"/>
    <w:rsid w:val="00AF6A22"/>
    <w:rsid w:val="00AF7106"/>
    <w:rsid w:val="00B0377E"/>
    <w:rsid w:val="00B04090"/>
    <w:rsid w:val="00B05C4D"/>
    <w:rsid w:val="00B066C7"/>
    <w:rsid w:val="00B07BA9"/>
    <w:rsid w:val="00B07EAE"/>
    <w:rsid w:val="00B10055"/>
    <w:rsid w:val="00B1141E"/>
    <w:rsid w:val="00B1220D"/>
    <w:rsid w:val="00B1278B"/>
    <w:rsid w:val="00B131B3"/>
    <w:rsid w:val="00B13C25"/>
    <w:rsid w:val="00B13CEE"/>
    <w:rsid w:val="00B14897"/>
    <w:rsid w:val="00B15E35"/>
    <w:rsid w:val="00B17295"/>
    <w:rsid w:val="00B17B02"/>
    <w:rsid w:val="00B20C6D"/>
    <w:rsid w:val="00B215F5"/>
    <w:rsid w:val="00B249ED"/>
    <w:rsid w:val="00B24F4A"/>
    <w:rsid w:val="00B26B62"/>
    <w:rsid w:val="00B276A2"/>
    <w:rsid w:val="00B27A54"/>
    <w:rsid w:val="00B30783"/>
    <w:rsid w:val="00B31662"/>
    <w:rsid w:val="00B3376C"/>
    <w:rsid w:val="00B33E7D"/>
    <w:rsid w:val="00B35327"/>
    <w:rsid w:val="00B3711F"/>
    <w:rsid w:val="00B37C1D"/>
    <w:rsid w:val="00B4075E"/>
    <w:rsid w:val="00B40DEE"/>
    <w:rsid w:val="00B41F0F"/>
    <w:rsid w:val="00B42560"/>
    <w:rsid w:val="00B443B2"/>
    <w:rsid w:val="00B455AA"/>
    <w:rsid w:val="00B45778"/>
    <w:rsid w:val="00B457A1"/>
    <w:rsid w:val="00B4630F"/>
    <w:rsid w:val="00B464B1"/>
    <w:rsid w:val="00B47A4A"/>
    <w:rsid w:val="00B47B99"/>
    <w:rsid w:val="00B5003D"/>
    <w:rsid w:val="00B506F2"/>
    <w:rsid w:val="00B510E3"/>
    <w:rsid w:val="00B521AC"/>
    <w:rsid w:val="00B52702"/>
    <w:rsid w:val="00B53BE3"/>
    <w:rsid w:val="00B53E30"/>
    <w:rsid w:val="00B5498D"/>
    <w:rsid w:val="00B5501D"/>
    <w:rsid w:val="00B55F2B"/>
    <w:rsid w:val="00B61241"/>
    <w:rsid w:val="00B61431"/>
    <w:rsid w:val="00B6151E"/>
    <w:rsid w:val="00B61D02"/>
    <w:rsid w:val="00B61DB9"/>
    <w:rsid w:val="00B62276"/>
    <w:rsid w:val="00B622F6"/>
    <w:rsid w:val="00B62885"/>
    <w:rsid w:val="00B63F41"/>
    <w:rsid w:val="00B64962"/>
    <w:rsid w:val="00B651B1"/>
    <w:rsid w:val="00B676EC"/>
    <w:rsid w:val="00B67E58"/>
    <w:rsid w:val="00B7016C"/>
    <w:rsid w:val="00B7039B"/>
    <w:rsid w:val="00B72C1F"/>
    <w:rsid w:val="00B74CF4"/>
    <w:rsid w:val="00B74D1E"/>
    <w:rsid w:val="00B76A18"/>
    <w:rsid w:val="00B83DC1"/>
    <w:rsid w:val="00B840C1"/>
    <w:rsid w:val="00B84C6C"/>
    <w:rsid w:val="00B86E2F"/>
    <w:rsid w:val="00B875AC"/>
    <w:rsid w:val="00B90286"/>
    <w:rsid w:val="00B90637"/>
    <w:rsid w:val="00B90C6F"/>
    <w:rsid w:val="00B92687"/>
    <w:rsid w:val="00B93E2B"/>
    <w:rsid w:val="00B94248"/>
    <w:rsid w:val="00B942A1"/>
    <w:rsid w:val="00B9486A"/>
    <w:rsid w:val="00B94B4F"/>
    <w:rsid w:val="00B95EA3"/>
    <w:rsid w:val="00B96908"/>
    <w:rsid w:val="00B96C70"/>
    <w:rsid w:val="00B976F6"/>
    <w:rsid w:val="00BA0172"/>
    <w:rsid w:val="00BA2093"/>
    <w:rsid w:val="00BA278C"/>
    <w:rsid w:val="00BA3B76"/>
    <w:rsid w:val="00BA5F41"/>
    <w:rsid w:val="00BA7385"/>
    <w:rsid w:val="00BA76AF"/>
    <w:rsid w:val="00BB187C"/>
    <w:rsid w:val="00BB296B"/>
    <w:rsid w:val="00BB2A9C"/>
    <w:rsid w:val="00BB3622"/>
    <w:rsid w:val="00BB682C"/>
    <w:rsid w:val="00BB70D0"/>
    <w:rsid w:val="00BB7CA9"/>
    <w:rsid w:val="00BC025A"/>
    <w:rsid w:val="00BC0D6B"/>
    <w:rsid w:val="00BC236B"/>
    <w:rsid w:val="00BC2BB4"/>
    <w:rsid w:val="00BC4E85"/>
    <w:rsid w:val="00BC6515"/>
    <w:rsid w:val="00BC65D9"/>
    <w:rsid w:val="00BC7C52"/>
    <w:rsid w:val="00BC7EEE"/>
    <w:rsid w:val="00BC7FCA"/>
    <w:rsid w:val="00BD02D2"/>
    <w:rsid w:val="00BD0CF6"/>
    <w:rsid w:val="00BD1471"/>
    <w:rsid w:val="00BD14C5"/>
    <w:rsid w:val="00BD196A"/>
    <w:rsid w:val="00BD2081"/>
    <w:rsid w:val="00BD2311"/>
    <w:rsid w:val="00BD2818"/>
    <w:rsid w:val="00BD2A1E"/>
    <w:rsid w:val="00BD2A2C"/>
    <w:rsid w:val="00BD31D3"/>
    <w:rsid w:val="00BD4B49"/>
    <w:rsid w:val="00BD50B7"/>
    <w:rsid w:val="00BD53ED"/>
    <w:rsid w:val="00BD56F2"/>
    <w:rsid w:val="00BD6262"/>
    <w:rsid w:val="00BD71D4"/>
    <w:rsid w:val="00BD77D6"/>
    <w:rsid w:val="00BD7EED"/>
    <w:rsid w:val="00BE02F8"/>
    <w:rsid w:val="00BE1678"/>
    <w:rsid w:val="00BE3210"/>
    <w:rsid w:val="00BE3798"/>
    <w:rsid w:val="00BE39AB"/>
    <w:rsid w:val="00BE4C48"/>
    <w:rsid w:val="00BE5892"/>
    <w:rsid w:val="00BE61C1"/>
    <w:rsid w:val="00BE635A"/>
    <w:rsid w:val="00BE64AF"/>
    <w:rsid w:val="00BE6717"/>
    <w:rsid w:val="00BE7D95"/>
    <w:rsid w:val="00BF0381"/>
    <w:rsid w:val="00BF446E"/>
    <w:rsid w:val="00BF498E"/>
    <w:rsid w:val="00BF5792"/>
    <w:rsid w:val="00BF5C88"/>
    <w:rsid w:val="00BF6363"/>
    <w:rsid w:val="00BF6E7B"/>
    <w:rsid w:val="00C01021"/>
    <w:rsid w:val="00C0141F"/>
    <w:rsid w:val="00C02D72"/>
    <w:rsid w:val="00C02FA8"/>
    <w:rsid w:val="00C035E7"/>
    <w:rsid w:val="00C0372F"/>
    <w:rsid w:val="00C0451A"/>
    <w:rsid w:val="00C048AF"/>
    <w:rsid w:val="00C077E0"/>
    <w:rsid w:val="00C07DE6"/>
    <w:rsid w:val="00C101CE"/>
    <w:rsid w:val="00C10365"/>
    <w:rsid w:val="00C12CB2"/>
    <w:rsid w:val="00C12E5D"/>
    <w:rsid w:val="00C14714"/>
    <w:rsid w:val="00C154B5"/>
    <w:rsid w:val="00C1564A"/>
    <w:rsid w:val="00C175F9"/>
    <w:rsid w:val="00C17872"/>
    <w:rsid w:val="00C205E9"/>
    <w:rsid w:val="00C212FC"/>
    <w:rsid w:val="00C21F54"/>
    <w:rsid w:val="00C23F48"/>
    <w:rsid w:val="00C242BB"/>
    <w:rsid w:val="00C25606"/>
    <w:rsid w:val="00C25E74"/>
    <w:rsid w:val="00C262BD"/>
    <w:rsid w:val="00C262EC"/>
    <w:rsid w:val="00C2773E"/>
    <w:rsid w:val="00C30754"/>
    <w:rsid w:val="00C30E04"/>
    <w:rsid w:val="00C310C2"/>
    <w:rsid w:val="00C3465C"/>
    <w:rsid w:val="00C36525"/>
    <w:rsid w:val="00C40A81"/>
    <w:rsid w:val="00C40EB3"/>
    <w:rsid w:val="00C40F39"/>
    <w:rsid w:val="00C41292"/>
    <w:rsid w:val="00C41BD9"/>
    <w:rsid w:val="00C42F30"/>
    <w:rsid w:val="00C434FD"/>
    <w:rsid w:val="00C4350E"/>
    <w:rsid w:val="00C44928"/>
    <w:rsid w:val="00C44945"/>
    <w:rsid w:val="00C44B3E"/>
    <w:rsid w:val="00C45DC4"/>
    <w:rsid w:val="00C47AC7"/>
    <w:rsid w:val="00C514BD"/>
    <w:rsid w:val="00C515FA"/>
    <w:rsid w:val="00C5192E"/>
    <w:rsid w:val="00C52DE6"/>
    <w:rsid w:val="00C539E0"/>
    <w:rsid w:val="00C54B66"/>
    <w:rsid w:val="00C554C2"/>
    <w:rsid w:val="00C55894"/>
    <w:rsid w:val="00C6016B"/>
    <w:rsid w:val="00C61BCC"/>
    <w:rsid w:val="00C62E1C"/>
    <w:rsid w:val="00C633E7"/>
    <w:rsid w:val="00C634A7"/>
    <w:rsid w:val="00C638D7"/>
    <w:rsid w:val="00C638DF"/>
    <w:rsid w:val="00C64720"/>
    <w:rsid w:val="00C6517F"/>
    <w:rsid w:val="00C653B0"/>
    <w:rsid w:val="00C6558F"/>
    <w:rsid w:val="00C65CBF"/>
    <w:rsid w:val="00C67BA6"/>
    <w:rsid w:val="00C70DA3"/>
    <w:rsid w:val="00C71920"/>
    <w:rsid w:val="00C7234D"/>
    <w:rsid w:val="00C72A63"/>
    <w:rsid w:val="00C73956"/>
    <w:rsid w:val="00C73B10"/>
    <w:rsid w:val="00C73ECB"/>
    <w:rsid w:val="00C7596E"/>
    <w:rsid w:val="00C76EAC"/>
    <w:rsid w:val="00C77049"/>
    <w:rsid w:val="00C77A70"/>
    <w:rsid w:val="00C807E9"/>
    <w:rsid w:val="00C80AE4"/>
    <w:rsid w:val="00C80B3A"/>
    <w:rsid w:val="00C811C1"/>
    <w:rsid w:val="00C8574F"/>
    <w:rsid w:val="00C857F1"/>
    <w:rsid w:val="00C863A9"/>
    <w:rsid w:val="00C871C4"/>
    <w:rsid w:val="00C87B10"/>
    <w:rsid w:val="00C90B37"/>
    <w:rsid w:val="00C91D20"/>
    <w:rsid w:val="00C92EE2"/>
    <w:rsid w:val="00C93FB4"/>
    <w:rsid w:val="00C97301"/>
    <w:rsid w:val="00CA1130"/>
    <w:rsid w:val="00CA1555"/>
    <w:rsid w:val="00CA1E93"/>
    <w:rsid w:val="00CA209B"/>
    <w:rsid w:val="00CA415F"/>
    <w:rsid w:val="00CA49AA"/>
    <w:rsid w:val="00CA4F6C"/>
    <w:rsid w:val="00CA529D"/>
    <w:rsid w:val="00CA52FD"/>
    <w:rsid w:val="00CA5EA7"/>
    <w:rsid w:val="00CA6C0F"/>
    <w:rsid w:val="00CA7B88"/>
    <w:rsid w:val="00CB026C"/>
    <w:rsid w:val="00CB2C14"/>
    <w:rsid w:val="00CB3CDB"/>
    <w:rsid w:val="00CB5A49"/>
    <w:rsid w:val="00CB5A8E"/>
    <w:rsid w:val="00CB5C15"/>
    <w:rsid w:val="00CB678B"/>
    <w:rsid w:val="00CB7E2C"/>
    <w:rsid w:val="00CC03BB"/>
    <w:rsid w:val="00CC1228"/>
    <w:rsid w:val="00CC1A21"/>
    <w:rsid w:val="00CC1BC3"/>
    <w:rsid w:val="00CC66DE"/>
    <w:rsid w:val="00CC7C0C"/>
    <w:rsid w:val="00CD26A9"/>
    <w:rsid w:val="00CD443C"/>
    <w:rsid w:val="00CD5694"/>
    <w:rsid w:val="00CD6E8C"/>
    <w:rsid w:val="00CD75E3"/>
    <w:rsid w:val="00CE10D3"/>
    <w:rsid w:val="00CE2627"/>
    <w:rsid w:val="00CE2723"/>
    <w:rsid w:val="00CE2EB2"/>
    <w:rsid w:val="00CE525D"/>
    <w:rsid w:val="00CE5C99"/>
    <w:rsid w:val="00CE6A16"/>
    <w:rsid w:val="00CF0733"/>
    <w:rsid w:val="00CF102B"/>
    <w:rsid w:val="00CF208B"/>
    <w:rsid w:val="00CF23EE"/>
    <w:rsid w:val="00CF24AB"/>
    <w:rsid w:val="00CF301F"/>
    <w:rsid w:val="00CF3141"/>
    <w:rsid w:val="00CF31C1"/>
    <w:rsid w:val="00CF3C40"/>
    <w:rsid w:val="00CF41D3"/>
    <w:rsid w:val="00CF5D7D"/>
    <w:rsid w:val="00CF67C1"/>
    <w:rsid w:val="00D049F9"/>
    <w:rsid w:val="00D0600F"/>
    <w:rsid w:val="00D06F1B"/>
    <w:rsid w:val="00D10E25"/>
    <w:rsid w:val="00D11357"/>
    <w:rsid w:val="00D126F7"/>
    <w:rsid w:val="00D129F5"/>
    <w:rsid w:val="00D12B82"/>
    <w:rsid w:val="00D12ED4"/>
    <w:rsid w:val="00D12ED9"/>
    <w:rsid w:val="00D12F48"/>
    <w:rsid w:val="00D141DD"/>
    <w:rsid w:val="00D1494A"/>
    <w:rsid w:val="00D164FA"/>
    <w:rsid w:val="00D169CA"/>
    <w:rsid w:val="00D17CF9"/>
    <w:rsid w:val="00D200C6"/>
    <w:rsid w:val="00D21887"/>
    <w:rsid w:val="00D22334"/>
    <w:rsid w:val="00D23079"/>
    <w:rsid w:val="00D242A2"/>
    <w:rsid w:val="00D24A4D"/>
    <w:rsid w:val="00D266DE"/>
    <w:rsid w:val="00D2783B"/>
    <w:rsid w:val="00D3028D"/>
    <w:rsid w:val="00D30FDF"/>
    <w:rsid w:val="00D31689"/>
    <w:rsid w:val="00D3180C"/>
    <w:rsid w:val="00D325D3"/>
    <w:rsid w:val="00D327F7"/>
    <w:rsid w:val="00D33BE8"/>
    <w:rsid w:val="00D355E8"/>
    <w:rsid w:val="00D35E07"/>
    <w:rsid w:val="00D379E5"/>
    <w:rsid w:val="00D40195"/>
    <w:rsid w:val="00D43DD6"/>
    <w:rsid w:val="00D440CA"/>
    <w:rsid w:val="00D454EC"/>
    <w:rsid w:val="00D47CC1"/>
    <w:rsid w:val="00D51C2C"/>
    <w:rsid w:val="00D53570"/>
    <w:rsid w:val="00D5477F"/>
    <w:rsid w:val="00D55A36"/>
    <w:rsid w:val="00D565DA"/>
    <w:rsid w:val="00D5689A"/>
    <w:rsid w:val="00D57072"/>
    <w:rsid w:val="00D57B86"/>
    <w:rsid w:val="00D603F4"/>
    <w:rsid w:val="00D61249"/>
    <w:rsid w:val="00D61484"/>
    <w:rsid w:val="00D61AE5"/>
    <w:rsid w:val="00D62645"/>
    <w:rsid w:val="00D64636"/>
    <w:rsid w:val="00D64C06"/>
    <w:rsid w:val="00D64FFF"/>
    <w:rsid w:val="00D659F7"/>
    <w:rsid w:val="00D668E4"/>
    <w:rsid w:val="00D67466"/>
    <w:rsid w:val="00D7047B"/>
    <w:rsid w:val="00D70735"/>
    <w:rsid w:val="00D71270"/>
    <w:rsid w:val="00D729A9"/>
    <w:rsid w:val="00D72EC4"/>
    <w:rsid w:val="00D73896"/>
    <w:rsid w:val="00D741F4"/>
    <w:rsid w:val="00D74FEC"/>
    <w:rsid w:val="00D75505"/>
    <w:rsid w:val="00D76695"/>
    <w:rsid w:val="00D77B4F"/>
    <w:rsid w:val="00D77DAB"/>
    <w:rsid w:val="00D80146"/>
    <w:rsid w:val="00D804EF"/>
    <w:rsid w:val="00D8085A"/>
    <w:rsid w:val="00D80998"/>
    <w:rsid w:val="00D811FB"/>
    <w:rsid w:val="00D8228F"/>
    <w:rsid w:val="00D8291C"/>
    <w:rsid w:val="00D83CB1"/>
    <w:rsid w:val="00D841EB"/>
    <w:rsid w:val="00D862DA"/>
    <w:rsid w:val="00D8640C"/>
    <w:rsid w:val="00D86456"/>
    <w:rsid w:val="00D870BD"/>
    <w:rsid w:val="00D8730F"/>
    <w:rsid w:val="00D90BB7"/>
    <w:rsid w:val="00D90ED8"/>
    <w:rsid w:val="00D92653"/>
    <w:rsid w:val="00D936C9"/>
    <w:rsid w:val="00D94FF3"/>
    <w:rsid w:val="00D95623"/>
    <w:rsid w:val="00D956E1"/>
    <w:rsid w:val="00D968CE"/>
    <w:rsid w:val="00D97EB7"/>
    <w:rsid w:val="00DA01E1"/>
    <w:rsid w:val="00DA122F"/>
    <w:rsid w:val="00DA150D"/>
    <w:rsid w:val="00DA1C62"/>
    <w:rsid w:val="00DA2384"/>
    <w:rsid w:val="00DA3D7B"/>
    <w:rsid w:val="00DA543D"/>
    <w:rsid w:val="00DA6721"/>
    <w:rsid w:val="00DA6D51"/>
    <w:rsid w:val="00DA7189"/>
    <w:rsid w:val="00DA7370"/>
    <w:rsid w:val="00DB1190"/>
    <w:rsid w:val="00DB1F0D"/>
    <w:rsid w:val="00DB20B6"/>
    <w:rsid w:val="00DB3158"/>
    <w:rsid w:val="00DB4594"/>
    <w:rsid w:val="00DB4AA3"/>
    <w:rsid w:val="00DB4BAF"/>
    <w:rsid w:val="00DB6640"/>
    <w:rsid w:val="00DB68FF"/>
    <w:rsid w:val="00DB6C32"/>
    <w:rsid w:val="00DB7230"/>
    <w:rsid w:val="00DC1C5D"/>
    <w:rsid w:val="00DC32BA"/>
    <w:rsid w:val="00DC590D"/>
    <w:rsid w:val="00DC5FD8"/>
    <w:rsid w:val="00DC6AC1"/>
    <w:rsid w:val="00DC78EC"/>
    <w:rsid w:val="00DD017A"/>
    <w:rsid w:val="00DD1D7D"/>
    <w:rsid w:val="00DD295D"/>
    <w:rsid w:val="00DD54D4"/>
    <w:rsid w:val="00DD5861"/>
    <w:rsid w:val="00DD6518"/>
    <w:rsid w:val="00DD6537"/>
    <w:rsid w:val="00DD6667"/>
    <w:rsid w:val="00DD74A2"/>
    <w:rsid w:val="00DE1502"/>
    <w:rsid w:val="00DE2B41"/>
    <w:rsid w:val="00DE383B"/>
    <w:rsid w:val="00DE43D9"/>
    <w:rsid w:val="00DE49BE"/>
    <w:rsid w:val="00DE5585"/>
    <w:rsid w:val="00DE6576"/>
    <w:rsid w:val="00DE7D5F"/>
    <w:rsid w:val="00DF44C4"/>
    <w:rsid w:val="00DF4614"/>
    <w:rsid w:val="00DF5B97"/>
    <w:rsid w:val="00DF6D10"/>
    <w:rsid w:val="00DF7B25"/>
    <w:rsid w:val="00E00B67"/>
    <w:rsid w:val="00E02A45"/>
    <w:rsid w:val="00E03E64"/>
    <w:rsid w:val="00E04840"/>
    <w:rsid w:val="00E04DA9"/>
    <w:rsid w:val="00E05336"/>
    <w:rsid w:val="00E0543C"/>
    <w:rsid w:val="00E067F7"/>
    <w:rsid w:val="00E06C31"/>
    <w:rsid w:val="00E06F72"/>
    <w:rsid w:val="00E101E5"/>
    <w:rsid w:val="00E11075"/>
    <w:rsid w:val="00E135A1"/>
    <w:rsid w:val="00E148F7"/>
    <w:rsid w:val="00E1496E"/>
    <w:rsid w:val="00E16EF1"/>
    <w:rsid w:val="00E177A0"/>
    <w:rsid w:val="00E17F63"/>
    <w:rsid w:val="00E20F74"/>
    <w:rsid w:val="00E2388C"/>
    <w:rsid w:val="00E26CBB"/>
    <w:rsid w:val="00E27762"/>
    <w:rsid w:val="00E27BDD"/>
    <w:rsid w:val="00E302EE"/>
    <w:rsid w:val="00E3070B"/>
    <w:rsid w:val="00E33C59"/>
    <w:rsid w:val="00E354F6"/>
    <w:rsid w:val="00E35CE1"/>
    <w:rsid w:val="00E368C3"/>
    <w:rsid w:val="00E37137"/>
    <w:rsid w:val="00E3764A"/>
    <w:rsid w:val="00E42E03"/>
    <w:rsid w:val="00E43C06"/>
    <w:rsid w:val="00E449B1"/>
    <w:rsid w:val="00E46066"/>
    <w:rsid w:val="00E47B31"/>
    <w:rsid w:val="00E47C3F"/>
    <w:rsid w:val="00E47F52"/>
    <w:rsid w:val="00E501F7"/>
    <w:rsid w:val="00E502C4"/>
    <w:rsid w:val="00E5082D"/>
    <w:rsid w:val="00E50D28"/>
    <w:rsid w:val="00E52487"/>
    <w:rsid w:val="00E574A9"/>
    <w:rsid w:val="00E57EDA"/>
    <w:rsid w:val="00E61008"/>
    <w:rsid w:val="00E61355"/>
    <w:rsid w:val="00E613BC"/>
    <w:rsid w:val="00E619F3"/>
    <w:rsid w:val="00E61F1E"/>
    <w:rsid w:val="00E62556"/>
    <w:rsid w:val="00E6390A"/>
    <w:rsid w:val="00E6513D"/>
    <w:rsid w:val="00E65620"/>
    <w:rsid w:val="00E659FC"/>
    <w:rsid w:val="00E66861"/>
    <w:rsid w:val="00E668B0"/>
    <w:rsid w:val="00E66E21"/>
    <w:rsid w:val="00E67063"/>
    <w:rsid w:val="00E70F38"/>
    <w:rsid w:val="00E710FC"/>
    <w:rsid w:val="00E71390"/>
    <w:rsid w:val="00E71592"/>
    <w:rsid w:val="00E71915"/>
    <w:rsid w:val="00E72319"/>
    <w:rsid w:val="00E73BE6"/>
    <w:rsid w:val="00E74901"/>
    <w:rsid w:val="00E77A24"/>
    <w:rsid w:val="00E80916"/>
    <w:rsid w:val="00E8095E"/>
    <w:rsid w:val="00E80ADD"/>
    <w:rsid w:val="00E840DF"/>
    <w:rsid w:val="00E8452A"/>
    <w:rsid w:val="00E8460C"/>
    <w:rsid w:val="00E850E5"/>
    <w:rsid w:val="00E8560F"/>
    <w:rsid w:val="00E87123"/>
    <w:rsid w:val="00E8780A"/>
    <w:rsid w:val="00E90404"/>
    <w:rsid w:val="00E92646"/>
    <w:rsid w:val="00E95542"/>
    <w:rsid w:val="00E957FC"/>
    <w:rsid w:val="00E96144"/>
    <w:rsid w:val="00E96C1E"/>
    <w:rsid w:val="00E9792C"/>
    <w:rsid w:val="00EA0289"/>
    <w:rsid w:val="00EA259D"/>
    <w:rsid w:val="00EB11D1"/>
    <w:rsid w:val="00EB181B"/>
    <w:rsid w:val="00EB1CA4"/>
    <w:rsid w:val="00EB2DEA"/>
    <w:rsid w:val="00EB36BE"/>
    <w:rsid w:val="00EB562E"/>
    <w:rsid w:val="00EC129D"/>
    <w:rsid w:val="00EC12FE"/>
    <w:rsid w:val="00EC15D3"/>
    <w:rsid w:val="00EC341C"/>
    <w:rsid w:val="00EC73C3"/>
    <w:rsid w:val="00ED0292"/>
    <w:rsid w:val="00ED1657"/>
    <w:rsid w:val="00ED30E5"/>
    <w:rsid w:val="00ED3B8F"/>
    <w:rsid w:val="00ED53EB"/>
    <w:rsid w:val="00ED5637"/>
    <w:rsid w:val="00ED6618"/>
    <w:rsid w:val="00EE2AB8"/>
    <w:rsid w:val="00EE4CA4"/>
    <w:rsid w:val="00EE615E"/>
    <w:rsid w:val="00EE6768"/>
    <w:rsid w:val="00EE6EDE"/>
    <w:rsid w:val="00EE71C9"/>
    <w:rsid w:val="00EE7990"/>
    <w:rsid w:val="00EF0C65"/>
    <w:rsid w:val="00EF0EEA"/>
    <w:rsid w:val="00EF262F"/>
    <w:rsid w:val="00EF352D"/>
    <w:rsid w:val="00EF4AEE"/>
    <w:rsid w:val="00EF5CC2"/>
    <w:rsid w:val="00EF682B"/>
    <w:rsid w:val="00EF6E41"/>
    <w:rsid w:val="00EF7284"/>
    <w:rsid w:val="00EF7900"/>
    <w:rsid w:val="00F01E67"/>
    <w:rsid w:val="00F03BF4"/>
    <w:rsid w:val="00F03F3B"/>
    <w:rsid w:val="00F06BCE"/>
    <w:rsid w:val="00F07468"/>
    <w:rsid w:val="00F074C3"/>
    <w:rsid w:val="00F11DDC"/>
    <w:rsid w:val="00F12AB4"/>
    <w:rsid w:val="00F1302B"/>
    <w:rsid w:val="00F13F76"/>
    <w:rsid w:val="00F14749"/>
    <w:rsid w:val="00F153C1"/>
    <w:rsid w:val="00F1550A"/>
    <w:rsid w:val="00F155A0"/>
    <w:rsid w:val="00F15A15"/>
    <w:rsid w:val="00F17FB2"/>
    <w:rsid w:val="00F204F3"/>
    <w:rsid w:val="00F2176B"/>
    <w:rsid w:val="00F217E8"/>
    <w:rsid w:val="00F22D82"/>
    <w:rsid w:val="00F22FE8"/>
    <w:rsid w:val="00F23A8E"/>
    <w:rsid w:val="00F23EEF"/>
    <w:rsid w:val="00F2490C"/>
    <w:rsid w:val="00F266B6"/>
    <w:rsid w:val="00F26D40"/>
    <w:rsid w:val="00F2729B"/>
    <w:rsid w:val="00F27A20"/>
    <w:rsid w:val="00F308D0"/>
    <w:rsid w:val="00F31768"/>
    <w:rsid w:val="00F340B6"/>
    <w:rsid w:val="00F3581E"/>
    <w:rsid w:val="00F361A3"/>
    <w:rsid w:val="00F361B7"/>
    <w:rsid w:val="00F37687"/>
    <w:rsid w:val="00F37EEB"/>
    <w:rsid w:val="00F40BA7"/>
    <w:rsid w:val="00F40BAE"/>
    <w:rsid w:val="00F4120A"/>
    <w:rsid w:val="00F41886"/>
    <w:rsid w:val="00F41962"/>
    <w:rsid w:val="00F42ACB"/>
    <w:rsid w:val="00F4489E"/>
    <w:rsid w:val="00F454CA"/>
    <w:rsid w:val="00F50149"/>
    <w:rsid w:val="00F51EC5"/>
    <w:rsid w:val="00F52F93"/>
    <w:rsid w:val="00F52FA5"/>
    <w:rsid w:val="00F531ED"/>
    <w:rsid w:val="00F54608"/>
    <w:rsid w:val="00F552F2"/>
    <w:rsid w:val="00F55B41"/>
    <w:rsid w:val="00F55E52"/>
    <w:rsid w:val="00F56A77"/>
    <w:rsid w:val="00F56FAC"/>
    <w:rsid w:val="00F57DAB"/>
    <w:rsid w:val="00F57EF0"/>
    <w:rsid w:val="00F60449"/>
    <w:rsid w:val="00F61079"/>
    <w:rsid w:val="00F61F0B"/>
    <w:rsid w:val="00F627E2"/>
    <w:rsid w:val="00F6383B"/>
    <w:rsid w:val="00F64498"/>
    <w:rsid w:val="00F666B7"/>
    <w:rsid w:val="00F66DFC"/>
    <w:rsid w:val="00F67042"/>
    <w:rsid w:val="00F71520"/>
    <w:rsid w:val="00F72D59"/>
    <w:rsid w:val="00F73805"/>
    <w:rsid w:val="00F7590F"/>
    <w:rsid w:val="00F75FE2"/>
    <w:rsid w:val="00F7645E"/>
    <w:rsid w:val="00F772CC"/>
    <w:rsid w:val="00F803DB"/>
    <w:rsid w:val="00F810FD"/>
    <w:rsid w:val="00F81B2A"/>
    <w:rsid w:val="00F82D26"/>
    <w:rsid w:val="00F85606"/>
    <w:rsid w:val="00F8569E"/>
    <w:rsid w:val="00F85A14"/>
    <w:rsid w:val="00F8705E"/>
    <w:rsid w:val="00F90EB0"/>
    <w:rsid w:val="00F913C6"/>
    <w:rsid w:val="00F91CF8"/>
    <w:rsid w:val="00F93544"/>
    <w:rsid w:val="00F93A97"/>
    <w:rsid w:val="00F94864"/>
    <w:rsid w:val="00F95052"/>
    <w:rsid w:val="00F95BDD"/>
    <w:rsid w:val="00F961E8"/>
    <w:rsid w:val="00F977BF"/>
    <w:rsid w:val="00FA02EE"/>
    <w:rsid w:val="00FA2868"/>
    <w:rsid w:val="00FA33A6"/>
    <w:rsid w:val="00FA429E"/>
    <w:rsid w:val="00FA594F"/>
    <w:rsid w:val="00FA7B80"/>
    <w:rsid w:val="00FB0B18"/>
    <w:rsid w:val="00FB18EA"/>
    <w:rsid w:val="00FB2ACA"/>
    <w:rsid w:val="00FB2AD2"/>
    <w:rsid w:val="00FB308B"/>
    <w:rsid w:val="00FB3DEB"/>
    <w:rsid w:val="00FB5D20"/>
    <w:rsid w:val="00FB5D31"/>
    <w:rsid w:val="00FB5D44"/>
    <w:rsid w:val="00FB673E"/>
    <w:rsid w:val="00FB70C3"/>
    <w:rsid w:val="00FB7184"/>
    <w:rsid w:val="00FB753B"/>
    <w:rsid w:val="00FB7DB6"/>
    <w:rsid w:val="00FC09BB"/>
    <w:rsid w:val="00FC113F"/>
    <w:rsid w:val="00FC3D57"/>
    <w:rsid w:val="00FC3EB4"/>
    <w:rsid w:val="00FC48C8"/>
    <w:rsid w:val="00FC4A67"/>
    <w:rsid w:val="00FC51B8"/>
    <w:rsid w:val="00FC5FD1"/>
    <w:rsid w:val="00FC6C2D"/>
    <w:rsid w:val="00FC72BB"/>
    <w:rsid w:val="00FD16AB"/>
    <w:rsid w:val="00FD1EAB"/>
    <w:rsid w:val="00FD2E3A"/>
    <w:rsid w:val="00FD326A"/>
    <w:rsid w:val="00FD38DC"/>
    <w:rsid w:val="00FD3B72"/>
    <w:rsid w:val="00FD5511"/>
    <w:rsid w:val="00FD6457"/>
    <w:rsid w:val="00FD755E"/>
    <w:rsid w:val="00FD7CD3"/>
    <w:rsid w:val="00FE3E27"/>
    <w:rsid w:val="00FE410C"/>
    <w:rsid w:val="00FE44C5"/>
    <w:rsid w:val="00FE525A"/>
    <w:rsid w:val="00FE564B"/>
    <w:rsid w:val="00FF0D28"/>
    <w:rsid w:val="00FF1021"/>
    <w:rsid w:val="00FF141F"/>
    <w:rsid w:val="00FF2F31"/>
    <w:rsid w:val="00FF406D"/>
    <w:rsid w:val="00FF4C13"/>
    <w:rsid w:val="00FF4F5F"/>
    <w:rsid w:val="00FF5625"/>
    <w:rsid w:val="00FF5B40"/>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0C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aliases w:val="ft,Footnote Text Char Char Char Char Char"/>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49431B"/>
  </w:style>
  <w:style w:type="character" w:styleId="CommentReference">
    <w:name w:val="annotation reference"/>
    <w:basedOn w:val="DefaultParagraphFont"/>
    <w:uiPriority w:val="99"/>
    <w:semiHidden/>
    <w:unhideWhenUsed/>
    <w:locked/>
    <w:rsid w:val="001067E2"/>
    <w:rPr>
      <w:sz w:val="16"/>
      <w:szCs w:val="16"/>
    </w:rPr>
  </w:style>
  <w:style w:type="paragraph" w:styleId="CommentText">
    <w:name w:val="annotation text"/>
    <w:basedOn w:val="Normal"/>
    <w:link w:val="CommentTextChar"/>
    <w:uiPriority w:val="99"/>
    <w:unhideWhenUsed/>
    <w:locked/>
    <w:rsid w:val="001067E2"/>
    <w:pPr>
      <w:spacing w:line="240" w:lineRule="auto"/>
    </w:pPr>
    <w:rPr>
      <w:sz w:val="20"/>
      <w:szCs w:val="20"/>
    </w:rPr>
  </w:style>
  <w:style w:type="character" w:customStyle="1" w:styleId="CommentTextChar">
    <w:name w:val="Comment Text Char"/>
    <w:basedOn w:val="DefaultParagraphFont"/>
    <w:link w:val="CommentText"/>
    <w:uiPriority w:val="99"/>
    <w:rsid w:val="001067E2"/>
    <w:rPr>
      <w:sz w:val="20"/>
      <w:szCs w:val="20"/>
    </w:rPr>
  </w:style>
  <w:style w:type="paragraph" w:styleId="CommentSubject">
    <w:name w:val="annotation subject"/>
    <w:basedOn w:val="CommentText"/>
    <w:next w:val="CommentText"/>
    <w:link w:val="CommentSubjectChar"/>
    <w:uiPriority w:val="99"/>
    <w:semiHidden/>
    <w:unhideWhenUsed/>
    <w:locked/>
    <w:rsid w:val="001067E2"/>
    <w:rPr>
      <w:b/>
      <w:bCs/>
    </w:rPr>
  </w:style>
  <w:style w:type="character" w:customStyle="1" w:styleId="CommentSubjectChar">
    <w:name w:val="Comment Subject Char"/>
    <w:basedOn w:val="CommentTextChar"/>
    <w:link w:val="CommentSubject"/>
    <w:uiPriority w:val="99"/>
    <w:semiHidden/>
    <w:rsid w:val="001067E2"/>
    <w:rPr>
      <w:b/>
      <w:bCs/>
      <w:sz w:val="20"/>
      <w:szCs w:val="20"/>
    </w:rPr>
  </w:style>
  <w:style w:type="character" w:customStyle="1" w:styleId="FootnoteTextChar">
    <w:name w:val="Footnote Text Char"/>
    <w:aliases w:val="ft Char,Footnote Text Char Char Char Char Char Char"/>
    <w:basedOn w:val="DefaultParagraphFont"/>
    <w:link w:val="FootnoteText"/>
    <w:uiPriority w:val="53"/>
    <w:rsid w:val="007359C1"/>
  </w:style>
  <w:style w:type="character" w:customStyle="1" w:styleId="remark-finalizedcontent-text-section">
    <w:name w:val="remark-finalized__content-text-section"/>
    <w:basedOn w:val="DefaultParagraphFont"/>
    <w:rsid w:val="007359C1"/>
  </w:style>
  <w:style w:type="paragraph" w:customStyle="1" w:styleId="Body">
    <w:name w:val="Body"/>
    <w:basedOn w:val="Normal"/>
    <w:qFormat/>
    <w:rsid w:val="00C7596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C7596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C7596E"/>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C7596E"/>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C7596E"/>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C7596E"/>
    <w:pPr>
      <w:jc w:val="center"/>
    </w:pPr>
    <w:rPr>
      <w:rFonts w:ascii="Times New Roman" w:hAnsi="Times New Roman"/>
      <w:bCs/>
      <w:szCs w:val="20"/>
      <w:lang w:val="en-GB"/>
    </w:rPr>
  </w:style>
  <w:style w:type="paragraph" w:customStyle="1" w:styleId="Default">
    <w:name w:val="Default"/>
    <w:rsid w:val="00C7596E"/>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3cc3f26d-d9cc-46f3-89c7-f1482de8c8f1"/>
    <ds:schemaRef ds:uri="cbc5b7fd-636f-49ec-b8cc-eb8a3f2ba19e"/>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FB7463AA-F2C2-421F-A551-8111214BF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31</Pages>
  <Words>8373</Words>
  <Characters>47731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2025-08-04T04:25:00Z</dcterms:created>
  <dcterms:modified xsi:type="dcterms:W3CDTF">2025-08-04T04:27:00Z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