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1958" w14:textId="77777777" w:rsidR="00A50746" w:rsidRPr="00704FF8" w:rsidRDefault="00A50746" w:rsidP="00704FF8">
      <w:pPr>
        <w:pStyle w:val="OrdersTopLine"/>
      </w:pPr>
      <w:r w:rsidRPr="00704FF8">
        <w:t>HIGH COURT OF AUSTRALIA</w:t>
      </w:r>
    </w:p>
    <w:p w14:paraId="3AA907E1" w14:textId="77777777" w:rsidR="00A50746" w:rsidRPr="00704FF8" w:rsidRDefault="00A50746" w:rsidP="00704FF8">
      <w:pPr>
        <w:pStyle w:val="OrderCentre"/>
      </w:pPr>
    </w:p>
    <w:p w14:paraId="01A02473" w14:textId="77777777" w:rsidR="00A50746" w:rsidRPr="00C46004" w:rsidRDefault="00A50746" w:rsidP="00704FF8">
      <w:pPr>
        <w:pStyle w:val="OrderCentre"/>
        <w:rPr>
          <w:spacing w:val="-4"/>
          <w:sz w:val="24"/>
          <w:szCs w:val="24"/>
        </w:rPr>
      </w:pPr>
      <w:r w:rsidRPr="00C46004">
        <w:rPr>
          <w:spacing w:val="-4"/>
          <w:sz w:val="24"/>
          <w:szCs w:val="24"/>
        </w:rPr>
        <w:t>GAGELER CJ,</w:t>
      </w:r>
    </w:p>
    <w:p w14:paraId="77A2FDDB" w14:textId="77777777" w:rsidR="00A50746" w:rsidRPr="00704FF8" w:rsidRDefault="00A50746" w:rsidP="00704FF8">
      <w:pPr>
        <w:pStyle w:val="OrderCentre"/>
      </w:pPr>
      <w:r w:rsidRPr="00C46004">
        <w:rPr>
          <w:spacing w:val="-4"/>
          <w:sz w:val="24"/>
          <w:szCs w:val="24"/>
        </w:rPr>
        <w:t>GORDON, EDELMAN, GLEESON AND JAGOT JJ</w:t>
      </w:r>
    </w:p>
    <w:p w14:paraId="42F1AF99" w14:textId="77777777" w:rsidR="00A50746" w:rsidRPr="00427F3A" w:rsidRDefault="00A50746" w:rsidP="00EE5374">
      <w:pPr>
        <w:pStyle w:val="Centre"/>
        <w:rPr>
          <w:lang w:val="en-AU"/>
        </w:rPr>
      </w:pPr>
    </w:p>
    <w:p w14:paraId="4CEA5B52" w14:textId="77777777" w:rsidR="00A50746" w:rsidRPr="00704FF8" w:rsidRDefault="00A50746" w:rsidP="00704FF8">
      <w:pPr>
        <w:pStyle w:val="OrdersCenteredBorder"/>
      </w:pPr>
    </w:p>
    <w:p w14:paraId="55BE315A" w14:textId="77777777" w:rsidR="00A50746" w:rsidRPr="00704FF8" w:rsidRDefault="00A50746" w:rsidP="0032341F">
      <w:pPr>
        <w:pStyle w:val="OrdersBodyHeading"/>
      </w:pPr>
    </w:p>
    <w:p w14:paraId="7C783E5B" w14:textId="77777777" w:rsidR="00A50746" w:rsidRPr="0032341F" w:rsidRDefault="00A50746" w:rsidP="009362E8">
      <w:pPr>
        <w:pStyle w:val="OrdersPartyName"/>
        <w:ind w:right="-1"/>
      </w:pPr>
      <w:r w:rsidRPr="00236793">
        <w:t>ANDREW LAMING</w:t>
      </w:r>
      <w:r w:rsidRPr="0032341F">
        <w:tab/>
        <w:t>APPELLANT</w:t>
      </w:r>
    </w:p>
    <w:p w14:paraId="2BFD2225" w14:textId="77777777" w:rsidR="00A50746" w:rsidRPr="0032341F" w:rsidRDefault="00A50746" w:rsidP="009362E8">
      <w:pPr>
        <w:pStyle w:val="OrdersPartyName"/>
        <w:ind w:right="-1"/>
      </w:pPr>
    </w:p>
    <w:p w14:paraId="2913AD4D" w14:textId="77777777" w:rsidR="00A50746" w:rsidRPr="0032341F" w:rsidRDefault="00A50746" w:rsidP="009362E8">
      <w:pPr>
        <w:pStyle w:val="OrdersPartyName"/>
        <w:ind w:right="-1"/>
      </w:pPr>
      <w:r w:rsidRPr="0032341F">
        <w:t>AND</w:t>
      </w:r>
    </w:p>
    <w:p w14:paraId="72EC1DDD" w14:textId="77777777" w:rsidR="00A50746" w:rsidRPr="0032341F" w:rsidRDefault="00A50746" w:rsidP="009362E8">
      <w:pPr>
        <w:pStyle w:val="OrdersPartyName"/>
        <w:ind w:right="-1"/>
      </w:pPr>
    </w:p>
    <w:p w14:paraId="67429EA5" w14:textId="77777777" w:rsidR="00A50746" w:rsidRDefault="00A50746" w:rsidP="009362E8">
      <w:pPr>
        <w:pStyle w:val="OrdersPartyName"/>
        <w:ind w:right="-1"/>
      </w:pPr>
      <w:r w:rsidRPr="00236793">
        <w:t xml:space="preserve">ELECTORAL COMMISSIONER OF THE </w:t>
      </w:r>
    </w:p>
    <w:p w14:paraId="01CD076C" w14:textId="77777777" w:rsidR="00A50746" w:rsidRPr="0032341F" w:rsidRDefault="00A50746" w:rsidP="009362E8">
      <w:pPr>
        <w:pStyle w:val="OrdersPartyName"/>
        <w:ind w:right="-1"/>
      </w:pPr>
      <w:r w:rsidRPr="00236793">
        <w:t>AUSTRALIAN ELECTORAL COMMISSION</w:t>
      </w:r>
      <w:r w:rsidRPr="0032341F">
        <w:tab/>
        <w:t>RESPONDENT</w:t>
      </w:r>
    </w:p>
    <w:p w14:paraId="31A267CB" w14:textId="77777777" w:rsidR="00A50746" w:rsidRPr="00427F3A" w:rsidRDefault="00A50746" w:rsidP="00AF0A5E">
      <w:pPr>
        <w:pStyle w:val="BodyHeading"/>
      </w:pPr>
    </w:p>
    <w:p w14:paraId="3E749B02" w14:textId="77777777" w:rsidR="00A50746" w:rsidRPr="00427F3A" w:rsidRDefault="00A50746" w:rsidP="00BE0A6C">
      <w:pPr>
        <w:pStyle w:val="BodyHeading"/>
      </w:pPr>
    </w:p>
    <w:p w14:paraId="1A6B786A" w14:textId="77777777" w:rsidR="00A50746" w:rsidRPr="00427F3A" w:rsidRDefault="00A50746" w:rsidP="00EE5374">
      <w:pPr>
        <w:pStyle w:val="CentreItalics"/>
      </w:pPr>
      <w:r w:rsidRPr="00236793">
        <w:t>Laming v Electoral Commissioner of the Australian Electoral Commission</w:t>
      </w:r>
    </w:p>
    <w:p w14:paraId="27F7486F" w14:textId="77777777" w:rsidR="00A50746" w:rsidRPr="00427F3A" w:rsidRDefault="00A50746" w:rsidP="00E90E4F">
      <w:pPr>
        <w:pStyle w:val="OrdersCentre"/>
      </w:pPr>
      <w:r>
        <w:t>[2025</w:t>
      </w:r>
      <w:r w:rsidRPr="00427F3A">
        <w:t xml:space="preserve">] HCA </w:t>
      </w:r>
      <w:r>
        <w:t>31</w:t>
      </w:r>
    </w:p>
    <w:p w14:paraId="54A2A091" w14:textId="77777777" w:rsidR="00A50746" w:rsidRDefault="00A50746" w:rsidP="00E90E4F">
      <w:pPr>
        <w:pStyle w:val="OrdersCentreItalics"/>
      </w:pPr>
      <w:r>
        <w:t xml:space="preserve">Date of Hearing: </w:t>
      </w:r>
      <w:r w:rsidRPr="00236793">
        <w:t>9 April 2025</w:t>
      </w:r>
    </w:p>
    <w:p w14:paraId="7DF6B722" w14:textId="77777777" w:rsidR="00A50746" w:rsidRPr="00427F3A" w:rsidRDefault="00A50746" w:rsidP="00E90E4F">
      <w:pPr>
        <w:pStyle w:val="OrdersCentreItalics"/>
      </w:pPr>
      <w:r>
        <w:t>Date of Judgment: 13 August 2025</w:t>
      </w:r>
    </w:p>
    <w:p w14:paraId="7CDC9918" w14:textId="77777777" w:rsidR="00A50746" w:rsidRDefault="00A50746" w:rsidP="00E90E4F">
      <w:pPr>
        <w:pStyle w:val="OrdersCentre"/>
      </w:pPr>
      <w:r w:rsidRPr="00236793">
        <w:t>B75/2024</w:t>
      </w:r>
    </w:p>
    <w:p w14:paraId="35EA36C3" w14:textId="77777777" w:rsidR="00A50746" w:rsidRPr="00427F3A" w:rsidRDefault="00A50746" w:rsidP="00E90E4F">
      <w:pPr>
        <w:pStyle w:val="OrdersCentre"/>
      </w:pPr>
    </w:p>
    <w:p w14:paraId="7543B938" w14:textId="77777777" w:rsidR="00A50746" w:rsidRPr="00BE0A6C" w:rsidRDefault="00A50746" w:rsidP="00E90E4F">
      <w:pPr>
        <w:pStyle w:val="OrderCentreBold"/>
      </w:pPr>
      <w:r w:rsidRPr="00BE0A6C">
        <w:t>ORDER</w:t>
      </w:r>
    </w:p>
    <w:p w14:paraId="42258624" w14:textId="77777777" w:rsidR="00A50746" w:rsidRPr="00427F3A" w:rsidRDefault="00A50746" w:rsidP="00736C52">
      <w:pPr>
        <w:pStyle w:val="Centre"/>
        <w:rPr>
          <w:lang w:val="en-AU"/>
        </w:rPr>
      </w:pPr>
    </w:p>
    <w:p w14:paraId="3497E307" w14:textId="77777777" w:rsidR="00A50746" w:rsidRDefault="00A50746" w:rsidP="00BE2C25">
      <w:pPr>
        <w:pStyle w:val="OrdersText"/>
      </w:pPr>
      <w:r>
        <w:t>1.</w:t>
      </w:r>
      <w:r>
        <w:tab/>
        <w:t>Appeal allowed.</w:t>
      </w:r>
    </w:p>
    <w:p w14:paraId="41ED561D" w14:textId="77777777" w:rsidR="00A50746" w:rsidRDefault="00A50746" w:rsidP="00BE2C25">
      <w:pPr>
        <w:pStyle w:val="OrdersText"/>
      </w:pPr>
    </w:p>
    <w:p w14:paraId="490D76D1" w14:textId="77777777" w:rsidR="00A50746" w:rsidRDefault="00A50746" w:rsidP="00BE2C25">
      <w:pPr>
        <w:pStyle w:val="OrdersText"/>
      </w:pPr>
      <w:r>
        <w:t>2.</w:t>
      </w:r>
      <w:r>
        <w:tab/>
        <w:t xml:space="preserve">Set aside orders 1, 4, 5 and 6 of the orders made by the Full Court of the Federal Court of Australia on 23 August 2024 and, in their place, order that the appeal be dismissed. </w:t>
      </w:r>
    </w:p>
    <w:p w14:paraId="2494196D" w14:textId="77777777" w:rsidR="00A50746" w:rsidRDefault="00A50746" w:rsidP="00BE2C25">
      <w:pPr>
        <w:pStyle w:val="OrdersText"/>
      </w:pPr>
    </w:p>
    <w:p w14:paraId="60A03AD8" w14:textId="77777777" w:rsidR="00A50746" w:rsidRDefault="00A50746" w:rsidP="00BE2C25">
      <w:pPr>
        <w:pStyle w:val="OrdersText"/>
      </w:pPr>
      <w:r>
        <w:t>3.</w:t>
      </w:r>
      <w:r>
        <w:tab/>
        <w:t>Set aside the order made by the Full Court of the Federal Court of Australia on 8 October 2024 and, in its place, order that each party pay their own costs of the appeal, the cross-appeal and the notice of contention before the Full Court.</w:t>
      </w:r>
    </w:p>
    <w:p w14:paraId="7DFE5EE9" w14:textId="77777777" w:rsidR="00A50746" w:rsidRDefault="00A50746" w:rsidP="00BE2C25">
      <w:pPr>
        <w:pStyle w:val="OrdersText"/>
      </w:pPr>
    </w:p>
    <w:p w14:paraId="228C06CF" w14:textId="77777777" w:rsidR="00A50746" w:rsidRPr="00653331" w:rsidRDefault="00A50746" w:rsidP="00BE2C25">
      <w:pPr>
        <w:pStyle w:val="OrdersText"/>
      </w:pPr>
      <w:r>
        <w:t>4.</w:t>
      </w:r>
      <w:r>
        <w:tab/>
        <w:t xml:space="preserve">The respondent </w:t>
      </w:r>
      <w:proofErr w:type="gramStart"/>
      <w:r>
        <w:t>pay</w:t>
      </w:r>
      <w:proofErr w:type="gramEnd"/>
      <w:r>
        <w:t xml:space="preserve"> the appellant's costs of the appeal to this Court. </w:t>
      </w:r>
    </w:p>
    <w:p w14:paraId="70EDF7E8" w14:textId="77777777" w:rsidR="00A50746" w:rsidRDefault="00A50746" w:rsidP="00EE5374">
      <w:pPr>
        <w:pStyle w:val="Body"/>
      </w:pPr>
    </w:p>
    <w:p w14:paraId="744C6EC6" w14:textId="77777777" w:rsidR="00A50746" w:rsidRPr="00427F3A" w:rsidRDefault="00A50746" w:rsidP="00EE5374">
      <w:pPr>
        <w:pStyle w:val="Body"/>
      </w:pPr>
    </w:p>
    <w:p w14:paraId="3342868F" w14:textId="77777777" w:rsidR="00A50746" w:rsidRPr="00427F3A" w:rsidRDefault="00A50746" w:rsidP="0032341F">
      <w:pPr>
        <w:pStyle w:val="OrdersBody"/>
      </w:pPr>
      <w:r w:rsidRPr="00427F3A">
        <w:t xml:space="preserve">On appeal from the </w:t>
      </w:r>
      <w:r w:rsidRPr="00236793">
        <w:t>Federal Court of Australia</w:t>
      </w:r>
    </w:p>
    <w:p w14:paraId="1A30F3B1" w14:textId="77777777" w:rsidR="00A50746" w:rsidRDefault="00A50746" w:rsidP="00EE5374">
      <w:pPr>
        <w:pStyle w:val="Body"/>
      </w:pPr>
    </w:p>
    <w:p w14:paraId="63019BAD" w14:textId="77777777" w:rsidR="00A50746" w:rsidRPr="00427F3A" w:rsidRDefault="00A50746" w:rsidP="00E90E4F">
      <w:pPr>
        <w:pStyle w:val="OrdersBodyHeading"/>
      </w:pPr>
      <w:r w:rsidRPr="00427F3A">
        <w:t>Representation</w:t>
      </w:r>
    </w:p>
    <w:p w14:paraId="4FBE1589" w14:textId="77777777" w:rsidR="00A50746" w:rsidRDefault="00A50746" w:rsidP="00EE5374">
      <w:pPr>
        <w:pStyle w:val="Body"/>
      </w:pPr>
    </w:p>
    <w:p w14:paraId="4A4D12DE" w14:textId="77777777" w:rsidR="00A50746" w:rsidRPr="00A66A0A" w:rsidRDefault="00A50746" w:rsidP="00E90E4F">
      <w:pPr>
        <w:pStyle w:val="OrdersBody"/>
      </w:pPr>
      <w:r w:rsidRPr="00A66A0A">
        <w:t>N H Ferrett KC with J R Moxon for the appellant (instructed by Bell Dore Solicitors)</w:t>
      </w:r>
    </w:p>
    <w:p w14:paraId="09D9B049" w14:textId="595A3263" w:rsidR="00A50746" w:rsidRDefault="00A5074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744BD5D4" w14:textId="1C572C5D" w:rsidR="00A50746" w:rsidRDefault="00A5074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574DB97C" w14:textId="77777777" w:rsidR="00A50746" w:rsidRPr="00A66A0A" w:rsidRDefault="00A50746" w:rsidP="001B3C97">
      <w:pPr>
        <w:pStyle w:val="Body"/>
      </w:pPr>
    </w:p>
    <w:p w14:paraId="7F4C87A1" w14:textId="77777777" w:rsidR="00A50746" w:rsidRPr="00A66A0A" w:rsidRDefault="00A50746" w:rsidP="00E90E4F">
      <w:pPr>
        <w:pStyle w:val="OrdersBody"/>
      </w:pPr>
      <w:r w:rsidRPr="00A66A0A">
        <w:t xml:space="preserve">T M Begbie KC with S </w:t>
      </w:r>
      <w:proofErr w:type="spellStart"/>
      <w:r w:rsidRPr="00A66A0A">
        <w:t>Zeleznikow</w:t>
      </w:r>
      <w:proofErr w:type="spellEnd"/>
      <w:r w:rsidRPr="00A66A0A">
        <w:t xml:space="preserve"> for the respondent (instructed by Australian Government Solicitor)</w:t>
      </w:r>
    </w:p>
    <w:p w14:paraId="35FC24A6" w14:textId="77777777" w:rsidR="00A50746" w:rsidRDefault="00A50746" w:rsidP="00A01277">
      <w:pPr>
        <w:pStyle w:val="Body"/>
      </w:pPr>
    </w:p>
    <w:p w14:paraId="2516C335" w14:textId="77777777" w:rsidR="00A50746" w:rsidRDefault="00A50746" w:rsidP="00EE5374">
      <w:pPr>
        <w:pStyle w:val="Body"/>
      </w:pPr>
    </w:p>
    <w:p w14:paraId="754B85FE" w14:textId="77777777" w:rsidR="00A50746" w:rsidRDefault="00A50746" w:rsidP="00EE5374">
      <w:pPr>
        <w:pStyle w:val="Body"/>
      </w:pPr>
    </w:p>
    <w:p w14:paraId="6D6054E3" w14:textId="77777777" w:rsidR="00A50746" w:rsidRDefault="00A50746" w:rsidP="00EE5374">
      <w:pPr>
        <w:pStyle w:val="Body"/>
      </w:pPr>
    </w:p>
    <w:p w14:paraId="23A56CCC" w14:textId="77777777" w:rsidR="00A50746" w:rsidRDefault="00A50746" w:rsidP="00EE5374">
      <w:pPr>
        <w:pStyle w:val="Body"/>
      </w:pPr>
    </w:p>
    <w:p w14:paraId="1C4B89FB" w14:textId="77777777" w:rsidR="00A50746" w:rsidRDefault="00A50746" w:rsidP="00EE5374">
      <w:pPr>
        <w:pStyle w:val="Body"/>
      </w:pPr>
    </w:p>
    <w:p w14:paraId="18F91AAF" w14:textId="77777777" w:rsidR="00A50746" w:rsidRDefault="00A50746" w:rsidP="00EE5374">
      <w:pPr>
        <w:pStyle w:val="Body"/>
      </w:pPr>
    </w:p>
    <w:p w14:paraId="27815D67" w14:textId="77777777" w:rsidR="00A50746" w:rsidRDefault="00A50746" w:rsidP="00EE5374">
      <w:pPr>
        <w:pStyle w:val="Body"/>
      </w:pPr>
    </w:p>
    <w:p w14:paraId="28E90A3E" w14:textId="77777777" w:rsidR="00A50746" w:rsidRDefault="00A50746" w:rsidP="00EE5374">
      <w:pPr>
        <w:pStyle w:val="Body"/>
      </w:pPr>
    </w:p>
    <w:p w14:paraId="0F3AAD7D" w14:textId="77777777" w:rsidR="00A50746" w:rsidRDefault="00A50746" w:rsidP="00EE5374">
      <w:pPr>
        <w:pStyle w:val="Body"/>
      </w:pPr>
    </w:p>
    <w:p w14:paraId="591E5A64" w14:textId="77777777" w:rsidR="00A50746" w:rsidRDefault="00A50746" w:rsidP="00EE5374">
      <w:pPr>
        <w:pStyle w:val="Body"/>
      </w:pPr>
    </w:p>
    <w:p w14:paraId="7C7EA131" w14:textId="77777777" w:rsidR="00A50746" w:rsidRDefault="00A50746" w:rsidP="00EE5374">
      <w:pPr>
        <w:pStyle w:val="Body"/>
      </w:pPr>
    </w:p>
    <w:p w14:paraId="20FAC01A" w14:textId="77777777" w:rsidR="00A50746" w:rsidRDefault="00A50746" w:rsidP="00EE5374">
      <w:pPr>
        <w:pStyle w:val="Body"/>
      </w:pPr>
    </w:p>
    <w:p w14:paraId="4EA85D1E" w14:textId="77777777" w:rsidR="00A50746" w:rsidRDefault="00A50746" w:rsidP="00EE5374">
      <w:pPr>
        <w:pStyle w:val="Body"/>
      </w:pPr>
    </w:p>
    <w:p w14:paraId="2C09202A" w14:textId="77777777" w:rsidR="00A50746" w:rsidRDefault="00A50746" w:rsidP="00EE5374">
      <w:pPr>
        <w:pStyle w:val="Body"/>
      </w:pPr>
    </w:p>
    <w:p w14:paraId="7523C40B" w14:textId="77777777" w:rsidR="00A50746" w:rsidRDefault="00A50746" w:rsidP="00EE5374">
      <w:pPr>
        <w:pStyle w:val="Body"/>
      </w:pPr>
    </w:p>
    <w:p w14:paraId="7824E390" w14:textId="77777777" w:rsidR="00A50746" w:rsidRDefault="00A50746" w:rsidP="00EE5374">
      <w:pPr>
        <w:pStyle w:val="Body"/>
      </w:pPr>
    </w:p>
    <w:p w14:paraId="3A3AF809" w14:textId="77777777" w:rsidR="00A50746" w:rsidRDefault="00A50746" w:rsidP="00EE5374">
      <w:pPr>
        <w:pStyle w:val="Body"/>
      </w:pPr>
    </w:p>
    <w:p w14:paraId="034A3A54" w14:textId="77777777" w:rsidR="00A50746" w:rsidRDefault="00A50746" w:rsidP="00EE5374">
      <w:pPr>
        <w:pStyle w:val="Body"/>
      </w:pPr>
    </w:p>
    <w:p w14:paraId="51AC5FD0" w14:textId="77777777" w:rsidR="00A50746" w:rsidRDefault="00A50746" w:rsidP="00EE5374">
      <w:pPr>
        <w:pStyle w:val="Body"/>
      </w:pPr>
    </w:p>
    <w:p w14:paraId="5CE48A5A" w14:textId="77777777" w:rsidR="00A50746" w:rsidRDefault="00A50746" w:rsidP="00EE5374">
      <w:pPr>
        <w:pStyle w:val="Body"/>
      </w:pPr>
    </w:p>
    <w:p w14:paraId="469C7CBB" w14:textId="77777777" w:rsidR="00A50746" w:rsidRDefault="00A50746" w:rsidP="00EE5374">
      <w:pPr>
        <w:pStyle w:val="Body"/>
      </w:pPr>
    </w:p>
    <w:p w14:paraId="7C69EA32" w14:textId="77777777" w:rsidR="00A50746" w:rsidRDefault="00A50746" w:rsidP="00EE5374">
      <w:pPr>
        <w:pStyle w:val="Body"/>
      </w:pPr>
    </w:p>
    <w:p w14:paraId="064A7F52" w14:textId="77777777" w:rsidR="00A50746" w:rsidRDefault="00A50746" w:rsidP="00EE5374">
      <w:pPr>
        <w:pStyle w:val="Body"/>
      </w:pPr>
    </w:p>
    <w:p w14:paraId="730329B4" w14:textId="77777777" w:rsidR="00A50746" w:rsidRDefault="00A50746" w:rsidP="00EE5374">
      <w:pPr>
        <w:pStyle w:val="Body"/>
      </w:pPr>
    </w:p>
    <w:p w14:paraId="5B63D214" w14:textId="77777777" w:rsidR="00A50746" w:rsidRDefault="00A50746" w:rsidP="00EE5374">
      <w:pPr>
        <w:pStyle w:val="Body"/>
      </w:pPr>
    </w:p>
    <w:p w14:paraId="1F7F347E" w14:textId="77777777" w:rsidR="00A50746" w:rsidRDefault="00A50746" w:rsidP="00EE5374">
      <w:pPr>
        <w:pStyle w:val="Body"/>
      </w:pPr>
    </w:p>
    <w:p w14:paraId="6E0D7679" w14:textId="77777777" w:rsidR="00A50746" w:rsidRDefault="00A50746" w:rsidP="00EE5374">
      <w:pPr>
        <w:pStyle w:val="Body"/>
      </w:pPr>
    </w:p>
    <w:p w14:paraId="158702B6" w14:textId="77777777" w:rsidR="00A50746" w:rsidRDefault="00A50746" w:rsidP="00EE5374">
      <w:pPr>
        <w:pStyle w:val="Body"/>
      </w:pPr>
    </w:p>
    <w:p w14:paraId="777FB23E" w14:textId="77777777" w:rsidR="00A50746" w:rsidRDefault="00A50746" w:rsidP="00EE5374">
      <w:pPr>
        <w:pStyle w:val="Body"/>
      </w:pPr>
    </w:p>
    <w:p w14:paraId="78E5E237" w14:textId="77777777" w:rsidR="00A50746" w:rsidRDefault="00A50746" w:rsidP="00EE5374">
      <w:pPr>
        <w:pStyle w:val="Body"/>
      </w:pPr>
    </w:p>
    <w:p w14:paraId="26245530" w14:textId="77777777" w:rsidR="00A50746" w:rsidRPr="00427F3A" w:rsidRDefault="00A50746" w:rsidP="00EE5374">
      <w:pPr>
        <w:pStyle w:val="Body"/>
      </w:pPr>
    </w:p>
    <w:p w14:paraId="5AE4D9FE" w14:textId="77777777" w:rsidR="00A50746" w:rsidRPr="00427F3A" w:rsidRDefault="00A50746" w:rsidP="00F9713B">
      <w:pPr>
        <w:pStyle w:val="Notice"/>
        <w:rPr>
          <w:lang w:val="en-AU"/>
        </w:rPr>
      </w:pPr>
      <w:r w:rsidRPr="00427F3A">
        <w:rPr>
          <w:lang w:val="en-AU"/>
        </w:rPr>
        <w:t>Notice:  This copy of the Court's Reasons for Judgment is subject to formal revision prior to publication in the Commonwealth Law Reports.</w:t>
      </w:r>
    </w:p>
    <w:p w14:paraId="1907F9EB" w14:textId="6F871349" w:rsidR="00A50746" w:rsidRDefault="00A5074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07F02A89" w14:textId="77777777" w:rsidR="00A50746" w:rsidRDefault="00A5074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50746" w:rsidSect="00A5074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1E47215" w14:textId="77777777" w:rsidR="00A50746" w:rsidRDefault="00A50746" w:rsidP="001649CA">
      <w:pPr>
        <w:pStyle w:val="CatchwordsBold"/>
      </w:pPr>
      <w:r>
        <w:lastRenderedPageBreak/>
        <w:t>CATCHWORDS</w:t>
      </w:r>
    </w:p>
    <w:p w14:paraId="63F987E3" w14:textId="77777777" w:rsidR="00A50746" w:rsidRDefault="00A50746" w:rsidP="00110A88">
      <w:pPr>
        <w:pStyle w:val="CatchwordsBold"/>
      </w:pPr>
    </w:p>
    <w:p w14:paraId="76DEFDD5" w14:textId="77777777" w:rsidR="00A50746" w:rsidRDefault="00A50746" w:rsidP="00110A88">
      <w:pPr>
        <w:pStyle w:val="CatchwordsBold"/>
      </w:pPr>
      <w:r>
        <w:t xml:space="preserve">Laming v Electoral Commissioner of the Australian Electoral Commission </w:t>
      </w:r>
    </w:p>
    <w:p w14:paraId="63BCC392" w14:textId="77777777" w:rsidR="00A50746" w:rsidRDefault="00A50746" w:rsidP="00D825B8">
      <w:pPr>
        <w:pStyle w:val="CatchwordsText"/>
        <w:rPr>
          <w:i/>
          <w:iCs/>
        </w:rPr>
      </w:pPr>
    </w:p>
    <w:p w14:paraId="5BA7A728" w14:textId="77777777" w:rsidR="00A50746" w:rsidRDefault="00A50746" w:rsidP="00D825B8">
      <w:pPr>
        <w:pStyle w:val="CatchwordsText"/>
      </w:pPr>
      <w:r>
        <w:t>Parliamentary elections (</w:t>
      </w:r>
      <w:proofErr w:type="spellStart"/>
      <w:r>
        <w:t>Cth</w:t>
      </w:r>
      <w:proofErr w:type="spellEnd"/>
      <w:r>
        <w:t xml:space="preserve">) – Communication of electoral matter – Where s 321D(5) of </w:t>
      </w:r>
      <w:r>
        <w:rPr>
          <w:i/>
          <w:iCs/>
        </w:rPr>
        <w:t xml:space="preserve">Commonwealth Electoral Act </w:t>
      </w:r>
      <w:r w:rsidRPr="00C55CD0">
        <w:rPr>
          <w:i/>
          <w:iCs/>
        </w:rPr>
        <w:t>1918</w:t>
      </w:r>
      <w:r>
        <w:t xml:space="preserve"> (</w:t>
      </w:r>
      <w:proofErr w:type="spellStart"/>
      <w:r>
        <w:t>Cth</w:t>
      </w:r>
      <w:proofErr w:type="spellEnd"/>
      <w:r>
        <w:t>) requires "notifying entity" to ensure certain "particulars" notified – Where s 321D applies in relation to electoral matter that is "communicated to a person" – Where "electoral matter" posted on Facebook page on three occasions – Where failure on each occasion to ensure required "particulars" included in post – Where each post seen by several people who viewed Facebook page – Whether s 321D(5) contravened on each occasion person viewed post or on each occasion post made available for viewing.</w:t>
      </w:r>
    </w:p>
    <w:p w14:paraId="49C491AE" w14:textId="77777777" w:rsidR="00A50746" w:rsidRDefault="00A50746" w:rsidP="002A7655">
      <w:pPr>
        <w:pStyle w:val="CatchwordsText"/>
      </w:pPr>
    </w:p>
    <w:p w14:paraId="1515AC7C" w14:textId="77777777" w:rsidR="00A50746" w:rsidRDefault="00A50746" w:rsidP="00981E75">
      <w:pPr>
        <w:pStyle w:val="CatchwordsText"/>
      </w:pPr>
      <w:r>
        <w:t xml:space="preserve">Words and phrases – "authorisation", "civil penalty provision", "communicated", "communication", "conduct", "contravention", "deterrence", "digital", "disclosure entity", "dominant purpose", "electoral advertisement", "electoral matter", "federal election", "free and informed voting", "impressions", "notifying entity", "particulars", "political communication", "political entity", "proportionality", "reach", "statutory construction", "text, context and purpose". </w:t>
      </w:r>
    </w:p>
    <w:p w14:paraId="7B86D694" w14:textId="77777777" w:rsidR="00A50746" w:rsidRDefault="00A50746" w:rsidP="002A7655">
      <w:pPr>
        <w:pStyle w:val="CatchwordsText"/>
      </w:pPr>
    </w:p>
    <w:p w14:paraId="7EE2DB2E" w14:textId="77777777" w:rsidR="00A50746" w:rsidRDefault="00A50746" w:rsidP="002A7655">
      <w:pPr>
        <w:pStyle w:val="CatchwordsText"/>
      </w:pPr>
      <w:r>
        <w:rPr>
          <w:i/>
          <w:iCs/>
        </w:rPr>
        <w:t>Acts Interpretation Act 1901</w:t>
      </w:r>
      <w:r>
        <w:t xml:space="preserve"> (</w:t>
      </w:r>
      <w:proofErr w:type="spellStart"/>
      <w:r>
        <w:t>Cth</w:t>
      </w:r>
      <w:proofErr w:type="spellEnd"/>
      <w:r>
        <w:t>), ss 15AA, 23(b), 33(3A).</w:t>
      </w:r>
    </w:p>
    <w:p w14:paraId="5FFF77CF" w14:textId="77777777" w:rsidR="00A50746" w:rsidRPr="002309CE" w:rsidRDefault="00A50746" w:rsidP="003719B5">
      <w:pPr>
        <w:pStyle w:val="CatchwordsText"/>
      </w:pPr>
      <w:r>
        <w:rPr>
          <w:i/>
          <w:iCs/>
        </w:rPr>
        <w:t xml:space="preserve">Commonwealth Electoral Act 1918 </w:t>
      </w:r>
      <w:r>
        <w:t>(</w:t>
      </w:r>
      <w:proofErr w:type="spellStart"/>
      <w:r>
        <w:t>Cth</w:t>
      </w:r>
      <w:proofErr w:type="spellEnd"/>
      <w:r>
        <w:t>), Pt XXA, ss 4AA, 321B, 321C, 321D, 321E.</w:t>
      </w:r>
    </w:p>
    <w:p w14:paraId="2BFBBBDA" w14:textId="7362560F" w:rsidR="00A50746" w:rsidRDefault="00A50746" w:rsidP="00A5074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1E8C82AD" w14:textId="08A9CBAB" w:rsidR="00A50746" w:rsidRDefault="00A5074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74F7052F" w14:textId="438EC067" w:rsidR="00A50746" w:rsidRDefault="00A5074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567811A6" w14:textId="77777777" w:rsidR="00A50746" w:rsidRDefault="00A50746" w:rsidP="001526A9">
      <w:pPr>
        <w:pStyle w:val="NormalBody"/>
        <w:tabs>
          <w:tab w:val="clear" w:pos="720"/>
          <w:tab w:val="left" w:pos="0"/>
        </w:tabs>
        <w:spacing w:after="260" w:line="280" w:lineRule="exact"/>
        <w:ind w:right="0"/>
        <w:jc w:val="both"/>
        <w:rPr>
          <w:rFonts w:ascii="Times New Roman" w:hAnsi="Times New Roman"/>
        </w:rPr>
        <w:sectPr w:rsidR="00A50746" w:rsidSect="00A50746">
          <w:pgSz w:w="11907" w:h="16839" w:code="9"/>
          <w:pgMar w:top="1440" w:right="1701" w:bottom="1984" w:left="1701" w:header="720" w:footer="720" w:gutter="0"/>
          <w:pgNumType w:start="1"/>
          <w:cols w:space="720"/>
          <w:titlePg/>
          <w:docGrid w:linePitch="354"/>
        </w:sectPr>
      </w:pPr>
    </w:p>
    <w:p w14:paraId="15525ED2" w14:textId="33A5A363" w:rsidR="001526A9" w:rsidRPr="001526A9" w:rsidRDefault="001526A9" w:rsidP="001526A9">
      <w:pPr>
        <w:pStyle w:val="NormalBody"/>
        <w:tabs>
          <w:tab w:val="clear" w:pos="720"/>
          <w:tab w:val="left" w:pos="0"/>
        </w:tabs>
        <w:spacing w:after="260" w:line="280" w:lineRule="exact"/>
        <w:ind w:right="0"/>
        <w:jc w:val="both"/>
        <w:rPr>
          <w:rFonts w:ascii="Times New Roman" w:hAnsi="Times New Roman"/>
        </w:rPr>
      </w:pPr>
      <w:r w:rsidRPr="001526A9">
        <w:rPr>
          <w:rFonts w:ascii="Times New Roman" w:hAnsi="Times New Roman"/>
        </w:rPr>
        <w:lastRenderedPageBreak/>
        <w:t xml:space="preserve">GAGELER CJ, GLEESON AND JAGOT JJ.   </w:t>
      </w:r>
    </w:p>
    <w:p w14:paraId="4676298B" w14:textId="256B02AD" w:rsidR="00293B6A" w:rsidRPr="001526A9" w:rsidRDefault="00293B6A" w:rsidP="001526A9">
      <w:pPr>
        <w:pStyle w:val="HeadingL1"/>
        <w:spacing w:after="260" w:line="280" w:lineRule="exact"/>
        <w:ind w:right="0"/>
        <w:jc w:val="both"/>
        <w:rPr>
          <w:rFonts w:ascii="Times New Roman" w:hAnsi="Times New Roman"/>
        </w:rPr>
      </w:pPr>
      <w:r w:rsidRPr="001526A9">
        <w:rPr>
          <w:rFonts w:ascii="Times New Roman" w:hAnsi="Times New Roman"/>
        </w:rPr>
        <w:t>The issue</w:t>
      </w:r>
    </w:p>
    <w:p w14:paraId="33C7A653" w14:textId="7ED5D3D6" w:rsidR="00A73989" w:rsidRPr="001526A9" w:rsidRDefault="00293B6A"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186669" w:rsidRPr="001526A9">
        <w:rPr>
          <w:rFonts w:ascii="Times New Roman" w:hAnsi="Times New Roman"/>
        </w:rPr>
        <w:t xml:space="preserve">The </w:t>
      </w:r>
      <w:r w:rsidR="00B345EE" w:rsidRPr="001526A9">
        <w:rPr>
          <w:rFonts w:ascii="Times New Roman" w:hAnsi="Times New Roman"/>
        </w:rPr>
        <w:t xml:space="preserve">narrow issue of statutory construction in the present appeal is whether </w:t>
      </w:r>
      <w:r w:rsidR="005272CA" w:rsidRPr="001526A9">
        <w:rPr>
          <w:rFonts w:ascii="Times New Roman" w:hAnsi="Times New Roman"/>
        </w:rPr>
        <w:t xml:space="preserve">s 321D(5) of the </w:t>
      </w:r>
      <w:r w:rsidR="005272CA" w:rsidRPr="001526A9">
        <w:rPr>
          <w:rFonts w:ascii="Times New Roman" w:hAnsi="Times New Roman"/>
          <w:i/>
          <w:iCs/>
        </w:rPr>
        <w:t>Commonwealth Electoral Act 1918</w:t>
      </w:r>
      <w:r w:rsidR="005272CA" w:rsidRPr="001526A9">
        <w:rPr>
          <w:rFonts w:ascii="Times New Roman" w:hAnsi="Times New Roman"/>
        </w:rPr>
        <w:t xml:space="preserve"> (</w:t>
      </w:r>
      <w:proofErr w:type="spellStart"/>
      <w:r w:rsidR="005272CA" w:rsidRPr="001526A9">
        <w:rPr>
          <w:rFonts w:ascii="Times New Roman" w:hAnsi="Times New Roman"/>
        </w:rPr>
        <w:t>Cth</w:t>
      </w:r>
      <w:proofErr w:type="spellEnd"/>
      <w:r w:rsidR="005272CA" w:rsidRPr="001526A9">
        <w:rPr>
          <w:rFonts w:ascii="Times New Roman" w:hAnsi="Times New Roman"/>
        </w:rPr>
        <w:t xml:space="preserve">), </w:t>
      </w:r>
      <w:r w:rsidR="00740B3B" w:rsidRPr="001526A9">
        <w:rPr>
          <w:rFonts w:ascii="Times New Roman" w:hAnsi="Times New Roman"/>
        </w:rPr>
        <w:t>a civil penalty provision,</w:t>
      </w:r>
      <w:r w:rsidR="00D126E8" w:rsidRPr="001526A9">
        <w:rPr>
          <w:rStyle w:val="FootnoteReference"/>
          <w:rFonts w:ascii="Times New Roman" w:hAnsi="Times New Roman"/>
          <w:sz w:val="24"/>
        </w:rPr>
        <w:footnoteReference w:id="2"/>
      </w:r>
      <w:r w:rsidR="00740B3B" w:rsidRPr="001526A9">
        <w:rPr>
          <w:rFonts w:ascii="Times New Roman" w:hAnsi="Times New Roman"/>
        </w:rPr>
        <w:t xml:space="preserve"> </w:t>
      </w:r>
      <w:r w:rsidR="005272CA" w:rsidRPr="001526A9">
        <w:rPr>
          <w:rFonts w:ascii="Times New Roman" w:hAnsi="Times New Roman"/>
        </w:rPr>
        <w:t xml:space="preserve">which </w:t>
      </w:r>
      <w:r w:rsidR="00B6012A" w:rsidRPr="001526A9">
        <w:rPr>
          <w:rFonts w:ascii="Times New Roman" w:hAnsi="Times New Roman"/>
        </w:rPr>
        <w:t>requires a "notifying entity" to ensure tha</w:t>
      </w:r>
      <w:r w:rsidR="006D3872" w:rsidRPr="001526A9">
        <w:rPr>
          <w:rFonts w:ascii="Times New Roman" w:hAnsi="Times New Roman"/>
        </w:rPr>
        <w:t xml:space="preserve">t certain </w:t>
      </w:r>
      <w:r w:rsidR="005E7E76" w:rsidRPr="001526A9">
        <w:rPr>
          <w:rFonts w:ascii="Times New Roman" w:hAnsi="Times New Roman"/>
        </w:rPr>
        <w:t>"</w:t>
      </w:r>
      <w:r w:rsidR="006D3872" w:rsidRPr="001526A9">
        <w:rPr>
          <w:rFonts w:ascii="Times New Roman" w:hAnsi="Times New Roman"/>
        </w:rPr>
        <w:t>particulars</w:t>
      </w:r>
      <w:r w:rsidR="005E7E76" w:rsidRPr="001526A9">
        <w:rPr>
          <w:rFonts w:ascii="Times New Roman" w:hAnsi="Times New Roman"/>
        </w:rPr>
        <w:t>"</w:t>
      </w:r>
      <w:r w:rsidR="006D3872" w:rsidRPr="001526A9">
        <w:rPr>
          <w:rFonts w:ascii="Times New Roman" w:hAnsi="Times New Roman"/>
        </w:rPr>
        <w:t xml:space="preserve"> are notified </w:t>
      </w:r>
      <w:r w:rsidR="005E7E76" w:rsidRPr="001526A9">
        <w:rPr>
          <w:rFonts w:ascii="Times New Roman" w:hAnsi="Times New Roman"/>
        </w:rPr>
        <w:t>in "electoral matter"</w:t>
      </w:r>
      <w:r w:rsidR="004043AB" w:rsidRPr="001526A9">
        <w:rPr>
          <w:rFonts w:ascii="Times New Roman" w:hAnsi="Times New Roman"/>
        </w:rPr>
        <w:t xml:space="preserve">, is contravened </w:t>
      </w:r>
      <w:r w:rsidR="001B66CD" w:rsidRPr="001526A9">
        <w:rPr>
          <w:rFonts w:ascii="Times New Roman" w:hAnsi="Times New Roman"/>
        </w:rPr>
        <w:t xml:space="preserve">by a single </w:t>
      </w:r>
      <w:r w:rsidR="00987323" w:rsidRPr="001526A9">
        <w:rPr>
          <w:rFonts w:ascii="Times New Roman" w:hAnsi="Times New Roman"/>
        </w:rPr>
        <w:t xml:space="preserve">failure to ensure </w:t>
      </w:r>
      <w:r w:rsidR="00FD495F" w:rsidRPr="001526A9">
        <w:rPr>
          <w:rFonts w:ascii="Times New Roman" w:hAnsi="Times New Roman"/>
        </w:rPr>
        <w:t xml:space="preserve">that the particulars are notified </w:t>
      </w:r>
      <w:r w:rsidR="001C6A71" w:rsidRPr="001526A9">
        <w:rPr>
          <w:rFonts w:ascii="Times New Roman" w:hAnsi="Times New Roman"/>
        </w:rPr>
        <w:t xml:space="preserve">provided the "electoral matter" is communicated to one person and </w:t>
      </w:r>
      <w:r w:rsidR="00987323" w:rsidRPr="001526A9">
        <w:rPr>
          <w:rFonts w:ascii="Times New Roman" w:hAnsi="Times New Roman"/>
        </w:rPr>
        <w:t xml:space="preserve">irrespective of the number of </w:t>
      </w:r>
      <w:r w:rsidR="00247E03" w:rsidRPr="001526A9">
        <w:rPr>
          <w:rFonts w:ascii="Times New Roman" w:hAnsi="Times New Roman"/>
        </w:rPr>
        <w:t xml:space="preserve">people to whom the "electoral matter" </w:t>
      </w:r>
      <w:r w:rsidR="00914D5F" w:rsidRPr="001526A9">
        <w:rPr>
          <w:rFonts w:ascii="Times New Roman" w:hAnsi="Times New Roman"/>
        </w:rPr>
        <w:t>i</w:t>
      </w:r>
      <w:r w:rsidR="00E34F84" w:rsidRPr="001526A9">
        <w:rPr>
          <w:rFonts w:ascii="Times New Roman" w:hAnsi="Times New Roman"/>
        </w:rPr>
        <w:t xml:space="preserve">s communicated or is contravened on each and every occasion </w:t>
      </w:r>
      <w:r w:rsidR="00BB3165" w:rsidRPr="001526A9">
        <w:rPr>
          <w:rFonts w:ascii="Times New Roman" w:hAnsi="Times New Roman"/>
        </w:rPr>
        <w:t>the "electoral matter" is</w:t>
      </w:r>
      <w:r w:rsidR="00F236EE" w:rsidRPr="001526A9">
        <w:rPr>
          <w:rFonts w:ascii="Times New Roman" w:hAnsi="Times New Roman"/>
        </w:rPr>
        <w:t xml:space="preserve"> communicat</w:t>
      </w:r>
      <w:r w:rsidR="00BB3165" w:rsidRPr="001526A9">
        <w:rPr>
          <w:rFonts w:ascii="Times New Roman" w:hAnsi="Times New Roman"/>
        </w:rPr>
        <w:t>ed to a person</w:t>
      </w:r>
      <w:r w:rsidR="00F236EE" w:rsidRPr="001526A9">
        <w:rPr>
          <w:rFonts w:ascii="Times New Roman" w:hAnsi="Times New Roman"/>
        </w:rPr>
        <w:t>.</w:t>
      </w:r>
    </w:p>
    <w:p w14:paraId="256F4EF7" w14:textId="0BC1AB7B" w:rsidR="00E7132F" w:rsidRPr="001526A9" w:rsidRDefault="00E7132F" w:rsidP="001526A9">
      <w:pPr>
        <w:pStyle w:val="FixListStyle"/>
        <w:spacing w:after="260" w:line="280" w:lineRule="exact"/>
        <w:ind w:right="0"/>
        <w:jc w:val="both"/>
        <w:rPr>
          <w:rFonts w:ascii="Times New Roman" w:hAnsi="Times New Roman"/>
        </w:rPr>
      </w:pPr>
      <w:r w:rsidRPr="001526A9">
        <w:rPr>
          <w:rFonts w:ascii="Times New Roman" w:hAnsi="Times New Roman"/>
        </w:rPr>
        <w:tab/>
        <w:t xml:space="preserve">The question arises in a context where the </w:t>
      </w:r>
      <w:r w:rsidR="00DC6DF1" w:rsidRPr="001526A9">
        <w:rPr>
          <w:rFonts w:ascii="Times New Roman" w:hAnsi="Times New Roman"/>
        </w:rPr>
        <w:t>appellant</w:t>
      </w:r>
      <w:r w:rsidRPr="001526A9">
        <w:rPr>
          <w:rFonts w:ascii="Times New Roman" w:hAnsi="Times New Roman"/>
        </w:rPr>
        <w:t xml:space="preserve">, Mr Laming, </w:t>
      </w:r>
      <w:r w:rsidR="000014BD" w:rsidRPr="001526A9">
        <w:rPr>
          <w:rFonts w:ascii="Times New Roman" w:hAnsi="Times New Roman"/>
        </w:rPr>
        <w:t xml:space="preserve">posted </w:t>
      </w:r>
      <w:r w:rsidR="004248F8" w:rsidRPr="001526A9">
        <w:rPr>
          <w:rFonts w:ascii="Times New Roman" w:hAnsi="Times New Roman"/>
        </w:rPr>
        <w:t>"electoral matter" on</w:t>
      </w:r>
      <w:r w:rsidR="00F473C1" w:rsidRPr="001526A9">
        <w:rPr>
          <w:rFonts w:ascii="Times New Roman" w:hAnsi="Times New Roman"/>
        </w:rPr>
        <w:t xml:space="preserve"> </w:t>
      </w:r>
      <w:r w:rsidR="00F171AF" w:rsidRPr="001526A9">
        <w:rPr>
          <w:rFonts w:ascii="Times New Roman" w:hAnsi="Times New Roman"/>
        </w:rPr>
        <w:t>the "Redland Hospital: Let's fight for fair funding"</w:t>
      </w:r>
      <w:r w:rsidR="00622086" w:rsidRPr="001526A9">
        <w:rPr>
          <w:rFonts w:ascii="Times New Roman" w:hAnsi="Times New Roman"/>
        </w:rPr>
        <w:t xml:space="preserve"> </w:t>
      </w:r>
      <w:r w:rsidR="00EF10BC" w:rsidRPr="001526A9">
        <w:rPr>
          <w:rFonts w:ascii="Times New Roman" w:hAnsi="Times New Roman"/>
        </w:rPr>
        <w:t xml:space="preserve">Facebook </w:t>
      </w:r>
      <w:r w:rsidR="00622086" w:rsidRPr="001526A9">
        <w:rPr>
          <w:rFonts w:ascii="Times New Roman" w:hAnsi="Times New Roman"/>
        </w:rPr>
        <w:t xml:space="preserve">page on </w:t>
      </w:r>
      <w:r w:rsidR="004248F8" w:rsidRPr="001526A9">
        <w:rPr>
          <w:rFonts w:ascii="Times New Roman" w:hAnsi="Times New Roman"/>
        </w:rPr>
        <w:t>three occasions</w:t>
      </w:r>
      <w:r w:rsidR="00D00C9C" w:rsidRPr="001526A9">
        <w:rPr>
          <w:rFonts w:ascii="Times New Roman" w:hAnsi="Times New Roman"/>
        </w:rPr>
        <w:t>:</w:t>
      </w:r>
      <w:r w:rsidR="004248F8" w:rsidRPr="001526A9">
        <w:rPr>
          <w:rFonts w:ascii="Times New Roman" w:hAnsi="Times New Roman"/>
        </w:rPr>
        <w:t xml:space="preserve"> </w:t>
      </w:r>
      <w:r w:rsidR="001B4F9A" w:rsidRPr="001526A9">
        <w:rPr>
          <w:rFonts w:ascii="Times New Roman" w:hAnsi="Times New Roman"/>
        </w:rPr>
        <w:t>24 December 2018, 7 February 2019, and 5 May 2019</w:t>
      </w:r>
      <w:r w:rsidR="003A3B13" w:rsidRPr="001526A9">
        <w:rPr>
          <w:rFonts w:ascii="Times New Roman" w:hAnsi="Times New Roman"/>
        </w:rPr>
        <w:t xml:space="preserve">. On each occasion he </w:t>
      </w:r>
      <w:r w:rsidR="00CC783D" w:rsidRPr="001526A9">
        <w:rPr>
          <w:rFonts w:ascii="Times New Roman" w:hAnsi="Times New Roman"/>
        </w:rPr>
        <w:t xml:space="preserve">failed to ensure </w:t>
      </w:r>
      <w:r w:rsidR="008D3EEF" w:rsidRPr="001526A9">
        <w:rPr>
          <w:rFonts w:ascii="Times New Roman" w:hAnsi="Times New Roman"/>
        </w:rPr>
        <w:t xml:space="preserve">that the </w:t>
      </w:r>
      <w:r w:rsidR="001B4F9A" w:rsidRPr="001526A9">
        <w:rPr>
          <w:rFonts w:ascii="Times New Roman" w:hAnsi="Times New Roman"/>
        </w:rPr>
        <w:t xml:space="preserve">required </w:t>
      </w:r>
      <w:r w:rsidR="00B10E13" w:rsidRPr="001526A9">
        <w:rPr>
          <w:rFonts w:ascii="Times New Roman" w:hAnsi="Times New Roman"/>
        </w:rPr>
        <w:t>"particulars"</w:t>
      </w:r>
      <w:r w:rsidR="00B652AA" w:rsidRPr="001526A9">
        <w:rPr>
          <w:rFonts w:ascii="Times New Roman" w:hAnsi="Times New Roman"/>
        </w:rPr>
        <w:t xml:space="preserve">, </w:t>
      </w:r>
      <w:r w:rsidR="00177792" w:rsidRPr="001526A9">
        <w:rPr>
          <w:rFonts w:ascii="Times New Roman" w:hAnsi="Times New Roman"/>
        </w:rPr>
        <w:t xml:space="preserve">comprising his name and </w:t>
      </w:r>
      <w:r w:rsidR="00C57A8F" w:rsidRPr="001526A9">
        <w:rPr>
          <w:rFonts w:ascii="Times New Roman" w:hAnsi="Times New Roman"/>
        </w:rPr>
        <w:t>the town or city in which he lived</w:t>
      </w:r>
      <w:r w:rsidR="00301A02" w:rsidRPr="001526A9">
        <w:rPr>
          <w:rFonts w:ascii="Times New Roman" w:hAnsi="Times New Roman"/>
        </w:rPr>
        <w:t>, were included in the post.</w:t>
      </w:r>
      <w:r w:rsidR="00B10E13" w:rsidRPr="001526A9">
        <w:rPr>
          <w:rFonts w:ascii="Times New Roman" w:hAnsi="Times New Roman"/>
        </w:rPr>
        <w:t xml:space="preserve"> </w:t>
      </w:r>
      <w:r w:rsidR="00C71176" w:rsidRPr="001526A9">
        <w:rPr>
          <w:rFonts w:ascii="Times New Roman" w:hAnsi="Times New Roman"/>
        </w:rPr>
        <w:t>E</w:t>
      </w:r>
      <w:r w:rsidR="00077285" w:rsidRPr="001526A9">
        <w:rPr>
          <w:rFonts w:ascii="Times New Roman" w:hAnsi="Times New Roman"/>
        </w:rPr>
        <w:t>ach such post</w:t>
      </w:r>
      <w:r w:rsidR="0087040C" w:rsidRPr="001526A9">
        <w:rPr>
          <w:rFonts w:ascii="Times New Roman" w:hAnsi="Times New Roman"/>
        </w:rPr>
        <w:t xml:space="preserve"> was communicated to </w:t>
      </w:r>
      <w:r w:rsidR="00F34991" w:rsidRPr="001526A9">
        <w:rPr>
          <w:rFonts w:ascii="Times New Roman" w:hAnsi="Times New Roman"/>
        </w:rPr>
        <w:t xml:space="preserve">(meaning seen by) </w:t>
      </w:r>
      <w:r w:rsidR="0087040C" w:rsidRPr="001526A9">
        <w:rPr>
          <w:rFonts w:ascii="Times New Roman" w:hAnsi="Times New Roman"/>
        </w:rPr>
        <w:t xml:space="preserve">several people </w:t>
      </w:r>
      <w:r w:rsidR="00A65571" w:rsidRPr="001526A9">
        <w:rPr>
          <w:rFonts w:ascii="Times New Roman" w:hAnsi="Times New Roman"/>
        </w:rPr>
        <w:t xml:space="preserve">who viewed the Facebook page: </w:t>
      </w:r>
      <w:r w:rsidR="0087040C" w:rsidRPr="001526A9">
        <w:rPr>
          <w:rFonts w:ascii="Times New Roman" w:hAnsi="Times New Roman"/>
        </w:rPr>
        <w:t xml:space="preserve">six people in the case of the </w:t>
      </w:r>
      <w:r w:rsidR="004717BE" w:rsidRPr="001526A9">
        <w:rPr>
          <w:rFonts w:ascii="Times New Roman" w:hAnsi="Times New Roman"/>
        </w:rPr>
        <w:t xml:space="preserve">24 December 2018 post, </w:t>
      </w:r>
      <w:r w:rsidR="00784ED4" w:rsidRPr="001526A9">
        <w:rPr>
          <w:rFonts w:ascii="Times New Roman" w:hAnsi="Times New Roman"/>
        </w:rPr>
        <w:t xml:space="preserve">eight people in the case of the 7 February 2019 post, </w:t>
      </w:r>
      <w:r w:rsidR="00DB59FE" w:rsidRPr="001526A9">
        <w:rPr>
          <w:rFonts w:ascii="Times New Roman" w:hAnsi="Times New Roman"/>
        </w:rPr>
        <w:t xml:space="preserve">and 14 people in the case of the 5 May 2019 </w:t>
      </w:r>
      <w:r w:rsidR="000650C3" w:rsidRPr="001526A9">
        <w:rPr>
          <w:rFonts w:ascii="Times New Roman" w:hAnsi="Times New Roman"/>
        </w:rPr>
        <w:t>post.</w:t>
      </w:r>
    </w:p>
    <w:p w14:paraId="2142F933" w14:textId="7FAA7932" w:rsidR="00293B6A" w:rsidRPr="001526A9" w:rsidRDefault="00293B6A" w:rsidP="001526A9">
      <w:pPr>
        <w:pStyle w:val="HeadingL1"/>
        <w:spacing w:after="260" w:line="280" w:lineRule="exact"/>
        <w:ind w:right="0"/>
        <w:jc w:val="both"/>
        <w:rPr>
          <w:rFonts w:ascii="Times New Roman" w:hAnsi="Times New Roman"/>
        </w:rPr>
      </w:pPr>
      <w:r w:rsidRPr="001526A9">
        <w:rPr>
          <w:rFonts w:ascii="Times New Roman" w:hAnsi="Times New Roman"/>
        </w:rPr>
        <w:t>The Courts below</w:t>
      </w:r>
    </w:p>
    <w:p w14:paraId="3205AE0D" w14:textId="6001AD1A" w:rsidR="005425CD" w:rsidRPr="001526A9" w:rsidRDefault="00293B6A"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965582" w:rsidRPr="001526A9">
        <w:rPr>
          <w:rFonts w:ascii="Times New Roman" w:hAnsi="Times New Roman"/>
        </w:rPr>
        <w:t>In a civil penalty proceeding brought against Mr Laming by the Electoral Commissioner in the Federal Court of Australia t</w:t>
      </w:r>
      <w:r w:rsidR="005425CD" w:rsidRPr="001526A9">
        <w:rPr>
          <w:rFonts w:ascii="Times New Roman" w:hAnsi="Times New Roman"/>
        </w:rPr>
        <w:t>he primary judge (</w:t>
      </w:r>
      <w:proofErr w:type="spellStart"/>
      <w:r w:rsidR="005425CD" w:rsidRPr="001526A9">
        <w:rPr>
          <w:rFonts w:ascii="Times New Roman" w:hAnsi="Times New Roman"/>
        </w:rPr>
        <w:t>Rangiah</w:t>
      </w:r>
      <w:proofErr w:type="spellEnd"/>
      <w:r w:rsidR="005425CD" w:rsidRPr="001526A9">
        <w:rPr>
          <w:rFonts w:ascii="Times New Roman" w:hAnsi="Times New Roman"/>
        </w:rPr>
        <w:t xml:space="preserve"> J) held that </w:t>
      </w:r>
      <w:r w:rsidR="006518FC" w:rsidRPr="001526A9">
        <w:rPr>
          <w:rFonts w:ascii="Times New Roman" w:hAnsi="Times New Roman"/>
        </w:rPr>
        <w:t>Mr Laming contravened s</w:t>
      </w:r>
      <w:r w:rsidR="00107523" w:rsidRPr="001526A9">
        <w:rPr>
          <w:rFonts w:ascii="Times New Roman" w:hAnsi="Times New Roman"/>
        </w:rPr>
        <w:t> </w:t>
      </w:r>
      <w:r w:rsidR="006518FC" w:rsidRPr="001526A9">
        <w:rPr>
          <w:rFonts w:ascii="Times New Roman" w:hAnsi="Times New Roman"/>
        </w:rPr>
        <w:t>321</w:t>
      </w:r>
      <w:proofErr w:type="gramStart"/>
      <w:r w:rsidR="006518FC" w:rsidRPr="001526A9">
        <w:rPr>
          <w:rFonts w:ascii="Times New Roman" w:hAnsi="Times New Roman"/>
        </w:rPr>
        <w:t>D(</w:t>
      </w:r>
      <w:proofErr w:type="gramEnd"/>
      <w:r w:rsidR="006518FC" w:rsidRPr="001526A9">
        <w:rPr>
          <w:rFonts w:ascii="Times New Roman" w:hAnsi="Times New Roman"/>
        </w:rPr>
        <w:t xml:space="preserve">5) of the </w:t>
      </w:r>
      <w:r w:rsidR="006518FC" w:rsidRPr="001526A9">
        <w:rPr>
          <w:rFonts w:ascii="Times New Roman" w:hAnsi="Times New Roman"/>
          <w:i/>
          <w:iCs/>
        </w:rPr>
        <w:t>Commonwealth Electoral Act</w:t>
      </w:r>
      <w:r w:rsidR="006518FC" w:rsidRPr="001526A9">
        <w:rPr>
          <w:rFonts w:ascii="Times New Roman" w:hAnsi="Times New Roman"/>
        </w:rPr>
        <w:t xml:space="preserve"> on three occasions</w:t>
      </w:r>
      <w:r w:rsidR="00F34991" w:rsidRPr="001526A9">
        <w:rPr>
          <w:rFonts w:ascii="Times New Roman" w:hAnsi="Times New Roman"/>
        </w:rPr>
        <w:t xml:space="preserve"> (being the occasion of each post to Facebook by Mr Laming)</w:t>
      </w:r>
      <w:r w:rsidR="00B41C9D" w:rsidRPr="001526A9">
        <w:rPr>
          <w:rFonts w:ascii="Times New Roman" w:hAnsi="Times New Roman"/>
        </w:rPr>
        <w:t xml:space="preserve">. The primary </w:t>
      </w:r>
      <w:proofErr w:type="gramStart"/>
      <w:r w:rsidR="00B41C9D" w:rsidRPr="001526A9">
        <w:rPr>
          <w:rFonts w:ascii="Times New Roman" w:hAnsi="Times New Roman"/>
        </w:rPr>
        <w:t>judge</w:t>
      </w:r>
      <w:r w:rsidR="006518FC" w:rsidRPr="001526A9">
        <w:rPr>
          <w:rFonts w:ascii="Times New Roman" w:hAnsi="Times New Roman"/>
        </w:rPr>
        <w:t xml:space="preserve"> impos</w:t>
      </w:r>
      <w:r w:rsidR="00C81485" w:rsidRPr="001526A9">
        <w:rPr>
          <w:rFonts w:ascii="Times New Roman" w:hAnsi="Times New Roman"/>
        </w:rPr>
        <w:t>ed</w:t>
      </w:r>
      <w:proofErr w:type="gramEnd"/>
      <w:r w:rsidR="006518FC" w:rsidRPr="001526A9">
        <w:rPr>
          <w:rFonts w:ascii="Times New Roman" w:hAnsi="Times New Roman"/>
        </w:rPr>
        <w:t xml:space="preserve"> penalties of </w:t>
      </w:r>
      <w:r w:rsidR="00A20124" w:rsidRPr="001526A9">
        <w:rPr>
          <w:rFonts w:ascii="Times New Roman" w:hAnsi="Times New Roman"/>
        </w:rPr>
        <w:t>$10,000 for the 24 December 2018 post, $5</w:t>
      </w:r>
      <w:r w:rsidR="009A6D38" w:rsidRPr="001526A9">
        <w:rPr>
          <w:rFonts w:ascii="Times New Roman" w:hAnsi="Times New Roman"/>
        </w:rPr>
        <w:t>,</w:t>
      </w:r>
      <w:r w:rsidR="00A20124" w:rsidRPr="001526A9">
        <w:rPr>
          <w:rFonts w:ascii="Times New Roman" w:hAnsi="Times New Roman"/>
        </w:rPr>
        <w:t>000 for the 7 February 2019 post, and $5</w:t>
      </w:r>
      <w:r w:rsidR="009A6D38" w:rsidRPr="001526A9">
        <w:rPr>
          <w:rFonts w:ascii="Times New Roman" w:hAnsi="Times New Roman"/>
        </w:rPr>
        <w:t>,</w:t>
      </w:r>
      <w:r w:rsidR="00A20124" w:rsidRPr="001526A9">
        <w:rPr>
          <w:rFonts w:ascii="Times New Roman" w:hAnsi="Times New Roman"/>
        </w:rPr>
        <w:t>000 for the 5 May 2019 post.</w:t>
      </w:r>
      <w:r w:rsidR="004451D4" w:rsidRPr="001526A9">
        <w:rPr>
          <w:rStyle w:val="FootnoteReference"/>
          <w:rFonts w:ascii="Times New Roman" w:hAnsi="Times New Roman"/>
          <w:sz w:val="24"/>
        </w:rPr>
        <w:footnoteReference w:id="3"/>
      </w:r>
      <w:r w:rsidR="00A20124" w:rsidRPr="001526A9">
        <w:rPr>
          <w:rFonts w:ascii="Times New Roman" w:hAnsi="Times New Roman"/>
        </w:rPr>
        <w:t xml:space="preserve"> </w:t>
      </w:r>
      <w:r w:rsidR="006F1CF8" w:rsidRPr="001526A9">
        <w:rPr>
          <w:rFonts w:ascii="Times New Roman" w:hAnsi="Times New Roman"/>
        </w:rPr>
        <w:t xml:space="preserve">The Electoral Commissioner appealed. </w:t>
      </w:r>
      <w:r w:rsidR="00F9506B" w:rsidRPr="001526A9">
        <w:rPr>
          <w:rFonts w:ascii="Times New Roman" w:hAnsi="Times New Roman"/>
        </w:rPr>
        <w:t xml:space="preserve">The Full Court of the Federal Court of Australia </w:t>
      </w:r>
      <w:r w:rsidR="00924B8B" w:rsidRPr="001526A9">
        <w:rPr>
          <w:rFonts w:ascii="Times New Roman" w:hAnsi="Times New Roman"/>
        </w:rPr>
        <w:t xml:space="preserve">(Logan J and Perry J with whom Meagher J agreed) held that </w:t>
      </w:r>
      <w:r w:rsidR="004D4A45" w:rsidRPr="001526A9">
        <w:rPr>
          <w:rFonts w:ascii="Times New Roman" w:hAnsi="Times New Roman"/>
        </w:rPr>
        <w:t xml:space="preserve">Mr Laming had contravened </w:t>
      </w:r>
      <w:r w:rsidR="00107523" w:rsidRPr="001526A9">
        <w:rPr>
          <w:rFonts w:ascii="Times New Roman" w:hAnsi="Times New Roman"/>
        </w:rPr>
        <w:t>s 321</w:t>
      </w:r>
      <w:proofErr w:type="gramStart"/>
      <w:r w:rsidR="00107523" w:rsidRPr="001526A9">
        <w:rPr>
          <w:rFonts w:ascii="Times New Roman" w:hAnsi="Times New Roman"/>
        </w:rPr>
        <w:t>D(</w:t>
      </w:r>
      <w:proofErr w:type="gramEnd"/>
      <w:r w:rsidR="00107523" w:rsidRPr="001526A9">
        <w:rPr>
          <w:rFonts w:ascii="Times New Roman" w:hAnsi="Times New Roman"/>
        </w:rPr>
        <w:t xml:space="preserve">5) on </w:t>
      </w:r>
      <w:r w:rsidR="004C1AAF" w:rsidRPr="001526A9">
        <w:rPr>
          <w:rFonts w:ascii="Times New Roman" w:hAnsi="Times New Roman"/>
        </w:rPr>
        <w:t xml:space="preserve">at least </w:t>
      </w:r>
      <w:r w:rsidR="00107523" w:rsidRPr="001526A9">
        <w:rPr>
          <w:rFonts w:ascii="Times New Roman" w:hAnsi="Times New Roman"/>
        </w:rPr>
        <w:t>28 occasions</w:t>
      </w:r>
      <w:r w:rsidR="00E66670" w:rsidRPr="001526A9">
        <w:rPr>
          <w:rFonts w:ascii="Times New Roman" w:hAnsi="Times New Roman"/>
        </w:rPr>
        <w:t>,</w:t>
      </w:r>
      <w:r w:rsidR="00107523" w:rsidRPr="001526A9">
        <w:rPr>
          <w:rFonts w:ascii="Times New Roman" w:hAnsi="Times New Roman"/>
        </w:rPr>
        <w:t xml:space="preserve"> </w:t>
      </w:r>
      <w:r w:rsidR="0026645C" w:rsidRPr="001526A9">
        <w:rPr>
          <w:rFonts w:ascii="Times New Roman" w:hAnsi="Times New Roman"/>
        </w:rPr>
        <w:t xml:space="preserve">being each occasion on which a </w:t>
      </w:r>
      <w:r w:rsidR="006A18AC" w:rsidRPr="001526A9">
        <w:rPr>
          <w:rFonts w:ascii="Times New Roman" w:hAnsi="Times New Roman"/>
        </w:rPr>
        <w:t>post had been communicated</w:t>
      </w:r>
      <w:r w:rsidR="0026645C" w:rsidRPr="001526A9">
        <w:rPr>
          <w:rFonts w:ascii="Times New Roman" w:hAnsi="Times New Roman"/>
        </w:rPr>
        <w:t xml:space="preserve"> (by being seen by a person)</w:t>
      </w:r>
      <w:r w:rsidR="006A18AC" w:rsidRPr="001526A9">
        <w:rPr>
          <w:rFonts w:ascii="Times New Roman" w:hAnsi="Times New Roman"/>
        </w:rPr>
        <w:t>.</w:t>
      </w:r>
      <w:r w:rsidR="001C53EB" w:rsidRPr="001526A9">
        <w:rPr>
          <w:rFonts w:ascii="Times New Roman" w:hAnsi="Times New Roman"/>
        </w:rPr>
        <w:t xml:space="preserve"> </w:t>
      </w:r>
      <w:r w:rsidR="006A18AC" w:rsidRPr="001526A9">
        <w:rPr>
          <w:rFonts w:ascii="Times New Roman" w:hAnsi="Times New Roman"/>
        </w:rPr>
        <w:t xml:space="preserve">The Full Court set aside the </w:t>
      </w:r>
      <w:r w:rsidR="002319A6" w:rsidRPr="001526A9">
        <w:rPr>
          <w:rFonts w:ascii="Times New Roman" w:hAnsi="Times New Roman"/>
        </w:rPr>
        <w:t>penalties</w:t>
      </w:r>
      <w:r w:rsidR="006A18AC" w:rsidRPr="001526A9">
        <w:rPr>
          <w:rFonts w:ascii="Times New Roman" w:hAnsi="Times New Roman"/>
        </w:rPr>
        <w:t xml:space="preserve"> imposed by the primary judge and </w:t>
      </w:r>
      <w:r w:rsidR="002319A6" w:rsidRPr="001526A9">
        <w:rPr>
          <w:rFonts w:ascii="Times New Roman" w:hAnsi="Times New Roman"/>
        </w:rPr>
        <w:t xml:space="preserve">instead imposed penalties of </w:t>
      </w:r>
      <w:r w:rsidR="002319A6" w:rsidRPr="001526A9">
        <w:rPr>
          <w:rFonts w:ascii="Times New Roman" w:hAnsi="Times New Roman"/>
        </w:rPr>
        <w:lastRenderedPageBreak/>
        <w:t>$20,000 for the 24</w:t>
      </w:r>
      <w:r w:rsidR="009A6D38" w:rsidRPr="001526A9">
        <w:rPr>
          <w:rFonts w:ascii="Times New Roman" w:hAnsi="Times New Roman"/>
        </w:rPr>
        <w:t> </w:t>
      </w:r>
      <w:r w:rsidR="002319A6" w:rsidRPr="001526A9">
        <w:rPr>
          <w:rFonts w:ascii="Times New Roman" w:hAnsi="Times New Roman"/>
        </w:rPr>
        <w:t>December 2018 post, $10,000 for the 7 February 2019 post, and $10,000 for the 5</w:t>
      </w:r>
      <w:r w:rsidR="009A6D38" w:rsidRPr="001526A9">
        <w:rPr>
          <w:rFonts w:ascii="Times New Roman" w:hAnsi="Times New Roman"/>
        </w:rPr>
        <w:t> </w:t>
      </w:r>
      <w:r w:rsidR="002319A6" w:rsidRPr="001526A9">
        <w:rPr>
          <w:rFonts w:ascii="Times New Roman" w:hAnsi="Times New Roman"/>
        </w:rPr>
        <w:t>May 2019 post.</w:t>
      </w:r>
      <w:r w:rsidR="00141D37" w:rsidRPr="001526A9">
        <w:rPr>
          <w:rStyle w:val="FootnoteReference"/>
          <w:rFonts w:ascii="Times New Roman" w:hAnsi="Times New Roman"/>
          <w:sz w:val="24"/>
        </w:rPr>
        <w:footnoteReference w:id="4"/>
      </w:r>
      <w:r w:rsidR="00BA6FEC" w:rsidRPr="001526A9">
        <w:rPr>
          <w:rFonts w:ascii="Times New Roman" w:hAnsi="Times New Roman"/>
        </w:rPr>
        <w:t xml:space="preserve"> </w:t>
      </w:r>
    </w:p>
    <w:p w14:paraId="5BB56051" w14:textId="4D6EFF4D" w:rsidR="00FF1515" w:rsidRPr="001526A9" w:rsidRDefault="00133A09"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891242" w:rsidRPr="001526A9">
        <w:rPr>
          <w:rFonts w:ascii="Times New Roman" w:hAnsi="Times New Roman"/>
        </w:rPr>
        <w:t>Mr Laming applied for and was gran</w:t>
      </w:r>
      <w:r w:rsidR="000854F5" w:rsidRPr="001526A9">
        <w:rPr>
          <w:rFonts w:ascii="Times New Roman" w:hAnsi="Times New Roman"/>
        </w:rPr>
        <w:t>t</w:t>
      </w:r>
      <w:r w:rsidR="00891242" w:rsidRPr="001526A9">
        <w:rPr>
          <w:rFonts w:ascii="Times New Roman" w:hAnsi="Times New Roman"/>
        </w:rPr>
        <w:t xml:space="preserve">ed special leave to appeal on </w:t>
      </w:r>
      <w:r w:rsidR="000854F5" w:rsidRPr="001526A9">
        <w:rPr>
          <w:rFonts w:ascii="Times New Roman" w:hAnsi="Times New Roman"/>
        </w:rPr>
        <w:t xml:space="preserve">the </w:t>
      </w:r>
      <w:r w:rsidR="00C02457" w:rsidRPr="001526A9">
        <w:rPr>
          <w:rFonts w:ascii="Times New Roman" w:hAnsi="Times New Roman"/>
        </w:rPr>
        <w:t xml:space="preserve">sole </w:t>
      </w:r>
      <w:r w:rsidR="000854F5" w:rsidRPr="001526A9">
        <w:rPr>
          <w:rFonts w:ascii="Times New Roman" w:hAnsi="Times New Roman"/>
        </w:rPr>
        <w:t>ground that the Full Court erred in finding that s 321</w:t>
      </w:r>
      <w:proofErr w:type="gramStart"/>
      <w:r w:rsidR="000854F5" w:rsidRPr="001526A9">
        <w:rPr>
          <w:rFonts w:ascii="Times New Roman" w:hAnsi="Times New Roman"/>
        </w:rPr>
        <w:t>D(</w:t>
      </w:r>
      <w:proofErr w:type="gramEnd"/>
      <w:r w:rsidR="000854F5" w:rsidRPr="001526A9">
        <w:rPr>
          <w:rFonts w:ascii="Times New Roman" w:hAnsi="Times New Roman"/>
        </w:rPr>
        <w:t xml:space="preserve">5) "was </w:t>
      </w:r>
      <w:r w:rsidR="00FF1515" w:rsidRPr="001526A9">
        <w:rPr>
          <w:rFonts w:ascii="Times New Roman" w:hAnsi="Times New Roman"/>
        </w:rPr>
        <w:t>contravened</w:t>
      </w:r>
      <w:r w:rsidR="000854F5" w:rsidRPr="001526A9">
        <w:rPr>
          <w:rFonts w:ascii="Times New Roman" w:hAnsi="Times New Roman"/>
        </w:rPr>
        <w:t xml:space="preserve"> on each occasion that a person </w:t>
      </w:r>
      <w:r w:rsidR="00FF1515" w:rsidRPr="001526A9">
        <w:rPr>
          <w:rFonts w:ascii="Times New Roman" w:hAnsi="Times New Roman"/>
        </w:rPr>
        <w:t>viewed</w:t>
      </w:r>
      <w:r w:rsidR="000854F5" w:rsidRPr="001526A9">
        <w:rPr>
          <w:rFonts w:ascii="Times New Roman" w:hAnsi="Times New Roman"/>
        </w:rPr>
        <w:t xml:space="preserve"> a </w:t>
      </w:r>
      <w:r w:rsidR="00FF1515" w:rsidRPr="001526A9">
        <w:rPr>
          <w:rFonts w:ascii="Times New Roman" w:hAnsi="Times New Roman"/>
        </w:rPr>
        <w:t xml:space="preserve">post published by [him] on </w:t>
      </w:r>
      <w:r w:rsidR="00947CBD" w:rsidRPr="001526A9">
        <w:rPr>
          <w:rFonts w:ascii="Times New Roman" w:hAnsi="Times New Roman"/>
        </w:rPr>
        <w:t xml:space="preserve">... </w:t>
      </w:r>
      <w:r w:rsidR="00FF1515" w:rsidRPr="001526A9">
        <w:rPr>
          <w:rFonts w:ascii="Times New Roman" w:hAnsi="Times New Roman"/>
        </w:rPr>
        <w:t xml:space="preserve">Facebook ... rather than finding a contravention occurred when [he] </w:t>
      </w:r>
      <w:r w:rsidR="00A82C46" w:rsidRPr="001526A9">
        <w:rPr>
          <w:rFonts w:ascii="Times New Roman" w:hAnsi="Times New Roman"/>
        </w:rPr>
        <w:t>caused a post to be"</w:t>
      </w:r>
      <w:r w:rsidR="001C2087" w:rsidRPr="001526A9">
        <w:rPr>
          <w:rFonts w:ascii="Times New Roman" w:hAnsi="Times New Roman"/>
        </w:rPr>
        <w:t xml:space="preserve"> </w:t>
      </w:r>
      <w:r w:rsidR="0055721E" w:rsidRPr="001526A9">
        <w:rPr>
          <w:rFonts w:ascii="Times New Roman" w:hAnsi="Times New Roman"/>
        </w:rPr>
        <w:t>to be made available for viewing</w:t>
      </w:r>
      <w:r w:rsidR="00015AED" w:rsidRPr="001526A9">
        <w:rPr>
          <w:rFonts w:ascii="Times New Roman" w:hAnsi="Times New Roman"/>
        </w:rPr>
        <w:t>.</w:t>
      </w:r>
      <w:r w:rsidR="003D4DB5" w:rsidRPr="001526A9">
        <w:rPr>
          <w:rFonts w:ascii="Times New Roman" w:hAnsi="Times New Roman"/>
        </w:rPr>
        <w:t xml:space="preserve"> </w:t>
      </w:r>
      <w:r w:rsidR="00743BF2" w:rsidRPr="001526A9">
        <w:rPr>
          <w:rFonts w:ascii="Times New Roman" w:hAnsi="Times New Roman"/>
        </w:rPr>
        <w:t>The appeal must be upheld on that ground.</w:t>
      </w:r>
    </w:p>
    <w:p w14:paraId="51F31887" w14:textId="30CF84CA" w:rsidR="00A82C46" w:rsidRPr="001526A9" w:rsidRDefault="00133A09"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743BF2" w:rsidRPr="001526A9">
        <w:rPr>
          <w:rFonts w:ascii="Times New Roman" w:hAnsi="Times New Roman"/>
        </w:rPr>
        <w:t>T</w:t>
      </w:r>
      <w:r w:rsidR="00686C33" w:rsidRPr="001526A9">
        <w:rPr>
          <w:rFonts w:ascii="Times New Roman" w:hAnsi="Times New Roman"/>
        </w:rPr>
        <w:t xml:space="preserve">he </w:t>
      </w:r>
      <w:r w:rsidR="00BA4407" w:rsidRPr="001526A9">
        <w:rPr>
          <w:rFonts w:ascii="Times New Roman" w:hAnsi="Times New Roman"/>
        </w:rPr>
        <w:t xml:space="preserve">primary judge's </w:t>
      </w:r>
      <w:r w:rsidR="00686C33" w:rsidRPr="001526A9">
        <w:rPr>
          <w:rFonts w:ascii="Times New Roman" w:hAnsi="Times New Roman"/>
        </w:rPr>
        <w:t xml:space="preserve">construction </w:t>
      </w:r>
      <w:r w:rsidR="00743BF2" w:rsidRPr="001526A9">
        <w:rPr>
          <w:rFonts w:ascii="Times New Roman" w:hAnsi="Times New Roman"/>
        </w:rPr>
        <w:t xml:space="preserve">of s 321D of the </w:t>
      </w:r>
      <w:r w:rsidR="00743BF2" w:rsidRPr="001526A9">
        <w:rPr>
          <w:rFonts w:ascii="Times New Roman" w:hAnsi="Times New Roman"/>
          <w:i/>
          <w:iCs/>
        </w:rPr>
        <w:t xml:space="preserve">Commonwealth Electoral Act </w:t>
      </w:r>
      <w:r w:rsidR="00686C33" w:rsidRPr="001526A9">
        <w:rPr>
          <w:rFonts w:ascii="Times New Roman" w:hAnsi="Times New Roman"/>
        </w:rPr>
        <w:t xml:space="preserve">is </w:t>
      </w:r>
      <w:r w:rsidR="00C25BAB" w:rsidRPr="001526A9">
        <w:rPr>
          <w:rFonts w:ascii="Times New Roman" w:hAnsi="Times New Roman"/>
        </w:rPr>
        <w:t>correct</w:t>
      </w:r>
      <w:r w:rsidR="00686C33" w:rsidRPr="001526A9">
        <w:rPr>
          <w:rFonts w:ascii="Times New Roman" w:hAnsi="Times New Roman"/>
        </w:rPr>
        <w:t xml:space="preserve">. </w:t>
      </w:r>
      <w:r w:rsidR="00220089" w:rsidRPr="001526A9">
        <w:rPr>
          <w:rFonts w:ascii="Times New Roman" w:hAnsi="Times New Roman"/>
        </w:rPr>
        <w:t>As will be explained, t</w:t>
      </w:r>
      <w:r w:rsidR="00B74ECC" w:rsidRPr="001526A9">
        <w:rPr>
          <w:rFonts w:ascii="Times New Roman" w:hAnsi="Times New Roman"/>
        </w:rPr>
        <w:t xml:space="preserve">he correct </w:t>
      </w:r>
      <w:r w:rsidR="00686C33" w:rsidRPr="001526A9">
        <w:rPr>
          <w:rFonts w:ascii="Times New Roman" w:hAnsi="Times New Roman"/>
        </w:rPr>
        <w:t xml:space="preserve">construction, that </w:t>
      </w:r>
      <w:r w:rsidR="006F42BE" w:rsidRPr="001526A9">
        <w:rPr>
          <w:rFonts w:ascii="Times New Roman" w:hAnsi="Times New Roman"/>
        </w:rPr>
        <w:t xml:space="preserve">s 321D(5) is engaged </w:t>
      </w:r>
      <w:r w:rsidR="00D4081E" w:rsidRPr="001526A9">
        <w:rPr>
          <w:rFonts w:ascii="Times New Roman" w:hAnsi="Times New Roman"/>
        </w:rPr>
        <w:t xml:space="preserve">by any failure to ensure that the required "particulars" are notified </w:t>
      </w:r>
      <w:r w:rsidR="00342830" w:rsidRPr="001526A9">
        <w:rPr>
          <w:rFonts w:ascii="Times New Roman" w:hAnsi="Times New Roman"/>
        </w:rPr>
        <w:t>in "electoral matter"</w:t>
      </w:r>
      <w:r w:rsidR="008F5D71" w:rsidRPr="001526A9">
        <w:rPr>
          <w:rFonts w:ascii="Times New Roman" w:hAnsi="Times New Roman"/>
        </w:rPr>
        <w:t xml:space="preserve"> provided that </w:t>
      </w:r>
      <w:r w:rsidR="005064AE" w:rsidRPr="001526A9">
        <w:rPr>
          <w:rFonts w:ascii="Times New Roman" w:hAnsi="Times New Roman"/>
        </w:rPr>
        <w:t xml:space="preserve">the </w:t>
      </w:r>
      <w:r w:rsidR="008F5D71" w:rsidRPr="001526A9">
        <w:rPr>
          <w:rFonts w:ascii="Times New Roman" w:hAnsi="Times New Roman"/>
        </w:rPr>
        <w:t xml:space="preserve">"electoral matter" is communicated to one person and </w:t>
      </w:r>
      <w:r w:rsidR="00836577" w:rsidRPr="001526A9">
        <w:rPr>
          <w:rFonts w:ascii="Times New Roman" w:hAnsi="Times New Roman"/>
        </w:rPr>
        <w:t xml:space="preserve">otherwise irrespective of the number of people to whom the "electoral matter" </w:t>
      </w:r>
      <w:r w:rsidR="0026279A" w:rsidRPr="001526A9">
        <w:rPr>
          <w:rFonts w:ascii="Times New Roman" w:hAnsi="Times New Roman"/>
        </w:rPr>
        <w:t>i</w:t>
      </w:r>
      <w:r w:rsidR="00836577" w:rsidRPr="001526A9">
        <w:rPr>
          <w:rFonts w:ascii="Times New Roman" w:hAnsi="Times New Roman"/>
        </w:rPr>
        <w:t>s communicated</w:t>
      </w:r>
      <w:r w:rsidR="00342830" w:rsidRPr="001526A9">
        <w:rPr>
          <w:rFonts w:ascii="Times New Roman" w:hAnsi="Times New Roman"/>
        </w:rPr>
        <w:t xml:space="preserve">, accords with the text, context and purpose of the provision </w:t>
      </w:r>
      <w:r w:rsidR="0040542A" w:rsidRPr="001526A9">
        <w:rPr>
          <w:rFonts w:ascii="Times New Roman" w:hAnsi="Times New Roman"/>
        </w:rPr>
        <w:t xml:space="preserve">in a manner which </w:t>
      </w:r>
      <w:r w:rsidR="00342830" w:rsidRPr="001526A9">
        <w:rPr>
          <w:rFonts w:ascii="Times New Roman" w:hAnsi="Times New Roman"/>
        </w:rPr>
        <w:t xml:space="preserve">the </w:t>
      </w:r>
      <w:r w:rsidR="00931F3A" w:rsidRPr="001526A9">
        <w:rPr>
          <w:rFonts w:ascii="Times New Roman" w:hAnsi="Times New Roman"/>
        </w:rPr>
        <w:t>construction</w:t>
      </w:r>
      <w:r w:rsidR="0040542A" w:rsidRPr="001526A9">
        <w:rPr>
          <w:rFonts w:ascii="Times New Roman" w:hAnsi="Times New Roman"/>
        </w:rPr>
        <w:t xml:space="preserve"> </w:t>
      </w:r>
      <w:r w:rsidR="00351DB8" w:rsidRPr="001526A9">
        <w:rPr>
          <w:rFonts w:ascii="Times New Roman" w:hAnsi="Times New Roman"/>
        </w:rPr>
        <w:t xml:space="preserve">adopted by the Full Court </w:t>
      </w:r>
      <w:r w:rsidR="0040542A" w:rsidRPr="001526A9">
        <w:rPr>
          <w:rFonts w:ascii="Times New Roman" w:hAnsi="Times New Roman"/>
        </w:rPr>
        <w:t xml:space="preserve">does not. </w:t>
      </w:r>
    </w:p>
    <w:p w14:paraId="150EBEBF" w14:textId="4B35F54D" w:rsidR="009A213D" w:rsidRPr="001526A9" w:rsidRDefault="00D55DFF" w:rsidP="001526A9">
      <w:pPr>
        <w:pStyle w:val="HeadingL1"/>
        <w:spacing w:after="260" w:line="280" w:lineRule="exact"/>
        <w:ind w:right="0"/>
        <w:jc w:val="both"/>
        <w:rPr>
          <w:rFonts w:ascii="Times New Roman" w:hAnsi="Times New Roman"/>
        </w:rPr>
      </w:pPr>
      <w:r w:rsidRPr="001526A9">
        <w:rPr>
          <w:rFonts w:ascii="Times New Roman" w:hAnsi="Times New Roman"/>
        </w:rPr>
        <w:t>T</w:t>
      </w:r>
      <w:r w:rsidR="009A213D" w:rsidRPr="001526A9">
        <w:rPr>
          <w:rFonts w:ascii="Times New Roman" w:hAnsi="Times New Roman"/>
        </w:rPr>
        <w:t xml:space="preserve">he </w:t>
      </w:r>
      <w:r w:rsidRPr="001526A9">
        <w:rPr>
          <w:rFonts w:ascii="Times New Roman" w:hAnsi="Times New Roman"/>
        </w:rPr>
        <w:t>background to the statutory provisions</w:t>
      </w:r>
    </w:p>
    <w:p w14:paraId="3D4CF125" w14:textId="698DB092" w:rsidR="00FC37AB" w:rsidRPr="001526A9" w:rsidRDefault="00D55DFF"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710053" w:rsidRPr="001526A9">
        <w:rPr>
          <w:rFonts w:ascii="Times New Roman" w:hAnsi="Times New Roman"/>
        </w:rPr>
        <w:t>Section</w:t>
      </w:r>
      <w:r w:rsidR="00F22CFD" w:rsidRPr="001526A9">
        <w:rPr>
          <w:rFonts w:ascii="Times New Roman" w:hAnsi="Times New Roman"/>
        </w:rPr>
        <w:t>s</w:t>
      </w:r>
      <w:r w:rsidR="00710053" w:rsidRPr="001526A9">
        <w:rPr>
          <w:rFonts w:ascii="Times New Roman" w:hAnsi="Times New Roman"/>
        </w:rPr>
        <w:t xml:space="preserve"> 321</w:t>
      </w:r>
      <w:r w:rsidR="00F22CFD" w:rsidRPr="001526A9">
        <w:rPr>
          <w:rFonts w:ascii="Times New Roman" w:hAnsi="Times New Roman"/>
        </w:rPr>
        <w:t>B-</w:t>
      </w:r>
      <w:r w:rsidR="009358C0" w:rsidRPr="001526A9">
        <w:rPr>
          <w:rFonts w:ascii="Times New Roman" w:hAnsi="Times New Roman"/>
        </w:rPr>
        <w:t>321H</w:t>
      </w:r>
      <w:r w:rsidR="007A4C3A" w:rsidRPr="001526A9">
        <w:rPr>
          <w:rFonts w:ascii="Times New Roman" w:hAnsi="Times New Roman"/>
        </w:rPr>
        <w:t xml:space="preserve"> w</w:t>
      </w:r>
      <w:r w:rsidR="009358C0" w:rsidRPr="001526A9">
        <w:rPr>
          <w:rFonts w:ascii="Times New Roman" w:hAnsi="Times New Roman"/>
        </w:rPr>
        <w:t>ere</w:t>
      </w:r>
      <w:r w:rsidR="007A4C3A" w:rsidRPr="001526A9">
        <w:rPr>
          <w:rFonts w:ascii="Times New Roman" w:hAnsi="Times New Roman"/>
        </w:rPr>
        <w:t xml:space="preserve"> </w:t>
      </w:r>
      <w:r w:rsidR="00C33E33" w:rsidRPr="001526A9">
        <w:rPr>
          <w:rFonts w:ascii="Times New Roman" w:hAnsi="Times New Roman"/>
        </w:rPr>
        <w:t xml:space="preserve">inserted into the </w:t>
      </w:r>
      <w:r w:rsidR="00C33E33" w:rsidRPr="001526A9">
        <w:rPr>
          <w:rFonts w:ascii="Times New Roman" w:hAnsi="Times New Roman"/>
          <w:i/>
          <w:iCs/>
        </w:rPr>
        <w:t>Commonwealth Electoral Act</w:t>
      </w:r>
      <w:r w:rsidR="00C33E33" w:rsidRPr="001526A9">
        <w:rPr>
          <w:rFonts w:ascii="Times New Roman" w:hAnsi="Times New Roman"/>
        </w:rPr>
        <w:t xml:space="preserve"> </w:t>
      </w:r>
      <w:r w:rsidR="007E29F9" w:rsidRPr="001526A9">
        <w:rPr>
          <w:rFonts w:ascii="Times New Roman" w:hAnsi="Times New Roman"/>
        </w:rPr>
        <w:t xml:space="preserve">by </w:t>
      </w:r>
      <w:r w:rsidR="00C33E33" w:rsidRPr="001526A9">
        <w:rPr>
          <w:rFonts w:ascii="Times New Roman" w:hAnsi="Times New Roman"/>
        </w:rPr>
        <w:t xml:space="preserve">Sch 1 to </w:t>
      </w:r>
      <w:r w:rsidR="007E29F9" w:rsidRPr="001526A9">
        <w:rPr>
          <w:rFonts w:ascii="Times New Roman" w:hAnsi="Times New Roman"/>
        </w:rPr>
        <w:t xml:space="preserve">the </w:t>
      </w:r>
      <w:r w:rsidR="0029162C" w:rsidRPr="001526A9">
        <w:rPr>
          <w:rFonts w:ascii="Times New Roman" w:hAnsi="Times New Roman"/>
          <w:i/>
          <w:iCs/>
        </w:rPr>
        <w:t>Electoral and Other Legislation Amendment Act 2017</w:t>
      </w:r>
      <w:r w:rsidR="0029162C" w:rsidRPr="001526A9">
        <w:rPr>
          <w:rFonts w:ascii="Times New Roman" w:hAnsi="Times New Roman"/>
        </w:rPr>
        <w:t xml:space="preserve"> (</w:t>
      </w:r>
      <w:proofErr w:type="spellStart"/>
      <w:r w:rsidR="0029162C" w:rsidRPr="001526A9">
        <w:rPr>
          <w:rFonts w:ascii="Times New Roman" w:hAnsi="Times New Roman"/>
        </w:rPr>
        <w:t>Cth</w:t>
      </w:r>
      <w:proofErr w:type="spellEnd"/>
      <w:r w:rsidR="0029162C" w:rsidRPr="001526A9">
        <w:rPr>
          <w:rFonts w:ascii="Times New Roman" w:hAnsi="Times New Roman"/>
        </w:rPr>
        <w:t>).</w:t>
      </w:r>
      <w:r w:rsidR="00C33E33" w:rsidRPr="001526A9">
        <w:rPr>
          <w:rFonts w:ascii="Times New Roman" w:hAnsi="Times New Roman"/>
        </w:rPr>
        <w:t xml:space="preserve"> Schedule 1 also </w:t>
      </w:r>
      <w:r w:rsidR="00E773E9" w:rsidRPr="001526A9">
        <w:rPr>
          <w:rFonts w:ascii="Times New Roman" w:hAnsi="Times New Roman"/>
        </w:rPr>
        <w:t xml:space="preserve">contained provisions repealing ss 328 to 328B of that Act. </w:t>
      </w:r>
      <w:r w:rsidR="00FC37AB" w:rsidRPr="001526A9">
        <w:rPr>
          <w:rFonts w:ascii="Times New Roman" w:hAnsi="Times New Roman"/>
        </w:rPr>
        <w:t>Section</w:t>
      </w:r>
      <w:r w:rsidR="004B27A2" w:rsidRPr="001526A9">
        <w:rPr>
          <w:rFonts w:ascii="Times New Roman" w:hAnsi="Times New Roman"/>
        </w:rPr>
        <w:t> </w:t>
      </w:r>
      <w:r w:rsidR="00FC37AB" w:rsidRPr="001526A9">
        <w:rPr>
          <w:rFonts w:ascii="Times New Roman" w:hAnsi="Times New Roman"/>
        </w:rPr>
        <w:t>328, for example, made it an offence for a person to "print, publish or distribute or cause, permit or authorize to be printed, published or distributed, an electoral advertisement, handbill, pamphlet, poster or notice unless" certain information appeared "at the end thereof".</w:t>
      </w:r>
    </w:p>
    <w:p w14:paraId="657EAC90" w14:textId="3637D5B0" w:rsidR="00710053" w:rsidRPr="001526A9" w:rsidRDefault="00F57B6D"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E0237E" w:rsidRPr="001526A9">
        <w:rPr>
          <w:rFonts w:ascii="Times New Roman" w:hAnsi="Times New Roman"/>
        </w:rPr>
        <w:t>T</w:t>
      </w:r>
      <w:r w:rsidR="00845320" w:rsidRPr="001526A9">
        <w:rPr>
          <w:rFonts w:ascii="Times New Roman" w:hAnsi="Times New Roman"/>
        </w:rPr>
        <w:t xml:space="preserve">hese amendments were consequential on </w:t>
      </w:r>
      <w:r w:rsidR="00E0237E" w:rsidRPr="001526A9">
        <w:rPr>
          <w:rFonts w:ascii="Times New Roman" w:hAnsi="Times New Roman"/>
        </w:rPr>
        <w:t xml:space="preserve">recommendations in a report </w:t>
      </w:r>
      <w:r w:rsidR="00B83306" w:rsidRPr="001526A9">
        <w:rPr>
          <w:rFonts w:ascii="Times New Roman" w:hAnsi="Times New Roman"/>
        </w:rPr>
        <w:t xml:space="preserve">of </w:t>
      </w:r>
      <w:r w:rsidR="00E0237E" w:rsidRPr="001526A9">
        <w:rPr>
          <w:rFonts w:ascii="Times New Roman" w:hAnsi="Times New Roman"/>
        </w:rPr>
        <w:t>the Joint Standing Committee on Electoral Matters</w:t>
      </w:r>
      <w:r w:rsidR="0021341D" w:rsidRPr="001526A9">
        <w:rPr>
          <w:rFonts w:ascii="Times New Roman" w:hAnsi="Times New Roman"/>
        </w:rPr>
        <w:t xml:space="preserve"> ("the JSCEM")</w:t>
      </w:r>
      <w:r w:rsidR="00E0237E" w:rsidRPr="001526A9">
        <w:rPr>
          <w:rFonts w:ascii="Times New Roman" w:hAnsi="Times New Roman"/>
        </w:rPr>
        <w:t>.</w:t>
      </w:r>
      <w:r w:rsidR="00E0237E" w:rsidRPr="001526A9">
        <w:rPr>
          <w:rStyle w:val="FootnoteReference"/>
          <w:rFonts w:ascii="Times New Roman" w:hAnsi="Times New Roman"/>
          <w:sz w:val="24"/>
        </w:rPr>
        <w:footnoteReference w:id="5"/>
      </w:r>
      <w:r w:rsidR="00E0237E" w:rsidRPr="001526A9">
        <w:rPr>
          <w:rFonts w:ascii="Times New Roman" w:hAnsi="Times New Roman"/>
        </w:rPr>
        <w:t xml:space="preserve"> </w:t>
      </w:r>
      <w:r w:rsidR="000F0FFE" w:rsidRPr="001526A9">
        <w:rPr>
          <w:rFonts w:ascii="Times New Roman" w:hAnsi="Times New Roman"/>
        </w:rPr>
        <w:t>In this report the</w:t>
      </w:r>
      <w:r w:rsidR="0021341D" w:rsidRPr="001526A9">
        <w:rPr>
          <w:rFonts w:ascii="Times New Roman" w:hAnsi="Times New Roman"/>
        </w:rPr>
        <w:t xml:space="preserve"> JSCEM</w:t>
      </w:r>
      <w:r w:rsidR="000F0FFE" w:rsidRPr="001526A9">
        <w:rPr>
          <w:rFonts w:ascii="Times New Roman" w:hAnsi="Times New Roman"/>
        </w:rPr>
        <w:t xml:space="preserve"> recognised the importance of authorising electoral material </w:t>
      </w:r>
      <w:r w:rsidR="00746D61" w:rsidRPr="001526A9">
        <w:rPr>
          <w:rFonts w:ascii="Times New Roman" w:hAnsi="Times New Roman"/>
        </w:rPr>
        <w:t>to provide "</w:t>
      </w:r>
      <w:r w:rsidR="001F1456" w:rsidRPr="001526A9">
        <w:rPr>
          <w:rFonts w:ascii="Times New Roman" w:hAnsi="Times New Roman"/>
        </w:rPr>
        <w:t xml:space="preserve">clear context for the message and [to allow] voters to have confidence in the message or point of view expressed in that material" while ensuring that </w:t>
      </w:r>
      <w:r w:rsidR="009B3CA8" w:rsidRPr="001526A9">
        <w:rPr>
          <w:rFonts w:ascii="Times New Roman" w:hAnsi="Times New Roman"/>
        </w:rPr>
        <w:t xml:space="preserve">"the person or organisation putting the information into the public domain is </w:t>
      </w:r>
      <w:r w:rsidR="009B3CA8" w:rsidRPr="001526A9">
        <w:rPr>
          <w:rFonts w:ascii="Times New Roman" w:hAnsi="Times New Roman"/>
        </w:rPr>
        <w:lastRenderedPageBreak/>
        <w:t>accountable for that information</w:t>
      </w:r>
      <w:r w:rsidR="004B438C" w:rsidRPr="001526A9">
        <w:rPr>
          <w:rFonts w:ascii="Times New Roman" w:hAnsi="Times New Roman"/>
        </w:rPr>
        <w:t>"</w:t>
      </w:r>
      <w:r w:rsidR="009B3CA8" w:rsidRPr="001526A9">
        <w:rPr>
          <w:rFonts w:ascii="Times New Roman" w:hAnsi="Times New Roman"/>
        </w:rPr>
        <w:t>.</w:t>
      </w:r>
      <w:r w:rsidR="009B3CA8" w:rsidRPr="001526A9">
        <w:rPr>
          <w:rStyle w:val="FootnoteReference"/>
          <w:rFonts w:ascii="Times New Roman" w:hAnsi="Times New Roman"/>
          <w:sz w:val="24"/>
        </w:rPr>
        <w:footnoteReference w:id="6"/>
      </w:r>
      <w:r w:rsidR="009B3CA8" w:rsidRPr="001526A9">
        <w:rPr>
          <w:rFonts w:ascii="Times New Roman" w:hAnsi="Times New Roman"/>
        </w:rPr>
        <w:t xml:space="preserve"> The report </w:t>
      </w:r>
      <w:r w:rsidR="00AE2630" w:rsidRPr="001526A9">
        <w:rPr>
          <w:rFonts w:ascii="Times New Roman" w:hAnsi="Times New Roman"/>
        </w:rPr>
        <w:t>identified</w:t>
      </w:r>
      <w:r w:rsidR="009B3CA8" w:rsidRPr="001526A9">
        <w:rPr>
          <w:rFonts w:ascii="Times New Roman" w:hAnsi="Times New Roman"/>
        </w:rPr>
        <w:t xml:space="preserve"> that the</w:t>
      </w:r>
      <w:r w:rsidR="00AE2630" w:rsidRPr="001526A9">
        <w:rPr>
          <w:rFonts w:ascii="Times New Roman" w:hAnsi="Times New Roman"/>
        </w:rPr>
        <w:t>re had been a shift from traditional communication methods to social media and SMS which had "</w:t>
      </w:r>
      <w:r w:rsidR="00542119" w:rsidRPr="001526A9">
        <w:rPr>
          <w:rFonts w:ascii="Times New Roman" w:hAnsi="Times New Roman"/>
        </w:rPr>
        <w:t>significantly changed the landscape for the modern political campaign</w:t>
      </w:r>
      <w:r w:rsidR="00F43A8F" w:rsidRPr="001526A9">
        <w:rPr>
          <w:rFonts w:ascii="Times New Roman" w:hAnsi="Times New Roman"/>
        </w:rPr>
        <w:t>"</w:t>
      </w:r>
      <w:r w:rsidR="00542119" w:rsidRPr="001526A9">
        <w:rPr>
          <w:rFonts w:ascii="Times New Roman" w:hAnsi="Times New Roman"/>
        </w:rPr>
        <w:t>.</w:t>
      </w:r>
      <w:r w:rsidR="00542119" w:rsidRPr="001526A9">
        <w:rPr>
          <w:rStyle w:val="FootnoteReference"/>
          <w:rFonts w:ascii="Times New Roman" w:hAnsi="Times New Roman"/>
          <w:sz w:val="24"/>
        </w:rPr>
        <w:footnoteReference w:id="7"/>
      </w:r>
      <w:r w:rsidR="00FF2EAF" w:rsidRPr="001526A9">
        <w:rPr>
          <w:rFonts w:ascii="Times New Roman" w:hAnsi="Times New Roman"/>
        </w:rPr>
        <w:t xml:space="preserve"> The </w:t>
      </w:r>
      <w:r w:rsidR="00293B6A" w:rsidRPr="001526A9">
        <w:rPr>
          <w:rFonts w:ascii="Times New Roman" w:hAnsi="Times New Roman"/>
        </w:rPr>
        <w:t xml:space="preserve">perceived </w:t>
      </w:r>
      <w:r w:rsidR="00FF2EAF" w:rsidRPr="001526A9">
        <w:rPr>
          <w:rFonts w:ascii="Times New Roman" w:hAnsi="Times New Roman"/>
        </w:rPr>
        <w:t xml:space="preserve">problem was that </w:t>
      </w:r>
      <w:r w:rsidR="00165B53" w:rsidRPr="001526A9">
        <w:rPr>
          <w:rFonts w:ascii="Times New Roman" w:hAnsi="Times New Roman"/>
        </w:rPr>
        <w:t>the legislation had "</w:t>
      </w:r>
      <w:r w:rsidR="00BF26F1" w:rsidRPr="001526A9">
        <w:rPr>
          <w:rFonts w:ascii="Times New Roman" w:hAnsi="Times New Roman"/>
        </w:rPr>
        <w:t>not kept up with modern methods of communication</w:t>
      </w:r>
      <w:r w:rsidR="00846A7C" w:rsidRPr="001526A9">
        <w:rPr>
          <w:rFonts w:ascii="Times New Roman" w:hAnsi="Times New Roman"/>
        </w:rPr>
        <w:t>"</w:t>
      </w:r>
      <w:r w:rsidR="00BF26F1" w:rsidRPr="001526A9">
        <w:rPr>
          <w:rFonts w:ascii="Times New Roman" w:hAnsi="Times New Roman"/>
        </w:rPr>
        <w:t>.</w:t>
      </w:r>
      <w:r w:rsidR="00BF26F1" w:rsidRPr="001526A9">
        <w:rPr>
          <w:rStyle w:val="FootnoteReference"/>
          <w:rFonts w:ascii="Times New Roman" w:hAnsi="Times New Roman"/>
          <w:sz w:val="24"/>
        </w:rPr>
        <w:footnoteReference w:id="8"/>
      </w:r>
    </w:p>
    <w:p w14:paraId="5D0ECDCC" w14:textId="63924E34" w:rsidR="00904611" w:rsidRPr="001526A9" w:rsidRDefault="00904611" w:rsidP="001526A9">
      <w:pPr>
        <w:pStyle w:val="FixListStyle"/>
        <w:spacing w:after="260" w:line="280" w:lineRule="exact"/>
        <w:ind w:right="0"/>
        <w:jc w:val="both"/>
        <w:rPr>
          <w:rFonts w:ascii="Times New Roman" w:hAnsi="Times New Roman"/>
        </w:rPr>
      </w:pPr>
      <w:r w:rsidRPr="001526A9">
        <w:rPr>
          <w:rFonts w:ascii="Times New Roman" w:hAnsi="Times New Roman"/>
        </w:rPr>
        <w:tab/>
        <w:t>The report recognised that communications technology was "rapidly evolving"</w:t>
      </w:r>
      <w:r w:rsidR="008020B2" w:rsidRPr="001526A9">
        <w:rPr>
          <w:rFonts w:ascii="Times New Roman" w:hAnsi="Times New Roman"/>
        </w:rPr>
        <w:t xml:space="preserve"> so that "SMS, email, '</w:t>
      </w:r>
      <w:proofErr w:type="spellStart"/>
      <w:r w:rsidR="008020B2" w:rsidRPr="001526A9">
        <w:rPr>
          <w:rFonts w:ascii="Times New Roman" w:hAnsi="Times New Roman"/>
        </w:rPr>
        <w:t>robo</w:t>
      </w:r>
      <w:proofErr w:type="spellEnd"/>
      <w:r w:rsidR="008020B2" w:rsidRPr="001526A9">
        <w:rPr>
          <w:rFonts w:ascii="Times New Roman" w:hAnsi="Times New Roman"/>
        </w:rPr>
        <w:t>-calling' and variations as yet unimagined will continue to be employed</w:t>
      </w:r>
      <w:r w:rsidR="004F14D7" w:rsidRPr="001526A9">
        <w:rPr>
          <w:rFonts w:ascii="Times New Roman" w:hAnsi="Times New Roman"/>
        </w:rPr>
        <w:t>"</w:t>
      </w:r>
      <w:r w:rsidR="008020B2" w:rsidRPr="001526A9">
        <w:rPr>
          <w:rFonts w:ascii="Times New Roman" w:hAnsi="Times New Roman"/>
        </w:rPr>
        <w:t>.</w:t>
      </w:r>
      <w:r w:rsidR="008020B2" w:rsidRPr="001526A9">
        <w:rPr>
          <w:rStyle w:val="FootnoteReference"/>
          <w:rFonts w:ascii="Times New Roman" w:hAnsi="Times New Roman"/>
          <w:sz w:val="24"/>
        </w:rPr>
        <w:footnoteReference w:id="9"/>
      </w:r>
      <w:r w:rsidR="00E00BEC" w:rsidRPr="001526A9">
        <w:rPr>
          <w:rFonts w:ascii="Times New Roman" w:hAnsi="Times New Roman"/>
        </w:rPr>
        <w:t xml:space="preserve"> </w:t>
      </w:r>
      <w:r w:rsidR="00981767" w:rsidRPr="001526A9">
        <w:rPr>
          <w:rFonts w:ascii="Times New Roman" w:hAnsi="Times New Roman"/>
        </w:rPr>
        <w:t xml:space="preserve">The report recorded that view of the </w:t>
      </w:r>
      <w:r w:rsidR="0021341D" w:rsidRPr="001526A9">
        <w:rPr>
          <w:rFonts w:ascii="Times New Roman" w:hAnsi="Times New Roman"/>
        </w:rPr>
        <w:t xml:space="preserve">JSCEM </w:t>
      </w:r>
      <w:r w:rsidR="00981767" w:rsidRPr="001526A9">
        <w:rPr>
          <w:rFonts w:ascii="Times New Roman" w:hAnsi="Times New Roman"/>
        </w:rPr>
        <w:t xml:space="preserve">that the </w:t>
      </w:r>
      <w:r w:rsidR="00F87525" w:rsidRPr="001526A9">
        <w:rPr>
          <w:rFonts w:ascii="Times New Roman" w:hAnsi="Times New Roman"/>
        </w:rPr>
        <w:t>"current requirements for authorisation for print and broadcast do not appropriately cover many new forms of communications of electoral materials</w:t>
      </w:r>
      <w:r w:rsidR="005773A4" w:rsidRPr="001526A9">
        <w:rPr>
          <w:rFonts w:ascii="Times New Roman" w:hAnsi="Times New Roman"/>
        </w:rPr>
        <w:t>"</w:t>
      </w:r>
      <w:r w:rsidR="00F87525" w:rsidRPr="001526A9">
        <w:rPr>
          <w:rFonts w:ascii="Times New Roman" w:hAnsi="Times New Roman"/>
        </w:rPr>
        <w:t>.</w:t>
      </w:r>
      <w:r w:rsidR="00F87525" w:rsidRPr="001526A9">
        <w:rPr>
          <w:rStyle w:val="FootnoteReference"/>
          <w:rFonts w:ascii="Times New Roman" w:hAnsi="Times New Roman"/>
          <w:sz w:val="24"/>
        </w:rPr>
        <w:footnoteReference w:id="10"/>
      </w:r>
      <w:r w:rsidR="006B4F96" w:rsidRPr="001526A9">
        <w:rPr>
          <w:rFonts w:ascii="Times New Roman" w:hAnsi="Times New Roman"/>
        </w:rPr>
        <w:t xml:space="preserve"> </w:t>
      </w:r>
      <w:r w:rsidR="00A80A83" w:rsidRPr="001526A9">
        <w:rPr>
          <w:rFonts w:ascii="Times New Roman" w:hAnsi="Times New Roman"/>
        </w:rPr>
        <w:t xml:space="preserve">The </w:t>
      </w:r>
      <w:r w:rsidR="0021341D" w:rsidRPr="001526A9">
        <w:rPr>
          <w:rFonts w:ascii="Times New Roman" w:hAnsi="Times New Roman"/>
        </w:rPr>
        <w:t xml:space="preserve">JSCEM </w:t>
      </w:r>
      <w:r w:rsidR="00A80A83" w:rsidRPr="001526A9">
        <w:rPr>
          <w:rFonts w:ascii="Times New Roman" w:hAnsi="Times New Roman"/>
        </w:rPr>
        <w:t>concluded that the legislation "</w:t>
      </w:r>
      <w:r w:rsidR="00CD57AB" w:rsidRPr="001526A9">
        <w:rPr>
          <w:rFonts w:ascii="Times New Roman" w:hAnsi="Times New Roman"/>
        </w:rPr>
        <w:t>requires amendment so that it can evolve to deal with new, digital forms of communication that have changed the landscape of political campaigns</w:t>
      </w:r>
      <w:r w:rsidR="00E24BFA" w:rsidRPr="001526A9">
        <w:rPr>
          <w:rFonts w:ascii="Times New Roman" w:hAnsi="Times New Roman"/>
        </w:rPr>
        <w:t>"</w:t>
      </w:r>
      <w:r w:rsidR="00CD57AB" w:rsidRPr="001526A9">
        <w:rPr>
          <w:rFonts w:ascii="Times New Roman" w:hAnsi="Times New Roman"/>
        </w:rPr>
        <w:t>.</w:t>
      </w:r>
      <w:r w:rsidR="00CD57AB" w:rsidRPr="001526A9">
        <w:rPr>
          <w:rStyle w:val="FootnoteReference"/>
          <w:rFonts w:ascii="Times New Roman" w:hAnsi="Times New Roman"/>
          <w:sz w:val="24"/>
        </w:rPr>
        <w:footnoteReference w:id="11"/>
      </w:r>
      <w:r w:rsidR="00CD57AB" w:rsidRPr="001526A9">
        <w:rPr>
          <w:rFonts w:ascii="Times New Roman" w:hAnsi="Times New Roman"/>
        </w:rPr>
        <w:t xml:space="preserve"> It recommended that</w:t>
      </w:r>
      <w:r w:rsidR="000F364F" w:rsidRPr="001526A9">
        <w:rPr>
          <w:rFonts w:ascii="Times New Roman" w:hAnsi="Times New Roman"/>
        </w:rPr>
        <w:t xml:space="preserve"> there be a "level playing field with </w:t>
      </w:r>
      <w:r w:rsidR="000F364F" w:rsidRPr="001526A9">
        <w:rPr>
          <w:rFonts w:ascii="Times New Roman" w:hAnsi="Times New Roman"/>
        </w:rPr>
        <w:lastRenderedPageBreak/>
        <w:t>regulation applying to all forms of electoral advertising"</w:t>
      </w:r>
      <w:r w:rsidR="00B831B8" w:rsidRPr="001526A9">
        <w:rPr>
          <w:rFonts w:ascii="Times New Roman" w:hAnsi="Times New Roman"/>
        </w:rPr>
        <w:t xml:space="preserve"> based on the principles of "accountability, traceability and consistency"</w:t>
      </w:r>
      <w:r w:rsidR="00AA5FF6" w:rsidRPr="001526A9">
        <w:rPr>
          <w:rFonts w:ascii="Times New Roman" w:hAnsi="Times New Roman"/>
        </w:rPr>
        <w:t>.</w:t>
      </w:r>
      <w:r w:rsidR="00B831B8" w:rsidRPr="001526A9">
        <w:rPr>
          <w:rStyle w:val="FootnoteReference"/>
          <w:rFonts w:ascii="Times New Roman" w:hAnsi="Times New Roman"/>
          <w:sz w:val="24"/>
        </w:rPr>
        <w:footnoteReference w:id="12"/>
      </w:r>
    </w:p>
    <w:p w14:paraId="405B70BA" w14:textId="289DE488" w:rsidR="00B831B8" w:rsidRPr="001526A9" w:rsidRDefault="00B831B8"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FD5084" w:rsidRPr="001526A9">
        <w:rPr>
          <w:rFonts w:ascii="Times New Roman" w:hAnsi="Times New Roman"/>
        </w:rPr>
        <w:t xml:space="preserve">The Second Reading Speech for the </w:t>
      </w:r>
      <w:r w:rsidR="00807407" w:rsidRPr="001526A9">
        <w:rPr>
          <w:rFonts w:ascii="Times New Roman" w:hAnsi="Times New Roman"/>
          <w:i/>
          <w:iCs/>
        </w:rPr>
        <w:t>Electoral and Other Legislation Amendment Bill 2017</w:t>
      </w:r>
      <w:r w:rsidR="00807407" w:rsidRPr="001526A9">
        <w:rPr>
          <w:rFonts w:ascii="Times New Roman" w:hAnsi="Times New Roman"/>
        </w:rPr>
        <w:t xml:space="preserve"> (</w:t>
      </w:r>
      <w:proofErr w:type="spellStart"/>
      <w:r w:rsidR="00807407" w:rsidRPr="001526A9">
        <w:rPr>
          <w:rFonts w:ascii="Times New Roman" w:hAnsi="Times New Roman"/>
        </w:rPr>
        <w:t>Cth</w:t>
      </w:r>
      <w:proofErr w:type="spellEnd"/>
      <w:r w:rsidR="00807407" w:rsidRPr="001526A9">
        <w:rPr>
          <w:rFonts w:ascii="Times New Roman" w:hAnsi="Times New Roman"/>
        </w:rPr>
        <w:t xml:space="preserve">) recorded that the </w:t>
      </w:r>
      <w:r w:rsidR="00AA727C" w:rsidRPr="001526A9">
        <w:rPr>
          <w:rFonts w:ascii="Times New Roman" w:hAnsi="Times New Roman"/>
        </w:rPr>
        <w:t>B</w:t>
      </w:r>
      <w:r w:rsidR="00807407" w:rsidRPr="001526A9">
        <w:rPr>
          <w:rFonts w:ascii="Times New Roman" w:hAnsi="Times New Roman"/>
        </w:rPr>
        <w:t xml:space="preserve">ill addressed the recommendations of the </w:t>
      </w:r>
      <w:r w:rsidR="0021341D" w:rsidRPr="001526A9">
        <w:rPr>
          <w:rFonts w:ascii="Times New Roman" w:hAnsi="Times New Roman"/>
        </w:rPr>
        <w:t xml:space="preserve">JSCEM </w:t>
      </w:r>
      <w:r w:rsidR="00807407" w:rsidRPr="001526A9">
        <w:rPr>
          <w:rFonts w:ascii="Times New Roman" w:hAnsi="Times New Roman"/>
        </w:rPr>
        <w:t xml:space="preserve">in </w:t>
      </w:r>
      <w:r w:rsidR="0021341D" w:rsidRPr="001526A9">
        <w:rPr>
          <w:rFonts w:ascii="Times New Roman" w:hAnsi="Times New Roman"/>
        </w:rPr>
        <w:t xml:space="preserve">its </w:t>
      </w:r>
      <w:r w:rsidR="00807407" w:rsidRPr="001526A9">
        <w:rPr>
          <w:rFonts w:ascii="Times New Roman" w:hAnsi="Times New Roman"/>
        </w:rPr>
        <w:t>report.</w:t>
      </w:r>
      <w:r w:rsidR="00807407" w:rsidRPr="001526A9">
        <w:rPr>
          <w:rStyle w:val="FootnoteReference"/>
          <w:rFonts w:ascii="Times New Roman" w:hAnsi="Times New Roman"/>
          <w:sz w:val="24"/>
        </w:rPr>
        <w:footnoteReference w:id="13"/>
      </w:r>
      <w:r w:rsidR="001F7289" w:rsidRPr="001526A9">
        <w:rPr>
          <w:rFonts w:ascii="Times New Roman" w:hAnsi="Times New Roman"/>
        </w:rPr>
        <w:t xml:space="preserve"> The </w:t>
      </w:r>
      <w:r w:rsidR="00AA727C" w:rsidRPr="001526A9">
        <w:rPr>
          <w:rFonts w:ascii="Times New Roman" w:hAnsi="Times New Roman"/>
        </w:rPr>
        <w:t>B</w:t>
      </w:r>
      <w:r w:rsidR="001F7289" w:rsidRPr="001526A9">
        <w:rPr>
          <w:rFonts w:ascii="Times New Roman" w:hAnsi="Times New Roman"/>
        </w:rPr>
        <w:t xml:space="preserve">ill was said to promote "free and informed voting at elections and referendums by allowing electors to know who is communicating with them" by </w:t>
      </w:r>
      <w:r w:rsidR="00C075ED" w:rsidRPr="001526A9">
        <w:rPr>
          <w:rFonts w:ascii="Times New Roman" w:hAnsi="Times New Roman"/>
        </w:rPr>
        <w:t>"extending current authorisation requirements and harmonising existing requirements across communication mediums</w:t>
      </w:r>
      <w:r w:rsidR="007C69C9" w:rsidRPr="001526A9">
        <w:rPr>
          <w:rFonts w:ascii="Times New Roman" w:hAnsi="Times New Roman"/>
        </w:rPr>
        <w:t>"</w:t>
      </w:r>
      <w:r w:rsidR="00C075ED" w:rsidRPr="001526A9">
        <w:rPr>
          <w:rFonts w:ascii="Times New Roman" w:hAnsi="Times New Roman"/>
        </w:rPr>
        <w:t>.</w:t>
      </w:r>
      <w:r w:rsidR="00C075ED" w:rsidRPr="001526A9">
        <w:rPr>
          <w:rStyle w:val="FootnoteReference"/>
          <w:rFonts w:ascii="Times New Roman" w:hAnsi="Times New Roman"/>
          <w:sz w:val="24"/>
        </w:rPr>
        <w:footnoteReference w:id="14"/>
      </w:r>
    </w:p>
    <w:p w14:paraId="5802CABB" w14:textId="4C550B20" w:rsidR="002734D7" w:rsidRPr="001526A9" w:rsidRDefault="002734D7" w:rsidP="001526A9">
      <w:pPr>
        <w:pStyle w:val="FixListStyle"/>
        <w:spacing w:after="260" w:line="280" w:lineRule="exact"/>
        <w:ind w:right="0"/>
        <w:jc w:val="both"/>
        <w:rPr>
          <w:rFonts w:ascii="Times New Roman" w:hAnsi="Times New Roman"/>
        </w:rPr>
      </w:pPr>
      <w:r w:rsidRPr="001526A9">
        <w:rPr>
          <w:rFonts w:ascii="Times New Roman" w:hAnsi="Times New Roman"/>
        </w:rPr>
        <w:tab/>
        <w:t xml:space="preserve">The Revised Explanatory Memorandum for the </w:t>
      </w:r>
      <w:r w:rsidR="00AA727C" w:rsidRPr="001526A9">
        <w:rPr>
          <w:rFonts w:ascii="Times New Roman" w:hAnsi="Times New Roman"/>
        </w:rPr>
        <w:t>B</w:t>
      </w:r>
      <w:r w:rsidRPr="001526A9">
        <w:rPr>
          <w:rFonts w:ascii="Times New Roman" w:hAnsi="Times New Roman"/>
        </w:rPr>
        <w:t xml:space="preserve">ill records that the </w:t>
      </w:r>
      <w:r w:rsidR="00AA727C" w:rsidRPr="001526A9">
        <w:rPr>
          <w:rFonts w:ascii="Times New Roman" w:hAnsi="Times New Roman"/>
        </w:rPr>
        <w:t>Bill "applies the electoral authorisation requirements to modern communication channels"</w:t>
      </w:r>
      <w:r w:rsidR="00522E5C" w:rsidRPr="001526A9">
        <w:rPr>
          <w:rFonts w:ascii="Times New Roman" w:hAnsi="Times New Roman"/>
        </w:rPr>
        <w:t xml:space="preserve">, </w:t>
      </w:r>
      <w:r w:rsidR="00AA727C" w:rsidRPr="001526A9">
        <w:rPr>
          <w:rFonts w:ascii="Times New Roman" w:hAnsi="Times New Roman"/>
        </w:rPr>
        <w:t>"</w:t>
      </w:r>
      <w:r w:rsidR="00522E5C" w:rsidRPr="001526A9">
        <w:rPr>
          <w:rFonts w:ascii="Times New Roman" w:hAnsi="Times New Roman"/>
        </w:rPr>
        <w:t>requires all paid electoral advertising (which includes distribution or production) to be authorised, no matter the source", and "replaces the current criminal non-compliance regime with a civil penalty regime to be administered by the Australian Electoral Commission".</w:t>
      </w:r>
      <w:r w:rsidR="00522E5C" w:rsidRPr="001526A9">
        <w:rPr>
          <w:rStyle w:val="FootnoteReference"/>
          <w:rFonts w:ascii="Times New Roman" w:hAnsi="Times New Roman"/>
          <w:sz w:val="24"/>
        </w:rPr>
        <w:footnoteReference w:id="15"/>
      </w:r>
      <w:r w:rsidR="003E6115" w:rsidRPr="001526A9">
        <w:rPr>
          <w:rFonts w:ascii="Times New Roman" w:hAnsi="Times New Roman"/>
        </w:rPr>
        <w:t xml:space="preserve"> The Revised Explanatory Memorandum, in respect of s 321D(5), says that the "</w:t>
      </w:r>
      <w:r w:rsidR="005628FE" w:rsidRPr="001526A9">
        <w:rPr>
          <w:rFonts w:ascii="Times New Roman" w:hAnsi="Times New Roman"/>
        </w:rPr>
        <w:t xml:space="preserve">amount of the relevant penalty is calculated in accordance with section 4AA of the </w:t>
      </w:r>
      <w:r w:rsidR="005628FE" w:rsidRPr="001526A9">
        <w:rPr>
          <w:rFonts w:ascii="Times New Roman" w:hAnsi="Times New Roman"/>
          <w:i/>
          <w:iCs/>
        </w:rPr>
        <w:t>Crimes Act 1914</w:t>
      </w:r>
      <w:r w:rsidR="005628FE" w:rsidRPr="001526A9">
        <w:rPr>
          <w:rFonts w:ascii="Times New Roman" w:hAnsi="Times New Roman"/>
        </w:rPr>
        <w:t>, and is commensurate with similar Commonwealth regulatory regimes</w:t>
      </w:r>
      <w:r w:rsidR="00F92AA1" w:rsidRPr="001526A9">
        <w:rPr>
          <w:rFonts w:ascii="Times New Roman" w:hAnsi="Times New Roman"/>
        </w:rPr>
        <w:t>"</w:t>
      </w:r>
      <w:r w:rsidR="005628FE" w:rsidRPr="001526A9">
        <w:rPr>
          <w:rFonts w:ascii="Times New Roman" w:hAnsi="Times New Roman"/>
        </w:rPr>
        <w:t>.</w:t>
      </w:r>
      <w:r w:rsidR="005628FE" w:rsidRPr="001526A9">
        <w:rPr>
          <w:rStyle w:val="FootnoteReference"/>
          <w:rFonts w:ascii="Times New Roman" w:hAnsi="Times New Roman"/>
          <w:sz w:val="24"/>
        </w:rPr>
        <w:footnoteReference w:id="16"/>
      </w:r>
      <w:r w:rsidR="00101786" w:rsidRPr="001526A9">
        <w:rPr>
          <w:rFonts w:ascii="Times New Roman" w:hAnsi="Times New Roman"/>
        </w:rPr>
        <w:t xml:space="preserve"> These regimes are not identified.</w:t>
      </w:r>
    </w:p>
    <w:p w14:paraId="4184FF63" w14:textId="08F2E1D9" w:rsidR="00D55DFF" w:rsidRPr="001526A9" w:rsidRDefault="004A1AF4" w:rsidP="001526A9">
      <w:pPr>
        <w:pStyle w:val="HeadingL1"/>
        <w:spacing w:after="260" w:line="280" w:lineRule="exact"/>
        <w:ind w:right="0"/>
        <w:jc w:val="both"/>
        <w:rPr>
          <w:rFonts w:ascii="Times New Roman" w:hAnsi="Times New Roman"/>
        </w:rPr>
      </w:pPr>
      <w:r w:rsidRPr="001526A9">
        <w:rPr>
          <w:rFonts w:ascii="Times New Roman" w:hAnsi="Times New Roman"/>
        </w:rPr>
        <w:t>T</w:t>
      </w:r>
      <w:r w:rsidR="00D55DFF" w:rsidRPr="001526A9">
        <w:rPr>
          <w:rFonts w:ascii="Times New Roman" w:hAnsi="Times New Roman"/>
        </w:rPr>
        <w:t xml:space="preserve">he </w:t>
      </w:r>
      <w:r w:rsidRPr="001526A9">
        <w:rPr>
          <w:rFonts w:ascii="Times New Roman" w:hAnsi="Times New Roman"/>
        </w:rPr>
        <w:t>statutory</w:t>
      </w:r>
      <w:r w:rsidR="00D55DFF" w:rsidRPr="001526A9">
        <w:rPr>
          <w:rFonts w:ascii="Times New Roman" w:hAnsi="Times New Roman"/>
        </w:rPr>
        <w:t xml:space="preserve"> provisions</w:t>
      </w:r>
    </w:p>
    <w:p w14:paraId="4F1247CD" w14:textId="065EE2C3" w:rsidR="004A1AF4" w:rsidRPr="001526A9" w:rsidRDefault="004A1AF4"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FD2D28" w:rsidRPr="001526A9">
        <w:rPr>
          <w:rFonts w:ascii="Times New Roman" w:hAnsi="Times New Roman"/>
        </w:rPr>
        <w:t>Section 321C</w:t>
      </w:r>
      <w:r w:rsidR="00F73663" w:rsidRPr="001526A9">
        <w:rPr>
          <w:rFonts w:ascii="Times New Roman" w:hAnsi="Times New Roman"/>
        </w:rPr>
        <w:t>(1)</w:t>
      </w:r>
      <w:r w:rsidR="00FD2D28" w:rsidRPr="001526A9">
        <w:rPr>
          <w:rFonts w:ascii="Times New Roman" w:hAnsi="Times New Roman"/>
        </w:rPr>
        <w:t xml:space="preserve"> </w:t>
      </w:r>
      <w:r w:rsidR="00581CE5" w:rsidRPr="001526A9">
        <w:rPr>
          <w:rFonts w:ascii="Times New Roman" w:hAnsi="Times New Roman"/>
        </w:rPr>
        <w:t>specifies that the object</w:t>
      </w:r>
      <w:r w:rsidR="00EF59F2" w:rsidRPr="001526A9">
        <w:rPr>
          <w:rFonts w:ascii="Times New Roman" w:hAnsi="Times New Roman"/>
        </w:rPr>
        <w:t>s</w:t>
      </w:r>
      <w:r w:rsidR="00581CE5" w:rsidRPr="001526A9">
        <w:rPr>
          <w:rFonts w:ascii="Times New Roman" w:hAnsi="Times New Roman"/>
        </w:rPr>
        <w:t xml:space="preserve"> of Pt XXA (in</w:t>
      </w:r>
      <w:r w:rsidR="003C2D1F" w:rsidRPr="001526A9">
        <w:rPr>
          <w:rFonts w:ascii="Times New Roman" w:hAnsi="Times New Roman"/>
        </w:rPr>
        <w:t>to</w:t>
      </w:r>
      <w:r w:rsidR="00581CE5" w:rsidRPr="001526A9">
        <w:rPr>
          <w:rFonts w:ascii="Times New Roman" w:hAnsi="Times New Roman"/>
        </w:rPr>
        <w:t xml:space="preserve"> which ss 321</w:t>
      </w:r>
      <w:r w:rsidR="00A131F2" w:rsidRPr="001526A9">
        <w:rPr>
          <w:rFonts w:ascii="Times New Roman" w:hAnsi="Times New Roman"/>
        </w:rPr>
        <w:t>B</w:t>
      </w:r>
      <w:r w:rsidR="00581CE5" w:rsidRPr="001526A9">
        <w:rPr>
          <w:rFonts w:ascii="Times New Roman" w:hAnsi="Times New Roman"/>
        </w:rPr>
        <w:t xml:space="preserve">-321H were inserted) </w:t>
      </w:r>
      <w:r w:rsidR="00EF59F2" w:rsidRPr="001526A9">
        <w:rPr>
          <w:rFonts w:ascii="Times New Roman" w:hAnsi="Times New Roman"/>
        </w:rPr>
        <w:t xml:space="preserve">are </w:t>
      </w:r>
      <w:r w:rsidR="008461A2" w:rsidRPr="001526A9">
        <w:rPr>
          <w:rFonts w:ascii="Times New Roman" w:hAnsi="Times New Roman"/>
        </w:rPr>
        <w:t>to promote free and informed voting at elections by enhancing: (a) the transparency of the electoral system, by allowing voters to know who is communicating electoral matter; (b) </w:t>
      </w:r>
      <w:r w:rsidR="00F73663" w:rsidRPr="001526A9">
        <w:rPr>
          <w:rFonts w:ascii="Times New Roman" w:hAnsi="Times New Roman"/>
        </w:rPr>
        <w:t xml:space="preserve">the accountability of those persons participating in public debate relating to electoral matter, by making those persons responsible for their communications; and (c) the traceability of communications </w:t>
      </w:r>
      <w:r w:rsidR="00F73663" w:rsidRPr="001526A9">
        <w:rPr>
          <w:rFonts w:ascii="Times New Roman" w:hAnsi="Times New Roman"/>
        </w:rPr>
        <w:lastRenderedPageBreak/>
        <w:t xml:space="preserve">of electoral matter, by ensuring that obligations imposed by this Part in relation to those communications can be enforced. </w:t>
      </w:r>
      <w:r w:rsidR="007D1034" w:rsidRPr="001526A9">
        <w:rPr>
          <w:rFonts w:ascii="Times New Roman" w:hAnsi="Times New Roman"/>
        </w:rPr>
        <w:t>According to s 321</w:t>
      </w:r>
      <w:proofErr w:type="gramStart"/>
      <w:r w:rsidR="007D1034" w:rsidRPr="001526A9">
        <w:rPr>
          <w:rFonts w:ascii="Times New Roman" w:hAnsi="Times New Roman"/>
        </w:rPr>
        <w:t>C(</w:t>
      </w:r>
      <w:proofErr w:type="gramEnd"/>
      <w:r w:rsidR="007D1034" w:rsidRPr="001526A9">
        <w:rPr>
          <w:rFonts w:ascii="Times New Roman" w:hAnsi="Times New Roman"/>
        </w:rPr>
        <w:t>2):</w:t>
      </w:r>
    </w:p>
    <w:p w14:paraId="0FB309B6" w14:textId="77777777" w:rsidR="007D1034" w:rsidRPr="001526A9" w:rsidRDefault="007D1034" w:rsidP="001526A9">
      <w:pPr>
        <w:pStyle w:val="leftright"/>
        <w:spacing w:before="0" w:after="260" w:line="280" w:lineRule="exact"/>
        <w:ind w:right="0"/>
        <w:jc w:val="both"/>
        <w:rPr>
          <w:rFonts w:ascii="Times New Roman" w:hAnsi="Times New Roman"/>
        </w:rPr>
      </w:pPr>
      <w:r w:rsidRPr="001526A9">
        <w:rPr>
          <w:rFonts w:ascii="Times New Roman" w:hAnsi="Times New Roman"/>
        </w:rPr>
        <w:t>"This Part aims to achieve these objects by doing the following:</w:t>
      </w:r>
    </w:p>
    <w:p w14:paraId="628853F2" w14:textId="277D5BCF" w:rsidR="007D1034" w:rsidRPr="001526A9" w:rsidRDefault="00E108E1" w:rsidP="001526A9">
      <w:pPr>
        <w:pStyle w:val="leftright"/>
        <w:spacing w:before="0" w:after="260" w:line="280" w:lineRule="exact"/>
        <w:ind w:left="1440" w:right="0" w:hanging="1440"/>
        <w:jc w:val="both"/>
        <w:rPr>
          <w:rFonts w:ascii="Times New Roman" w:hAnsi="Times New Roman"/>
        </w:rPr>
      </w:pPr>
      <w:r w:rsidRPr="001526A9">
        <w:rPr>
          <w:rFonts w:ascii="Times New Roman" w:hAnsi="Times New Roman"/>
        </w:rPr>
        <w:tab/>
      </w:r>
      <w:r w:rsidR="007D1034" w:rsidRPr="001526A9">
        <w:rPr>
          <w:rFonts w:ascii="Times New Roman" w:hAnsi="Times New Roman"/>
        </w:rPr>
        <w:t xml:space="preserve">(a) </w:t>
      </w:r>
      <w:r w:rsidRPr="001526A9">
        <w:rPr>
          <w:rFonts w:ascii="Times New Roman" w:hAnsi="Times New Roman"/>
        </w:rPr>
        <w:tab/>
      </w:r>
      <w:r w:rsidR="007D1034" w:rsidRPr="001526A9">
        <w:rPr>
          <w:rFonts w:ascii="Times New Roman" w:hAnsi="Times New Roman"/>
        </w:rPr>
        <w:t>requiring the particulars of the person who authorised the communication of electoral matter to be notified if:</w:t>
      </w:r>
    </w:p>
    <w:p w14:paraId="23095A09" w14:textId="508FB649" w:rsidR="007D1034" w:rsidRPr="001526A9" w:rsidRDefault="00E108E1" w:rsidP="001526A9">
      <w:pPr>
        <w:pStyle w:val="leftright"/>
        <w:spacing w:before="0" w:after="260" w:line="280" w:lineRule="exact"/>
        <w:ind w:left="2160" w:right="0" w:hanging="2160"/>
        <w:jc w:val="both"/>
        <w:rPr>
          <w:rFonts w:ascii="Times New Roman" w:hAnsi="Times New Roman"/>
        </w:rPr>
      </w:pPr>
      <w:r w:rsidRPr="001526A9">
        <w:rPr>
          <w:rFonts w:ascii="Times New Roman" w:hAnsi="Times New Roman"/>
        </w:rPr>
        <w:tab/>
      </w:r>
      <w:r w:rsidRPr="001526A9">
        <w:rPr>
          <w:rFonts w:ascii="Times New Roman" w:hAnsi="Times New Roman"/>
        </w:rPr>
        <w:tab/>
      </w:r>
      <w:r w:rsidR="007D1034" w:rsidRPr="001526A9">
        <w:rPr>
          <w:rFonts w:ascii="Times New Roman" w:hAnsi="Times New Roman"/>
        </w:rPr>
        <w:t>(</w:t>
      </w:r>
      <w:proofErr w:type="spellStart"/>
      <w:r w:rsidR="007D1034" w:rsidRPr="001526A9">
        <w:rPr>
          <w:rFonts w:ascii="Times New Roman" w:hAnsi="Times New Roman"/>
        </w:rPr>
        <w:t>i</w:t>
      </w:r>
      <w:proofErr w:type="spellEnd"/>
      <w:r w:rsidR="007D1034" w:rsidRPr="001526A9">
        <w:rPr>
          <w:rFonts w:ascii="Times New Roman" w:hAnsi="Times New Roman"/>
        </w:rPr>
        <w:t xml:space="preserve">) </w:t>
      </w:r>
      <w:r w:rsidRPr="001526A9">
        <w:rPr>
          <w:rFonts w:ascii="Times New Roman" w:hAnsi="Times New Roman"/>
        </w:rPr>
        <w:tab/>
      </w:r>
      <w:r w:rsidR="007D1034" w:rsidRPr="001526A9">
        <w:rPr>
          <w:rFonts w:ascii="Times New Roman" w:hAnsi="Times New Roman"/>
        </w:rPr>
        <w:t>the matter is an electoral advertisement, all or part of whose distribution or production is paid for; or</w:t>
      </w:r>
    </w:p>
    <w:p w14:paraId="38CFCD0F" w14:textId="60218AC4" w:rsidR="007D1034" w:rsidRPr="001526A9" w:rsidRDefault="00FE6DC0" w:rsidP="001526A9">
      <w:pPr>
        <w:pStyle w:val="leftright"/>
        <w:spacing w:before="0" w:after="260" w:line="280" w:lineRule="exact"/>
        <w:ind w:left="2160" w:right="0" w:hanging="2160"/>
        <w:jc w:val="both"/>
        <w:rPr>
          <w:rFonts w:ascii="Times New Roman" w:hAnsi="Times New Roman"/>
        </w:rPr>
      </w:pPr>
      <w:r w:rsidRPr="001526A9">
        <w:rPr>
          <w:rFonts w:ascii="Times New Roman" w:hAnsi="Times New Roman"/>
        </w:rPr>
        <w:tab/>
      </w:r>
      <w:r w:rsidRPr="001526A9">
        <w:rPr>
          <w:rFonts w:ascii="Times New Roman" w:hAnsi="Times New Roman"/>
        </w:rPr>
        <w:tab/>
      </w:r>
      <w:r w:rsidR="007D1034" w:rsidRPr="001526A9">
        <w:rPr>
          <w:rFonts w:ascii="Times New Roman" w:hAnsi="Times New Roman"/>
        </w:rPr>
        <w:t xml:space="preserve">(ii) </w:t>
      </w:r>
      <w:r w:rsidRPr="001526A9">
        <w:rPr>
          <w:rFonts w:ascii="Times New Roman" w:hAnsi="Times New Roman"/>
        </w:rPr>
        <w:tab/>
      </w:r>
      <w:r w:rsidR="007D1034" w:rsidRPr="001526A9">
        <w:rPr>
          <w:rFonts w:ascii="Times New Roman" w:hAnsi="Times New Roman"/>
        </w:rPr>
        <w:t>the matter forms part of a specified printed communication; or</w:t>
      </w:r>
    </w:p>
    <w:p w14:paraId="16FA7E5C" w14:textId="15A19772" w:rsidR="007D1034" w:rsidRPr="001526A9" w:rsidRDefault="00FE6DC0" w:rsidP="001526A9">
      <w:pPr>
        <w:pStyle w:val="leftright"/>
        <w:spacing w:before="0" w:after="260" w:line="280" w:lineRule="exact"/>
        <w:ind w:left="2160" w:right="0" w:hanging="2160"/>
        <w:jc w:val="both"/>
        <w:rPr>
          <w:rFonts w:ascii="Times New Roman" w:hAnsi="Times New Roman"/>
        </w:rPr>
      </w:pPr>
      <w:r w:rsidRPr="001526A9">
        <w:rPr>
          <w:rFonts w:ascii="Times New Roman" w:hAnsi="Times New Roman"/>
        </w:rPr>
        <w:tab/>
      </w:r>
      <w:r w:rsidRPr="001526A9">
        <w:rPr>
          <w:rFonts w:ascii="Times New Roman" w:hAnsi="Times New Roman"/>
        </w:rPr>
        <w:tab/>
      </w:r>
      <w:r w:rsidR="007D1034" w:rsidRPr="001526A9">
        <w:rPr>
          <w:rFonts w:ascii="Times New Roman" w:hAnsi="Times New Roman"/>
        </w:rPr>
        <w:t xml:space="preserve">(iii) </w:t>
      </w:r>
      <w:r w:rsidRPr="001526A9">
        <w:rPr>
          <w:rFonts w:ascii="Times New Roman" w:hAnsi="Times New Roman"/>
        </w:rPr>
        <w:tab/>
      </w:r>
      <w:r w:rsidR="007D1034" w:rsidRPr="001526A9">
        <w:rPr>
          <w:rFonts w:ascii="Times New Roman" w:hAnsi="Times New Roman"/>
        </w:rPr>
        <w:t xml:space="preserve">the matter is communicated by, or on behalf of, a disclosure </w:t>
      </w:r>
      <w:proofErr w:type="gramStart"/>
      <w:r w:rsidR="007D1034" w:rsidRPr="001526A9">
        <w:rPr>
          <w:rFonts w:ascii="Times New Roman" w:hAnsi="Times New Roman"/>
        </w:rPr>
        <w:t>entity;</w:t>
      </w:r>
      <w:proofErr w:type="gramEnd"/>
    </w:p>
    <w:p w14:paraId="734D18C9" w14:textId="77777777" w:rsidR="001526A9" w:rsidRDefault="00FE6DC0" w:rsidP="001526A9">
      <w:pPr>
        <w:pStyle w:val="leftright"/>
        <w:spacing w:before="0" w:after="260" w:line="280" w:lineRule="exact"/>
        <w:ind w:left="1440" w:right="0" w:hanging="1440"/>
        <w:jc w:val="both"/>
        <w:rPr>
          <w:rFonts w:ascii="Times New Roman" w:hAnsi="Times New Roman"/>
        </w:rPr>
      </w:pPr>
      <w:r w:rsidRPr="001526A9">
        <w:rPr>
          <w:rFonts w:ascii="Times New Roman" w:hAnsi="Times New Roman"/>
        </w:rPr>
        <w:tab/>
      </w:r>
      <w:r w:rsidR="007D1034" w:rsidRPr="001526A9">
        <w:rPr>
          <w:rFonts w:ascii="Times New Roman" w:hAnsi="Times New Roman"/>
        </w:rPr>
        <w:t xml:space="preserve">(b) </w:t>
      </w:r>
      <w:r w:rsidRPr="001526A9">
        <w:rPr>
          <w:rFonts w:ascii="Times New Roman" w:hAnsi="Times New Roman"/>
        </w:rPr>
        <w:tab/>
      </w:r>
      <w:r w:rsidR="007D1034" w:rsidRPr="001526A9">
        <w:rPr>
          <w:rFonts w:ascii="Times New Roman" w:hAnsi="Times New Roman"/>
        </w:rPr>
        <w:t>ensuring that the particulars are clearly identifiable, irrespective of how the matter is communicated."</w:t>
      </w:r>
    </w:p>
    <w:p w14:paraId="476B8FAB" w14:textId="4356C840" w:rsidR="00CC274A" w:rsidRPr="001526A9" w:rsidRDefault="007D1034"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F421D9" w:rsidRPr="001526A9">
        <w:rPr>
          <w:rFonts w:ascii="Times New Roman" w:hAnsi="Times New Roman"/>
        </w:rPr>
        <w:t>Section 321</w:t>
      </w:r>
      <w:proofErr w:type="gramStart"/>
      <w:r w:rsidR="00F421D9" w:rsidRPr="001526A9">
        <w:rPr>
          <w:rFonts w:ascii="Times New Roman" w:hAnsi="Times New Roman"/>
        </w:rPr>
        <w:t>C(</w:t>
      </w:r>
      <w:proofErr w:type="gramEnd"/>
      <w:r w:rsidR="00F421D9" w:rsidRPr="001526A9">
        <w:rPr>
          <w:rFonts w:ascii="Times New Roman" w:hAnsi="Times New Roman"/>
        </w:rPr>
        <w:t>3) is in these terms:</w:t>
      </w:r>
    </w:p>
    <w:p w14:paraId="43A72EBE" w14:textId="6D13E65E" w:rsidR="00DC45DF" w:rsidRPr="001526A9" w:rsidRDefault="00F421D9" w:rsidP="001526A9">
      <w:pPr>
        <w:pStyle w:val="leftright"/>
        <w:spacing w:before="0" w:after="260" w:line="280" w:lineRule="exact"/>
        <w:ind w:right="0"/>
        <w:jc w:val="both"/>
        <w:rPr>
          <w:rFonts w:ascii="Times New Roman" w:hAnsi="Times New Roman"/>
        </w:rPr>
      </w:pPr>
      <w:r w:rsidRPr="001526A9">
        <w:rPr>
          <w:rFonts w:ascii="Times New Roman" w:hAnsi="Times New Roman"/>
        </w:rPr>
        <w:t>"</w:t>
      </w:r>
      <w:r w:rsidR="00DC45DF" w:rsidRPr="001526A9">
        <w:rPr>
          <w:rFonts w:ascii="Times New Roman" w:hAnsi="Times New Roman"/>
        </w:rPr>
        <w:t>This Part is not intended to detract from:</w:t>
      </w:r>
    </w:p>
    <w:p w14:paraId="7FB8F993" w14:textId="5528D566" w:rsidR="00DC45DF" w:rsidRPr="001526A9" w:rsidRDefault="007D2553" w:rsidP="001526A9">
      <w:pPr>
        <w:pStyle w:val="leftright"/>
        <w:spacing w:before="0" w:after="260" w:line="280" w:lineRule="exact"/>
        <w:ind w:left="1440" w:right="0" w:hanging="1440"/>
        <w:jc w:val="both"/>
        <w:rPr>
          <w:rFonts w:ascii="Times New Roman" w:hAnsi="Times New Roman"/>
        </w:rPr>
      </w:pPr>
      <w:r w:rsidRPr="001526A9">
        <w:rPr>
          <w:rFonts w:ascii="Times New Roman" w:hAnsi="Times New Roman"/>
        </w:rPr>
        <w:tab/>
      </w:r>
      <w:r w:rsidR="00DC45DF" w:rsidRPr="001526A9">
        <w:rPr>
          <w:rFonts w:ascii="Times New Roman" w:hAnsi="Times New Roman"/>
        </w:rPr>
        <w:t xml:space="preserve">(a) </w:t>
      </w:r>
      <w:r w:rsidRPr="001526A9">
        <w:rPr>
          <w:rFonts w:ascii="Times New Roman" w:hAnsi="Times New Roman"/>
        </w:rPr>
        <w:tab/>
      </w:r>
      <w:r w:rsidR="00DC45DF" w:rsidRPr="001526A9">
        <w:rPr>
          <w:rFonts w:ascii="Times New Roman" w:hAnsi="Times New Roman"/>
        </w:rPr>
        <w:t>the ability of electoral matters to be communicated to voters; and</w:t>
      </w:r>
    </w:p>
    <w:p w14:paraId="13EB29D1" w14:textId="77777777" w:rsidR="001526A9" w:rsidRDefault="007D2553" w:rsidP="001526A9">
      <w:pPr>
        <w:pStyle w:val="leftright"/>
        <w:spacing w:before="0" w:after="260" w:line="280" w:lineRule="exact"/>
        <w:ind w:left="1440" w:right="0" w:hanging="1440"/>
        <w:jc w:val="both"/>
        <w:rPr>
          <w:rFonts w:ascii="Times New Roman" w:hAnsi="Times New Roman"/>
        </w:rPr>
      </w:pPr>
      <w:r w:rsidRPr="001526A9">
        <w:rPr>
          <w:rFonts w:ascii="Times New Roman" w:hAnsi="Times New Roman"/>
        </w:rPr>
        <w:tab/>
      </w:r>
      <w:r w:rsidR="00DC45DF" w:rsidRPr="001526A9">
        <w:rPr>
          <w:rFonts w:ascii="Times New Roman" w:hAnsi="Times New Roman"/>
        </w:rPr>
        <w:t xml:space="preserve">(b) </w:t>
      </w:r>
      <w:r w:rsidRPr="001526A9">
        <w:rPr>
          <w:rFonts w:ascii="Times New Roman" w:hAnsi="Times New Roman"/>
        </w:rPr>
        <w:tab/>
      </w:r>
      <w:r w:rsidR="00DC45DF" w:rsidRPr="001526A9">
        <w:rPr>
          <w:rFonts w:ascii="Times New Roman" w:hAnsi="Times New Roman"/>
        </w:rPr>
        <w:t>voters' ability to communicate with each other on electoral matters."</w:t>
      </w:r>
    </w:p>
    <w:p w14:paraId="1609C864" w14:textId="721111F7" w:rsidR="007D1034" w:rsidRPr="001526A9" w:rsidRDefault="00CC274A"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7D1034" w:rsidRPr="001526A9">
        <w:rPr>
          <w:rFonts w:ascii="Times New Roman" w:hAnsi="Times New Roman"/>
        </w:rPr>
        <w:t xml:space="preserve">Section 321D is the key provision. </w:t>
      </w:r>
      <w:r w:rsidR="006F5CF0" w:rsidRPr="001526A9">
        <w:rPr>
          <w:rFonts w:ascii="Times New Roman" w:hAnsi="Times New Roman"/>
        </w:rPr>
        <w:t>Section 321</w:t>
      </w:r>
      <w:proofErr w:type="gramStart"/>
      <w:r w:rsidR="006F5CF0" w:rsidRPr="001526A9">
        <w:rPr>
          <w:rFonts w:ascii="Times New Roman" w:hAnsi="Times New Roman"/>
        </w:rPr>
        <w:t>D(</w:t>
      </w:r>
      <w:proofErr w:type="gramEnd"/>
      <w:r w:rsidR="006F5CF0" w:rsidRPr="001526A9">
        <w:rPr>
          <w:rFonts w:ascii="Times New Roman" w:hAnsi="Times New Roman"/>
        </w:rPr>
        <w:t xml:space="preserve">1) </w:t>
      </w:r>
      <w:r w:rsidR="00C84FEE" w:rsidRPr="001526A9">
        <w:rPr>
          <w:rFonts w:ascii="Times New Roman" w:hAnsi="Times New Roman"/>
        </w:rPr>
        <w:t xml:space="preserve">relevantly </w:t>
      </w:r>
      <w:r w:rsidR="006F5CF0" w:rsidRPr="001526A9">
        <w:rPr>
          <w:rFonts w:ascii="Times New Roman" w:hAnsi="Times New Roman"/>
        </w:rPr>
        <w:t>provides that:</w:t>
      </w:r>
    </w:p>
    <w:p w14:paraId="30F2442E" w14:textId="3BF7E7E2" w:rsidR="006F5CF0" w:rsidRPr="001526A9" w:rsidRDefault="006F5CF0" w:rsidP="001526A9">
      <w:pPr>
        <w:pStyle w:val="leftright"/>
        <w:spacing w:before="0" w:after="260" w:line="280" w:lineRule="exact"/>
        <w:ind w:right="0"/>
        <w:jc w:val="both"/>
        <w:rPr>
          <w:rFonts w:ascii="Times New Roman" w:hAnsi="Times New Roman"/>
        </w:rPr>
      </w:pPr>
      <w:r w:rsidRPr="001526A9">
        <w:rPr>
          <w:rFonts w:ascii="Times New Roman" w:hAnsi="Times New Roman"/>
        </w:rPr>
        <w:t>"This section applies in relation to electoral matter that is communicated to a person if:</w:t>
      </w:r>
    </w:p>
    <w:p w14:paraId="592E7339" w14:textId="6552F6DE" w:rsidR="006F5CF0" w:rsidRPr="001526A9" w:rsidRDefault="007D2553" w:rsidP="001526A9">
      <w:pPr>
        <w:pStyle w:val="leftright"/>
        <w:spacing w:before="0" w:after="260" w:line="280" w:lineRule="exact"/>
        <w:ind w:left="0" w:right="0"/>
        <w:jc w:val="both"/>
        <w:rPr>
          <w:rFonts w:ascii="Times New Roman" w:hAnsi="Times New Roman"/>
        </w:rPr>
      </w:pPr>
      <w:r w:rsidRPr="001526A9">
        <w:rPr>
          <w:rFonts w:ascii="Times New Roman" w:hAnsi="Times New Roman"/>
        </w:rPr>
        <w:tab/>
      </w:r>
      <w:r w:rsidR="006F5CF0" w:rsidRPr="001526A9">
        <w:rPr>
          <w:rFonts w:ascii="Times New Roman" w:hAnsi="Times New Roman"/>
        </w:rPr>
        <w:t xml:space="preserve">(a) </w:t>
      </w:r>
      <w:r w:rsidRPr="001526A9">
        <w:rPr>
          <w:rFonts w:ascii="Times New Roman" w:hAnsi="Times New Roman"/>
        </w:rPr>
        <w:tab/>
      </w:r>
      <w:proofErr w:type="gramStart"/>
      <w:r w:rsidR="006F5CF0" w:rsidRPr="001526A9">
        <w:rPr>
          <w:rFonts w:ascii="Times New Roman" w:hAnsi="Times New Roman"/>
        </w:rPr>
        <w:t>all of</w:t>
      </w:r>
      <w:proofErr w:type="gramEnd"/>
      <w:r w:rsidR="006F5CF0" w:rsidRPr="001526A9">
        <w:rPr>
          <w:rFonts w:ascii="Times New Roman" w:hAnsi="Times New Roman"/>
        </w:rPr>
        <w:t xml:space="preserve"> the following apply:</w:t>
      </w:r>
    </w:p>
    <w:p w14:paraId="66073BBB" w14:textId="3F556C46" w:rsidR="006F5CF0" w:rsidRPr="001526A9" w:rsidRDefault="007D2553" w:rsidP="001526A9">
      <w:pPr>
        <w:pStyle w:val="leftright"/>
        <w:spacing w:before="0" w:after="260" w:line="280" w:lineRule="exact"/>
        <w:ind w:left="2160" w:right="0" w:hanging="2160"/>
        <w:jc w:val="both"/>
        <w:rPr>
          <w:rFonts w:ascii="Times New Roman" w:hAnsi="Times New Roman"/>
        </w:rPr>
      </w:pPr>
      <w:r w:rsidRPr="001526A9">
        <w:rPr>
          <w:rFonts w:ascii="Times New Roman" w:hAnsi="Times New Roman"/>
        </w:rPr>
        <w:tab/>
      </w:r>
      <w:r w:rsidRPr="001526A9">
        <w:rPr>
          <w:rFonts w:ascii="Times New Roman" w:hAnsi="Times New Roman"/>
        </w:rPr>
        <w:tab/>
      </w:r>
      <w:r w:rsidR="006F5CF0" w:rsidRPr="001526A9">
        <w:rPr>
          <w:rFonts w:ascii="Times New Roman" w:hAnsi="Times New Roman"/>
        </w:rPr>
        <w:t>(</w:t>
      </w:r>
      <w:proofErr w:type="spellStart"/>
      <w:r w:rsidR="006F5CF0" w:rsidRPr="001526A9">
        <w:rPr>
          <w:rFonts w:ascii="Times New Roman" w:hAnsi="Times New Roman"/>
        </w:rPr>
        <w:t>i</w:t>
      </w:r>
      <w:proofErr w:type="spellEnd"/>
      <w:r w:rsidR="006F5CF0" w:rsidRPr="001526A9">
        <w:rPr>
          <w:rFonts w:ascii="Times New Roman" w:hAnsi="Times New Roman"/>
        </w:rPr>
        <w:t xml:space="preserve">) </w:t>
      </w:r>
      <w:r w:rsidRPr="001526A9">
        <w:rPr>
          <w:rFonts w:ascii="Times New Roman" w:hAnsi="Times New Roman"/>
        </w:rPr>
        <w:tab/>
      </w:r>
      <w:r w:rsidR="006F5CF0" w:rsidRPr="001526A9">
        <w:rPr>
          <w:rFonts w:ascii="Times New Roman" w:hAnsi="Times New Roman"/>
        </w:rPr>
        <w:t xml:space="preserve">the matter is an electoral </w:t>
      </w:r>
      <w:proofErr w:type="gramStart"/>
      <w:r w:rsidR="006F5CF0" w:rsidRPr="001526A9">
        <w:rPr>
          <w:rFonts w:ascii="Times New Roman" w:hAnsi="Times New Roman"/>
        </w:rPr>
        <w:t>advertisement;</w:t>
      </w:r>
      <w:proofErr w:type="gramEnd"/>
    </w:p>
    <w:p w14:paraId="3E8B4F99" w14:textId="284AB7D5" w:rsidR="006F5CF0" w:rsidRPr="001526A9" w:rsidRDefault="007D2553" w:rsidP="001526A9">
      <w:pPr>
        <w:pStyle w:val="leftright"/>
        <w:spacing w:before="0" w:after="260" w:line="280" w:lineRule="exact"/>
        <w:ind w:left="2160" w:right="0" w:hanging="2160"/>
        <w:jc w:val="both"/>
        <w:rPr>
          <w:rFonts w:ascii="Times New Roman" w:hAnsi="Times New Roman"/>
        </w:rPr>
      </w:pPr>
      <w:r w:rsidRPr="001526A9">
        <w:rPr>
          <w:rFonts w:ascii="Times New Roman" w:hAnsi="Times New Roman"/>
        </w:rPr>
        <w:tab/>
      </w:r>
      <w:r w:rsidRPr="001526A9">
        <w:rPr>
          <w:rFonts w:ascii="Times New Roman" w:hAnsi="Times New Roman"/>
        </w:rPr>
        <w:tab/>
      </w:r>
      <w:r w:rsidR="006F5CF0" w:rsidRPr="001526A9">
        <w:rPr>
          <w:rFonts w:ascii="Times New Roman" w:hAnsi="Times New Roman"/>
        </w:rPr>
        <w:t xml:space="preserve">(ii) </w:t>
      </w:r>
      <w:r w:rsidRPr="001526A9">
        <w:rPr>
          <w:rFonts w:ascii="Times New Roman" w:hAnsi="Times New Roman"/>
        </w:rPr>
        <w:tab/>
      </w:r>
      <w:r w:rsidR="006F5CF0" w:rsidRPr="001526A9">
        <w:rPr>
          <w:rFonts w:ascii="Times New Roman" w:hAnsi="Times New Roman"/>
        </w:rPr>
        <w:t xml:space="preserve">all or part of the distribution or production of the advertisement was paid </w:t>
      </w:r>
      <w:proofErr w:type="gramStart"/>
      <w:r w:rsidR="006F5CF0" w:rsidRPr="001526A9">
        <w:rPr>
          <w:rFonts w:ascii="Times New Roman" w:hAnsi="Times New Roman"/>
        </w:rPr>
        <w:t>for;</w:t>
      </w:r>
      <w:proofErr w:type="gramEnd"/>
    </w:p>
    <w:p w14:paraId="4861D7AB" w14:textId="56AB8672" w:rsidR="006F5CF0" w:rsidRPr="001526A9" w:rsidRDefault="007D2553" w:rsidP="001526A9">
      <w:pPr>
        <w:pStyle w:val="leftright"/>
        <w:spacing w:before="0" w:after="260" w:line="280" w:lineRule="exact"/>
        <w:ind w:left="2160" w:right="0" w:hanging="2160"/>
        <w:jc w:val="both"/>
        <w:rPr>
          <w:rFonts w:ascii="Times New Roman" w:hAnsi="Times New Roman"/>
        </w:rPr>
      </w:pPr>
      <w:r w:rsidRPr="001526A9">
        <w:rPr>
          <w:rFonts w:ascii="Times New Roman" w:hAnsi="Times New Roman"/>
        </w:rPr>
        <w:tab/>
      </w:r>
      <w:r w:rsidRPr="001526A9">
        <w:rPr>
          <w:rFonts w:ascii="Times New Roman" w:hAnsi="Times New Roman"/>
        </w:rPr>
        <w:tab/>
      </w:r>
      <w:r w:rsidR="006F5CF0" w:rsidRPr="001526A9">
        <w:rPr>
          <w:rFonts w:ascii="Times New Roman" w:hAnsi="Times New Roman"/>
        </w:rPr>
        <w:t>(iii)</w:t>
      </w:r>
      <w:r w:rsidRPr="001526A9">
        <w:rPr>
          <w:rFonts w:ascii="Times New Roman" w:hAnsi="Times New Roman"/>
        </w:rPr>
        <w:tab/>
      </w:r>
      <w:r w:rsidR="006F5CF0" w:rsidRPr="001526A9">
        <w:rPr>
          <w:rFonts w:ascii="Times New Roman" w:hAnsi="Times New Roman"/>
        </w:rPr>
        <w:t xml:space="preserve">the content of the advertisement was approved by a person (the </w:t>
      </w:r>
      <w:r w:rsidR="006F5CF0" w:rsidRPr="001526A9">
        <w:rPr>
          <w:rFonts w:ascii="Times New Roman" w:hAnsi="Times New Roman"/>
          <w:b/>
          <w:bCs/>
          <w:i/>
          <w:iCs/>
        </w:rPr>
        <w:t>notifying entity</w:t>
      </w:r>
      <w:r w:rsidR="006F5CF0" w:rsidRPr="001526A9">
        <w:rPr>
          <w:rFonts w:ascii="Times New Roman" w:hAnsi="Times New Roman"/>
        </w:rPr>
        <w:t>) (</w:t>
      </w:r>
      <w:proofErr w:type="gramStart"/>
      <w:r w:rsidR="006F5CF0" w:rsidRPr="001526A9">
        <w:rPr>
          <w:rFonts w:ascii="Times New Roman" w:hAnsi="Times New Roman"/>
        </w:rPr>
        <w:t>whether or not</w:t>
      </w:r>
      <w:proofErr w:type="gramEnd"/>
      <w:r w:rsidR="006F5CF0" w:rsidRPr="001526A9">
        <w:rPr>
          <w:rFonts w:ascii="Times New Roman" w:hAnsi="Times New Roman"/>
        </w:rPr>
        <w:t xml:space="preserve"> that person is a person who paid for the distribution or production of the advertisement); or</w:t>
      </w:r>
    </w:p>
    <w:p w14:paraId="41E1F386" w14:textId="60BFC5A9" w:rsidR="005675DF" w:rsidRPr="001526A9" w:rsidRDefault="007D2553" w:rsidP="001526A9">
      <w:pPr>
        <w:pStyle w:val="leftright"/>
        <w:spacing w:before="0" w:after="260" w:line="280" w:lineRule="exact"/>
        <w:ind w:left="0" w:right="0"/>
        <w:jc w:val="both"/>
        <w:rPr>
          <w:rFonts w:ascii="Times New Roman" w:hAnsi="Times New Roman"/>
        </w:rPr>
      </w:pPr>
      <w:r w:rsidRPr="001526A9">
        <w:rPr>
          <w:rFonts w:ascii="Times New Roman" w:hAnsi="Times New Roman"/>
        </w:rPr>
        <w:lastRenderedPageBreak/>
        <w:tab/>
      </w:r>
      <w:r w:rsidR="005675DF" w:rsidRPr="001526A9">
        <w:rPr>
          <w:rFonts w:ascii="Times New Roman" w:hAnsi="Times New Roman"/>
        </w:rPr>
        <w:t xml:space="preserve">(b) </w:t>
      </w:r>
      <w:r w:rsidRPr="001526A9">
        <w:rPr>
          <w:rFonts w:ascii="Times New Roman" w:hAnsi="Times New Roman"/>
        </w:rPr>
        <w:tab/>
      </w:r>
      <w:r w:rsidR="005675DF" w:rsidRPr="001526A9">
        <w:rPr>
          <w:rFonts w:ascii="Times New Roman" w:hAnsi="Times New Roman"/>
        </w:rPr>
        <w:t>both of the following apply:</w:t>
      </w:r>
    </w:p>
    <w:p w14:paraId="14484315" w14:textId="499E57E1" w:rsidR="005675DF" w:rsidRPr="001526A9" w:rsidRDefault="007D2553" w:rsidP="001526A9">
      <w:pPr>
        <w:pStyle w:val="leftright"/>
        <w:spacing w:before="0" w:after="260" w:line="280" w:lineRule="exact"/>
        <w:ind w:left="2160" w:right="0" w:hanging="2160"/>
        <w:jc w:val="both"/>
        <w:rPr>
          <w:rFonts w:ascii="Times New Roman" w:hAnsi="Times New Roman"/>
        </w:rPr>
      </w:pPr>
      <w:r w:rsidRPr="001526A9">
        <w:rPr>
          <w:rFonts w:ascii="Times New Roman" w:hAnsi="Times New Roman"/>
        </w:rPr>
        <w:tab/>
      </w:r>
      <w:r w:rsidRPr="001526A9">
        <w:rPr>
          <w:rFonts w:ascii="Times New Roman" w:hAnsi="Times New Roman"/>
        </w:rPr>
        <w:tab/>
      </w:r>
      <w:r w:rsidR="005675DF" w:rsidRPr="001526A9">
        <w:rPr>
          <w:rFonts w:ascii="Times New Roman" w:hAnsi="Times New Roman"/>
        </w:rPr>
        <w:t>(</w:t>
      </w:r>
      <w:proofErr w:type="spellStart"/>
      <w:r w:rsidR="005675DF" w:rsidRPr="001526A9">
        <w:rPr>
          <w:rFonts w:ascii="Times New Roman" w:hAnsi="Times New Roman"/>
        </w:rPr>
        <w:t>i</w:t>
      </w:r>
      <w:proofErr w:type="spellEnd"/>
      <w:r w:rsidR="005675DF" w:rsidRPr="001526A9">
        <w:rPr>
          <w:rFonts w:ascii="Times New Roman" w:hAnsi="Times New Roman"/>
        </w:rPr>
        <w:t xml:space="preserve">) </w:t>
      </w:r>
      <w:r w:rsidRPr="001526A9">
        <w:rPr>
          <w:rFonts w:ascii="Times New Roman" w:hAnsi="Times New Roman"/>
        </w:rPr>
        <w:tab/>
      </w:r>
      <w:r w:rsidR="005675DF" w:rsidRPr="001526A9">
        <w:rPr>
          <w:rFonts w:ascii="Times New Roman" w:hAnsi="Times New Roman"/>
        </w:rPr>
        <w:t xml:space="preserve">the matter forms part of a sticker, fridge magnet, leaflet, flyer, pamphlet, notice, poster or how-to-vote </w:t>
      </w:r>
      <w:proofErr w:type="gramStart"/>
      <w:r w:rsidR="005675DF" w:rsidRPr="001526A9">
        <w:rPr>
          <w:rFonts w:ascii="Times New Roman" w:hAnsi="Times New Roman"/>
        </w:rPr>
        <w:t>card;</w:t>
      </w:r>
      <w:proofErr w:type="gramEnd"/>
    </w:p>
    <w:p w14:paraId="726CF09C" w14:textId="0DB7C178" w:rsidR="00F04300" w:rsidRPr="001526A9" w:rsidRDefault="007D2553" w:rsidP="001526A9">
      <w:pPr>
        <w:pStyle w:val="leftright"/>
        <w:spacing w:before="0" w:after="260" w:line="280" w:lineRule="exact"/>
        <w:ind w:left="2160" w:right="0" w:hanging="2160"/>
        <w:jc w:val="both"/>
        <w:rPr>
          <w:rFonts w:ascii="Times New Roman" w:hAnsi="Times New Roman"/>
        </w:rPr>
      </w:pPr>
      <w:r w:rsidRPr="001526A9">
        <w:rPr>
          <w:rFonts w:ascii="Times New Roman" w:hAnsi="Times New Roman"/>
        </w:rPr>
        <w:tab/>
      </w:r>
      <w:r w:rsidRPr="001526A9">
        <w:rPr>
          <w:rFonts w:ascii="Times New Roman" w:hAnsi="Times New Roman"/>
        </w:rPr>
        <w:tab/>
      </w:r>
      <w:r w:rsidR="005675DF" w:rsidRPr="001526A9">
        <w:rPr>
          <w:rFonts w:ascii="Times New Roman" w:hAnsi="Times New Roman"/>
        </w:rPr>
        <w:t xml:space="preserve">(ii) </w:t>
      </w:r>
      <w:r w:rsidRPr="001526A9">
        <w:rPr>
          <w:rFonts w:ascii="Times New Roman" w:hAnsi="Times New Roman"/>
        </w:rPr>
        <w:tab/>
      </w:r>
      <w:r w:rsidR="005675DF" w:rsidRPr="001526A9">
        <w:rPr>
          <w:rFonts w:ascii="Times New Roman" w:hAnsi="Times New Roman"/>
        </w:rPr>
        <w:t xml:space="preserve">the content of the matter was approved by a person (the </w:t>
      </w:r>
      <w:r w:rsidR="005675DF" w:rsidRPr="001526A9">
        <w:rPr>
          <w:rFonts w:ascii="Times New Roman" w:hAnsi="Times New Roman"/>
          <w:b/>
          <w:bCs/>
          <w:i/>
          <w:iCs/>
        </w:rPr>
        <w:t>notifying entity</w:t>
      </w:r>
      <w:r w:rsidR="005675DF" w:rsidRPr="001526A9">
        <w:rPr>
          <w:rFonts w:ascii="Times New Roman" w:hAnsi="Times New Roman"/>
        </w:rPr>
        <w:t>); or</w:t>
      </w:r>
    </w:p>
    <w:p w14:paraId="6904B0E9" w14:textId="77777777" w:rsidR="001526A9" w:rsidRDefault="007D2553" w:rsidP="001526A9">
      <w:pPr>
        <w:pStyle w:val="leftright"/>
        <w:spacing w:before="0" w:after="260" w:line="280" w:lineRule="exact"/>
        <w:ind w:left="1440" w:right="0" w:hanging="1440"/>
        <w:jc w:val="both"/>
        <w:rPr>
          <w:rFonts w:ascii="Times New Roman" w:hAnsi="Times New Roman"/>
        </w:rPr>
      </w:pPr>
      <w:r w:rsidRPr="001526A9">
        <w:rPr>
          <w:rFonts w:ascii="Times New Roman" w:hAnsi="Times New Roman"/>
        </w:rPr>
        <w:tab/>
      </w:r>
      <w:r w:rsidR="003516EF" w:rsidRPr="001526A9">
        <w:rPr>
          <w:rFonts w:ascii="Times New Roman" w:hAnsi="Times New Roman"/>
        </w:rPr>
        <w:t xml:space="preserve">(c) </w:t>
      </w:r>
      <w:r w:rsidR="00227D5C" w:rsidRPr="001526A9">
        <w:rPr>
          <w:rFonts w:ascii="Times New Roman" w:hAnsi="Times New Roman"/>
        </w:rPr>
        <w:tab/>
      </w:r>
      <w:r w:rsidR="003516EF" w:rsidRPr="001526A9">
        <w:rPr>
          <w:rFonts w:ascii="Times New Roman" w:hAnsi="Times New Roman"/>
        </w:rPr>
        <w:t xml:space="preserve">the matter is communicated by, or on behalf of, a disclosure entity (the </w:t>
      </w:r>
      <w:r w:rsidR="003516EF" w:rsidRPr="001526A9">
        <w:rPr>
          <w:rFonts w:ascii="Times New Roman" w:hAnsi="Times New Roman"/>
          <w:b/>
          <w:bCs/>
          <w:i/>
          <w:iCs/>
        </w:rPr>
        <w:t>notifying entity</w:t>
      </w:r>
      <w:r w:rsidR="003516EF" w:rsidRPr="001526A9">
        <w:rPr>
          <w:rFonts w:ascii="Times New Roman" w:hAnsi="Times New Roman"/>
        </w:rPr>
        <w:t>) (and the matter is not an advertisement covered by paragraph (a), nor does the matter form part of a sticker, fridge magnet, leaflet, flyer, pamphlet, notice, poster or how-to-vote card).</w:t>
      </w:r>
      <w:r w:rsidR="006F5CF0" w:rsidRPr="001526A9">
        <w:rPr>
          <w:rFonts w:ascii="Times New Roman" w:hAnsi="Times New Roman"/>
        </w:rPr>
        <w:t>"</w:t>
      </w:r>
    </w:p>
    <w:p w14:paraId="352062CF" w14:textId="1986F228" w:rsidR="002A66FB" w:rsidRPr="001526A9" w:rsidRDefault="002A66FB" w:rsidP="001526A9">
      <w:pPr>
        <w:pStyle w:val="FixListStyle"/>
        <w:spacing w:after="260" w:line="280" w:lineRule="exact"/>
        <w:ind w:right="0"/>
        <w:jc w:val="both"/>
        <w:rPr>
          <w:rFonts w:ascii="Times New Roman" w:hAnsi="Times New Roman"/>
        </w:rPr>
      </w:pPr>
      <w:r w:rsidRPr="001526A9">
        <w:rPr>
          <w:rFonts w:ascii="Times New Roman" w:hAnsi="Times New Roman"/>
        </w:rPr>
        <w:tab/>
        <w:t>Section 321</w:t>
      </w:r>
      <w:proofErr w:type="gramStart"/>
      <w:r w:rsidRPr="001526A9">
        <w:rPr>
          <w:rFonts w:ascii="Times New Roman" w:hAnsi="Times New Roman"/>
        </w:rPr>
        <w:t>D(</w:t>
      </w:r>
      <w:proofErr w:type="gramEnd"/>
      <w:r w:rsidRPr="001526A9">
        <w:rPr>
          <w:rFonts w:ascii="Times New Roman" w:hAnsi="Times New Roman"/>
        </w:rPr>
        <w:t xml:space="preserve">2) </w:t>
      </w:r>
      <w:r w:rsidR="00F73907" w:rsidRPr="001526A9">
        <w:rPr>
          <w:rFonts w:ascii="Times New Roman" w:hAnsi="Times New Roman"/>
        </w:rPr>
        <w:t>identifies the relevant "notifying entity" in certain circumstances</w:t>
      </w:r>
      <w:r w:rsidR="00023D0E" w:rsidRPr="001526A9">
        <w:rPr>
          <w:rFonts w:ascii="Times New Roman" w:hAnsi="Times New Roman"/>
        </w:rPr>
        <w:t xml:space="preserve"> which are not material to the present case.</w:t>
      </w:r>
    </w:p>
    <w:p w14:paraId="47CC38FC" w14:textId="2BD6BC6D" w:rsidR="00F73907" w:rsidRPr="001526A9" w:rsidRDefault="00F73907" w:rsidP="001526A9">
      <w:pPr>
        <w:pStyle w:val="FixListStyle"/>
        <w:spacing w:after="260" w:line="280" w:lineRule="exact"/>
        <w:ind w:right="0"/>
        <w:jc w:val="both"/>
        <w:rPr>
          <w:rFonts w:ascii="Times New Roman" w:hAnsi="Times New Roman"/>
        </w:rPr>
      </w:pPr>
      <w:r w:rsidRPr="001526A9">
        <w:rPr>
          <w:rFonts w:ascii="Times New Roman" w:hAnsi="Times New Roman"/>
        </w:rPr>
        <w:tab/>
        <w:t>Section 321</w:t>
      </w:r>
      <w:proofErr w:type="gramStart"/>
      <w:r w:rsidRPr="001526A9">
        <w:rPr>
          <w:rFonts w:ascii="Times New Roman" w:hAnsi="Times New Roman"/>
        </w:rPr>
        <w:t>D(</w:t>
      </w:r>
      <w:proofErr w:type="gramEnd"/>
      <w:r w:rsidRPr="001526A9">
        <w:rPr>
          <w:rFonts w:ascii="Times New Roman" w:hAnsi="Times New Roman"/>
        </w:rPr>
        <w:t xml:space="preserve">3) </w:t>
      </w:r>
      <w:r w:rsidR="003E6D46" w:rsidRPr="001526A9">
        <w:rPr>
          <w:rFonts w:ascii="Times New Roman" w:hAnsi="Times New Roman"/>
        </w:rPr>
        <w:t xml:space="preserve">and (4) </w:t>
      </w:r>
      <w:r w:rsidRPr="001526A9">
        <w:rPr>
          <w:rFonts w:ascii="Times New Roman" w:hAnsi="Times New Roman"/>
        </w:rPr>
        <w:t xml:space="preserve">provide that s 321D does not apply in relation to </w:t>
      </w:r>
      <w:r w:rsidR="00BF23F7" w:rsidRPr="001526A9">
        <w:rPr>
          <w:rFonts w:ascii="Times New Roman" w:hAnsi="Times New Roman"/>
        </w:rPr>
        <w:t xml:space="preserve">certain </w:t>
      </w:r>
      <w:r w:rsidR="002D7356" w:rsidRPr="001526A9">
        <w:rPr>
          <w:rFonts w:ascii="Times New Roman" w:hAnsi="Times New Roman"/>
        </w:rPr>
        <w:t>"</w:t>
      </w:r>
      <w:r w:rsidR="00BF23F7" w:rsidRPr="001526A9">
        <w:rPr>
          <w:rFonts w:ascii="Times New Roman" w:hAnsi="Times New Roman"/>
        </w:rPr>
        <w:t>electoral matter</w:t>
      </w:r>
      <w:r w:rsidR="002D7356" w:rsidRPr="001526A9">
        <w:rPr>
          <w:rFonts w:ascii="Times New Roman" w:hAnsi="Times New Roman"/>
        </w:rPr>
        <w:t>"</w:t>
      </w:r>
      <w:r w:rsidR="00BF23F7" w:rsidRPr="001526A9">
        <w:rPr>
          <w:rFonts w:ascii="Times New Roman" w:hAnsi="Times New Roman"/>
        </w:rPr>
        <w:t>.</w:t>
      </w:r>
    </w:p>
    <w:p w14:paraId="7ED0FBC0" w14:textId="274603DF" w:rsidR="00BF23F7" w:rsidRPr="001526A9" w:rsidRDefault="002D7356" w:rsidP="001526A9">
      <w:pPr>
        <w:pStyle w:val="FixListStyle"/>
        <w:spacing w:after="260" w:line="280" w:lineRule="exact"/>
        <w:ind w:right="0"/>
        <w:jc w:val="both"/>
        <w:rPr>
          <w:rFonts w:ascii="Times New Roman" w:hAnsi="Times New Roman"/>
        </w:rPr>
      </w:pPr>
      <w:r w:rsidRPr="001526A9">
        <w:rPr>
          <w:rFonts w:ascii="Times New Roman" w:hAnsi="Times New Roman"/>
        </w:rPr>
        <w:tab/>
        <w:t>Section 321</w:t>
      </w:r>
      <w:proofErr w:type="gramStart"/>
      <w:r w:rsidRPr="001526A9">
        <w:rPr>
          <w:rFonts w:ascii="Times New Roman" w:hAnsi="Times New Roman"/>
        </w:rPr>
        <w:t>D(</w:t>
      </w:r>
      <w:proofErr w:type="gramEnd"/>
      <w:r w:rsidRPr="001526A9">
        <w:rPr>
          <w:rFonts w:ascii="Times New Roman" w:hAnsi="Times New Roman"/>
        </w:rPr>
        <w:t xml:space="preserve">5) </w:t>
      </w:r>
      <w:r w:rsidR="00415716" w:rsidRPr="001526A9">
        <w:rPr>
          <w:rFonts w:ascii="Times New Roman" w:hAnsi="Times New Roman"/>
        </w:rPr>
        <w:t>appears as follows (in part):</w:t>
      </w:r>
    </w:p>
    <w:p w14:paraId="3D8381BE" w14:textId="79567A87" w:rsidR="006A5E19" w:rsidRPr="001526A9" w:rsidRDefault="006D30A8" w:rsidP="001526A9">
      <w:pPr>
        <w:pStyle w:val="leftright"/>
        <w:spacing w:before="0" w:after="260" w:line="280" w:lineRule="exact"/>
        <w:ind w:right="0"/>
        <w:jc w:val="both"/>
        <w:rPr>
          <w:rFonts w:ascii="Times New Roman" w:hAnsi="Times New Roman"/>
        </w:rPr>
      </w:pPr>
      <w:r w:rsidRPr="001526A9">
        <w:rPr>
          <w:rFonts w:ascii="Times New Roman" w:hAnsi="Times New Roman"/>
        </w:rPr>
        <w:t>"</w:t>
      </w:r>
      <w:r w:rsidR="00415716" w:rsidRPr="001526A9">
        <w:rPr>
          <w:rFonts w:ascii="Times New Roman" w:hAnsi="Times New Roman"/>
        </w:rPr>
        <w:t>The notifying entity must ensure that the particulars set out in the following table, and any other particulars determined under subsection (7) for the purposes of this subsection, are notified in accordance with any requirements determined under that subsection.</w:t>
      </w:r>
    </w:p>
    <w:tbl>
      <w:tblPr>
        <w:tblStyle w:val="TableGrid"/>
        <w:tblW w:w="0" w:type="auto"/>
        <w:tblInd w:w="720" w:type="dxa"/>
        <w:tblLook w:val="04A0" w:firstRow="1" w:lastRow="0" w:firstColumn="1" w:lastColumn="0" w:noHBand="0" w:noVBand="1"/>
      </w:tblPr>
      <w:tblGrid>
        <w:gridCol w:w="1402"/>
        <w:gridCol w:w="3118"/>
        <w:gridCol w:w="3254"/>
      </w:tblGrid>
      <w:tr w:rsidR="00110B06" w:rsidRPr="00BD0DDD" w14:paraId="6EF38C82" w14:textId="77777777" w:rsidTr="00EC6CC9">
        <w:trPr>
          <w:trHeight w:val="545"/>
        </w:trPr>
        <w:tc>
          <w:tcPr>
            <w:tcW w:w="7774" w:type="dxa"/>
            <w:gridSpan w:val="3"/>
            <w:tcBorders>
              <w:top w:val="single" w:sz="18" w:space="0" w:color="auto"/>
              <w:left w:val="nil"/>
              <w:right w:val="nil"/>
            </w:tcBorders>
          </w:tcPr>
          <w:p w14:paraId="727789EF" w14:textId="77777777" w:rsidR="00110B06" w:rsidRPr="00D82FEC" w:rsidRDefault="00110B06" w:rsidP="00EC6CC9">
            <w:pPr>
              <w:pStyle w:val="NormalBody"/>
              <w:spacing w:after="0" w:line="240" w:lineRule="auto"/>
              <w:rPr>
                <w:rFonts w:ascii="Times New Roman" w:hAnsi="Times New Roman"/>
                <w:b/>
                <w:bCs/>
                <w:sz w:val="22"/>
                <w:szCs w:val="22"/>
              </w:rPr>
            </w:pPr>
            <w:r w:rsidRPr="00D82FEC">
              <w:rPr>
                <w:rFonts w:ascii="Times New Roman" w:hAnsi="Times New Roman"/>
                <w:b/>
                <w:bCs/>
                <w:sz w:val="22"/>
                <w:szCs w:val="22"/>
              </w:rPr>
              <w:t>Required particulars</w:t>
            </w:r>
          </w:p>
        </w:tc>
      </w:tr>
      <w:tr w:rsidR="00110B06" w:rsidRPr="00BD0DDD" w14:paraId="476A2D71" w14:textId="77777777" w:rsidTr="00EC6CC9">
        <w:trPr>
          <w:trHeight w:val="890"/>
        </w:trPr>
        <w:tc>
          <w:tcPr>
            <w:tcW w:w="1402" w:type="dxa"/>
            <w:tcBorders>
              <w:left w:val="nil"/>
              <w:bottom w:val="single" w:sz="18" w:space="0" w:color="auto"/>
              <w:right w:val="nil"/>
            </w:tcBorders>
          </w:tcPr>
          <w:p w14:paraId="10624CA4" w14:textId="77777777" w:rsidR="00110B06" w:rsidRPr="00D82FEC" w:rsidRDefault="00110B06" w:rsidP="00EC6CC9">
            <w:pPr>
              <w:pStyle w:val="NormalBody"/>
              <w:spacing w:after="0" w:line="240" w:lineRule="auto"/>
              <w:rPr>
                <w:rFonts w:ascii="Times New Roman" w:hAnsi="Times New Roman"/>
                <w:b/>
                <w:bCs/>
                <w:sz w:val="22"/>
                <w:szCs w:val="22"/>
              </w:rPr>
            </w:pPr>
            <w:r w:rsidRPr="00D82FEC">
              <w:rPr>
                <w:rFonts w:ascii="Times New Roman" w:hAnsi="Times New Roman"/>
                <w:b/>
                <w:bCs/>
                <w:sz w:val="22"/>
                <w:szCs w:val="22"/>
              </w:rPr>
              <w:t>Item</w:t>
            </w:r>
          </w:p>
        </w:tc>
        <w:tc>
          <w:tcPr>
            <w:tcW w:w="3118" w:type="dxa"/>
            <w:tcBorders>
              <w:left w:val="nil"/>
              <w:bottom w:val="single" w:sz="18" w:space="0" w:color="auto"/>
              <w:right w:val="nil"/>
            </w:tcBorders>
          </w:tcPr>
          <w:p w14:paraId="2622FB55" w14:textId="77777777" w:rsidR="00110B06" w:rsidRPr="00D82FEC" w:rsidRDefault="00110B06" w:rsidP="00EC6CC9">
            <w:pPr>
              <w:pStyle w:val="NormalBody"/>
              <w:spacing w:after="0" w:line="240" w:lineRule="auto"/>
              <w:rPr>
                <w:rFonts w:ascii="Times New Roman" w:hAnsi="Times New Roman"/>
                <w:b/>
                <w:bCs/>
                <w:sz w:val="22"/>
                <w:szCs w:val="22"/>
              </w:rPr>
            </w:pPr>
            <w:r w:rsidRPr="00D82FEC">
              <w:rPr>
                <w:rFonts w:ascii="Times New Roman" w:hAnsi="Times New Roman"/>
                <w:b/>
                <w:bCs/>
                <w:sz w:val="22"/>
                <w:szCs w:val="22"/>
              </w:rPr>
              <w:t>If ...</w:t>
            </w:r>
          </w:p>
        </w:tc>
        <w:tc>
          <w:tcPr>
            <w:tcW w:w="3254" w:type="dxa"/>
            <w:tcBorders>
              <w:left w:val="nil"/>
              <w:bottom w:val="single" w:sz="18" w:space="0" w:color="auto"/>
              <w:right w:val="nil"/>
            </w:tcBorders>
          </w:tcPr>
          <w:p w14:paraId="2710B7DC" w14:textId="77777777" w:rsidR="00110B06" w:rsidRPr="00D82FEC" w:rsidRDefault="00110B06" w:rsidP="00EC6CC9">
            <w:pPr>
              <w:pStyle w:val="NormalBody"/>
              <w:spacing w:after="0" w:line="240" w:lineRule="auto"/>
              <w:rPr>
                <w:rFonts w:ascii="Times New Roman" w:hAnsi="Times New Roman"/>
                <w:b/>
                <w:bCs/>
                <w:sz w:val="22"/>
                <w:szCs w:val="22"/>
              </w:rPr>
            </w:pPr>
            <w:r w:rsidRPr="00D82FEC">
              <w:rPr>
                <w:rFonts w:ascii="Times New Roman" w:hAnsi="Times New Roman"/>
                <w:b/>
                <w:bCs/>
                <w:sz w:val="22"/>
                <w:szCs w:val="22"/>
              </w:rPr>
              <w:t>the following particulars are required ...</w:t>
            </w:r>
          </w:p>
        </w:tc>
      </w:tr>
      <w:tr w:rsidR="00110B06" w:rsidRPr="00BD0DDD" w14:paraId="223FC6A9" w14:textId="77777777" w:rsidTr="00EC6CC9">
        <w:tc>
          <w:tcPr>
            <w:tcW w:w="1402" w:type="dxa"/>
            <w:tcBorders>
              <w:top w:val="single" w:sz="18" w:space="0" w:color="auto"/>
              <w:left w:val="nil"/>
              <w:right w:val="nil"/>
            </w:tcBorders>
          </w:tcPr>
          <w:p w14:paraId="4F5E1C92" w14:textId="77777777" w:rsidR="00110B06" w:rsidRPr="00D82FEC" w:rsidRDefault="00110B06" w:rsidP="00EC6CC9">
            <w:pPr>
              <w:pStyle w:val="NormalBody"/>
              <w:spacing w:after="0" w:line="240" w:lineRule="auto"/>
              <w:rPr>
                <w:rFonts w:ascii="Times New Roman" w:hAnsi="Times New Roman"/>
                <w:sz w:val="22"/>
                <w:szCs w:val="22"/>
              </w:rPr>
            </w:pPr>
            <w:r w:rsidRPr="00D82FEC">
              <w:rPr>
                <w:rFonts w:ascii="Times New Roman" w:hAnsi="Times New Roman"/>
                <w:sz w:val="22"/>
                <w:szCs w:val="22"/>
              </w:rPr>
              <w:t>...</w:t>
            </w:r>
          </w:p>
        </w:tc>
        <w:tc>
          <w:tcPr>
            <w:tcW w:w="3118" w:type="dxa"/>
            <w:tcBorders>
              <w:top w:val="single" w:sz="18" w:space="0" w:color="auto"/>
              <w:left w:val="nil"/>
              <w:right w:val="nil"/>
            </w:tcBorders>
          </w:tcPr>
          <w:p w14:paraId="687AE2AE" w14:textId="77777777" w:rsidR="00110B06" w:rsidRPr="00D82FEC" w:rsidRDefault="00110B06" w:rsidP="00EC6CC9">
            <w:pPr>
              <w:pStyle w:val="NormalBody"/>
              <w:spacing w:after="0" w:line="240" w:lineRule="auto"/>
              <w:rPr>
                <w:rFonts w:ascii="Times New Roman" w:hAnsi="Times New Roman"/>
                <w:sz w:val="22"/>
                <w:szCs w:val="22"/>
              </w:rPr>
            </w:pPr>
            <w:r w:rsidRPr="00D82FEC">
              <w:rPr>
                <w:rFonts w:ascii="Times New Roman" w:hAnsi="Times New Roman"/>
                <w:sz w:val="22"/>
                <w:szCs w:val="22"/>
              </w:rPr>
              <w:t>...</w:t>
            </w:r>
          </w:p>
        </w:tc>
        <w:tc>
          <w:tcPr>
            <w:tcW w:w="3254" w:type="dxa"/>
            <w:tcBorders>
              <w:top w:val="single" w:sz="18" w:space="0" w:color="auto"/>
              <w:left w:val="nil"/>
              <w:right w:val="nil"/>
            </w:tcBorders>
          </w:tcPr>
          <w:p w14:paraId="4D571EA7" w14:textId="77777777" w:rsidR="00110B06" w:rsidRPr="00D82FEC" w:rsidRDefault="00110B06" w:rsidP="00EC6CC9">
            <w:pPr>
              <w:pStyle w:val="NormalBody"/>
              <w:spacing w:after="0" w:line="240" w:lineRule="auto"/>
              <w:rPr>
                <w:rFonts w:ascii="Times New Roman" w:hAnsi="Times New Roman"/>
                <w:sz w:val="22"/>
                <w:szCs w:val="22"/>
              </w:rPr>
            </w:pPr>
            <w:r w:rsidRPr="00D82FEC">
              <w:rPr>
                <w:rFonts w:ascii="Times New Roman" w:hAnsi="Times New Roman"/>
                <w:sz w:val="22"/>
                <w:szCs w:val="22"/>
              </w:rPr>
              <w:t>...</w:t>
            </w:r>
          </w:p>
        </w:tc>
      </w:tr>
      <w:tr w:rsidR="00110B06" w:rsidRPr="00BD0DDD" w14:paraId="008CEDEC" w14:textId="77777777" w:rsidTr="00EC6CC9">
        <w:tc>
          <w:tcPr>
            <w:tcW w:w="1402" w:type="dxa"/>
            <w:tcBorders>
              <w:left w:val="nil"/>
              <w:right w:val="nil"/>
            </w:tcBorders>
          </w:tcPr>
          <w:p w14:paraId="03B4FAA5" w14:textId="77777777" w:rsidR="00110B06" w:rsidRPr="00D82FEC" w:rsidRDefault="00110B06" w:rsidP="00EC6CC9">
            <w:pPr>
              <w:pStyle w:val="NormalBody"/>
              <w:spacing w:after="0" w:line="240" w:lineRule="auto"/>
              <w:rPr>
                <w:rFonts w:ascii="Times New Roman" w:hAnsi="Times New Roman"/>
                <w:sz w:val="22"/>
                <w:szCs w:val="22"/>
              </w:rPr>
            </w:pPr>
            <w:r w:rsidRPr="00D82FEC">
              <w:rPr>
                <w:rFonts w:ascii="Times New Roman" w:hAnsi="Times New Roman"/>
                <w:sz w:val="22"/>
                <w:szCs w:val="22"/>
              </w:rPr>
              <w:t>3</w:t>
            </w:r>
          </w:p>
        </w:tc>
        <w:tc>
          <w:tcPr>
            <w:tcW w:w="3118" w:type="dxa"/>
            <w:tcBorders>
              <w:left w:val="nil"/>
              <w:right w:val="nil"/>
            </w:tcBorders>
          </w:tcPr>
          <w:p w14:paraId="510036BA" w14:textId="77777777" w:rsidR="00110B06" w:rsidRPr="00D82FEC" w:rsidRDefault="00110B06" w:rsidP="00EC6CC9">
            <w:pPr>
              <w:pStyle w:val="NormalBody"/>
              <w:spacing w:after="0" w:line="240" w:lineRule="auto"/>
              <w:rPr>
                <w:rFonts w:ascii="Times New Roman" w:hAnsi="Times New Roman"/>
                <w:sz w:val="22"/>
                <w:szCs w:val="22"/>
              </w:rPr>
            </w:pPr>
            <w:r w:rsidRPr="00D82FEC">
              <w:rPr>
                <w:rFonts w:ascii="Times New Roman" w:hAnsi="Times New Roman"/>
                <w:sz w:val="22"/>
                <w:szCs w:val="22"/>
              </w:rPr>
              <w:t>the communication is a sticker, fridge magnet, leaflet, flyer, pamphlet, notice, poster or how-to-vote card authorised by a disclosure entity who is a natural person</w:t>
            </w:r>
          </w:p>
        </w:tc>
        <w:tc>
          <w:tcPr>
            <w:tcW w:w="3254" w:type="dxa"/>
            <w:tcBorders>
              <w:left w:val="nil"/>
              <w:right w:val="nil"/>
            </w:tcBorders>
          </w:tcPr>
          <w:p w14:paraId="10404C8C" w14:textId="77777777" w:rsidR="00110B06" w:rsidRPr="00D82FEC" w:rsidRDefault="00110B06" w:rsidP="00EC6CC9">
            <w:pPr>
              <w:pStyle w:val="NormalBody"/>
              <w:numPr>
                <w:ilvl w:val="0"/>
                <w:numId w:val="30"/>
              </w:numPr>
              <w:tabs>
                <w:tab w:val="clear" w:pos="720"/>
              </w:tabs>
              <w:spacing w:after="0" w:line="240" w:lineRule="auto"/>
              <w:ind w:left="461" w:hanging="461"/>
              <w:rPr>
                <w:rFonts w:ascii="Times New Roman" w:hAnsi="Times New Roman"/>
                <w:sz w:val="22"/>
                <w:szCs w:val="22"/>
              </w:rPr>
            </w:pPr>
            <w:r w:rsidRPr="00D82FEC">
              <w:rPr>
                <w:rFonts w:ascii="Times New Roman" w:hAnsi="Times New Roman"/>
                <w:sz w:val="22"/>
                <w:szCs w:val="22"/>
              </w:rPr>
              <w:t xml:space="preserve">the name of the </w:t>
            </w:r>
            <w:proofErr w:type="gramStart"/>
            <w:r w:rsidRPr="00D82FEC">
              <w:rPr>
                <w:rFonts w:ascii="Times New Roman" w:hAnsi="Times New Roman"/>
                <w:sz w:val="22"/>
                <w:szCs w:val="22"/>
              </w:rPr>
              <w:t>person;</w:t>
            </w:r>
            <w:proofErr w:type="gramEnd"/>
          </w:p>
          <w:p w14:paraId="0DC55B92" w14:textId="77777777" w:rsidR="00110B06" w:rsidRPr="00D82FEC" w:rsidRDefault="00110B06" w:rsidP="00EC6CC9">
            <w:pPr>
              <w:pStyle w:val="NormalBody"/>
              <w:numPr>
                <w:ilvl w:val="0"/>
                <w:numId w:val="30"/>
              </w:numPr>
              <w:tabs>
                <w:tab w:val="clear" w:pos="720"/>
              </w:tabs>
              <w:spacing w:after="0" w:line="240" w:lineRule="auto"/>
              <w:ind w:left="461" w:hanging="461"/>
              <w:rPr>
                <w:rFonts w:ascii="Times New Roman" w:hAnsi="Times New Roman"/>
                <w:sz w:val="22"/>
                <w:szCs w:val="22"/>
              </w:rPr>
            </w:pPr>
            <w:r w:rsidRPr="00D82FEC">
              <w:rPr>
                <w:rFonts w:ascii="Times New Roman" w:hAnsi="Times New Roman"/>
                <w:sz w:val="22"/>
                <w:szCs w:val="22"/>
              </w:rPr>
              <w:t xml:space="preserve">the address of the </w:t>
            </w:r>
            <w:proofErr w:type="gramStart"/>
            <w:r w:rsidRPr="00D82FEC">
              <w:rPr>
                <w:rFonts w:ascii="Times New Roman" w:hAnsi="Times New Roman"/>
                <w:sz w:val="22"/>
                <w:szCs w:val="22"/>
              </w:rPr>
              <w:t>person;</w:t>
            </w:r>
            <w:proofErr w:type="gramEnd"/>
          </w:p>
          <w:p w14:paraId="6756B92B" w14:textId="77777777" w:rsidR="00110B06" w:rsidRPr="00D82FEC" w:rsidRDefault="00110B06" w:rsidP="00EC6CC9">
            <w:pPr>
              <w:pStyle w:val="NormalBody"/>
              <w:numPr>
                <w:ilvl w:val="0"/>
                <w:numId w:val="30"/>
              </w:numPr>
              <w:tabs>
                <w:tab w:val="clear" w:pos="720"/>
              </w:tabs>
              <w:spacing w:after="0" w:line="240" w:lineRule="auto"/>
              <w:ind w:left="461" w:hanging="461"/>
              <w:rPr>
                <w:rFonts w:ascii="Times New Roman" w:hAnsi="Times New Roman"/>
                <w:sz w:val="22"/>
                <w:szCs w:val="22"/>
              </w:rPr>
            </w:pPr>
            <w:r w:rsidRPr="00D82FEC">
              <w:rPr>
                <w:rFonts w:ascii="Times New Roman" w:hAnsi="Times New Roman"/>
                <w:sz w:val="22"/>
                <w:szCs w:val="22"/>
              </w:rPr>
              <w:t xml:space="preserve">the name of the printer who printed the </w:t>
            </w:r>
            <w:proofErr w:type="gramStart"/>
            <w:r w:rsidRPr="00D82FEC">
              <w:rPr>
                <w:rFonts w:ascii="Times New Roman" w:hAnsi="Times New Roman"/>
                <w:sz w:val="22"/>
                <w:szCs w:val="22"/>
              </w:rPr>
              <w:t>communication;</w:t>
            </w:r>
            <w:proofErr w:type="gramEnd"/>
          </w:p>
          <w:p w14:paraId="050A8B41" w14:textId="77777777" w:rsidR="00110B06" w:rsidRPr="00D82FEC" w:rsidRDefault="00110B06" w:rsidP="00EC6CC9">
            <w:pPr>
              <w:pStyle w:val="NormalBody"/>
              <w:numPr>
                <w:ilvl w:val="0"/>
                <w:numId w:val="30"/>
              </w:numPr>
              <w:tabs>
                <w:tab w:val="clear" w:pos="720"/>
              </w:tabs>
              <w:spacing w:after="0" w:line="240" w:lineRule="auto"/>
              <w:ind w:left="461" w:hanging="461"/>
              <w:rPr>
                <w:rFonts w:ascii="Times New Roman" w:hAnsi="Times New Roman"/>
                <w:sz w:val="22"/>
                <w:szCs w:val="22"/>
              </w:rPr>
            </w:pPr>
            <w:r w:rsidRPr="00D82FEC">
              <w:rPr>
                <w:rFonts w:ascii="Times New Roman" w:hAnsi="Times New Roman"/>
                <w:sz w:val="22"/>
                <w:szCs w:val="22"/>
              </w:rPr>
              <w:t>the address of the printer</w:t>
            </w:r>
          </w:p>
        </w:tc>
      </w:tr>
      <w:tr w:rsidR="00110B06" w:rsidRPr="00BD0DDD" w14:paraId="1B48D349" w14:textId="77777777" w:rsidTr="006A5E19">
        <w:trPr>
          <w:trHeight w:val="918"/>
        </w:trPr>
        <w:tc>
          <w:tcPr>
            <w:tcW w:w="1402" w:type="dxa"/>
            <w:tcBorders>
              <w:left w:val="nil"/>
              <w:right w:val="nil"/>
            </w:tcBorders>
          </w:tcPr>
          <w:p w14:paraId="399017C7" w14:textId="77777777" w:rsidR="00110B06" w:rsidRPr="00D82FEC" w:rsidRDefault="00110B06" w:rsidP="00EC6CC9">
            <w:pPr>
              <w:pStyle w:val="NormalBody"/>
              <w:spacing w:after="0" w:line="240" w:lineRule="auto"/>
              <w:rPr>
                <w:rFonts w:ascii="Times New Roman" w:hAnsi="Times New Roman"/>
                <w:sz w:val="22"/>
                <w:szCs w:val="22"/>
              </w:rPr>
            </w:pPr>
            <w:r w:rsidRPr="00D82FEC">
              <w:rPr>
                <w:rFonts w:ascii="Times New Roman" w:hAnsi="Times New Roman"/>
                <w:sz w:val="22"/>
                <w:szCs w:val="22"/>
              </w:rPr>
              <w:t>4</w:t>
            </w:r>
          </w:p>
        </w:tc>
        <w:tc>
          <w:tcPr>
            <w:tcW w:w="3118" w:type="dxa"/>
            <w:tcBorders>
              <w:left w:val="nil"/>
              <w:right w:val="nil"/>
            </w:tcBorders>
          </w:tcPr>
          <w:p w14:paraId="67ED0B1A" w14:textId="77777777" w:rsidR="00110B06" w:rsidRPr="00D82FEC" w:rsidRDefault="00110B06" w:rsidP="00EC6CC9">
            <w:pPr>
              <w:pStyle w:val="NormalBody"/>
              <w:spacing w:after="0" w:line="240" w:lineRule="auto"/>
              <w:rPr>
                <w:rFonts w:ascii="Times New Roman" w:hAnsi="Times New Roman"/>
                <w:sz w:val="22"/>
                <w:szCs w:val="22"/>
              </w:rPr>
            </w:pPr>
            <w:r w:rsidRPr="00D82FEC">
              <w:rPr>
                <w:rFonts w:ascii="Times New Roman" w:hAnsi="Times New Roman"/>
                <w:sz w:val="22"/>
                <w:szCs w:val="22"/>
              </w:rPr>
              <w:t>the communication is any other communication authorised by a disclosure entity who is a natural person</w:t>
            </w:r>
          </w:p>
        </w:tc>
        <w:tc>
          <w:tcPr>
            <w:tcW w:w="3254" w:type="dxa"/>
            <w:tcBorders>
              <w:left w:val="nil"/>
              <w:right w:val="nil"/>
            </w:tcBorders>
          </w:tcPr>
          <w:p w14:paraId="0BCFD9A3" w14:textId="77777777" w:rsidR="00110B06" w:rsidRPr="00D82FEC" w:rsidRDefault="00110B06" w:rsidP="00EC6CC9">
            <w:pPr>
              <w:pStyle w:val="NormalBody"/>
              <w:numPr>
                <w:ilvl w:val="0"/>
                <w:numId w:val="31"/>
              </w:numPr>
              <w:tabs>
                <w:tab w:val="clear" w:pos="720"/>
              </w:tabs>
              <w:spacing w:after="0" w:line="240" w:lineRule="auto"/>
              <w:ind w:left="461" w:hanging="461"/>
              <w:rPr>
                <w:rFonts w:ascii="Times New Roman" w:hAnsi="Times New Roman"/>
                <w:sz w:val="22"/>
                <w:szCs w:val="22"/>
              </w:rPr>
            </w:pPr>
            <w:r w:rsidRPr="00D82FEC">
              <w:rPr>
                <w:rFonts w:ascii="Times New Roman" w:hAnsi="Times New Roman"/>
                <w:sz w:val="22"/>
                <w:szCs w:val="22"/>
              </w:rPr>
              <w:t xml:space="preserve">the name of the </w:t>
            </w:r>
            <w:proofErr w:type="gramStart"/>
            <w:r w:rsidRPr="00D82FEC">
              <w:rPr>
                <w:rFonts w:ascii="Times New Roman" w:hAnsi="Times New Roman"/>
                <w:sz w:val="22"/>
                <w:szCs w:val="22"/>
              </w:rPr>
              <w:t>person;</w:t>
            </w:r>
            <w:proofErr w:type="gramEnd"/>
          </w:p>
          <w:p w14:paraId="3FDCF8FD" w14:textId="77777777" w:rsidR="00110B06" w:rsidRPr="00D82FEC" w:rsidRDefault="00110B06" w:rsidP="00EC6CC9">
            <w:pPr>
              <w:pStyle w:val="NormalBody"/>
              <w:numPr>
                <w:ilvl w:val="0"/>
                <w:numId w:val="31"/>
              </w:numPr>
              <w:tabs>
                <w:tab w:val="clear" w:pos="720"/>
              </w:tabs>
              <w:spacing w:after="0" w:line="240" w:lineRule="auto"/>
              <w:ind w:left="461" w:hanging="461"/>
              <w:rPr>
                <w:rFonts w:ascii="Times New Roman" w:hAnsi="Times New Roman"/>
                <w:sz w:val="22"/>
                <w:szCs w:val="22"/>
              </w:rPr>
            </w:pPr>
            <w:r w:rsidRPr="00D82FEC">
              <w:rPr>
                <w:rFonts w:ascii="Times New Roman" w:hAnsi="Times New Roman"/>
                <w:sz w:val="22"/>
                <w:szCs w:val="22"/>
              </w:rPr>
              <w:t>the relevant town or city of the person</w:t>
            </w:r>
          </w:p>
        </w:tc>
      </w:tr>
      <w:tr w:rsidR="00110B06" w:rsidRPr="00BD0DDD" w14:paraId="223AE5C1" w14:textId="77777777" w:rsidTr="00EC6CC9">
        <w:tc>
          <w:tcPr>
            <w:tcW w:w="1402" w:type="dxa"/>
            <w:tcBorders>
              <w:left w:val="nil"/>
              <w:right w:val="nil"/>
            </w:tcBorders>
          </w:tcPr>
          <w:p w14:paraId="53DE5509" w14:textId="77777777" w:rsidR="00110B06" w:rsidRPr="00D82FEC" w:rsidRDefault="00110B06" w:rsidP="00EC6CC9">
            <w:pPr>
              <w:pStyle w:val="NormalBody"/>
              <w:spacing w:after="0" w:line="240" w:lineRule="auto"/>
              <w:rPr>
                <w:rFonts w:ascii="Times New Roman" w:hAnsi="Times New Roman"/>
                <w:sz w:val="22"/>
                <w:szCs w:val="22"/>
              </w:rPr>
            </w:pPr>
            <w:r w:rsidRPr="00D82FEC">
              <w:rPr>
                <w:rFonts w:ascii="Times New Roman" w:hAnsi="Times New Roman"/>
                <w:sz w:val="22"/>
                <w:szCs w:val="22"/>
              </w:rPr>
              <w:t>...</w:t>
            </w:r>
          </w:p>
        </w:tc>
        <w:tc>
          <w:tcPr>
            <w:tcW w:w="3118" w:type="dxa"/>
            <w:tcBorders>
              <w:left w:val="nil"/>
              <w:right w:val="nil"/>
            </w:tcBorders>
          </w:tcPr>
          <w:p w14:paraId="137118FB" w14:textId="77777777" w:rsidR="00110B06" w:rsidRPr="00D82FEC" w:rsidRDefault="00110B06" w:rsidP="00EC6CC9">
            <w:pPr>
              <w:pStyle w:val="NormalBody"/>
              <w:spacing w:after="0" w:line="240" w:lineRule="auto"/>
              <w:rPr>
                <w:rFonts w:ascii="Times New Roman" w:hAnsi="Times New Roman"/>
                <w:sz w:val="22"/>
                <w:szCs w:val="22"/>
              </w:rPr>
            </w:pPr>
            <w:r w:rsidRPr="00D82FEC">
              <w:rPr>
                <w:rFonts w:ascii="Times New Roman" w:hAnsi="Times New Roman"/>
                <w:sz w:val="22"/>
                <w:szCs w:val="22"/>
              </w:rPr>
              <w:t>...</w:t>
            </w:r>
          </w:p>
        </w:tc>
        <w:tc>
          <w:tcPr>
            <w:tcW w:w="3254" w:type="dxa"/>
            <w:tcBorders>
              <w:left w:val="nil"/>
              <w:right w:val="nil"/>
            </w:tcBorders>
          </w:tcPr>
          <w:p w14:paraId="74D81F6F" w14:textId="77777777" w:rsidR="00110B06" w:rsidRPr="00D82FEC" w:rsidRDefault="00110B06" w:rsidP="00EC6CC9">
            <w:pPr>
              <w:pStyle w:val="NormalBody"/>
              <w:spacing w:after="0" w:line="240" w:lineRule="auto"/>
              <w:rPr>
                <w:rFonts w:ascii="Times New Roman" w:hAnsi="Times New Roman"/>
                <w:sz w:val="22"/>
                <w:szCs w:val="22"/>
              </w:rPr>
            </w:pPr>
            <w:r w:rsidRPr="00D82FEC">
              <w:rPr>
                <w:rFonts w:ascii="Times New Roman" w:hAnsi="Times New Roman"/>
                <w:sz w:val="22"/>
                <w:szCs w:val="22"/>
              </w:rPr>
              <w:t>...</w:t>
            </w:r>
          </w:p>
        </w:tc>
      </w:tr>
    </w:tbl>
    <w:p w14:paraId="0A644E42" w14:textId="3F80D2CB" w:rsidR="00671585" w:rsidRPr="001526A9" w:rsidRDefault="00EA14E1" w:rsidP="001526A9">
      <w:pPr>
        <w:pStyle w:val="leftright"/>
        <w:spacing w:before="0" w:after="260" w:line="280" w:lineRule="exact"/>
        <w:ind w:right="0"/>
        <w:jc w:val="both"/>
        <w:rPr>
          <w:rFonts w:ascii="Times New Roman" w:hAnsi="Times New Roman"/>
        </w:rPr>
      </w:pPr>
      <w:r w:rsidRPr="001526A9">
        <w:rPr>
          <w:rFonts w:ascii="Times New Roman" w:hAnsi="Times New Roman"/>
        </w:rPr>
        <w:t xml:space="preserve">... </w:t>
      </w:r>
      <w:r w:rsidR="006D30A8" w:rsidRPr="001526A9">
        <w:rPr>
          <w:rFonts w:ascii="Times New Roman" w:hAnsi="Times New Roman"/>
        </w:rPr>
        <w:t>"</w:t>
      </w:r>
    </w:p>
    <w:p w14:paraId="5F0903FB" w14:textId="5E60ACD8" w:rsidR="0013386E" w:rsidRPr="001526A9" w:rsidRDefault="00671585" w:rsidP="001526A9">
      <w:pPr>
        <w:pStyle w:val="FixListStyle"/>
        <w:spacing w:after="260" w:line="280" w:lineRule="exact"/>
        <w:ind w:right="0"/>
        <w:jc w:val="both"/>
        <w:rPr>
          <w:rFonts w:ascii="Times New Roman" w:hAnsi="Times New Roman"/>
        </w:rPr>
      </w:pPr>
      <w:r w:rsidRPr="001526A9">
        <w:rPr>
          <w:rFonts w:ascii="Times New Roman" w:hAnsi="Times New Roman"/>
        </w:rPr>
        <w:lastRenderedPageBreak/>
        <w:tab/>
      </w:r>
      <w:r w:rsidR="0013386E" w:rsidRPr="001526A9">
        <w:rPr>
          <w:rFonts w:ascii="Times New Roman" w:hAnsi="Times New Roman"/>
        </w:rPr>
        <w:t>Section 321D(7)</w:t>
      </w:r>
      <w:r w:rsidR="00195B44" w:rsidRPr="001526A9">
        <w:rPr>
          <w:rFonts w:ascii="Times New Roman" w:hAnsi="Times New Roman"/>
        </w:rPr>
        <w:t>(b)(</w:t>
      </w:r>
      <w:proofErr w:type="spellStart"/>
      <w:r w:rsidR="00195B44" w:rsidRPr="001526A9">
        <w:rPr>
          <w:rFonts w:ascii="Times New Roman" w:hAnsi="Times New Roman"/>
        </w:rPr>
        <w:t>i</w:t>
      </w:r>
      <w:proofErr w:type="spellEnd"/>
      <w:r w:rsidR="00195B44" w:rsidRPr="001526A9">
        <w:rPr>
          <w:rFonts w:ascii="Times New Roman" w:hAnsi="Times New Roman"/>
        </w:rPr>
        <w:t>)</w:t>
      </w:r>
      <w:r w:rsidR="0013386E" w:rsidRPr="001526A9">
        <w:rPr>
          <w:rFonts w:ascii="Times New Roman" w:hAnsi="Times New Roman"/>
        </w:rPr>
        <w:t xml:space="preserve"> enables the Electoral Commissioner, by legislative instrument, to determine </w:t>
      </w:r>
      <w:r w:rsidR="00195B44" w:rsidRPr="001526A9">
        <w:rPr>
          <w:rFonts w:ascii="Times New Roman" w:hAnsi="Times New Roman"/>
        </w:rPr>
        <w:t>particulars</w:t>
      </w:r>
      <w:r w:rsidR="003906F9" w:rsidRPr="001526A9">
        <w:rPr>
          <w:rFonts w:ascii="Times New Roman" w:hAnsi="Times New Roman"/>
        </w:rPr>
        <w:t xml:space="preserve"> for the </w:t>
      </w:r>
      <w:r w:rsidR="00195B44" w:rsidRPr="001526A9">
        <w:rPr>
          <w:rFonts w:ascii="Times New Roman" w:hAnsi="Times New Roman"/>
        </w:rPr>
        <w:t>purposes</w:t>
      </w:r>
      <w:r w:rsidR="003906F9" w:rsidRPr="001526A9">
        <w:rPr>
          <w:rFonts w:ascii="Times New Roman" w:hAnsi="Times New Roman"/>
        </w:rPr>
        <w:t xml:space="preserve"> of s 321</w:t>
      </w:r>
      <w:proofErr w:type="gramStart"/>
      <w:r w:rsidR="003906F9" w:rsidRPr="001526A9">
        <w:rPr>
          <w:rFonts w:ascii="Times New Roman" w:hAnsi="Times New Roman"/>
        </w:rPr>
        <w:t>D(</w:t>
      </w:r>
      <w:proofErr w:type="gramEnd"/>
      <w:r w:rsidR="003906F9" w:rsidRPr="001526A9">
        <w:rPr>
          <w:rFonts w:ascii="Times New Roman" w:hAnsi="Times New Roman"/>
        </w:rPr>
        <w:t>5).</w:t>
      </w:r>
    </w:p>
    <w:p w14:paraId="371F7547" w14:textId="77EA9583" w:rsidR="00671585" w:rsidRPr="001526A9" w:rsidRDefault="0013386E"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7B562A" w:rsidRPr="001526A9">
        <w:rPr>
          <w:rFonts w:ascii="Times New Roman" w:hAnsi="Times New Roman"/>
        </w:rPr>
        <w:t xml:space="preserve">"Electoral matter" is defined in s 4AA </w:t>
      </w:r>
      <w:r w:rsidR="00426ACD" w:rsidRPr="001526A9">
        <w:rPr>
          <w:rFonts w:ascii="Times New Roman" w:hAnsi="Times New Roman"/>
        </w:rPr>
        <w:t>in these terms:</w:t>
      </w:r>
    </w:p>
    <w:p w14:paraId="37165C9D" w14:textId="535AAA5A" w:rsidR="00426ACD" w:rsidRPr="001526A9" w:rsidRDefault="00426ACD" w:rsidP="001526A9">
      <w:pPr>
        <w:pStyle w:val="leftright"/>
        <w:spacing w:before="0" w:after="260" w:line="280" w:lineRule="exact"/>
        <w:ind w:left="1440" w:right="0" w:hanging="720"/>
        <w:jc w:val="both"/>
        <w:rPr>
          <w:rFonts w:ascii="Times New Roman" w:hAnsi="Times New Roman"/>
        </w:rPr>
      </w:pPr>
      <w:r w:rsidRPr="001526A9">
        <w:rPr>
          <w:rFonts w:ascii="Times New Roman" w:hAnsi="Times New Roman"/>
        </w:rPr>
        <w:t xml:space="preserve">"(1) </w:t>
      </w:r>
      <w:r w:rsidR="00330AD7" w:rsidRPr="001526A9">
        <w:rPr>
          <w:rFonts w:ascii="Times New Roman" w:hAnsi="Times New Roman"/>
        </w:rPr>
        <w:tab/>
      </w:r>
      <w:r w:rsidRPr="001526A9">
        <w:rPr>
          <w:rFonts w:ascii="Times New Roman" w:hAnsi="Times New Roman"/>
          <w:b/>
          <w:bCs/>
          <w:i/>
          <w:iCs/>
        </w:rPr>
        <w:t>Electoral matter</w:t>
      </w:r>
      <w:r w:rsidRPr="001526A9">
        <w:rPr>
          <w:rFonts w:ascii="Times New Roman" w:hAnsi="Times New Roman"/>
        </w:rPr>
        <w:t xml:space="preserve"> means matter communicated or intended to be communicated for the dominant purpose of influencing the way electors vote in an election (a </w:t>
      </w:r>
      <w:r w:rsidRPr="001526A9">
        <w:rPr>
          <w:rFonts w:ascii="Times New Roman" w:hAnsi="Times New Roman"/>
          <w:b/>
          <w:bCs/>
          <w:i/>
          <w:iCs/>
        </w:rPr>
        <w:t>federal election</w:t>
      </w:r>
      <w:r w:rsidRPr="001526A9">
        <w:rPr>
          <w:rFonts w:ascii="Times New Roman" w:hAnsi="Times New Roman"/>
        </w:rPr>
        <w:t>) of a member of the House of Representatives or of Senators for a State or Territory, including by promoting or opposing:</w:t>
      </w:r>
    </w:p>
    <w:p w14:paraId="6FEBB4F8" w14:textId="13F68391" w:rsidR="00426ACD" w:rsidRPr="001526A9" w:rsidRDefault="00017280" w:rsidP="001526A9">
      <w:pPr>
        <w:pStyle w:val="leftright"/>
        <w:spacing w:before="0" w:after="260" w:line="280" w:lineRule="exact"/>
        <w:ind w:left="2160" w:right="0" w:hanging="2160"/>
        <w:jc w:val="both"/>
        <w:rPr>
          <w:rFonts w:ascii="Times New Roman" w:hAnsi="Times New Roman"/>
        </w:rPr>
      </w:pPr>
      <w:r w:rsidRPr="001526A9">
        <w:rPr>
          <w:rFonts w:ascii="Times New Roman" w:hAnsi="Times New Roman"/>
        </w:rPr>
        <w:tab/>
      </w:r>
      <w:r w:rsidRPr="001526A9">
        <w:rPr>
          <w:rFonts w:ascii="Times New Roman" w:hAnsi="Times New Roman"/>
        </w:rPr>
        <w:tab/>
      </w:r>
      <w:r w:rsidR="00426ACD" w:rsidRPr="001526A9">
        <w:rPr>
          <w:rFonts w:ascii="Times New Roman" w:hAnsi="Times New Roman"/>
        </w:rPr>
        <w:t xml:space="preserve">(a) </w:t>
      </w:r>
      <w:r w:rsidRPr="001526A9">
        <w:rPr>
          <w:rFonts w:ascii="Times New Roman" w:hAnsi="Times New Roman"/>
        </w:rPr>
        <w:tab/>
      </w:r>
      <w:r w:rsidR="00426ACD" w:rsidRPr="001526A9">
        <w:rPr>
          <w:rFonts w:ascii="Times New Roman" w:hAnsi="Times New Roman"/>
        </w:rPr>
        <w:t>a political entity, to the extent that the matter relates to a federal election; or</w:t>
      </w:r>
    </w:p>
    <w:p w14:paraId="05A673C2" w14:textId="5EA8141F" w:rsidR="00426ACD" w:rsidRPr="001526A9" w:rsidRDefault="00017280" w:rsidP="001526A9">
      <w:pPr>
        <w:pStyle w:val="leftright"/>
        <w:spacing w:before="0" w:after="260" w:line="280" w:lineRule="exact"/>
        <w:ind w:left="2160" w:right="0" w:hanging="2160"/>
        <w:jc w:val="both"/>
        <w:rPr>
          <w:rFonts w:ascii="Times New Roman" w:hAnsi="Times New Roman"/>
        </w:rPr>
      </w:pPr>
      <w:r w:rsidRPr="001526A9">
        <w:rPr>
          <w:rFonts w:ascii="Times New Roman" w:hAnsi="Times New Roman"/>
        </w:rPr>
        <w:tab/>
      </w:r>
      <w:r w:rsidRPr="001526A9">
        <w:rPr>
          <w:rFonts w:ascii="Times New Roman" w:hAnsi="Times New Roman"/>
        </w:rPr>
        <w:tab/>
      </w:r>
      <w:r w:rsidR="00426ACD" w:rsidRPr="001526A9">
        <w:rPr>
          <w:rFonts w:ascii="Times New Roman" w:hAnsi="Times New Roman"/>
        </w:rPr>
        <w:t xml:space="preserve">(b) </w:t>
      </w:r>
      <w:r w:rsidRPr="001526A9">
        <w:rPr>
          <w:rFonts w:ascii="Times New Roman" w:hAnsi="Times New Roman"/>
        </w:rPr>
        <w:tab/>
      </w:r>
      <w:r w:rsidR="00426ACD" w:rsidRPr="001526A9">
        <w:rPr>
          <w:rFonts w:ascii="Times New Roman" w:hAnsi="Times New Roman"/>
        </w:rPr>
        <w:t>a member of the House of Representatives or a Senator.</w:t>
      </w:r>
    </w:p>
    <w:p w14:paraId="12105F81" w14:textId="4FBF04FC" w:rsidR="00D057B0" w:rsidRPr="001526A9" w:rsidRDefault="00D057B0" w:rsidP="001526A9">
      <w:pPr>
        <w:pStyle w:val="leftright"/>
        <w:spacing w:before="0" w:after="260" w:line="280" w:lineRule="exact"/>
        <w:ind w:left="4320" w:right="0" w:hanging="3600"/>
        <w:jc w:val="both"/>
        <w:rPr>
          <w:rFonts w:ascii="Times New Roman" w:hAnsi="Times New Roman"/>
        </w:rPr>
      </w:pPr>
      <w:r w:rsidRPr="001526A9">
        <w:rPr>
          <w:rFonts w:ascii="Times New Roman" w:hAnsi="Times New Roman"/>
        </w:rPr>
        <w:tab/>
        <w:t>...</w:t>
      </w:r>
    </w:p>
    <w:p w14:paraId="113C1182" w14:textId="25E91F95" w:rsidR="00426ACD" w:rsidRPr="001526A9" w:rsidRDefault="00DF312A" w:rsidP="001526A9">
      <w:pPr>
        <w:pStyle w:val="leftright"/>
        <w:spacing w:before="0" w:after="260" w:line="280" w:lineRule="exact"/>
        <w:ind w:left="1440" w:right="0" w:hanging="720"/>
        <w:jc w:val="both"/>
        <w:rPr>
          <w:rFonts w:ascii="Times New Roman" w:hAnsi="Times New Roman"/>
        </w:rPr>
      </w:pPr>
      <w:r w:rsidRPr="001526A9">
        <w:rPr>
          <w:rFonts w:ascii="Times New Roman" w:hAnsi="Times New Roman"/>
        </w:rPr>
        <w:t xml:space="preserve">(2) </w:t>
      </w:r>
      <w:r w:rsidR="00D057B0" w:rsidRPr="001526A9">
        <w:rPr>
          <w:rFonts w:ascii="Times New Roman" w:hAnsi="Times New Roman"/>
        </w:rPr>
        <w:tab/>
      </w:r>
      <w:r w:rsidRPr="001526A9">
        <w:rPr>
          <w:rFonts w:ascii="Times New Roman" w:hAnsi="Times New Roman"/>
        </w:rPr>
        <w:t>For the purposes of subsection (1), each creation, recreation, communication or recommunication of matter is to be treated separately for the purposes of determining whether matter is electoral matter.</w:t>
      </w:r>
    </w:p>
    <w:p w14:paraId="74AF4F88" w14:textId="77777777" w:rsidR="001526A9" w:rsidRDefault="000B62EE" w:rsidP="001526A9">
      <w:pPr>
        <w:pStyle w:val="leftright"/>
        <w:spacing w:before="0" w:after="260" w:line="280" w:lineRule="exact"/>
        <w:ind w:left="1440" w:right="0"/>
        <w:jc w:val="both"/>
        <w:rPr>
          <w:rFonts w:ascii="Times New Roman" w:hAnsi="Times New Roman"/>
        </w:rPr>
      </w:pPr>
      <w:r w:rsidRPr="001526A9">
        <w:rPr>
          <w:rFonts w:ascii="Times New Roman" w:hAnsi="Times New Roman"/>
        </w:rPr>
        <w:t>..."</w:t>
      </w:r>
    </w:p>
    <w:p w14:paraId="5C5B6975" w14:textId="6C00C5C0" w:rsidR="000B62EE" w:rsidRPr="001526A9" w:rsidRDefault="000B62EE"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B476B1" w:rsidRPr="001526A9">
        <w:rPr>
          <w:rFonts w:ascii="Times New Roman" w:hAnsi="Times New Roman"/>
        </w:rPr>
        <w:t>Otherwise, s 321B defines</w:t>
      </w:r>
      <w:r w:rsidR="002E6C52" w:rsidRPr="001526A9">
        <w:rPr>
          <w:rFonts w:ascii="Times New Roman" w:hAnsi="Times New Roman"/>
        </w:rPr>
        <w:t>, relevantly,</w:t>
      </w:r>
      <w:r w:rsidR="00B476B1" w:rsidRPr="001526A9">
        <w:rPr>
          <w:rFonts w:ascii="Times New Roman" w:hAnsi="Times New Roman"/>
        </w:rPr>
        <w:t xml:space="preserve"> </w:t>
      </w:r>
      <w:r w:rsidR="002E6C52" w:rsidRPr="001526A9">
        <w:rPr>
          <w:rFonts w:ascii="Times New Roman" w:hAnsi="Times New Roman"/>
        </w:rPr>
        <w:t xml:space="preserve">"address", </w:t>
      </w:r>
      <w:r w:rsidR="00C03FF2" w:rsidRPr="001526A9">
        <w:rPr>
          <w:rFonts w:ascii="Times New Roman" w:hAnsi="Times New Roman"/>
        </w:rPr>
        <w:t>"authorises", "conduct"</w:t>
      </w:r>
      <w:r w:rsidR="004544E0" w:rsidRPr="001526A9">
        <w:rPr>
          <w:rFonts w:ascii="Times New Roman" w:hAnsi="Times New Roman"/>
        </w:rPr>
        <w:t xml:space="preserve"> and "disclosure entity". "</w:t>
      </w:r>
      <w:r w:rsidR="00123BE8" w:rsidRPr="001526A9">
        <w:rPr>
          <w:rFonts w:ascii="Times New Roman" w:hAnsi="Times New Roman"/>
        </w:rPr>
        <w:t>[</w:t>
      </w:r>
      <w:r w:rsidR="004544E0" w:rsidRPr="001526A9">
        <w:rPr>
          <w:rFonts w:ascii="Times New Roman" w:hAnsi="Times New Roman"/>
        </w:rPr>
        <w:t>A</w:t>
      </w:r>
      <w:r w:rsidR="00123BE8" w:rsidRPr="001526A9">
        <w:rPr>
          <w:rFonts w:ascii="Times New Roman" w:hAnsi="Times New Roman"/>
        </w:rPr>
        <w:t>]</w:t>
      </w:r>
      <w:proofErr w:type="spellStart"/>
      <w:r w:rsidR="004544E0" w:rsidRPr="001526A9">
        <w:rPr>
          <w:rFonts w:ascii="Times New Roman" w:hAnsi="Times New Roman"/>
        </w:rPr>
        <w:t>uthorise</w:t>
      </w:r>
      <w:r w:rsidR="00C23522" w:rsidRPr="001526A9">
        <w:rPr>
          <w:rFonts w:ascii="Times New Roman" w:hAnsi="Times New Roman"/>
        </w:rPr>
        <w:t>d</w:t>
      </w:r>
      <w:proofErr w:type="spellEnd"/>
      <w:r w:rsidR="004544E0" w:rsidRPr="001526A9">
        <w:rPr>
          <w:rFonts w:ascii="Times New Roman" w:hAnsi="Times New Roman"/>
        </w:rPr>
        <w:t xml:space="preserve">", which appears in the table to s 321D, is defined </w:t>
      </w:r>
      <w:r w:rsidR="009F52ED" w:rsidRPr="001526A9">
        <w:rPr>
          <w:rFonts w:ascii="Times New Roman" w:hAnsi="Times New Roman"/>
        </w:rPr>
        <w:t>in these terms:</w:t>
      </w:r>
    </w:p>
    <w:p w14:paraId="472BB75C" w14:textId="1B142CC4" w:rsidR="009F52ED" w:rsidRPr="001526A9" w:rsidRDefault="009F52ED" w:rsidP="001526A9">
      <w:pPr>
        <w:pStyle w:val="leftright"/>
        <w:spacing w:before="0" w:after="260" w:line="280" w:lineRule="exact"/>
        <w:ind w:right="0"/>
        <w:jc w:val="both"/>
        <w:rPr>
          <w:rFonts w:ascii="Times New Roman" w:hAnsi="Times New Roman"/>
        </w:rPr>
      </w:pPr>
      <w:r w:rsidRPr="001526A9">
        <w:rPr>
          <w:rFonts w:ascii="Times New Roman" w:hAnsi="Times New Roman"/>
        </w:rPr>
        <w:t>"</w:t>
      </w:r>
      <w:proofErr w:type="gramStart"/>
      <w:r w:rsidRPr="001526A9">
        <w:rPr>
          <w:rFonts w:ascii="Times New Roman" w:hAnsi="Times New Roman"/>
          <w:b/>
          <w:bCs/>
          <w:i/>
          <w:iCs/>
        </w:rPr>
        <w:t>authorises</w:t>
      </w:r>
      <w:proofErr w:type="gramEnd"/>
      <w:r w:rsidRPr="001526A9">
        <w:rPr>
          <w:rFonts w:ascii="Times New Roman" w:hAnsi="Times New Roman"/>
        </w:rPr>
        <w:t>: a person authorises the communication of electoral matter if:</w:t>
      </w:r>
    </w:p>
    <w:p w14:paraId="1B0A237E" w14:textId="31348679" w:rsidR="009F52ED" w:rsidRPr="001526A9" w:rsidRDefault="009F52ED" w:rsidP="00C12BC0">
      <w:pPr>
        <w:pStyle w:val="leftright"/>
        <w:spacing w:before="0" w:after="260" w:line="280" w:lineRule="exact"/>
        <w:ind w:left="1440" w:right="0" w:hanging="720"/>
        <w:jc w:val="both"/>
        <w:rPr>
          <w:rFonts w:ascii="Times New Roman" w:hAnsi="Times New Roman"/>
        </w:rPr>
      </w:pPr>
      <w:r w:rsidRPr="001526A9">
        <w:rPr>
          <w:rFonts w:ascii="Times New Roman" w:hAnsi="Times New Roman"/>
        </w:rPr>
        <w:t xml:space="preserve">(a) </w:t>
      </w:r>
      <w:r w:rsidR="005A399F" w:rsidRPr="001526A9">
        <w:rPr>
          <w:rFonts w:ascii="Times New Roman" w:hAnsi="Times New Roman"/>
        </w:rPr>
        <w:tab/>
      </w:r>
      <w:r w:rsidRPr="001526A9">
        <w:rPr>
          <w:rFonts w:ascii="Times New Roman" w:hAnsi="Times New Roman"/>
        </w:rPr>
        <w:t>if the content of the matter is approved before the matter is communicated</w:t>
      </w:r>
      <w:r w:rsidR="00D94E7F">
        <w:rPr>
          <w:rFonts w:ascii="Times New Roman" w:hAnsi="Times New Roman"/>
        </w:rPr>
        <w:t xml:space="preserve"> </w:t>
      </w:r>
      <w:r w:rsidR="005A399F" w:rsidRPr="001526A9">
        <w:rPr>
          <w:rFonts w:ascii="Times New Roman" w:hAnsi="Times New Roman"/>
        </w:rPr>
        <w:t>–</w:t>
      </w:r>
      <w:r w:rsidR="00D94E7F">
        <w:rPr>
          <w:rFonts w:ascii="Times New Roman" w:hAnsi="Times New Roman"/>
        </w:rPr>
        <w:t xml:space="preserve"> </w:t>
      </w:r>
      <w:r w:rsidRPr="001526A9">
        <w:rPr>
          <w:rFonts w:ascii="Times New Roman" w:hAnsi="Times New Roman"/>
        </w:rPr>
        <w:t>the person approves the content of the matter; or</w:t>
      </w:r>
    </w:p>
    <w:p w14:paraId="11FA2E06" w14:textId="77777777" w:rsidR="001526A9" w:rsidRDefault="009F52ED" w:rsidP="001526A9">
      <w:pPr>
        <w:pStyle w:val="leftright"/>
        <w:spacing w:before="0" w:after="260" w:line="280" w:lineRule="exact"/>
        <w:ind w:left="2160" w:right="0" w:hanging="1440"/>
        <w:jc w:val="both"/>
        <w:rPr>
          <w:rFonts w:ascii="Times New Roman" w:hAnsi="Times New Roman"/>
        </w:rPr>
      </w:pPr>
      <w:r w:rsidRPr="001526A9">
        <w:rPr>
          <w:rFonts w:ascii="Times New Roman" w:hAnsi="Times New Roman"/>
        </w:rPr>
        <w:t xml:space="preserve">(b) </w:t>
      </w:r>
      <w:r w:rsidR="005A399F" w:rsidRPr="001526A9">
        <w:rPr>
          <w:rFonts w:ascii="Times New Roman" w:hAnsi="Times New Roman"/>
        </w:rPr>
        <w:tab/>
      </w:r>
      <w:r w:rsidRPr="001526A9">
        <w:rPr>
          <w:rFonts w:ascii="Times New Roman" w:hAnsi="Times New Roman"/>
        </w:rPr>
        <w:t>otherwise</w:t>
      </w:r>
      <w:r w:rsidR="00AD25D9" w:rsidRPr="001526A9">
        <w:rPr>
          <w:rFonts w:ascii="Times New Roman" w:hAnsi="Times New Roman"/>
        </w:rPr>
        <w:t xml:space="preserve"> </w:t>
      </w:r>
      <w:r w:rsidR="005A399F" w:rsidRPr="001526A9">
        <w:rPr>
          <w:rFonts w:ascii="Times New Roman" w:hAnsi="Times New Roman"/>
        </w:rPr>
        <w:t>–</w:t>
      </w:r>
      <w:r w:rsidR="00AD25D9" w:rsidRPr="001526A9">
        <w:rPr>
          <w:rFonts w:ascii="Times New Roman" w:hAnsi="Times New Roman"/>
        </w:rPr>
        <w:t xml:space="preserve"> </w:t>
      </w:r>
      <w:r w:rsidRPr="001526A9">
        <w:rPr>
          <w:rFonts w:ascii="Times New Roman" w:hAnsi="Times New Roman"/>
        </w:rPr>
        <w:t>the person communicates the matter."</w:t>
      </w:r>
    </w:p>
    <w:p w14:paraId="7BDB3C20" w14:textId="39231570" w:rsidR="002D63F3" w:rsidRPr="001526A9" w:rsidRDefault="00413FCC" w:rsidP="001526A9">
      <w:pPr>
        <w:pStyle w:val="HeadingL1"/>
        <w:spacing w:after="260" w:line="280" w:lineRule="exact"/>
        <w:ind w:right="0"/>
        <w:jc w:val="both"/>
        <w:rPr>
          <w:rFonts w:ascii="Times New Roman" w:hAnsi="Times New Roman"/>
        </w:rPr>
      </w:pPr>
      <w:r w:rsidRPr="001526A9">
        <w:rPr>
          <w:rFonts w:ascii="Times New Roman" w:hAnsi="Times New Roman"/>
          <w:iCs/>
        </w:rPr>
        <w:t>Construct</w:t>
      </w:r>
      <w:r w:rsidRPr="001526A9">
        <w:rPr>
          <w:rFonts w:ascii="Times New Roman" w:hAnsi="Times New Roman"/>
        </w:rPr>
        <w:t xml:space="preserve">ion </w:t>
      </w:r>
      <w:r w:rsidR="002D63F3" w:rsidRPr="001526A9">
        <w:rPr>
          <w:rFonts w:ascii="Times New Roman" w:hAnsi="Times New Roman"/>
        </w:rPr>
        <w:t>of statutory provisions</w:t>
      </w:r>
    </w:p>
    <w:p w14:paraId="340D47A3" w14:textId="61B23B1F" w:rsidR="00F961F3" w:rsidRPr="001526A9" w:rsidRDefault="00F961F3" w:rsidP="001526A9">
      <w:pPr>
        <w:pStyle w:val="HeadingL2"/>
        <w:spacing w:after="260" w:line="280" w:lineRule="exact"/>
        <w:ind w:right="0"/>
        <w:jc w:val="both"/>
        <w:rPr>
          <w:rFonts w:ascii="Times New Roman" w:hAnsi="Times New Roman"/>
        </w:rPr>
      </w:pPr>
      <w:r w:rsidRPr="001526A9">
        <w:rPr>
          <w:rFonts w:ascii="Times New Roman" w:hAnsi="Times New Roman"/>
        </w:rPr>
        <w:t>Context</w:t>
      </w:r>
      <w:r w:rsidR="00BC062D" w:rsidRPr="001526A9">
        <w:rPr>
          <w:rFonts w:ascii="Times New Roman" w:hAnsi="Times New Roman"/>
        </w:rPr>
        <w:t>ual</w:t>
      </w:r>
      <w:r w:rsidRPr="001526A9">
        <w:rPr>
          <w:rFonts w:ascii="Times New Roman" w:hAnsi="Times New Roman"/>
        </w:rPr>
        <w:t xml:space="preserve"> and purpos</w:t>
      </w:r>
      <w:r w:rsidR="00BC062D" w:rsidRPr="001526A9">
        <w:rPr>
          <w:rFonts w:ascii="Times New Roman" w:hAnsi="Times New Roman"/>
        </w:rPr>
        <w:t>ive considerations</w:t>
      </w:r>
    </w:p>
    <w:p w14:paraId="231C17A8" w14:textId="4DA9A7EA" w:rsidR="008A5582" w:rsidRPr="001526A9" w:rsidRDefault="008A5582" w:rsidP="001526A9">
      <w:pPr>
        <w:pStyle w:val="FixListStyle"/>
        <w:spacing w:after="260" w:line="280" w:lineRule="exact"/>
        <w:ind w:right="0"/>
        <w:jc w:val="both"/>
        <w:rPr>
          <w:rFonts w:ascii="Times New Roman" w:hAnsi="Times New Roman"/>
        </w:rPr>
      </w:pPr>
      <w:r w:rsidRPr="001526A9">
        <w:rPr>
          <w:rFonts w:ascii="Times New Roman" w:hAnsi="Times New Roman"/>
        </w:rPr>
        <w:tab/>
        <w:t xml:space="preserve">It may be accepted that the imposition of a civil penalty for contravention </w:t>
      </w:r>
      <w:r w:rsidR="00417FCA" w:rsidRPr="001526A9">
        <w:rPr>
          <w:rFonts w:ascii="Times New Roman" w:hAnsi="Times New Roman"/>
        </w:rPr>
        <w:t>of s 321</w:t>
      </w:r>
      <w:proofErr w:type="gramStart"/>
      <w:r w:rsidR="00417FCA" w:rsidRPr="001526A9">
        <w:rPr>
          <w:rFonts w:ascii="Times New Roman" w:hAnsi="Times New Roman"/>
        </w:rPr>
        <w:t>D(</w:t>
      </w:r>
      <w:proofErr w:type="gramEnd"/>
      <w:r w:rsidR="00417FCA" w:rsidRPr="001526A9">
        <w:rPr>
          <w:rFonts w:ascii="Times New Roman" w:hAnsi="Times New Roman"/>
        </w:rPr>
        <w:t xml:space="preserve">5) </w:t>
      </w:r>
      <w:r w:rsidRPr="001526A9">
        <w:rPr>
          <w:rFonts w:ascii="Times New Roman" w:hAnsi="Times New Roman"/>
        </w:rPr>
        <w:t xml:space="preserve">is </w:t>
      </w:r>
      <w:r w:rsidR="00C84BED" w:rsidRPr="001526A9">
        <w:rPr>
          <w:rFonts w:ascii="Times New Roman" w:hAnsi="Times New Roman"/>
        </w:rPr>
        <w:t xml:space="preserve">intended </w:t>
      </w:r>
      <w:r w:rsidRPr="001526A9">
        <w:rPr>
          <w:rFonts w:ascii="Times New Roman" w:hAnsi="Times New Roman"/>
        </w:rPr>
        <w:t xml:space="preserve">to deter non-compliance so that the </w:t>
      </w:r>
      <w:r w:rsidR="009B7E15" w:rsidRPr="001526A9">
        <w:rPr>
          <w:rFonts w:ascii="Times New Roman" w:hAnsi="Times New Roman"/>
        </w:rPr>
        <w:t xml:space="preserve">expressly stated </w:t>
      </w:r>
      <w:r w:rsidR="00C84BED" w:rsidRPr="001526A9">
        <w:rPr>
          <w:rFonts w:ascii="Times New Roman" w:hAnsi="Times New Roman"/>
        </w:rPr>
        <w:t xml:space="preserve">objects </w:t>
      </w:r>
      <w:r w:rsidRPr="001526A9">
        <w:rPr>
          <w:rFonts w:ascii="Times New Roman" w:hAnsi="Times New Roman"/>
        </w:rPr>
        <w:t>of s 321D, as identified in s 321C</w:t>
      </w:r>
      <w:r w:rsidR="009B7E15" w:rsidRPr="001526A9">
        <w:rPr>
          <w:rFonts w:ascii="Times New Roman" w:hAnsi="Times New Roman"/>
        </w:rPr>
        <w:t>(1)</w:t>
      </w:r>
      <w:r w:rsidRPr="001526A9">
        <w:rPr>
          <w:rFonts w:ascii="Times New Roman" w:hAnsi="Times New Roman"/>
        </w:rPr>
        <w:t xml:space="preserve">, may be achieved. </w:t>
      </w:r>
      <w:r w:rsidR="0005050F" w:rsidRPr="001526A9">
        <w:rPr>
          <w:rFonts w:ascii="Times New Roman" w:hAnsi="Times New Roman"/>
        </w:rPr>
        <w:t>H</w:t>
      </w:r>
      <w:r w:rsidRPr="001526A9">
        <w:rPr>
          <w:rFonts w:ascii="Times New Roman" w:hAnsi="Times New Roman"/>
        </w:rPr>
        <w:t xml:space="preserve">owever, </w:t>
      </w:r>
      <w:r w:rsidR="00B63DB6" w:rsidRPr="001526A9">
        <w:rPr>
          <w:rFonts w:ascii="Times New Roman" w:hAnsi="Times New Roman"/>
        </w:rPr>
        <w:t xml:space="preserve">the </w:t>
      </w:r>
      <w:r w:rsidR="00B63DB6" w:rsidRPr="001526A9">
        <w:rPr>
          <w:rFonts w:ascii="Times New Roman" w:hAnsi="Times New Roman"/>
        </w:rPr>
        <w:lastRenderedPageBreak/>
        <w:t>argument of the respondent, accepted by the Full Court,</w:t>
      </w:r>
      <w:r w:rsidR="00B63DB6" w:rsidRPr="001526A9">
        <w:rPr>
          <w:rStyle w:val="FootnoteReference"/>
          <w:rFonts w:ascii="Times New Roman" w:hAnsi="Times New Roman"/>
          <w:sz w:val="24"/>
        </w:rPr>
        <w:footnoteReference w:id="17"/>
      </w:r>
      <w:r w:rsidR="00B63DB6" w:rsidRPr="001526A9">
        <w:rPr>
          <w:rFonts w:ascii="Times New Roman" w:hAnsi="Times New Roman"/>
        </w:rPr>
        <w:t xml:space="preserve"> </w:t>
      </w:r>
      <w:r w:rsidRPr="001526A9">
        <w:rPr>
          <w:rFonts w:ascii="Times New Roman" w:hAnsi="Times New Roman"/>
        </w:rPr>
        <w:t>that the maximum penalty of $25,</w:t>
      </w:r>
      <w:r w:rsidR="006111A7" w:rsidRPr="001526A9">
        <w:rPr>
          <w:rFonts w:ascii="Times New Roman" w:hAnsi="Times New Roman"/>
        </w:rPr>
        <w:t>2</w:t>
      </w:r>
      <w:r w:rsidRPr="001526A9">
        <w:rPr>
          <w:rFonts w:ascii="Times New Roman" w:hAnsi="Times New Roman"/>
        </w:rPr>
        <w:t xml:space="preserve">00 is inadequate to achieve deterrence if the number of contraventions </w:t>
      </w:r>
      <w:r w:rsidR="002B4A40" w:rsidRPr="001526A9">
        <w:rPr>
          <w:rFonts w:ascii="Times New Roman" w:hAnsi="Times New Roman"/>
        </w:rPr>
        <w:t xml:space="preserve">is the </w:t>
      </w:r>
      <w:r w:rsidRPr="001526A9">
        <w:rPr>
          <w:rFonts w:ascii="Times New Roman" w:hAnsi="Times New Roman"/>
        </w:rPr>
        <w:t>number of times the notifying entity failed to comply with s 321D(5) (provided that the non-complying "electoral matter" was in fact communicated to one person as required by s 321D(1))</w:t>
      </w:r>
      <w:r w:rsidR="006312C8" w:rsidRPr="001526A9">
        <w:rPr>
          <w:rFonts w:ascii="Times New Roman" w:hAnsi="Times New Roman"/>
        </w:rPr>
        <w:t xml:space="preserve"> </w:t>
      </w:r>
      <w:r w:rsidR="000D5249" w:rsidRPr="001526A9">
        <w:rPr>
          <w:rFonts w:ascii="Times New Roman" w:hAnsi="Times New Roman"/>
        </w:rPr>
        <w:t>does not follow and cannot be supported</w:t>
      </w:r>
      <w:r w:rsidRPr="001526A9">
        <w:rPr>
          <w:rFonts w:ascii="Times New Roman" w:hAnsi="Times New Roman"/>
        </w:rPr>
        <w:t xml:space="preserve">. </w:t>
      </w:r>
    </w:p>
    <w:p w14:paraId="6229A70E" w14:textId="6D410848" w:rsidR="00562BBE" w:rsidRPr="001526A9" w:rsidRDefault="008A5582" w:rsidP="001526A9">
      <w:pPr>
        <w:pStyle w:val="FixListStyle"/>
        <w:spacing w:after="260" w:line="280" w:lineRule="exact"/>
        <w:ind w:right="0"/>
        <w:jc w:val="both"/>
        <w:rPr>
          <w:rFonts w:ascii="Times New Roman" w:hAnsi="Times New Roman"/>
        </w:rPr>
      </w:pPr>
      <w:r w:rsidRPr="001526A9">
        <w:rPr>
          <w:rFonts w:ascii="Times New Roman" w:hAnsi="Times New Roman"/>
        </w:rPr>
        <w:tab/>
        <w:t>T</w:t>
      </w:r>
      <w:r w:rsidR="00AD100C" w:rsidRPr="001526A9">
        <w:rPr>
          <w:rFonts w:ascii="Times New Roman" w:hAnsi="Times New Roman"/>
        </w:rPr>
        <w:t>o the contrary, t</w:t>
      </w:r>
      <w:r w:rsidRPr="001526A9">
        <w:rPr>
          <w:rFonts w:ascii="Times New Roman" w:hAnsi="Times New Roman"/>
        </w:rPr>
        <w:t>he context of s 321D, the regulation of "electoral matter</w:t>
      </w:r>
      <w:r w:rsidR="00443CCE" w:rsidRPr="001526A9">
        <w:rPr>
          <w:rFonts w:ascii="Times New Roman" w:hAnsi="Times New Roman"/>
        </w:rPr>
        <w:t>"</w:t>
      </w:r>
      <w:r w:rsidR="00A53A44" w:rsidRPr="001526A9">
        <w:rPr>
          <w:rFonts w:ascii="Times New Roman" w:hAnsi="Times New Roman"/>
        </w:rPr>
        <w:t>,</w:t>
      </w:r>
      <w:r w:rsidRPr="001526A9">
        <w:rPr>
          <w:rFonts w:ascii="Times New Roman" w:hAnsi="Times New Roman"/>
        </w:rPr>
        <w:t xml:space="preserve"> involves a quintessential form of political communication. </w:t>
      </w:r>
      <w:r w:rsidR="00AD100C" w:rsidRPr="001526A9">
        <w:rPr>
          <w:rFonts w:ascii="Times New Roman" w:hAnsi="Times New Roman"/>
        </w:rPr>
        <w:t xml:space="preserve">Fundamental aspects of the Australian legal and political system, specifically that freedom of political communication is an indispensable </w:t>
      </w:r>
      <w:r w:rsidR="002A59B9" w:rsidRPr="001526A9">
        <w:rPr>
          <w:rFonts w:ascii="Times New Roman" w:hAnsi="Times New Roman"/>
        </w:rPr>
        <w:t xml:space="preserve">incident </w:t>
      </w:r>
      <w:r w:rsidR="00AD100C" w:rsidRPr="001526A9">
        <w:rPr>
          <w:rFonts w:ascii="Times New Roman" w:hAnsi="Times New Roman"/>
        </w:rPr>
        <w:t>of "the principle of responsible government</w:t>
      </w:r>
      <w:r w:rsidR="00F918A8" w:rsidRPr="001526A9">
        <w:rPr>
          <w:rFonts w:ascii="Times New Roman" w:hAnsi="Times New Roman"/>
        </w:rPr>
        <w:t> </w:t>
      </w:r>
      <w:r w:rsidR="00443CCE" w:rsidRPr="001526A9">
        <w:rPr>
          <w:rFonts w:ascii="Times New Roman" w:hAnsi="Times New Roman"/>
        </w:rPr>
        <w:t>–</w:t>
      </w:r>
      <w:r w:rsidR="00F918A8" w:rsidRPr="001526A9">
        <w:rPr>
          <w:rFonts w:ascii="Times New Roman" w:hAnsi="Times New Roman"/>
        </w:rPr>
        <w:t> </w:t>
      </w:r>
      <w:r w:rsidR="00AD100C" w:rsidRPr="001526A9">
        <w:rPr>
          <w:rFonts w:ascii="Times New Roman" w:hAnsi="Times New Roman"/>
        </w:rPr>
        <w:t xml:space="preserve">the system of government by which the executive is responsible to the legislature" </w:t>
      </w:r>
      <w:r w:rsidR="006826AD" w:rsidRPr="001526A9">
        <w:rPr>
          <w:rFonts w:ascii="Times New Roman" w:hAnsi="Times New Roman"/>
        </w:rPr>
        <w:t xml:space="preserve">which </w:t>
      </w:r>
      <w:r w:rsidR="00AD100C" w:rsidRPr="001526A9">
        <w:rPr>
          <w:rFonts w:ascii="Times New Roman" w:hAnsi="Times New Roman"/>
        </w:rPr>
        <w:t>has been said to be "not merely an assumption upon which the actual provisions are based ... [but] an integral element in the Constitution"</w:t>
      </w:r>
      <w:r w:rsidR="002A1E37" w:rsidRPr="001526A9">
        <w:rPr>
          <w:rFonts w:ascii="Times New Roman" w:hAnsi="Times New Roman"/>
        </w:rPr>
        <w:t>,</w:t>
      </w:r>
      <w:r w:rsidR="00731DD8" w:rsidRPr="001526A9">
        <w:rPr>
          <w:rStyle w:val="FootnoteReference"/>
          <w:rFonts w:ascii="Times New Roman" w:hAnsi="Times New Roman"/>
          <w:sz w:val="24"/>
        </w:rPr>
        <w:footnoteReference w:id="18"/>
      </w:r>
      <w:r w:rsidR="00D8497A" w:rsidRPr="001526A9">
        <w:rPr>
          <w:rFonts w:ascii="Times New Roman" w:hAnsi="Times New Roman"/>
        </w:rPr>
        <w:t xml:space="preserve"> </w:t>
      </w:r>
      <w:r w:rsidR="003D2956" w:rsidRPr="001526A9">
        <w:rPr>
          <w:rFonts w:ascii="Times New Roman" w:hAnsi="Times New Roman"/>
        </w:rPr>
        <w:t xml:space="preserve">constitute the </w:t>
      </w:r>
      <w:r w:rsidR="003A4FB5" w:rsidRPr="001526A9">
        <w:rPr>
          <w:rFonts w:ascii="Times New Roman" w:hAnsi="Times New Roman"/>
        </w:rPr>
        <w:t xml:space="preserve">critical </w:t>
      </w:r>
      <w:r w:rsidR="00D8497A" w:rsidRPr="001526A9">
        <w:rPr>
          <w:rFonts w:ascii="Times New Roman" w:hAnsi="Times New Roman"/>
        </w:rPr>
        <w:t xml:space="preserve">context in which s 321D is to be construed. </w:t>
      </w:r>
    </w:p>
    <w:p w14:paraId="1E0D68B5" w14:textId="009B9A0C" w:rsidR="00AD100C" w:rsidRPr="001526A9" w:rsidRDefault="00562BBE"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F51DA5" w:rsidRPr="001526A9">
        <w:rPr>
          <w:rFonts w:ascii="Times New Roman" w:hAnsi="Times New Roman"/>
        </w:rPr>
        <w:t xml:space="preserve">This </w:t>
      </w:r>
      <w:r w:rsidRPr="001526A9">
        <w:rPr>
          <w:rFonts w:ascii="Times New Roman" w:hAnsi="Times New Roman"/>
        </w:rPr>
        <w:t xml:space="preserve">context explains </w:t>
      </w:r>
      <w:r w:rsidR="00F51DA5" w:rsidRPr="001526A9">
        <w:rPr>
          <w:rFonts w:ascii="Times New Roman" w:hAnsi="Times New Roman"/>
        </w:rPr>
        <w:t>why s </w:t>
      </w:r>
      <w:r w:rsidR="003D2956" w:rsidRPr="001526A9">
        <w:rPr>
          <w:rFonts w:ascii="Times New Roman" w:hAnsi="Times New Roman"/>
        </w:rPr>
        <w:t>321</w:t>
      </w:r>
      <w:proofErr w:type="gramStart"/>
      <w:r w:rsidR="003D2956" w:rsidRPr="001526A9">
        <w:rPr>
          <w:rFonts w:ascii="Times New Roman" w:hAnsi="Times New Roman"/>
        </w:rPr>
        <w:t>C(</w:t>
      </w:r>
      <w:proofErr w:type="gramEnd"/>
      <w:r w:rsidR="003D2956" w:rsidRPr="001526A9">
        <w:rPr>
          <w:rFonts w:ascii="Times New Roman" w:hAnsi="Times New Roman"/>
        </w:rPr>
        <w:t>3) expressly provides that Pt XXA is not to detract from t</w:t>
      </w:r>
      <w:r w:rsidR="00490B6B" w:rsidRPr="001526A9">
        <w:rPr>
          <w:rFonts w:ascii="Times New Roman" w:hAnsi="Times New Roman"/>
        </w:rPr>
        <w:t>he ability of p</w:t>
      </w:r>
      <w:r w:rsidR="003A4FB5" w:rsidRPr="001526A9">
        <w:rPr>
          <w:rFonts w:ascii="Times New Roman" w:hAnsi="Times New Roman"/>
        </w:rPr>
        <w:t xml:space="preserve">ersons </w:t>
      </w:r>
      <w:r w:rsidR="00F51DA5" w:rsidRPr="001526A9">
        <w:rPr>
          <w:rFonts w:ascii="Times New Roman" w:hAnsi="Times New Roman"/>
        </w:rPr>
        <w:t xml:space="preserve">to communicate </w:t>
      </w:r>
      <w:r w:rsidR="003A4FB5" w:rsidRPr="001526A9">
        <w:rPr>
          <w:rFonts w:ascii="Times New Roman" w:hAnsi="Times New Roman"/>
        </w:rPr>
        <w:t>"electoral matter</w:t>
      </w:r>
      <w:r w:rsidR="00F51DA5" w:rsidRPr="001526A9">
        <w:rPr>
          <w:rFonts w:ascii="Times New Roman" w:hAnsi="Times New Roman"/>
        </w:rPr>
        <w:t>"</w:t>
      </w:r>
      <w:r w:rsidR="00C71392" w:rsidRPr="001526A9">
        <w:rPr>
          <w:rFonts w:ascii="Times New Roman" w:hAnsi="Times New Roman"/>
        </w:rPr>
        <w:t xml:space="preserve">. </w:t>
      </w:r>
      <w:r w:rsidR="00F51DA5" w:rsidRPr="001526A9">
        <w:rPr>
          <w:rFonts w:ascii="Times New Roman" w:hAnsi="Times New Roman"/>
        </w:rPr>
        <w:t xml:space="preserve">It also </w:t>
      </w:r>
      <w:r w:rsidR="00CF6B93" w:rsidRPr="001526A9">
        <w:rPr>
          <w:rFonts w:ascii="Times New Roman" w:hAnsi="Times New Roman"/>
        </w:rPr>
        <w:t xml:space="preserve">explains </w:t>
      </w:r>
      <w:r w:rsidR="00C71392" w:rsidRPr="001526A9">
        <w:rPr>
          <w:rFonts w:ascii="Times New Roman" w:hAnsi="Times New Roman"/>
        </w:rPr>
        <w:t xml:space="preserve">why </w:t>
      </w:r>
      <w:r w:rsidR="00C022C2" w:rsidRPr="001526A9">
        <w:rPr>
          <w:rFonts w:ascii="Times New Roman" w:hAnsi="Times New Roman"/>
        </w:rPr>
        <w:t>s 321</w:t>
      </w:r>
      <w:proofErr w:type="gramStart"/>
      <w:r w:rsidR="00C022C2" w:rsidRPr="001526A9">
        <w:rPr>
          <w:rFonts w:ascii="Times New Roman" w:hAnsi="Times New Roman"/>
        </w:rPr>
        <w:t>C(</w:t>
      </w:r>
      <w:proofErr w:type="gramEnd"/>
      <w:r w:rsidR="00C022C2" w:rsidRPr="001526A9">
        <w:rPr>
          <w:rFonts w:ascii="Times New Roman" w:hAnsi="Times New Roman"/>
        </w:rPr>
        <w:t>2) expressly provides how Pt XXA is to achieve its objects</w:t>
      </w:r>
      <w:r w:rsidR="002A245D" w:rsidRPr="001526A9">
        <w:rPr>
          <w:rFonts w:ascii="Times New Roman" w:hAnsi="Times New Roman"/>
        </w:rPr>
        <w:t xml:space="preserve">. </w:t>
      </w:r>
      <w:r w:rsidR="00F51DA5" w:rsidRPr="001526A9">
        <w:rPr>
          <w:rFonts w:ascii="Times New Roman" w:hAnsi="Times New Roman"/>
        </w:rPr>
        <w:t>T</w:t>
      </w:r>
      <w:r w:rsidR="002A245D" w:rsidRPr="001526A9">
        <w:rPr>
          <w:rFonts w:ascii="Times New Roman" w:hAnsi="Times New Roman"/>
        </w:rPr>
        <w:t xml:space="preserve">he explanation </w:t>
      </w:r>
      <w:r w:rsidR="000D5249" w:rsidRPr="001526A9">
        <w:rPr>
          <w:rFonts w:ascii="Times New Roman" w:hAnsi="Times New Roman"/>
        </w:rPr>
        <w:t xml:space="preserve">of </w:t>
      </w:r>
      <w:r w:rsidR="002A245D" w:rsidRPr="001526A9">
        <w:rPr>
          <w:rFonts w:ascii="Times New Roman" w:hAnsi="Times New Roman"/>
        </w:rPr>
        <w:t xml:space="preserve">how the objects </w:t>
      </w:r>
      <w:proofErr w:type="gramStart"/>
      <w:r w:rsidR="002A245D" w:rsidRPr="001526A9">
        <w:rPr>
          <w:rFonts w:ascii="Times New Roman" w:hAnsi="Times New Roman"/>
        </w:rPr>
        <w:t>are</w:t>
      </w:r>
      <w:proofErr w:type="gramEnd"/>
      <w:r w:rsidR="002A245D" w:rsidRPr="001526A9">
        <w:rPr>
          <w:rFonts w:ascii="Times New Roman" w:hAnsi="Times New Roman"/>
        </w:rPr>
        <w:t xml:space="preserve"> to be achieved</w:t>
      </w:r>
      <w:r w:rsidR="000014C7" w:rsidRPr="001526A9">
        <w:rPr>
          <w:rFonts w:ascii="Times New Roman" w:hAnsi="Times New Roman"/>
        </w:rPr>
        <w:t xml:space="preserve"> </w:t>
      </w:r>
      <w:r w:rsidR="002A245D" w:rsidRPr="001526A9">
        <w:rPr>
          <w:rFonts w:ascii="Times New Roman" w:hAnsi="Times New Roman"/>
        </w:rPr>
        <w:t>includes that</w:t>
      </w:r>
      <w:r w:rsidR="001B4F70" w:rsidRPr="001526A9">
        <w:rPr>
          <w:rFonts w:ascii="Times New Roman" w:hAnsi="Times New Roman"/>
        </w:rPr>
        <w:t xml:space="preserve"> the required particulars are to be notified </w:t>
      </w:r>
      <w:r w:rsidR="001B4F70" w:rsidRPr="001526A9">
        <w:rPr>
          <w:rFonts w:ascii="Times New Roman" w:hAnsi="Times New Roman"/>
          <w:i/>
          <w:iCs/>
        </w:rPr>
        <w:t>if</w:t>
      </w:r>
      <w:r w:rsidR="001B4F70" w:rsidRPr="001526A9">
        <w:rPr>
          <w:rFonts w:ascii="Times New Roman" w:hAnsi="Times New Roman"/>
        </w:rPr>
        <w:t>, relevant</w:t>
      </w:r>
      <w:r w:rsidR="007546AA" w:rsidRPr="001526A9">
        <w:rPr>
          <w:rFonts w:ascii="Times New Roman" w:hAnsi="Times New Roman"/>
        </w:rPr>
        <w:t>ly</w:t>
      </w:r>
      <w:r w:rsidR="001B4F70" w:rsidRPr="001526A9">
        <w:rPr>
          <w:rFonts w:ascii="Times New Roman" w:hAnsi="Times New Roman"/>
        </w:rPr>
        <w:t xml:space="preserve">, </w:t>
      </w:r>
      <w:r w:rsidR="007546AA" w:rsidRPr="001526A9">
        <w:rPr>
          <w:rFonts w:ascii="Times New Roman" w:hAnsi="Times New Roman"/>
        </w:rPr>
        <w:t xml:space="preserve">"the matter </w:t>
      </w:r>
      <w:r w:rsidR="007546AA" w:rsidRPr="001526A9">
        <w:rPr>
          <w:rFonts w:ascii="Times New Roman" w:hAnsi="Times New Roman"/>
          <w:i/>
          <w:iCs/>
        </w:rPr>
        <w:t>is communicated</w:t>
      </w:r>
      <w:r w:rsidR="007546AA" w:rsidRPr="001526A9">
        <w:rPr>
          <w:rFonts w:ascii="Times New Roman" w:hAnsi="Times New Roman"/>
        </w:rPr>
        <w:t xml:space="preserve"> by, or on behalf of, a disclosure entity" and by "ensuring that the particulars are clearly identifiable, </w:t>
      </w:r>
      <w:r w:rsidR="007546AA" w:rsidRPr="001526A9">
        <w:rPr>
          <w:rFonts w:ascii="Times New Roman" w:hAnsi="Times New Roman"/>
          <w:i/>
          <w:iCs/>
        </w:rPr>
        <w:t>irrespective of how the matter is communicated</w:t>
      </w:r>
      <w:r w:rsidR="00623B17" w:rsidRPr="001526A9">
        <w:rPr>
          <w:rFonts w:ascii="Times New Roman" w:hAnsi="Times New Roman"/>
        </w:rPr>
        <w:t>"</w:t>
      </w:r>
      <w:r w:rsidR="007546AA" w:rsidRPr="001526A9">
        <w:rPr>
          <w:rFonts w:ascii="Times New Roman" w:hAnsi="Times New Roman"/>
        </w:rPr>
        <w:t>.</w:t>
      </w:r>
      <w:r w:rsidR="00F51DA5" w:rsidRPr="001526A9">
        <w:rPr>
          <w:rStyle w:val="FootnoteReference"/>
          <w:rFonts w:ascii="Times New Roman" w:hAnsi="Times New Roman"/>
          <w:sz w:val="24"/>
        </w:rPr>
        <w:footnoteReference w:id="19"/>
      </w:r>
      <w:r w:rsidR="00F51DA5" w:rsidRPr="001526A9">
        <w:rPr>
          <w:rFonts w:ascii="Times New Roman" w:hAnsi="Times New Roman"/>
        </w:rPr>
        <w:t xml:space="preserve"> </w:t>
      </w:r>
    </w:p>
    <w:p w14:paraId="120CF451" w14:textId="60EBBCC7" w:rsidR="008C5562" w:rsidRPr="001526A9" w:rsidRDefault="00EF5A94"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8A5582" w:rsidRPr="001526A9">
        <w:rPr>
          <w:rFonts w:ascii="Times New Roman" w:hAnsi="Times New Roman"/>
        </w:rPr>
        <w:t xml:space="preserve">Given the specific purpose of the provisions </w:t>
      </w:r>
      <w:r w:rsidRPr="001526A9">
        <w:rPr>
          <w:rFonts w:ascii="Times New Roman" w:hAnsi="Times New Roman"/>
        </w:rPr>
        <w:t xml:space="preserve">was </w:t>
      </w:r>
      <w:r w:rsidR="008A5582" w:rsidRPr="001526A9">
        <w:rPr>
          <w:rFonts w:ascii="Times New Roman" w:hAnsi="Times New Roman"/>
        </w:rPr>
        <w:t xml:space="preserve">to create a </w:t>
      </w:r>
      <w:r w:rsidR="00CF6B93" w:rsidRPr="001526A9">
        <w:rPr>
          <w:rFonts w:ascii="Times New Roman" w:hAnsi="Times New Roman"/>
        </w:rPr>
        <w:t>"</w:t>
      </w:r>
      <w:r w:rsidR="008A5582" w:rsidRPr="001526A9">
        <w:rPr>
          <w:rFonts w:ascii="Times New Roman" w:hAnsi="Times New Roman"/>
        </w:rPr>
        <w:t>level playing field</w:t>
      </w:r>
      <w:r w:rsidR="00CF6B93" w:rsidRPr="001526A9">
        <w:rPr>
          <w:rFonts w:ascii="Times New Roman" w:hAnsi="Times New Roman"/>
        </w:rPr>
        <w:t>"</w:t>
      </w:r>
      <w:r w:rsidR="008A5582" w:rsidRPr="001526A9">
        <w:rPr>
          <w:rFonts w:ascii="Times New Roman" w:hAnsi="Times New Roman"/>
        </w:rPr>
        <w:t xml:space="preserve"> by subjecting all forms of communication to the same regulation,</w:t>
      </w:r>
      <w:r w:rsidR="000F2439" w:rsidRPr="001526A9">
        <w:rPr>
          <w:rStyle w:val="FootnoteReference"/>
          <w:rFonts w:ascii="Times New Roman" w:hAnsi="Times New Roman"/>
          <w:sz w:val="24"/>
        </w:rPr>
        <w:footnoteReference w:id="20"/>
      </w:r>
      <w:r w:rsidR="008A5582" w:rsidRPr="001526A9">
        <w:rPr>
          <w:rFonts w:ascii="Times New Roman" w:hAnsi="Times New Roman"/>
        </w:rPr>
        <w:t xml:space="preserve"> </w:t>
      </w:r>
      <w:r w:rsidR="004E333C" w:rsidRPr="001526A9">
        <w:rPr>
          <w:rFonts w:ascii="Times New Roman" w:hAnsi="Times New Roman"/>
        </w:rPr>
        <w:t xml:space="preserve">and the notorious fact that electronic communications can be </w:t>
      </w:r>
      <w:r w:rsidR="00CF447B" w:rsidRPr="001526A9">
        <w:rPr>
          <w:rFonts w:ascii="Times New Roman" w:hAnsi="Times New Roman"/>
        </w:rPr>
        <w:t xml:space="preserve">easily </w:t>
      </w:r>
      <w:r w:rsidR="004E333C" w:rsidRPr="001526A9">
        <w:rPr>
          <w:rFonts w:ascii="Times New Roman" w:hAnsi="Times New Roman"/>
        </w:rPr>
        <w:t xml:space="preserve">re-communicated to a mass audience irrespective of the </w:t>
      </w:r>
      <w:r w:rsidR="00CF447B" w:rsidRPr="001526A9">
        <w:rPr>
          <w:rFonts w:ascii="Times New Roman" w:hAnsi="Times New Roman"/>
        </w:rPr>
        <w:t xml:space="preserve">intention of the person responsible for the original communication, </w:t>
      </w:r>
      <w:r w:rsidR="008A5582" w:rsidRPr="001526A9">
        <w:rPr>
          <w:rFonts w:ascii="Times New Roman" w:hAnsi="Times New Roman"/>
        </w:rPr>
        <w:t xml:space="preserve">it is understandable that </w:t>
      </w:r>
      <w:r w:rsidR="0004525D" w:rsidRPr="001526A9">
        <w:rPr>
          <w:rFonts w:ascii="Times New Roman" w:hAnsi="Times New Roman"/>
        </w:rPr>
        <w:t xml:space="preserve">the </w:t>
      </w:r>
      <w:r w:rsidR="008A5582" w:rsidRPr="001526A9">
        <w:rPr>
          <w:rFonts w:ascii="Times New Roman" w:hAnsi="Times New Roman"/>
        </w:rPr>
        <w:t xml:space="preserve">Parliament would confine the </w:t>
      </w:r>
      <w:r w:rsidR="008A5582" w:rsidRPr="001526A9">
        <w:rPr>
          <w:rFonts w:ascii="Times New Roman" w:hAnsi="Times New Roman"/>
        </w:rPr>
        <w:lastRenderedPageBreak/>
        <w:t xml:space="preserve">number of contraventions to the number of times a notifying entity failed to comply with s 321D(5). If </w:t>
      </w:r>
      <w:r w:rsidR="00DE1009" w:rsidRPr="001526A9">
        <w:rPr>
          <w:rFonts w:ascii="Times New Roman" w:hAnsi="Times New Roman"/>
        </w:rPr>
        <w:t xml:space="preserve">the Parliament </w:t>
      </w:r>
      <w:r w:rsidR="008A5582" w:rsidRPr="001526A9">
        <w:rPr>
          <w:rFonts w:ascii="Times New Roman" w:hAnsi="Times New Roman"/>
        </w:rPr>
        <w:t>had not done so</w:t>
      </w:r>
      <w:r w:rsidR="00DE1009" w:rsidRPr="001526A9">
        <w:rPr>
          <w:rFonts w:ascii="Times New Roman" w:hAnsi="Times New Roman"/>
        </w:rPr>
        <w:t>,</w:t>
      </w:r>
      <w:r w:rsidR="008A5582" w:rsidRPr="001526A9">
        <w:rPr>
          <w:rFonts w:ascii="Times New Roman" w:hAnsi="Times New Roman"/>
        </w:rPr>
        <w:t xml:space="preserve"> persons attempting to engage in the political process could be exposed to penalties based on contraventions numbering in the hundreds, thousands, or millions depending not on the notifying entity's </w:t>
      </w:r>
      <w:r w:rsidR="00DE1009" w:rsidRPr="001526A9">
        <w:rPr>
          <w:rFonts w:ascii="Times New Roman" w:hAnsi="Times New Roman"/>
        </w:rPr>
        <w:t>failure to comply with s 321D(5)</w:t>
      </w:r>
      <w:r w:rsidR="00EF6A7D" w:rsidRPr="001526A9">
        <w:rPr>
          <w:rFonts w:ascii="Times New Roman" w:hAnsi="Times New Roman"/>
        </w:rPr>
        <w:t xml:space="preserve"> in respect of </w:t>
      </w:r>
      <w:r w:rsidR="0015535F" w:rsidRPr="001526A9">
        <w:rPr>
          <w:rFonts w:ascii="Times New Roman" w:hAnsi="Times New Roman"/>
        </w:rPr>
        <w:t>its intended recipients or audience</w:t>
      </w:r>
      <w:r w:rsidR="008A5582" w:rsidRPr="001526A9">
        <w:rPr>
          <w:rFonts w:ascii="Times New Roman" w:hAnsi="Times New Roman"/>
        </w:rPr>
        <w:t xml:space="preserve">, but </w:t>
      </w:r>
      <w:r w:rsidR="006B24EA" w:rsidRPr="001526A9">
        <w:rPr>
          <w:rFonts w:ascii="Times New Roman" w:hAnsi="Times New Roman"/>
        </w:rPr>
        <w:t xml:space="preserve">on </w:t>
      </w:r>
      <w:r w:rsidR="008A5582" w:rsidRPr="001526A9">
        <w:rPr>
          <w:rFonts w:ascii="Times New Roman" w:hAnsi="Times New Roman"/>
        </w:rPr>
        <w:t>the mere happenstance of re-transmission by electronic methods or modes of communication</w:t>
      </w:r>
      <w:r w:rsidR="0015535F" w:rsidRPr="001526A9">
        <w:rPr>
          <w:rFonts w:ascii="Times New Roman" w:hAnsi="Times New Roman"/>
        </w:rPr>
        <w:t xml:space="preserve"> by any </w:t>
      </w:r>
      <w:r w:rsidR="008C5562" w:rsidRPr="001526A9">
        <w:rPr>
          <w:rFonts w:ascii="Times New Roman" w:hAnsi="Times New Roman"/>
        </w:rPr>
        <w:t>recipient with the requisite dominant purpose so that the "electoral matter" remains "electoral matter" as re-transmitted</w:t>
      </w:r>
      <w:r w:rsidR="008A5582" w:rsidRPr="001526A9">
        <w:rPr>
          <w:rFonts w:ascii="Times New Roman" w:hAnsi="Times New Roman"/>
        </w:rPr>
        <w:t>.</w:t>
      </w:r>
    </w:p>
    <w:p w14:paraId="07C43A29" w14:textId="627C43EC" w:rsidR="008A5582" w:rsidRPr="001526A9" w:rsidRDefault="008C5562"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8A5582" w:rsidRPr="001526A9">
        <w:rPr>
          <w:rFonts w:ascii="Times New Roman" w:hAnsi="Times New Roman"/>
        </w:rPr>
        <w:t>While the objects identified in s 321C</w:t>
      </w:r>
      <w:r w:rsidR="00AC42AE" w:rsidRPr="001526A9">
        <w:rPr>
          <w:rFonts w:ascii="Times New Roman" w:hAnsi="Times New Roman"/>
        </w:rPr>
        <w:t>(1)</w:t>
      </w:r>
      <w:r w:rsidR="008A5582" w:rsidRPr="001526A9">
        <w:rPr>
          <w:rFonts w:ascii="Times New Roman" w:hAnsi="Times New Roman"/>
        </w:rPr>
        <w:t xml:space="preserve"> are of fundamental importance to the proper functioning of Australian democracy and the "vote of every elector is a matter of concern to the whole Commonwealth",</w:t>
      </w:r>
      <w:r w:rsidR="008A5582" w:rsidRPr="001526A9">
        <w:rPr>
          <w:rStyle w:val="FootnoteReference"/>
          <w:rFonts w:ascii="Times New Roman" w:hAnsi="Times New Roman"/>
          <w:sz w:val="24"/>
        </w:rPr>
        <w:footnoteReference w:id="21"/>
      </w:r>
      <w:r w:rsidR="008A5582" w:rsidRPr="001526A9">
        <w:rPr>
          <w:rFonts w:ascii="Times New Roman" w:hAnsi="Times New Roman"/>
        </w:rPr>
        <w:t xml:space="preserve"> the legislation should not be construed on the basis of assumptions that: (a) those subject to its provisions are rogue actors intent on exploiting any loophole in the regulation; or (b) the achievement of the purposes of the legislation is to be secured at any cost, including the exposure of notifying entities to crippling penalties by reason of the number of contraventions, one effect of which would be to discourage political communication by contemporary methods given the lack of control of the notifying entity </w:t>
      </w:r>
      <w:r w:rsidR="00AE4920" w:rsidRPr="001526A9">
        <w:rPr>
          <w:rFonts w:ascii="Times New Roman" w:hAnsi="Times New Roman"/>
        </w:rPr>
        <w:t xml:space="preserve">over </w:t>
      </w:r>
      <w:r w:rsidR="008A5582" w:rsidRPr="001526A9">
        <w:rPr>
          <w:rFonts w:ascii="Times New Roman" w:hAnsi="Times New Roman"/>
        </w:rPr>
        <w:t>the ultimate audience numbers.</w:t>
      </w:r>
    </w:p>
    <w:p w14:paraId="0DF7FE3B" w14:textId="1F9007B3" w:rsidR="008A5582" w:rsidRPr="001526A9" w:rsidRDefault="008A5582" w:rsidP="001526A9">
      <w:pPr>
        <w:pStyle w:val="FixListStyle"/>
        <w:spacing w:after="260" w:line="280" w:lineRule="exact"/>
        <w:ind w:right="0"/>
        <w:jc w:val="both"/>
        <w:rPr>
          <w:rFonts w:ascii="Times New Roman" w:hAnsi="Times New Roman"/>
        </w:rPr>
      </w:pPr>
      <w:r w:rsidRPr="001526A9">
        <w:rPr>
          <w:rFonts w:ascii="Times New Roman" w:hAnsi="Times New Roman"/>
        </w:rPr>
        <w:tab/>
        <w:t>Section 321</w:t>
      </w:r>
      <w:proofErr w:type="gramStart"/>
      <w:r w:rsidRPr="001526A9">
        <w:rPr>
          <w:rFonts w:ascii="Times New Roman" w:hAnsi="Times New Roman"/>
        </w:rPr>
        <w:t>C</w:t>
      </w:r>
      <w:r w:rsidR="00C5531D" w:rsidRPr="001526A9">
        <w:rPr>
          <w:rFonts w:ascii="Times New Roman" w:hAnsi="Times New Roman"/>
        </w:rPr>
        <w:t>(</w:t>
      </w:r>
      <w:proofErr w:type="gramEnd"/>
      <w:r w:rsidR="00C5531D" w:rsidRPr="001526A9">
        <w:rPr>
          <w:rFonts w:ascii="Times New Roman" w:hAnsi="Times New Roman"/>
        </w:rPr>
        <w:t xml:space="preserve">2) and </w:t>
      </w:r>
      <w:r w:rsidRPr="001526A9">
        <w:rPr>
          <w:rFonts w:ascii="Times New Roman" w:hAnsi="Times New Roman"/>
        </w:rPr>
        <w:t>(3)</w:t>
      </w:r>
      <w:r w:rsidR="00C5531D" w:rsidRPr="001526A9">
        <w:rPr>
          <w:rFonts w:ascii="Times New Roman" w:hAnsi="Times New Roman"/>
        </w:rPr>
        <w:t>, reflecting</w:t>
      </w:r>
      <w:r w:rsidRPr="001526A9">
        <w:rPr>
          <w:rFonts w:ascii="Times New Roman" w:hAnsi="Times New Roman"/>
        </w:rPr>
        <w:t xml:space="preserve"> the </w:t>
      </w:r>
      <w:r w:rsidR="00C5531D" w:rsidRPr="001526A9">
        <w:rPr>
          <w:rFonts w:ascii="Times New Roman" w:hAnsi="Times New Roman"/>
        </w:rPr>
        <w:t xml:space="preserve">importance of the </w:t>
      </w:r>
      <w:r w:rsidRPr="001526A9">
        <w:rPr>
          <w:rFonts w:ascii="Times New Roman" w:hAnsi="Times New Roman"/>
        </w:rPr>
        <w:t>implied constitutional freedom of political communication</w:t>
      </w:r>
      <w:r w:rsidR="00E27116" w:rsidRPr="001526A9">
        <w:rPr>
          <w:rFonts w:ascii="Times New Roman" w:hAnsi="Times New Roman"/>
        </w:rPr>
        <w:t>,</w:t>
      </w:r>
      <w:r w:rsidRPr="001526A9">
        <w:rPr>
          <w:rFonts w:ascii="Times New Roman" w:hAnsi="Times New Roman"/>
        </w:rPr>
        <w:t xml:space="preserve"> speak against the respondent's approach of assuming that the greatest number of potential contraventions, carrying the greatest maximum penalty, is an object of the legislation or the best way in which the legislation might achieve its goals.</w:t>
      </w:r>
      <w:r w:rsidR="00393EE0" w:rsidRPr="001526A9">
        <w:rPr>
          <w:rFonts w:ascii="Times New Roman" w:hAnsi="Times New Roman"/>
        </w:rPr>
        <w:t xml:space="preserve"> </w:t>
      </w:r>
    </w:p>
    <w:p w14:paraId="7DE0CDE9" w14:textId="5446A041" w:rsidR="008A5582" w:rsidRPr="001526A9" w:rsidRDefault="008A5582" w:rsidP="001526A9">
      <w:pPr>
        <w:pStyle w:val="FixListStyle"/>
        <w:spacing w:after="260" w:line="280" w:lineRule="exact"/>
        <w:ind w:right="0"/>
        <w:jc w:val="both"/>
        <w:rPr>
          <w:rFonts w:ascii="Times New Roman" w:hAnsi="Times New Roman"/>
        </w:rPr>
      </w:pPr>
      <w:r w:rsidRPr="001526A9">
        <w:rPr>
          <w:rFonts w:ascii="Times New Roman" w:hAnsi="Times New Roman"/>
        </w:rPr>
        <w:tab/>
        <w:t xml:space="preserve">This context of political communications also exposes why no meaningful analogy can be drawn between s 321D and consumer protection </w:t>
      </w:r>
      <w:r w:rsidR="00B32370" w:rsidRPr="001526A9">
        <w:rPr>
          <w:rFonts w:ascii="Times New Roman" w:hAnsi="Times New Roman"/>
        </w:rPr>
        <w:t xml:space="preserve">or industrial </w:t>
      </w:r>
      <w:r w:rsidRPr="001526A9">
        <w:rPr>
          <w:rFonts w:ascii="Times New Roman" w:hAnsi="Times New Roman"/>
        </w:rPr>
        <w:t xml:space="preserve">legislation. The concept that a civil penalty, as the respondent would have it, puts a "price on contravention which is sufficiently high to ensure that the penalty cannot be seen as the acceptable cost of doing business, but is rather seen as an economically irrational choice" makes sense in many contexts both commercial and protective, but does not resonate in the context of political communications in </w:t>
      </w:r>
      <w:r w:rsidR="00285539" w:rsidRPr="001526A9">
        <w:rPr>
          <w:rFonts w:ascii="Times New Roman" w:hAnsi="Times New Roman"/>
        </w:rPr>
        <w:t>a</w:t>
      </w:r>
      <w:r w:rsidRPr="001526A9">
        <w:rPr>
          <w:rFonts w:ascii="Times New Roman" w:hAnsi="Times New Roman"/>
        </w:rPr>
        <w:t xml:space="preserve"> political system</w:t>
      </w:r>
      <w:r w:rsidR="00285539" w:rsidRPr="001526A9">
        <w:rPr>
          <w:rFonts w:ascii="Times New Roman" w:hAnsi="Times New Roman"/>
        </w:rPr>
        <w:t xml:space="preserve"> which</w:t>
      </w:r>
      <w:r w:rsidRPr="001526A9">
        <w:rPr>
          <w:rFonts w:ascii="Times New Roman" w:hAnsi="Times New Roman"/>
        </w:rPr>
        <w:t xml:space="preserve"> depends on </w:t>
      </w:r>
      <w:r w:rsidR="00B32370" w:rsidRPr="001526A9">
        <w:rPr>
          <w:rFonts w:ascii="Times New Roman" w:hAnsi="Times New Roman"/>
        </w:rPr>
        <w:t>free political communications</w:t>
      </w:r>
      <w:r w:rsidR="00954498" w:rsidRPr="001526A9">
        <w:rPr>
          <w:rFonts w:ascii="Times New Roman" w:hAnsi="Times New Roman"/>
        </w:rPr>
        <w:t xml:space="preserve"> </w:t>
      </w:r>
      <w:r w:rsidR="00454A00" w:rsidRPr="001526A9">
        <w:rPr>
          <w:rFonts w:ascii="Times New Roman" w:hAnsi="Times New Roman"/>
        </w:rPr>
        <w:t xml:space="preserve">and </w:t>
      </w:r>
      <w:r w:rsidR="00954498" w:rsidRPr="001526A9">
        <w:rPr>
          <w:rFonts w:ascii="Times New Roman" w:hAnsi="Times New Roman"/>
        </w:rPr>
        <w:t>in which compliance is to be encouraged and non-compliance deterred</w:t>
      </w:r>
      <w:r w:rsidR="001409FF" w:rsidRPr="001526A9">
        <w:rPr>
          <w:rFonts w:ascii="Times New Roman" w:hAnsi="Times New Roman"/>
        </w:rPr>
        <w:t>,</w:t>
      </w:r>
      <w:r w:rsidR="00954498" w:rsidRPr="001526A9">
        <w:rPr>
          <w:rFonts w:ascii="Times New Roman" w:hAnsi="Times New Roman"/>
        </w:rPr>
        <w:t xml:space="preserve"> but not at </w:t>
      </w:r>
      <w:r w:rsidR="00217DA1" w:rsidRPr="001526A9">
        <w:rPr>
          <w:rFonts w:ascii="Times New Roman" w:hAnsi="Times New Roman"/>
        </w:rPr>
        <w:t>any price</w:t>
      </w:r>
      <w:r w:rsidR="001409FF" w:rsidRPr="001526A9">
        <w:rPr>
          <w:rFonts w:ascii="Times New Roman" w:hAnsi="Times New Roman"/>
        </w:rPr>
        <w:t xml:space="preserve"> </w:t>
      </w:r>
      <w:r w:rsidR="00217DA1" w:rsidRPr="001526A9">
        <w:rPr>
          <w:rFonts w:ascii="Times New Roman" w:hAnsi="Times New Roman"/>
        </w:rPr>
        <w:t xml:space="preserve">as s 321C(3) makes clear. </w:t>
      </w:r>
    </w:p>
    <w:p w14:paraId="3448517E" w14:textId="347ED08E" w:rsidR="008A5582" w:rsidRPr="001526A9" w:rsidRDefault="008A5582" w:rsidP="001526A9">
      <w:pPr>
        <w:pStyle w:val="FixListStyle"/>
        <w:spacing w:after="260" w:line="280" w:lineRule="exact"/>
        <w:ind w:right="0"/>
        <w:jc w:val="both"/>
        <w:rPr>
          <w:rFonts w:ascii="Times New Roman" w:hAnsi="Times New Roman"/>
        </w:rPr>
      </w:pPr>
      <w:r w:rsidRPr="001526A9">
        <w:rPr>
          <w:rFonts w:ascii="Times New Roman" w:hAnsi="Times New Roman"/>
        </w:rPr>
        <w:tab/>
        <w:t xml:space="preserve">Moreover, in the political context, the </w:t>
      </w:r>
      <w:r w:rsidR="00217DA1" w:rsidRPr="001526A9">
        <w:rPr>
          <w:rFonts w:ascii="Times New Roman" w:hAnsi="Times New Roman"/>
        </w:rPr>
        <w:t xml:space="preserve">maximum </w:t>
      </w:r>
      <w:r w:rsidRPr="001526A9">
        <w:rPr>
          <w:rFonts w:ascii="Times New Roman" w:hAnsi="Times New Roman"/>
        </w:rPr>
        <w:t xml:space="preserve">amount of </w:t>
      </w:r>
      <w:r w:rsidR="00217DA1" w:rsidRPr="001526A9">
        <w:rPr>
          <w:rFonts w:ascii="Times New Roman" w:hAnsi="Times New Roman"/>
        </w:rPr>
        <w:t xml:space="preserve">a </w:t>
      </w:r>
      <w:r w:rsidRPr="001526A9">
        <w:rPr>
          <w:rFonts w:ascii="Times New Roman" w:hAnsi="Times New Roman"/>
        </w:rPr>
        <w:t xml:space="preserve">penalty is not an effective gauge of the deterrent effect of the provision. The mere fact of a contravention </w:t>
      </w:r>
      <w:r w:rsidR="00427814" w:rsidRPr="001526A9">
        <w:rPr>
          <w:rFonts w:ascii="Times New Roman" w:hAnsi="Times New Roman"/>
        </w:rPr>
        <w:t>of s 321</w:t>
      </w:r>
      <w:proofErr w:type="gramStart"/>
      <w:r w:rsidR="00427814" w:rsidRPr="001526A9">
        <w:rPr>
          <w:rFonts w:ascii="Times New Roman" w:hAnsi="Times New Roman"/>
        </w:rPr>
        <w:t>D(</w:t>
      </w:r>
      <w:proofErr w:type="gramEnd"/>
      <w:r w:rsidR="00427814" w:rsidRPr="001526A9">
        <w:rPr>
          <w:rFonts w:ascii="Times New Roman" w:hAnsi="Times New Roman"/>
        </w:rPr>
        <w:t xml:space="preserve">5) </w:t>
      </w:r>
      <w:r w:rsidRPr="001526A9">
        <w:rPr>
          <w:rFonts w:ascii="Times New Roman" w:hAnsi="Times New Roman"/>
        </w:rPr>
        <w:t xml:space="preserve">being found by a court could be expected to have </w:t>
      </w:r>
      <w:r w:rsidR="005C69D5" w:rsidRPr="001526A9">
        <w:rPr>
          <w:rFonts w:ascii="Times New Roman" w:hAnsi="Times New Roman"/>
        </w:rPr>
        <w:lastRenderedPageBreak/>
        <w:t xml:space="preserve">material </w:t>
      </w:r>
      <w:r w:rsidRPr="001526A9">
        <w:rPr>
          <w:rFonts w:ascii="Times New Roman" w:hAnsi="Times New Roman"/>
        </w:rPr>
        <w:t>reputational and other effects of potential significance to those subject to</w:t>
      </w:r>
      <w:r w:rsidR="001C096C" w:rsidRPr="001526A9">
        <w:rPr>
          <w:rFonts w:ascii="Times New Roman" w:hAnsi="Times New Roman"/>
        </w:rPr>
        <w:t xml:space="preserve"> its terms</w:t>
      </w:r>
      <w:r w:rsidRPr="001526A9">
        <w:rPr>
          <w:rFonts w:ascii="Times New Roman" w:hAnsi="Times New Roman"/>
        </w:rPr>
        <w:t>.</w:t>
      </w:r>
    </w:p>
    <w:p w14:paraId="556B0D56" w14:textId="085A4820" w:rsidR="008A5582" w:rsidRPr="001526A9" w:rsidRDefault="008A5582"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433E84" w:rsidRPr="001526A9">
        <w:rPr>
          <w:rFonts w:ascii="Times New Roman" w:hAnsi="Times New Roman"/>
        </w:rPr>
        <w:t xml:space="preserve">While, as the respondent put it, </w:t>
      </w:r>
      <w:r w:rsidRPr="001526A9">
        <w:rPr>
          <w:rFonts w:ascii="Times New Roman" w:hAnsi="Times New Roman"/>
        </w:rPr>
        <w:t>a "</w:t>
      </w:r>
      <w:r w:rsidR="00EB3176" w:rsidRPr="001526A9">
        <w:rPr>
          <w:rFonts w:ascii="Times New Roman" w:hAnsi="Times New Roman"/>
        </w:rPr>
        <w:t>'</w:t>
      </w:r>
      <w:r w:rsidRPr="001526A9">
        <w:rPr>
          <w:rFonts w:ascii="Times New Roman" w:hAnsi="Times New Roman"/>
        </w:rPr>
        <w:t>per person</w:t>
      </w:r>
      <w:r w:rsidR="00EB3176" w:rsidRPr="001526A9">
        <w:rPr>
          <w:rFonts w:ascii="Times New Roman" w:hAnsi="Times New Roman"/>
        </w:rPr>
        <w:t>'</w:t>
      </w:r>
      <w:r w:rsidRPr="001526A9">
        <w:rPr>
          <w:rFonts w:ascii="Times New Roman" w:hAnsi="Times New Roman"/>
        </w:rPr>
        <w:t xml:space="preserve"> approach to civil penalty provisions</w:t>
      </w:r>
      <w:r w:rsidR="00DB25F0" w:rsidRPr="001526A9">
        <w:rPr>
          <w:rFonts w:ascii="Times New Roman" w:hAnsi="Times New Roman"/>
        </w:rPr>
        <w:t> – </w:t>
      </w:r>
      <w:r w:rsidRPr="001526A9">
        <w:rPr>
          <w:rFonts w:ascii="Times New Roman" w:hAnsi="Times New Roman"/>
        </w:rPr>
        <w:t>in which the necessary protection is seen to operate at the level of each individual affected or involved</w:t>
      </w:r>
      <w:r w:rsidR="00DB25F0" w:rsidRPr="001526A9">
        <w:rPr>
          <w:rFonts w:ascii="Times New Roman" w:hAnsi="Times New Roman"/>
        </w:rPr>
        <w:t> – </w:t>
      </w:r>
      <w:r w:rsidRPr="001526A9">
        <w:rPr>
          <w:rFonts w:ascii="Times New Roman" w:hAnsi="Times New Roman"/>
        </w:rPr>
        <w:t xml:space="preserve">is commonplace", that circumstance </w:t>
      </w:r>
      <w:r w:rsidR="00433E84" w:rsidRPr="001526A9">
        <w:rPr>
          <w:rFonts w:ascii="Times New Roman" w:hAnsi="Times New Roman"/>
        </w:rPr>
        <w:t xml:space="preserve">must be understood to be </w:t>
      </w:r>
      <w:r w:rsidRPr="001526A9">
        <w:rPr>
          <w:rFonts w:ascii="Times New Roman" w:hAnsi="Times New Roman"/>
        </w:rPr>
        <w:t xml:space="preserve">a manifestation of the proper construction of the </w:t>
      </w:r>
      <w:proofErr w:type="gramStart"/>
      <w:r w:rsidRPr="001526A9">
        <w:rPr>
          <w:rFonts w:ascii="Times New Roman" w:hAnsi="Times New Roman"/>
        </w:rPr>
        <w:t>particular statutory</w:t>
      </w:r>
      <w:proofErr w:type="gramEnd"/>
      <w:r w:rsidRPr="001526A9">
        <w:rPr>
          <w:rFonts w:ascii="Times New Roman" w:hAnsi="Times New Roman"/>
        </w:rPr>
        <w:t xml:space="preserve"> provisions creating the civil penalty provision. It is not an "approach" which exists as a matter of principle separate from the </w:t>
      </w:r>
      <w:proofErr w:type="gramStart"/>
      <w:r w:rsidRPr="001526A9">
        <w:rPr>
          <w:rFonts w:ascii="Times New Roman" w:hAnsi="Times New Roman"/>
        </w:rPr>
        <w:t>particular statutory</w:t>
      </w:r>
      <w:proofErr w:type="gramEnd"/>
      <w:r w:rsidRPr="001526A9">
        <w:rPr>
          <w:rFonts w:ascii="Times New Roman" w:hAnsi="Times New Roman"/>
        </w:rPr>
        <w:t xml:space="preserve"> provisions in each case.</w:t>
      </w:r>
    </w:p>
    <w:p w14:paraId="66FBBAA0" w14:textId="77BA5ACF" w:rsidR="003129C4" w:rsidRPr="001526A9" w:rsidRDefault="003129C4"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473691" w:rsidRPr="001526A9">
        <w:rPr>
          <w:rFonts w:ascii="Times New Roman" w:hAnsi="Times New Roman"/>
        </w:rPr>
        <w:t xml:space="preserve">No doubt </w:t>
      </w:r>
      <w:r w:rsidR="009C0E91" w:rsidRPr="001526A9">
        <w:rPr>
          <w:rFonts w:ascii="Times New Roman" w:hAnsi="Times New Roman"/>
        </w:rPr>
        <w:t xml:space="preserve">a </w:t>
      </w:r>
      <w:r w:rsidR="00AB35BA" w:rsidRPr="001526A9">
        <w:rPr>
          <w:rFonts w:ascii="Times New Roman" w:hAnsi="Times New Roman"/>
        </w:rPr>
        <w:t xml:space="preserve">"per failure" </w:t>
      </w:r>
      <w:r w:rsidR="009C0E91" w:rsidRPr="001526A9">
        <w:rPr>
          <w:rFonts w:ascii="Times New Roman" w:hAnsi="Times New Roman"/>
        </w:rPr>
        <w:t xml:space="preserve">approach to </w:t>
      </w:r>
      <w:r w:rsidR="00AB35BA" w:rsidRPr="001526A9">
        <w:rPr>
          <w:rFonts w:ascii="Times New Roman" w:hAnsi="Times New Roman"/>
        </w:rPr>
        <w:t>s 321</w:t>
      </w:r>
      <w:proofErr w:type="gramStart"/>
      <w:r w:rsidR="00AB35BA" w:rsidRPr="001526A9">
        <w:rPr>
          <w:rFonts w:ascii="Times New Roman" w:hAnsi="Times New Roman"/>
        </w:rPr>
        <w:t>D(</w:t>
      </w:r>
      <w:proofErr w:type="gramEnd"/>
      <w:r w:rsidR="00AB35BA" w:rsidRPr="001526A9">
        <w:rPr>
          <w:rFonts w:ascii="Times New Roman" w:hAnsi="Times New Roman"/>
        </w:rPr>
        <w:t xml:space="preserve">5) </w:t>
      </w:r>
      <w:r w:rsidRPr="001526A9">
        <w:rPr>
          <w:rFonts w:ascii="Times New Roman" w:hAnsi="Times New Roman"/>
        </w:rPr>
        <w:t xml:space="preserve">means that the number of contraventions </w:t>
      </w:r>
      <w:r w:rsidR="006043AF" w:rsidRPr="001526A9">
        <w:rPr>
          <w:rFonts w:ascii="Times New Roman" w:hAnsi="Times New Roman"/>
        </w:rPr>
        <w:t xml:space="preserve">will vary with </w:t>
      </w:r>
      <w:r w:rsidRPr="001526A9">
        <w:rPr>
          <w:rFonts w:ascii="Times New Roman" w:hAnsi="Times New Roman"/>
        </w:rPr>
        <w:t>different types of communications</w:t>
      </w:r>
      <w:r w:rsidR="00160271" w:rsidRPr="001526A9">
        <w:rPr>
          <w:rFonts w:ascii="Times New Roman" w:hAnsi="Times New Roman"/>
        </w:rPr>
        <w:t>.</w:t>
      </w:r>
      <w:r w:rsidRPr="001526A9">
        <w:rPr>
          <w:rFonts w:ascii="Times New Roman" w:hAnsi="Times New Roman"/>
        </w:rPr>
        <w:t xml:space="preserve"> In </w:t>
      </w:r>
      <w:r w:rsidR="008B3175" w:rsidRPr="001526A9">
        <w:rPr>
          <w:rFonts w:ascii="Times New Roman" w:hAnsi="Times New Roman"/>
        </w:rPr>
        <w:t xml:space="preserve">some </w:t>
      </w:r>
      <w:r w:rsidRPr="001526A9">
        <w:rPr>
          <w:rFonts w:ascii="Times New Roman" w:hAnsi="Times New Roman"/>
        </w:rPr>
        <w:t>cases</w:t>
      </w:r>
      <w:r w:rsidR="007551A3" w:rsidRPr="001526A9">
        <w:rPr>
          <w:rFonts w:ascii="Times New Roman" w:hAnsi="Times New Roman"/>
        </w:rPr>
        <w:t xml:space="preserve"> </w:t>
      </w:r>
      <w:r w:rsidRPr="001526A9">
        <w:rPr>
          <w:rFonts w:ascii="Times New Roman" w:hAnsi="Times New Roman"/>
        </w:rPr>
        <w:t xml:space="preserve">ascertaining the number of contraventions </w:t>
      </w:r>
      <w:r w:rsidR="000754B3" w:rsidRPr="001526A9">
        <w:rPr>
          <w:rFonts w:ascii="Times New Roman" w:hAnsi="Times New Roman"/>
        </w:rPr>
        <w:t>based on the number of failures to comply with s 321</w:t>
      </w:r>
      <w:proofErr w:type="gramStart"/>
      <w:r w:rsidR="000754B3" w:rsidRPr="001526A9">
        <w:rPr>
          <w:rFonts w:ascii="Times New Roman" w:hAnsi="Times New Roman"/>
        </w:rPr>
        <w:t>D(</w:t>
      </w:r>
      <w:proofErr w:type="gramEnd"/>
      <w:r w:rsidR="000754B3" w:rsidRPr="001526A9">
        <w:rPr>
          <w:rFonts w:ascii="Times New Roman" w:hAnsi="Times New Roman"/>
        </w:rPr>
        <w:t xml:space="preserve">5) </w:t>
      </w:r>
      <w:r w:rsidRPr="001526A9">
        <w:rPr>
          <w:rFonts w:ascii="Times New Roman" w:hAnsi="Times New Roman"/>
        </w:rPr>
        <w:t xml:space="preserve">may </w:t>
      </w:r>
      <w:r w:rsidR="007551A3" w:rsidRPr="001526A9">
        <w:rPr>
          <w:rFonts w:ascii="Times New Roman" w:hAnsi="Times New Roman"/>
        </w:rPr>
        <w:t xml:space="preserve">involve some </w:t>
      </w:r>
      <w:r w:rsidRPr="001526A9">
        <w:rPr>
          <w:rFonts w:ascii="Times New Roman" w:hAnsi="Times New Roman"/>
        </w:rPr>
        <w:t>complex</w:t>
      </w:r>
      <w:r w:rsidR="007551A3" w:rsidRPr="001526A9">
        <w:rPr>
          <w:rFonts w:ascii="Times New Roman" w:hAnsi="Times New Roman"/>
        </w:rPr>
        <w:t>ity</w:t>
      </w:r>
      <w:r w:rsidRPr="001526A9">
        <w:rPr>
          <w:rFonts w:ascii="Times New Roman" w:hAnsi="Times New Roman"/>
        </w:rPr>
        <w:t xml:space="preserve">. To the extent </w:t>
      </w:r>
      <w:r w:rsidR="000754B3" w:rsidRPr="001526A9">
        <w:rPr>
          <w:rFonts w:ascii="Times New Roman" w:hAnsi="Times New Roman"/>
        </w:rPr>
        <w:t xml:space="preserve">the proper </w:t>
      </w:r>
      <w:r w:rsidR="007952F4" w:rsidRPr="001526A9">
        <w:rPr>
          <w:rFonts w:ascii="Times New Roman" w:hAnsi="Times New Roman"/>
        </w:rPr>
        <w:t xml:space="preserve">construction </w:t>
      </w:r>
      <w:r w:rsidRPr="001526A9">
        <w:rPr>
          <w:rFonts w:ascii="Times New Roman" w:hAnsi="Times New Roman"/>
        </w:rPr>
        <w:t>of s 321</w:t>
      </w:r>
      <w:proofErr w:type="gramStart"/>
      <w:r w:rsidRPr="001526A9">
        <w:rPr>
          <w:rFonts w:ascii="Times New Roman" w:hAnsi="Times New Roman"/>
        </w:rPr>
        <w:t>D(</w:t>
      </w:r>
      <w:proofErr w:type="gramEnd"/>
      <w:r w:rsidRPr="001526A9">
        <w:rPr>
          <w:rFonts w:ascii="Times New Roman" w:hAnsi="Times New Roman"/>
        </w:rPr>
        <w:t>5) involves anomalies and arbitrariness, the principle that civil penalty regimes are to be applied having regard to "concepts familiar in criminal sentencing such as totality, parity and course of conduct"</w:t>
      </w:r>
      <w:r w:rsidRPr="001526A9">
        <w:rPr>
          <w:rStyle w:val="FootnoteReference"/>
          <w:rFonts w:ascii="Times New Roman" w:hAnsi="Times New Roman"/>
          <w:sz w:val="24"/>
        </w:rPr>
        <w:footnoteReference w:id="22"/>
      </w:r>
      <w:r w:rsidRPr="001526A9">
        <w:rPr>
          <w:rFonts w:ascii="Times New Roman" w:hAnsi="Times New Roman"/>
        </w:rPr>
        <w:t xml:space="preserve"> would be expected to have a substantial ameliorating effect.</w:t>
      </w:r>
    </w:p>
    <w:p w14:paraId="513CC055" w14:textId="1E3EB31D" w:rsidR="008A5582" w:rsidRPr="001526A9" w:rsidRDefault="003129C4"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433E84" w:rsidRPr="001526A9">
        <w:rPr>
          <w:rFonts w:ascii="Times New Roman" w:hAnsi="Times New Roman"/>
        </w:rPr>
        <w:t>With these importan</w:t>
      </w:r>
      <w:r w:rsidR="00972939" w:rsidRPr="001526A9">
        <w:rPr>
          <w:rFonts w:ascii="Times New Roman" w:hAnsi="Times New Roman"/>
        </w:rPr>
        <w:t>t</w:t>
      </w:r>
      <w:r w:rsidR="00433E84" w:rsidRPr="001526A9">
        <w:rPr>
          <w:rFonts w:ascii="Times New Roman" w:hAnsi="Times New Roman"/>
        </w:rPr>
        <w:t xml:space="preserve"> matters of context in mind the proper construction of s 321</w:t>
      </w:r>
      <w:proofErr w:type="gramStart"/>
      <w:r w:rsidR="00BC062D" w:rsidRPr="001526A9">
        <w:rPr>
          <w:rFonts w:ascii="Times New Roman" w:hAnsi="Times New Roman"/>
        </w:rPr>
        <w:t>D</w:t>
      </w:r>
      <w:r w:rsidR="00433E84" w:rsidRPr="001526A9">
        <w:rPr>
          <w:rFonts w:ascii="Times New Roman" w:hAnsi="Times New Roman"/>
        </w:rPr>
        <w:t>(</w:t>
      </w:r>
      <w:proofErr w:type="gramEnd"/>
      <w:r w:rsidR="00433E84" w:rsidRPr="001526A9">
        <w:rPr>
          <w:rFonts w:ascii="Times New Roman" w:hAnsi="Times New Roman"/>
        </w:rPr>
        <w:t>5) is apparent.</w:t>
      </w:r>
    </w:p>
    <w:p w14:paraId="01BEEC70" w14:textId="2738E05B" w:rsidR="00BC062D" w:rsidRPr="001526A9" w:rsidRDefault="00BC062D" w:rsidP="001526A9">
      <w:pPr>
        <w:pStyle w:val="HeadingL2"/>
        <w:spacing w:after="260" w:line="280" w:lineRule="exact"/>
        <w:ind w:right="0"/>
        <w:jc w:val="both"/>
        <w:rPr>
          <w:rFonts w:ascii="Times New Roman" w:hAnsi="Times New Roman"/>
        </w:rPr>
      </w:pPr>
      <w:r w:rsidRPr="001526A9">
        <w:rPr>
          <w:rFonts w:ascii="Times New Roman" w:hAnsi="Times New Roman"/>
        </w:rPr>
        <w:t>Textual considerations</w:t>
      </w:r>
    </w:p>
    <w:p w14:paraId="34743823" w14:textId="769AFE95" w:rsidR="002D63F3" w:rsidRPr="001526A9" w:rsidRDefault="00BC062D"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3D6112" w:rsidRPr="001526A9">
        <w:rPr>
          <w:rFonts w:ascii="Times New Roman" w:hAnsi="Times New Roman"/>
        </w:rPr>
        <w:t xml:space="preserve">The definition of "electoral matter" in s 4AA as matter "communicated or intended to be communicated" for the specified dominant purpose identifies the matter that is "electoral matter". </w:t>
      </w:r>
      <w:r w:rsidR="009D3E9A" w:rsidRPr="001526A9">
        <w:rPr>
          <w:rFonts w:ascii="Times New Roman" w:hAnsi="Times New Roman"/>
        </w:rPr>
        <w:t>Section 321</w:t>
      </w:r>
      <w:proofErr w:type="gramStart"/>
      <w:r w:rsidR="009D3E9A" w:rsidRPr="001526A9">
        <w:rPr>
          <w:rFonts w:ascii="Times New Roman" w:hAnsi="Times New Roman"/>
        </w:rPr>
        <w:t>D</w:t>
      </w:r>
      <w:r w:rsidR="004E015D" w:rsidRPr="001526A9">
        <w:rPr>
          <w:rFonts w:ascii="Times New Roman" w:hAnsi="Times New Roman"/>
        </w:rPr>
        <w:t>(</w:t>
      </w:r>
      <w:proofErr w:type="gramEnd"/>
      <w:r w:rsidR="004E015D" w:rsidRPr="001526A9">
        <w:rPr>
          <w:rFonts w:ascii="Times New Roman" w:hAnsi="Times New Roman"/>
        </w:rPr>
        <w:t>1)</w:t>
      </w:r>
      <w:r w:rsidR="009D3E9A" w:rsidRPr="001526A9">
        <w:rPr>
          <w:rFonts w:ascii="Times New Roman" w:hAnsi="Times New Roman"/>
        </w:rPr>
        <w:t xml:space="preserve"> specifies the "electoral matter" </w:t>
      </w:r>
      <w:r w:rsidR="00DC39A2" w:rsidRPr="001526A9">
        <w:rPr>
          <w:rFonts w:ascii="Times New Roman" w:hAnsi="Times New Roman"/>
        </w:rPr>
        <w:t xml:space="preserve">in relation </w:t>
      </w:r>
      <w:r w:rsidR="009D3E9A" w:rsidRPr="001526A9">
        <w:rPr>
          <w:rFonts w:ascii="Times New Roman" w:hAnsi="Times New Roman"/>
        </w:rPr>
        <w:t xml:space="preserve">to </w:t>
      </w:r>
      <w:r w:rsidR="00DB15ED" w:rsidRPr="001526A9">
        <w:rPr>
          <w:rFonts w:ascii="Times New Roman" w:hAnsi="Times New Roman"/>
        </w:rPr>
        <w:t>which</w:t>
      </w:r>
      <w:r w:rsidR="00DC39A2" w:rsidRPr="001526A9">
        <w:rPr>
          <w:rFonts w:ascii="Times New Roman" w:hAnsi="Times New Roman"/>
        </w:rPr>
        <w:t xml:space="preserve"> </w:t>
      </w:r>
      <w:r w:rsidR="00DB15ED" w:rsidRPr="001526A9">
        <w:rPr>
          <w:rFonts w:ascii="Times New Roman" w:hAnsi="Times New Roman"/>
        </w:rPr>
        <w:t>s 321D</w:t>
      </w:r>
      <w:r w:rsidR="005C31A0" w:rsidRPr="001526A9">
        <w:rPr>
          <w:rFonts w:ascii="Times New Roman" w:hAnsi="Times New Roman"/>
        </w:rPr>
        <w:t>(5) potentially</w:t>
      </w:r>
      <w:r w:rsidR="00DB15ED" w:rsidRPr="001526A9">
        <w:rPr>
          <w:rFonts w:ascii="Times New Roman" w:hAnsi="Times New Roman"/>
        </w:rPr>
        <w:t xml:space="preserve"> applies. </w:t>
      </w:r>
      <w:r w:rsidR="00EF0B7A" w:rsidRPr="001526A9">
        <w:rPr>
          <w:rFonts w:ascii="Times New Roman" w:hAnsi="Times New Roman"/>
        </w:rPr>
        <w:t xml:space="preserve">If matter is not "communicated or intended to be communicated" </w:t>
      </w:r>
      <w:r w:rsidR="005C7248" w:rsidRPr="001526A9">
        <w:rPr>
          <w:rFonts w:ascii="Times New Roman" w:hAnsi="Times New Roman"/>
        </w:rPr>
        <w:t xml:space="preserve">for the specified dominant </w:t>
      </w:r>
      <w:r w:rsidR="00C12607" w:rsidRPr="001526A9">
        <w:rPr>
          <w:rFonts w:ascii="Times New Roman" w:hAnsi="Times New Roman"/>
        </w:rPr>
        <w:t>purpose</w:t>
      </w:r>
      <w:r w:rsidR="005C7248" w:rsidRPr="001526A9">
        <w:rPr>
          <w:rFonts w:ascii="Times New Roman" w:hAnsi="Times New Roman"/>
        </w:rPr>
        <w:t xml:space="preserve">, or is otherwise </w:t>
      </w:r>
      <w:r w:rsidR="00112EBB" w:rsidRPr="001526A9">
        <w:rPr>
          <w:rFonts w:ascii="Times New Roman" w:hAnsi="Times New Roman"/>
        </w:rPr>
        <w:t>excluded from the scope of "e</w:t>
      </w:r>
      <w:r w:rsidR="00F8228E" w:rsidRPr="001526A9">
        <w:rPr>
          <w:rFonts w:ascii="Times New Roman" w:hAnsi="Times New Roman"/>
        </w:rPr>
        <w:t>l</w:t>
      </w:r>
      <w:r w:rsidR="00112EBB" w:rsidRPr="001526A9">
        <w:rPr>
          <w:rFonts w:ascii="Times New Roman" w:hAnsi="Times New Roman"/>
        </w:rPr>
        <w:t>ectoral matter</w:t>
      </w:r>
      <w:r w:rsidR="00F8228E" w:rsidRPr="001526A9">
        <w:rPr>
          <w:rFonts w:ascii="Times New Roman" w:hAnsi="Times New Roman"/>
        </w:rPr>
        <w:t>"</w:t>
      </w:r>
      <w:r w:rsidR="00112EBB" w:rsidRPr="001526A9">
        <w:rPr>
          <w:rFonts w:ascii="Times New Roman" w:hAnsi="Times New Roman"/>
        </w:rPr>
        <w:t xml:space="preserve"> </w:t>
      </w:r>
      <w:r w:rsidR="00B12AF1" w:rsidRPr="001526A9">
        <w:rPr>
          <w:rFonts w:ascii="Times New Roman" w:hAnsi="Times New Roman"/>
        </w:rPr>
        <w:t>by either s 4</w:t>
      </w:r>
      <w:proofErr w:type="gramStart"/>
      <w:r w:rsidR="00B12AF1" w:rsidRPr="001526A9">
        <w:rPr>
          <w:rFonts w:ascii="Times New Roman" w:hAnsi="Times New Roman"/>
        </w:rPr>
        <w:t>AA(</w:t>
      </w:r>
      <w:proofErr w:type="gramEnd"/>
      <w:r w:rsidR="00EF5B14" w:rsidRPr="001526A9">
        <w:rPr>
          <w:rFonts w:ascii="Times New Roman" w:hAnsi="Times New Roman"/>
        </w:rPr>
        <w:t xml:space="preserve">5) (specifying exceptions to "electoral matter") or s 321D(3) or (4) (specifying </w:t>
      </w:r>
      <w:r w:rsidR="005C31A0" w:rsidRPr="001526A9">
        <w:rPr>
          <w:rFonts w:ascii="Times New Roman" w:hAnsi="Times New Roman"/>
        </w:rPr>
        <w:t>exceptions</w:t>
      </w:r>
      <w:r w:rsidR="00EF5B14" w:rsidRPr="001526A9">
        <w:rPr>
          <w:rFonts w:ascii="Times New Roman" w:hAnsi="Times New Roman"/>
        </w:rPr>
        <w:t xml:space="preserve"> to </w:t>
      </w:r>
      <w:r w:rsidR="00112EBB" w:rsidRPr="001526A9">
        <w:rPr>
          <w:rFonts w:ascii="Times New Roman" w:hAnsi="Times New Roman"/>
        </w:rPr>
        <w:t>s 321D</w:t>
      </w:r>
      <w:r w:rsidR="005C31A0" w:rsidRPr="001526A9">
        <w:rPr>
          <w:rFonts w:ascii="Times New Roman" w:hAnsi="Times New Roman"/>
        </w:rPr>
        <w:t>)</w:t>
      </w:r>
      <w:r w:rsidR="00B8433B" w:rsidRPr="001526A9">
        <w:rPr>
          <w:rFonts w:ascii="Times New Roman" w:hAnsi="Times New Roman"/>
        </w:rPr>
        <w:t>,</w:t>
      </w:r>
      <w:r w:rsidR="005C31A0" w:rsidRPr="001526A9">
        <w:rPr>
          <w:rFonts w:ascii="Times New Roman" w:hAnsi="Times New Roman"/>
        </w:rPr>
        <w:t xml:space="preserve"> then s 321D(5)</w:t>
      </w:r>
      <w:r w:rsidR="00112EBB" w:rsidRPr="001526A9">
        <w:rPr>
          <w:rFonts w:ascii="Times New Roman" w:hAnsi="Times New Roman"/>
        </w:rPr>
        <w:t xml:space="preserve"> </w:t>
      </w:r>
      <w:r w:rsidR="00F8228E" w:rsidRPr="001526A9">
        <w:rPr>
          <w:rFonts w:ascii="Times New Roman" w:hAnsi="Times New Roman"/>
        </w:rPr>
        <w:t>does not apply to that matter.</w:t>
      </w:r>
    </w:p>
    <w:p w14:paraId="1F17DC57" w14:textId="2D821553" w:rsidR="00F8228E" w:rsidRPr="001526A9" w:rsidRDefault="00F8228E"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E07494" w:rsidRPr="001526A9">
        <w:rPr>
          <w:rFonts w:ascii="Times New Roman" w:hAnsi="Times New Roman"/>
        </w:rPr>
        <w:t>Therefore, i</w:t>
      </w:r>
      <w:r w:rsidR="006E6A97" w:rsidRPr="001526A9">
        <w:rPr>
          <w:rFonts w:ascii="Times New Roman" w:hAnsi="Times New Roman"/>
        </w:rPr>
        <w:t>f matter is "electoral matter" within the scope of s 4AA</w:t>
      </w:r>
      <w:r w:rsidR="00C21826" w:rsidRPr="001526A9">
        <w:rPr>
          <w:rFonts w:ascii="Times New Roman" w:hAnsi="Times New Roman"/>
        </w:rPr>
        <w:t>,</w:t>
      </w:r>
      <w:r w:rsidR="006E6A97" w:rsidRPr="001526A9">
        <w:rPr>
          <w:rFonts w:ascii="Times New Roman" w:hAnsi="Times New Roman"/>
        </w:rPr>
        <w:t xml:space="preserve"> then for s 321</w:t>
      </w:r>
      <w:proofErr w:type="gramStart"/>
      <w:r w:rsidR="006E6A97" w:rsidRPr="001526A9">
        <w:rPr>
          <w:rFonts w:ascii="Times New Roman" w:hAnsi="Times New Roman"/>
        </w:rPr>
        <w:t>D</w:t>
      </w:r>
      <w:r w:rsidR="005C31A0" w:rsidRPr="001526A9">
        <w:rPr>
          <w:rFonts w:ascii="Times New Roman" w:hAnsi="Times New Roman"/>
        </w:rPr>
        <w:t>(</w:t>
      </w:r>
      <w:proofErr w:type="gramEnd"/>
      <w:r w:rsidR="005C31A0" w:rsidRPr="001526A9">
        <w:rPr>
          <w:rFonts w:ascii="Times New Roman" w:hAnsi="Times New Roman"/>
        </w:rPr>
        <w:t>5)</w:t>
      </w:r>
      <w:r w:rsidR="006E6A97" w:rsidRPr="001526A9">
        <w:rPr>
          <w:rFonts w:ascii="Times New Roman" w:hAnsi="Times New Roman"/>
        </w:rPr>
        <w:t xml:space="preserve"> to apply to that "electoral matter"</w:t>
      </w:r>
      <w:r w:rsidR="00E07494" w:rsidRPr="001526A9">
        <w:rPr>
          <w:rFonts w:ascii="Times New Roman" w:hAnsi="Times New Roman"/>
        </w:rPr>
        <w:t>,</w:t>
      </w:r>
      <w:r w:rsidR="006E6A97" w:rsidRPr="001526A9">
        <w:rPr>
          <w:rFonts w:ascii="Times New Roman" w:hAnsi="Times New Roman"/>
        </w:rPr>
        <w:t xml:space="preserve"> </w:t>
      </w:r>
      <w:r w:rsidR="00AB1946" w:rsidRPr="001526A9">
        <w:rPr>
          <w:rFonts w:ascii="Times New Roman" w:hAnsi="Times New Roman"/>
        </w:rPr>
        <w:t xml:space="preserve">the requirements of s 321D(1) must be satisfied and the </w:t>
      </w:r>
      <w:r w:rsidR="00DA43F9" w:rsidRPr="001526A9">
        <w:rPr>
          <w:rFonts w:ascii="Times New Roman" w:hAnsi="Times New Roman"/>
        </w:rPr>
        <w:t>exceptions</w:t>
      </w:r>
      <w:r w:rsidR="00AB1946" w:rsidRPr="001526A9">
        <w:rPr>
          <w:rFonts w:ascii="Times New Roman" w:hAnsi="Times New Roman"/>
        </w:rPr>
        <w:t xml:space="preserve"> specified in s 321D(3) and (4) must not apply to that </w:t>
      </w:r>
      <w:r w:rsidR="00DA43F9" w:rsidRPr="001526A9">
        <w:rPr>
          <w:rFonts w:ascii="Times New Roman" w:hAnsi="Times New Roman"/>
        </w:rPr>
        <w:t xml:space="preserve">"electoral matter". The requirements </w:t>
      </w:r>
      <w:r w:rsidR="00A91CAC" w:rsidRPr="001526A9">
        <w:rPr>
          <w:rFonts w:ascii="Times New Roman" w:hAnsi="Times New Roman"/>
        </w:rPr>
        <w:t>in s 321</w:t>
      </w:r>
      <w:proofErr w:type="gramStart"/>
      <w:r w:rsidR="00A91CAC" w:rsidRPr="001526A9">
        <w:rPr>
          <w:rFonts w:ascii="Times New Roman" w:hAnsi="Times New Roman"/>
        </w:rPr>
        <w:t>D(</w:t>
      </w:r>
      <w:proofErr w:type="gramEnd"/>
      <w:r w:rsidR="00A91CAC" w:rsidRPr="001526A9">
        <w:rPr>
          <w:rFonts w:ascii="Times New Roman" w:hAnsi="Times New Roman"/>
        </w:rPr>
        <w:t xml:space="preserve">1) </w:t>
      </w:r>
      <w:r w:rsidR="00DA43F9" w:rsidRPr="001526A9">
        <w:rPr>
          <w:rFonts w:ascii="Times New Roman" w:hAnsi="Times New Roman"/>
        </w:rPr>
        <w:t xml:space="preserve">are that </w:t>
      </w:r>
      <w:r w:rsidR="000355EF" w:rsidRPr="001526A9">
        <w:rPr>
          <w:rFonts w:ascii="Times New Roman" w:hAnsi="Times New Roman"/>
        </w:rPr>
        <w:t xml:space="preserve">the "electoral </w:t>
      </w:r>
      <w:r w:rsidR="000355EF" w:rsidRPr="001526A9">
        <w:rPr>
          <w:rFonts w:ascii="Times New Roman" w:hAnsi="Times New Roman"/>
        </w:rPr>
        <w:lastRenderedPageBreak/>
        <w:t xml:space="preserve">matter" is "communicated to a person" and </w:t>
      </w:r>
      <w:r w:rsidR="00A91CAC" w:rsidRPr="001526A9">
        <w:rPr>
          <w:rFonts w:ascii="Times New Roman" w:hAnsi="Times New Roman"/>
        </w:rPr>
        <w:t xml:space="preserve">one of para (a), (b) or (c) </w:t>
      </w:r>
      <w:r w:rsidR="00C21826" w:rsidRPr="001526A9">
        <w:rPr>
          <w:rFonts w:ascii="Times New Roman" w:hAnsi="Times New Roman"/>
        </w:rPr>
        <w:t xml:space="preserve">of s 321D(1) </w:t>
      </w:r>
      <w:r w:rsidR="00A91CAC" w:rsidRPr="001526A9">
        <w:rPr>
          <w:rFonts w:ascii="Times New Roman" w:hAnsi="Times New Roman"/>
        </w:rPr>
        <w:t>appl</w:t>
      </w:r>
      <w:r w:rsidR="00403D6C" w:rsidRPr="001526A9">
        <w:rPr>
          <w:rFonts w:ascii="Times New Roman" w:hAnsi="Times New Roman"/>
        </w:rPr>
        <w:t>ies</w:t>
      </w:r>
      <w:r w:rsidR="003B1C66" w:rsidRPr="001526A9">
        <w:rPr>
          <w:rFonts w:ascii="Times New Roman" w:hAnsi="Times New Roman"/>
        </w:rPr>
        <w:t>.</w:t>
      </w:r>
    </w:p>
    <w:p w14:paraId="748E6582" w14:textId="453E6289" w:rsidR="003B1C66" w:rsidRPr="001526A9" w:rsidRDefault="003B1C66" w:rsidP="001526A9">
      <w:pPr>
        <w:pStyle w:val="FixListStyle"/>
        <w:spacing w:after="260" w:line="280" w:lineRule="exact"/>
        <w:ind w:right="0"/>
        <w:jc w:val="both"/>
        <w:rPr>
          <w:rFonts w:ascii="Times New Roman" w:hAnsi="Times New Roman"/>
        </w:rPr>
      </w:pPr>
      <w:r w:rsidRPr="001526A9">
        <w:rPr>
          <w:rFonts w:ascii="Times New Roman" w:hAnsi="Times New Roman"/>
        </w:rPr>
        <w:tab/>
        <w:t xml:space="preserve">The requirement that the "electoral matter" is "communicated to a person" </w:t>
      </w:r>
      <w:r w:rsidR="00C21826" w:rsidRPr="001526A9">
        <w:rPr>
          <w:rFonts w:ascii="Times New Roman" w:hAnsi="Times New Roman"/>
        </w:rPr>
        <w:t>in s 321</w:t>
      </w:r>
      <w:proofErr w:type="gramStart"/>
      <w:r w:rsidR="00C21826" w:rsidRPr="001526A9">
        <w:rPr>
          <w:rFonts w:ascii="Times New Roman" w:hAnsi="Times New Roman"/>
        </w:rPr>
        <w:t>D(</w:t>
      </w:r>
      <w:proofErr w:type="gramEnd"/>
      <w:r w:rsidR="00C21826" w:rsidRPr="001526A9">
        <w:rPr>
          <w:rFonts w:ascii="Times New Roman" w:hAnsi="Times New Roman"/>
        </w:rPr>
        <w:t xml:space="preserve">1) </w:t>
      </w:r>
      <w:r w:rsidR="003C4275" w:rsidRPr="001526A9">
        <w:rPr>
          <w:rFonts w:ascii="Times New Roman" w:hAnsi="Times New Roman"/>
        </w:rPr>
        <w:t xml:space="preserve">is to be understood as involving a </w:t>
      </w:r>
      <w:r w:rsidR="001C3FAC" w:rsidRPr="001526A9">
        <w:rPr>
          <w:rFonts w:ascii="Times New Roman" w:hAnsi="Times New Roman"/>
        </w:rPr>
        <w:t xml:space="preserve">fact </w:t>
      </w:r>
      <w:r w:rsidR="002F5E52" w:rsidRPr="001526A9">
        <w:rPr>
          <w:rFonts w:ascii="Times New Roman" w:hAnsi="Times New Roman"/>
        </w:rPr>
        <w:t xml:space="preserve">or circumstance </w:t>
      </w:r>
      <w:r w:rsidR="001C3FAC" w:rsidRPr="001526A9">
        <w:rPr>
          <w:rFonts w:ascii="Times New Roman" w:hAnsi="Times New Roman"/>
        </w:rPr>
        <w:t>that must exist for s 321D to apply. The required fact</w:t>
      </w:r>
      <w:r w:rsidR="002F5E52" w:rsidRPr="001526A9">
        <w:rPr>
          <w:rFonts w:ascii="Times New Roman" w:hAnsi="Times New Roman"/>
        </w:rPr>
        <w:t xml:space="preserve"> or circumstance</w:t>
      </w:r>
      <w:r w:rsidR="006A015E" w:rsidRPr="001526A9">
        <w:rPr>
          <w:rFonts w:ascii="Times New Roman" w:hAnsi="Times New Roman"/>
        </w:rPr>
        <w:t xml:space="preserve">, being that "electoral matter" is "communicated to a person", </w:t>
      </w:r>
      <w:r w:rsidR="006440EC" w:rsidRPr="001526A9">
        <w:rPr>
          <w:rFonts w:ascii="Times New Roman" w:hAnsi="Times New Roman"/>
        </w:rPr>
        <w:t xml:space="preserve">involves </w:t>
      </w:r>
      <w:r w:rsidR="0020348E" w:rsidRPr="001526A9">
        <w:rPr>
          <w:rFonts w:ascii="Times New Roman" w:hAnsi="Times New Roman"/>
        </w:rPr>
        <w:t xml:space="preserve">proof of </w:t>
      </w:r>
      <w:r w:rsidR="002F5E52" w:rsidRPr="001526A9">
        <w:rPr>
          <w:rFonts w:ascii="Times New Roman" w:hAnsi="Times New Roman"/>
        </w:rPr>
        <w:t xml:space="preserve">a </w:t>
      </w:r>
      <w:r w:rsidR="00292730" w:rsidRPr="001526A9">
        <w:rPr>
          <w:rFonts w:ascii="Times New Roman" w:hAnsi="Times New Roman"/>
        </w:rPr>
        <w:t xml:space="preserve">past event of </w:t>
      </w:r>
      <w:r w:rsidR="002F5E52" w:rsidRPr="001526A9">
        <w:rPr>
          <w:rFonts w:ascii="Times New Roman" w:hAnsi="Times New Roman"/>
        </w:rPr>
        <w:t>"</w:t>
      </w:r>
      <w:r w:rsidR="00292730" w:rsidRPr="001526A9">
        <w:rPr>
          <w:rFonts w:ascii="Times New Roman" w:hAnsi="Times New Roman"/>
        </w:rPr>
        <w:t>electoral matter" being "communicated to a person". In circumstances where "communicated</w:t>
      </w:r>
      <w:r w:rsidR="00E36DAC" w:rsidRPr="001526A9">
        <w:rPr>
          <w:rFonts w:ascii="Times New Roman" w:hAnsi="Times New Roman"/>
        </w:rPr>
        <w:t xml:space="preserve">" is not a defined term but takes its ordinary meaning </w:t>
      </w:r>
      <w:r w:rsidR="002F5E52" w:rsidRPr="001526A9">
        <w:rPr>
          <w:rFonts w:ascii="Times New Roman" w:hAnsi="Times New Roman"/>
        </w:rPr>
        <w:t>(</w:t>
      </w:r>
      <w:r w:rsidR="00930C20" w:rsidRPr="001526A9">
        <w:rPr>
          <w:rFonts w:ascii="Times New Roman" w:hAnsi="Times New Roman"/>
        </w:rPr>
        <w:t xml:space="preserve">as the past </w:t>
      </w:r>
      <w:r w:rsidR="007A5200" w:rsidRPr="001526A9">
        <w:rPr>
          <w:rFonts w:ascii="Times New Roman" w:hAnsi="Times New Roman"/>
        </w:rPr>
        <w:t xml:space="preserve">participle </w:t>
      </w:r>
      <w:r w:rsidR="00930C20" w:rsidRPr="001526A9">
        <w:rPr>
          <w:rFonts w:ascii="Times New Roman" w:hAnsi="Times New Roman"/>
        </w:rPr>
        <w:t xml:space="preserve">of the </w:t>
      </w:r>
      <w:r w:rsidR="002348F5" w:rsidRPr="001526A9">
        <w:rPr>
          <w:rFonts w:ascii="Times New Roman" w:hAnsi="Times New Roman"/>
        </w:rPr>
        <w:t xml:space="preserve">regular </w:t>
      </w:r>
      <w:r w:rsidR="00930C20" w:rsidRPr="001526A9">
        <w:rPr>
          <w:rFonts w:ascii="Times New Roman" w:hAnsi="Times New Roman"/>
        </w:rPr>
        <w:t xml:space="preserve">verb </w:t>
      </w:r>
      <w:r w:rsidR="003337EA" w:rsidRPr="001526A9">
        <w:rPr>
          <w:rFonts w:ascii="Times New Roman" w:hAnsi="Times New Roman"/>
        </w:rPr>
        <w:t>"to communicate"</w:t>
      </w:r>
      <w:r w:rsidR="00A36536" w:rsidRPr="001526A9">
        <w:rPr>
          <w:rFonts w:ascii="Times New Roman" w:hAnsi="Times New Roman"/>
        </w:rPr>
        <w:t>)</w:t>
      </w:r>
      <w:r w:rsidR="003337EA" w:rsidRPr="001526A9">
        <w:rPr>
          <w:rFonts w:ascii="Times New Roman" w:hAnsi="Times New Roman"/>
        </w:rPr>
        <w:t xml:space="preserve">, </w:t>
      </w:r>
      <w:r w:rsidR="00A36536" w:rsidRPr="001526A9">
        <w:rPr>
          <w:rFonts w:ascii="Times New Roman" w:hAnsi="Times New Roman"/>
        </w:rPr>
        <w:t>s 321</w:t>
      </w:r>
      <w:proofErr w:type="gramStart"/>
      <w:r w:rsidR="00A36536" w:rsidRPr="001526A9">
        <w:rPr>
          <w:rFonts w:ascii="Times New Roman" w:hAnsi="Times New Roman"/>
        </w:rPr>
        <w:t>D(</w:t>
      </w:r>
      <w:proofErr w:type="gramEnd"/>
      <w:r w:rsidR="00A36536" w:rsidRPr="001526A9">
        <w:rPr>
          <w:rFonts w:ascii="Times New Roman" w:hAnsi="Times New Roman"/>
        </w:rPr>
        <w:t xml:space="preserve">1) </w:t>
      </w:r>
      <w:r w:rsidR="00DD4569" w:rsidRPr="001526A9">
        <w:rPr>
          <w:rFonts w:ascii="Times New Roman" w:hAnsi="Times New Roman"/>
        </w:rPr>
        <w:t xml:space="preserve">is to be understood as </w:t>
      </w:r>
      <w:r w:rsidR="007E2F7F" w:rsidRPr="001526A9">
        <w:rPr>
          <w:rFonts w:ascii="Times New Roman" w:hAnsi="Times New Roman"/>
        </w:rPr>
        <w:t>requiring</w:t>
      </w:r>
      <w:r w:rsidR="00DD4569" w:rsidRPr="001526A9">
        <w:rPr>
          <w:rFonts w:ascii="Times New Roman" w:hAnsi="Times New Roman"/>
        </w:rPr>
        <w:t xml:space="preserve"> that the "el</w:t>
      </w:r>
      <w:r w:rsidR="007E2F7F" w:rsidRPr="001526A9">
        <w:rPr>
          <w:rFonts w:ascii="Times New Roman" w:hAnsi="Times New Roman"/>
        </w:rPr>
        <w:t xml:space="preserve">ectoral matter" was </w:t>
      </w:r>
      <w:r w:rsidR="00953898" w:rsidRPr="001526A9">
        <w:rPr>
          <w:rFonts w:ascii="Times New Roman" w:hAnsi="Times New Roman"/>
        </w:rPr>
        <w:t>imparted, transmitted, given t</w:t>
      </w:r>
      <w:r w:rsidR="00A0361D" w:rsidRPr="001526A9">
        <w:rPr>
          <w:rFonts w:ascii="Times New Roman" w:hAnsi="Times New Roman"/>
        </w:rPr>
        <w:t xml:space="preserve">o, conveyed to, or expressed to a person. </w:t>
      </w:r>
      <w:r w:rsidR="00CD291D" w:rsidRPr="001526A9">
        <w:rPr>
          <w:rFonts w:ascii="Times New Roman" w:hAnsi="Times New Roman"/>
        </w:rPr>
        <w:t>Once it is established, by applying s 321</w:t>
      </w:r>
      <w:proofErr w:type="gramStart"/>
      <w:r w:rsidR="00CD291D" w:rsidRPr="001526A9">
        <w:rPr>
          <w:rFonts w:ascii="Times New Roman" w:hAnsi="Times New Roman"/>
        </w:rPr>
        <w:t>D(</w:t>
      </w:r>
      <w:proofErr w:type="gramEnd"/>
      <w:r w:rsidR="00CD291D" w:rsidRPr="001526A9">
        <w:rPr>
          <w:rFonts w:ascii="Times New Roman" w:hAnsi="Times New Roman"/>
        </w:rPr>
        <w:t>1) to the facts, that s 321D applies, s 321D(1) has no further</w:t>
      </w:r>
      <w:r w:rsidR="00A36536" w:rsidRPr="001526A9">
        <w:rPr>
          <w:rFonts w:ascii="Times New Roman" w:hAnsi="Times New Roman"/>
        </w:rPr>
        <w:t xml:space="preserve"> function</w:t>
      </w:r>
      <w:r w:rsidR="00CD291D" w:rsidRPr="001526A9">
        <w:rPr>
          <w:rFonts w:ascii="Times New Roman" w:hAnsi="Times New Roman"/>
        </w:rPr>
        <w:t xml:space="preserve">. Its function, of </w:t>
      </w:r>
      <w:r w:rsidR="00483925" w:rsidRPr="001526A9">
        <w:rPr>
          <w:rFonts w:ascii="Times New Roman" w:hAnsi="Times New Roman"/>
        </w:rPr>
        <w:t>identifying when s 321</w:t>
      </w:r>
      <w:proofErr w:type="gramStart"/>
      <w:r w:rsidR="00483925" w:rsidRPr="001526A9">
        <w:rPr>
          <w:rFonts w:ascii="Times New Roman" w:hAnsi="Times New Roman"/>
        </w:rPr>
        <w:t>D</w:t>
      </w:r>
      <w:r w:rsidR="00A36536" w:rsidRPr="001526A9">
        <w:rPr>
          <w:rFonts w:ascii="Times New Roman" w:hAnsi="Times New Roman"/>
        </w:rPr>
        <w:t>(</w:t>
      </w:r>
      <w:proofErr w:type="gramEnd"/>
      <w:r w:rsidR="00A36536" w:rsidRPr="001526A9">
        <w:rPr>
          <w:rFonts w:ascii="Times New Roman" w:hAnsi="Times New Roman"/>
        </w:rPr>
        <w:t>5) may</w:t>
      </w:r>
      <w:r w:rsidR="00483925" w:rsidRPr="001526A9">
        <w:rPr>
          <w:rFonts w:ascii="Times New Roman" w:hAnsi="Times New Roman"/>
        </w:rPr>
        <w:t xml:space="preserve"> appl</w:t>
      </w:r>
      <w:r w:rsidR="00A36536" w:rsidRPr="001526A9">
        <w:rPr>
          <w:rFonts w:ascii="Times New Roman" w:hAnsi="Times New Roman"/>
        </w:rPr>
        <w:t>y</w:t>
      </w:r>
      <w:r w:rsidR="00483925" w:rsidRPr="001526A9">
        <w:rPr>
          <w:rFonts w:ascii="Times New Roman" w:hAnsi="Times New Roman"/>
        </w:rPr>
        <w:t>, is performed.</w:t>
      </w:r>
      <w:r w:rsidR="00E547F6" w:rsidRPr="001526A9">
        <w:rPr>
          <w:rStyle w:val="FootnoteReference"/>
          <w:rFonts w:ascii="Times New Roman" w:hAnsi="Times New Roman"/>
          <w:sz w:val="24"/>
        </w:rPr>
        <w:footnoteReference w:id="23"/>
      </w:r>
      <w:r w:rsidR="00483925" w:rsidRPr="001526A9">
        <w:rPr>
          <w:rFonts w:ascii="Times New Roman" w:hAnsi="Times New Roman"/>
        </w:rPr>
        <w:t xml:space="preserve"> While this does not mean that s 321D(1) no longer forms part of the context of s 321D</w:t>
      </w:r>
      <w:r w:rsidR="00A36536" w:rsidRPr="001526A9">
        <w:rPr>
          <w:rFonts w:ascii="Times New Roman" w:hAnsi="Times New Roman"/>
        </w:rPr>
        <w:t>(5)</w:t>
      </w:r>
      <w:r w:rsidR="009A2B50" w:rsidRPr="001526A9">
        <w:rPr>
          <w:rFonts w:ascii="Times New Roman" w:hAnsi="Times New Roman"/>
        </w:rPr>
        <w:t xml:space="preserve"> (it clearly does), it is necessary to recognise the distinct function of each provision. </w:t>
      </w:r>
      <w:r w:rsidR="00CE46E7" w:rsidRPr="001526A9">
        <w:rPr>
          <w:rFonts w:ascii="Times New Roman" w:hAnsi="Times New Roman"/>
        </w:rPr>
        <w:t>Once it is recognised that s 321</w:t>
      </w:r>
      <w:proofErr w:type="gramStart"/>
      <w:r w:rsidR="00CE46E7" w:rsidRPr="001526A9">
        <w:rPr>
          <w:rFonts w:ascii="Times New Roman" w:hAnsi="Times New Roman"/>
        </w:rPr>
        <w:t>D(</w:t>
      </w:r>
      <w:proofErr w:type="gramEnd"/>
      <w:r w:rsidR="00CE46E7" w:rsidRPr="001526A9">
        <w:rPr>
          <w:rFonts w:ascii="Times New Roman" w:hAnsi="Times New Roman"/>
        </w:rPr>
        <w:t>1) performs a gateway function, it is apparent that the fact of the "electoral matter" having been communicated to a person is a requirement that must be satisfied for s 321D(5) to apply, and no more.</w:t>
      </w:r>
    </w:p>
    <w:p w14:paraId="51CB6DF8" w14:textId="2AB4F293" w:rsidR="00FD3C30" w:rsidRPr="001526A9" w:rsidRDefault="00097557"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5B35A2" w:rsidRPr="001526A9">
        <w:rPr>
          <w:rFonts w:ascii="Times New Roman" w:hAnsi="Times New Roman"/>
        </w:rPr>
        <w:t>T</w:t>
      </w:r>
      <w:r w:rsidR="006E3361" w:rsidRPr="001526A9">
        <w:rPr>
          <w:rFonts w:ascii="Times New Roman" w:hAnsi="Times New Roman"/>
        </w:rPr>
        <w:t xml:space="preserve">he obligation </w:t>
      </w:r>
      <w:r w:rsidR="00160304" w:rsidRPr="001526A9">
        <w:rPr>
          <w:rFonts w:ascii="Times New Roman" w:hAnsi="Times New Roman"/>
        </w:rPr>
        <w:t>imposed on a notifying entity by s 321</w:t>
      </w:r>
      <w:proofErr w:type="gramStart"/>
      <w:r w:rsidR="00160304" w:rsidRPr="001526A9">
        <w:rPr>
          <w:rFonts w:ascii="Times New Roman" w:hAnsi="Times New Roman"/>
        </w:rPr>
        <w:t>D(</w:t>
      </w:r>
      <w:proofErr w:type="gramEnd"/>
      <w:r w:rsidR="00160304" w:rsidRPr="001526A9">
        <w:rPr>
          <w:rFonts w:ascii="Times New Roman" w:hAnsi="Times New Roman"/>
        </w:rPr>
        <w:t xml:space="preserve">5) under pain of civil penalty </w:t>
      </w:r>
      <w:r w:rsidR="006E3361" w:rsidRPr="001526A9">
        <w:rPr>
          <w:rFonts w:ascii="Times New Roman" w:hAnsi="Times New Roman"/>
        </w:rPr>
        <w:t xml:space="preserve">is to ensure </w:t>
      </w:r>
      <w:r w:rsidR="00930F6A" w:rsidRPr="001526A9">
        <w:rPr>
          <w:rFonts w:ascii="Times New Roman" w:hAnsi="Times New Roman"/>
        </w:rPr>
        <w:t xml:space="preserve">that the </w:t>
      </w:r>
      <w:r w:rsidR="0013386E" w:rsidRPr="001526A9">
        <w:rPr>
          <w:rFonts w:ascii="Times New Roman" w:hAnsi="Times New Roman"/>
        </w:rPr>
        <w:t>particulars</w:t>
      </w:r>
      <w:r w:rsidR="00930F6A" w:rsidRPr="001526A9">
        <w:rPr>
          <w:rFonts w:ascii="Times New Roman" w:hAnsi="Times New Roman"/>
        </w:rPr>
        <w:t xml:space="preserve"> set out in the table </w:t>
      </w:r>
      <w:r w:rsidR="00FD3C30" w:rsidRPr="001526A9">
        <w:rPr>
          <w:rFonts w:ascii="Times New Roman" w:hAnsi="Times New Roman"/>
        </w:rPr>
        <w:t xml:space="preserve">to s 321D(5) </w:t>
      </w:r>
      <w:r w:rsidR="00930F6A" w:rsidRPr="001526A9">
        <w:rPr>
          <w:rFonts w:ascii="Times New Roman" w:hAnsi="Times New Roman"/>
        </w:rPr>
        <w:t xml:space="preserve">are notified in accordance with </w:t>
      </w:r>
      <w:r w:rsidR="0013386E" w:rsidRPr="001526A9">
        <w:rPr>
          <w:rFonts w:ascii="Times New Roman" w:hAnsi="Times New Roman"/>
        </w:rPr>
        <w:t xml:space="preserve">any requirements determined under </w:t>
      </w:r>
      <w:r w:rsidR="00A86675" w:rsidRPr="001526A9">
        <w:rPr>
          <w:rFonts w:ascii="Times New Roman" w:hAnsi="Times New Roman"/>
        </w:rPr>
        <w:t>s 321D(7)(b)(</w:t>
      </w:r>
      <w:proofErr w:type="spellStart"/>
      <w:r w:rsidR="00A86675" w:rsidRPr="001526A9">
        <w:rPr>
          <w:rFonts w:ascii="Times New Roman" w:hAnsi="Times New Roman"/>
        </w:rPr>
        <w:t>i</w:t>
      </w:r>
      <w:proofErr w:type="spellEnd"/>
      <w:r w:rsidR="00A86675" w:rsidRPr="001526A9">
        <w:rPr>
          <w:rFonts w:ascii="Times New Roman" w:hAnsi="Times New Roman"/>
        </w:rPr>
        <w:t xml:space="preserve">). </w:t>
      </w:r>
      <w:r w:rsidR="00770E4F" w:rsidRPr="001526A9">
        <w:rPr>
          <w:rFonts w:ascii="Times New Roman" w:hAnsi="Times New Roman"/>
        </w:rPr>
        <w:t>The table in s 321D(5) is repetitive because it distinguishes between a disclosure entity that is not a natural person (items 1 and 2), a disclosure entity who is a natural person (items 3 and 4), an entity that is not a disclosure entity or a natural person (items 5 and 6) and a natural person who is not a disclosure entity (items 7 and 8).</w:t>
      </w:r>
    </w:p>
    <w:p w14:paraId="25651A2E" w14:textId="4CF57911" w:rsidR="003D788C" w:rsidRPr="001526A9" w:rsidRDefault="00FD3C30"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DF7413" w:rsidRPr="001526A9">
        <w:rPr>
          <w:rFonts w:ascii="Times New Roman" w:hAnsi="Times New Roman"/>
        </w:rPr>
        <w:t>It is apparent that the table of particulars in s 321</w:t>
      </w:r>
      <w:proofErr w:type="gramStart"/>
      <w:r w:rsidR="00DF7413" w:rsidRPr="001526A9">
        <w:rPr>
          <w:rFonts w:ascii="Times New Roman" w:hAnsi="Times New Roman"/>
        </w:rPr>
        <w:t>D(</w:t>
      </w:r>
      <w:proofErr w:type="gramEnd"/>
      <w:r w:rsidR="00DF7413" w:rsidRPr="001526A9">
        <w:rPr>
          <w:rFonts w:ascii="Times New Roman" w:hAnsi="Times New Roman"/>
        </w:rPr>
        <w:t xml:space="preserve">5) distinguishes between </w:t>
      </w:r>
      <w:r w:rsidR="004116DD" w:rsidRPr="001526A9">
        <w:rPr>
          <w:rFonts w:ascii="Times New Roman" w:hAnsi="Times New Roman"/>
        </w:rPr>
        <w:t xml:space="preserve">types of "communication". </w:t>
      </w:r>
      <w:r w:rsidR="00FD68DB" w:rsidRPr="001526A9">
        <w:rPr>
          <w:rFonts w:ascii="Times New Roman" w:hAnsi="Times New Roman"/>
        </w:rPr>
        <w:t>In t</w:t>
      </w:r>
      <w:r w:rsidR="004116DD" w:rsidRPr="001526A9">
        <w:rPr>
          <w:rFonts w:ascii="Times New Roman" w:hAnsi="Times New Roman"/>
        </w:rPr>
        <w:t xml:space="preserve">he first type </w:t>
      </w:r>
      <w:r w:rsidR="00FD68DB" w:rsidRPr="001526A9">
        <w:rPr>
          <w:rFonts w:ascii="Times New Roman" w:hAnsi="Times New Roman"/>
        </w:rPr>
        <w:t xml:space="preserve">the communication </w:t>
      </w:r>
      <w:r w:rsidR="004116DD" w:rsidRPr="001526A9">
        <w:rPr>
          <w:rFonts w:ascii="Times New Roman" w:hAnsi="Times New Roman"/>
          <w:i/>
          <w:iCs/>
        </w:rPr>
        <w:t>is</w:t>
      </w:r>
      <w:r w:rsidR="004116DD" w:rsidRPr="001526A9">
        <w:rPr>
          <w:rFonts w:ascii="Times New Roman" w:hAnsi="Times New Roman"/>
        </w:rPr>
        <w:t xml:space="preserve"> "a sticker, fridge magnet, leaflet, flyer, pamphlet, notice, poster or how-to-vote card". </w:t>
      </w:r>
      <w:r w:rsidR="00FD68DB" w:rsidRPr="001526A9">
        <w:rPr>
          <w:rFonts w:ascii="Times New Roman" w:hAnsi="Times New Roman"/>
        </w:rPr>
        <w:t>In t</w:t>
      </w:r>
      <w:r w:rsidR="004116DD" w:rsidRPr="001526A9">
        <w:rPr>
          <w:rFonts w:ascii="Times New Roman" w:hAnsi="Times New Roman"/>
        </w:rPr>
        <w:t xml:space="preserve">he second type </w:t>
      </w:r>
      <w:r w:rsidR="00FD68DB" w:rsidRPr="001526A9">
        <w:rPr>
          <w:rFonts w:ascii="Times New Roman" w:hAnsi="Times New Roman"/>
        </w:rPr>
        <w:t xml:space="preserve">the communication </w:t>
      </w:r>
      <w:r w:rsidR="004116DD" w:rsidRPr="001526A9">
        <w:rPr>
          <w:rFonts w:ascii="Times New Roman" w:hAnsi="Times New Roman"/>
          <w:i/>
          <w:iCs/>
        </w:rPr>
        <w:t>is</w:t>
      </w:r>
      <w:r w:rsidR="004116DD" w:rsidRPr="001526A9">
        <w:rPr>
          <w:rFonts w:ascii="Times New Roman" w:hAnsi="Times New Roman"/>
        </w:rPr>
        <w:t xml:space="preserve"> "any other communication</w:t>
      </w:r>
      <w:r w:rsidR="00FD68DB" w:rsidRPr="001526A9">
        <w:rPr>
          <w:rFonts w:ascii="Times New Roman" w:hAnsi="Times New Roman"/>
        </w:rPr>
        <w:t>"</w:t>
      </w:r>
      <w:r w:rsidR="004116DD" w:rsidRPr="001526A9">
        <w:rPr>
          <w:rFonts w:ascii="Times New Roman" w:hAnsi="Times New Roman"/>
        </w:rPr>
        <w:t xml:space="preserve">. </w:t>
      </w:r>
      <w:r w:rsidR="00B93A45" w:rsidRPr="001526A9">
        <w:rPr>
          <w:rFonts w:ascii="Times New Roman" w:hAnsi="Times New Roman"/>
        </w:rPr>
        <w:t xml:space="preserve">From the </w:t>
      </w:r>
      <w:r w:rsidR="003D788C" w:rsidRPr="001526A9">
        <w:rPr>
          <w:rFonts w:ascii="Times New Roman" w:hAnsi="Times New Roman"/>
        </w:rPr>
        <w:t>language</w:t>
      </w:r>
      <w:r w:rsidR="00B93A45" w:rsidRPr="001526A9">
        <w:rPr>
          <w:rFonts w:ascii="Times New Roman" w:hAnsi="Times New Roman"/>
        </w:rPr>
        <w:t xml:space="preserve"> used, it is manifest that the word "communication" is being used as a noun in s 321</w:t>
      </w:r>
      <w:proofErr w:type="gramStart"/>
      <w:r w:rsidR="00B93A45" w:rsidRPr="001526A9">
        <w:rPr>
          <w:rFonts w:ascii="Times New Roman" w:hAnsi="Times New Roman"/>
        </w:rPr>
        <w:t>D(</w:t>
      </w:r>
      <w:proofErr w:type="gramEnd"/>
      <w:r w:rsidR="00B93A45" w:rsidRPr="001526A9">
        <w:rPr>
          <w:rFonts w:ascii="Times New Roman" w:hAnsi="Times New Roman"/>
        </w:rPr>
        <w:t xml:space="preserve">5), to describe a thing. </w:t>
      </w:r>
      <w:r w:rsidR="003D788C" w:rsidRPr="001526A9">
        <w:rPr>
          <w:rFonts w:ascii="Times New Roman" w:hAnsi="Times New Roman"/>
        </w:rPr>
        <w:t>The thing (sticker or otherwise) is capable of performing a communicative function, but no part of s 321</w:t>
      </w:r>
      <w:proofErr w:type="gramStart"/>
      <w:r w:rsidR="003D788C" w:rsidRPr="001526A9">
        <w:rPr>
          <w:rFonts w:ascii="Times New Roman" w:hAnsi="Times New Roman"/>
        </w:rPr>
        <w:t>D(</w:t>
      </w:r>
      <w:proofErr w:type="gramEnd"/>
      <w:r w:rsidR="003D788C" w:rsidRPr="001526A9">
        <w:rPr>
          <w:rFonts w:ascii="Times New Roman" w:hAnsi="Times New Roman"/>
        </w:rPr>
        <w:t xml:space="preserve">5) </w:t>
      </w:r>
      <w:r w:rsidR="000D4697" w:rsidRPr="001526A9">
        <w:rPr>
          <w:rFonts w:ascii="Times New Roman" w:hAnsi="Times New Roman"/>
        </w:rPr>
        <w:t xml:space="preserve">attaches to the performance of that communicative function. </w:t>
      </w:r>
      <w:r w:rsidR="00C5187D" w:rsidRPr="001526A9">
        <w:rPr>
          <w:rFonts w:ascii="Times New Roman" w:hAnsi="Times New Roman"/>
        </w:rPr>
        <w:t>That is, s 321</w:t>
      </w:r>
      <w:proofErr w:type="gramStart"/>
      <w:r w:rsidR="00C5187D" w:rsidRPr="001526A9">
        <w:rPr>
          <w:rFonts w:ascii="Times New Roman" w:hAnsi="Times New Roman"/>
        </w:rPr>
        <w:t>D(</w:t>
      </w:r>
      <w:proofErr w:type="gramEnd"/>
      <w:r w:rsidR="00C5187D" w:rsidRPr="001526A9">
        <w:rPr>
          <w:rFonts w:ascii="Times New Roman" w:hAnsi="Times New Roman"/>
        </w:rPr>
        <w:t xml:space="preserve">5) is not expressed as a prohibition on </w:t>
      </w:r>
      <w:r w:rsidR="0046245E" w:rsidRPr="001526A9">
        <w:rPr>
          <w:rFonts w:ascii="Times New Roman" w:hAnsi="Times New Roman"/>
        </w:rPr>
        <w:t xml:space="preserve">communicating electoral matter without the required particulars. </w:t>
      </w:r>
      <w:r w:rsidR="000D4697" w:rsidRPr="001526A9">
        <w:rPr>
          <w:rFonts w:ascii="Times New Roman" w:hAnsi="Times New Roman"/>
        </w:rPr>
        <w:t xml:space="preserve">The reason for this is that the </w:t>
      </w:r>
      <w:r w:rsidR="005F4B77" w:rsidRPr="001526A9">
        <w:rPr>
          <w:rFonts w:ascii="Times New Roman" w:hAnsi="Times New Roman"/>
        </w:rPr>
        <w:t xml:space="preserve">communicative function, to the extent required, has already been </w:t>
      </w:r>
      <w:r w:rsidR="005F4B77" w:rsidRPr="001526A9">
        <w:rPr>
          <w:rFonts w:ascii="Times New Roman" w:hAnsi="Times New Roman"/>
        </w:rPr>
        <w:lastRenderedPageBreak/>
        <w:t>performed for s 321</w:t>
      </w:r>
      <w:proofErr w:type="gramStart"/>
      <w:r w:rsidR="005038AC" w:rsidRPr="001526A9">
        <w:rPr>
          <w:rFonts w:ascii="Times New Roman" w:hAnsi="Times New Roman"/>
        </w:rPr>
        <w:t>D(</w:t>
      </w:r>
      <w:proofErr w:type="gramEnd"/>
      <w:r w:rsidR="005F4B77" w:rsidRPr="001526A9">
        <w:rPr>
          <w:rFonts w:ascii="Times New Roman" w:hAnsi="Times New Roman"/>
        </w:rPr>
        <w:t xml:space="preserve">1) to have been satisfied (by the fact </w:t>
      </w:r>
      <w:r w:rsidR="005038AC" w:rsidRPr="001526A9">
        <w:rPr>
          <w:rFonts w:ascii="Times New Roman" w:hAnsi="Times New Roman"/>
        </w:rPr>
        <w:t xml:space="preserve">or circumstance </w:t>
      </w:r>
      <w:r w:rsidR="005F4B77" w:rsidRPr="001526A9">
        <w:rPr>
          <w:rFonts w:ascii="Times New Roman" w:hAnsi="Times New Roman"/>
        </w:rPr>
        <w:t xml:space="preserve">of </w:t>
      </w:r>
      <w:r w:rsidR="005038AC" w:rsidRPr="001526A9">
        <w:rPr>
          <w:rFonts w:ascii="Times New Roman" w:hAnsi="Times New Roman"/>
        </w:rPr>
        <w:t>communication of "electoral matter" to "a person").</w:t>
      </w:r>
    </w:p>
    <w:p w14:paraId="3D136C15" w14:textId="6B0CFCB7" w:rsidR="006915D5" w:rsidRPr="001526A9" w:rsidRDefault="003D788C"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B67D6D" w:rsidRPr="001526A9">
        <w:rPr>
          <w:rFonts w:ascii="Times New Roman" w:hAnsi="Times New Roman"/>
        </w:rPr>
        <w:t>On the terms of s 321</w:t>
      </w:r>
      <w:proofErr w:type="gramStart"/>
      <w:r w:rsidR="00B67D6D" w:rsidRPr="001526A9">
        <w:rPr>
          <w:rFonts w:ascii="Times New Roman" w:hAnsi="Times New Roman"/>
        </w:rPr>
        <w:t>D(</w:t>
      </w:r>
      <w:proofErr w:type="gramEnd"/>
      <w:r w:rsidR="00B67D6D" w:rsidRPr="001526A9">
        <w:rPr>
          <w:rFonts w:ascii="Times New Roman" w:hAnsi="Times New Roman"/>
        </w:rPr>
        <w:t xml:space="preserve">5), it is the </w:t>
      </w:r>
      <w:r w:rsidR="001468AB" w:rsidRPr="001526A9">
        <w:rPr>
          <w:rFonts w:ascii="Times New Roman" w:hAnsi="Times New Roman"/>
        </w:rPr>
        <w:t xml:space="preserve">notifying entity's </w:t>
      </w:r>
      <w:r w:rsidR="00B67D6D" w:rsidRPr="001526A9">
        <w:rPr>
          <w:rFonts w:ascii="Times New Roman" w:hAnsi="Times New Roman"/>
        </w:rPr>
        <w:t xml:space="preserve">failure to ensure </w:t>
      </w:r>
      <w:r w:rsidR="001468AB" w:rsidRPr="001526A9">
        <w:rPr>
          <w:rFonts w:ascii="Times New Roman" w:hAnsi="Times New Roman"/>
        </w:rPr>
        <w:t xml:space="preserve">that the particulars are notified as required which constitutes the contravention. </w:t>
      </w:r>
      <w:r w:rsidR="00634999" w:rsidRPr="001526A9">
        <w:rPr>
          <w:rFonts w:ascii="Times New Roman" w:hAnsi="Times New Roman"/>
        </w:rPr>
        <w:t xml:space="preserve">Such a failure </w:t>
      </w:r>
      <w:r w:rsidR="006D5E5B" w:rsidRPr="001526A9">
        <w:rPr>
          <w:rFonts w:ascii="Times New Roman" w:hAnsi="Times New Roman"/>
        </w:rPr>
        <w:t xml:space="preserve">can only </w:t>
      </w:r>
      <w:r w:rsidR="00634999" w:rsidRPr="001526A9">
        <w:rPr>
          <w:rFonts w:ascii="Times New Roman" w:hAnsi="Times New Roman"/>
        </w:rPr>
        <w:t xml:space="preserve">occur before </w:t>
      </w:r>
      <w:r w:rsidR="000D7EB2" w:rsidRPr="001526A9">
        <w:rPr>
          <w:rFonts w:ascii="Times New Roman" w:hAnsi="Times New Roman"/>
        </w:rPr>
        <w:t>an act of communication, but i</w:t>
      </w:r>
      <w:r w:rsidR="00703B26" w:rsidRPr="001526A9">
        <w:rPr>
          <w:rFonts w:ascii="Times New Roman" w:hAnsi="Times New Roman"/>
        </w:rPr>
        <w:t xml:space="preserve">t </w:t>
      </w:r>
      <w:r w:rsidR="00F302CD" w:rsidRPr="001526A9">
        <w:rPr>
          <w:rFonts w:ascii="Times New Roman" w:hAnsi="Times New Roman"/>
        </w:rPr>
        <w:t>is not an</w:t>
      </w:r>
      <w:r w:rsidR="006915D5" w:rsidRPr="001526A9">
        <w:rPr>
          <w:rFonts w:ascii="Times New Roman" w:hAnsi="Times New Roman"/>
        </w:rPr>
        <w:t xml:space="preserve"> </w:t>
      </w:r>
      <w:r w:rsidR="00F302CD" w:rsidRPr="001526A9">
        <w:rPr>
          <w:rFonts w:ascii="Times New Roman" w:hAnsi="Times New Roman"/>
        </w:rPr>
        <w:t>el</w:t>
      </w:r>
      <w:r w:rsidR="006915D5" w:rsidRPr="001526A9">
        <w:rPr>
          <w:rFonts w:ascii="Times New Roman" w:hAnsi="Times New Roman"/>
        </w:rPr>
        <w:t>e</w:t>
      </w:r>
      <w:r w:rsidR="00F302CD" w:rsidRPr="001526A9">
        <w:rPr>
          <w:rFonts w:ascii="Times New Roman" w:hAnsi="Times New Roman"/>
        </w:rPr>
        <w:t xml:space="preserve">ment of </w:t>
      </w:r>
      <w:r w:rsidR="006915D5" w:rsidRPr="001526A9">
        <w:rPr>
          <w:rFonts w:ascii="Times New Roman" w:hAnsi="Times New Roman"/>
        </w:rPr>
        <w:t xml:space="preserve">a </w:t>
      </w:r>
      <w:r w:rsidR="00F302CD" w:rsidRPr="001526A9">
        <w:rPr>
          <w:rFonts w:ascii="Times New Roman" w:hAnsi="Times New Roman"/>
        </w:rPr>
        <w:t xml:space="preserve">contravention that </w:t>
      </w:r>
      <w:r w:rsidR="00514E3C" w:rsidRPr="001526A9">
        <w:rPr>
          <w:rFonts w:ascii="Times New Roman" w:hAnsi="Times New Roman"/>
        </w:rPr>
        <w:t>"the communication" is "communicated"</w:t>
      </w:r>
      <w:r w:rsidR="000D7EB2" w:rsidRPr="001526A9">
        <w:rPr>
          <w:rFonts w:ascii="Times New Roman" w:hAnsi="Times New Roman"/>
        </w:rPr>
        <w:t>.</w:t>
      </w:r>
      <w:r w:rsidR="001A5A9D" w:rsidRPr="001526A9">
        <w:rPr>
          <w:rFonts w:ascii="Times New Roman" w:hAnsi="Times New Roman"/>
        </w:rPr>
        <w:t xml:space="preserve"> </w:t>
      </w:r>
      <w:r w:rsidR="000D7EB2" w:rsidRPr="001526A9">
        <w:rPr>
          <w:rFonts w:ascii="Times New Roman" w:hAnsi="Times New Roman"/>
        </w:rPr>
        <w:t xml:space="preserve">Rather, </w:t>
      </w:r>
      <w:r w:rsidR="00D62FC3" w:rsidRPr="001526A9">
        <w:rPr>
          <w:rFonts w:ascii="Times New Roman" w:hAnsi="Times New Roman"/>
        </w:rPr>
        <w:t>th</w:t>
      </w:r>
      <w:r w:rsidR="000766AE" w:rsidRPr="001526A9">
        <w:rPr>
          <w:rFonts w:ascii="Times New Roman" w:hAnsi="Times New Roman"/>
        </w:rPr>
        <w:t>e fact or circumstance of</w:t>
      </w:r>
      <w:r w:rsidR="00857917" w:rsidRPr="001526A9">
        <w:rPr>
          <w:rFonts w:ascii="Times New Roman" w:hAnsi="Times New Roman"/>
        </w:rPr>
        <w:t xml:space="preserve"> </w:t>
      </w:r>
      <w:r w:rsidR="006F22B0" w:rsidRPr="001526A9">
        <w:rPr>
          <w:rFonts w:ascii="Times New Roman" w:hAnsi="Times New Roman"/>
        </w:rPr>
        <w:t xml:space="preserve">"electoral matter" </w:t>
      </w:r>
      <w:r w:rsidR="000766AE" w:rsidRPr="001526A9">
        <w:rPr>
          <w:rFonts w:ascii="Times New Roman" w:hAnsi="Times New Roman"/>
        </w:rPr>
        <w:t xml:space="preserve">having been "communicated" to a person </w:t>
      </w:r>
      <w:r w:rsidR="005E7853" w:rsidRPr="001526A9">
        <w:rPr>
          <w:rFonts w:ascii="Times New Roman" w:hAnsi="Times New Roman"/>
        </w:rPr>
        <w:t>must</w:t>
      </w:r>
      <w:r w:rsidR="00857917" w:rsidRPr="001526A9">
        <w:rPr>
          <w:rFonts w:ascii="Times New Roman" w:hAnsi="Times New Roman"/>
        </w:rPr>
        <w:t xml:space="preserve"> </w:t>
      </w:r>
      <w:r w:rsidR="000C3A27" w:rsidRPr="001526A9">
        <w:rPr>
          <w:rFonts w:ascii="Times New Roman" w:hAnsi="Times New Roman"/>
        </w:rPr>
        <w:t xml:space="preserve">already </w:t>
      </w:r>
      <w:r w:rsidR="005E7853" w:rsidRPr="001526A9">
        <w:rPr>
          <w:rFonts w:ascii="Times New Roman" w:hAnsi="Times New Roman"/>
        </w:rPr>
        <w:t xml:space="preserve">have </w:t>
      </w:r>
      <w:r w:rsidR="00A318F1" w:rsidRPr="001526A9">
        <w:rPr>
          <w:rFonts w:ascii="Times New Roman" w:hAnsi="Times New Roman"/>
        </w:rPr>
        <w:t>been established</w:t>
      </w:r>
      <w:r w:rsidR="00857917" w:rsidRPr="001526A9">
        <w:rPr>
          <w:rFonts w:ascii="Times New Roman" w:hAnsi="Times New Roman"/>
        </w:rPr>
        <w:t xml:space="preserve"> for any question of</w:t>
      </w:r>
      <w:r w:rsidR="002038D9" w:rsidRPr="001526A9">
        <w:rPr>
          <w:rFonts w:ascii="Times New Roman" w:hAnsi="Times New Roman"/>
        </w:rPr>
        <w:t xml:space="preserve"> </w:t>
      </w:r>
      <w:r w:rsidR="005E7853" w:rsidRPr="001526A9">
        <w:rPr>
          <w:rFonts w:ascii="Times New Roman" w:hAnsi="Times New Roman"/>
        </w:rPr>
        <w:t xml:space="preserve">contravention </w:t>
      </w:r>
      <w:r w:rsidR="002038D9" w:rsidRPr="001526A9">
        <w:rPr>
          <w:rFonts w:ascii="Times New Roman" w:hAnsi="Times New Roman"/>
        </w:rPr>
        <w:t>of s 321</w:t>
      </w:r>
      <w:proofErr w:type="gramStart"/>
      <w:r w:rsidR="002038D9" w:rsidRPr="001526A9">
        <w:rPr>
          <w:rFonts w:ascii="Times New Roman" w:hAnsi="Times New Roman"/>
        </w:rPr>
        <w:t>D(</w:t>
      </w:r>
      <w:proofErr w:type="gramEnd"/>
      <w:r w:rsidR="002038D9" w:rsidRPr="001526A9">
        <w:rPr>
          <w:rFonts w:ascii="Times New Roman" w:hAnsi="Times New Roman"/>
        </w:rPr>
        <w:t xml:space="preserve">5) </w:t>
      </w:r>
      <w:r w:rsidR="005E7853" w:rsidRPr="001526A9">
        <w:rPr>
          <w:rFonts w:ascii="Times New Roman" w:hAnsi="Times New Roman"/>
        </w:rPr>
        <w:t>to arise.</w:t>
      </w:r>
      <w:r w:rsidR="00857917" w:rsidRPr="001526A9">
        <w:rPr>
          <w:rFonts w:ascii="Times New Roman" w:hAnsi="Times New Roman"/>
        </w:rPr>
        <w:t xml:space="preserve"> </w:t>
      </w:r>
      <w:r w:rsidR="00514E3C" w:rsidRPr="001526A9">
        <w:rPr>
          <w:rFonts w:ascii="Times New Roman" w:hAnsi="Times New Roman"/>
        </w:rPr>
        <w:t xml:space="preserve">For the fact </w:t>
      </w:r>
      <w:r w:rsidR="009E4DAA" w:rsidRPr="001526A9">
        <w:rPr>
          <w:rFonts w:ascii="Times New Roman" w:hAnsi="Times New Roman"/>
        </w:rPr>
        <w:t xml:space="preserve">or circumstance </w:t>
      </w:r>
      <w:r w:rsidR="00514E3C" w:rsidRPr="001526A9">
        <w:rPr>
          <w:rFonts w:ascii="Times New Roman" w:hAnsi="Times New Roman"/>
        </w:rPr>
        <w:t xml:space="preserve">of having </w:t>
      </w:r>
      <w:r w:rsidR="002C0A99" w:rsidRPr="001526A9">
        <w:rPr>
          <w:rFonts w:ascii="Times New Roman" w:hAnsi="Times New Roman"/>
        </w:rPr>
        <w:t xml:space="preserve">been </w:t>
      </w:r>
      <w:r w:rsidR="00514E3C" w:rsidRPr="001526A9">
        <w:rPr>
          <w:rFonts w:ascii="Times New Roman" w:hAnsi="Times New Roman"/>
        </w:rPr>
        <w:t>"communicated" to be an el</w:t>
      </w:r>
      <w:r w:rsidR="007E6795" w:rsidRPr="001526A9">
        <w:rPr>
          <w:rFonts w:ascii="Times New Roman" w:hAnsi="Times New Roman"/>
        </w:rPr>
        <w:t>e</w:t>
      </w:r>
      <w:r w:rsidR="00514E3C" w:rsidRPr="001526A9">
        <w:rPr>
          <w:rFonts w:ascii="Times New Roman" w:hAnsi="Times New Roman"/>
        </w:rPr>
        <w:t xml:space="preserve">ment of the </w:t>
      </w:r>
      <w:r w:rsidR="007E6795" w:rsidRPr="001526A9">
        <w:rPr>
          <w:rFonts w:ascii="Times New Roman" w:hAnsi="Times New Roman"/>
        </w:rPr>
        <w:t xml:space="preserve">contravention, </w:t>
      </w:r>
      <w:r w:rsidR="002C0A99" w:rsidRPr="001526A9">
        <w:rPr>
          <w:rFonts w:ascii="Times New Roman" w:hAnsi="Times New Roman"/>
        </w:rPr>
        <w:t xml:space="preserve">it would be necessary for that </w:t>
      </w:r>
      <w:r w:rsidR="005911B5" w:rsidRPr="001526A9">
        <w:rPr>
          <w:rFonts w:ascii="Times New Roman" w:hAnsi="Times New Roman"/>
        </w:rPr>
        <w:t>element</w:t>
      </w:r>
      <w:r w:rsidR="002C0A99" w:rsidRPr="001526A9">
        <w:rPr>
          <w:rFonts w:ascii="Times New Roman" w:hAnsi="Times New Roman"/>
        </w:rPr>
        <w:t xml:space="preserve"> to </w:t>
      </w:r>
      <w:r w:rsidR="005911B5" w:rsidRPr="001526A9">
        <w:rPr>
          <w:rFonts w:ascii="Times New Roman" w:hAnsi="Times New Roman"/>
        </w:rPr>
        <w:t>appear</w:t>
      </w:r>
      <w:r w:rsidR="002C0A99" w:rsidRPr="001526A9">
        <w:rPr>
          <w:rFonts w:ascii="Times New Roman" w:hAnsi="Times New Roman"/>
        </w:rPr>
        <w:t xml:space="preserve"> in the table to s 321</w:t>
      </w:r>
      <w:r w:rsidR="009E4DAA" w:rsidRPr="001526A9">
        <w:rPr>
          <w:rFonts w:ascii="Times New Roman" w:hAnsi="Times New Roman"/>
        </w:rPr>
        <w:t>D</w:t>
      </w:r>
      <w:r w:rsidR="002C0A99" w:rsidRPr="001526A9">
        <w:rPr>
          <w:rFonts w:ascii="Times New Roman" w:hAnsi="Times New Roman"/>
        </w:rPr>
        <w:t>(5) (</w:t>
      </w:r>
      <w:proofErr w:type="spellStart"/>
      <w:r w:rsidR="002C0A99" w:rsidRPr="001526A9">
        <w:rPr>
          <w:rFonts w:ascii="Times New Roman" w:hAnsi="Times New Roman"/>
        </w:rPr>
        <w:t>eg</w:t>
      </w:r>
      <w:proofErr w:type="spellEnd"/>
      <w:r w:rsidR="002C0A99" w:rsidRPr="001526A9">
        <w:rPr>
          <w:rFonts w:ascii="Times New Roman" w:hAnsi="Times New Roman"/>
        </w:rPr>
        <w:t xml:space="preserve">, in item 4 </w:t>
      </w:r>
      <w:r w:rsidR="005911B5" w:rsidRPr="001526A9">
        <w:rPr>
          <w:rFonts w:ascii="Times New Roman" w:hAnsi="Times New Roman"/>
        </w:rPr>
        <w:t xml:space="preserve">"the communication is any other communication authorised by a disclosure entity who is a natural person </w:t>
      </w:r>
      <w:r w:rsidR="00152663" w:rsidRPr="001526A9">
        <w:rPr>
          <w:rFonts w:ascii="Times New Roman" w:hAnsi="Times New Roman"/>
        </w:rPr>
        <w:t>[</w:t>
      </w:r>
      <w:r w:rsidR="005911B5" w:rsidRPr="001526A9">
        <w:rPr>
          <w:rFonts w:ascii="Times New Roman" w:hAnsi="Times New Roman"/>
          <w:i/>
          <w:iCs/>
        </w:rPr>
        <w:t>and which has been communicated to a person</w:t>
      </w:r>
      <w:r w:rsidR="00010FE9" w:rsidRPr="001526A9">
        <w:rPr>
          <w:rFonts w:ascii="Times New Roman" w:hAnsi="Times New Roman"/>
          <w:i/>
          <w:iCs/>
        </w:rPr>
        <w:t xml:space="preserve"> or persons</w:t>
      </w:r>
      <w:r w:rsidR="00152663" w:rsidRPr="001526A9">
        <w:rPr>
          <w:rFonts w:ascii="Times New Roman" w:hAnsi="Times New Roman"/>
        </w:rPr>
        <w:t>]</w:t>
      </w:r>
      <w:r w:rsidR="005911B5" w:rsidRPr="001526A9">
        <w:rPr>
          <w:rFonts w:ascii="Times New Roman" w:hAnsi="Times New Roman"/>
        </w:rPr>
        <w:t xml:space="preserve">"). </w:t>
      </w:r>
      <w:r w:rsidR="009E4DAA" w:rsidRPr="001526A9">
        <w:rPr>
          <w:rFonts w:ascii="Times New Roman" w:hAnsi="Times New Roman"/>
        </w:rPr>
        <w:t>Those words do not appear, however.</w:t>
      </w:r>
    </w:p>
    <w:p w14:paraId="747360BC" w14:textId="30B5E651" w:rsidR="00BB0D95" w:rsidRPr="001526A9" w:rsidRDefault="00573F16"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C768E8" w:rsidRPr="001526A9">
        <w:rPr>
          <w:rFonts w:ascii="Times New Roman" w:hAnsi="Times New Roman"/>
        </w:rPr>
        <w:t>In the present case, there is now no dispute that the requirements of s 321</w:t>
      </w:r>
      <w:proofErr w:type="gramStart"/>
      <w:r w:rsidR="00C768E8" w:rsidRPr="001526A9">
        <w:rPr>
          <w:rFonts w:ascii="Times New Roman" w:hAnsi="Times New Roman"/>
        </w:rPr>
        <w:t>D(</w:t>
      </w:r>
      <w:proofErr w:type="gramEnd"/>
      <w:r w:rsidR="00C768E8" w:rsidRPr="001526A9">
        <w:rPr>
          <w:rFonts w:ascii="Times New Roman" w:hAnsi="Times New Roman"/>
        </w:rPr>
        <w:t xml:space="preserve">1) </w:t>
      </w:r>
      <w:r w:rsidR="00BD68FB" w:rsidRPr="001526A9">
        <w:rPr>
          <w:rFonts w:ascii="Times New Roman" w:hAnsi="Times New Roman"/>
        </w:rPr>
        <w:t>were satisfied. That is, each post by Mr Laming on Facebook was "electoral matter", it was "communicated to a person</w:t>
      </w:r>
      <w:r w:rsidR="00A174CD" w:rsidRPr="001526A9">
        <w:rPr>
          <w:rFonts w:ascii="Times New Roman" w:hAnsi="Times New Roman"/>
        </w:rPr>
        <w:t>"</w:t>
      </w:r>
      <w:r w:rsidR="000B02EF" w:rsidRPr="001526A9">
        <w:rPr>
          <w:rFonts w:ascii="Times New Roman" w:hAnsi="Times New Roman"/>
        </w:rPr>
        <w:t xml:space="preserve">, and the matter was communicated by Mr Laming who was a </w:t>
      </w:r>
      <w:r w:rsidR="00D95B2C" w:rsidRPr="001526A9">
        <w:rPr>
          <w:rFonts w:ascii="Times New Roman" w:hAnsi="Times New Roman"/>
        </w:rPr>
        <w:t xml:space="preserve">disclosure entity in accordance with s 321D(1)(c). </w:t>
      </w:r>
      <w:r w:rsidR="00A83A9B" w:rsidRPr="001526A9">
        <w:rPr>
          <w:rFonts w:ascii="Times New Roman" w:hAnsi="Times New Roman"/>
        </w:rPr>
        <w:t>Thereafter, to ascertain a contravention</w:t>
      </w:r>
      <w:r w:rsidR="00A174CD" w:rsidRPr="001526A9">
        <w:rPr>
          <w:rFonts w:ascii="Times New Roman" w:hAnsi="Times New Roman"/>
        </w:rPr>
        <w:t>,</w:t>
      </w:r>
      <w:r w:rsidR="00A83A9B" w:rsidRPr="001526A9">
        <w:rPr>
          <w:rFonts w:ascii="Times New Roman" w:hAnsi="Times New Roman"/>
        </w:rPr>
        <w:t xml:space="preserve"> it is the terms of s 321</w:t>
      </w:r>
      <w:proofErr w:type="gramStart"/>
      <w:r w:rsidR="00A83A9B" w:rsidRPr="001526A9">
        <w:rPr>
          <w:rFonts w:ascii="Times New Roman" w:hAnsi="Times New Roman"/>
        </w:rPr>
        <w:t>D(</w:t>
      </w:r>
      <w:proofErr w:type="gramEnd"/>
      <w:r w:rsidR="00A83A9B" w:rsidRPr="001526A9">
        <w:rPr>
          <w:rFonts w:ascii="Times New Roman" w:hAnsi="Times New Roman"/>
        </w:rPr>
        <w:t>5) which govern.</w:t>
      </w:r>
    </w:p>
    <w:p w14:paraId="11A8C147" w14:textId="7AE384F5" w:rsidR="00D44BD7" w:rsidRPr="001526A9" w:rsidRDefault="00A83A9B"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5F591A" w:rsidRPr="001526A9">
        <w:rPr>
          <w:rFonts w:ascii="Times New Roman" w:hAnsi="Times New Roman"/>
        </w:rPr>
        <w:t>The relevant item in the table to s 321</w:t>
      </w:r>
      <w:proofErr w:type="gramStart"/>
      <w:r w:rsidR="00A174CD" w:rsidRPr="001526A9">
        <w:rPr>
          <w:rFonts w:ascii="Times New Roman" w:hAnsi="Times New Roman"/>
        </w:rPr>
        <w:t>D</w:t>
      </w:r>
      <w:r w:rsidR="005F591A" w:rsidRPr="001526A9">
        <w:rPr>
          <w:rFonts w:ascii="Times New Roman" w:hAnsi="Times New Roman"/>
        </w:rPr>
        <w:t>(</w:t>
      </w:r>
      <w:proofErr w:type="gramEnd"/>
      <w:r w:rsidR="005F591A" w:rsidRPr="001526A9">
        <w:rPr>
          <w:rFonts w:ascii="Times New Roman" w:hAnsi="Times New Roman"/>
        </w:rPr>
        <w:t xml:space="preserve">5) is item 4. </w:t>
      </w:r>
      <w:r w:rsidR="00205E63" w:rsidRPr="001526A9">
        <w:rPr>
          <w:rFonts w:ascii="Times New Roman" w:hAnsi="Times New Roman"/>
        </w:rPr>
        <w:t>That is because Mr</w:t>
      </w:r>
      <w:r w:rsidR="000830A0" w:rsidRPr="001526A9">
        <w:rPr>
          <w:rFonts w:ascii="Times New Roman" w:hAnsi="Times New Roman"/>
        </w:rPr>
        <w:t> </w:t>
      </w:r>
      <w:r w:rsidR="00205E63" w:rsidRPr="001526A9">
        <w:rPr>
          <w:rFonts w:ascii="Times New Roman" w:hAnsi="Times New Roman"/>
        </w:rPr>
        <w:t xml:space="preserve">Laming is a natural person and because </w:t>
      </w:r>
      <w:r w:rsidR="00B64F5C" w:rsidRPr="001526A9">
        <w:rPr>
          <w:rFonts w:ascii="Times New Roman" w:hAnsi="Times New Roman"/>
        </w:rPr>
        <w:t xml:space="preserve">each </w:t>
      </w:r>
      <w:r w:rsidR="005F591A" w:rsidRPr="001526A9">
        <w:rPr>
          <w:rFonts w:ascii="Times New Roman" w:hAnsi="Times New Roman"/>
        </w:rPr>
        <w:t xml:space="preserve">post to Facebook </w:t>
      </w:r>
      <w:r w:rsidR="00B64F5C" w:rsidRPr="001526A9">
        <w:rPr>
          <w:rFonts w:ascii="Times New Roman" w:hAnsi="Times New Roman"/>
        </w:rPr>
        <w:t xml:space="preserve">was </w:t>
      </w:r>
      <w:r w:rsidR="004B6502" w:rsidRPr="001526A9">
        <w:rPr>
          <w:rFonts w:ascii="Times New Roman" w:hAnsi="Times New Roman"/>
        </w:rPr>
        <w:t xml:space="preserve">not </w:t>
      </w:r>
      <w:r w:rsidR="00AB4C94" w:rsidRPr="001526A9">
        <w:rPr>
          <w:rFonts w:ascii="Times New Roman" w:hAnsi="Times New Roman"/>
        </w:rPr>
        <w:t xml:space="preserve">a sticker, fridge magnet, leaflet, flyer, pamphlet, notice, poster or how-to-vote card </w:t>
      </w:r>
      <w:r w:rsidR="004B6502" w:rsidRPr="001526A9">
        <w:rPr>
          <w:rFonts w:ascii="Times New Roman" w:hAnsi="Times New Roman"/>
        </w:rPr>
        <w:t xml:space="preserve">within item 3 but </w:t>
      </w:r>
      <w:r w:rsidR="00AB4C94" w:rsidRPr="001526A9">
        <w:rPr>
          <w:rFonts w:ascii="Times New Roman" w:hAnsi="Times New Roman"/>
        </w:rPr>
        <w:t xml:space="preserve">was </w:t>
      </w:r>
      <w:r w:rsidR="004B6502" w:rsidRPr="001526A9">
        <w:rPr>
          <w:rFonts w:ascii="Times New Roman" w:hAnsi="Times New Roman"/>
        </w:rPr>
        <w:t>"any other communication"</w:t>
      </w:r>
      <w:r w:rsidR="00265250" w:rsidRPr="001526A9">
        <w:rPr>
          <w:rFonts w:ascii="Times New Roman" w:hAnsi="Times New Roman"/>
        </w:rPr>
        <w:t xml:space="preserve"> within item 4</w:t>
      </w:r>
      <w:r w:rsidR="004B6502" w:rsidRPr="001526A9">
        <w:rPr>
          <w:rFonts w:ascii="Times New Roman" w:hAnsi="Times New Roman"/>
        </w:rPr>
        <w:t xml:space="preserve">. </w:t>
      </w:r>
      <w:r w:rsidR="00D44BD7" w:rsidRPr="001526A9">
        <w:rPr>
          <w:rFonts w:ascii="Times New Roman" w:hAnsi="Times New Roman"/>
        </w:rPr>
        <w:t>The obligation imposed on Mr Laming was to ensure that the particulars set out in the table as applicable to that form of communication (his name and the town or city in which he lived) were notified in accordance with any requirements determined under s 321D(7)(b)(</w:t>
      </w:r>
      <w:proofErr w:type="spellStart"/>
      <w:r w:rsidR="00D44BD7" w:rsidRPr="001526A9">
        <w:rPr>
          <w:rFonts w:ascii="Times New Roman" w:hAnsi="Times New Roman"/>
        </w:rPr>
        <w:t>i</w:t>
      </w:r>
      <w:proofErr w:type="spellEnd"/>
      <w:r w:rsidR="00D44BD7" w:rsidRPr="001526A9">
        <w:rPr>
          <w:rFonts w:ascii="Times New Roman" w:hAnsi="Times New Roman"/>
        </w:rPr>
        <w:t>) in each post</w:t>
      </w:r>
      <w:r w:rsidR="0037015F" w:rsidRPr="001526A9">
        <w:rPr>
          <w:rFonts w:ascii="Times New Roman" w:hAnsi="Times New Roman"/>
        </w:rPr>
        <w:t>.</w:t>
      </w:r>
      <w:r w:rsidR="00D44BD7" w:rsidRPr="001526A9">
        <w:rPr>
          <w:rFonts w:ascii="Times New Roman" w:hAnsi="Times New Roman"/>
        </w:rPr>
        <w:t xml:space="preserve"> </w:t>
      </w:r>
    </w:p>
    <w:p w14:paraId="68ADA245" w14:textId="535FF2BD" w:rsidR="00A83A9B" w:rsidRPr="001526A9" w:rsidRDefault="00D44BD7"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553A89" w:rsidRPr="001526A9">
        <w:rPr>
          <w:rFonts w:ascii="Times New Roman" w:hAnsi="Times New Roman"/>
        </w:rPr>
        <w:t>In the context of th</w:t>
      </w:r>
      <w:r w:rsidRPr="001526A9">
        <w:rPr>
          <w:rFonts w:ascii="Times New Roman" w:hAnsi="Times New Roman"/>
        </w:rPr>
        <w:t>e</w:t>
      </w:r>
      <w:r w:rsidR="00553A89" w:rsidRPr="001526A9">
        <w:rPr>
          <w:rFonts w:ascii="Times New Roman" w:hAnsi="Times New Roman"/>
        </w:rPr>
        <w:t xml:space="preserve"> table</w:t>
      </w:r>
      <w:r w:rsidRPr="001526A9">
        <w:rPr>
          <w:rFonts w:ascii="Times New Roman" w:hAnsi="Times New Roman"/>
        </w:rPr>
        <w:t xml:space="preserve"> to s 321</w:t>
      </w:r>
      <w:proofErr w:type="gramStart"/>
      <w:r w:rsidRPr="001526A9">
        <w:rPr>
          <w:rFonts w:ascii="Times New Roman" w:hAnsi="Times New Roman"/>
        </w:rPr>
        <w:t>D(</w:t>
      </w:r>
      <w:proofErr w:type="gramEnd"/>
      <w:r w:rsidRPr="001526A9">
        <w:rPr>
          <w:rFonts w:ascii="Times New Roman" w:hAnsi="Times New Roman"/>
        </w:rPr>
        <w:t>5)</w:t>
      </w:r>
      <w:r w:rsidR="00CE14A0" w:rsidRPr="001526A9">
        <w:rPr>
          <w:rFonts w:ascii="Times New Roman" w:hAnsi="Times New Roman"/>
        </w:rPr>
        <w:t>,</w:t>
      </w:r>
      <w:r w:rsidR="00553A89" w:rsidRPr="001526A9">
        <w:rPr>
          <w:rFonts w:ascii="Times New Roman" w:hAnsi="Times New Roman"/>
        </w:rPr>
        <w:t xml:space="preserve"> a "communication" is </w:t>
      </w:r>
      <w:r w:rsidR="002212AD" w:rsidRPr="001526A9">
        <w:rPr>
          <w:rFonts w:ascii="Times New Roman" w:hAnsi="Times New Roman"/>
        </w:rPr>
        <w:t>simply a</w:t>
      </w:r>
      <w:r w:rsidR="00CE14A0" w:rsidRPr="001526A9">
        <w:rPr>
          <w:rFonts w:ascii="Times New Roman" w:hAnsi="Times New Roman"/>
        </w:rPr>
        <w:t xml:space="preserve"> thing capable of performing a communicative function</w:t>
      </w:r>
      <w:r w:rsidR="00E642D7" w:rsidRPr="001526A9">
        <w:rPr>
          <w:rFonts w:ascii="Times New Roman" w:hAnsi="Times New Roman"/>
        </w:rPr>
        <w:t xml:space="preserve">. This </w:t>
      </w:r>
      <w:r w:rsidR="00A60894" w:rsidRPr="001526A9">
        <w:rPr>
          <w:rFonts w:ascii="Times New Roman" w:hAnsi="Times New Roman"/>
        </w:rPr>
        <w:t>follows</w:t>
      </w:r>
      <w:r w:rsidR="00E642D7" w:rsidRPr="001526A9">
        <w:rPr>
          <w:rFonts w:ascii="Times New Roman" w:hAnsi="Times New Roman"/>
        </w:rPr>
        <w:t xml:space="preserve"> from the distinctions in the table between </w:t>
      </w:r>
      <w:r w:rsidR="00A60894" w:rsidRPr="001526A9">
        <w:rPr>
          <w:rFonts w:ascii="Times New Roman" w:hAnsi="Times New Roman"/>
        </w:rPr>
        <w:t xml:space="preserve">specified </w:t>
      </w:r>
      <w:r w:rsidR="00CE14A0" w:rsidRPr="001526A9">
        <w:rPr>
          <w:rFonts w:ascii="Times New Roman" w:hAnsi="Times New Roman"/>
        </w:rPr>
        <w:t xml:space="preserve">things </w:t>
      </w:r>
      <w:r w:rsidR="00A60894" w:rsidRPr="001526A9">
        <w:rPr>
          <w:rFonts w:ascii="Times New Roman" w:hAnsi="Times New Roman"/>
        </w:rPr>
        <w:t>(</w:t>
      </w:r>
      <w:r w:rsidR="00CE14A0" w:rsidRPr="001526A9">
        <w:rPr>
          <w:rFonts w:ascii="Times New Roman" w:hAnsi="Times New Roman"/>
        </w:rPr>
        <w:t xml:space="preserve">"is a </w:t>
      </w:r>
      <w:r w:rsidR="00A60894" w:rsidRPr="001526A9">
        <w:rPr>
          <w:rFonts w:ascii="Times New Roman" w:hAnsi="Times New Roman"/>
        </w:rPr>
        <w:t>sticker, fridge magnet, leaflet, flyer, pamphlet, notice, poster or how-to-vote card</w:t>
      </w:r>
      <w:r w:rsidR="00C4636E" w:rsidRPr="001526A9">
        <w:rPr>
          <w:rFonts w:ascii="Times New Roman" w:hAnsi="Times New Roman"/>
        </w:rPr>
        <w:t>"</w:t>
      </w:r>
      <w:r w:rsidR="00A60894" w:rsidRPr="001526A9">
        <w:rPr>
          <w:rFonts w:ascii="Times New Roman" w:hAnsi="Times New Roman"/>
        </w:rPr>
        <w:t xml:space="preserve">) and </w:t>
      </w:r>
      <w:r w:rsidR="0041687E" w:rsidRPr="001526A9">
        <w:rPr>
          <w:rFonts w:ascii="Times New Roman" w:hAnsi="Times New Roman"/>
        </w:rPr>
        <w:t xml:space="preserve">non-specified </w:t>
      </w:r>
      <w:r w:rsidR="00C4636E" w:rsidRPr="001526A9">
        <w:rPr>
          <w:rFonts w:ascii="Times New Roman" w:hAnsi="Times New Roman"/>
        </w:rPr>
        <w:t xml:space="preserve">things </w:t>
      </w:r>
      <w:r w:rsidR="0041687E" w:rsidRPr="001526A9">
        <w:rPr>
          <w:rFonts w:ascii="Times New Roman" w:hAnsi="Times New Roman"/>
        </w:rPr>
        <w:t>("</w:t>
      </w:r>
      <w:r w:rsidR="00C4636E" w:rsidRPr="001526A9">
        <w:rPr>
          <w:rFonts w:ascii="Times New Roman" w:hAnsi="Times New Roman"/>
        </w:rPr>
        <w:t xml:space="preserve">is </w:t>
      </w:r>
      <w:r w:rsidR="0041687E" w:rsidRPr="001526A9">
        <w:rPr>
          <w:rFonts w:ascii="Times New Roman" w:hAnsi="Times New Roman"/>
        </w:rPr>
        <w:t xml:space="preserve">any other communication"). In context, the </w:t>
      </w:r>
      <w:r w:rsidR="001602DE" w:rsidRPr="001526A9">
        <w:rPr>
          <w:rFonts w:ascii="Times New Roman" w:hAnsi="Times New Roman"/>
        </w:rPr>
        <w:t>distinction</w:t>
      </w:r>
      <w:r w:rsidR="0041687E" w:rsidRPr="001526A9">
        <w:rPr>
          <w:rFonts w:ascii="Times New Roman" w:hAnsi="Times New Roman"/>
        </w:rPr>
        <w:t xml:space="preserve"> is between </w:t>
      </w:r>
      <w:r w:rsidR="00C4636E" w:rsidRPr="001526A9">
        <w:rPr>
          <w:rFonts w:ascii="Times New Roman" w:hAnsi="Times New Roman"/>
        </w:rPr>
        <w:t xml:space="preserve">things which are </w:t>
      </w:r>
      <w:r w:rsidR="001602DE" w:rsidRPr="001526A9">
        <w:rPr>
          <w:rFonts w:ascii="Times New Roman" w:hAnsi="Times New Roman"/>
        </w:rPr>
        <w:t xml:space="preserve">traditional forms of political messaging and </w:t>
      </w:r>
      <w:r w:rsidR="00C4636E" w:rsidRPr="001526A9">
        <w:rPr>
          <w:rFonts w:ascii="Times New Roman" w:hAnsi="Times New Roman"/>
        </w:rPr>
        <w:t xml:space="preserve">things which are </w:t>
      </w:r>
      <w:r w:rsidR="001602DE" w:rsidRPr="001526A9">
        <w:rPr>
          <w:rFonts w:ascii="Times New Roman" w:hAnsi="Times New Roman"/>
        </w:rPr>
        <w:t>new forms of political messaging.</w:t>
      </w:r>
    </w:p>
    <w:p w14:paraId="61363C1F" w14:textId="7B937069" w:rsidR="0008425F" w:rsidRPr="001526A9" w:rsidRDefault="0008425F"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154E55" w:rsidRPr="001526A9">
        <w:rPr>
          <w:rFonts w:ascii="Times New Roman" w:hAnsi="Times New Roman"/>
        </w:rPr>
        <w:t xml:space="preserve">There is no inconsistency between s 321D(1) requiring as a gateway to s 321D(5) that "electoral matter" in fact be </w:t>
      </w:r>
      <w:r w:rsidR="00E92BD3" w:rsidRPr="001526A9">
        <w:rPr>
          <w:rFonts w:ascii="Times New Roman" w:hAnsi="Times New Roman"/>
        </w:rPr>
        <w:t>"</w:t>
      </w:r>
      <w:r w:rsidR="00154E55" w:rsidRPr="001526A9">
        <w:rPr>
          <w:rFonts w:ascii="Times New Roman" w:hAnsi="Times New Roman"/>
        </w:rPr>
        <w:t>communicated</w:t>
      </w:r>
      <w:r w:rsidR="00E92BD3" w:rsidRPr="001526A9">
        <w:rPr>
          <w:rFonts w:ascii="Times New Roman" w:hAnsi="Times New Roman"/>
        </w:rPr>
        <w:t>"</w:t>
      </w:r>
      <w:r w:rsidR="00154E55" w:rsidRPr="001526A9">
        <w:rPr>
          <w:rFonts w:ascii="Times New Roman" w:hAnsi="Times New Roman"/>
        </w:rPr>
        <w:t xml:space="preserve"> to a person (</w:t>
      </w:r>
      <w:r w:rsidR="00E92BD3" w:rsidRPr="001526A9">
        <w:rPr>
          <w:rFonts w:ascii="Times New Roman" w:hAnsi="Times New Roman"/>
        </w:rPr>
        <w:t>using "communicated</w:t>
      </w:r>
      <w:r w:rsidR="00345911" w:rsidRPr="001526A9">
        <w:rPr>
          <w:rFonts w:ascii="Times New Roman" w:hAnsi="Times New Roman"/>
        </w:rPr>
        <w:t>"</w:t>
      </w:r>
      <w:r w:rsidR="00E92BD3" w:rsidRPr="001526A9">
        <w:rPr>
          <w:rFonts w:ascii="Times New Roman" w:hAnsi="Times New Roman"/>
        </w:rPr>
        <w:t xml:space="preserve"> as the past </w:t>
      </w:r>
      <w:r w:rsidR="00906B5D" w:rsidRPr="001526A9">
        <w:rPr>
          <w:rFonts w:ascii="Times New Roman" w:hAnsi="Times New Roman"/>
        </w:rPr>
        <w:t>participle</w:t>
      </w:r>
      <w:r w:rsidR="00E92BD3" w:rsidRPr="001526A9">
        <w:rPr>
          <w:rFonts w:ascii="Times New Roman" w:hAnsi="Times New Roman"/>
        </w:rPr>
        <w:t xml:space="preserve"> of the verb "communicate", meaning </w:t>
      </w:r>
      <w:r w:rsidR="006A1C1A" w:rsidRPr="001526A9">
        <w:rPr>
          <w:rFonts w:ascii="Times New Roman" w:hAnsi="Times New Roman"/>
        </w:rPr>
        <w:t xml:space="preserve">imparted, transmitted, given to, conveyed to, or expressed to a person) and </w:t>
      </w:r>
      <w:r w:rsidR="006A1C1A" w:rsidRPr="001526A9">
        <w:rPr>
          <w:rFonts w:ascii="Times New Roman" w:hAnsi="Times New Roman"/>
        </w:rPr>
        <w:lastRenderedPageBreak/>
        <w:t>s 321</w:t>
      </w:r>
      <w:r w:rsidR="00EF07C6" w:rsidRPr="001526A9">
        <w:rPr>
          <w:rFonts w:ascii="Times New Roman" w:hAnsi="Times New Roman"/>
        </w:rPr>
        <w:t>D</w:t>
      </w:r>
      <w:r w:rsidR="006A1C1A" w:rsidRPr="001526A9">
        <w:rPr>
          <w:rFonts w:ascii="Times New Roman" w:hAnsi="Times New Roman"/>
        </w:rPr>
        <w:t xml:space="preserve">(5) using </w:t>
      </w:r>
      <w:r w:rsidR="008A3979" w:rsidRPr="001526A9">
        <w:rPr>
          <w:rFonts w:ascii="Times New Roman" w:hAnsi="Times New Roman"/>
        </w:rPr>
        <w:t>"</w:t>
      </w:r>
      <w:r w:rsidR="006A1C1A" w:rsidRPr="001526A9">
        <w:rPr>
          <w:rFonts w:ascii="Times New Roman" w:hAnsi="Times New Roman"/>
        </w:rPr>
        <w:t xml:space="preserve">communication" as a </w:t>
      </w:r>
      <w:r w:rsidR="00EF07C6" w:rsidRPr="001526A9">
        <w:rPr>
          <w:rFonts w:ascii="Times New Roman" w:hAnsi="Times New Roman"/>
        </w:rPr>
        <w:t>noun ("</w:t>
      </w:r>
      <w:r w:rsidR="00EF07C6" w:rsidRPr="001526A9">
        <w:rPr>
          <w:rFonts w:ascii="Times New Roman" w:hAnsi="Times New Roman"/>
          <w:i/>
          <w:iCs/>
        </w:rPr>
        <w:t>the</w:t>
      </w:r>
      <w:r w:rsidR="00EF07C6" w:rsidRPr="001526A9">
        <w:rPr>
          <w:rFonts w:ascii="Times New Roman" w:hAnsi="Times New Roman"/>
        </w:rPr>
        <w:t xml:space="preserve"> communication </w:t>
      </w:r>
      <w:r w:rsidR="00EF07C6" w:rsidRPr="001526A9">
        <w:rPr>
          <w:rFonts w:ascii="Times New Roman" w:hAnsi="Times New Roman"/>
          <w:i/>
          <w:iCs/>
        </w:rPr>
        <w:t>is</w:t>
      </w:r>
      <w:r w:rsidR="00EF07C6" w:rsidRPr="001526A9">
        <w:rPr>
          <w:rFonts w:ascii="Times New Roman" w:hAnsi="Times New Roman"/>
        </w:rPr>
        <w:t xml:space="preserve"> ...</w:t>
      </w:r>
      <w:r w:rsidR="00431887" w:rsidRPr="001526A9">
        <w:rPr>
          <w:rFonts w:ascii="Times New Roman" w:hAnsi="Times New Roman"/>
        </w:rPr>
        <w:t>")</w:t>
      </w:r>
      <w:r w:rsidR="00F407A6" w:rsidRPr="001526A9">
        <w:rPr>
          <w:rFonts w:ascii="Times New Roman" w:hAnsi="Times New Roman"/>
        </w:rPr>
        <w:t xml:space="preserve">. </w:t>
      </w:r>
      <w:r w:rsidR="0035154A" w:rsidRPr="001526A9">
        <w:rPr>
          <w:rFonts w:ascii="Times New Roman" w:hAnsi="Times New Roman"/>
        </w:rPr>
        <w:t>On this basis</w:t>
      </w:r>
      <w:r w:rsidR="00B76B8C" w:rsidRPr="001526A9">
        <w:rPr>
          <w:rFonts w:ascii="Times New Roman" w:hAnsi="Times New Roman"/>
        </w:rPr>
        <w:t>,</w:t>
      </w:r>
      <w:r w:rsidR="0035154A" w:rsidRPr="001526A9">
        <w:rPr>
          <w:rFonts w:ascii="Times New Roman" w:hAnsi="Times New Roman"/>
        </w:rPr>
        <w:t xml:space="preserve"> a po</w:t>
      </w:r>
      <w:r w:rsidR="005048A6" w:rsidRPr="001526A9">
        <w:rPr>
          <w:rFonts w:ascii="Times New Roman" w:hAnsi="Times New Roman"/>
        </w:rPr>
        <w:t>s</w:t>
      </w:r>
      <w:r w:rsidR="0035154A" w:rsidRPr="001526A9">
        <w:rPr>
          <w:rFonts w:ascii="Times New Roman" w:hAnsi="Times New Roman"/>
        </w:rPr>
        <w:t xml:space="preserve">t </w:t>
      </w:r>
      <w:r w:rsidR="005048A6" w:rsidRPr="001526A9">
        <w:rPr>
          <w:rFonts w:ascii="Times New Roman" w:hAnsi="Times New Roman"/>
        </w:rPr>
        <w:t>t</w:t>
      </w:r>
      <w:r w:rsidR="0035154A" w:rsidRPr="001526A9">
        <w:rPr>
          <w:rFonts w:ascii="Times New Roman" w:hAnsi="Times New Roman"/>
        </w:rPr>
        <w:t xml:space="preserve">o Facebook is </w:t>
      </w:r>
      <w:r w:rsidR="005048A6" w:rsidRPr="001526A9">
        <w:rPr>
          <w:rFonts w:ascii="Times New Roman" w:hAnsi="Times New Roman"/>
        </w:rPr>
        <w:t xml:space="preserve">a "communication" in the same way that a sticker or a fridge magnet is a "communication". </w:t>
      </w:r>
      <w:r w:rsidR="00BE790E" w:rsidRPr="001526A9">
        <w:rPr>
          <w:rFonts w:ascii="Times New Roman" w:hAnsi="Times New Roman"/>
        </w:rPr>
        <w:t xml:space="preserve">The contravention in respect of each such "communication" is </w:t>
      </w:r>
      <w:r w:rsidR="00B76B8C" w:rsidRPr="001526A9">
        <w:rPr>
          <w:rFonts w:ascii="Times New Roman" w:hAnsi="Times New Roman"/>
        </w:rPr>
        <w:t xml:space="preserve">failing to </w:t>
      </w:r>
      <w:r w:rsidR="00AB10E0" w:rsidRPr="001526A9">
        <w:rPr>
          <w:rFonts w:ascii="Times New Roman" w:hAnsi="Times New Roman"/>
        </w:rPr>
        <w:t>notify</w:t>
      </w:r>
      <w:r w:rsidR="00BE790E" w:rsidRPr="001526A9">
        <w:rPr>
          <w:rFonts w:ascii="Times New Roman" w:hAnsi="Times New Roman"/>
        </w:rPr>
        <w:t xml:space="preserve"> the </w:t>
      </w:r>
      <w:r w:rsidR="00AB10E0" w:rsidRPr="001526A9">
        <w:rPr>
          <w:rFonts w:ascii="Times New Roman" w:hAnsi="Times New Roman"/>
        </w:rPr>
        <w:t>particulars</w:t>
      </w:r>
      <w:r w:rsidR="00BE790E" w:rsidRPr="001526A9">
        <w:rPr>
          <w:rFonts w:ascii="Times New Roman" w:hAnsi="Times New Roman"/>
        </w:rPr>
        <w:t xml:space="preserve"> s</w:t>
      </w:r>
      <w:r w:rsidR="00AB10E0" w:rsidRPr="001526A9">
        <w:rPr>
          <w:rFonts w:ascii="Times New Roman" w:hAnsi="Times New Roman"/>
        </w:rPr>
        <w:t>e</w:t>
      </w:r>
      <w:r w:rsidR="00BE790E" w:rsidRPr="001526A9">
        <w:rPr>
          <w:rFonts w:ascii="Times New Roman" w:hAnsi="Times New Roman"/>
        </w:rPr>
        <w:t>t out in the table to s 321</w:t>
      </w:r>
      <w:proofErr w:type="gramStart"/>
      <w:r w:rsidR="00BE790E" w:rsidRPr="001526A9">
        <w:rPr>
          <w:rFonts w:ascii="Times New Roman" w:hAnsi="Times New Roman"/>
        </w:rPr>
        <w:t>D(</w:t>
      </w:r>
      <w:proofErr w:type="gramEnd"/>
      <w:r w:rsidR="00BE790E" w:rsidRPr="001526A9">
        <w:rPr>
          <w:rFonts w:ascii="Times New Roman" w:hAnsi="Times New Roman"/>
        </w:rPr>
        <w:t xml:space="preserve">5) in accordance with the </w:t>
      </w:r>
      <w:r w:rsidR="00AB10E0" w:rsidRPr="001526A9">
        <w:rPr>
          <w:rFonts w:ascii="Times New Roman" w:hAnsi="Times New Roman"/>
        </w:rPr>
        <w:t>requirements determined in accordance with a legislative instrument under s 321D(7)</w:t>
      </w:r>
      <w:r w:rsidR="000768DF" w:rsidRPr="001526A9">
        <w:rPr>
          <w:rFonts w:ascii="Times New Roman" w:hAnsi="Times New Roman"/>
        </w:rPr>
        <w:t>(b)(</w:t>
      </w:r>
      <w:proofErr w:type="spellStart"/>
      <w:r w:rsidR="000768DF" w:rsidRPr="001526A9">
        <w:rPr>
          <w:rFonts w:ascii="Times New Roman" w:hAnsi="Times New Roman"/>
        </w:rPr>
        <w:t>i</w:t>
      </w:r>
      <w:proofErr w:type="spellEnd"/>
      <w:r w:rsidR="000768DF" w:rsidRPr="001526A9">
        <w:rPr>
          <w:rFonts w:ascii="Times New Roman" w:hAnsi="Times New Roman"/>
        </w:rPr>
        <w:t>)</w:t>
      </w:r>
      <w:r w:rsidR="00AB10E0" w:rsidRPr="001526A9">
        <w:rPr>
          <w:rFonts w:ascii="Times New Roman" w:hAnsi="Times New Roman"/>
        </w:rPr>
        <w:t>. Nothing in s 321</w:t>
      </w:r>
      <w:proofErr w:type="gramStart"/>
      <w:r w:rsidR="00AB10E0" w:rsidRPr="001526A9">
        <w:rPr>
          <w:rFonts w:ascii="Times New Roman" w:hAnsi="Times New Roman"/>
        </w:rPr>
        <w:t>D(</w:t>
      </w:r>
      <w:proofErr w:type="gramEnd"/>
      <w:r w:rsidR="00AB10E0" w:rsidRPr="001526A9">
        <w:rPr>
          <w:rFonts w:ascii="Times New Roman" w:hAnsi="Times New Roman"/>
        </w:rPr>
        <w:t>5)</w:t>
      </w:r>
      <w:r w:rsidR="004B1AEB" w:rsidRPr="001526A9">
        <w:rPr>
          <w:rFonts w:ascii="Times New Roman" w:hAnsi="Times New Roman"/>
        </w:rPr>
        <w:t>, however, involves the "communication" in fact having been "communicated to</w:t>
      </w:r>
      <w:r w:rsidR="00607097" w:rsidRPr="001526A9">
        <w:rPr>
          <w:rFonts w:ascii="Times New Roman" w:hAnsi="Times New Roman"/>
        </w:rPr>
        <w:t>"</w:t>
      </w:r>
      <w:r w:rsidR="004B1AEB" w:rsidRPr="001526A9">
        <w:rPr>
          <w:rFonts w:ascii="Times New Roman" w:hAnsi="Times New Roman"/>
        </w:rPr>
        <w:t xml:space="preserve"> </w:t>
      </w:r>
      <w:r w:rsidR="00607097" w:rsidRPr="001526A9">
        <w:rPr>
          <w:rFonts w:ascii="Times New Roman" w:hAnsi="Times New Roman"/>
        </w:rPr>
        <w:t xml:space="preserve">a person </w:t>
      </w:r>
      <w:r w:rsidR="004B1AEB" w:rsidRPr="001526A9">
        <w:rPr>
          <w:rFonts w:ascii="Times New Roman" w:hAnsi="Times New Roman"/>
        </w:rPr>
        <w:t>(in the sense of imparted, transmitted, given to, conveyed to, or expressed to a person)</w:t>
      </w:r>
      <w:r w:rsidR="00B76B8C" w:rsidRPr="001526A9">
        <w:rPr>
          <w:rFonts w:ascii="Times New Roman" w:hAnsi="Times New Roman"/>
        </w:rPr>
        <w:t>, as that required fact or circumstance must have already occurred to satisfy s 321D(1)</w:t>
      </w:r>
      <w:r w:rsidR="00607097" w:rsidRPr="001526A9">
        <w:rPr>
          <w:rFonts w:ascii="Times New Roman" w:hAnsi="Times New Roman"/>
        </w:rPr>
        <w:t>.</w:t>
      </w:r>
    </w:p>
    <w:p w14:paraId="22C952AE" w14:textId="4AF7A1D3" w:rsidR="00C0164D" w:rsidRPr="001526A9" w:rsidRDefault="005A7D65"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C0164D" w:rsidRPr="001526A9">
        <w:rPr>
          <w:rFonts w:ascii="Times New Roman" w:hAnsi="Times New Roman"/>
        </w:rPr>
        <w:t>It is not to the point that "electoral matter" is defined in s 4</w:t>
      </w:r>
      <w:proofErr w:type="gramStart"/>
      <w:r w:rsidR="00C0164D" w:rsidRPr="001526A9">
        <w:rPr>
          <w:rFonts w:ascii="Times New Roman" w:hAnsi="Times New Roman"/>
        </w:rPr>
        <w:t>AA(</w:t>
      </w:r>
      <w:proofErr w:type="gramEnd"/>
      <w:r w:rsidR="00C0164D" w:rsidRPr="001526A9">
        <w:rPr>
          <w:rFonts w:ascii="Times New Roman" w:hAnsi="Times New Roman"/>
        </w:rPr>
        <w:t>1) to mean matter communicated or intended to be communicated for a specified dominant purpose. Nor does it matter that s 4</w:t>
      </w:r>
      <w:proofErr w:type="gramStart"/>
      <w:r w:rsidR="00C0164D" w:rsidRPr="001526A9">
        <w:rPr>
          <w:rFonts w:ascii="Times New Roman" w:hAnsi="Times New Roman"/>
        </w:rPr>
        <w:t>AA(</w:t>
      </w:r>
      <w:proofErr w:type="gramEnd"/>
      <w:r w:rsidR="00C0164D" w:rsidRPr="001526A9">
        <w:rPr>
          <w:rFonts w:ascii="Times New Roman" w:hAnsi="Times New Roman"/>
        </w:rPr>
        <w:t>2) provides that, for the purposes of s 4AA(1), "each creation, recreation, communication or recommunication of matter is to be treated separately for the purposes of determining whether matter is electoral matter</w:t>
      </w:r>
      <w:r w:rsidR="00083FEF" w:rsidRPr="001526A9">
        <w:rPr>
          <w:rFonts w:ascii="Times New Roman" w:hAnsi="Times New Roman"/>
        </w:rPr>
        <w:t>"</w:t>
      </w:r>
      <w:r w:rsidR="00C0164D" w:rsidRPr="001526A9">
        <w:rPr>
          <w:rFonts w:ascii="Times New Roman" w:hAnsi="Times New Roman"/>
        </w:rPr>
        <w:t>. These provisions operate only for the relevant purpose of identifying whether a particular matter communicated or intended to be communicated is "electoral matter" within the meaning of s 321</w:t>
      </w:r>
      <w:proofErr w:type="gramStart"/>
      <w:r w:rsidR="00C0164D" w:rsidRPr="001526A9">
        <w:rPr>
          <w:rFonts w:ascii="Times New Roman" w:hAnsi="Times New Roman"/>
        </w:rPr>
        <w:t>D(</w:t>
      </w:r>
      <w:proofErr w:type="gramEnd"/>
      <w:r w:rsidR="00C0164D" w:rsidRPr="001526A9">
        <w:rPr>
          <w:rFonts w:ascii="Times New Roman" w:hAnsi="Times New Roman"/>
        </w:rPr>
        <w:t xml:space="preserve">1). </w:t>
      </w:r>
    </w:p>
    <w:p w14:paraId="2F6BEA44" w14:textId="19080574" w:rsidR="00F2659C" w:rsidRPr="001526A9" w:rsidRDefault="00B25910"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171FD6" w:rsidRPr="001526A9">
        <w:rPr>
          <w:rFonts w:ascii="Times New Roman" w:hAnsi="Times New Roman"/>
        </w:rPr>
        <w:t xml:space="preserve">Neither s 15AA </w:t>
      </w:r>
      <w:r w:rsidR="0095345F" w:rsidRPr="001526A9">
        <w:rPr>
          <w:rFonts w:ascii="Times New Roman" w:hAnsi="Times New Roman"/>
        </w:rPr>
        <w:t>n</w:t>
      </w:r>
      <w:r w:rsidR="00171FD6" w:rsidRPr="001526A9">
        <w:rPr>
          <w:rFonts w:ascii="Times New Roman" w:hAnsi="Times New Roman"/>
        </w:rPr>
        <w:t>or s 23</w:t>
      </w:r>
      <w:r w:rsidR="00142B15" w:rsidRPr="001526A9">
        <w:rPr>
          <w:rFonts w:ascii="Times New Roman" w:hAnsi="Times New Roman"/>
        </w:rPr>
        <w:t xml:space="preserve">(b) of the </w:t>
      </w:r>
      <w:r w:rsidR="00142B15" w:rsidRPr="001526A9">
        <w:rPr>
          <w:rFonts w:ascii="Times New Roman" w:hAnsi="Times New Roman"/>
          <w:i/>
          <w:iCs/>
        </w:rPr>
        <w:t>Acts Interpretation Act 1901</w:t>
      </w:r>
      <w:r w:rsidR="00142B15" w:rsidRPr="001526A9">
        <w:rPr>
          <w:rFonts w:ascii="Times New Roman" w:hAnsi="Times New Roman"/>
        </w:rPr>
        <w:t xml:space="preserve"> (</w:t>
      </w:r>
      <w:proofErr w:type="spellStart"/>
      <w:r w:rsidR="00142B15" w:rsidRPr="001526A9">
        <w:rPr>
          <w:rFonts w:ascii="Times New Roman" w:hAnsi="Times New Roman"/>
        </w:rPr>
        <w:t>Cth</w:t>
      </w:r>
      <w:proofErr w:type="spellEnd"/>
      <w:r w:rsidR="00142B15" w:rsidRPr="001526A9">
        <w:rPr>
          <w:rFonts w:ascii="Times New Roman" w:hAnsi="Times New Roman"/>
        </w:rPr>
        <w:t xml:space="preserve">) assist the </w:t>
      </w:r>
      <w:r w:rsidR="00490C55" w:rsidRPr="001526A9">
        <w:rPr>
          <w:rFonts w:ascii="Times New Roman" w:hAnsi="Times New Roman"/>
        </w:rPr>
        <w:t>respondent's construction</w:t>
      </w:r>
      <w:r w:rsidR="00142B15" w:rsidRPr="001526A9">
        <w:rPr>
          <w:rFonts w:ascii="Times New Roman" w:hAnsi="Times New Roman"/>
        </w:rPr>
        <w:t>.</w:t>
      </w:r>
    </w:p>
    <w:p w14:paraId="16ED1319" w14:textId="05110D33" w:rsidR="00171FD6" w:rsidRPr="001526A9" w:rsidRDefault="00F2659C"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5B0551" w:rsidRPr="001526A9">
        <w:rPr>
          <w:rFonts w:ascii="Times New Roman" w:hAnsi="Times New Roman"/>
        </w:rPr>
        <w:t>By s 15A</w:t>
      </w:r>
      <w:r w:rsidR="00EF752D" w:rsidRPr="001526A9">
        <w:rPr>
          <w:rFonts w:ascii="Times New Roman" w:hAnsi="Times New Roman"/>
        </w:rPr>
        <w:t>A</w:t>
      </w:r>
      <w:r w:rsidR="005B0551" w:rsidRPr="001526A9">
        <w:rPr>
          <w:rFonts w:ascii="Times New Roman" w:hAnsi="Times New Roman"/>
        </w:rPr>
        <w:t xml:space="preserve"> </w:t>
      </w:r>
      <w:r w:rsidR="004325FC" w:rsidRPr="001526A9">
        <w:rPr>
          <w:rFonts w:ascii="Times New Roman" w:hAnsi="Times New Roman"/>
        </w:rPr>
        <w:t xml:space="preserve">of the </w:t>
      </w:r>
      <w:r w:rsidRPr="001526A9">
        <w:rPr>
          <w:rFonts w:ascii="Times New Roman" w:hAnsi="Times New Roman"/>
          <w:i/>
          <w:iCs/>
        </w:rPr>
        <w:t>Acts Interpretation Act</w:t>
      </w:r>
      <w:r w:rsidR="00E30523" w:rsidRPr="001526A9">
        <w:rPr>
          <w:rFonts w:ascii="Times New Roman" w:hAnsi="Times New Roman"/>
        </w:rPr>
        <w:t>,</w:t>
      </w:r>
      <w:r w:rsidRPr="001526A9">
        <w:rPr>
          <w:rFonts w:ascii="Times New Roman" w:hAnsi="Times New Roman"/>
          <w:i/>
          <w:iCs/>
        </w:rPr>
        <w:t xml:space="preserve"> </w:t>
      </w:r>
      <w:r w:rsidR="005B0551" w:rsidRPr="001526A9">
        <w:rPr>
          <w:rFonts w:ascii="Times New Roman" w:hAnsi="Times New Roman"/>
        </w:rPr>
        <w:t xml:space="preserve">in </w:t>
      </w:r>
      <w:r w:rsidR="00D714F8" w:rsidRPr="001526A9">
        <w:rPr>
          <w:rFonts w:ascii="Times New Roman" w:hAnsi="Times New Roman"/>
        </w:rPr>
        <w:t>"interpreting a provision of an Act, the interpretation that would best achieve the purpose or object of the Act (whether or not that purpose or object is expressly stated in the Act) is to be preferred to each other interpretation</w:t>
      </w:r>
      <w:r w:rsidR="00F319AB" w:rsidRPr="001526A9">
        <w:rPr>
          <w:rFonts w:ascii="Times New Roman" w:hAnsi="Times New Roman"/>
        </w:rPr>
        <w:t>"</w:t>
      </w:r>
      <w:r w:rsidR="00D714F8" w:rsidRPr="001526A9">
        <w:rPr>
          <w:rFonts w:ascii="Times New Roman" w:hAnsi="Times New Roman"/>
        </w:rPr>
        <w:t>. As explained, however, the expressly stated objects of s</w:t>
      </w:r>
      <w:r w:rsidR="00E0299F" w:rsidRPr="001526A9">
        <w:rPr>
          <w:rFonts w:ascii="Times New Roman" w:hAnsi="Times New Roman"/>
        </w:rPr>
        <w:t> </w:t>
      </w:r>
      <w:r w:rsidR="00D714F8" w:rsidRPr="001526A9">
        <w:rPr>
          <w:rFonts w:ascii="Times New Roman" w:hAnsi="Times New Roman"/>
        </w:rPr>
        <w:t>321D do not exist in a vacuum, as s 321</w:t>
      </w:r>
      <w:proofErr w:type="gramStart"/>
      <w:r w:rsidR="00D714F8" w:rsidRPr="001526A9">
        <w:rPr>
          <w:rFonts w:ascii="Times New Roman" w:hAnsi="Times New Roman"/>
        </w:rPr>
        <w:t>C</w:t>
      </w:r>
      <w:r w:rsidR="00C0164D" w:rsidRPr="001526A9">
        <w:rPr>
          <w:rFonts w:ascii="Times New Roman" w:hAnsi="Times New Roman"/>
        </w:rPr>
        <w:t>(</w:t>
      </w:r>
      <w:proofErr w:type="gramEnd"/>
      <w:r w:rsidR="00C0164D" w:rsidRPr="001526A9">
        <w:rPr>
          <w:rFonts w:ascii="Times New Roman" w:hAnsi="Times New Roman"/>
        </w:rPr>
        <w:t xml:space="preserve">2) and </w:t>
      </w:r>
      <w:r w:rsidR="00D714F8" w:rsidRPr="001526A9">
        <w:rPr>
          <w:rFonts w:ascii="Times New Roman" w:hAnsi="Times New Roman"/>
        </w:rPr>
        <w:t xml:space="preserve">(3) expose. The assumption that the provisions seek to achieve their expressly stated objects at any price is </w:t>
      </w:r>
      <w:r w:rsidRPr="001526A9">
        <w:rPr>
          <w:rFonts w:ascii="Times New Roman" w:hAnsi="Times New Roman"/>
        </w:rPr>
        <w:t>particularly inapt for these provisions.</w:t>
      </w:r>
    </w:p>
    <w:p w14:paraId="5EF6A143" w14:textId="397CE91A" w:rsidR="00986000" w:rsidRPr="001526A9" w:rsidRDefault="00F2659C" w:rsidP="001526A9">
      <w:pPr>
        <w:pStyle w:val="FixListStyle"/>
        <w:spacing w:after="260" w:line="280" w:lineRule="exact"/>
        <w:ind w:right="0"/>
        <w:jc w:val="both"/>
        <w:rPr>
          <w:rFonts w:ascii="Times New Roman" w:hAnsi="Times New Roman"/>
        </w:rPr>
      </w:pPr>
      <w:r w:rsidRPr="001526A9">
        <w:rPr>
          <w:rFonts w:ascii="Times New Roman" w:hAnsi="Times New Roman"/>
        </w:rPr>
        <w:tab/>
        <w:t xml:space="preserve">By s 23(b) of the </w:t>
      </w:r>
      <w:r w:rsidRPr="001526A9">
        <w:rPr>
          <w:rFonts w:ascii="Times New Roman" w:hAnsi="Times New Roman"/>
          <w:i/>
          <w:iCs/>
        </w:rPr>
        <w:t>Acts Interpretation Act</w:t>
      </w:r>
      <w:r w:rsidRPr="001526A9">
        <w:rPr>
          <w:rFonts w:ascii="Times New Roman" w:hAnsi="Times New Roman"/>
        </w:rPr>
        <w:t xml:space="preserve"> </w:t>
      </w:r>
      <w:r w:rsidR="002C0D36" w:rsidRPr="001526A9">
        <w:rPr>
          <w:rFonts w:ascii="Times New Roman" w:hAnsi="Times New Roman"/>
        </w:rPr>
        <w:t>"words in the singular number include the plural and words in the plural number include the singular"</w:t>
      </w:r>
      <w:r w:rsidR="00906EFF" w:rsidRPr="001526A9">
        <w:rPr>
          <w:rFonts w:ascii="Times New Roman" w:hAnsi="Times New Roman"/>
        </w:rPr>
        <w:t>. Accordingly, it would be open to read "a person" in s 321</w:t>
      </w:r>
      <w:proofErr w:type="gramStart"/>
      <w:r w:rsidR="00906EFF" w:rsidRPr="001526A9">
        <w:rPr>
          <w:rFonts w:ascii="Times New Roman" w:hAnsi="Times New Roman"/>
        </w:rPr>
        <w:t>D(</w:t>
      </w:r>
      <w:proofErr w:type="gramEnd"/>
      <w:r w:rsidR="00906EFF" w:rsidRPr="001526A9">
        <w:rPr>
          <w:rFonts w:ascii="Times New Roman" w:hAnsi="Times New Roman"/>
        </w:rPr>
        <w:t>1) as "persons". That, however, would not be material to the construction of s 321</w:t>
      </w:r>
      <w:proofErr w:type="gramStart"/>
      <w:r w:rsidR="00906EFF" w:rsidRPr="001526A9">
        <w:rPr>
          <w:rFonts w:ascii="Times New Roman" w:hAnsi="Times New Roman"/>
        </w:rPr>
        <w:t>D(</w:t>
      </w:r>
      <w:proofErr w:type="gramEnd"/>
      <w:r w:rsidR="00906EFF" w:rsidRPr="001526A9">
        <w:rPr>
          <w:rFonts w:ascii="Times New Roman" w:hAnsi="Times New Roman"/>
        </w:rPr>
        <w:t xml:space="preserve">5) because, even if s 321D(1) referred to </w:t>
      </w:r>
      <w:r w:rsidR="00F302CD" w:rsidRPr="001526A9">
        <w:rPr>
          <w:rFonts w:ascii="Times New Roman" w:hAnsi="Times New Roman"/>
        </w:rPr>
        <w:t xml:space="preserve">"persons", the plural would include the singular (person) so </w:t>
      </w:r>
      <w:r w:rsidR="005C48E5" w:rsidRPr="001526A9">
        <w:rPr>
          <w:rFonts w:ascii="Times New Roman" w:hAnsi="Times New Roman"/>
        </w:rPr>
        <w:t xml:space="preserve">that </w:t>
      </w:r>
      <w:r w:rsidR="00F302CD" w:rsidRPr="001526A9">
        <w:rPr>
          <w:rFonts w:ascii="Times New Roman" w:hAnsi="Times New Roman"/>
        </w:rPr>
        <w:t xml:space="preserve">s 321D(1) would be satisfied by a communication to a single person in any event. </w:t>
      </w:r>
      <w:r w:rsidR="005C48E5" w:rsidRPr="001526A9">
        <w:rPr>
          <w:rFonts w:ascii="Times New Roman" w:hAnsi="Times New Roman"/>
        </w:rPr>
        <w:t>T</w:t>
      </w:r>
      <w:r w:rsidR="00F302CD" w:rsidRPr="001526A9">
        <w:rPr>
          <w:rFonts w:ascii="Times New Roman" w:hAnsi="Times New Roman"/>
        </w:rPr>
        <w:t>he key to understanding s 321</w:t>
      </w:r>
      <w:proofErr w:type="gramStart"/>
      <w:r w:rsidR="001C3F9B" w:rsidRPr="001526A9">
        <w:rPr>
          <w:rFonts w:ascii="Times New Roman" w:hAnsi="Times New Roman"/>
        </w:rPr>
        <w:t>D</w:t>
      </w:r>
      <w:r w:rsidR="00F302CD" w:rsidRPr="001526A9">
        <w:rPr>
          <w:rFonts w:ascii="Times New Roman" w:hAnsi="Times New Roman"/>
        </w:rPr>
        <w:t>(</w:t>
      </w:r>
      <w:proofErr w:type="gramEnd"/>
      <w:r w:rsidR="00F302CD" w:rsidRPr="001526A9">
        <w:rPr>
          <w:rFonts w:ascii="Times New Roman" w:hAnsi="Times New Roman"/>
        </w:rPr>
        <w:t>1), as noted, is that it is the gateway, and its requirements must be satisfied, before s 321D(5) applies. And the key to s 321</w:t>
      </w:r>
      <w:proofErr w:type="gramStart"/>
      <w:r w:rsidR="00F302CD" w:rsidRPr="001526A9">
        <w:rPr>
          <w:rFonts w:ascii="Times New Roman" w:hAnsi="Times New Roman"/>
        </w:rPr>
        <w:t>D(</w:t>
      </w:r>
      <w:proofErr w:type="gramEnd"/>
      <w:r w:rsidR="00F302CD" w:rsidRPr="001526A9">
        <w:rPr>
          <w:rFonts w:ascii="Times New Roman" w:hAnsi="Times New Roman"/>
        </w:rPr>
        <w:t>5) is that its focus is the fact of non-compliance by non-notification of the particulars, not the fact of communication.</w:t>
      </w:r>
    </w:p>
    <w:p w14:paraId="5FF62B03" w14:textId="6B926280" w:rsidR="005F1038" w:rsidRPr="001526A9" w:rsidRDefault="004D59C7" w:rsidP="001526A9">
      <w:pPr>
        <w:pStyle w:val="HeadingL1"/>
        <w:spacing w:after="260" w:line="280" w:lineRule="exact"/>
        <w:ind w:right="0"/>
        <w:jc w:val="both"/>
        <w:rPr>
          <w:rFonts w:ascii="Times New Roman" w:hAnsi="Times New Roman"/>
        </w:rPr>
      </w:pPr>
      <w:r w:rsidRPr="001526A9">
        <w:rPr>
          <w:rFonts w:ascii="Times New Roman" w:hAnsi="Times New Roman"/>
        </w:rPr>
        <w:lastRenderedPageBreak/>
        <w:t>Conclusion and orders</w:t>
      </w:r>
    </w:p>
    <w:p w14:paraId="62B3A2C5" w14:textId="77777777" w:rsidR="0012516B" w:rsidRDefault="004D59C7" w:rsidP="001526A9">
      <w:pPr>
        <w:pStyle w:val="FixListStyle"/>
        <w:spacing w:after="260" w:line="280" w:lineRule="exact"/>
        <w:ind w:right="0"/>
        <w:jc w:val="both"/>
        <w:rPr>
          <w:rFonts w:ascii="Times New Roman" w:hAnsi="Times New Roman"/>
        </w:rPr>
      </w:pPr>
      <w:r w:rsidRPr="001526A9">
        <w:rPr>
          <w:rFonts w:ascii="Times New Roman" w:hAnsi="Times New Roman"/>
        </w:rPr>
        <w:tab/>
      </w:r>
      <w:r w:rsidR="00555E69" w:rsidRPr="001526A9">
        <w:rPr>
          <w:rFonts w:ascii="Times New Roman" w:hAnsi="Times New Roman"/>
        </w:rPr>
        <w:t xml:space="preserve">For these reasons, the Full Court erred in its construction of </w:t>
      </w:r>
      <w:r w:rsidR="0091399C" w:rsidRPr="001526A9">
        <w:rPr>
          <w:rFonts w:ascii="Times New Roman" w:hAnsi="Times New Roman"/>
        </w:rPr>
        <w:t>s 321</w:t>
      </w:r>
      <w:proofErr w:type="gramStart"/>
      <w:r w:rsidR="0091399C" w:rsidRPr="001526A9">
        <w:rPr>
          <w:rFonts w:ascii="Times New Roman" w:hAnsi="Times New Roman"/>
        </w:rPr>
        <w:t>D(</w:t>
      </w:r>
      <w:proofErr w:type="gramEnd"/>
      <w:r w:rsidR="0091399C" w:rsidRPr="001526A9">
        <w:rPr>
          <w:rFonts w:ascii="Times New Roman" w:hAnsi="Times New Roman"/>
        </w:rPr>
        <w:t xml:space="preserve">5) of the </w:t>
      </w:r>
      <w:r w:rsidR="0091399C" w:rsidRPr="001526A9">
        <w:rPr>
          <w:rFonts w:ascii="Times New Roman" w:hAnsi="Times New Roman"/>
          <w:i/>
          <w:iCs/>
        </w:rPr>
        <w:t>Commonwealth Electoral Act</w:t>
      </w:r>
      <w:r w:rsidR="0091399C" w:rsidRPr="001526A9">
        <w:rPr>
          <w:rFonts w:ascii="Times New Roman" w:hAnsi="Times New Roman"/>
        </w:rPr>
        <w:t xml:space="preserve">. </w:t>
      </w:r>
      <w:r w:rsidR="001E3FBB" w:rsidRPr="001526A9">
        <w:rPr>
          <w:rFonts w:ascii="Times New Roman" w:hAnsi="Times New Roman"/>
        </w:rPr>
        <w:t>T</w:t>
      </w:r>
      <w:r w:rsidR="0091399C" w:rsidRPr="001526A9">
        <w:rPr>
          <w:rFonts w:ascii="Times New Roman" w:hAnsi="Times New Roman"/>
        </w:rPr>
        <w:t xml:space="preserve">he primary judge's </w:t>
      </w:r>
      <w:r w:rsidR="001E3FBB" w:rsidRPr="001526A9">
        <w:rPr>
          <w:rFonts w:ascii="Times New Roman" w:hAnsi="Times New Roman"/>
        </w:rPr>
        <w:t>construction</w:t>
      </w:r>
      <w:r w:rsidR="0091399C" w:rsidRPr="001526A9">
        <w:rPr>
          <w:rFonts w:ascii="Times New Roman" w:hAnsi="Times New Roman"/>
        </w:rPr>
        <w:t xml:space="preserve"> was correc</w:t>
      </w:r>
      <w:r w:rsidR="001E3FBB" w:rsidRPr="001526A9">
        <w:rPr>
          <w:rFonts w:ascii="Times New Roman" w:hAnsi="Times New Roman"/>
        </w:rPr>
        <w:t xml:space="preserve">t. Accordingly, </w:t>
      </w:r>
      <w:r w:rsidR="00E272A1" w:rsidRPr="001526A9">
        <w:rPr>
          <w:rFonts w:ascii="Times New Roman" w:hAnsi="Times New Roman"/>
        </w:rPr>
        <w:t xml:space="preserve">as sought by the appellant, </w:t>
      </w:r>
      <w:r w:rsidR="001E3FBB" w:rsidRPr="001526A9">
        <w:rPr>
          <w:rFonts w:ascii="Times New Roman" w:hAnsi="Times New Roman"/>
        </w:rPr>
        <w:t xml:space="preserve">the appeal must be allowed, </w:t>
      </w:r>
      <w:r w:rsidR="00552FBD" w:rsidRPr="001526A9">
        <w:rPr>
          <w:rFonts w:ascii="Times New Roman" w:hAnsi="Times New Roman"/>
        </w:rPr>
        <w:t xml:space="preserve">orders </w:t>
      </w:r>
      <w:r w:rsidR="00510568" w:rsidRPr="001526A9">
        <w:rPr>
          <w:rFonts w:ascii="Times New Roman" w:hAnsi="Times New Roman"/>
        </w:rPr>
        <w:t xml:space="preserve">1 and 4-6 </w:t>
      </w:r>
      <w:r w:rsidR="00552FBD" w:rsidRPr="001526A9">
        <w:rPr>
          <w:rFonts w:ascii="Times New Roman" w:hAnsi="Times New Roman"/>
        </w:rPr>
        <w:t xml:space="preserve">made by the Full </w:t>
      </w:r>
      <w:r w:rsidR="00510568" w:rsidRPr="001526A9">
        <w:rPr>
          <w:rFonts w:ascii="Times New Roman" w:hAnsi="Times New Roman"/>
        </w:rPr>
        <w:t>Court</w:t>
      </w:r>
      <w:r w:rsidR="00552FBD" w:rsidRPr="001526A9">
        <w:rPr>
          <w:rFonts w:ascii="Times New Roman" w:hAnsi="Times New Roman"/>
        </w:rPr>
        <w:t xml:space="preserve"> </w:t>
      </w:r>
      <w:r w:rsidR="00956EA5" w:rsidRPr="001526A9">
        <w:rPr>
          <w:rFonts w:ascii="Times New Roman" w:hAnsi="Times New Roman"/>
        </w:rPr>
        <w:t xml:space="preserve">on </w:t>
      </w:r>
      <w:r w:rsidR="00552FBD" w:rsidRPr="001526A9">
        <w:rPr>
          <w:rFonts w:ascii="Times New Roman" w:hAnsi="Times New Roman"/>
        </w:rPr>
        <w:t>23 August 20</w:t>
      </w:r>
      <w:r w:rsidR="00BF1B4A" w:rsidRPr="001526A9">
        <w:rPr>
          <w:rFonts w:ascii="Times New Roman" w:hAnsi="Times New Roman"/>
        </w:rPr>
        <w:t>2</w:t>
      </w:r>
      <w:r w:rsidR="00B94CCD" w:rsidRPr="001526A9">
        <w:rPr>
          <w:rFonts w:ascii="Times New Roman" w:hAnsi="Times New Roman"/>
        </w:rPr>
        <w:t>4</w:t>
      </w:r>
      <w:r w:rsidR="00552FBD" w:rsidRPr="001526A9">
        <w:rPr>
          <w:rFonts w:ascii="Times New Roman" w:hAnsi="Times New Roman"/>
        </w:rPr>
        <w:t xml:space="preserve"> must be set aside, and </w:t>
      </w:r>
      <w:r w:rsidR="00BE375D" w:rsidRPr="001526A9">
        <w:rPr>
          <w:rFonts w:ascii="Times New Roman" w:hAnsi="Times New Roman"/>
        </w:rPr>
        <w:t xml:space="preserve">in their </w:t>
      </w:r>
      <w:proofErr w:type="gramStart"/>
      <w:r w:rsidR="00BE375D" w:rsidRPr="001526A9">
        <w:rPr>
          <w:rFonts w:ascii="Times New Roman" w:hAnsi="Times New Roman"/>
        </w:rPr>
        <w:t>place</w:t>
      </w:r>
      <w:proofErr w:type="gramEnd"/>
      <w:r w:rsidR="00BE375D" w:rsidRPr="001526A9">
        <w:rPr>
          <w:rFonts w:ascii="Times New Roman" w:hAnsi="Times New Roman"/>
        </w:rPr>
        <w:t xml:space="preserve"> it be ordered that the appeal be dismissed. In respect of costs, </w:t>
      </w:r>
      <w:r w:rsidR="00815D20" w:rsidRPr="001526A9">
        <w:rPr>
          <w:rFonts w:ascii="Times New Roman" w:hAnsi="Times New Roman"/>
        </w:rPr>
        <w:t xml:space="preserve">it is necessary to set aside the </w:t>
      </w:r>
      <w:r w:rsidR="00956EA5" w:rsidRPr="001526A9">
        <w:rPr>
          <w:rFonts w:ascii="Times New Roman" w:hAnsi="Times New Roman"/>
        </w:rPr>
        <w:t xml:space="preserve">order made by the Full Court on </w:t>
      </w:r>
      <w:r w:rsidR="00E272A1" w:rsidRPr="001526A9">
        <w:rPr>
          <w:rFonts w:ascii="Times New Roman" w:hAnsi="Times New Roman"/>
        </w:rPr>
        <w:t>8 October 20</w:t>
      </w:r>
      <w:r w:rsidR="00B94CCD" w:rsidRPr="001526A9">
        <w:rPr>
          <w:rFonts w:ascii="Times New Roman" w:hAnsi="Times New Roman"/>
        </w:rPr>
        <w:t>24</w:t>
      </w:r>
      <w:r w:rsidR="00E272A1" w:rsidRPr="001526A9">
        <w:rPr>
          <w:rFonts w:ascii="Times New Roman" w:hAnsi="Times New Roman"/>
        </w:rPr>
        <w:t xml:space="preserve"> and in its place order that </w:t>
      </w:r>
      <w:r w:rsidR="00BD0FA9" w:rsidRPr="001526A9">
        <w:rPr>
          <w:rFonts w:ascii="Times New Roman" w:hAnsi="Times New Roman"/>
        </w:rPr>
        <w:t>each party pay their own costs of the appeal</w:t>
      </w:r>
      <w:r w:rsidR="00113F00" w:rsidRPr="001526A9">
        <w:rPr>
          <w:rFonts w:ascii="Times New Roman" w:hAnsi="Times New Roman"/>
        </w:rPr>
        <w:t>, the cross</w:t>
      </w:r>
      <w:r w:rsidR="00F00A36" w:rsidRPr="001526A9">
        <w:rPr>
          <w:rFonts w:ascii="Times New Roman" w:hAnsi="Times New Roman"/>
        </w:rPr>
        <w:t>-</w:t>
      </w:r>
      <w:r w:rsidR="00113F00" w:rsidRPr="001526A9">
        <w:rPr>
          <w:rFonts w:ascii="Times New Roman" w:hAnsi="Times New Roman"/>
        </w:rPr>
        <w:t xml:space="preserve">appeal and </w:t>
      </w:r>
      <w:r w:rsidR="00A26FFB" w:rsidRPr="001526A9">
        <w:rPr>
          <w:rFonts w:ascii="Times New Roman" w:hAnsi="Times New Roman"/>
        </w:rPr>
        <w:t>the notice of contention before</w:t>
      </w:r>
      <w:r w:rsidR="00BD0FA9" w:rsidRPr="001526A9">
        <w:rPr>
          <w:rFonts w:ascii="Times New Roman" w:hAnsi="Times New Roman"/>
        </w:rPr>
        <w:t xml:space="preserve"> the Full Court. The respondent is to pay the appellant's costs of </w:t>
      </w:r>
      <w:r w:rsidR="0019595D" w:rsidRPr="001526A9">
        <w:rPr>
          <w:rFonts w:ascii="Times New Roman" w:hAnsi="Times New Roman"/>
        </w:rPr>
        <w:t xml:space="preserve">the </w:t>
      </w:r>
      <w:r w:rsidR="00BD0FA9" w:rsidRPr="001526A9">
        <w:rPr>
          <w:rFonts w:ascii="Times New Roman" w:hAnsi="Times New Roman"/>
        </w:rPr>
        <w:t>appeal to this Court.</w:t>
      </w:r>
    </w:p>
    <w:p w14:paraId="42F691A5" w14:textId="77777777" w:rsidR="0012516B" w:rsidRDefault="0012516B" w:rsidP="001526A9">
      <w:pPr>
        <w:pStyle w:val="FixListStyle"/>
        <w:spacing w:after="260" w:line="280" w:lineRule="exact"/>
        <w:ind w:right="0"/>
        <w:jc w:val="both"/>
        <w:rPr>
          <w:rFonts w:ascii="Times New Roman" w:hAnsi="Times New Roman"/>
        </w:rPr>
        <w:sectPr w:rsidR="0012516B" w:rsidSect="00A5074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D046AD3" w14:textId="77777777" w:rsidR="0012516B" w:rsidRPr="00790760" w:rsidRDefault="0012516B" w:rsidP="00790760">
      <w:pPr>
        <w:pStyle w:val="FixListStyle"/>
        <w:tabs>
          <w:tab w:val="clear" w:pos="720"/>
          <w:tab w:val="left" w:pos="0"/>
        </w:tabs>
        <w:spacing w:after="260" w:line="280" w:lineRule="exact"/>
        <w:ind w:right="0"/>
        <w:jc w:val="both"/>
        <w:rPr>
          <w:rFonts w:ascii="Times New Roman" w:hAnsi="Times New Roman"/>
        </w:rPr>
      </w:pPr>
      <w:r w:rsidRPr="00790760">
        <w:rPr>
          <w:rFonts w:ascii="Times New Roman" w:hAnsi="Times New Roman"/>
        </w:rPr>
        <w:lastRenderedPageBreak/>
        <w:t>GORDON J.   The appellant, Mr Andrew Laming, was elected as a member of the</w:t>
      </w:r>
      <w:r>
        <w:rPr>
          <w:rFonts w:ascii="Times New Roman" w:hAnsi="Times New Roman"/>
        </w:rPr>
        <w:t> </w:t>
      </w:r>
      <w:r w:rsidRPr="00790760">
        <w:rPr>
          <w:rFonts w:ascii="Times New Roman" w:hAnsi="Times New Roman"/>
        </w:rPr>
        <w:t xml:space="preserve">House of Representatives in the Commonwealth Parliament for the electorate of Bowman in 2016. He was a candidate in the federal election held on 18 May 2019. In the six months prior to the 2019 election, Mr Laming posted a series of posts on a Facebook page called "Redland Hospital: Let's fight for fair funding" ("the Facebook page"). A total of 28 people viewed the posts. </w:t>
      </w:r>
    </w:p>
    <w:p w14:paraId="3D83098D" w14:textId="77777777" w:rsidR="0012516B" w:rsidRPr="002C4E62" w:rsidRDefault="0012516B" w:rsidP="00790760">
      <w:pPr>
        <w:pStyle w:val="FixListStyle"/>
        <w:spacing w:after="260" w:line="280" w:lineRule="exact"/>
        <w:ind w:right="0"/>
        <w:jc w:val="both"/>
        <w:rPr>
          <w:rFonts w:ascii="Times New Roman" w:hAnsi="Times New Roman"/>
          <w:spacing w:val="-2"/>
        </w:rPr>
      </w:pPr>
      <w:r w:rsidRPr="002C4E62">
        <w:rPr>
          <w:rFonts w:ascii="Times New Roman" w:hAnsi="Times New Roman"/>
          <w:spacing w:val="-2"/>
        </w:rPr>
        <w:tab/>
        <w:t>Section 321</w:t>
      </w:r>
      <w:proofErr w:type="gramStart"/>
      <w:r w:rsidRPr="002C4E62">
        <w:rPr>
          <w:rFonts w:ascii="Times New Roman" w:hAnsi="Times New Roman"/>
          <w:spacing w:val="-2"/>
        </w:rPr>
        <w:t>D(</w:t>
      </w:r>
      <w:proofErr w:type="gramEnd"/>
      <w:r w:rsidRPr="002C4E62">
        <w:rPr>
          <w:rFonts w:ascii="Times New Roman" w:hAnsi="Times New Roman"/>
          <w:spacing w:val="-2"/>
        </w:rPr>
        <w:t xml:space="preserve">5) of the </w:t>
      </w:r>
      <w:r w:rsidRPr="002C4E62">
        <w:rPr>
          <w:rFonts w:ascii="Times New Roman" w:hAnsi="Times New Roman"/>
          <w:i/>
          <w:iCs/>
          <w:spacing w:val="-2"/>
        </w:rPr>
        <w:t xml:space="preserve">Commonwealth Electoral Act 1918 </w:t>
      </w:r>
      <w:r w:rsidRPr="002C4E62">
        <w:rPr>
          <w:rFonts w:ascii="Times New Roman" w:hAnsi="Times New Roman"/>
          <w:spacing w:val="-2"/>
        </w:rPr>
        <w:t>(</w:t>
      </w:r>
      <w:proofErr w:type="spellStart"/>
      <w:r w:rsidRPr="002C4E62">
        <w:rPr>
          <w:rFonts w:ascii="Times New Roman" w:hAnsi="Times New Roman"/>
          <w:spacing w:val="-2"/>
        </w:rPr>
        <w:t>Cth</w:t>
      </w:r>
      <w:proofErr w:type="spellEnd"/>
      <w:r w:rsidRPr="002C4E62">
        <w:rPr>
          <w:rFonts w:ascii="Times New Roman" w:hAnsi="Times New Roman"/>
          <w:spacing w:val="-2"/>
        </w:rPr>
        <w:t>) ("the Electoral Act")</w:t>
      </w:r>
      <w:r w:rsidRPr="002C4E62">
        <w:rPr>
          <w:rFonts w:ascii="Times New Roman" w:hAnsi="Times New Roman"/>
          <w:b/>
          <w:bCs/>
          <w:spacing w:val="-2"/>
        </w:rPr>
        <w:t xml:space="preserve"> </w:t>
      </w:r>
      <w:r w:rsidRPr="002C4E62">
        <w:rPr>
          <w:rFonts w:ascii="Times New Roman" w:hAnsi="Times New Roman"/>
          <w:spacing w:val="-2"/>
        </w:rPr>
        <w:t>required Mr Laming, as the "notifying entity", to ensure that certain particulars were notified with each post on the Facebook page. Before the primary judge, the respondent in this Court – the Electoral Commissioner of the Australian Electoral Commission ("the Commissioner") – sought declarations and pecuniary penalties against Mr Laming for contraventions of s 321D(5) of the</w:t>
      </w:r>
      <w:r>
        <w:rPr>
          <w:rFonts w:ascii="Times New Roman" w:hAnsi="Times New Roman"/>
          <w:spacing w:val="-2"/>
        </w:rPr>
        <w:t> </w:t>
      </w:r>
      <w:r w:rsidRPr="002C4E62">
        <w:rPr>
          <w:rFonts w:ascii="Times New Roman" w:hAnsi="Times New Roman"/>
          <w:spacing w:val="-2"/>
        </w:rPr>
        <w:t xml:space="preserve">Electoral Act on the basis that Mr Laming had failed to disclose his name and relevant town or city in accordance with the requirements of the </w:t>
      </w:r>
      <w:r w:rsidRPr="002C4E62">
        <w:rPr>
          <w:rFonts w:ascii="Times New Roman" w:hAnsi="Times New Roman"/>
          <w:i/>
          <w:iCs/>
          <w:spacing w:val="-2"/>
        </w:rPr>
        <w:t xml:space="preserve">Commonwealth Electoral (Authorisation of Voter Communication) Determination 2018 </w:t>
      </w:r>
      <w:r w:rsidRPr="002C4E62">
        <w:rPr>
          <w:rFonts w:ascii="Times New Roman" w:hAnsi="Times New Roman"/>
          <w:spacing w:val="-2"/>
        </w:rPr>
        <w:t>(</w:t>
      </w:r>
      <w:proofErr w:type="spellStart"/>
      <w:r w:rsidRPr="002C4E62">
        <w:rPr>
          <w:rFonts w:ascii="Times New Roman" w:hAnsi="Times New Roman"/>
          <w:spacing w:val="-2"/>
        </w:rPr>
        <w:t>Cth</w:t>
      </w:r>
      <w:proofErr w:type="spellEnd"/>
      <w:r w:rsidRPr="002C4E62">
        <w:rPr>
          <w:rFonts w:ascii="Times New Roman" w:hAnsi="Times New Roman"/>
          <w:spacing w:val="-2"/>
        </w:rPr>
        <w:t>).</w:t>
      </w:r>
      <w:r w:rsidRPr="002C4E62">
        <w:rPr>
          <w:rStyle w:val="FootnoteReference"/>
          <w:rFonts w:ascii="Times New Roman" w:hAnsi="Times New Roman"/>
          <w:spacing w:val="-2"/>
          <w:sz w:val="24"/>
        </w:rPr>
        <w:footnoteReference w:id="24"/>
      </w:r>
      <w:r w:rsidRPr="002C4E62">
        <w:rPr>
          <w:rFonts w:ascii="Times New Roman" w:hAnsi="Times New Roman"/>
          <w:spacing w:val="-2"/>
        </w:rPr>
        <w:t xml:space="preserve"> </w:t>
      </w:r>
    </w:p>
    <w:p w14:paraId="67124B73"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b/>
          <w:bCs/>
        </w:rPr>
        <w:tab/>
      </w:r>
      <w:r w:rsidRPr="00790760">
        <w:rPr>
          <w:rFonts w:ascii="Times New Roman" w:hAnsi="Times New Roman"/>
        </w:rPr>
        <w:t>The primary judge held that three of the five posts (namely, posts on 24 December 2018, 7 February 2019 and 5 May 2019) contravened s 321</w:t>
      </w:r>
      <w:proofErr w:type="gramStart"/>
      <w:r w:rsidRPr="00790760">
        <w:rPr>
          <w:rFonts w:ascii="Times New Roman" w:hAnsi="Times New Roman"/>
        </w:rPr>
        <w:t>D(</w:t>
      </w:r>
      <w:proofErr w:type="gramEnd"/>
      <w:r w:rsidRPr="00790760">
        <w:rPr>
          <w:rFonts w:ascii="Times New Roman" w:hAnsi="Times New Roman"/>
        </w:rPr>
        <w:t>5) of the Electoral Act and ordered Mr Laming to pay a penalty of $10,000 for the</w:t>
      </w:r>
      <w:r>
        <w:rPr>
          <w:rFonts w:ascii="Times New Roman" w:hAnsi="Times New Roman"/>
        </w:rPr>
        <w:t> </w:t>
      </w:r>
      <w:r w:rsidRPr="00790760">
        <w:rPr>
          <w:rFonts w:ascii="Times New Roman" w:hAnsi="Times New Roman"/>
        </w:rPr>
        <w:t>24 December post and $5,000 for each of the other two posts. In doing so, the</w:t>
      </w:r>
      <w:r>
        <w:rPr>
          <w:rFonts w:ascii="Times New Roman" w:hAnsi="Times New Roman"/>
        </w:rPr>
        <w:t> </w:t>
      </w:r>
      <w:r w:rsidRPr="00790760">
        <w:rPr>
          <w:rFonts w:ascii="Times New Roman" w:hAnsi="Times New Roman"/>
        </w:rPr>
        <w:t>primary judge rejected the Commissioner's contention that a contravention occurred each time one of the posts was viewed by a different person. The</w:t>
      </w:r>
      <w:r>
        <w:rPr>
          <w:rFonts w:ascii="Times New Roman" w:hAnsi="Times New Roman"/>
        </w:rPr>
        <w:t> </w:t>
      </w:r>
      <w:r w:rsidRPr="00790760">
        <w:rPr>
          <w:rFonts w:ascii="Times New Roman" w:hAnsi="Times New Roman"/>
        </w:rPr>
        <w:t>Commissioner appealed that decision to the Full Court of the Federal Court of Australia on the basis that the primary judge erred in finding that each post constituted a single contravention of s 321</w:t>
      </w:r>
      <w:proofErr w:type="gramStart"/>
      <w:r w:rsidRPr="00790760">
        <w:rPr>
          <w:rFonts w:ascii="Times New Roman" w:hAnsi="Times New Roman"/>
        </w:rPr>
        <w:t>D(</w:t>
      </w:r>
      <w:proofErr w:type="gramEnd"/>
      <w:r w:rsidRPr="00790760">
        <w:rPr>
          <w:rFonts w:ascii="Times New Roman" w:hAnsi="Times New Roman"/>
        </w:rPr>
        <w:t>5), rather than finding that Mr Laming contravened s 321D(5) each time a post was viewed by a person.</w:t>
      </w:r>
      <w:r w:rsidRPr="00790760">
        <w:rPr>
          <w:rFonts w:ascii="Times New Roman" w:hAnsi="Times New Roman"/>
          <w:b/>
          <w:bCs/>
        </w:rPr>
        <w:t xml:space="preserve"> </w:t>
      </w:r>
      <w:r w:rsidRPr="00790760">
        <w:rPr>
          <w:rFonts w:ascii="Times New Roman" w:hAnsi="Times New Roman"/>
        </w:rPr>
        <w:t xml:space="preserve">The Full Federal Court upheld the appeal and found that "there was a contravention on each occasion that the post was communicated to a different person by reason of that person viewing the post". The Full Federal Court, finding 28 contraventions, imposed a total penalty of $40,000, comprising $20,000 for the 24 December 2018 post; $10,000 for the 7 February 2019 post; and $10,000 for the 5 May 2019 post. </w:t>
      </w:r>
    </w:p>
    <w:p w14:paraId="43E563D4"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b/>
          <w:bCs/>
        </w:rPr>
        <w:tab/>
      </w:r>
      <w:r w:rsidRPr="00790760">
        <w:rPr>
          <w:rFonts w:ascii="Times New Roman" w:hAnsi="Times New Roman"/>
        </w:rPr>
        <w:t>Mr Laming appealed the Full Federal Court's decision to this Court on the</w:t>
      </w:r>
      <w:r>
        <w:rPr>
          <w:rFonts w:ascii="Times New Roman" w:hAnsi="Times New Roman"/>
        </w:rPr>
        <w:t> </w:t>
      </w:r>
      <w:r w:rsidRPr="00790760">
        <w:rPr>
          <w:rFonts w:ascii="Times New Roman" w:hAnsi="Times New Roman"/>
        </w:rPr>
        <w:t>ground that the Full Federal Court erred in holding that there was a</w:t>
      </w:r>
      <w:r>
        <w:rPr>
          <w:rFonts w:ascii="Times New Roman" w:hAnsi="Times New Roman"/>
        </w:rPr>
        <w:t> </w:t>
      </w:r>
      <w:r w:rsidRPr="00790760">
        <w:rPr>
          <w:rFonts w:ascii="Times New Roman" w:hAnsi="Times New Roman"/>
        </w:rPr>
        <w:t xml:space="preserve">contravention on each occasion that the posts were viewed. </w:t>
      </w:r>
      <w:proofErr w:type="gramStart"/>
      <w:r w:rsidRPr="00790760">
        <w:rPr>
          <w:rFonts w:ascii="Times New Roman" w:hAnsi="Times New Roman"/>
        </w:rPr>
        <w:t>For the reasons that</w:t>
      </w:r>
      <w:proofErr w:type="gramEnd"/>
      <w:r w:rsidRPr="00790760">
        <w:rPr>
          <w:rFonts w:ascii="Times New Roman" w:hAnsi="Times New Roman"/>
        </w:rPr>
        <w:t xml:space="preserve"> follow, the appeal should be allowed. On</w:t>
      </w:r>
      <w:r w:rsidRPr="00790760" w:rsidDel="001E1752">
        <w:rPr>
          <w:rFonts w:ascii="Times New Roman" w:hAnsi="Times New Roman"/>
        </w:rPr>
        <w:t xml:space="preserve"> </w:t>
      </w:r>
      <w:r w:rsidRPr="00790760">
        <w:rPr>
          <w:rFonts w:ascii="Times New Roman" w:hAnsi="Times New Roman"/>
        </w:rPr>
        <w:t>the proper construction of s 321D, there</w:t>
      </w:r>
      <w:r>
        <w:rPr>
          <w:rFonts w:ascii="Times New Roman" w:hAnsi="Times New Roman"/>
        </w:rPr>
        <w:t> </w:t>
      </w:r>
      <w:r w:rsidRPr="00790760">
        <w:rPr>
          <w:rFonts w:ascii="Times New Roman" w:hAnsi="Times New Roman"/>
        </w:rPr>
        <w:t>was a contravention on each occasion that Mr Laming caused a post to be published on Facebook, not on each occasion that the posts were viewed.</w:t>
      </w:r>
    </w:p>
    <w:p w14:paraId="523388D1" w14:textId="77777777" w:rsidR="0012516B" w:rsidRPr="00790760" w:rsidRDefault="0012516B" w:rsidP="00790760">
      <w:pPr>
        <w:pStyle w:val="HeadingL1"/>
        <w:spacing w:after="260" w:line="280" w:lineRule="exact"/>
        <w:ind w:right="0"/>
        <w:jc w:val="both"/>
        <w:rPr>
          <w:rFonts w:ascii="Times New Roman" w:hAnsi="Times New Roman"/>
        </w:rPr>
      </w:pPr>
      <w:r w:rsidRPr="00790760">
        <w:rPr>
          <w:rFonts w:ascii="Times New Roman" w:hAnsi="Times New Roman"/>
        </w:rPr>
        <w:lastRenderedPageBreak/>
        <w:t>Legislative framework</w:t>
      </w:r>
    </w:p>
    <w:p w14:paraId="1E149ABC"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This appeal concerns the proper construction of s 321</w:t>
      </w:r>
      <w:proofErr w:type="gramStart"/>
      <w:r w:rsidRPr="00790760">
        <w:rPr>
          <w:rFonts w:ascii="Times New Roman" w:hAnsi="Times New Roman"/>
        </w:rPr>
        <w:t>D(</w:t>
      </w:r>
      <w:proofErr w:type="gramEnd"/>
      <w:r w:rsidRPr="00790760">
        <w:rPr>
          <w:rFonts w:ascii="Times New Roman" w:hAnsi="Times New Roman"/>
        </w:rPr>
        <w:t xml:space="preserve">5) of the Electoral Act. </w:t>
      </w:r>
    </w:p>
    <w:p w14:paraId="1780EBDA"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 xml:space="preserve">Section 321D </w:t>
      </w:r>
      <w:proofErr w:type="gramStart"/>
      <w:r w:rsidRPr="00790760">
        <w:rPr>
          <w:rFonts w:ascii="Times New Roman" w:hAnsi="Times New Roman"/>
        </w:rPr>
        <w:t>is located in</w:t>
      </w:r>
      <w:proofErr w:type="gramEnd"/>
      <w:r w:rsidRPr="00790760">
        <w:rPr>
          <w:rFonts w:ascii="Times New Roman" w:hAnsi="Times New Roman"/>
        </w:rPr>
        <w:t xml:space="preserve"> Pt XXA. Part XXA is headed "Authorisation of electoral matter". Section 321C sets out the objects of Pt XXA, and how the Part aims to achieve the stated objects, in these terms:</w:t>
      </w:r>
    </w:p>
    <w:p w14:paraId="47E4BD99" w14:textId="77777777" w:rsidR="0012516B" w:rsidRPr="00790760" w:rsidRDefault="0012516B" w:rsidP="00790760">
      <w:pPr>
        <w:pStyle w:val="leftright"/>
        <w:spacing w:before="0" w:after="260" w:line="280" w:lineRule="exact"/>
        <w:ind w:left="1440" w:right="0" w:hanging="720"/>
        <w:jc w:val="both"/>
        <w:rPr>
          <w:rFonts w:ascii="Times New Roman" w:hAnsi="Times New Roman"/>
        </w:rPr>
      </w:pPr>
      <w:r w:rsidRPr="00790760">
        <w:rPr>
          <w:rFonts w:ascii="Times New Roman" w:hAnsi="Times New Roman"/>
        </w:rPr>
        <w:t>"(1)</w:t>
      </w:r>
      <w:r w:rsidRPr="00790760">
        <w:rPr>
          <w:rFonts w:ascii="Times New Roman" w:hAnsi="Times New Roman"/>
        </w:rPr>
        <w:tab/>
        <w:t>The objects of this Part are to promote free and informed voting at elections by enhancing the following:</w:t>
      </w:r>
    </w:p>
    <w:p w14:paraId="2D4A6149" w14:textId="77777777" w:rsidR="0012516B" w:rsidRPr="00790760" w:rsidRDefault="0012516B" w:rsidP="00790760">
      <w:pPr>
        <w:pStyle w:val="leftright"/>
        <w:spacing w:before="0" w:after="260" w:line="280" w:lineRule="exact"/>
        <w:ind w:left="2160" w:right="0" w:hanging="720"/>
        <w:jc w:val="both"/>
        <w:rPr>
          <w:rFonts w:ascii="Times New Roman" w:hAnsi="Times New Roman"/>
        </w:rPr>
      </w:pPr>
      <w:r w:rsidRPr="00790760">
        <w:rPr>
          <w:rFonts w:ascii="Times New Roman" w:hAnsi="Times New Roman"/>
        </w:rPr>
        <w:t>(a)</w:t>
      </w:r>
      <w:r w:rsidRPr="00790760">
        <w:rPr>
          <w:rFonts w:ascii="Times New Roman" w:hAnsi="Times New Roman"/>
        </w:rPr>
        <w:tab/>
        <w:t xml:space="preserve">the transparency of the electoral system, by allowing voters to know who is communicating electoral </w:t>
      </w:r>
      <w:proofErr w:type="gramStart"/>
      <w:r w:rsidRPr="00790760">
        <w:rPr>
          <w:rFonts w:ascii="Times New Roman" w:hAnsi="Times New Roman"/>
        </w:rPr>
        <w:t>matter;</w:t>
      </w:r>
      <w:proofErr w:type="gramEnd"/>
    </w:p>
    <w:p w14:paraId="19830B08" w14:textId="77777777" w:rsidR="0012516B" w:rsidRPr="00790760" w:rsidRDefault="0012516B" w:rsidP="00790760">
      <w:pPr>
        <w:pStyle w:val="leftright"/>
        <w:spacing w:before="0" w:after="260" w:line="280" w:lineRule="exact"/>
        <w:ind w:left="2160" w:right="0" w:hanging="720"/>
        <w:jc w:val="both"/>
        <w:rPr>
          <w:rFonts w:ascii="Times New Roman" w:hAnsi="Times New Roman"/>
        </w:rPr>
      </w:pPr>
      <w:r w:rsidRPr="00790760">
        <w:rPr>
          <w:rFonts w:ascii="Times New Roman" w:hAnsi="Times New Roman"/>
        </w:rPr>
        <w:t>(b)</w:t>
      </w:r>
      <w:r w:rsidRPr="00790760">
        <w:rPr>
          <w:rFonts w:ascii="Times New Roman" w:hAnsi="Times New Roman"/>
        </w:rPr>
        <w:tab/>
        <w:t xml:space="preserve">the accountability of those persons participating in public debate relating to electoral matter, by making those persons responsible for their </w:t>
      </w:r>
      <w:proofErr w:type="gramStart"/>
      <w:r w:rsidRPr="00790760">
        <w:rPr>
          <w:rFonts w:ascii="Times New Roman" w:hAnsi="Times New Roman"/>
        </w:rPr>
        <w:t>communications;</w:t>
      </w:r>
      <w:proofErr w:type="gramEnd"/>
    </w:p>
    <w:p w14:paraId="534AFFC2" w14:textId="77777777" w:rsidR="0012516B" w:rsidRPr="00790760" w:rsidRDefault="0012516B" w:rsidP="00790760">
      <w:pPr>
        <w:pStyle w:val="leftright"/>
        <w:spacing w:before="0" w:after="260" w:line="280" w:lineRule="exact"/>
        <w:ind w:left="2160" w:right="0" w:hanging="720"/>
        <w:jc w:val="both"/>
        <w:rPr>
          <w:rFonts w:ascii="Times New Roman" w:hAnsi="Times New Roman"/>
        </w:rPr>
      </w:pPr>
      <w:r w:rsidRPr="00790760">
        <w:rPr>
          <w:rFonts w:ascii="Times New Roman" w:hAnsi="Times New Roman"/>
        </w:rPr>
        <w:t>(c)</w:t>
      </w:r>
      <w:r w:rsidRPr="00790760">
        <w:rPr>
          <w:rFonts w:ascii="Times New Roman" w:hAnsi="Times New Roman"/>
        </w:rPr>
        <w:tab/>
        <w:t>the traceability of communications of electoral matter, by</w:t>
      </w:r>
      <w:r>
        <w:rPr>
          <w:rFonts w:ascii="Times New Roman" w:hAnsi="Times New Roman"/>
        </w:rPr>
        <w:t> </w:t>
      </w:r>
      <w:r w:rsidRPr="00790760">
        <w:rPr>
          <w:rFonts w:ascii="Times New Roman" w:hAnsi="Times New Roman"/>
        </w:rPr>
        <w:t>ensuring that obligations imposed by this Part in relation to those communications can be enforced.</w:t>
      </w:r>
    </w:p>
    <w:p w14:paraId="7F4284BF" w14:textId="77777777" w:rsidR="0012516B" w:rsidRPr="00790760" w:rsidRDefault="0012516B" w:rsidP="00790760">
      <w:pPr>
        <w:pStyle w:val="leftright"/>
        <w:spacing w:before="0" w:after="260" w:line="280" w:lineRule="exact"/>
        <w:ind w:left="1440" w:right="0" w:hanging="720"/>
        <w:jc w:val="both"/>
        <w:rPr>
          <w:rFonts w:ascii="Times New Roman" w:hAnsi="Times New Roman"/>
        </w:rPr>
      </w:pPr>
      <w:r w:rsidRPr="00790760">
        <w:rPr>
          <w:rFonts w:ascii="Times New Roman" w:hAnsi="Times New Roman"/>
        </w:rPr>
        <w:t>(2)</w:t>
      </w:r>
      <w:r w:rsidRPr="00790760">
        <w:rPr>
          <w:rFonts w:ascii="Times New Roman" w:hAnsi="Times New Roman"/>
        </w:rPr>
        <w:tab/>
        <w:t>This Part aims to achieve these objects by doing the following:</w:t>
      </w:r>
    </w:p>
    <w:p w14:paraId="35EB9A55" w14:textId="77777777" w:rsidR="0012516B" w:rsidRPr="00790760" w:rsidRDefault="0012516B" w:rsidP="00790760">
      <w:pPr>
        <w:pStyle w:val="leftright"/>
        <w:spacing w:before="0" w:after="260" w:line="280" w:lineRule="exact"/>
        <w:ind w:left="2160" w:right="0" w:hanging="720"/>
        <w:jc w:val="both"/>
        <w:rPr>
          <w:rFonts w:ascii="Times New Roman" w:hAnsi="Times New Roman"/>
        </w:rPr>
      </w:pPr>
      <w:r w:rsidRPr="00790760">
        <w:rPr>
          <w:rFonts w:ascii="Times New Roman" w:hAnsi="Times New Roman"/>
        </w:rPr>
        <w:t>(a)</w:t>
      </w:r>
      <w:r w:rsidRPr="00790760">
        <w:rPr>
          <w:rFonts w:ascii="Times New Roman" w:hAnsi="Times New Roman"/>
        </w:rPr>
        <w:tab/>
        <w:t>requiring the particulars of the person who authorised the</w:t>
      </w:r>
      <w:r>
        <w:rPr>
          <w:rFonts w:ascii="Times New Roman" w:hAnsi="Times New Roman"/>
        </w:rPr>
        <w:t> </w:t>
      </w:r>
      <w:r w:rsidRPr="00790760">
        <w:rPr>
          <w:rFonts w:ascii="Times New Roman" w:hAnsi="Times New Roman"/>
        </w:rPr>
        <w:t>communication of electoral matter to be notified if:</w:t>
      </w:r>
    </w:p>
    <w:p w14:paraId="2A8C8DF7" w14:textId="77777777" w:rsidR="0012516B" w:rsidRPr="00790760" w:rsidRDefault="0012516B" w:rsidP="00790760">
      <w:pPr>
        <w:pStyle w:val="leftright"/>
        <w:spacing w:before="0" w:after="260" w:line="280" w:lineRule="exact"/>
        <w:ind w:left="2880" w:right="0" w:hanging="720"/>
        <w:jc w:val="both"/>
        <w:rPr>
          <w:rFonts w:ascii="Times New Roman" w:hAnsi="Times New Roman"/>
        </w:rPr>
      </w:pPr>
      <w:r w:rsidRPr="00790760">
        <w:rPr>
          <w:rFonts w:ascii="Times New Roman" w:hAnsi="Times New Roman"/>
        </w:rPr>
        <w:t>(</w:t>
      </w:r>
      <w:proofErr w:type="spellStart"/>
      <w:r w:rsidRPr="00790760">
        <w:rPr>
          <w:rFonts w:ascii="Times New Roman" w:hAnsi="Times New Roman"/>
        </w:rPr>
        <w:t>i</w:t>
      </w:r>
      <w:proofErr w:type="spellEnd"/>
      <w:r w:rsidRPr="00790760">
        <w:rPr>
          <w:rFonts w:ascii="Times New Roman" w:hAnsi="Times New Roman"/>
        </w:rPr>
        <w:t>)</w:t>
      </w:r>
      <w:r w:rsidRPr="00790760">
        <w:rPr>
          <w:rFonts w:ascii="Times New Roman" w:hAnsi="Times New Roman"/>
        </w:rPr>
        <w:tab/>
        <w:t>the matter is an electoral advertisement, all or part of whose distribution or production is paid for; or</w:t>
      </w:r>
    </w:p>
    <w:p w14:paraId="6D2F0376" w14:textId="77777777" w:rsidR="0012516B" w:rsidRPr="00790760" w:rsidRDefault="0012516B" w:rsidP="00790760">
      <w:pPr>
        <w:pStyle w:val="leftright"/>
        <w:spacing w:before="0" w:after="260" w:line="280" w:lineRule="exact"/>
        <w:ind w:left="2880" w:right="0" w:hanging="720"/>
        <w:jc w:val="both"/>
        <w:rPr>
          <w:rFonts w:ascii="Times New Roman" w:hAnsi="Times New Roman"/>
        </w:rPr>
      </w:pPr>
      <w:r w:rsidRPr="00790760">
        <w:rPr>
          <w:rFonts w:ascii="Times New Roman" w:hAnsi="Times New Roman"/>
        </w:rPr>
        <w:t>(ii)</w:t>
      </w:r>
      <w:r w:rsidRPr="00790760">
        <w:rPr>
          <w:rFonts w:ascii="Times New Roman" w:hAnsi="Times New Roman"/>
        </w:rPr>
        <w:tab/>
        <w:t>the matter forms part of a specified printed communication; or</w:t>
      </w:r>
    </w:p>
    <w:p w14:paraId="3FA4B1B0" w14:textId="77777777" w:rsidR="0012516B" w:rsidRPr="00790760" w:rsidRDefault="0012516B" w:rsidP="00790760">
      <w:pPr>
        <w:pStyle w:val="leftright"/>
        <w:spacing w:before="0" w:after="260" w:line="280" w:lineRule="exact"/>
        <w:ind w:left="2880" w:right="0" w:hanging="720"/>
        <w:jc w:val="both"/>
        <w:rPr>
          <w:rFonts w:ascii="Times New Roman" w:hAnsi="Times New Roman"/>
        </w:rPr>
      </w:pPr>
      <w:r w:rsidRPr="00790760">
        <w:rPr>
          <w:rFonts w:ascii="Times New Roman" w:hAnsi="Times New Roman"/>
        </w:rPr>
        <w:t>(iii)</w:t>
      </w:r>
      <w:r w:rsidRPr="00790760">
        <w:rPr>
          <w:rFonts w:ascii="Times New Roman" w:hAnsi="Times New Roman"/>
        </w:rPr>
        <w:tab/>
        <w:t>the matter is communicated by, or on behalf of, a</w:t>
      </w:r>
      <w:r>
        <w:rPr>
          <w:rFonts w:ascii="Times New Roman" w:hAnsi="Times New Roman"/>
        </w:rPr>
        <w:t> </w:t>
      </w:r>
      <w:r w:rsidRPr="00790760">
        <w:rPr>
          <w:rFonts w:ascii="Times New Roman" w:hAnsi="Times New Roman"/>
        </w:rPr>
        <w:t xml:space="preserve">disclosure </w:t>
      </w:r>
      <w:proofErr w:type="gramStart"/>
      <w:r w:rsidRPr="00790760">
        <w:rPr>
          <w:rFonts w:ascii="Times New Roman" w:hAnsi="Times New Roman"/>
        </w:rPr>
        <w:t>entity;</w:t>
      </w:r>
      <w:proofErr w:type="gramEnd"/>
    </w:p>
    <w:p w14:paraId="2C419577" w14:textId="77777777" w:rsidR="0012516B" w:rsidRPr="00790760" w:rsidRDefault="0012516B" w:rsidP="00790760">
      <w:pPr>
        <w:pStyle w:val="leftright"/>
        <w:spacing w:before="0" w:after="260" w:line="280" w:lineRule="exact"/>
        <w:ind w:left="2160" w:right="0" w:hanging="720"/>
        <w:jc w:val="both"/>
        <w:rPr>
          <w:rFonts w:ascii="Times New Roman" w:hAnsi="Times New Roman"/>
        </w:rPr>
      </w:pPr>
      <w:r w:rsidRPr="00790760">
        <w:rPr>
          <w:rFonts w:ascii="Times New Roman" w:hAnsi="Times New Roman"/>
        </w:rPr>
        <w:t>(b)</w:t>
      </w:r>
      <w:r w:rsidRPr="00790760">
        <w:rPr>
          <w:rFonts w:ascii="Times New Roman" w:hAnsi="Times New Roman"/>
        </w:rPr>
        <w:tab/>
        <w:t>ensuring that the particulars are clearly identifiable, irrespective of how the matter is communicated.</w:t>
      </w:r>
    </w:p>
    <w:p w14:paraId="6B0FB89D" w14:textId="77777777" w:rsidR="0012516B" w:rsidRPr="00790760" w:rsidRDefault="0012516B" w:rsidP="00790760">
      <w:pPr>
        <w:pStyle w:val="leftright"/>
        <w:spacing w:before="0" w:after="260" w:line="280" w:lineRule="exact"/>
        <w:ind w:right="0"/>
        <w:jc w:val="both"/>
        <w:rPr>
          <w:rFonts w:ascii="Times New Roman" w:hAnsi="Times New Roman"/>
        </w:rPr>
      </w:pPr>
      <w:r w:rsidRPr="00790760">
        <w:rPr>
          <w:rFonts w:ascii="Times New Roman" w:hAnsi="Times New Roman"/>
        </w:rPr>
        <w:t>(3)</w:t>
      </w:r>
      <w:r w:rsidRPr="00790760">
        <w:rPr>
          <w:rFonts w:ascii="Times New Roman" w:hAnsi="Times New Roman"/>
        </w:rPr>
        <w:tab/>
        <w:t>This Part is not intended to detract from:</w:t>
      </w:r>
    </w:p>
    <w:p w14:paraId="552A5CB0" w14:textId="77777777" w:rsidR="0012516B" w:rsidRPr="00790760" w:rsidRDefault="0012516B" w:rsidP="00790760">
      <w:pPr>
        <w:pStyle w:val="leftright"/>
        <w:spacing w:before="0" w:after="260" w:line="280" w:lineRule="exact"/>
        <w:ind w:left="2160" w:right="0" w:hanging="720"/>
        <w:jc w:val="both"/>
        <w:rPr>
          <w:rFonts w:ascii="Times New Roman" w:hAnsi="Times New Roman"/>
        </w:rPr>
      </w:pPr>
      <w:r w:rsidRPr="00790760">
        <w:rPr>
          <w:rFonts w:ascii="Times New Roman" w:hAnsi="Times New Roman"/>
        </w:rPr>
        <w:t>(a)</w:t>
      </w:r>
      <w:r w:rsidRPr="00790760">
        <w:rPr>
          <w:rFonts w:ascii="Times New Roman" w:hAnsi="Times New Roman"/>
        </w:rPr>
        <w:tab/>
        <w:t>the ability of electoral matters to be communicated to voters; and</w:t>
      </w:r>
    </w:p>
    <w:p w14:paraId="5532BD4E" w14:textId="77777777" w:rsidR="0012516B" w:rsidRDefault="0012516B" w:rsidP="00790760">
      <w:pPr>
        <w:pStyle w:val="leftright"/>
        <w:spacing w:before="0" w:after="260" w:line="280" w:lineRule="exact"/>
        <w:ind w:left="2160" w:right="0" w:hanging="720"/>
        <w:jc w:val="both"/>
        <w:rPr>
          <w:rFonts w:ascii="Times New Roman" w:hAnsi="Times New Roman"/>
        </w:rPr>
      </w:pPr>
      <w:r w:rsidRPr="00790760">
        <w:rPr>
          <w:rFonts w:ascii="Times New Roman" w:hAnsi="Times New Roman"/>
        </w:rPr>
        <w:t>(b)</w:t>
      </w:r>
      <w:r w:rsidRPr="00790760">
        <w:rPr>
          <w:rFonts w:ascii="Times New Roman" w:hAnsi="Times New Roman"/>
        </w:rPr>
        <w:tab/>
        <w:t>voters' ability to communicate with each other on electoral matters."</w:t>
      </w:r>
    </w:p>
    <w:p w14:paraId="16952C5C"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lastRenderedPageBreak/>
        <w:tab/>
        <w:t>Section 321</w:t>
      </w:r>
      <w:proofErr w:type="gramStart"/>
      <w:r w:rsidRPr="00790760">
        <w:rPr>
          <w:rFonts w:ascii="Times New Roman" w:hAnsi="Times New Roman"/>
        </w:rPr>
        <w:t>D(</w:t>
      </w:r>
      <w:proofErr w:type="gramEnd"/>
      <w:r w:rsidRPr="00790760">
        <w:rPr>
          <w:rFonts w:ascii="Times New Roman" w:hAnsi="Times New Roman"/>
        </w:rPr>
        <w:t>1) is the "gateway" to the substantive obligation imposed by s 321D(5). It provides the circumstances in which s 321</w:t>
      </w:r>
      <w:proofErr w:type="gramStart"/>
      <w:r w:rsidRPr="00790760">
        <w:rPr>
          <w:rFonts w:ascii="Times New Roman" w:hAnsi="Times New Roman"/>
        </w:rPr>
        <w:t>D(</w:t>
      </w:r>
      <w:proofErr w:type="gramEnd"/>
      <w:r w:rsidRPr="00790760">
        <w:rPr>
          <w:rFonts w:ascii="Times New Roman" w:hAnsi="Times New Roman"/>
        </w:rPr>
        <w:t>5) applies. Section</w:t>
      </w:r>
      <w:r>
        <w:rPr>
          <w:rFonts w:ascii="Times New Roman" w:hAnsi="Times New Roman"/>
        </w:rPr>
        <w:t> </w:t>
      </w:r>
      <w:r w:rsidRPr="00790760">
        <w:rPr>
          <w:rFonts w:ascii="Times New Roman" w:hAnsi="Times New Roman"/>
        </w:rPr>
        <w:t>321</w:t>
      </w:r>
      <w:proofErr w:type="gramStart"/>
      <w:r w:rsidRPr="00790760">
        <w:rPr>
          <w:rFonts w:ascii="Times New Roman" w:hAnsi="Times New Roman"/>
        </w:rPr>
        <w:t>D(</w:t>
      </w:r>
      <w:proofErr w:type="gramEnd"/>
      <w:r w:rsidRPr="00790760">
        <w:rPr>
          <w:rFonts w:ascii="Times New Roman" w:hAnsi="Times New Roman"/>
        </w:rPr>
        <w:t xml:space="preserve">1) relevantly provides: </w:t>
      </w:r>
    </w:p>
    <w:p w14:paraId="73D382C9" w14:textId="77777777" w:rsidR="0012516B" w:rsidRPr="00790760" w:rsidRDefault="0012516B" w:rsidP="00790760">
      <w:pPr>
        <w:pStyle w:val="leftright"/>
        <w:spacing w:before="0" w:after="260" w:line="280" w:lineRule="exact"/>
        <w:ind w:right="0"/>
        <w:jc w:val="both"/>
        <w:rPr>
          <w:rFonts w:ascii="Times New Roman" w:hAnsi="Times New Roman"/>
        </w:rPr>
      </w:pPr>
      <w:r w:rsidRPr="00790760">
        <w:rPr>
          <w:rFonts w:ascii="Times New Roman" w:hAnsi="Times New Roman"/>
        </w:rPr>
        <w:t>"This section applies in relation to electoral matter that is communicated to a person if:</w:t>
      </w:r>
    </w:p>
    <w:p w14:paraId="144D5029" w14:textId="77777777" w:rsidR="0012516B" w:rsidRPr="00790760" w:rsidRDefault="0012516B" w:rsidP="00790760">
      <w:pPr>
        <w:pStyle w:val="leftright"/>
        <w:spacing w:before="0" w:after="260" w:line="280" w:lineRule="exact"/>
        <w:ind w:right="0"/>
        <w:jc w:val="both"/>
        <w:rPr>
          <w:rFonts w:ascii="Times New Roman" w:hAnsi="Times New Roman"/>
        </w:rPr>
      </w:pPr>
      <w:r w:rsidRPr="00790760">
        <w:rPr>
          <w:rFonts w:ascii="Times New Roman" w:hAnsi="Times New Roman"/>
        </w:rPr>
        <w:t>...</w:t>
      </w:r>
    </w:p>
    <w:p w14:paraId="7508E12D" w14:textId="77777777" w:rsidR="0012516B" w:rsidRPr="00790760" w:rsidRDefault="0012516B" w:rsidP="00790760">
      <w:pPr>
        <w:pStyle w:val="leftright"/>
        <w:spacing w:before="0" w:after="260" w:line="280" w:lineRule="exact"/>
        <w:ind w:left="1440" w:right="0" w:hanging="720"/>
        <w:jc w:val="both"/>
        <w:rPr>
          <w:rFonts w:ascii="Times New Roman" w:hAnsi="Times New Roman"/>
        </w:rPr>
      </w:pPr>
      <w:r w:rsidRPr="00790760">
        <w:rPr>
          <w:rFonts w:ascii="Times New Roman" w:hAnsi="Times New Roman"/>
        </w:rPr>
        <w:t>(c)</w:t>
      </w:r>
      <w:r w:rsidRPr="00790760">
        <w:rPr>
          <w:rFonts w:ascii="Times New Roman" w:hAnsi="Times New Roman"/>
        </w:rPr>
        <w:tab/>
        <w:t xml:space="preserve">the matter is communicated by, or on behalf of, a disclosure entity (the </w:t>
      </w:r>
      <w:r w:rsidRPr="00790760">
        <w:rPr>
          <w:rFonts w:ascii="Times New Roman" w:hAnsi="Times New Roman"/>
          <w:b/>
          <w:i/>
        </w:rPr>
        <w:t>notifying entity</w:t>
      </w:r>
      <w:r w:rsidRPr="00790760">
        <w:rPr>
          <w:rFonts w:ascii="Times New Roman" w:hAnsi="Times New Roman"/>
        </w:rPr>
        <w:t>) (and the matter is not an advertisement covered by paragraph (a), nor does the matter form part of a sticker, fridge</w:t>
      </w:r>
      <w:r>
        <w:rPr>
          <w:rFonts w:ascii="Times New Roman" w:hAnsi="Times New Roman"/>
        </w:rPr>
        <w:t> </w:t>
      </w:r>
      <w:r w:rsidRPr="00790760">
        <w:rPr>
          <w:rFonts w:ascii="Times New Roman" w:hAnsi="Times New Roman"/>
        </w:rPr>
        <w:t>magnet, leaflet, flyer, pamphlet, notice, poster or how-to-vote card).</w:t>
      </w:r>
    </w:p>
    <w:p w14:paraId="70B36299" w14:textId="77777777" w:rsidR="0012516B" w:rsidRPr="00790760" w:rsidRDefault="0012516B" w:rsidP="00790760">
      <w:pPr>
        <w:pStyle w:val="leftright"/>
        <w:spacing w:before="0" w:after="260" w:line="280" w:lineRule="exact"/>
        <w:ind w:right="0"/>
        <w:jc w:val="both"/>
        <w:rPr>
          <w:rFonts w:ascii="Times New Roman" w:hAnsi="Times New Roman"/>
          <w:sz w:val="22"/>
          <w:szCs w:val="22"/>
        </w:rPr>
      </w:pPr>
      <w:r w:rsidRPr="00790760">
        <w:rPr>
          <w:rFonts w:ascii="Times New Roman" w:hAnsi="Times New Roman"/>
          <w:sz w:val="22"/>
          <w:szCs w:val="22"/>
        </w:rPr>
        <w:t xml:space="preserve">Note 1: For paragraph (1)(c), matter may be communicated on behalf of an entity </w:t>
      </w:r>
      <w:proofErr w:type="gramStart"/>
      <w:r w:rsidRPr="00790760">
        <w:rPr>
          <w:rFonts w:ascii="Times New Roman" w:hAnsi="Times New Roman"/>
          <w:sz w:val="22"/>
          <w:szCs w:val="22"/>
        </w:rPr>
        <w:t>whether or not</w:t>
      </w:r>
      <w:proofErr w:type="gramEnd"/>
      <w:r w:rsidRPr="00790760">
        <w:rPr>
          <w:rFonts w:ascii="Times New Roman" w:hAnsi="Times New Roman"/>
          <w:sz w:val="22"/>
          <w:szCs w:val="22"/>
        </w:rPr>
        <w:t xml:space="preserve"> the entity pays for the communication of the matter.</w:t>
      </w:r>
    </w:p>
    <w:p w14:paraId="2CDA6D1D" w14:textId="77777777" w:rsidR="0012516B" w:rsidRDefault="0012516B" w:rsidP="00790760">
      <w:pPr>
        <w:pStyle w:val="leftright"/>
        <w:spacing w:before="0" w:after="260" w:line="280" w:lineRule="exact"/>
        <w:ind w:right="0"/>
        <w:jc w:val="both"/>
        <w:rPr>
          <w:rFonts w:ascii="Times New Roman" w:hAnsi="Times New Roman"/>
        </w:rPr>
      </w:pPr>
      <w:r w:rsidRPr="00790760">
        <w:rPr>
          <w:rFonts w:ascii="Times New Roman" w:hAnsi="Times New Roman"/>
          <w:sz w:val="22"/>
          <w:szCs w:val="22"/>
        </w:rPr>
        <w:t>Note 2: Examples of matters that may be covered by this section include internet advertisements, bulk text messages and bulk voice calls containing electoral matter.</w:t>
      </w:r>
      <w:r w:rsidRPr="00790760">
        <w:rPr>
          <w:rFonts w:ascii="Times New Roman" w:hAnsi="Times New Roman"/>
        </w:rPr>
        <w:t>"</w:t>
      </w:r>
    </w:p>
    <w:p w14:paraId="5298A9CE"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Section 321</w:t>
      </w:r>
      <w:proofErr w:type="gramStart"/>
      <w:r w:rsidRPr="00790760">
        <w:rPr>
          <w:rFonts w:ascii="Times New Roman" w:hAnsi="Times New Roman"/>
        </w:rPr>
        <w:t>D(</w:t>
      </w:r>
      <w:proofErr w:type="gramEnd"/>
      <w:r w:rsidRPr="00790760">
        <w:rPr>
          <w:rFonts w:ascii="Times New Roman" w:hAnsi="Times New Roman"/>
        </w:rPr>
        <w:t xml:space="preserve">5) is the focus of this appeal. That sub-section, a civil penalty provision, imposes a substantive obligation on notifying entities in the following terms: </w:t>
      </w:r>
    </w:p>
    <w:p w14:paraId="45B72D7C" w14:textId="77777777" w:rsidR="0012516B" w:rsidRDefault="0012516B" w:rsidP="00790760">
      <w:pPr>
        <w:pStyle w:val="leftright"/>
        <w:spacing w:before="0" w:after="260" w:line="280" w:lineRule="exact"/>
        <w:ind w:right="0"/>
        <w:jc w:val="both"/>
        <w:rPr>
          <w:rFonts w:ascii="Times New Roman" w:hAnsi="Times New Roman"/>
        </w:rPr>
      </w:pPr>
      <w:r w:rsidRPr="00790760">
        <w:rPr>
          <w:rFonts w:ascii="Times New Roman" w:hAnsi="Times New Roman"/>
        </w:rPr>
        <w:t>"The notifying entity must ensure that the particulars set out in the following table, and any other particulars determined under subsection (7) for the</w:t>
      </w:r>
      <w:r>
        <w:rPr>
          <w:rFonts w:ascii="Times New Roman" w:hAnsi="Times New Roman"/>
        </w:rPr>
        <w:t> </w:t>
      </w:r>
      <w:r w:rsidRPr="00790760">
        <w:rPr>
          <w:rFonts w:ascii="Times New Roman" w:hAnsi="Times New Roman"/>
        </w:rPr>
        <w:t>purposes of this subsection, are notified in accordance with any requirements determined under that subsection."</w:t>
      </w:r>
    </w:p>
    <w:p w14:paraId="1F58CC3C"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Four aspects of s 321</w:t>
      </w:r>
      <w:proofErr w:type="gramStart"/>
      <w:r w:rsidRPr="00790760">
        <w:rPr>
          <w:rFonts w:ascii="Times New Roman" w:hAnsi="Times New Roman"/>
        </w:rPr>
        <w:t>D(</w:t>
      </w:r>
      <w:proofErr w:type="gramEnd"/>
      <w:r w:rsidRPr="00790760">
        <w:rPr>
          <w:rFonts w:ascii="Times New Roman" w:hAnsi="Times New Roman"/>
        </w:rPr>
        <w:t>5) and its context are particularly important. First,</w:t>
      </w:r>
      <w:r>
        <w:rPr>
          <w:rFonts w:ascii="Times New Roman" w:hAnsi="Times New Roman"/>
        </w:rPr>
        <w:t> </w:t>
      </w:r>
      <w:r w:rsidRPr="00790760">
        <w:rPr>
          <w:rFonts w:ascii="Times New Roman" w:hAnsi="Times New Roman"/>
        </w:rPr>
        <w:t>a</w:t>
      </w:r>
      <w:r>
        <w:rPr>
          <w:rFonts w:ascii="Times New Roman" w:hAnsi="Times New Roman"/>
        </w:rPr>
        <w:t> </w:t>
      </w:r>
      <w:r w:rsidRPr="00790760">
        <w:rPr>
          <w:rFonts w:ascii="Times New Roman" w:hAnsi="Times New Roman"/>
        </w:rPr>
        <w:t>Note to s 321</w:t>
      </w:r>
      <w:proofErr w:type="gramStart"/>
      <w:r w:rsidRPr="00790760">
        <w:rPr>
          <w:rFonts w:ascii="Times New Roman" w:hAnsi="Times New Roman"/>
        </w:rPr>
        <w:t>D(</w:t>
      </w:r>
      <w:proofErr w:type="gramEnd"/>
      <w:r w:rsidRPr="00790760">
        <w:rPr>
          <w:rFonts w:ascii="Times New Roman" w:hAnsi="Times New Roman"/>
        </w:rPr>
        <w:t xml:space="preserve">5) provides that "[a] person may contravene this subsection if the person fails to ensure that particulars are notified or if the particulars notified are incorrect". </w:t>
      </w:r>
    </w:p>
    <w:p w14:paraId="2C9FD9A3"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Second, the particulars are set out in the table referred to in, and following, s 321</w:t>
      </w:r>
      <w:proofErr w:type="gramStart"/>
      <w:r w:rsidRPr="00790760">
        <w:rPr>
          <w:rFonts w:ascii="Times New Roman" w:hAnsi="Times New Roman"/>
        </w:rPr>
        <w:t>D(</w:t>
      </w:r>
      <w:proofErr w:type="gramEnd"/>
      <w:r w:rsidRPr="00790760">
        <w:rPr>
          <w:rFonts w:ascii="Times New Roman" w:hAnsi="Times New Roman"/>
        </w:rPr>
        <w:t>5). The table contains eight items. The required particulars vary according to the form of communication and the nature of the notifying entity (for example, where the communication is authorised by a disclosure entity who is a natural person). Items 3 and 4 are set out below and provide:</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461"/>
        <w:gridCol w:w="3343"/>
        <w:gridCol w:w="2970"/>
      </w:tblGrid>
      <w:tr w:rsidR="0012516B" w:rsidRPr="0060468D" w14:paraId="7275A6CB" w14:textId="77777777" w:rsidTr="003B616D">
        <w:tc>
          <w:tcPr>
            <w:tcW w:w="7774" w:type="dxa"/>
            <w:gridSpan w:val="3"/>
          </w:tcPr>
          <w:p w14:paraId="0B6D12C4" w14:textId="77777777" w:rsidR="0012516B" w:rsidRPr="0060468D" w:rsidRDefault="0012516B" w:rsidP="00790760">
            <w:pPr>
              <w:pStyle w:val="leftright"/>
              <w:keepNext/>
              <w:spacing w:before="0" w:after="260" w:line="280" w:lineRule="exact"/>
              <w:ind w:left="0" w:right="0"/>
              <w:jc w:val="both"/>
              <w:rPr>
                <w:rFonts w:ascii="Times New Roman" w:hAnsi="Times New Roman"/>
                <w:sz w:val="22"/>
                <w:szCs w:val="22"/>
              </w:rPr>
            </w:pPr>
            <w:r w:rsidRPr="0060468D">
              <w:rPr>
                <w:rFonts w:ascii="Times New Roman" w:hAnsi="Times New Roman"/>
                <w:b/>
                <w:bCs/>
                <w:sz w:val="22"/>
                <w:szCs w:val="22"/>
              </w:rPr>
              <w:lastRenderedPageBreak/>
              <w:t>Required particulars</w:t>
            </w:r>
          </w:p>
        </w:tc>
      </w:tr>
      <w:tr w:rsidR="0012516B" w:rsidRPr="0060468D" w14:paraId="0E3B3776" w14:textId="77777777" w:rsidTr="003B616D">
        <w:tc>
          <w:tcPr>
            <w:tcW w:w="1461" w:type="dxa"/>
          </w:tcPr>
          <w:p w14:paraId="268C9F6D" w14:textId="77777777" w:rsidR="0012516B" w:rsidRPr="0060468D" w:rsidRDefault="0012516B" w:rsidP="00790760">
            <w:pPr>
              <w:pStyle w:val="leftright"/>
              <w:keepNext/>
              <w:spacing w:before="0" w:after="260" w:line="280" w:lineRule="exact"/>
              <w:ind w:left="0" w:right="0"/>
              <w:jc w:val="both"/>
              <w:rPr>
                <w:rFonts w:ascii="Times New Roman" w:hAnsi="Times New Roman"/>
                <w:b/>
                <w:bCs/>
                <w:sz w:val="22"/>
                <w:szCs w:val="22"/>
              </w:rPr>
            </w:pPr>
            <w:r w:rsidRPr="0060468D">
              <w:rPr>
                <w:rFonts w:ascii="Times New Roman" w:hAnsi="Times New Roman"/>
                <w:b/>
                <w:bCs/>
                <w:sz w:val="22"/>
                <w:szCs w:val="22"/>
              </w:rPr>
              <w:t>Item</w:t>
            </w:r>
          </w:p>
        </w:tc>
        <w:tc>
          <w:tcPr>
            <w:tcW w:w="3343" w:type="dxa"/>
          </w:tcPr>
          <w:p w14:paraId="7BCCDECD" w14:textId="77777777" w:rsidR="0012516B" w:rsidRPr="0060468D" w:rsidRDefault="0012516B" w:rsidP="00790760">
            <w:pPr>
              <w:pStyle w:val="leftright"/>
              <w:keepNext/>
              <w:spacing w:before="0" w:after="260" w:line="280" w:lineRule="exact"/>
              <w:ind w:left="0" w:right="0"/>
              <w:jc w:val="both"/>
              <w:rPr>
                <w:rFonts w:ascii="Times New Roman" w:hAnsi="Times New Roman"/>
                <w:b/>
                <w:bCs/>
                <w:sz w:val="22"/>
                <w:szCs w:val="22"/>
              </w:rPr>
            </w:pPr>
            <w:r w:rsidRPr="0060468D">
              <w:rPr>
                <w:rFonts w:ascii="Times New Roman" w:hAnsi="Times New Roman"/>
                <w:b/>
                <w:bCs/>
                <w:sz w:val="22"/>
                <w:szCs w:val="22"/>
              </w:rPr>
              <w:t>If ...</w:t>
            </w:r>
          </w:p>
        </w:tc>
        <w:tc>
          <w:tcPr>
            <w:tcW w:w="2970" w:type="dxa"/>
          </w:tcPr>
          <w:p w14:paraId="7D8C663D" w14:textId="77777777" w:rsidR="0012516B" w:rsidRPr="0060468D" w:rsidRDefault="0012516B" w:rsidP="00790760">
            <w:pPr>
              <w:pStyle w:val="leftright"/>
              <w:keepNext/>
              <w:spacing w:before="0" w:after="260" w:line="280" w:lineRule="exact"/>
              <w:ind w:left="0" w:right="0"/>
              <w:jc w:val="both"/>
              <w:rPr>
                <w:rFonts w:ascii="Times New Roman" w:hAnsi="Times New Roman"/>
                <w:b/>
                <w:bCs/>
                <w:sz w:val="22"/>
                <w:szCs w:val="22"/>
              </w:rPr>
            </w:pPr>
            <w:r w:rsidRPr="0060468D">
              <w:rPr>
                <w:rFonts w:ascii="Times New Roman" w:hAnsi="Times New Roman"/>
                <w:b/>
                <w:bCs/>
                <w:sz w:val="22"/>
                <w:szCs w:val="22"/>
              </w:rPr>
              <w:t>the following particulars are required ...</w:t>
            </w:r>
          </w:p>
        </w:tc>
      </w:tr>
      <w:tr w:rsidR="0012516B" w:rsidRPr="0060468D" w14:paraId="08115CEC" w14:textId="77777777" w:rsidTr="003B616D">
        <w:tc>
          <w:tcPr>
            <w:tcW w:w="1461" w:type="dxa"/>
          </w:tcPr>
          <w:p w14:paraId="10CB62BE" w14:textId="77777777" w:rsidR="0012516B" w:rsidRPr="0060468D" w:rsidRDefault="0012516B" w:rsidP="00790760">
            <w:pPr>
              <w:pStyle w:val="leftright"/>
              <w:keepNext/>
              <w:spacing w:before="0" w:after="260" w:line="280" w:lineRule="exact"/>
              <w:ind w:left="0" w:right="0"/>
              <w:jc w:val="both"/>
              <w:rPr>
                <w:rFonts w:ascii="Times New Roman" w:hAnsi="Times New Roman"/>
                <w:sz w:val="22"/>
                <w:szCs w:val="22"/>
              </w:rPr>
            </w:pPr>
            <w:r w:rsidRPr="0060468D">
              <w:rPr>
                <w:rFonts w:ascii="Times New Roman" w:hAnsi="Times New Roman"/>
                <w:sz w:val="22"/>
                <w:szCs w:val="22"/>
              </w:rPr>
              <w:t>...</w:t>
            </w:r>
          </w:p>
        </w:tc>
        <w:tc>
          <w:tcPr>
            <w:tcW w:w="3343" w:type="dxa"/>
          </w:tcPr>
          <w:p w14:paraId="6597C154" w14:textId="77777777" w:rsidR="0012516B" w:rsidRPr="0060468D" w:rsidRDefault="0012516B" w:rsidP="00790760">
            <w:pPr>
              <w:pStyle w:val="leftright"/>
              <w:keepNext/>
              <w:spacing w:before="0" w:after="260" w:line="280" w:lineRule="exact"/>
              <w:ind w:left="0" w:right="0"/>
              <w:jc w:val="both"/>
              <w:rPr>
                <w:rFonts w:ascii="Times New Roman" w:hAnsi="Times New Roman"/>
                <w:sz w:val="22"/>
                <w:szCs w:val="22"/>
              </w:rPr>
            </w:pPr>
            <w:r w:rsidRPr="0060468D">
              <w:rPr>
                <w:rFonts w:ascii="Times New Roman" w:hAnsi="Times New Roman"/>
                <w:sz w:val="22"/>
                <w:szCs w:val="22"/>
              </w:rPr>
              <w:t>...</w:t>
            </w:r>
          </w:p>
        </w:tc>
        <w:tc>
          <w:tcPr>
            <w:tcW w:w="2970" w:type="dxa"/>
          </w:tcPr>
          <w:p w14:paraId="09E09719" w14:textId="77777777" w:rsidR="0012516B" w:rsidRPr="0060468D" w:rsidRDefault="0012516B" w:rsidP="00790760">
            <w:pPr>
              <w:pStyle w:val="leftright"/>
              <w:keepNext/>
              <w:spacing w:before="0" w:after="260" w:line="280" w:lineRule="exact"/>
              <w:ind w:left="0" w:right="0"/>
              <w:jc w:val="both"/>
              <w:rPr>
                <w:rFonts w:ascii="Times New Roman" w:hAnsi="Times New Roman"/>
                <w:sz w:val="22"/>
                <w:szCs w:val="22"/>
              </w:rPr>
            </w:pPr>
            <w:r w:rsidRPr="0060468D">
              <w:rPr>
                <w:rFonts w:ascii="Times New Roman" w:hAnsi="Times New Roman"/>
                <w:sz w:val="22"/>
                <w:szCs w:val="22"/>
              </w:rPr>
              <w:t>...</w:t>
            </w:r>
          </w:p>
        </w:tc>
      </w:tr>
      <w:tr w:rsidR="0012516B" w:rsidRPr="0060468D" w14:paraId="24582460" w14:textId="77777777" w:rsidTr="003B616D">
        <w:tc>
          <w:tcPr>
            <w:tcW w:w="1461" w:type="dxa"/>
          </w:tcPr>
          <w:p w14:paraId="1D267E1D" w14:textId="77777777" w:rsidR="0012516B" w:rsidRPr="0060468D" w:rsidRDefault="0012516B" w:rsidP="00790760">
            <w:pPr>
              <w:pStyle w:val="leftright"/>
              <w:keepNext/>
              <w:spacing w:before="0" w:after="260" w:line="280" w:lineRule="exact"/>
              <w:ind w:left="0" w:right="0"/>
              <w:jc w:val="both"/>
              <w:rPr>
                <w:rFonts w:ascii="Times New Roman" w:hAnsi="Times New Roman"/>
                <w:sz w:val="22"/>
                <w:szCs w:val="22"/>
              </w:rPr>
            </w:pPr>
            <w:r w:rsidRPr="0060468D">
              <w:rPr>
                <w:rFonts w:ascii="Times New Roman" w:hAnsi="Times New Roman"/>
                <w:sz w:val="22"/>
                <w:szCs w:val="22"/>
              </w:rPr>
              <w:t>3</w:t>
            </w:r>
          </w:p>
        </w:tc>
        <w:tc>
          <w:tcPr>
            <w:tcW w:w="3343" w:type="dxa"/>
          </w:tcPr>
          <w:p w14:paraId="68C0D0BC" w14:textId="77777777" w:rsidR="0012516B" w:rsidRPr="0060468D" w:rsidRDefault="0012516B" w:rsidP="00790760">
            <w:pPr>
              <w:pStyle w:val="leftright"/>
              <w:keepNext/>
              <w:spacing w:before="0" w:after="260" w:line="280" w:lineRule="exact"/>
              <w:ind w:left="0" w:right="0"/>
              <w:jc w:val="both"/>
              <w:rPr>
                <w:rFonts w:ascii="Times New Roman" w:hAnsi="Times New Roman"/>
                <w:sz w:val="22"/>
                <w:szCs w:val="22"/>
              </w:rPr>
            </w:pPr>
            <w:r w:rsidRPr="0060468D">
              <w:rPr>
                <w:rFonts w:ascii="Times New Roman" w:hAnsi="Times New Roman"/>
                <w:sz w:val="22"/>
                <w:szCs w:val="22"/>
              </w:rPr>
              <w:t>the communication is a sticker, fridge magnet, leaflet, flyer, pamphlet, notice, poster or how</w:t>
            </w:r>
            <w:r w:rsidRPr="0060468D">
              <w:rPr>
                <w:rFonts w:ascii="Times New Roman" w:hAnsi="Times New Roman"/>
                <w:sz w:val="22"/>
                <w:szCs w:val="22"/>
              </w:rPr>
              <w:noBreakHyphen/>
              <w:t>to</w:t>
            </w:r>
            <w:r w:rsidRPr="0060468D">
              <w:rPr>
                <w:rFonts w:ascii="Times New Roman" w:hAnsi="Times New Roman"/>
                <w:sz w:val="22"/>
                <w:szCs w:val="22"/>
              </w:rPr>
              <w:noBreakHyphen/>
              <w:t>vote card authorised by a disclosure entity who</w:t>
            </w:r>
            <w:r w:rsidRPr="0060468D" w:rsidDel="007852C5">
              <w:rPr>
                <w:rFonts w:ascii="Times New Roman" w:hAnsi="Times New Roman"/>
                <w:sz w:val="22"/>
                <w:szCs w:val="22"/>
              </w:rPr>
              <w:t xml:space="preserve"> is </w:t>
            </w:r>
            <w:r w:rsidRPr="0060468D">
              <w:rPr>
                <w:rFonts w:ascii="Times New Roman" w:hAnsi="Times New Roman"/>
                <w:sz w:val="22"/>
                <w:szCs w:val="22"/>
              </w:rPr>
              <w:t>a natural person</w:t>
            </w:r>
          </w:p>
        </w:tc>
        <w:tc>
          <w:tcPr>
            <w:tcW w:w="2970" w:type="dxa"/>
          </w:tcPr>
          <w:p w14:paraId="4814B0F6" w14:textId="77777777" w:rsidR="0012516B" w:rsidRPr="0060468D" w:rsidRDefault="0012516B" w:rsidP="00790760">
            <w:pPr>
              <w:pStyle w:val="leftright"/>
              <w:keepNext/>
              <w:spacing w:before="0" w:after="260" w:line="280" w:lineRule="exact"/>
              <w:ind w:right="0" w:hanging="720"/>
              <w:jc w:val="both"/>
              <w:rPr>
                <w:rFonts w:ascii="Times New Roman" w:hAnsi="Times New Roman"/>
                <w:sz w:val="22"/>
                <w:szCs w:val="22"/>
              </w:rPr>
            </w:pPr>
            <w:r w:rsidRPr="0060468D">
              <w:rPr>
                <w:rFonts w:ascii="Times New Roman" w:hAnsi="Times New Roman"/>
                <w:sz w:val="22"/>
                <w:szCs w:val="22"/>
              </w:rPr>
              <w:t>(a)</w:t>
            </w:r>
            <w:r w:rsidRPr="0060468D">
              <w:rPr>
                <w:rFonts w:ascii="Times New Roman" w:hAnsi="Times New Roman"/>
                <w:sz w:val="22"/>
                <w:szCs w:val="22"/>
              </w:rPr>
              <w:tab/>
              <w:t xml:space="preserve">the name of the </w:t>
            </w:r>
            <w:proofErr w:type="gramStart"/>
            <w:r w:rsidRPr="0060468D">
              <w:rPr>
                <w:rFonts w:ascii="Times New Roman" w:hAnsi="Times New Roman"/>
                <w:sz w:val="22"/>
                <w:szCs w:val="22"/>
              </w:rPr>
              <w:t>person;</w:t>
            </w:r>
            <w:proofErr w:type="gramEnd"/>
          </w:p>
          <w:p w14:paraId="5CD5A016" w14:textId="77777777" w:rsidR="0012516B" w:rsidRPr="0060468D" w:rsidRDefault="0012516B" w:rsidP="00790760">
            <w:pPr>
              <w:pStyle w:val="leftright"/>
              <w:keepNext/>
              <w:spacing w:before="0" w:after="260" w:line="280" w:lineRule="exact"/>
              <w:ind w:right="0" w:hanging="720"/>
              <w:jc w:val="both"/>
              <w:rPr>
                <w:rFonts w:ascii="Times New Roman" w:hAnsi="Times New Roman"/>
                <w:sz w:val="22"/>
                <w:szCs w:val="22"/>
              </w:rPr>
            </w:pPr>
            <w:r w:rsidRPr="0060468D">
              <w:rPr>
                <w:rFonts w:ascii="Times New Roman" w:hAnsi="Times New Roman"/>
                <w:sz w:val="22"/>
                <w:szCs w:val="22"/>
              </w:rPr>
              <w:t>(b)</w:t>
            </w:r>
            <w:r w:rsidRPr="0060468D">
              <w:rPr>
                <w:rFonts w:ascii="Times New Roman" w:hAnsi="Times New Roman"/>
                <w:sz w:val="22"/>
                <w:szCs w:val="22"/>
              </w:rPr>
              <w:tab/>
              <w:t>the address of the </w:t>
            </w:r>
            <w:proofErr w:type="gramStart"/>
            <w:r w:rsidRPr="0060468D">
              <w:rPr>
                <w:rFonts w:ascii="Times New Roman" w:hAnsi="Times New Roman"/>
                <w:sz w:val="22"/>
                <w:szCs w:val="22"/>
              </w:rPr>
              <w:t>person;</w:t>
            </w:r>
            <w:proofErr w:type="gramEnd"/>
          </w:p>
          <w:p w14:paraId="0A6B5A37" w14:textId="77777777" w:rsidR="0012516B" w:rsidRPr="0060468D" w:rsidRDefault="0012516B" w:rsidP="00790760">
            <w:pPr>
              <w:pStyle w:val="leftright"/>
              <w:keepNext/>
              <w:spacing w:before="0" w:after="260" w:line="280" w:lineRule="exact"/>
              <w:ind w:right="0" w:hanging="720"/>
              <w:jc w:val="both"/>
              <w:rPr>
                <w:rFonts w:ascii="Times New Roman" w:hAnsi="Times New Roman"/>
                <w:sz w:val="22"/>
                <w:szCs w:val="22"/>
              </w:rPr>
            </w:pPr>
            <w:r w:rsidRPr="0060468D">
              <w:rPr>
                <w:rFonts w:ascii="Times New Roman" w:hAnsi="Times New Roman"/>
                <w:sz w:val="22"/>
                <w:szCs w:val="22"/>
              </w:rPr>
              <w:t>(c)</w:t>
            </w:r>
            <w:r w:rsidRPr="0060468D">
              <w:rPr>
                <w:rFonts w:ascii="Times New Roman" w:hAnsi="Times New Roman"/>
                <w:sz w:val="22"/>
                <w:szCs w:val="22"/>
              </w:rPr>
              <w:tab/>
              <w:t>the name of the printer who printed the </w:t>
            </w:r>
            <w:proofErr w:type="gramStart"/>
            <w:r w:rsidRPr="0060468D">
              <w:rPr>
                <w:rFonts w:ascii="Times New Roman" w:hAnsi="Times New Roman"/>
                <w:sz w:val="22"/>
                <w:szCs w:val="22"/>
              </w:rPr>
              <w:t>communication;</w:t>
            </w:r>
            <w:proofErr w:type="gramEnd"/>
          </w:p>
          <w:p w14:paraId="5370AAE0" w14:textId="77777777" w:rsidR="0012516B" w:rsidRPr="0060468D" w:rsidRDefault="0012516B" w:rsidP="00790760">
            <w:pPr>
              <w:pStyle w:val="leftright"/>
              <w:keepNext/>
              <w:spacing w:before="0" w:after="260" w:line="280" w:lineRule="exact"/>
              <w:ind w:right="0" w:hanging="720"/>
              <w:jc w:val="both"/>
              <w:rPr>
                <w:rFonts w:ascii="Times New Roman" w:hAnsi="Times New Roman"/>
                <w:sz w:val="22"/>
                <w:szCs w:val="22"/>
              </w:rPr>
            </w:pPr>
            <w:r w:rsidRPr="0060468D">
              <w:rPr>
                <w:rFonts w:ascii="Times New Roman" w:hAnsi="Times New Roman"/>
                <w:sz w:val="22"/>
                <w:szCs w:val="22"/>
              </w:rPr>
              <w:t>(d)</w:t>
            </w:r>
            <w:r w:rsidRPr="0060468D">
              <w:rPr>
                <w:rFonts w:ascii="Times New Roman" w:hAnsi="Times New Roman"/>
                <w:sz w:val="22"/>
                <w:szCs w:val="22"/>
              </w:rPr>
              <w:tab/>
              <w:t>the address of the printer</w:t>
            </w:r>
          </w:p>
        </w:tc>
      </w:tr>
      <w:tr w:rsidR="0012516B" w:rsidRPr="0060468D" w14:paraId="17771DB5" w14:textId="77777777" w:rsidTr="003B616D">
        <w:tc>
          <w:tcPr>
            <w:tcW w:w="1461" w:type="dxa"/>
          </w:tcPr>
          <w:p w14:paraId="647837E9" w14:textId="77777777" w:rsidR="0012516B" w:rsidRPr="0060468D" w:rsidRDefault="0012516B" w:rsidP="00790760">
            <w:pPr>
              <w:pStyle w:val="leftright"/>
              <w:spacing w:before="0" w:after="260" w:line="280" w:lineRule="exact"/>
              <w:ind w:left="0" w:right="0"/>
              <w:jc w:val="both"/>
              <w:rPr>
                <w:rFonts w:ascii="Times New Roman" w:hAnsi="Times New Roman"/>
                <w:sz w:val="22"/>
                <w:szCs w:val="22"/>
              </w:rPr>
            </w:pPr>
            <w:r w:rsidRPr="0060468D">
              <w:rPr>
                <w:rFonts w:ascii="Times New Roman" w:hAnsi="Times New Roman"/>
                <w:sz w:val="22"/>
                <w:szCs w:val="22"/>
              </w:rPr>
              <w:t>4</w:t>
            </w:r>
          </w:p>
        </w:tc>
        <w:tc>
          <w:tcPr>
            <w:tcW w:w="3343" w:type="dxa"/>
          </w:tcPr>
          <w:p w14:paraId="7305D8F5" w14:textId="77777777" w:rsidR="0012516B" w:rsidRPr="0060468D" w:rsidRDefault="0012516B" w:rsidP="00790760">
            <w:pPr>
              <w:pStyle w:val="leftright"/>
              <w:spacing w:before="0" w:after="260" w:line="280" w:lineRule="exact"/>
              <w:ind w:left="0" w:right="0"/>
              <w:jc w:val="both"/>
              <w:rPr>
                <w:rFonts w:ascii="Times New Roman" w:hAnsi="Times New Roman"/>
                <w:sz w:val="22"/>
                <w:szCs w:val="22"/>
              </w:rPr>
            </w:pPr>
            <w:r w:rsidRPr="0060468D">
              <w:rPr>
                <w:rFonts w:ascii="Times New Roman" w:hAnsi="Times New Roman"/>
                <w:sz w:val="22"/>
                <w:szCs w:val="22"/>
              </w:rPr>
              <w:t>the communication is any other communication authorised by a disclosure entity who is a natural person</w:t>
            </w:r>
          </w:p>
        </w:tc>
        <w:tc>
          <w:tcPr>
            <w:tcW w:w="2970" w:type="dxa"/>
          </w:tcPr>
          <w:p w14:paraId="42611DC0" w14:textId="77777777" w:rsidR="0012516B" w:rsidRPr="0060468D" w:rsidRDefault="0012516B" w:rsidP="00790760">
            <w:pPr>
              <w:pStyle w:val="leftright"/>
              <w:spacing w:before="0" w:after="260" w:line="280" w:lineRule="exact"/>
              <w:ind w:right="0" w:hanging="720"/>
              <w:jc w:val="both"/>
              <w:rPr>
                <w:rFonts w:ascii="Times New Roman" w:hAnsi="Times New Roman"/>
                <w:sz w:val="22"/>
                <w:szCs w:val="22"/>
              </w:rPr>
            </w:pPr>
            <w:r w:rsidRPr="0060468D">
              <w:rPr>
                <w:rFonts w:ascii="Times New Roman" w:hAnsi="Times New Roman"/>
                <w:sz w:val="22"/>
                <w:szCs w:val="22"/>
              </w:rPr>
              <w:t>(a)</w:t>
            </w:r>
            <w:r w:rsidRPr="0060468D">
              <w:rPr>
                <w:rFonts w:ascii="Times New Roman" w:hAnsi="Times New Roman"/>
                <w:sz w:val="22"/>
                <w:szCs w:val="22"/>
              </w:rPr>
              <w:tab/>
              <w:t xml:space="preserve">the name of the </w:t>
            </w:r>
            <w:proofErr w:type="gramStart"/>
            <w:r w:rsidRPr="0060468D">
              <w:rPr>
                <w:rFonts w:ascii="Times New Roman" w:hAnsi="Times New Roman"/>
                <w:sz w:val="22"/>
                <w:szCs w:val="22"/>
              </w:rPr>
              <w:t>person;</w:t>
            </w:r>
            <w:proofErr w:type="gramEnd"/>
          </w:p>
          <w:p w14:paraId="22BF1436" w14:textId="77777777" w:rsidR="0012516B" w:rsidRPr="0060468D" w:rsidRDefault="0012516B" w:rsidP="00790760">
            <w:pPr>
              <w:pStyle w:val="leftright"/>
              <w:spacing w:before="0" w:after="260" w:line="280" w:lineRule="exact"/>
              <w:ind w:right="0" w:hanging="720"/>
              <w:jc w:val="both"/>
              <w:rPr>
                <w:rFonts w:ascii="Times New Roman" w:hAnsi="Times New Roman"/>
                <w:sz w:val="22"/>
                <w:szCs w:val="22"/>
              </w:rPr>
            </w:pPr>
            <w:r w:rsidRPr="0060468D">
              <w:rPr>
                <w:rFonts w:ascii="Times New Roman" w:hAnsi="Times New Roman"/>
                <w:sz w:val="22"/>
                <w:szCs w:val="22"/>
              </w:rPr>
              <w:t>(b)</w:t>
            </w:r>
            <w:r w:rsidRPr="0060468D">
              <w:rPr>
                <w:rFonts w:ascii="Times New Roman" w:hAnsi="Times New Roman"/>
                <w:sz w:val="22"/>
                <w:szCs w:val="22"/>
              </w:rPr>
              <w:tab/>
              <w:t>the relevant town or city of the person</w:t>
            </w:r>
          </w:p>
        </w:tc>
      </w:tr>
    </w:tbl>
    <w:p w14:paraId="4FBB642C" w14:textId="77777777" w:rsidR="0012516B" w:rsidRPr="00790760" w:rsidRDefault="0012516B" w:rsidP="00A311EE">
      <w:pPr>
        <w:pStyle w:val="NormalBody"/>
        <w:spacing w:before="260" w:after="260" w:line="280" w:lineRule="exact"/>
        <w:ind w:right="0"/>
        <w:jc w:val="both"/>
        <w:rPr>
          <w:rFonts w:ascii="Times New Roman" w:hAnsi="Times New Roman"/>
        </w:rPr>
      </w:pPr>
      <w:r w:rsidRPr="00790760">
        <w:rPr>
          <w:rFonts w:ascii="Times New Roman" w:hAnsi="Times New Roman"/>
        </w:rPr>
        <w:t>Item 4 is applicable to this appeal.</w:t>
      </w:r>
    </w:p>
    <w:p w14:paraId="62FEC765"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Third, the obligation in s 321</w:t>
      </w:r>
      <w:proofErr w:type="gramStart"/>
      <w:r w:rsidRPr="00790760">
        <w:rPr>
          <w:rFonts w:ascii="Times New Roman" w:hAnsi="Times New Roman"/>
        </w:rPr>
        <w:t>D(</w:t>
      </w:r>
      <w:proofErr w:type="gramEnd"/>
      <w:r w:rsidRPr="00790760">
        <w:rPr>
          <w:rFonts w:ascii="Times New Roman" w:hAnsi="Times New Roman"/>
        </w:rPr>
        <w:t>5) only applies where the communication is in relation to "electoral matter".</w:t>
      </w:r>
      <w:r w:rsidRPr="00790760">
        <w:rPr>
          <w:rStyle w:val="FootnoteReference"/>
          <w:rFonts w:ascii="Times New Roman" w:hAnsi="Times New Roman"/>
          <w:sz w:val="24"/>
        </w:rPr>
        <w:footnoteReference w:id="25"/>
      </w:r>
      <w:r w:rsidRPr="00790760">
        <w:rPr>
          <w:rFonts w:ascii="Times New Roman" w:hAnsi="Times New Roman"/>
        </w:rPr>
        <w:t xml:space="preserve"> "Electoral matter" is defined in s 4AA(1):</w:t>
      </w:r>
    </w:p>
    <w:p w14:paraId="63345E9B" w14:textId="77777777" w:rsidR="0012516B" w:rsidRPr="00790760" w:rsidRDefault="0012516B" w:rsidP="00790760">
      <w:pPr>
        <w:pStyle w:val="leftright"/>
        <w:spacing w:before="0" w:after="260" w:line="280" w:lineRule="exact"/>
        <w:ind w:right="0"/>
        <w:jc w:val="both"/>
        <w:rPr>
          <w:rFonts w:ascii="Times New Roman" w:hAnsi="Times New Roman"/>
        </w:rPr>
      </w:pPr>
      <w:r w:rsidRPr="00790760">
        <w:rPr>
          <w:rFonts w:ascii="Times New Roman" w:hAnsi="Times New Roman"/>
        </w:rPr>
        <w:t>"</w:t>
      </w:r>
      <w:r w:rsidRPr="00790760">
        <w:rPr>
          <w:rFonts w:ascii="Times New Roman" w:hAnsi="Times New Roman"/>
          <w:b/>
          <w:bCs/>
          <w:i/>
          <w:iCs/>
        </w:rPr>
        <w:t xml:space="preserve">Electoral matter </w:t>
      </w:r>
      <w:r w:rsidRPr="00790760">
        <w:rPr>
          <w:rFonts w:ascii="Times New Roman" w:hAnsi="Times New Roman"/>
        </w:rPr>
        <w:t xml:space="preserve">means matter communicated or intended to be communicated for the dominant purpose of influencing the way electors vote in an election (a </w:t>
      </w:r>
      <w:r w:rsidRPr="00790760">
        <w:rPr>
          <w:rFonts w:ascii="Times New Roman" w:hAnsi="Times New Roman"/>
          <w:b/>
          <w:bCs/>
          <w:i/>
          <w:iCs/>
        </w:rPr>
        <w:t>federal election</w:t>
      </w:r>
      <w:r w:rsidRPr="00790760">
        <w:rPr>
          <w:rFonts w:ascii="Times New Roman" w:hAnsi="Times New Roman"/>
        </w:rPr>
        <w:t>) of a member of the House of Representatives or of Senators for a State or Territory, including by promoting or opposing:</w:t>
      </w:r>
    </w:p>
    <w:p w14:paraId="6B1E563E" w14:textId="77777777" w:rsidR="0012516B" w:rsidRPr="00790760" w:rsidRDefault="0012516B" w:rsidP="00790760">
      <w:pPr>
        <w:pStyle w:val="leftright"/>
        <w:spacing w:before="0" w:after="260" w:line="280" w:lineRule="exact"/>
        <w:ind w:left="1440" w:right="0" w:hanging="720"/>
        <w:jc w:val="both"/>
        <w:rPr>
          <w:rFonts w:ascii="Times New Roman" w:hAnsi="Times New Roman"/>
        </w:rPr>
      </w:pPr>
      <w:r w:rsidRPr="00790760">
        <w:rPr>
          <w:rFonts w:ascii="Times New Roman" w:hAnsi="Times New Roman"/>
        </w:rPr>
        <w:t>(a)</w:t>
      </w:r>
      <w:r w:rsidRPr="00790760">
        <w:rPr>
          <w:rFonts w:ascii="Times New Roman" w:hAnsi="Times New Roman"/>
        </w:rPr>
        <w:tab/>
        <w:t>a political entity, to the extent that the matter relates to a federal election; or</w:t>
      </w:r>
    </w:p>
    <w:p w14:paraId="05DF84FC" w14:textId="77777777" w:rsidR="0012516B" w:rsidRDefault="0012516B" w:rsidP="00790760">
      <w:pPr>
        <w:pStyle w:val="leftright"/>
        <w:spacing w:before="0" w:after="260" w:line="280" w:lineRule="exact"/>
        <w:ind w:left="1440" w:right="0" w:hanging="720"/>
        <w:jc w:val="both"/>
        <w:rPr>
          <w:rFonts w:ascii="Times New Roman" w:hAnsi="Times New Roman"/>
        </w:rPr>
      </w:pPr>
      <w:r w:rsidRPr="00790760">
        <w:rPr>
          <w:rFonts w:ascii="Times New Roman" w:hAnsi="Times New Roman"/>
        </w:rPr>
        <w:t>(b)</w:t>
      </w:r>
      <w:r w:rsidRPr="00790760">
        <w:rPr>
          <w:rFonts w:ascii="Times New Roman" w:hAnsi="Times New Roman"/>
        </w:rPr>
        <w:tab/>
        <w:t>a member of the House of Representatives or a Senator."</w:t>
      </w:r>
    </w:p>
    <w:p w14:paraId="6AFD5FC8"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Section 4</w:t>
      </w:r>
      <w:proofErr w:type="gramStart"/>
      <w:r w:rsidRPr="00790760">
        <w:rPr>
          <w:rFonts w:ascii="Times New Roman" w:hAnsi="Times New Roman"/>
        </w:rPr>
        <w:t>AA(</w:t>
      </w:r>
      <w:proofErr w:type="gramEnd"/>
      <w:r w:rsidRPr="00790760">
        <w:rPr>
          <w:rFonts w:ascii="Times New Roman" w:hAnsi="Times New Roman"/>
        </w:rPr>
        <w:t>2) then provides that, for the purposes of s 4AA(1), "each</w:t>
      </w:r>
      <w:r>
        <w:rPr>
          <w:rFonts w:ascii="Times New Roman" w:hAnsi="Times New Roman"/>
        </w:rPr>
        <w:t> </w:t>
      </w:r>
      <w:r w:rsidRPr="00790760">
        <w:rPr>
          <w:rFonts w:ascii="Times New Roman" w:hAnsi="Times New Roman"/>
        </w:rPr>
        <w:t xml:space="preserve">creation, recreation, communication or recommunication of matter is to be treated separately for the purposes of determining whether matter is </w:t>
      </w:r>
      <w:r w:rsidRPr="00790760">
        <w:rPr>
          <w:rFonts w:ascii="Times New Roman" w:hAnsi="Times New Roman"/>
        </w:rPr>
        <w:lastRenderedPageBreak/>
        <w:t>electoral</w:t>
      </w:r>
      <w:r>
        <w:rPr>
          <w:rFonts w:ascii="Times New Roman" w:hAnsi="Times New Roman"/>
        </w:rPr>
        <w:t> </w:t>
      </w:r>
      <w:r w:rsidRPr="00790760">
        <w:rPr>
          <w:rFonts w:ascii="Times New Roman" w:hAnsi="Times New Roman"/>
        </w:rPr>
        <w:t>matter". The Note to s 4</w:t>
      </w:r>
      <w:proofErr w:type="gramStart"/>
      <w:r w:rsidRPr="00790760">
        <w:rPr>
          <w:rFonts w:ascii="Times New Roman" w:hAnsi="Times New Roman"/>
        </w:rPr>
        <w:t>AA(</w:t>
      </w:r>
      <w:proofErr w:type="gramEnd"/>
      <w:r w:rsidRPr="00790760">
        <w:rPr>
          <w:rFonts w:ascii="Times New Roman" w:hAnsi="Times New Roman"/>
        </w:rPr>
        <w:t>2) provides, by way of example, that matter that is covered by an exception (such as a news report</w:t>
      </w:r>
      <w:r w:rsidRPr="00790760">
        <w:rPr>
          <w:rStyle w:val="FootnoteReference"/>
          <w:rFonts w:ascii="Times New Roman" w:hAnsi="Times New Roman"/>
          <w:sz w:val="24"/>
        </w:rPr>
        <w:footnoteReference w:id="26"/>
      </w:r>
      <w:r w:rsidRPr="00790760">
        <w:rPr>
          <w:rFonts w:ascii="Times New Roman" w:hAnsi="Times New Roman"/>
        </w:rPr>
        <w:t>) when originally communicated may become electoral matter if recommunicated for the dominant purpose referred to in s 4AA(1).</w:t>
      </w:r>
    </w:p>
    <w:p w14:paraId="15506A41" w14:textId="77777777" w:rsidR="0012516B" w:rsidRPr="00790760" w:rsidRDefault="0012516B" w:rsidP="00790760">
      <w:pPr>
        <w:pStyle w:val="FixListStyle"/>
        <w:spacing w:after="260" w:line="280" w:lineRule="exact"/>
        <w:ind w:right="0"/>
        <w:jc w:val="both"/>
        <w:rPr>
          <w:rFonts w:ascii="Times New Roman" w:hAnsi="Times New Roman"/>
        </w:rPr>
      </w:pPr>
      <w:r w:rsidRPr="00790760" w:rsidDel="008875E0">
        <w:rPr>
          <w:rFonts w:ascii="Times New Roman" w:hAnsi="Times New Roman"/>
        </w:rPr>
        <w:tab/>
      </w:r>
      <w:r w:rsidRPr="00790760">
        <w:rPr>
          <w:rFonts w:ascii="Times New Roman" w:hAnsi="Times New Roman"/>
        </w:rPr>
        <w:t>Finally, s 321E provides for the geographical scope of s 321D. Section 321</w:t>
      </w:r>
      <w:proofErr w:type="gramStart"/>
      <w:r w:rsidRPr="00790760">
        <w:rPr>
          <w:rFonts w:ascii="Times New Roman" w:hAnsi="Times New Roman"/>
        </w:rPr>
        <w:t>E(</w:t>
      </w:r>
      <w:proofErr w:type="gramEnd"/>
      <w:r w:rsidRPr="00790760">
        <w:rPr>
          <w:rFonts w:ascii="Times New Roman" w:hAnsi="Times New Roman"/>
        </w:rPr>
        <w:t>1) relevantly provides that a person does not contravene s 321D unless the conduct constituting the alleged contravention occurs wholly or partly in Australia</w:t>
      </w:r>
      <w:r w:rsidRPr="00790760">
        <w:rPr>
          <w:rStyle w:val="FootnoteReference"/>
          <w:rFonts w:ascii="Times New Roman" w:hAnsi="Times New Roman"/>
          <w:sz w:val="24"/>
        </w:rPr>
        <w:footnoteReference w:id="27"/>
      </w:r>
      <w:r w:rsidRPr="00790760">
        <w:rPr>
          <w:rFonts w:ascii="Times New Roman" w:hAnsi="Times New Roman"/>
        </w:rPr>
        <w:t xml:space="preserve"> or the conduct constituting the alleged contravention occurs wholly outside Australia and a result of the conduct occurs wholly or partly in Australia.</w:t>
      </w:r>
      <w:r w:rsidRPr="00790760">
        <w:rPr>
          <w:rStyle w:val="FootnoteReference"/>
          <w:rFonts w:ascii="Times New Roman" w:hAnsi="Times New Roman"/>
          <w:sz w:val="24"/>
        </w:rPr>
        <w:footnoteReference w:id="28"/>
      </w:r>
    </w:p>
    <w:p w14:paraId="4908F6FC" w14:textId="77777777" w:rsidR="0012516B" w:rsidRPr="00790760" w:rsidRDefault="0012516B" w:rsidP="00790760">
      <w:pPr>
        <w:pStyle w:val="HeadingL1"/>
        <w:spacing w:after="260" w:line="280" w:lineRule="exact"/>
        <w:ind w:right="0"/>
        <w:jc w:val="both"/>
        <w:rPr>
          <w:rFonts w:ascii="Times New Roman" w:hAnsi="Times New Roman"/>
        </w:rPr>
      </w:pPr>
      <w:r w:rsidRPr="00790760">
        <w:rPr>
          <w:rFonts w:ascii="Times New Roman" w:hAnsi="Times New Roman"/>
        </w:rPr>
        <w:t>Construction</w:t>
      </w:r>
    </w:p>
    <w:p w14:paraId="77F8044D"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This appeal concerns a difficult question of construction of s 321D in its application to posts on a Facebook page. As will be explained, I consider the</w:t>
      </w:r>
      <w:r>
        <w:rPr>
          <w:rFonts w:ascii="Times New Roman" w:hAnsi="Times New Roman"/>
        </w:rPr>
        <w:t> </w:t>
      </w:r>
      <w:r w:rsidRPr="00790760">
        <w:rPr>
          <w:rFonts w:ascii="Times New Roman" w:hAnsi="Times New Roman"/>
        </w:rPr>
        <w:t>preferable view to be that a contravention of s 321D is determined by reference to the act of the contravener – namely, in this case, by the act of publishing posts on Facebook – as opposed to the acts of the recipients in viewing the posts. In other words, there is a contravention each time a person publishes the electoral matter by posting a post on Facebook, not each time a person views the post.</w:t>
      </w:r>
    </w:p>
    <w:p w14:paraId="00C9E740" w14:textId="77777777" w:rsidR="0012516B" w:rsidRPr="00790760" w:rsidRDefault="0012516B" w:rsidP="00790760">
      <w:pPr>
        <w:pStyle w:val="HeadingL2"/>
        <w:spacing w:after="260" w:line="280" w:lineRule="exact"/>
        <w:ind w:right="0"/>
        <w:jc w:val="both"/>
        <w:rPr>
          <w:rFonts w:ascii="Times New Roman" w:hAnsi="Times New Roman"/>
        </w:rPr>
      </w:pPr>
      <w:r w:rsidRPr="00790760">
        <w:rPr>
          <w:rFonts w:ascii="Times New Roman" w:hAnsi="Times New Roman"/>
        </w:rPr>
        <w:t>Text</w:t>
      </w:r>
    </w:p>
    <w:p w14:paraId="5CB93DAB" w14:textId="77777777" w:rsidR="0012516B" w:rsidRPr="00790760" w:rsidRDefault="0012516B" w:rsidP="00790760">
      <w:pPr>
        <w:pStyle w:val="FixListStyle"/>
        <w:spacing w:after="260" w:line="280" w:lineRule="exact"/>
        <w:ind w:right="0"/>
        <w:jc w:val="both"/>
        <w:rPr>
          <w:rFonts w:ascii="Times New Roman" w:hAnsi="Times New Roman"/>
        </w:rPr>
      </w:pPr>
      <w:bookmarkStart w:id="0" w:name="_Ref193972404"/>
      <w:r w:rsidRPr="00790760">
        <w:rPr>
          <w:rFonts w:ascii="Times New Roman" w:hAnsi="Times New Roman"/>
        </w:rPr>
        <w:tab/>
        <w:t>First, the text of s 321</w:t>
      </w:r>
      <w:proofErr w:type="gramStart"/>
      <w:r w:rsidRPr="00790760">
        <w:rPr>
          <w:rFonts w:ascii="Times New Roman" w:hAnsi="Times New Roman"/>
        </w:rPr>
        <w:t>D(</w:t>
      </w:r>
      <w:proofErr w:type="gramEnd"/>
      <w:r w:rsidRPr="00790760">
        <w:rPr>
          <w:rFonts w:ascii="Times New Roman" w:hAnsi="Times New Roman"/>
        </w:rPr>
        <w:t>5) suggests that there is one act of contravention which is determined by reference to the conduct of the contravener, not by reference to the acts of the recipients.</w:t>
      </w:r>
      <w:bookmarkEnd w:id="0"/>
      <w:r w:rsidRPr="00790760">
        <w:rPr>
          <w:rFonts w:ascii="Times New Roman" w:hAnsi="Times New Roman"/>
        </w:rPr>
        <w:t xml:space="preserve"> Section 321</w:t>
      </w:r>
      <w:proofErr w:type="gramStart"/>
      <w:r w:rsidRPr="00790760">
        <w:rPr>
          <w:rFonts w:ascii="Times New Roman" w:hAnsi="Times New Roman"/>
        </w:rPr>
        <w:t>D(</w:t>
      </w:r>
      <w:proofErr w:type="gramEnd"/>
      <w:r w:rsidRPr="00790760">
        <w:rPr>
          <w:rFonts w:ascii="Times New Roman" w:hAnsi="Times New Roman"/>
        </w:rPr>
        <w:t>5) provides that the</w:t>
      </w:r>
      <w:r>
        <w:rPr>
          <w:rFonts w:ascii="Times New Roman" w:hAnsi="Times New Roman"/>
        </w:rPr>
        <w:t> </w:t>
      </w:r>
      <w:r w:rsidRPr="00790760">
        <w:rPr>
          <w:rFonts w:ascii="Times New Roman" w:hAnsi="Times New Roman"/>
        </w:rPr>
        <w:t>"notifying</w:t>
      </w:r>
      <w:r>
        <w:rPr>
          <w:rFonts w:ascii="Times New Roman" w:hAnsi="Times New Roman"/>
        </w:rPr>
        <w:t> </w:t>
      </w:r>
      <w:r w:rsidRPr="00790760">
        <w:rPr>
          <w:rFonts w:ascii="Times New Roman" w:hAnsi="Times New Roman"/>
        </w:rPr>
        <w:t>entity must ensure" that certain particulars are notified in accordance with certain requirements. The focus of the provision is on the act of the notifying entity and their positive obligation to "ensure" that the identified particulars are notified with the electoral matter. As such, the operation of the</w:t>
      </w:r>
      <w:r>
        <w:rPr>
          <w:rFonts w:ascii="Times New Roman" w:hAnsi="Times New Roman"/>
        </w:rPr>
        <w:t> </w:t>
      </w:r>
      <w:r w:rsidRPr="00790760">
        <w:rPr>
          <w:rFonts w:ascii="Times New Roman" w:hAnsi="Times New Roman"/>
        </w:rPr>
        <w:t>provision turns on a unilateral act on the part of the notifying entity. It is an</w:t>
      </w:r>
      <w:r>
        <w:rPr>
          <w:rFonts w:ascii="Times New Roman" w:hAnsi="Times New Roman"/>
        </w:rPr>
        <w:t> </w:t>
      </w:r>
      <w:r w:rsidRPr="00790760">
        <w:rPr>
          <w:rFonts w:ascii="Times New Roman" w:hAnsi="Times New Roman"/>
        </w:rPr>
        <w:t xml:space="preserve">obligation that can only be performed prior to or at the point that the electoral matter is published, uploaded or broadcast – that is, prior to the communication being received by any other person. </w:t>
      </w:r>
    </w:p>
    <w:p w14:paraId="497FA489"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The required "particulars" are set out in the table referred to in s 321</w:t>
      </w:r>
      <w:proofErr w:type="gramStart"/>
      <w:r w:rsidRPr="00790760">
        <w:rPr>
          <w:rFonts w:ascii="Times New Roman" w:hAnsi="Times New Roman"/>
        </w:rPr>
        <w:t>D(</w:t>
      </w:r>
      <w:proofErr w:type="gramEnd"/>
      <w:r w:rsidRPr="00790760">
        <w:rPr>
          <w:rFonts w:ascii="Times New Roman" w:hAnsi="Times New Roman"/>
        </w:rPr>
        <w:t xml:space="preserve">5), which prescribes the required particulars by reference to different types of communication. The language used in the table to identify the different types of communication is in the following style: "the communication is a sticker". </w:t>
      </w:r>
      <w:bookmarkStart w:id="1" w:name="_Ref193894990"/>
      <w:r w:rsidRPr="00790760">
        <w:rPr>
          <w:rFonts w:ascii="Times New Roman" w:hAnsi="Times New Roman"/>
        </w:rPr>
        <w:lastRenderedPageBreak/>
        <w:t>The reference to "the communication" in the table referred to in s 321</w:t>
      </w:r>
      <w:proofErr w:type="gramStart"/>
      <w:r w:rsidRPr="00790760">
        <w:rPr>
          <w:rFonts w:ascii="Times New Roman" w:hAnsi="Times New Roman"/>
        </w:rPr>
        <w:t>D(</w:t>
      </w:r>
      <w:proofErr w:type="gramEnd"/>
      <w:r w:rsidRPr="00790760">
        <w:rPr>
          <w:rFonts w:ascii="Times New Roman" w:hAnsi="Times New Roman"/>
        </w:rPr>
        <w:t>5) is not a</w:t>
      </w:r>
      <w:r>
        <w:rPr>
          <w:rFonts w:ascii="Times New Roman" w:hAnsi="Times New Roman"/>
        </w:rPr>
        <w:t> </w:t>
      </w:r>
      <w:r w:rsidRPr="00790760">
        <w:rPr>
          <w:rFonts w:ascii="Times New Roman" w:hAnsi="Times New Roman"/>
        </w:rPr>
        <w:t>phrase devoid of content. The better view is that "the communication" in s 321</w:t>
      </w:r>
      <w:proofErr w:type="gramStart"/>
      <w:r w:rsidRPr="00790760">
        <w:rPr>
          <w:rFonts w:ascii="Times New Roman" w:hAnsi="Times New Roman"/>
        </w:rPr>
        <w:t>D(</w:t>
      </w:r>
      <w:proofErr w:type="gramEnd"/>
      <w:r w:rsidRPr="00790760">
        <w:rPr>
          <w:rFonts w:ascii="Times New Roman" w:hAnsi="Times New Roman"/>
        </w:rPr>
        <w:t>5) – for example, the sticker, or, in this case, the post – is the method of communication of the "electoral matter that is communicated" referred to in s 321D(1). Section 321</w:t>
      </w:r>
      <w:proofErr w:type="gramStart"/>
      <w:r w:rsidRPr="00790760">
        <w:rPr>
          <w:rFonts w:ascii="Times New Roman" w:hAnsi="Times New Roman"/>
        </w:rPr>
        <w:t>D(</w:t>
      </w:r>
      <w:proofErr w:type="gramEnd"/>
      <w:r w:rsidRPr="00790760">
        <w:rPr>
          <w:rFonts w:ascii="Times New Roman" w:hAnsi="Times New Roman"/>
        </w:rPr>
        <w:t>1) is followed by, in effect, a definition of "the</w:t>
      </w:r>
      <w:r>
        <w:rPr>
          <w:rFonts w:ascii="Times New Roman" w:hAnsi="Times New Roman"/>
        </w:rPr>
        <w:t> </w:t>
      </w:r>
      <w:r w:rsidRPr="00790760">
        <w:rPr>
          <w:rFonts w:ascii="Times New Roman" w:hAnsi="Times New Roman"/>
        </w:rPr>
        <w:t>communication" in the table referred to in s 321D(5) (being that the</w:t>
      </w:r>
      <w:r>
        <w:rPr>
          <w:rFonts w:ascii="Times New Roman" w:hAnsi="Times New Roman"/>
        </w:rPr>
        <w:t> </w:t>
      </w:r>
      <w:r w:rsidRPr="00790760">
        <w:rPr>
          <w:rFonts w:ascii="Times New Roman" w:hAnsi="Times New Roman"/>
        </w:rPr>
        <w:t>communication is a sticker, the communication is a fridge magnet, etc). In</w:t>
      </w:r>
      <w:r>
        <w:rPr>
          <w:rFonts w:ascii="Times New Roman" w:hAnsi="Times New Roman"/>
        </w:rPr>
        <w:t> </w:t>
      </w:r>
      <w:r w:rsidRPr="00790760">
        <w:rPr>
          <w:rFonts w:ascii="Times New Roman" w:hAnsi="Times New Roman"/>
        </w:rPr>
        <w:t>other words, each "communication" in the table is defined by reference to a</w:t>
      </w:r>
      <w:r>
        <w:rPr>
          <w:rFonts w:ascii="Times New Roman" w:hAnsi="Times New Roman"/>
        </w:rPr>
        <w:t> </w:t>
      </w:r>
      <w:r w:rsidRPr="00790760">
        <w:rPr>
          <w:rFonts w:ascii="Times New Roman" w:hAnsi="Times New Roman"/>
        </w:rPr>
        <w:t>mode of communication, not the event of communication itself</w:t>
      </w:r>
      <w:bookmarkEnd w:id="1"/>
      <w:r w:rsidRPr="00790760">
        <w:rPr>
          <w:rFonts w:ascii="Times New Roman" w:hAnsi="Times New Roman"/>
        </w:rPr>
        <w:t xml:space="preserve">. </w:t>
      </w:r>
      <w:r w:rsidRPr="00790760">
        <w:rPr>
          <w:rFonts w:ascii="Times New Roman" w:hAnsi="Times New Roman"/>
          <w:b/>
          <w:bCs/>
        </w:rPr>
        <w:t xml:space="preserve"> </w:t>
      </w:r>
    </w:p>
    <w:p w14:paraId="40D7F1CA"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b/>
          <w:bCs/>
        </w:rPr>
        <w:tab/>
      </w:r>
      <w:r w:rsidRPr="00790760">
        <w:rPr>
          <w:rFonts w:ascii="Times New Roman" w:hAnsi="Times New Roman"/>
        </w:rPr>
        <w:t xml:space="preserve">It is not the case that "the communication" thereby has two different meanings within s 321D. Rather, variations on the </w:t>
      </w:r>
      <w:r w:rsidRPr="00790760" w:rsidDel="00C57D48">
        <w:rPr>
          <w:rFonts w:ascii="Times New Roman" w:hAnsi="Times New Roman"/>
        </w:rPr>
        <w:t>phrase "the communication</w:t>
      </w:r>
      <w:r w:rsidRPr="00790760">
        <w:rPr>
          <w:rFonts w:ascii="Times New Roman" w:hAnsi="Times New Roman"/>
        </w:rPr>
        <w:t>" are</w:t>
      </w:r>
      <w:r>
        <w:rPr>
          <w:rFonts w:ascii="Times New Roman" w:hAnsi="Times New Roman"/>
        </w:rPr>
        <w:t> </w:t>
      </w:r>
      <w:r w:rsidRPr="00790760">
        <w:rPr>
          <w:rFonts w:ascii="Times New Roman" w:hAnsi="Times New Roman"/>
        </w:rPr>
        <w:t>used in s 321D in different places and in different ways, as necessitated by their different contexts and grammatical forms: unlike s 321D(5),</w:t>
      </w:r>
      <w:r w:rsidRPr="00790760" w:rsidDel="00B013C7">
        <w:rPr>
          <w:rFonts w:ascii="Times New Roman" w:hAnsi="Times New Roman"/>
        </w:rPr>
        <w:t xml:space="preserve"> s</w:t>
      </w:r>
      <w:r w:rsidRPr="00790760">
        <w:rPr>
          <w:rFonts w:ascii="Times New Roman" w:hAnsi="Times New Roman"/>
        </w:rPr>
        <w:t xml:space="preserve"> 321D(1) does not use the noun "communication", but rather uses the past participle "communicated". </w:t>
      </w:r>
    </w:p>
    <w:p w14:paraId="376399F1"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Note 2 to s 321</w:t>
      </w:r>
      <w:proofErr w:type="gramStart"/>
      <w:r w:rsidRPr="00790760">
        <w:rPr>
          <w:rFonts w:ascii="Times New Roman" w:hAnsi="Times New Roman"/>
        </w:rPr>
        <w:t>D(</w:t>
      </w:r>
      <w:proofErr w:type="gramEnd"/>
      <w:r w:rsidRPr="00790760">
        <w:rPr>
          <w:rFonts w:ascii="Times New Roman" w:hAnsi="Times New Roman"/>
        </w:rPr>
        <w:t>5) provides that "[a] person may contravene this subsection if the person fails to ensure that particulars are notified or if the</w:t>
      </w:r>
      <w:r>
        <w:rPr>
          <w:rFonts w:ascii="Times New Roman" w:hAnsi="Times New Roman"/>
        </w:rPr>
        <w:t> </w:t>
      </w:r>
      <w:r w:rsidRPr="00790760">
        <w:rPr>
          <w:rFonts w:ascii="Times New Roman" w:hAnsi="Times New Roman"/>
        </w:rPr>
        <w:t xml:space="preserve">particulars notified are incorrect", reinforcing the view that the contravention is the failure by the contravener to do something. The notifying entity has one opportunity to do, or not do, the act that constitutes the contravention. The act or omission that constitutes the contravention occurs when the electoral matter is published, uploaded or broadcast because that is the point at which a notifying entity can and must </w:t>
      </w:r>
      <w:r w:rsidRPr="00790760">
        <w:rPr>
          <w:rFonts w:ascii="Times New Roman" w:hAnsi="Times New Roman"/>
          <w:i/>
          <w:iCs/>
        </w:rPr>
        <w:t xml:space="preserve">ensure </w:t>
      </w:r>
      <w:r w:rsidRPr="00790760">
        <w:rPr>
          <w:rFonts w:ascii="Times New Roman" w:hAnsi="Times New Roman"/>
        </w:rPr>
        <w:t xml:space="preserve">the inclusion of the required particulars. </w:t>
      </w:r>
    </w:p>
    <w:p w14:paraId="031577F0" w14:textId="77777777" w:rsidR="0012516B" w:rsidRPr="00790760" w:rsidRDefault="0012516B" w:rsidP="00790760">
      <w:pPr>
        <w:pStyle w:val="HeadingL2"/>
        <w:spacing w:after="260" w:line="280" w:lineRule="exact"/>
        <w:ind w:right="0"/>
        <w:jc w:val="both"/>
        <w:rPr>
          <w:rFonts w:ascii="Times New Roman" w:hAnsi="Times New Roman"/>
        </w:rPr>
      </w:pPr>
      <w:r w:rsidRPr="00790760">
        <w:rPr>
          <w:rFonts w:ascii="Times New Roman" w:hAnsi="Times New Roman"/>
        </w:rPr>
        <w:t>Context</w:t>
      </w:r>
    </w:p>
    <w:p w14:paraId="69A6ED4E"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Section 321</w:t>
      </w:r>
      <w:proofErr w:type="gramStart"/>
      <w:r w:rsidRPr="00790760">
        <w:rPr>
          <w:rFonts w:ascii="Times New Roman" w:hAnsi="Times New Roman"/>
        </w:rPr>
        <w:t>D(</w:t>
      </w:r>
      <w:proofErr w:type="gramEnd"/>
      <w:r w:rsidRPr="00790760">
        <w:rPr>
          <w:rFonts w:ascii="Times New Roman" w:hAnsi="Times New Roman"/>
        </w:rPr>
        <w:t>1) does not undermine, but reinforces, the construction adopted. Section 321</w:t>
      </w:r>
      <w:proofErr w:type="gramStart"/>
      <w:r w:rsidRPr="00790760">
        <w:rPr>
          <w:rFonts w:ascii="Times New Roman" w:hAnsi="Times New Roman"/>
        </w:rPr>
        <w:t>D(</w:t>
      </w:r>
      <w:proofErr w:type="gramEnd"/>
      <w:r w:rsidRPr="00790760">
        <w:rPr>
          <w:rFonts w:ascii="Times New Roman" w:hAnsi="Times New Roman"/>
        </w:rPr>
        <w:t>1) provides that the "section applies in relation to electoral matter that is communicated to a person if [certain criteria are satisfied]". It may be accepted that communication is a bilateral act; it involves both the giving and receiving of information. The ordinary meaning of "to communicate" includes</w:t>
      </w:r>
      <w:r>
        <w:rPr>
          <w:rFonts w:ascii="Times New Roman" w:hAnsi="Times New Roman"/>
        </w:rPr>
        <w:t> </w:t>
      </w:r>
      <w:r w:rsidRPr="00790760">
        <w:rPr>
          <w:rFonts w:ascii="Times New Roman" w:hAnsi="Times New Roman"/>
        </w:rPr>
        <w:t>"to</w:t>
      </w:r>
      <w:r>
        <w:rPr>
          <w:rFonts w:ascii="Times New Roman" w:hAnsi="Times New Roman"/>
        </w:rPr>
        <w:t> </w:t>
      </w:r>
      <w:r w:rsidRPr="00790760">
        <w:rPr>
          <w:rFonts w:ascii="Times New Roman" w:hAnsi="Times New Roman"/>
        </w:rPr>
        <w:t>give to another as a partaker", "to impart knowledge of", and</w:t>
      </w:r>
      <w:r>
        <w:rPr>
          <w:rFonts w:ascii="Times New Roman" w:hAnsi="Times New Roman"/>
        </w:rPr>
        <w:t> </w:t>
      </w:r>
      <w:r w:rsidRPr="00790760">
        <w:rPr>
          <w:rFonts w:ascii="Times New Roman" w:hAnsi="Times New Roman"/>
        </w:rPr>
        <w:t>"to</w:t>
      </w:r>
      <w:r>
        <w:rPr>
          <w:rFonts w:ascii="Times New Roman" w:hAnsi="Times New Roman"/>
        </w:rPr>
        <w:t> </w:t>
      </w:r>
      <w:r w:rsidRPr="00790760">
        <w:rPr>
          <w:rFonts w:ascii="Times New Roman" w:hAnsi="Times New Roman"/>
        </w:rPr>
        <w:t>convey one's feelings, thoughts, etc, successfully to others".</w:t>
      </w:r>
      <w:r w:rsidRPr="00790760">
        <w:rPr>
          <w:rStyle w:val="FootnoteReference"/>
          <w:rFonts w:ascii="Times New Roman" w:hAnsi="Times New Roman"/>
          <w:sz w:val="24"/>
        </w:rPr>
        <w:footnoteReference w:id="29"/>
      </w:r>
      <w:r w:rsidRPr="00790760">
        <w:rPr>
          <w:rFonts w:ascii="Times New Roman" w:hAnsi="Times New Roman"/>
        </w:rPr>
        <w:t xml:space="preserve"> As</w:t>
      </w:r>
      <w:r>
        <w:rPr>
          <w:rFonts w:ascii="Times New Roman" w:hAnsi="Times New Roman"/>
        </w:rPr>
        <w:t> </w:t>
      </w:r>
      <w:r w:rsidRPr="00790760">
        <w:rPr>
          <w:rFonts w:ascii="Times New Roman" w:hAnsi="Times New Roman"/>
        </w:rPr>
        <w:t>recognised by the Full Federal Court, the concept ordinarily involves "the</w:t>
      </w:r>
      <w:r>
        <w:rPr>
          <w:rFonts w:ascii="Times New Roman" w:hAnsi="Times New Roman"/>
        </w:rPr>
        <w:t> </w:t>
      </w:r>
      <w:r w:rsidRPr="00790760">
        <w:rPr>
          <w:rFonts w:ascii="Times New Roman" w:hAnsi="Times New Roman"/>
        </w:rPr>
        <w:t>transmission of information from one person to another person".</w:t>
      </w:r>
    </w:p>
    <w:p w14:paraId="43EAAF3E"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Section 321</w:t>
      </w:r>
      <w:proofErr w:type="gramStart"/>
      <w:r w:rsidRPr="00790760">
        <w:rPr>
          <w:rFonts w:ascii="Times New Roman" w:hAnsi="Times New Roman"/>
        </w:rPr>
        <w:t>D(</w:t>
      </w:r>
      <w:proofErr w:type="gramEnd"/>
      <w:r w:rsidRPr="00790760">
        <w:rPr>
          <w:rFonts w:ascii="Times New Roman" w:hAnsi="Times New Roman"/>
        </w:rPr>
        <w:t>1) may be understood as providing the field of operation of the obligation under s 321D(5) or the circumstances in which the obligation under s 321D(5) arises. In that sense, s 321</w:t>
      </w:r>
      <w:proofErr w:type="gramStart"/>
      <w:r w:rsidRPr="00790760">
        <w:rPr>
          <w:rFonts w:ascii="Times New Roman" w:hAnsi="Times New Roman"/>
        </w:rPr>
        <w:t>D(</w:t>
      </w:r>
      <w:proofErr w:type="gramEnd"/>
      <w:r w:rsidRPr="00790760">
        <w:rPr>
          <w:rFonts w:ascii="Times New Roman" w:hAnsi="Times New Roman"/>
        </w:rPr>
        <w:t>1) must be satisfied, and so is an "element" of the obligation under s 321D(5). Put in different terms, s 321</w:t>
      </w:r>
      <w:proofErr w:type="gramStart"/>
      <w:r w:rsidRPr="00790760">
        <w:rPr>
          <w:rFonts w:ascii="Times New Roman" w:hAnsi="Times New Roman"/>
        </w:rPr>
        <w:t>D(</w:t>
      </w:r>
      <w:proofErr w:type="gramEnd"/>
      <w:r w:rsidRPr="00790760">
        <w:rPr>
          <w:rFonts w:ascii="Times New Roman" w:hAnsi="Times New Roman"/>
        </w:rPr>
        <w:t>5) can be read as: "[In circumstances where electoral matter is communicated to a person such</w:t>
      </w:r>
      <w:r>
        <w:rPr>
          <w:rFonts w:ascii="Times New Roman" w:hAnsi="Times New Roman"/>
        </w:rPr>
        <w:t> t</w:t>
      </w:r>
      <w:r w:rsidRPr="00790760">
        <w:rPr>
          <w:rFonts w:ascii="Times New Roman" w:hAnsi="Times New Roman"/>
        </w:rPr>
        <w:t>hat</w:t>
      </w:r>
      <w:r>
        <w:rPr>
          <w:rFonts w:ascii="Times New Roman" w:hAnsi="Times New Roman"/>
        </w:rPr>
        <w:t> </w:t>
      </w:r>
      <w:r w:rsidRPr="00790760">
        <w:rPr>
          <w:rFonts w:ascii="Times New Roman" w:hAnsi="Times New Roman"/>
        </w:rPr>
        <w:t xml:space="preserve">s 321D(1) is satisfied,] [t]he notifying entity must ensure that </w:t>
      </w:r>
      <w:r w:rsidRPr="00790760">
        <w:rPr>
          <w:rFonts w:ascii="Times New Roman" w:hAnsi="Times New Roman"/>
        </w:rPr>
        <w:lastRenderedPageBreak/>
        <w:t>the</w:t>
      </w:r>
      <w:r>
        <w:rPr>
          <w:rFonts w:ascii="Times New Roman" w:hAnsi="Times New Roman"/>
        </w:rPr>
        <w:t> </w:t>
      </w:r>
      <w:r w:rsidRPr="00790760">
        <w:rPr>
          <w:rFonts w:ascii="Times New Roman" w:hAnsi="Times New Roman"/>
        </w:rPr>
        <w:t>particulars</w:t>
      </w:r>
      <w:r>
        <w:rPr>
          <w:rFonts w:ascii="Times New Roman" w:hAnsi="Times New Roman"/>
        </w:rPr>
        <w:t> </w:t>
      </w:r>
      <w:r w:rsidRPr="00790760">
        <w:rPr>
          <w:rFonts w:ascii="Times New Roman" w:hAnsi="Times New Roman"/>
        </w:rPr>
        <w:t>...</w:t>
      </w:r>
      <w:r>
        <w:rPr>
          <w:rFonts w:ascii="Times New Roman" w:hAnsi="Times New Roman"/>
        </w:rPr>
        <w:t> </w:t>
      </w:r>
      <w:r w:rsidRPr="00790760">
        <w:rPr>
          <w:rFonts w:ascii="Times New Roman" w:hAnsi="Times New Roman"/>
        </w:rPr>
        <w:t>are</w:t>
      </w:r>
      <w:r>
        <w:rPr>
          <w:rFonts w:ascii="Times New Roman" w:hAnsi="Times New Roman"/>
        </w:rPr>
        <w:t> </w:t>
      </w:r>
      <w:r w:rsidRPr="00790760">
        <w:rPr>
          <w:rFonts w:ascii="Times New Roman" w:hAnsi="Times New Roman"/>
        </w:rPr>
        <w:t>notified ..." Similarly, Note 2 to s 321</w:t>
      </w:r>
      <w:proofErr w:type="gramStart"/>
      <w:r w:rsidRPr="00790760">
        <w:rPr>
          <w:rFonts w:ascii="Times New Roman" w:hAnsi="Times New Roman"/>
        </w:rPr>
        <w:t>D(</w:t>
      </w:r>
      <w:proofErr w:type="gramEnd"/>
      <w:r w:rsidRPr="00790760">
        <w:rPr>
          <w:rFonts w:ascii="Times New Roman" w:hAnsi="Times New Roman"/>
        </w:rPr>
        <w:t>5) may be read as: "A person may contravene [s 321D(5)] if the person fails to ensure that particulars are notified or if the particulars notified are incorrect [in circumstances where electoral matter is communicated to a person such that s 321D(1) is satisfied]." In</w:t>
      </w:r>
      <w:r>
        <w:rPr>
          <w:rFonts w:ascii="Times New Roman" w:hAnsi="Times New Roman"/>
        </w:rPr>
        <w:t> </w:t>
      </w:r>
      <w:r w:rsidRPr="00790760">
        <w:rPr>
          <w:rFonts w:ascii="Times New Roman" w:hAnsi="Times New Roman"/>
        </w:rPr>
        <w:t>that way, s 321</w:t>
      </w:r>
      <w:proofErr w:type="gramStart"/>
      <w:r w:rsidRPr="00790760">
        <w:rPr>
          <w:rFonts w:ascii="Times New Roman" w:hAnsi="Times New Roman"/>
        </w:rPr>
        <w:t>D(</w:t>
      </w:r>
      <w:proofErr w:type="gramEnd"/>
      <w:r w:rsidRPr="00790760">
        <w:rPr>
          <w:rFonts w:ascii="Times New Roman" w:hAnsi="Times New Roman"/>
        </w:rPr>
        <w:t>1) and (5) may be read together and operate together. The</w:t>
      </w:r>
      <w:r>
        <w:rPr>
          <w:rFonts w:ascii="Times New Roman" w:hAnsi="Times New Roman"/>
        </w:rPr>
        <w:t> </w:t>
      </w:r>
      <w:r w:rsidRPr="00790760">
        <w:rPr>
          <w:rFonts w:ascii="Times New Roman" w:hAnsi="Times New Roman"/>
        </w:rPr>
        <w:t>obligation, performed unilaterally, is to ensure the notification of particulars, prior to or at the point of communication.</w:t>
      </w:r>
      <w:r w:rsidRPr="00790760" w:rsidDel="009F7C82">
        <w:rPr>
          <w:rFonts w:ascii="Times New Roman" w:hAnsi="Times New Roman"/>
        </w:rPr>
        <w:t xml:space="preserve"> </w:t>
      </w:r>
      <w:r w:rsidRPr="00790760">
        <w:rPr>
          <w:rFonts w:ascii="Times New Roman" w:hAnsi="Times New Roman"/>
        </w:rPr>
        <w:t>The contravention is, and occurs at the</w:t>
      </w:r>
      <w:r>
        <w:rPr>
          <w:rFonts w:ascii="Times New Roman" w:hAnsi="Times New Roman"/>
        </w:rPr>
        <w:t> </w:t>
      </w:r>
      <w:r w:rsidRPr="00790760">
        <w:rPr>
          <w:rFonts w:ascii="Times New Roman" w:hAnsi="Times New Roman"/>
        </w:rPr>
        <w:t xml:space="preserve">point of, the failure to do so. </w:t>
      </w:r>
    </w:p>
    <w:p w14:paraId="1D51A934"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 xml:space="preserve">This appeal concerns posts on a Facebook page. In </w:t>
      </w:r>
      <w:r w:rsidRPr="00790760">
        <w:rPr>
          <w:rFonts w:ascii="Times New Roman" w:hAnsi="Times New Roman"/>
          <w:i/>
          <w:iCs/>
        </w:rPr>
        <w:t>Fairfax Media Publications Pty Ltd v Voller</w:t>
      </w:r>
      <w:r w:rsidRPr="00790760">
        <w:rPr>
          <w:rFonts w:ascii="Times New Roman" w:hAnsi="Times New Roman"/>
        </w:rPr>
        <w:t>,</w:t>
      </w:r>
      <w:r w:rsidRPr="00790760">
        <w:rPr>
          <w:rStyle w:val="FootnoteReference"/>
          <w:rFonts w:ascii="Times New Roman" w:hAnsi="Times New Roman"/>
          <w:sz w:val="24"/>
        </w:rPr>
        <w:footnoteReference w:id="30"/>
      </w:r>
      <w:r w:rsidRPr="00790760">
        <w:rPr>
          <w:rFonts w:ascii="Times New Roman" w:hAnsi="Times New Roman"/>
        </w:rPr>
        <w:t xml:space="preserve"> a defamation case, </w:t>
      </w:r>
      <w:proofErr w:type="spellStart"/>
      <w:r w:rsidRPr="00790760">
        <w:rPr>
          <w:rFonts w:ascii="Times New Roman" w:hAnsi="Times New Roman"/>
        </w:rPr>
        <w:t>Gageler</w:t>
      </w:r>
      <w:proofErr w:type="spellEnd"/>
      <w:r w:rsidRPr="00790760">
        <w:rPr>
          <w:rFonts w:ascii="Times New Roman" w:hAnsi="Times New Roman"/>
        </w:rPr>
        <w:t> J and I observed that "[e]ach appellant became a publisher of each comment posted on its public Facebook page by a Facebook user as and when that comment was accessed in a</w:t>
      </w:r>
      <w:r>
        <w:rPr>
          <w:rFonts w:ascii="Times New Roman" w:hAnsi="Times New Roman"/>
        </w:rPr>
        <w:t> </w:t>
      </w:r>
      <w:r w:rsidRPr="00790760">
        <w:rPr>
          <w:rFonts w:ascii="Times New Roman" w:hAnsi="Times New Roman"/>
        </w:rPr>
        <w:t>comprehensible form by another Facebook user".</w:t>
      </w:r>
      <w:r w:rsidRPr="00790760">
        <w:rPr>
          <w:rStyle w:val="FootnoteReference"/>
          <w:rFonts w:ascii="Times New Roman" w:hAnsi="Times New Roman"/>
          <w:sz w:val="24"/>
        </w:rPr>
        <w:footnoteReference w:id="31"/>
      </w:r>
      <w:r w:rsidRPr="00790760">
        <w:rPr>
          <w:rFonts w:ascii="Times New Roman" w:hAnsi="Times New Roman"/>
        </w:rPr>
        <w:t xml:space="preserve"> We held that there was participation in the publication process when a person "having contracted with Facebook for the creation and ongoing provision of its public Facebook page, post[ed] content on the page the effect of which was automatically to give Facebook users the option (in addition to 'Like' or 'Share') to 'Comment' on</w:t>
      </w:r>
      <w:r>
        <w:rPr>
          <w:rFonts w:ascii="Times New Roman" w:hAnsi="Times New Roman"/>
        </w:rPr>
        <w:t> </w:t>
      </w:r>
      <w:r w:rsidRPr="00790760">
        <w:rPr>
          <w:rFonts w:ascii="Times New Roman" w:hAnsi="Times New Roman"/>
        </w:rPr>
        <w:t>the</w:t>
      </w:r>
      <w:r>
        <w:rPr>
          <w:rFonts w:ascii="Times New Roman" w:hAnsi="Times New Roman"/>
        </w:rPr>
        <w:t> </w:t>
      </w:r>
      <w:r w:rsidRPr="00790760">
        <w:rPr>
          <w:rFonts w:ascii="Times New Roman" w:hAnsi="Times New Roman"/>
        </w:rPr>
        <w:t>content by posting a comment which ... was automatically accessible in a</w:t>
      </w:r>
      <w:r>
        <w:rPr>
          <w:rFonts w:ascii="Times New Roman" w:hAnsi="Times New Roman"/>
        </w:rPr>
        <w:t> </w:t>
      </w:r>
      <w:r w:rsidRPr="00790760">
        <w:rPr>
          <w:rFonts w:ascii="Times New Roman" w:hAnsi="Times New Roman"/>
        </w:rPr>
        <w:t>comprehensible form by other Facebook users".</w:t>
      </w:r>
      <w:r w:rsidRPr="00790760">
        <w:rPr>
          <w:rStyle w:val="FootnoteReference"/>
          <w:rFonts w:ascii="Times New Roman" w:hAnsi="Times New Roman"/>
          <w:sz w:val="24"/>
        </w:rPr>
        <w:footnoteReference w:id="32"/>
      </w:r>
      <w:r w:rsidRPr="00790760">
        <w:rPr>
          <w:rFonts w:ascii="Times New Roman" w:hAnsi="Times New Roman"/>
        </w:rPr>
        <w:t xml:space="preserve"> </w:t>
      </w:r>
    </w:p>
    <w:p w14:paraId="60D4F4E6"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Accepting that defamation law is a different area of law seeking to address a different liability, the construction of s 321D(1) of the Electoral Act and the</w:t>
      </w:r>
      <w:r>
        <w:rPr>
          <w:rFonts w:ascii="Times New Roman" w:hAnsi="Times New Roman"/>
        </w:rPr>
        <w:t> </w:t>
      </w:r>
      <w:r w:rsidRPr="00790760">
        <w:rPr>
          <w:rFonts w:ascii="Times New Roman" w:hAnsi="Times New Roman"/>
        </w:rPr>
        <w:t>understanding of "communicated" is consistent with the bilateral nature of publication in defamation law, where the publisher makes matter available and a</w:t>
      </w:r>
      <w:r>
        <w:rPr>
          <w:rFonts w:ascii="Times New Roman" w:hAnsi="Times New Roman"/>
        </w:rPr>
        <w:t> </w:t>
      </w:r>
      <w:r w:rsidRPr="00790760">
        <w:rPr>
          <w:rFonts w:ascii="Times New Roman" w:hAnsi="Times New Roman"/>
        </w:rPr>
        <w:t>third party has it available for their comprehension.</w:t>
      </w:r>
      <w:r w:rsidRPr="00790760">
        <w:rPr>
          <w:rStyle w:val="FootnoteReference"/>
          <w:rFonts w:ascii="Times New Roman" w:hAnsi="Times New Roman"/>
          <w:sz w:val="24"/>
        </w:rPr>
        <w:footnoteReference w:id="33"/>
      </w:r>
      <w:r w:rsidRPr="00790760">
        <w:rPr>
          <w:rFonts w:ascii="Times New Roman" w:hAnsi="Times New Roman"/>
        </w:rPr>
        <w:t xml:space="preserve"> As Steward J observed in </w:t>
      </w:r>
      <w:r w:rsidRPr="00790760">
        <w:rPr>
          <w:rFonts w:ascii="Times New Roman" w:hAnsi="Times New Roman"/>
          <w:i/>
          <w:iCs/>
        </w:rPr>
        <w:t>Voller</w:t>
      </w:r>
      <w:r w:rsidRPr="00790760">
        <w:rPr>
          <w:rFonts w:ascii="Times New Roman" w:hAnsi="Times New Roman"/>
        </w:rPr>
        <w:t>, "[t]he act of posting on a public Facebook page starts an electronic conversation, whether long or short, with potentially millions of other Facebook users".</w:t>
      </w:r>
      <w:r w:rsidRPr="00790760">
        <w:rPr>
          <w:rStyle w:val="FootnoteReference"/>
          <w:rFonts w:ascii="Times New Roman" w:hAnsi="Times New Roman"/>
          <w:sz w:val="24"/>
        </w:rPr>
        <w:footnoteReference w:id="34"/>
      </w:r>
      <w:r w:rsidRPr="00790760">
        <w:rPr>
          <w:rFonts w:ascii="Times New Roman" w:hAnsi="Times New Roman"/>
        </w:rPr>
        <w:t xml:space="preserve"> On the other hand, it may be different if the notifying entity sent an email to multiple named recipients. In that case,</w:t>
      </w:r>
      <w:r w:rsidRPr="00790760" w:rsidDel="00E11397">
        <w:rPr>
          <w:rFonts w:ascii="Times New Roman" w:hAnsi="Times New Roman"/>
        </w:rPr>
        <w:t xml:space="preserve"> </w:t>
      </w:r>
      <w:r w:rsidRPr="00790760">
        <w:rPr>
          <w:rFonts w:ascii="Times New Roman" w:hAnsi="Times New Roman"/>
        </w:rPr>
        <w:t xml:space="preserve">the act of communication – the act of making matter available for comprehension by a third party – is practically and necessarily different to a post on a Facebook page. In sending an email to multiple recipients, it may be argued that the notifying entity has sent the same electoral </w:t>
      </w:r>
      <w:r w:rsidRPr="00790760">
        <w:rPr>
          <w:rFonts w:ascii="Times New Roman" w:hAnsi="Times New Roman"/>
        </w:rPr>
        <w:lastRenderedPageBreak/>
        <w:t>matter multiple times, where each act of communication via the email had a</w:t>
      </w:r>
      <w:r>
        <w:rPr>
          <w:rFonts w:ascii="Times New Roman" w:hAnsi="Times New Roman"/>
        </w:rPr>
        <w:t> </w:t>
      </w:r>
      <w:r w:rsidRPr="00790760">
        <w:rPr>
          <w:rFonts w:ascii="Times New Roman" w:hAnsi="Times New Roman"/>
        </w:rPr>
        <w:t>specific intended recipient, and so each act of communication via the email had its own purpose.</w:t>
      </w:r>
      <w:r w:rsidRPr="00790760">
        <w:rPr>
          <w:rStyle w:val="FootnoteReference"/>
          <w:rFonts w:ascii="Times New Roman" w:hAnsi="Times New Roman"/>
          <w:sz w:val="24"/>
        </w:rPr>
        <w:footnoteReference w:id="35"/>
      </w:r>
      <w:r w:rsidRPr="00790760">
        <w:rPr>
          <w:rFonts w:ascii="Times New Roman" w:hAnsi="Times New Roman"/>
        </w:rPr>
        <w:t xml:space="preserve"> </w:t>
      </w:r>
    </w:p>
    <w:p w14:paraId="64C4008E"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Section 4AA of the Electoral Act does not require or even support a</w:t>
      </w:r>
      <w:r>
        <w:rPr>
          <w:rFonts w:ascii="Times New Roman" w:hAnsi="Times New Roman"/>
        </w:rPr>
        <w:t> </w:t>
      </w:r>
      <w:r w:rsidRPr="00790760">
        <w:rPr>
          <w:rFonts w:ascii="Times New Roman" w:hAnsi="Times New Roman"/>
        </w:rPr>
        <w:t>different construction. That section accommodates and envisages that there can be multiple separate communications of the same matter, with differing dominant purposes, thus reinforcing that communication is a bilateral act which depends on the participation of both the giver and receiver of information. However, the fact that there may be separate communications for separate recipients does not alter the fact that the text of s 321D provides that the obligation to provide the stated particulars is a unilateral act.</w:t>
      </w:r>
    </w:p>
    <w:p w14:paraId="4E564218"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Section 321D(7)(b)(</w:t>
      </w:r>
      <w:proofErr w:type="spellStart"/>
      <w:r w:rsidRPr="00790760">
        <w:rPr>
          <w:rFonts w:ascii="Times New Roman" w:hAnsi="Times New Roman"/>
        </w:rPr>
        <w:t>i</w:t>
      </w:r>
      <w:proofErr w:type="spellEnd"/>
      <w:r w:rsidRPr="00790760">
        <w:rPr>
          <w:rFonts w:ascii="Times New Roman" w:hAnsi="Times New Roman"/>
        </w:rPr>
        <w:t>) provides that the Commissioner may, by legislative instrument, determine requirements or particulars for the purposes of s 321</w:t>
      </w:r>
      <w:proofErr w:type="gramStart"/>
      <w:r w:rsidRPr="00790760">
        <w:rPr>
          <w:rFonts w:ascii="Times New Roman" w:hAnsi="Times New Roman"/>
        </w:rPr>
        <w:t>D(</w:t>
      </w:r>
      <w:proofErr w:type="gramEnd"/>
      <w:r w:rsidRPr="00790760">
        <w:rPr>
          <w:rFonts w:ascii="Times New Roman" w:hAnsi="Times New Roman"/>
        </w:rPr>
        <w:t>5). In effect,</w:t>
      </w:r>
      <w:r w:rsidRPr="00790760" w:rsidDel="006B4719">
        <w:rPr>
          <w:rFonts w:ascii="Times New Roman" w:hAnsi="Times New Roman"/>
        </w:rPr>
        <w:t xml:space="preserve"> </w:t>
      </w:r>
      <w:r w:rsidRPr="00790760">
        <w:rPr>
          <w:rFonts w:ascii="Times New Roman" w:hAnsi="Times New Roman"/>
        </w:rPr>
        <w:t xml:space="preserve">this means that the Commissioner can determine additional particulars to those </w:t>
      </w:r>
      <w:r w:rsidRPr="00790760">
        <w:rPr>
          <w:rFonts w:ascii="Times New Roman" w:hAnsi="Times New Roman"/>
          <w:i/>
        </w:rPr>
        <w:t>already</w:t>
      </w:r>
      <w:r w:rsidRPr="00790760">
        <w:rPr>
          <w:rFonts w:ascii="Times New Roman" w:hAnsi="Times New Roman"/>
        </w:rPr>
        <w:t xml:space="preserve"> provided in the table referred to in s 321</w:t>
      </w:r>
      <w:proofErr w:type="gramStart"/>
      <w:r w:rsidRPr="00790760">
        <w:rPr>
          <w:rFonts w:ascii="Times New Roman" w:hAnsi="Times New Roman"/>
        </w:rPr>
        <w:t>D(</w:t>
      </w:r>
      <w:proofErr w:type="gramEnd"/>
      <w:r w:rsidRPr="00790760">
        <w:rPr>
          <w:rFonts w:ascii="Times New Roman" w:hAnsi="Times New Roman"/>
        </w:rPr>
        <w:t>5). Section 321D(7)(b)(</w:t>
      </w:r>
      <w:proofErr w:type="spellStart"/>
      <w:r w:rsidRPr="00790760">
        <w:rPr>
          <w:rFonts w:ascii="Times New Roman" w:hAnsi="Times New Roman"/>
        </w:rPr>
        <w:t>i</w:t>
      </w:r>
      <w:proofErr w:type="spellEnd"/>
      <w:r w:rsidRPr="00790760">
        <w:rPr>
          <w:rFonts w:ascii="Times New Roman" w:hAnsi="Times New Roman"/>
        </w:rPr>
        <w:t>) can, in that limited way, be seen as an extension of s 321</w:t>
      </w:r>
      <w:proofErr w:type="gramStart"/>
      <w:r w:rsidRPr="00790760">
        <w:rPr>
          <w:rFonts w:ascii="Times New Roman" w:hAnsi="Times New Roman"/>
        </w:rPr>
        <w:t>D(</w:t>
      </w:r>
      <w:proofErr w:type="gramEnd"/>
      <w:r w:rsidRPr="00790760">
        <w:rPr>
          <w:rFonts w:ascii="Times New Roman" w:hAnsi="Times New Roman"/>
        </w:rPr>
        <w:t>5). The Note to s 321D(7)(b) provides that the "[r]</w:t>
      </w:r>
      <w:proofErr w:type="spellStart"/>
      <w:r w:rsidRPr="00790760">
        <w:rPr>
          <w:rFonts w:ascii="Times New Roman" w:hAnsi="Times New Roman"/>
        </w:rPr>
        <w:t>equirements</w:t>
      </w:r>
      <w:proofErr w:type="spellEnd"/>
      <w:r w:rsidRPr="00790760">
        <w:rPr>
          <w:rFonts w:ascii="Times New Roman" w:hAnsi="Times New Roman"/>
        </w:rPr>
        <w:t xml:space="preserve"> or particulars may be determined by reference to </w:t>
      </w:r>
      <w:r w:rsidRPr="00790760">
        <w:rPr>
          <w:rFonts w:ascii="Times New Roman" w:hAnsi="Times New Roman"/>
          <w:i/>
          <w:iCs/>
        </w:rPr>
        <w:t>classes of communications</w:t>
      </w:r>
      <w:r w:rsidRPr="00790760">
        <w:rPr>
          <w:rFonts w:ascii="Times New Roman" w:hAnsi="Times New Roman"/>
        </w:rPr>
        <w:t xml:space="preserve">, and different requirements or particulars may be determined for different </w:t>
      </w:r>
      <w:r w:rsidRPr="00790760">
        <w:rPr>
          <w:rFonts w:ascii="Times New Roman" w:hAnsi="Times New Roman"/>
          <w:i/>
          <w:iCs/>
        </w:rPr>
        <w:t>classes of communications</w:t>
      </w:r>
      <w:r w:rsidRPr="00790760">
        <w:rPr>
          <w:rFonts w:ascii="Times New Roman" w:hAnsi="Times New Roman"/>
        </w:rPr>
        <w:t xml:space="preserve"> (see</w:t>
      </w:r>
      <w:r>
        <w:rPr>
          <w:rFonts w:ascii="Times New Roman" w:hAnsi="Times New Roman"/>
        </w:rPr>
        <w:t> </w:t>
      </w:r>
      <w:r w:rsidRPr="00790760">
        <w:rPr>
          <w:rFonts w:ascii="Times New Roman" w:hAnsi="Times New Roman"/>
        </w:rPr>
        <w:t xml:space="preserve">subsection 33(3A) of the </w:t>
      </w:r>
      <w:r w:rsidRPr="00790760">
        <w:rPr>
          <w:rFonts w:ascii="Times New Roman" w:hAnsi="Times New Roman"/>
          <w:i/>
          <w:iCs/>
        </w:rPr>
        <w:t>Acts Interpretation Act 1901</w:t>
      </w:r>
      <w:r w:rsidRPr="00790760">
        <w:rPr>
          <w:rFonts w:ascii="Times New Roman" w:hAnsi="Times New Roman"/>
        </w:rPr>
        <w:t>)" (emphasis added). It</w:t>
      </w:r>
      <w:r>
        <w:rPr>
          <w:rFonts w:ascii="Times New Roman" w:hAnsi="Times New Roman"/>
        </w:rPr>
        <w:t> </w:t>
      </w:r>
      <w:r w:rsidRPr="00790760">
        <w:rPr>
          <w:rFonts w:ascii="Times New Roman" w:hAnsi="Times New Roman"/>
        </w:rPr>
        <w:t>is significant that the Note</w:t>
      </w:r>
      <w:r w:rsidRPr="00790760" w:rsidDel="002162FE">
        <w:rPr>
          <w:rFonts w:ascii="Times New Roman" w:hAnsi="Times New Roman"/>
        </w:rPr>
        <w:t xml:space="preserve"> </w:t>
      </w:r>
      <w:r w:rsidRPr="00790760">
        <w:rPr>
          <w:rFonts w:ascii="Times New Roman" w:hAnsi="Times New Roman"/>
        </w:rPr>
        <w:t>states that particulars may be determined by reference to "classes of communications", reinforcing the view that "the communication" in</w:t>
      </w:r>
      <w:r>
        <w:rPr>
          <w:rFonts w:ascii="Times New Roman" w:hAnsi="Times New Roman"/>
        </w:rPr>
        <w:t> </w:t>
      </w:r>
      <w:r w:rsidRPr="00790760">
        <w:rPr>
          <w:rFonts w:ascii="Times New Roman" w:hAnsi="Times New Roman"/>
        </w:rPr>
        <w:t>the table referred to in s 321</w:t>
      </w:r>
      <w:proofErr w:type="gramStart"/>
      <w:r w:rsidRPr="00790760">
        <w:rPr>
          <w:rFonts w:ascii="Times New Roman" w:hAnsi="Times New Roman"/>
        </w:rPr>
        <w:t>D(</w:t>
      </w:r>
      <w:proofErr w:type="gramEnd"/>
      <w:r w:rsidRPr="00790760">
        <w:rPr>
          <w:rFonts w:ascii="Times New Roman" w:hAnsi="Times New Roman"/>
        </w:rPr>
        <w:t>5) is referring to a mode, or "class", of</w:t>
      </w:r>
      <w:r>
        <w:rPr>
          <w:rFonts w:ascii="Times New Roman" w:hAnsi="Times New Roman"/>
        </w:rPr>
        <w:t> </w:t>
      </w:r>
      <w:r w:rsidRPr="00790760">
        <w:rPr>
          <w:rFonts w:ascii="Times New Roman" w:hAnsi="Times New Roman"/>
        </w:rPr>
        <w:t xml:space="preserve">communication and that different classes may have different requirements because of the attributes of a particular class of communication. </w:t>
      </w:r>
      <w:bookmarkStart w:id="2" w:name="_Ref193972830"/>
    </w:p>
    <w:p w14:paraId="5E326BE2"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Next, s 321</w:t>
      </w:r>
      <w:bookmarkEnd w:id="2"/>
      <w:r w:rsidRPr="00790760">
        <w:rPr>
          <w:rFonts w:ascii="Times New Roman" w:hAnsi="Times New Roman"/>
        </w:rPr>
        <w:t>E, headed "Extended geographical application of section 321D", provides for the geographical application of s 321D. The provision distinguishes between the "conduct constituting the alleged contravention" and the "result" of</w:t>
      </w:r>
      <w:r>
        <w:rPr>
          <w:rFonts w:ascii="Times New Roman" w:hAnsi="Times New Roman"/>
        </w:rPr>
        <w:t> </w:t>
      </w:r>
      <w:r w:rsidRPr="00790760">
        <w:rPr>
          <w:rFonts w:ascii="Times New Roman" w:hAnsi="Times New Roman"/>
        </w:rPr>
        <w:t xml:space="preserve">that conduct. For example, s 321E(1)(b) provides that a person does not contravene s 321D unless, among other things, "the </w:t>
      </w:r>
      <w:r w:rsidRPr="00790760">
        <w:rPr>
          <w:rFonts w:ascii="Times New Roman" w:hAnsi="Times New Roman"/>
          <w:i/>
          <w:iCs/>
        </w:rPr>
        <w:t>conduct</w:t>
      </w:r>
      <w:r w:rsidRPr="00790760">
        <w:rPr>
          <w:rFonts w:ascii="Times New Roman" w:hAnsi="Times New Roman"/>
        </w:rPr>
        <w:t xml:space="preserve"> constituting the</w:t>
      </w:r>
      <w:r>
        <w:rPr>
          <w:rFonts w:ascii="Times New Roman" w:hAnsi="Times New Roman"/>
        </w:rPr>
        <w:t> </w:t>
      </w:r>
      <w:r w:rsidRPr="00790760">
        <w:rPr>
          <w:rFonts w:ascii="Times New Roman" w:hAnsi="Times New Roman"/>
        </w:rPr>
        <w:t xml:space="preserve">alleged contravention occurs wholly outside Australia and a </w:t>
      </w:r>
      <w:r w:rsidRPr="00790760">
        <w:rPr>
          <w:rFonts w:ascii="Times New Roman" w:hAnsi="Times New Roman"/>
          <w:i/>
          <w:iCs/>
        </w:rPr>
        <w:t>result of the</w:t>
      </w:r>
      <w:r>
        <w:rPr>
          <w:rFonts w:ascii="Times New Roman" w:hAnsi="Times New Roman"/>
          <w:i/>
          <w:iCs/>
        </w:rPr>
        <w:t> </w:t>
      </w:r>
      <w:r w:rsidRPr="00790760">
        <w:rPr>
          <w:rFonts w:ascii="Times New Roman" w:hAnsi="Times New Roman"/>
          <w:i/>
          <w:iCs/>
        </w:rPr>
        <w:t xml:space="preserve">conduct </w:t>
      </w:r>
      <w:r w:rsidRPr="00790760">
        <w:rPr>
          <w:rFonts w:ascii="Times New Roman" w:hAnsi="Times New Roman"/>
        </w:rPr>
        <w:t>occurs: (</w:t>
      </w:r>
      <w:proofErr w:type="spellStart"/>
      <w:r w:rsidRPr="00790760">
        <w:rPr>
          <w:rFonts w:ascii="Times New Roman" w:hAnsi="Times New Roman"/>
        </w:rPr>
        <w:t>i</w:t>
      </w:r>
      <w:proofErr w:type="spellEnd"/>
      <w:r w:rsidRPr="00790760">
        <w:rPr>
          <w:rFonts w:ascii="Times New Roman" w:hAnsi="Times New Roman"/>
        </w:rPr>
        <w:t>) wholly or partly in Australia" (emphasis added). "[C]</w:t>
      </w:r>
      <w:proofErr w:type="spellStart"/>
      <w:r w:rsidRPr="00790760">
        <w:rPr>
          <w:rFonts w:ascii="Times New Roman" w:hAnsi="Times New Roman"/>
        </w:rPr>
        <w:t>onduct</w:t>
      </w:r>
      <w:proofErr w:type="spellEnd"/>
      <w:r w:rsidRPr="00790760">
        <w:rPr>
          <w:rFonts w:ascii="Times New Roman" w:hAnsi="Times New Roman"/>
        </w:rPr>
        <w:t>" is defined in s 321B as "an act or an omission to perform an act". "[R]</w:t>
      </w:r>
      <w:proofErr w:type="spellStart"/>
      <w:r w:rsidRPr="00790760">
        <w:rPr>
          <w:rFonts w:ascii="Times New Roman" w:hAnsi="Times New Roman"/>
        </w:rPr>
        <w:t>esult</w:t>
      </w:r>
      <w:proofErr w:type="spellEnd"/>
      <w:r w:rsidRPr="00790760">
        <w:rPr>
          <w:rFonts w:ascii="Times New Roman" w:hAnsi="Times New Roman"/>
        </w:rPr>
        <w:t>" is not defined in the Electoral Act. Nonetheless, the fact that s 321E distinguishes between the conduct contravening s 321D and the result of that conduct shows that there is a distinction and that that distinction is not unimportant. In other words, the act constituting the contravention is separate from, and not the</w:t>
      </w:r>
      <w:r>
        <w:rPr>
          <w:rFonts w:ascii="Times New Roman" w:hAnsi="Times New Roman"/>
        </w:rPr>
        <w:t> </w:t>
      </w:r>
      <w:r w:rsidRPr="00790760">
        <w:rPr>
          <w:rFonts w:ascii="Times New Roman" w:hAnsi="Times New Roman"/>
        </w:rPr>
        <w:t xml:space="preserve">same as, the effect or result of that act. </w:t>
      </w:r>
    </w:p>
    <w:p w14:paraId="4F619CC9"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lastRenderedPageBreak/>
        <w:tab/>
        <w:t>It is readily comprehensible that a "result" of a contravention of s 321D is the viewing of the matter. Section 321E(1)(b) provides for the situation where the</w:t>
      </w:r>
      <w:r>
        <w:rPr>
          <w:rFonts w:ascii="Times New Roman" w:hAnsi="Times New Roman"/>
        </w:rPr>
        <w:t> </w:t>
      </w:r>
      <w:r w:rsidRPr="00790760">
        <w:rPr>
          <w:rFonts w:ascii="Times New Roman" w:hAnsi="Times New Roman"/>
        </w:rPr>
        <w:t>act contravening s 321D (such as publication) occurs outside Australia, but</w:t>
      </w:r>
      <w:r>
        <w:rPr>
          <w:rFonts w:ascii="Times New Roman" w:hAnsi="Times New Roman"/>
        </w:rPr>
        <w:t> </w:t>
      </w:r>
      <w:r w:rsidRPr="00790760">
        <w:rPr>
          <w:rFonts w:ascii="Times New Roman" w:hAnsi="Times New Roman"/>
        </w:rPr>
        <w:t>the</w:t>
      </w:r>
      <w:r>
        <w:rPr>
          <w:rFonts w:ascii="Times New Roman" w:hAnsi="Times New Roman"/>
        </w:rPr>
        <w:t> </w:t>
      </w:r>
      <w:r w:rsidRPr="00790760">
        <w:rPr>
          <w:rFonts w:ascii="Times New Roman" w:hAnsi="Times New Roman"/>
        </w:rPr>
        <w:t xml:space="preserve">matter is viewed inside Australia. It is difficult to see what else could be meant by a "result" of a contravention of s 321D. The </w:t>
      </w:r>
      <w:r w:rsidRPr="00790760">
        <w:rPr>
          <w:rFonts w:ascii="Times New Roman" w:hAnsi="Times New Roman"/>
          <w:i/>
          <w:iCs/>
        </w:rPr>
        <w:t>act</w:t>
      </w:r>
      <w:r w:rsidRPr="00790760">
        <w:rPr>
          <w:rFonts w:ascii="Times New Roman" w:hAnsi="Times New Roman"/>
        </w:rPr>
        <w:t xml:space="preserve"> of publishing, broadcasting or putting into the world the matter is the contravention, which is separate to the receiving, viewing or hearing of the matter, which is the </w:t>
      </w:r>
      <w:r w:rsidRPr="00790760">
        <w:rPr>
          <w:rFonts w:ascii="Times New Roman" w:hAnsi="Times New Roman"/>
          <w:i/>
          <w:iCs/>
        </w:rPr>
        <w:t>result</w:t>
      </w:r>
      <w:r w:rsidRPr="00790760">
        <w:rPr>
          <w:rFonts w:ascii="Times New Roman" w:hAnsi="Times New Roman"/>
        </w:rPr>
        <w:t xml:space="preserve">. </w:t>
      </w:r>
    </w:p>
    <w:p w14:paraId="6EC8A322" w14:textId="77777777" w:rsidR="0012516B" w:rsidRPr="00790760" w:rsidRDefault="0012516B" w:rsidP="00790760">
      <w:pPr>
        <w:pStyle w:val="HeadingL2"/>
        <w:spacing w:after="260" w:line="280" w:lineRule="exact"/>
        <w:ind w:right="0"/>
        <w:jc w:val="both"/>
        <w:rPr>
          <w:rFonts w:ascii="Times New Roman" w:hAnsi="Times New Roman"/>
        </w:rPr>
      </w:pPr>
      <w:r w:rsidRPr="00790760">
        <w:rPr>
          <w:rFonts w:ascii="Times New Roman" w:hAnsi="Times New Roman"/>
        </w:rPr>
        <w:t>Purpose</w:t>
      </w:r>
    </w:p>
    <w:p w14:paraId="22274092"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As we have seen, the objects of Pt XXA are to "promote free and informed voting at elections by enhancing ... (a) the transparency of the electoral system, by</w:t>
      </w:r>
      <w:r>
        <w:rPr>
          <w:rFonts w:ascii="Times New Roman" w:hAnsi="Times New Roman"/>
        </w:rPr>
        <w:t> </w:t>
      </w:r>
      <w:r w:rsidRPr="00790760">
        <w:rPr>
          <w:rFonts w:ascii="Times New Roman" w:hAnsi="Times New Roman"/>
        </w:rPr>
        <w:t>allowing voters to know who is communicating electoral matter; (b)</w:t>
      </w:r>
      <w:r>
        <w:rPr>
          <w:rFonts w:ascii="Times New Roman" w:hAnsi="Times New Roman"/>
        </w:rPr>
        <w:t> </w:t>
      </w:r>
      <w:r w:rsidRPr="00790760">
        <w:rPr>
          <w:rFonts w:ascii="Times New Roman" w:hAnsi="Times New Roman"/>
        </w:rPr>
        <w:t>the</w:t>
      </w:r>
      <w:r>
        <w:rPr>
          <w:rFonts w:ascii="Times New Roman" w:hAnsi="Times New Roman"/>
        </w:rPr>
        <w:t> </w:t>
      </w:r>
      <w:r w:rsidRPr="00790760">
        <w:rPr>
          <w:rFonts w:ascii="Times New Roman" w:hAnsi="Times New Roman"/>
        </w:rPr>
        <w:t>accountability of those persons participating in public debate relating to electoral matter, by making those persons responsible for their communications; [and] (c) the traceability of communications of electoral matter, by ensuring that obligations imposed by this Part in relation to those communications can be enforced".</w:t>
      </w:r>
      <w:r w:rsidRPr="00790760">
        <w:rPr>
          <w:rStyle w:val="FootnoteReference"/>
          <w:rFonts w:ascii="Times New Roman" w:hAnsi="Times New Roman"/>
          <w:sz w:val="24"/>
        </w:rPr>
        <w:footnoteReference w:id="36"/>
      </w:r>
      <w:r w:rsidRPr="00790760">
        <w:rPr>
          <w:rFonts w:ascii="Times New Roman" w:hAnsi="Times New Roman"/>
        </w:rPr>
        <w:t xml:space="preserve"> </w:t>
      </w:r>
      <w:r w:rsidRPr="00790760">
        <w:rPr>
          <w:rFonts w:ascii="Times New Roman" w:hAnsi="Times New Roman"/>
          <w:b/>
          <w:bCs/>
        </w:rPr>
        <w:t xml:space="preserve"> </w:t>
      </w:r>
    </w:p>
    <w:p w14:paraId="56E4E632"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b/>
          <w:bCs/>
        </w:rPr>
        <w:tab/>
      </w:r>
      <w:r w:rsidRPr="00790760">
        <w:rPr>
          <w:rFonts w:ascii="Times New Roman" w:hAnsi="Times New Roman"/>
        </w:rPr>
        <w:t>Part XXA "aims to achieve these objects by ... (a) requiring the particulars of the person who authorised the communication of electoral matter to be notified [and] (b) ensuring that the particulars are clearly identifiable, irrespective of how the matter is communicated".</w:t>
      </w:r>
      <w:r w:rsidRPr="00790760">
        <w:rPr>
          <w:rStyle w:val="FootnoteReference"/>
          <w:rFonts w:ascii="Times New Roman" w:hAnsi="Times New Roman"/>
          <w:sz w:val="24"/>
        </w:rPr>
        <w:footnoteReference w:id="37"/>
      </w:r>
      <w:r w:rsidRPr="00790760">
        <w:rPr>
          <w:rFonts w:ascii="Times New Roman" w:hAnsi="Times New Roman"/>
        </w:rPr>
        <w:t xml:space="preserve"> This is consistent with this Court's finding in </w:t>
      </w:r>
      <w:r w:rsidRPr="00790760">
        <w:rPr>
          <w:rFonts w:ascii="Times New Roman" w:hAnsi="Times New Roman"/>
          <w:i/>
          <w:iCs/>
        </w:rPr>
        <w:t>Smith</w:t>
      </w:r>
      <w:r>
        <w:rPr>
          <w:rFonts w:ascii="Times New Roman" w:hAnsi="Times New Roman"/>
          <w:i/>
          <w:iCs/>
        </w:rPr>
        <w:t> </w:t>
      </w:r>
      <w:r w:rsidRPr="00790760">
        <w:rPr>
          <w:rFonts w:ascii="Times New Roman" w:hAnsi="Times New Roman"/>
          <w:i/>
          <w:iCs/>
        </w:rPr>
        <w:t>v Oldham</w:t>
      </w:r>
      <w:r w:rsidRPr="00790760">
        <w:rPr>
          <w:rStyle w:val="FootnoteReference"/>
          <w:rFonts w:ascii="Times New Roman" w:hAnsi="Times New Roman"/>
          <w:sz w:val="24"/>
        </w:rPr>
        <w:footnoteReference w:id="38"/>
      </w:r>
      <w:r w:rsidRPr="00790760">
        <w:rPr>
          <w:rFonts w:ascii="Times New Roman" w:hAnsi="Times New Roman"/>
          <w:i/>
          <w:iCs/>
        </w:rPr>
        <w:t xml:space="preserve"> </w:t>
      </w:r>
      <w:r w:rsidRPr="00790760">
        <w:rPr>
          <w:rFonts w:ascii="Times New Roman" w:hAnsi="Times New Roman"/>
        </w:rPr>
        <w:t xml:space="preserve">that electors "may be less likely to be misled or unduly influenced if they know the authority upon which they are asked to rely". </w:t>
      </w:r>
    </w:p>
    <w:p w14:paraId="265FFF1B"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b/>
          <w:bCs/>
        </w:rPr>
        <w:tab/>
      </w:r>
      <w:r w:rsidRPr="00790760">
        <w:rPr>
          <w:rFonts w:ascii="Times New Roman" w:hAnsi="Times New Roman"/>
        </w:rPr>
        <w:t>The construction that I prefer is consistent with those objectives. But so</w:t>
      </w:r>
      <w:r w:rsidRPr="00790760" w:rsidDel="00A71E51">
        <w:rPr>
          <w:rFonts w:ascii="Times New Roman" w:hAnsi="Times New Roman"/>
        </w:rPr>
        <w:t xml:space="preserve"> </w:t>
      </w:r>
      <w:r w:rsidRPr="00790760">
        <w:rPr>
          <w:rFonts w:ascii="Times New Roman" w:hAnsi="Times New Roman"/>
        </w:rPr>
        <w:t>is the Commissioner's construction. Both constructions involve penalising persons who do not notify the required particulars with electoral matter. Both deter anonymous publication of electoral matter. Both promote free and informed voting at elections. The only substantive difference between the competing constructions in respect of their achievement of the objects of Pt XXA is that the Commissioner's construction provides scope for a larger maximum penalty. Undoubtedly, a higher maximum penalty means greater deterrence of wrongdoing, and therefore, in</w:t>
      </w:r>
      <w:r>
        <w:rPr>
          <w:rFonts w:ascii="Times New Roman" w:hAnsi="Times New Roman"/>
        </w:rPr>
        <w:t> </w:t>
      </w:r>
      <w:r w:rsidRPr="00790760">
        <w:rPr>
          <w:rFonts w:ascii="Times New Roman" w:hAnsi="Times New Roman"/>
        </w:rPr>
        <w:t>theory, better ensures that s 321</w:t>
      </w:r>
      <w:proofErr w:type="gramStart"/>
      <w:r w:rsidRPr="00790760">
        <w:rPr>
          <w:rFonts w:ascii="Times New Roman" w:hAnsi="Times New Roman"/>
        </w:rPr>
        <w:t>D(</w:t>
      </w:r>
      <w:proofErr w:type="gramEnd"/>
      <w:r w:rsidRPr="00790760">
        <w:rPr>
          <w:rFonts w:ascii="Times New Roman" w:hAnsi="Times New Roman"/>
        </w:rPr>
        <w:t xml:space="preserve">5) is complied with, thus better promoting free and informed voting. </w:t>
      </w:r>
    </w:p>
    <w:p w14:paraId="4BCA7AB6"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lastRenderedPageBreak/>
        <w:tab/>
        <w:t>However, merely because a competing construction may result in a larger maximum penalty does not necessarily mean it is the intended construction. Of</w:t>
      </w:r>
      <w:r>
        <w:rPr>
          <w:rFonts w:ascii="Times New Roman" w:hAnsi="Times New Roman"/>
        </w:rPr>
        <w:t> </w:t>
      </w:r>
      <w:r w:rsidRPr="00790760">
        <w:rPr>
          <w:rFonts w:ascii="Times New Roman" w:hAnsi="Times New Roman"/>
        </w:rPr>
        <w:t>course, increasing a penalty will increase its deterrent value. But Parliament chose a specific, and limited, maximum penalty. The identified maximum penalty is what Parliament intends to be</w:t>
      </w:r>
      <w:r w:rsidRPr="00790760">
        <w:rPr>
          <w:rFonts w:ascii="Times New Roman" w:hAnsi="Times New Roman"/>
          <w:i/>
          <w:iCs/>
        </w:rPr>
        <w:t xml:space="preserve"> </w:t>
      </w:r>
      <w:r w:rsidRPr="00790760">
        <w:rPr>
          <w:rFonts w:ascii="Times New Roman" w:hAnsi="Times New Roman"/>
        </w:rPr>
        <w:t>sufficient deterrence.</w:t>
      </w:r>
      <w:r w:rsidRPr="00790760">
        <w:rPr>
          <w:rStyle w:val="FootnoteReference"/>
          <w:rFonts w:ascii="Times New Roman" w:hAnsi="Times New Roman"/>
          <w:sz w:val="24"/>
        </w:rPr>
        <w:footnoteReference w:id="39"/>
      </w:r>
      <w:r w:rsidRPr="00790760">
        <w:rPr>
          <w:rFonts w:ascii="Times New Roman" w:hAnsi="Times New Roman"/>
        </w:rPr>
        <w:t xml:space="preserve"> The purpose of a penalty is sufficient</w:t>
      </w:r>
      <w:r w:rsidRPr="00790760">
        <w:rPr>
          <w:rFonts w:ascii="Times New Roman" w:hAnsi="Times New Roman"/>
          <w:i/>
          <w:iCs/>
        </w:rPr>
        <w:t xml:space="preserve"> </w:t>
      </w:r>
      <w:r w:rsidRPr="00790760">
        <w:rPr>
          <w:rFonts w:ascii="Times New Roman" w:hAnsi="Times New Roman"/>
        </w:rPr>
        <w:t xml:space="preserve">deterrence, not maximum deterrence. </w:t>
      </w:r>
    </w:p>
    <w:p w14:paraId="31D27208"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b/>
          <w:bCs/>
        </w:rPr>
        <w:tab/>
      </w:r>
      <w:r w:rsidRPr="00790760">
        <w:rPr>
          <w:rFonts w:ascii="Times New Roman" w:hAnsi="Times New Roman"/>
        </w:rPr>
        <w:t>Parliament has chosen the maximum penalty for s 321</w:t>
      </w:r>
      <w:proofErr w:type="gramStart"/>
      <w:r w:rsidRPr="00790760">
        <w:rPr>
          <w:rFonts w:ascii="Times New Roman" w:hAnsi="Times New Roman"/>
        </w:rPr>
        <w:t>D(</w:t>
      </w:r>
      <w:proofErr w:type="gramEnd"/>
      <w:r w:rsidRPr="00790760">
        <w:rPr>
          <w:rFonts w:ascii="Times New Roman" w:hAnsi="Times New Roman"/>
        </w:rPr>
        <w:t xml:space="preserve">5). It is a penalty that, while not an overwhelmingly large sum, </w:t>
      </w:r>
      <w:r w:rsidRPr="00790760" w:rsidDel="00505862">
        <w:rPr>
          <w:rFonts w:ascii="Times New Roman" w:hAnsi="Times New Roman"/>
        </w:rPr>
        <w:t>is,</w:t>
      </w:r>
      <w:r w:rsidRPr="00790760">
        <w:rPr>
          <w:rFonts w:ascii="Times New Roman" w:hAnsi="Times New Roman"/>
        </w:rPr>
        <w:t xml:space="preserve"> objectively speaking, a not insignificant amount of money. It is not so low as to suggest that Parliament must</w:t>
      </w:r>
      <w:r w:rsidRPr="00790760">
        <w:rPr>
          <w:rFonts w:ascii="Times New Roman" w:hAnsi="Times New Roman"/>
          <w:i/>
          <w:iCs/>
        </w:rPr>
        <w:t xml:space="preserve"> </w:t>
      </w:r>
      <w:r w:rsidRPr="00790760">
        <w:rPr>
          <w:rFonts w:ascii="Times New Roman" w:hAnsi="Times New Roman"/>
        </w:rPr>
        <w:t xml:space="preserve">have intended it to apply "per viewer" of the contravening matter, </w:t>
      </w:r>
      <w:r w:rsidRPr="00790760" w:rsidDel="006D0B0A">
        <w:rPr>
          <w:rFonts w:ascii="Times New Roman" w:hAnsi="Times New Roman"/>
        </w:rPr>
        <w:t xml:space="preserve">particularly </w:t>
      </w:r>
      <w:r w:rsidRPr="00790760">
        <w:rPr>
          <w:rFonts w:ascii="Times New Roman" w:hAnsi="Times New Roman"/>
        </w:rPr>
        <w:t xml:space="preserve">for those matters broadcast </w:t>
      </w:r>
      <w:proofErr w:type="spellStart"/>
      <w:r w:rsidRPr="00790760">
        <w:rPr>
          <w:rFonts w:ascii="Times New Roman" w:hAnsi="Times New Roman"/>
        </w:rPr>
        <w:t>en</w:t>
      </w:r>
      <w:proofErr w:type="spellEnd"/>
      <w:r w:rsidRPr="00790760">
        <w:rPr>
          <w:rFonts w:ascii="Times New Roman" w:hAnsi="Times New Roman"/>
        </w:rPr>
        <w:t xml:space="preserve"> masse. Further, the Court can </w:t>
      </w:r>
      <w:proofErr w:type="gramStart"/>
      <w:r w:rsidRPr="00790760">
        <w:rPr>
          <w:rFonts w:ascii="Times New Roman" w:hAnsi="Times New Roman"/>
        </w:rPr>
        <w:t>take into account</w:t>
      </w:r>
      <w:proofErr w:type="gramEnd"/>
      <w:r w:rsidRPr="00790760">
        <w:rPr>
          <w:rFonts w:ascii="Times New Roman" w:hAnsi="Times New Roman"/>
        </w:rPr>
        <w:t xml:space="preserve"> the</w:t>
      </w:r>
      <w:r>
        <w:rPr>
          <w:rFonts w:ascii="Times New Roman" w:hAnsi="Times New Roman"/>
        </w:rPr>
        <w:t> </w:t>
      </w:r>
      <w:r w:rsidRPr="00790760">
        <w:rPr>
          <w:rFonts w:ascii="Times New Roman" w:hAnsi="Times New Roman"/>
        </w:rPr>
        <w:t>number of people who viewed the contravening matter when determining what penalty to impose in the particular case.</w:t>
      </w:r>
      <w:r w:rsidRPr="00790760">
        <w:rPr>
          <w:rStyle w:val="FootnoteReference"/>
          <w:rFonts w:ascii="Times New Roman" w:hAnsi="Times New Roman"/>
          <w:sz w:val="24"/>
        </w:rPr>
        <w:footnoteReference w:id="40"/>
      </w:r>
      <w:r w:rsidRPr="00790760">
        <w:rPr>
          <w:rFonts w:ascii="Times New Roman" w:hAnsi="Times New Roman"/>
        </w:rPr>
        <w:t xml:space="preserve"> The adopted construction achieves the</w:t>
      </w:r>
      <w:r>
        <w:rPr>
          <w:rFonts w:ascii="Times New Roman" w:hAnsi="Times New Roman"/>
        </w:rPr>
        <w:t> </w:t>
      </w:r>
      <w:r w:rsidRPr="00790760">
        <w:rPr>
          <w:rFonts w:ascii="Times New Roman" w:hAnsi="Times New Roman"/>
        </w:rPr>
        <w:t>objects of Pt XXA. It is consistent with Parliament's purpose for Pt XXA. That</w:t>
      </w:r>
      <w:r>
        <w:rPr>
          <w:rFonts w:ascii="Times New Roman" w:hAnsi="Times New Roman"/>
        </w:rPr>
        <w:t> </w:t>
      </w:r>
      <w:r w:rsidRPr="00790760">
        <w:rPr>
          <w:rFonts w:ascii="Times New Roman" w:hAnsi="Times New Roman"/>
        </w:rPr>
        <w:t>it may result in a lower maximum penalty than the competing construction is an insufficient basis to prefer the competing construction.</w:t>
      </w:r>
    </w:p>
    <w:p w14:paraId="716D758B"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The extrinsic materials state clearly, and at length, that the purpose of the</w:t>
      </w:r>
      <w:r>
        <w:rPr>
          <w:rFonts w:ascii="Times New Roman" w:hAnsi="Times New Roman"/>
        </w:rPr>
        <w:t> </w:t>
      </w:r>
      <w:r w:rsidRPr="00790760">
        <w:rPr>
          <w:rFonts w:ascii="Times New Roman" w:hAnsi="Times New Roman"/>
        </w:rPr>
        <w:t>introduction of Pt XXA was to ensure that the rules regarding the authorisation of electoral matter applied consistently to all forms of communication, across all technological media.</w:t>
      </w:r>
      <w:r w:rsidRPr="00790760">
        <w:rPr>
          <w:rStyle w:val="FootnoteReference"/>
          <w:rFonts w:ascii="Times New Roman" w:hAnsi="Times New Roman"/>
          <w:sz w:val="24"/>
        </w:rPr>
        <w:footnoteReference w:id="41"/>
      </w:r>
      <w:r w:rsidRPr="00790760">
        <w:rPr>
          <w:rFonts w:ascii="Times New Roman" w:hAnsi="Times New Roman"/>
        </w:rPr>
        <w:t xml:space="preserve"> The focus was not on introducing a "per person" or</w:t>
      </w:r>
      <w:r>
        <w:rPr>
          <w:rFonts w:ascii="Times New Roman" w:hAnsi="Times New Roman"/>
        </w:rPr>
        <w:t> </w:t>
      </w:r>
      <w:r w:rsidRPr="00790760">
        <w:rPr>
          <w:rFonts w:ascii="Times New Roman" w:hAnsi="Times New Roman"/>
        </w:rPr>
        <w:t>"per</w:t>
      </w:r>
      <w:r>
        <w:rPr>
          <w:rFonts w:ascii="Times New Roman" w:hAnsi="Times New Roman"/>
        </w:rPr>
        <w:t> </w:t>
      </w:r>
      <w:r w:rsidRPr="00790760">
        <w:rPr>
          <w:rFonts w:ascii="Times New Roman" w:hAnsi="Times New Roman"/>
        </w:rPr>
        <w:t>voter" approach to contraventions. Prior to the introduction of Pt XXA,</w:t>
      </w:r>
      <w:r w:rsidRPr="00790760">
        <w:rPr>
          <w:rStyle w:val="FootnoteReference"/>
          <w:rFonts w:ascii="Times New Roman" w:hAnsi="Times New Roman"/>
          <w:sz w:val="24"/>
        </w:rPr>
        <w:footnoteReference w:id="42"/>
      </w:r>
      <w:r w:rsidRPr="00790760">
        <w:rPr>
          <w:rFonts w:ascii="Times New Roman" w:hAnsi="Times New Roman"/>
        </w:rPr>
        <w:t xml:space="preserve"> the</w:t>
      </w:r>
      <w:r>
        <w:rPr>
          <w:rFonts w:ascii="Times New Roman" w:hAnsi="Times New Roman"/>
        </w:rPr>
        <w:t> </w:t>
      </w:r>
      <w:r w:rsidRPr="00790760">
        <w:rPr>
          <w:rFonts w:ascii="Times New Roman" w:hAnsi="Times New Roman"/>
        </w:rPr>
        <w:t xml:space="preserve">authorisation requirements under the Electoral Act only applied to printed and </w:t>
      </w:r>
      <w:r w:rsidRPr="00790760">
        <w:rPr>
          <w:rFonts w:ascii="Times New Roman" w:hAnsi="Times New Roman"/>
        </w:rPr>
        <w:lastRenderedPageBreak/>
        <w:t>video recorded advertisements;</w:t>
      </w:r>
      <w:r w:rsidRPr="00790760">
        <w:rPr>
          <w:rStyle w:val="FootnoteReference"/>
          <w:rFonts w:ascii="Times New Roman" w:hAnsi="Times New Roman"/>
          <w:sz w:val="24"/>
        </w:rPr>
        <w:footnoteReference w:id="43"/>
      </w:r>
      <w:r w:rsidRPr="00790760">
        <w:rPr>
          <w:rFonts w:ascii="Times New Roman" w:hAnsi="Times New Roman"/>
        </w:rPr>
        <w:t xml:space="preserve"> paid electoral advertisements on the internet;</w:t>
      </w:r>
      <w:r w:rsidRPr="00790760">
        <w:rPr>
          <w:rStyle w:val="FootnoteReference"/>
          <w:rFonts w:ascii="Times New Roman" w:hAnsi="Times New Roman"/>
          <w:sz w:val="24"/>
        </w:rPr>
        <w:footnoteReference w:id="44"/>
      </w:r>
      <w:r w:rsidRPr="00790760">
        <w:rPr>
          <w:rFonts w:ascii="Times New Roman" w:hAnsi="Times New Roman"/>
        </w:rPr>
        <w:t xml:space="preserve"> how-to-vote cards;</w:t>
      </w:r>
      <w:r w:rsidRPr="00790760">
        <w:rPr>
          <w:rStyle w:val="FootnoteReference"/>
          <w:rFonts w:ascii="Times New Roman" w:hAnsi="Times New Roman"/>
          <w:sz w:val="24"/>
        </w:rPr>
        <w:footnoteReference w:id="45"/>
      </w:r>
      <w:r w:rsidRPr="00790760">
        <w:rPr>
          <w:rFonts w:ascii="Times New Roman" w:hAnsi="Times New Roman"/>
        </w:rPr>
        <w:t xml:space="preserve"> and headings to electoral advertisements in newspapers, magazines and other periodicals.</w:t>
      </w:r>
      <w:r w:rsidRPr="00790760">
        <w:rPr>
          <w:rStyle w:val="FootnoteReference"/>
          <w:rFonts w:ascii="Times New Roman" w:hAnsi="Times New Roman"/>
          <w:sz w:val="24"/>
        </w:rPr>
        <w:footnoteReference w:id="46"/>
      </w:r>
      <w:r w:rsidRPr="00790760">
        <w:rPr>
          <w:rFonts w:ascii="Times New Roman" w:hAnsi="Times New Roman"/>
        </w:rPr>
        <w:t xml:space="preserve"> The authorisation requirements did not apply to electoral advertising using telephone, text messaging or social media.</w:t>
      </w:r>
      <w:r w:rsidRPr="00790760">
        <w:rPr>
          <w:rStyle w:val="FootnoteReference"/>
          <w:rFonts w:ascii="Times New Roman" w:hAnsi="Times New Roman"/>
          <w:sz w:val="24"/>
        </w:rPr>
        <w:footnoteReference w:id="47"/>
      </w:r>
    </w:p>
    <w:p w14:paraId="0F435122"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Part XXA was clearly and expressly introduced to ensure that the</w:t>
      </w:r>
      <w:r>
        <w:rPr>
          <w:rFonts w:ascii="Times New Roman" w:hAnsi="Times New Roman"/>
        </w:rPr>
        <w:t> </w:t>
      </w:r>
      <w:r w:rsidRPr="00790760">
        <w:rPr>
          <w:rFonts w:ascii="Times New Roman" w:hAnsi="Times New Roman"/>
        </w:rPr>
        <w:t>authorisation requirements applied consistently to all technological media. The</w:t>
      </w:r>
      <w:r>
        <w:rPr>
          <w:rFonts w:ascii="Times New Roman" w:hAnsi="Times New Roman"/>
        </w:rPr>
        <w:t> </w:t>
      </w:r>
      <w:r w:rsidRPr="00790760">
        <w:rPr>
          <w:rFonts w:ascii="Times New Roman" w:hAnsi="Times New Roman"/>
        </w:rPr>
        <w:t>first paragraph of the Joint Standing Committee on Electoral Matters' report's chapter on "Authorisation of electoral materials" is in the following terms:</w:t>
      </w:r>
      <w:r w:rsidRPr="00790760">
        <w:rPr>
          <w:rStyle w:val="FootnoteReference"/>
          <w:rFonts w:ascii="Times New Roman" w:hAnsi="Times New Roman"/>
          <w:sz w:val="24"/>
        </w:rPr>
        <w:footnoteReference w:id="48"/>
      </w:r>
    </w:p>
    <w:p w14:paraId="248C2DBD" w14:textId="77777777" w:rsidR="0012516B" w:rsidRDefault="0012516B" w:rsidP="00790760">
      <w:pPr>
        <w:pStyle w:val="leftright"/>
        <w:spacing w:before="0" w:after="260" w:line="280" w:lineRule="exact"/>
        <w:ind w:right="0"/>
        <w:jc w:val="both"/>
        <w:rPr>
          <w:rFonts w:ascii="Times New Roman" w:hAnsi="Times New Roman"/>
        </w:rPr>
      </w:pPr>
      <w:r w:rsidRPr="00790760">
        <w:rPr>
          <w:rFonts w:ascii="Times New Roman" w:hAnsi="Times New Roman"/>
        </w:rPr>
        <w:t>"This chapter focuses specifically on issues raised about authorisation of communications to voters in electoral materials. Significant</w:t>
      </w:r>
      <w:r>
        <w:rPr>
          <w:rFonts w:ascii="Times New Roman" w:hAnsi="Times New Roman"/>
        </w:rPr>
        <w:t> </w:t>
      </w:r>
      <w:r w:rsidRPr="00790760">
        <w:rPr>
          <w:rFonts w:ascii="Times New Roman" w:hAnsi="Times New Roman"/>
        </w:rPr>
        <w:t xml:space="preserve">concerns were raised about how changes in technology have led to the change in the way voter communications are delivered to the public. Additionally, considerable concerns were raised that current legislation is </w:t>
      </w:r>
      <w:proofErr w:type="gramStart"/>
      <w:r w:rsidRPr="00790760">
        <w:rPr>
          <w:rFonts w:ascii="Times New Roman" w:hAnsi="Times New Roman"/>
        </w:rPr>
        <w:t>inconsistent, and</w:t>
      </w:r>
      <w:proofErr w:type="gramEnd"/>
      <w:r w:rsidRPr="00790760">
        <w:rPr>
          <w:rFonts w:ascii="Times New Roman" w:hAnsi="Times New Roman"/>
        </w:rPr>
        <w:t xml:space="preserve"> has not kept up with modern methods of communication."</w:t>
      </w:r>
    </w:p>
    <w:p w14:paraId="30C381D4"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Facebook itself was considered, with the report citing the following observations:</w:t>
      </w:r>
      <w:r w:rsidRPr="00790760">
        <w:rPr>
          <w:rStyle w:val="FootnoteReference"/>
          <w:rFonts w:ascii="Times New Roman" w:hAnsi="Times New Roman"/>
          <w:sz w:val="24"/>
        </w:rPr>
        <w:footnoteReference w:id="49"/>
      </w:r>
    </w:p>
    <w:p w14:paraId="57587782" w14:textId="77777777" w:rsidR="0012516B" w:rsidRPr="00790760" w:rsidRDefault="0012516B" w:rsidP="00790760">
      <w:pPr>
        <w:pStyle w:val="leftright"/>
        <w:spacing w:before="0" w:after="260" w:line="280" w:lineRule="exact"/>
        <w:ind w:right="0"/>
        <w:jc w:val="both"/>
        <w:rPr>
          <w:rFonts w:ascii="Times New Roman" w:hAnsi="Times New Roman"/>
        </w:rPr>
      </w:pPr>
      <w:r w:rsidRPr="00790760">
        <w:rPr>
          <w:rFonts w:ascii="Times New Roman" w:hAnsi="Times New Roman"/>
        </w:rPr>
        <w:t>"</w:t>
      </w:r>
      <w:proofErr w:type="gramStart"/>
      <w:r w:rsidRPr="00790760">
        <w:rPr>
          <w:rFonts w:ascii="Times New Roman" w:hAnsi="Times New Roman"/>
        </w:rPr>
        <w:t>we</w:t>
      </w:r>
      <w:proofErr w:type="gramEnd"/>
      <w:r w:rsidRPr="00790760">
        <w:rPr>
          <w:rFonts w:ascii="Times New Roman" w:hAnsi="Times New Roman"/>
        </w:rPr>
        <w:t xml:space="preserve"> live in a world where mainstream sources of media are trusted less and less. People are drawing their information from a variety of sources and if people are targeting a number of those sources, whether they be text messages or Facebook pages, at the right demographic with the right messages, even if they are untrue, the propensity of people to weigh that up against what they are hearing from traditional media is becoming less </w:t>
      </w:r>
      <w:r w:rsidRPr="00790760">
        <w:rPr>
          <w:rFonts w:ascii="Times New Roman" w:hAnsi="Times New Roman"/>
        </w:rPr>
        <w:lastRenderedPageBreak/>
        <w:t>and</w:t>
      </w:r>
      <w:r>
        <w:rPr>
          <w:rFonts w:ascii="Times New Roman" w:hAnsi="Times New Roman"/>
        </w:rPr>
        <w:t> </w:t>
      </w:r>
      <w:r w:rsidRPr="00790760">
        <w:rPr>
          <w:rFonts w:ascii="Times New Roman" w:hAnsi="Times New Roman"/>
        </w:rPr>
        <w:t>less. I think the effectiveness of lines of communication like that is only increasing and if people are not using them responsibly then we leave ourselves open to a lot of trouble.</w:t>
      </w:r>
    </w:p>
    <w:p w14:paraId="77ED99BA" w14:textId="77777777" w:rsidR="0012516B" w:rsidRPr="00790760" w:rsidRDefault="0012516B" w:rsidP="00790760">
      <w:pPr>
        <w:pStyle w:val="leftright"/>
        <w:spacing w:before="0" w:after="260" w:line="280" w:lineRule="exact"/>
        <w:ind w:right="0"/>
        <w:jc w:val="both"/>
        <w:rPr>
          <w:rFonts w:ascii="Times New Roman" w:hAnsi="Times New Roman"/>
        </w:rPr>
      </w:pPr>
      <w:r w:rsidRPr="00790760">
        <w:rPr>
          <w:rFonts w:ascii="Times New Roman" w:hAnsi="Times New Roman"/>
        </w:rPr>
        <w:t>...</w:t>
      </w:r>
    </w:p>
    <w:p w14:paraId="712F7D29" w14:textId="77777777" w:rsidR="0012516B" w:rsidRDefault="0012516B" w:rsidP="00790760">
      <w:pPr>
        <w:pStyle w:val="leftright"/>
        <w:spacing w:before="0" w:after="260" w:line="280" w:lineRule="exact"/>
        <w:ind w:right="0"/>
        <w:jc w:val="both"/>
        <w:rPr>
          <w:rFonts w:ascii="Times New Roman" w:hAnsi="Times New Roman"/>
        </w:rPr>
      </w:pPr>
      <w:r w:rsidRPr="00790760">
        <w:rPr>
          <w:rFonts w:ascii="Times New Roman" w:hAnsi="Times New Roman"/>
        </w:rPr>
        <w:t xml:space="preserve">Different vehicles and different platforms have their own challenges because of the nature of the number of characters you can send or on forwarding material through Facebook et cetera. But, as a general principle, the Electoral Act should protect the right of the electors to know who is sending them messages. I think that in </w:t>
      </w:r>
      <w:proofErr w:type="gramStart"/>
      <w:r w:rsidRPr="00790760">
        <w:rPr>
          <w:rFonts w:ascii="Times New Roman" w:hAnsi="Times New Roman"/>
        </w:rPr>
        <w:t>all of</w:t>
      </w:r>
      <w:proofErr w:type="gramEnd"/>
      <w:r w:rsidRPr="00790760">
        <w:rPr>
          <w:rFonts w:ascii="Times New Roman" w:hAnsi="Times New Roman"/>
        </w:rPr>
        <w:t xml:space="preserve"> these cases there will be a way forward to identify who is sending you a message and then you can make a</w:t>
      </w:r>
      <w:r>
        <w:rPr>
          <w:rFonts w:ascii="Times New Roman" w:hAnsi="Times New Roman"/>
        </w:rPr>
        <w:t> </w:t>
      </w:r>
      <w:r w:rsidRPr="00790760">
        <w:rPr>
          <w:rFonts w:ascii="Times New Roman" w:hAnsi="Times New Roman"/>
        </w:rPr>
        <w:t>judgement about it. I do not think that technology has got to the point where it is inconceivable to make it plain who it is from."</w:t>
      </w:r>
    </w:p>
    <w:p w14:paraId="45E19331" w14:textId="77777777" w:rsidR="0012516B" w:rsidRPr="00790760" w:rsidRDefault="0012516B" w:rsidP="00790760">
      <w:pPr>
        <w:pStyle w:val="FixListStyle"/>
        <w:spacing w:after="260" w:line="280" w:lineRule="exact"/>
        <w:ind w:right="0"/>
        <w:jc w:val="both"/>
        <w:rPr>
          <w:rFonts w:ascii="Times New Roman" w:hAnsi="Times New Roman"/>
        </w:rPr>
      </w:pPr>
      <w:r w:rsidRPr="00790760">
        <w:rPr>
          <w:rFonts w:ascii="Times New Roman" w:hAnsi="Times New Roman"/>
        </w:rPr>
        <w:tab/>
        <w:t>With this background in mind, the significance of the introduction of the</w:t>
      </w:r>
      <w:r>
        <w:rPr>
          <w:rFonts w:ascii="Times New Roman" w:hAnsi="Times New Roman"/>
        </w:rPr>
        <w:t> </w:t>
      </w:r>
      <w:r w:rsidRPr="00790760">
        <w:rPr>
          <w:rFonts w:ascii="Times New Roman" w:hAnsi="Times New Roman"/>
        </w:rPr>
        <w:t>words "communicated to a person" in s 321</w:t>
      </w:r>
      <w:proofErr w:type="gramStart"/>
      <w:r w:rsidRPr="00790760">
        <w:rPr>
          <w:rFonts w:ascii="Times New Roman" w:hAnsi="Times New Roman"/>
        </w:rPr>
        <w:t>D(</w:t>
      </w:r>
      <w:proofErr w:type="gramEnd"/>
      <w:r w:rsidRPr="00790760">
        <w:rPr>
          <w:rFonts w:ascii="Times New Roman" w:hAnsi="Times New Roman"/>
        </w:rPr>
        <w:t>1) lies not in the fact that they embrace the recipient of the communication; it is that they are technologically neutral.</w:t>
      </w:r>
    </w:p>
    <w:p w14:paraId="79D89E08" w14:textId="77777777" w:rsidR="0012516B" w:rsidRPr="00790760" w:rsidRDefault="0012516B" w:rsidP="00790760">
      <w:pPr>
        <w:pStyle w:val="HeadingL1"/>
        <w:spacing w:after="260" w:line="280" w:lineRule="exact"/>
        <w:ind w:right="0"/>
        <w:jc w:val="both"/>
        <w:rPr>
          <w:rFonts w:ascii="Times New Roman" w:hAnsi="Times New Roman"/>
        </w:rPr>
      </w:pPr>
      <w:r w:rsidRPr="00790760">
        <w:rPr>
          <w:rFonts w:ascii="Times New Roman" w:hAnsi="Times New Roman"/>
        </w:rPr>
        <w:t>Orders</w:t>
      </w:r>
    </w:p>
    <w:p w14:paraId="435BEBBC" w14:textId="45CC0F8D" w:rsidR="0012516B" w:rsidRPr="0012516B" w:rsidRDefault="0012516B" w:rsidP="0012516B">
      <w:pPr>
        <w:pStyle w:val="FixListStyle"/>
        <w:spacing w:after="260" w:line="280" w:lineRule="exact"/>
        <w:ind w:right="0"/>
        <w:jc w:val="both"/>
        <w:rPr>
          <w:rFonts w:ascii="Times New Roman" w:hAnsi="Times New Roman"/>
        </w:rPr>
      </w:pPr>
      <w:r w:rsidRPr="00790760">
        <w:rPr>
          <w:rFonts w:ascii="Times New Roman" w:hAnsi="Times New Roman"/>
        </w:rPr>
        <w:tab/>
        <w:t xml:space="preserve">I agree with the orders of </w:t>
      </w:r>
      <w:proofErr w:type="spellStart"/>
      <w:r w:rsidRPr="00790760">
        <w:rPr>
          <w:rFonts w:ascii="Times New Roman" w:hAnsi="Times New Roman"/>
        </w:rPr>
        <w:t>Gageler</w:t>
      </w:r>
      <w:proofErr w:type="spellEnd"/>
      <w:r w:rsidRPr="00790760">
        <w:rPr>
          <w:rFonts w:ascii="Times New Roman" w:hAnsi="Times New Roman"/>
        </w:rPr>
        <w:t xml:space="preserve"> CJ, Gleeson and Jagot JJ.</w:t>
      </w:r>
    </w:p>
    <w:p w14:paraId="386F7193" w14:textId="77777777" w:rsidR="0012516B" w:rsidRDefault="0012516B" w:rsidP="001526A9">
      <w:pPr>
        <w:pStyle w:val="FixListStyle"/>
        <w:spacing w:after="260" w:line="280" w:lineRule="exact"/>
        <w:ind w:right="0"/>
        <w:jc w:val="both"/>
        <w:rPr>
          <w:rFonts w:ascii="Times New Roman" w:hAnsi="Times New Roman"/>
        </w:rPr>
        <w:sectPr w:rsidR="0012516B" w:rsidSect="0012516B">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6ACEFF8" w14:textId="77777777" w:rsidR="0012516B" w:rsidRPr="004F7959" w:rsidRDefault="0012516B" w:rsidP="004F7959">
      <w:pPr>
        <w:pStyle w:val="NormalBody"/>
        <w:tabs>
          <w:tab w:val="clear" w:pos="720"/>
          <w:tab w:val="left" w:pos="0"/>
        </w:tabs>
        <w:spacing w:after="260" w:line="280" w:lineRule="exact"/>
        <w:ind w:right="0"/>
        <w:jc w:val="both"/>
        <w:rPr>
          <w:rFonts w:ascii="Times New Roman" w:hAnsi="Times New Roman"/>
        </w:rPr>
      </w:pPr>
      <w:r w:rsidRPr="004F7959">
        <w:rPr>
          <w:rFonts w:ascii="Times New Roman" w:hAnsi="Times New Roman"/>
        </w:rPr>
        <w:lastRenderedPageBreak/>
        <w:t xml:space="preserve">EDELMAN J.   </w:t>
      </w:r>
    </w:p>
    <w:p w14:paraId="237ED998" w14:textId="77777777" w:rsidR="0012516B" w:rsidRPr="004F7959" w:rsidRDefault="0012516B" w:rsidP="004F7959">
      <w:pPr>
        <w:pStyle w:val="HeadingL1"/>
        <w:spacing w:after="260" w:line="280" w:lineRule="exact"/>
        <w:ind w:right="0"/>
        <w:jc w:val="both"/>
        <w:rPr>
          <w:rFonts w:ascii="Times New Roman" w:hAnsi="Times New Roman"/>
        </w:rPr>
      </w:pPr>
      <w:r w:rsidRPr="004F7959">
        <w:rPr>
          <w:rFonts w:ascii="Times New Roman" w:hAnsi="Times New Roman"/>
        </w:rPr>
        <w:t>Thwarting the Commonwealth Parliament's intention</w:t>
      </w:r>
    </w:p>
    <w:p w14:paraId="546E6BF1"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Suppose that a political campaigner distributed 1,000 pamphlets containing electoral material that failed to comply with a statutory requirement, such as the inclusion of the name of the person authorising the pamphlet. Subject to any defences, the political campaigner would have committed 1,000 offences under the relevant provisions of the </w:t>
      </w:r>
      <w:r w:rsidRPr="004F7959">
        <w:rPr>
          <w:rFonts w:ascii="Times New Roman" w:hAnsi="Times New Roman"/>
          <w:i/>
          <w:iCs/>
        </w:rPr>
        <w:t xml:space="preserve">Commonwealth Electoral Act 1902 </w:t>
      </w:r>
      <w:r w:rsidRPr="004F7959">
        <w:rPr>
          <w:rFonts w:ascii="Times New Roman" w:hAnsi="Times New Roman"/>
        </w:rPr>
        <w:t xml:space="preserve">(Cth) and the </w:t>
      </w:r>
      <w:r w:rsidRPr="004F7959">
        <w:rPr>
          <w:rFonts w:ascii="Times New Roman" w:hAnsi="Times New Roman"/>
          <w:i/>
          <w:iCs/>
        </w:rPr>
        <w:t xml:space="preserve">Commonwealth Electoral Act 1918 </w:t>
      </w:r>
      <w:r w:rsidRPr="004F7959">
        <w:rPr>
          <w:rFonts w:ascii="Times New Roman" w:hAnsi="Times New Roman"/>
        </w:rPr>
        <w:t>(Cth), in the forms in which the relevant provisions existed from 1902 until 2018.</w:t>
      </w:r>
      <w:r w:rsidRPr="004F7959">
        <w:rPr>
          <w:rStyle w:val="FootnoteReference"/>
          <w:rFonts w:ascii="Times New Roman" w:hAnsi="Times New Roman"/>
          <w:sz w:val="24"/>
        </w:rPr>
        <w:footnoteReference w:id="50"/>
      </w:r>
      <w:r w:rsidRPr="004F7959">
        <w:rPr>
          <w:rFonts w:ascii="Times New Roman" w:hAnsi="Times New Roman"/>
        </w:rPr>
        <w:t xml:space="preserve"> Of course, notions of proportionality, including limiting the criminal penalty to what was deserved, and associated principles such as the totality, consistency or parity, and course of conduct principles, would prevent the political campaigner from being penalised by an amount which is 1,000 times the penalty for a single offence. But the </w:t>
      </w:r>
      <w:r w:rsidRPr="004F7959">
        <w:rPr>
          <w:rFonts w:ascii="Times New Roman" w:hAnsi="Times New Roman"/>
          <w:i/>
          <w:iCs/>
        </w:rPr>
        <w:t>Commonwealth Electoral Act</w:t>
      </w:r>
      <w:r w:rsidRPr="004F7959">
        <w:rPr>
          <w:rFonts w:ascii="Times New Roman" w:hAnsi="Times New Roman"/>
        </w:rPr>
        <w:t xml:space="preserve"> (in any of its iterations before 2018)</w:t>
      </w:r>
      <w:r w:rsidRPr="004F7959">
        <w:rPr>
          <w:rFonts w:ascii="Times New Roman" w:hAnsi="Times New Roman"/>
          <w:i/>
          <w:iCs/>
        </w:rPr>
        <w:t xml:space="preserve"> </w:t>
      </w:r>
      <w:r w:rsidRPr="004F7959">
        <w:rPr>
          <w:rFonts w:ascii="Times New Roman" w:hAnsi="Times New Roman"/>
        </w:rPr>
        <w:t xml:space="preserve">did not deem the distribution of 1,000 pamphlets to be a single offence.  </w:t>
      </w:r>
    </w:p>
    <w:p w14:paraId="2B2FE095"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In 2018, the legislation that created the various forms of the offence discussed above was amended and rewritten by what can be described as "the Digital Amendments". The report which provoked the Digital Amendments described how concerns had arisen that "electoral material is communicated through new means without the requirement to authorise" and that "[p]</w:t>
      </w:r>
      <w:proofErr w:type="spellStart"/>
      <w:r w:rsidRPr="004F7959">
        <w:rPr>
          <w:rFonts w:ascii="Times New Roman" w:hAnsi="Times New Roman"/>
        </w:rPr>
        <w:t>eople</w:t>
      </w:r>
      <w:proofErr w:type="spellEnd"/>
      <w:r w:rsidRPr="004F7959">
        <w:rPr>
          <w:rFonts w:ascii="Times New Roman" w:hAnsi="Times New Roman"/>
        </w:rPr>
        <w:t xml:space="preserve"> are drawing their information from a variety of sources ... whether they be text messages or Facebook pages".</w:t>
      </w:r>
      <w:r w:rsidRPr="004F7959">
        <w:rPr>
          <w:rStyle w:val="FootnoteReference"/>
          <w:rFonts w:ascii="Times New Roman" w:hAnsi="Times New Roman"/>
          <w:sz w:val="24"/>
        </w:rPr>
        <w:footnoteReference w:id="51"/>
      </w:r>
      <w:r w:rsidRPr="004F7959">
        <w:rPr>
          <w:rFonts w:ascii="Times New Roman" w:hAnsi="Times New Roman"/>
        </w:rPr>
        <w:t xml:space="preserve"> The Digital Amendments created a civil contravention which responded to the concern that "those who wished to hide their identity from voters could do so by communicating via media—including modern technologies—not covered by the … authorisation regime".</w:t>
      </w:r>
      <w:r w:rsidRPr="004F7959">
        <w:rPr>
          <w:rStyle w:val="FootnoteReference"/>
          <w:rFonts w:ascii="Times New Roman" w:hAnsi="Times New Roman"/>
          <w:sz w:val="24"/>
        </w:rPr>
        <w:footnoteReference w:id="52"/>
      </w:r>
      <w:r w:rsidRPr="004F7959">
        <w:rPr>
          <w:rFonts w:ascii="Times New Roman" w:hAnsi="Times New Roman"/>
        </w:rPr>
        <w:t xml:space="preserve"> A note in the amended legislation gave examples of "matters that may be covered" by the </w:t>
      </w:r>
      <w:r w:rsidRPr="004F7959">
        <w:rPr>
          <w:rFonts w:ascii="Times New Roman" w:hAnsi="Times New Roman"/>
        </w:rPr>
        <w:lastRenderedPageBreak/>
        <w:t>provision, including "bulk text messages and bulk voice calls containing electoral matter".</w:t>
      </w:r>
      <w:r w:rsidRPr="004F7959">
        <w:rPr>
          <w:rStyle w:val="FootnoteReference"/>
          <w:rFonts w:ascii="Times New Roman" w:hAnsi="Times New Roman"/>
          <w:sz w:val="24"/>
        </w:rPr>
        <w:footnoteReference w:id="53"/>
      </w:r>
      <w:r w:rsidRPr="004F7959">
        <w:rPr>
          <w:rFonts w:ascii="Times New Roman" w:hAnsi="Times New Roman"/>
        </w:rPr>
        <w:t xml:space="preserve"> </w:t>
      </w:r>
    </w:p>
    <w:p w14:paraId="66C77A69"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If the appellant's submissions in this case were to be accepted, then a political campaigner who transmitted 1,000 text messages by a "bulk text message" or who transmitted a bulk email copied, or blind copied, to 1,000 people, without disclosing the name and relevant town or city of the person who authorised the communication, would commit only one contravention of the applicable provision (that is, s 321D of the </w:t>
      </w:r>
      <w:r w:rsidRPr="004F7959">
        <w:rPr>
          <w:rFonts w:ascii="Times New Roman" w:hAnsi="Times New Roman"/>
          <w:i/>
        </w:rPr>
        <w:t xml:space="preserve">Commonwealth Electoral Act 1918 </w:t>
      </w:r>
      <w:r w:rsidRPr="004F7959">
        <w:rPr>
          <w:rFonts w:ascii="Times New Roman" w:hAnsi="Times New Roman"/>
          <w:iCs/>
        </w:rPr>
        <w:t xml:space="preserve">(Cth) ("the </w:t>
      </w:r>
      <w:r w:rsidRPr="004F7959">
        <w:rPr>
          <w:rFonts w:ascii="Times New Roman" w:hAnsi="Times New Roman"/>
          <w:i/>
        </w:rPr>
        <w:t>Commonwealth Electoral Act"</w:t>
      </w:r>
      <w:r w:rsidRPr="004F7959">
        <w:rPr>
          <w:rFonts w:ascii="Times New Roman" w:hAnsi="Times New Roman"/>
          <w:iCs/>
        </w:rPr>
        <w:t>)</w:t>
      </w:r>
      <w:r w:rsidRPr="004F7959">
        <w:rPr>
          <w:rFonts w:ascii="Times New Roman" w:hAnsi="Times New Roman"/>
        </w:rPr>
        <w:t xml:space="preserve">). The Digital Amendments would have had the effect that, by adapting a regime designed in a non-digital era for a digital era, the commission of 1,000 offences would become only one civil contravention. The effect of the Digital Amendments, if the appellant's submissions were to be accepted, would be that the attempt by the Commonwealth Parliament to modernise the </w:t>
      </w:r>
      <w:r w:rsidRPr="004F7959">
        <w:rPr>
          <w:rFonts w:ascii="Times New Roman" w:hAnsi="Times New Roman"/>
          <w:i/>
          <w:iCs/>
        </w:rPr>
        <w:t xml:space="preserve">Commonwealth Electoral Act </w:t>
      </w:r>
      <w:r w:rsidRPr="004F7959">
        <w:rPr>
          <w:rFonts w:ascii="Times New Roman" w:hAnsi="Times New Roman"/>
        </w:rPr>
        <w:t xml:space="preserve">would have badly backfired. I do not accept that the words of the Digital Amendments were so poorly expressed that the modernisation attempt by the Commonwealth Parliament gutted the effect of the </w:t>
      </w:r>
      <w:r w:rsidRPr="004F7959">
        <w:rPr>
          <w:rFonts w:ascii="Times New Roman" w:hAnsi="Times New Roman"/>
          <w:i/>
          <w:iCs/>
        </w:rPr>
        <w:t xml:space="preserve">Commonwealth Electoral Act </w:t>
      </w:r>
      <w:r w:rsidRPr="004F7959">
        <w:rPr>
          <w:rFonts w:ascii="Times New Roman" w:hAnsi="Times New Roman"/>
        </w:rPr>
        <w:t>in this respect.</w:t>
      </w:r>
    </w:p>
    <w:p w14:paraId="0DAFF686"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In the present appeal, the medium of communication used by the appellant was a public page on the social networking website, Facebook. Three infringing "posts" were made on that public page, which was administered by the appellant. To generalise from the finding of fact explained most clearly in relation to the first post, those posts were transmitted to various devices or end systems where they were accessed by </w:t>
      </w:r>
      <w:proofErr w:type="gramStart"/>
      <w:r w:rsidRPr="004F7959">
        <w:rPr>
          <w:rFonts w:ascii="Times New Roman" w:hAnsi="Times New Roman"/>
        </w:rPr>
        <w:t>a number of</w:t>
      </w:r>
      <w:proofErr w:type="gramEnd"/>
      <w:r w:rsidRPr="004F7959">
        <w:rPr>
          <w:rFonts w:ascii="Times New Roman" w:hAnsi="Times New Roman"/>
        </w:rPr>
        <w:t xml:space="preserve"> unique Facebook profiles belonging to individual users. Specifically, in respect of each of the posts found to have contravened s 321D of the </w:t>
      </w:r>
      <w:r w:rsidRPr="004F7959">
        <w:rPr>
          <w:rFonts w:ascii="Times New Roman" w:hAnsi="Times New Roman"/>
          <w:i/>
          <w:iCs/>
        </w:rPr>
        <w:t>Commonwealth Electoral Act</w:t>
      </w:r>
      <w:r w:rsidRPr="004F7959">
        <w:rPr>
          <w:rFonts w:ascii="Times New Roman" w:hAnsi="Times New Roman"/>
        </w:rPr>
        <w:t>, the 24 December 2018 post was transmitted to and received by six people, the 7 February 2019 post was transmitted to and received by eight people, and the 5 May 2019 post was transmitted to and received by 14 people. In total, for these three posts combined, the cumulative number of occasions the posts were transmitted to and received by a unique Facebook user was 28.</w:t>
      </w:r>
    </w:p>
    <w:p w14:paraId="32912721"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Prior to the Digital Amendments, there is no doubt that if the appellant had handed out an infringing pamphlet to six people, another to eight people, and a third to 14 people then, subject to any defences, the appellant would have committed 28 offences. The enforcement of the offences would have been particularly impactful if those to whom the pamphlets had been provided had either requested the information or had provided a general request for information of that nature. The contraventions in this case were the digital equivalent of this. The packets of data comprising the three Facebook posts were transmitted to devices </w:t>
      </w:r>
      <w:r w:rsidRPr="004F7959">
        <w:rPr>
          <w:rFonts w:ascii="Times New Roman" w:hAnsi="Times New Roman"/>
        </w:rPr>
        <w:lastRenderedPageBreak/>
        <w:t xml:space="preserve">or end systems used, respectively, by six, eight, and 14 people who either clicked on or "followed" the Facebook page. </w:t>
      </w:r>
    </w:p>
    <w:p w14:paraId="0596FC87"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The text of the Digital Amendments reveals, reflects, and gives effect to their modernising purpose. No amount of anguished linguistic analysis of verbs, tenses, and gerunds should require the Digital Amendments to be interpreted in a way that so thoroughly thwarts the intention of the Commonwealth Parliament by allowing a horse and cart to be driven through the operation of the Digital Amendments. The purpose of the Commonwealth Parliament's amendments did not fundamentally miscarry. This appeal should be dismissed.</w:t>
      </w:r>
    </w:p>
    <w:p w14:paraId="0C626ADD" w14:textId="77777777" w:rsidR="0012516B" w:rsidRPr="004F7959" w:rsidRDefault="0012516B" w:rsidP="004F7959">
      <w:pPr>
        <w:pStyle w:val="HeadingL1"/>
        <w:spacing w:after="260" w:line="280" w:lineRule="exact"/>
        <w:ind w:right="0"/>
        <w:jc w:val="both"/>
        <w:rPr>
          <w:rFonts w:ascii="Times New Roman" w:hAnsi="Times New Roman"/>
        </w:rPr>
      </w:pPr>
      <w:r w:rsidRPr="004F7959">
        <w:rPr>
          <w:rFonts w:ascii="Times New Roman" w:hAnsi="Times New Roman"/>
        </w:rPr>
        <w:t xml:space="preserve">The facts in outline </w:t>
      </w:r>
    </w:p>
    <w:p w14:paraId="36AA4D05"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The facts and background to this appeal are set out in detail in other reasons for decision and can be summarised briefly. The appellant was the administrator of a public Facebook page. Before the primary judge, the Electoral Commissioner of the Australian Electoral Commission ("the Electoral Commissioner") alleged that five posts made by the appellant on the Facebook page entitled "Redland Hospital: Let's fight for fair funding" ("the posts") were "electoral matter" within the meaning of s 321D of the </w:t>
      </w:r>
      <w:r w:rsidRPr="004F7959">
        <w:rPr>
          <w:rFonts w:ascii="Times New Roman" w:hAnsi="Times New Roman"/>
          <w:i/>
          <w:iCs/>
        </w:rPr>
        <w:t xml:space="preserve">Commonwealth Electoral Act </w:t>
      </w:r>
      <w:r w:rsidRPr="004F7959">
        <w:rPr>
          <w:rFonts w:ascii="Times New Roman" w:hAnsi="Times New Roman"/>
        </w:rPr>
        <w:t xml:space="preserve">and, by failing to disclose his name and relevant town or city, the appellant had contravened s 321D(5) in respect of each post. </w:t>
      </w:r>
    </w:p>
    <w:p w14:paraId="3E597D27"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The primary judge held that only three of the posts contravened s 321</w:t>
      </w:r>
      <w:proofErr w:type="gramStart"/>
      <w:r w:rsidRPr="004F7959">
        <w:rPr>
          <w:rFonts w:ascii="Times New Roman" w:hAnsi="Times New Roman"/>
        </w:rPr>
        <w:t>D(</w:t>
      </w:r>
      <w:proofErr w:type="gramEnd"/>
      <w:r w:rsidRPr="004F7959">
        <w:rPr>
          <w:rFonts w:ascii="Times New Roman" w:hAnsi="Times New Roman"/>
        </w:rPr>
        <w:t>5). The three contravening posts were made by the appellant on 24 December 2018, 7 February 2019, and 5 May 2019 ("the contravening posts"). The requirements for contravention that were met by these three posts included that they were communicated for the "dominant purpose of influencing the way electors vote in an election (a federal election) of a member of the House of Representatives or of Senators for a State or Territory".</w:t>
      </w:r>
      <w:r w:rsidRPr="004F7959">
        <w:rPr>
          <w:rStyle w:val="FootnoteReference"/>
          <w:rFonts w:ascii="Times New Roman" w:hAnsi="Times New Roman"/>
          <w:sz w:val="24"/>
        </w:rPr>
        <w:footnoteReference w:id="54"/>
      </w:r>
      <w:r w:rsidRPr="004F7959">
        <w:rPr>
          <w:rFonts w:ascii="Times New Roman" w:hAnsi="Times New Roman"/>
        </w:rPr>
        <w:t xml:space="preserve"> These findings of contravention were not challenged on appeal. Rather, the issues on appeal to the Full Court of the Federal Court of Australia were confined to issues concerning the penalties imposed in relation to the contravening posts. </w:t>
      </w:r>
    </w:p>
    <w:p w14:paraId="0A230DD3"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Each of the contravening posts was publicly available due to the public setting of the Facebook page. Although there is some discrepancy with the agreed statement of facts which was not explained on this appeal, the first contravening post was found to have had a reach of, or unique views by, six people, the second had a reach of eight people, and the third had a reach of 14 people. The concept of "reach" or "unique views" is explained in the next section of these reasons.</w:t>
      </w:r>
    </w:p>
    <w:p w14:paraId="7DD60428" w14:textId="77777777" w:rsidR="0012516B" w:rsidRPr="004F7959" w:rsidRDefault="0012516B" w:rsidP="004F7959">
      <w:pPr>
        <w:pStyle w:val="HeadingL1"/>
        <w:spacing w:after="260" w:line="280" w:lineRule="exact"/>
        <w:ind w:right="0"/>
        <w:jc w:val="both"/>
        <w:rPr>
          <w:rFonts w:ascii="Times New Roman" w:hAnsi="Times New Roman"/>
        </w:rPr>
      </w:pPr>
      <w:r w:rsidRPr="004F7959">
        <w:rPr>
          <w:rFonts w:ascii="Times New Roman" w:hAnsi="Times New Roman"/>
        </w:rPr>
        <w:lastRenderedPageBreak/>
        <w:t xml:space="preserve">Analogies with digital use: a Luddite's guide </w:t>
      </w:r>
    </w:p>
    <w:p w14:paraId="166A6EB1"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This appeal was rife with misleading analogies between circumstances that fell within the terms of the </w:t>
      </w:r>
      <w:r w:rsidRPr="004F7959">
        <w:rPr>
          <w:rFonts w:ascii="Times New Roman" w:hAnsi="Times New Roman"/>
          <w:i/>
          <w:iCs/>
        </w:rPr>
        <w:t>Commonwealth Electoral Act</w:t>
      </w:r>
      <w:r w:rsidRPr="004F7959">
        <w:rPr>
          <w:rFonts w:ascii="Times New Roman" w:hAnsi="Times New Roman"/>
        </w:rPr>
        <w:t xml:space="preserve"> prior to the Digital Amendments and circumstances that fell within that legislation after the Digital Amendments. Several basic points must be made in simple terms. First, the sending and receipt of bulk text messages, emails, or instant messages via an application is not analogous to creating and placing for public viewing a bumper sticker on a car, a magnet on a fridge, or a corflute in front of a house. In the examples of digital communication to separate people, there is a digital transfer of packets of data to a device or end system accessed by each person. Content is thus separately received and accessed by each recipient even if the content of that digital file (including images, text, and sounds) is identical to the content provided to many others. If an analogy must be drawn, then the more apt analogy is with the creation and bulk distribution to multiple people of pamphlets or brochures. The analogy is not with the creation and public viewing of a single bumper sticker, fridge magnet, or corflute.</w:t>
      </w:r>
    </w:p>
    <w:p w14:paraId="0C252F08"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The same reasoning applies where the digital communication is a post to a public Facebook page accessed by the profile of another Facebook user rather than a text message, email, or other instant message sent to another. A post on a public Facebook page is not like a sticker or fridge magnet that sits in some digital world waiting to be seen by ethereal beings. </w:t>
      </w:r>
    </w:p>
    <w:p w14:paraId="0989F843"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It is important to understand the digital operation of Facebook by reference to the concept of "reach" which was described by the primary judge by reference to the evidence of Mr Pennekamp, a witness who runs a digital marketing agency. The "reach" of a post is the number of unique individuals who have accessed a post through their Facebook profiles. </w:t>
      </w:r>
      <w:proofErr w:type="gramStart"/>
      <w:r w:rsidRPr="004F7959">
        <w:rPr>
          <w:rFonts w:ascii="Times New Roman" w:hAnsi="Times New Roman"/>
        </w:rPr>
        <w:t>In order for</w:t>
      </w:r>
      <w:proofErr w:type="gramEnd"/>
      <w:r w:rsidRPr="004F7959">
        <w:rPr>
          <w:rFonts w:ascii="Times New Roman" w:hAnsi="Times New Roman"/>
        </w:rPr>
        <w:t xml:space="preserve"> each of those individuals to have accessed the post, there must have been a transfer, to the device or end system used or accessed by the individual, of the packets of data that comprise the images, text, and sounds on the public page. The reach of a post is not the number of times that the recipient sees the post. The post might appear several times on the recipient's screen. Or there might also be ten people standing around the recipient's screen when the post is displayed. Nevertheless, the reach remains at only one user (the recipient). This was described by the primary judge as a "unique (individual) </w:t>
      </w:r>
      <w:proofErr w:type="gramStart"/>
      <w:r w:rsidRPr="004F7959">
        <w:rPr>
          <w:rFonts w:ascii="Times New Roman" w:hAnsi="Times New Roman"/>
        </w:rPr>
        <w:t>view[</w:t>
      </w:r>
      <w:proofErr w:type="gramEnd"/>
      <w:r w:rsidRPr="004F7959">
        <w:rPr>
          <w:rFonts w:ascii="Times New Roman" w:hAnsi="Times New Roman"/>
        </w:rPr>
        <w:t>]".</w:t>
      </w:r>
      <w:r w:rsidRPr="004F7959">
        <w:rPr>
          <w:rStyle w:val="FootnoteReference"/>
          <w:rFonts w:ascii="Times New Roman" w:hAnsi="Times New Roman"/>
          <w:sz w:val="24"/>
        </w:rPr>
        <w:footnoteReference w:id="55"/>
      </w:r>
    </w:p>
    <w:p w14:paraId="0D05D837"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r>
      <w:proofErr w:type="gramStart"/>
      <w:r w:rsidRPr="004F7959">
        <w:rPr>
          <w:rFonts w:ascii="Times New Roman" w:hAnsi="Times New Roman"/>
        </w:rPr>
        <w:t>In order to</w:t>
      </w:r>
      <w:proofErr w:type="gramEnd"/>
      <w:r w:rsidRPr="004F7959">
        <w:rPr>
          <w:rFonts w:ascii="Times New Roman" w:hAnsi="Times New Roman"/>
        </w:rPr>
        <w:t xml:space="preserve"> avoid misleading analogies, the concept of "reach" must be distinguished from a broader concept of "impressions" which is the number of times that a post is shown on screens. A post that "reaches" a single recipient might have multiple impressions. For instance, the post might be shown several times </w:t>
      </w:r>
      <w:r w:rsidRPr="004F7959">
        <w:rPr>
          <w:rFonts w:ascii="Times New Roman" w:hAnsi="Times New Roman"/>
        </w:rPr>
        <w:lastRenderedPageBreak/>
        <w:t xml:space="preserve">within a short period on the recipient's Facebook feed. The "reach" can roughly be described as the digital equivalent of a print-on-demand pamphlet being provided to a single person even if it is read by dozens of people. The "impressions" would be the dozens of people who read the pamphlet.  </w:t>
      </w:r>
    </w:p>
    <w:p w14:paraId="34448076"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The Full Court's finding of 28 contraventions relied upon the concept of "reach". It appears, at least from the primary judge's findings about the first contravention, that the notion of the reach of the posts extending to each of the six, eight, and 14 people to whom each Facebook post was communicated was based upon those individuals having "clicked on" or "followed" (effectively an advance request for information or content) the public Facebook page.</w:t>
      </w:r>
      <w:r w:rsidRPr="004F7959">
        <w:rPr>
          <w:rStyle w:val="FootnoteReference"/>
          <w:rFonts w:ascii="Times New Roman" w:hAnsi="Times New Roman"/>
          <w:sz w:val="24"/>
        </w:rPr>
        <w:footnoteReference w:id="56"/>
      </w:r>
      <w:r w:rsidRPr="004F7959">
        <w:rPr>
          <w:rFonts w:ascii="Times New Roman" w:hAnsi="Times New Roman"/>
        </w:rPr>
        <w:t xml:space="preserve"> The analogy in a non-digital world is if those people had requested or subscribed in advance to a pamphlet.  </w:t>
      </w:r>
    </w:p>
    <w:p w14:paraId="4300F779"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There was no suggestion in the reasons of the primary judge or the Full Court of the Federal Court that any of the contraventions based upon reach arose from what the primary judge described as "promoted posts (paid advertisements) or suggested posts, based on what Facebook's algorithm has determined the user may be interested in".</w:t>
      </w:r>
      <w:r w:rsidRPr="004F7959">
        <w:rPr>
          <w:rStyle w:val="FootnoteReference"/>
          <w:rFonts w:ascii="Times New Roman" w:hAnsi="Times New Roman"/>
          <w:sz w:val="24"/>
        </w:rPr>
        <w:footnoteReference w:id="57"/>
      </w:r>
      <w:r w:rsidRPr="004F7959">
        <w:rPr>
          <w:rFonts w:ascii="Times New Roman" w:hAnsi="Times New Roman"/>
        </w:rPr>
        <w:t xml:space="preserve"> But even if that were the case, the analogy with multiple pamphlets would still hold. A promoted post with a reach of 28 individuals would be the equivalent of 28 identical pamphlets delivered by an advertising agency to 28 individuals who may not have wished to receive it but who the agency knows have some interest in the subject matter.       </w:t>
      </w:r>
    </w:p>
    <w:p w14:paraId="1722B72C" w14:textId="77777777" w:rsidR="0012516B" w:rsidRPr="004F7959" w:rsidRDefault="0012516B" w:rsidP="004F7959">
      <w:pPr>
        <w:pStyle w:val="HeadingL1"/>
        <w:spacing w:after="260" w:line="280" w:lineRule="exact"/>
        <w:ind w:right="0"/>
        <w:jc w:val="both"/>
        <w:rPr>
          <w:rFonts w:ascii="Times New Roman" w:hAnsi="Times New Roman"/>
        </w:rPr>
      </w:pPr>
      <w:r w:rsidRPr="004F7959">
        <w:rPr>
          <w:rFonts w:ascii="Times New Roman" w:hAnsi="Times New Roman"/>
        </w:rPr>
        <w:t>The progenitor provisions prior to the Digital Amendments</w:t>
      </w:r>
    </w:p>
    <w:p w14:paraId="29D9E123"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In 1902, the </w:t>
      </w:r>
      <w:r w:rsidRPr="004F7959">
        <w:rPr>
          <w:rFonts w:ascii="Times New Roman" w:hAnsi="Times New Roman"/>
          <w:i/>
          <w:iCs/>
        </w:rPr>
        <w:t xml:space="preserve">Commonwealth Electoral Act 1902 </w:t>
      </w:r>
      <w:r w:rsidRPr="004F7959">
        <w:rPr>
          <w:rFonts w:ascii="Times New Roman" w:hAnsi="Times New Roman"/>
        </w:rPr>
        <w:t>(Cth) provided in s 180(a) for a criminal offence as follows:</w:t>
      </w:r>
    </w:p>
    <w:p w14:paraId="269EC080" w14:textId="77777777" w:rsidR="0012516B" w:rsidRDefault="0012516B" w:rsidP="004F7959">
      <w:pPr>
        <w:pStyle w:val="LeftrightafterHC"/>
        <w:spacing w:before="0" w:after="260" w:line="280" w:lineRule="exact"/>
        <w:ind w:right="0"/>
        <w:jc w:val="both"/>
        <w:rPr>
          <w:rFonts w:ascii="Times New Roman" w:hAnsi="Times New Roman"/>
        </w:rPr>
      </w:pPr>
      <w:r w:rsidRPr="004F7959">
        <w:rPr>
          <w:rFonts w:ascii="Times New Roman" w:hAnsi="Times New Roman"/>
        </w:rPr>
        <w:t>"[a]</w:t>
      </w:r>
      <w:proofErr w:type="spellStart"/>
      <w:r w:rsidRPr="004F7959">
        <w:rPr>
          <w:rFonts w:ascii="Times New Roman" w:hAnsi="Times New Roman"/>
        </w:rPr>
        <w:t>ny</w:t>
      </w:r>
      <w:proofErr w:type="spellEnd"/>
      <w:r w:rsidRPr="004F7959">
        <w:rPr>
          <w:rFonts w:ascii="Times New Roman" w:hAnsi="Times New Roman"/>
        </w:rPr>
        <w:t xml:space="preserve"> publication of any electoral advertisement </w:t>
      </w:r>
      <w:proofErr w:type="gramStart"/>
      <w:r w:rsidRPr="004F7959">
        <w:rPr>
          <w:rFonts w:ascii="Times New Roman" w:hAnsi="Times New Roman"/>
        </w:rPr>
        <w:t>hand-bill</w:t>
      </w:r>
      <w:proofErr w:type="gramEnd"/>
      <w:r w:rsidRPr="004F7959">
        <w:rPr>
          <w:rFonts w:ascii="Times New Roman" w:hAnsi="Times New Roman"/>
        </w:rPr>
        <w:t xml:space="preserve"> or pamphlet or any issue of any electoral notice without at the end thereof the name and address of the person authorizing the same, and on the face of the notice the name and address of the person authorizing the notice".</w:t>
      </w:r>
    </w:p>
    <w:p w14:paraId="334BBE99"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For more than 100 years, this provision, or a provision in similar terms, remained in the successors to the </w:t>
      </w:r>
      <w:r w:rsidRPr="004F7959">
        <w:rPr>
          <w:rFonts w:ascii="Times New Roman" w:hAnsi="Times New Roman"/>
          <w:i/>
          <w:iCs/>
        </w:rPr>
        <w:t>Commonwealth Electoral Act 1902</w:t>
      </w:r>
      <w:r w:rsidRPr="004F7959">
        <w:rPr>
          <w:rFonts w:ascii="Times New Roman" w:hAnsi="Times New Roman"/>
        </w:rPr>
        <w:t>.</w:t>
      </w:r>
      <w:r w:rsidRPr="004F7959">
        <w:rPr>
          <w:rStyle w:val="FootnoteReference"/>
          <w:rFonts w:ascii="Times New Roman" w:hAnsi="Times New Roman"/>
          <w:sz w:val="24"/>
        </w:rPr>
        <w:footnoteReference w:id="58"/>
      </w:r>
      <w:r w:rsidRPr="004F7959">
        <w:rPr>
          <w:rFonts w:ascii="Times New Roman" w:hAnsi="Times New Roman"/>
        </w:rPr>
        <w:t xml:space="preserve"> In 1983, </w:t>
      </w:r>
      <w:r w:rsidRPr="004F7959">
        <w:rPr>
          <w:rFonts w:ascii="Times New Roman" w:hAnsi="Times New Roman"/>
        </w:rPr>
        <w:lastRenderedPageBreak/>
        <w:t xml:space="preserve">the provision was repealed and reformulated in s 160 (later renumbered s 328) of the </w:t>
      </w:r>
      <w:r w:rsidRPr="004F7959">
        <w:rPr>
          <w:rFonts w:ascii="Times New Roman" w:hAnsi="Times New Roman"/>
          <w:i/>
          <w:iCs/>
        </w:rPr>
        <w:t xml:space="preserve">Commonwealth Electoral Act 1918 </w:t>
      </w:r>
      <w:r w:rsidRPr="004F7959">
        <w:rPr>
          <w:rFonts w:ascii="Times New Roman" w:hAnsi="Times New Roman"/>
        </w:rPr>
        <w:t>(Cth)</w:t>
      </w:r>
      <w:r w:rsidRPr="004F7959">
        <w:rPr>
          <w:rFonts w:ascii="Times New Roman" w:hAnsi="Times New Roman"/>
          <w:i/>
          <w:iCs/>
        </w:rPr>
        <w:t xml:space="preserve"> </w:t>
      </w:r>
      <w:r w:rsidRPr="004F7959">
        <w:rPr>
          <w:rFonts w:ascii="Times New Roman" w:hAnsi="Times New Roman"/>
        </w:rPr>
        <w:t>as follows:</w:t>
      </w:r>
      <w:r w:rsidRPr="004F7959">
        <w:rPr>
          <w:rStyle w:val="FootnoteReference"/>
          <w:rFonts w:ascii="Times New Roman" w:hAnsi="Times New Roman"/>
          <w:sz w:val="24"/>
        </w:rPr>
        <w:footnoteReference w:id="59"/>
      </w:r>
    </w:p>
    <w:p w14:paraId="7BDBD416" w14:textId="77777777" w:rsidR="0012516B" w:rsidRDefault="0012516B" w:rsidP="004F7959">
      <w:pPr>
        <w:pStyle w:val="LeftrightafterHC"/>
        <w:spacing w:before="0" w:after="260" w:line="280" w:lineRule="exact"/>
        <w:ind w:right="0"/>
        <w:jc w:val="both"/>
        <w:rPr>
          <w:rFonts w:ascii="Times New Roman" w:hAnsi="Times New Roman"/>
        </w:rPr>
      </w:pPr>
      <w:r w:rsidRPr="004F7959">
        <w:rPr>
          <w:rFonts w:ascii="Times New Roman" w:hAnsi="Times New Roman"/>
        </w:rPr>
        <w:t>"[a] person shall not print, publish or distribute or cause, permit or authorize to be printed, published or distributed, an electoral advertisement, handbill, pamphlet or notice unless ... the name and address ... of the person who authorized the advertisement, handbill, pamphlet or notice appears at the end thereof".</w:t>
      </w:r>
    </w:p>
    <w:p w14:paraId="3B644E66"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In 2006, the prohibition in s 328 was supplemented by a new prohibition in s 328A, creating an offence directed at the "[p]</w:t>
      </w:r>
      <w:proofErr w:type="spellStart"/>
      <w:r w:rsidRPr="004F7959">
        <w:rPr>
          <w:rFonts w:ascii="Times New Roman" w:hAnsi="Times New Roman"/>
        </w:rPr>
        <w:t>ublication</w:t>
      </w:r>
      <w:proofErr w:type="spellEnd"/>
      <w:r w:rsidRPr="004F7959">
        <w:rPr>
          <w:rFonts w:ascii="Times New Roman" w:hAnsi="Times New Roman"/>
        </w:rPr>
        <w:t xml:space="preserve"> of electoral advertisements on the Internet".</w:t>
      </w:r>
      <w:r w:rsidRPr="004F7959">
        <w:rPr>
          <w:rStyle w:val="FootnoteReference"/>
          <w:rFonts w:ascii="Times New Roman" w:hAnsi="Times New Roman"/>
          <w:sz w:val="24"/>
        </w:rPr>
        <w:footnoteReference w:id="60"/>
      </w:r>
      <w:r w:rsidRPr="004F7959">
        <w:rPr>
          <w:rFonts w:ascii="Times New Roman" w:hAnsi="Times New Roman"/>
        </w:rPr>
        <w:t xml:space="preserve"> A person committed the offence where the person published, or caused, permitted, or authorised the publication of, a paid electoral advertisement on the internet that was intended to affect voting at an election, and the name and address of the person who authorised the advertisement did not appear at the end of the advertisement. Both ss 328 and 328A remained in force until the commencement of the Digital Amendments in 2018.</w:t>
      </w:r>
    </w:p>
    <w:p w14:paraId="12206305"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 The purpose of these progenitor provisions was explained by this Court in </w:t>
      </w:r>
      <w:r w:rsidRPr="004F7959">
        <w:rPr>
          <w:rFonts w:ascii="Times New Roman" w:hAnsi="Times New Roman"/>
          <w:i/>
          <w:iCs/>
        </w:rPr>
        <w:t>Smith v Oldham</w:t>
      </w:r>
      <w:r w:rsidRPr="004F7959">
        <w:rPr>
          <w:rFonts w:ascii="Times New Roman" w:hAnsi="Times New Roman"/>
        </w:rPr>
        <w:t>.</w:t>
      </w:r>
      <w:r w:rsidRPr="004F7959">
        <w:rPr>
          <w:rStyle w:val="FootnoteReference"/>
          <w:rFonts w:ascii="Times New Roman" w:hAnsi="Times New Roman"/>
          <w:sz w:val="24"/>
        </w:rPr>
        <w:footnoteReference w:id="61"/>
      </w:r>
      <w:r w:rsidRPr="004F7959">
        <w:rPr>
          <w:rFonts w:ascii="Times New Roman" w:hAnsi="Times New Roman"/>
        </w:rPr>
        <w:t xml:space="preserve"> In that case, Griffith CJ described </w:t>
      </w:r>
      <w:proofErr w:type="spellStart"/>
      <w:r w:rsidRPr="004F7959">
        <w:rPr>
          <w:rFonts w:ascii="Times New Roman" w:hAnsi="Times New Roman"/>
        </w:rPr>
        <w:t>s</w:t>
      </w:r>
      <w:proofErr w:type="spellEnd"/>
      <w:r w:rsidRPr="004F7959">
        <w:rPr>
          <w:rFonts w:ascii="Times New Roman" w:hAnsi="Times New Roman"/>
        </w:rPr>
        <w:t xml:space="preserve"> 180 of the </w:t>
      </w:r>
      <w:r w:rsidRPr="004F7959">
        <w:rPr>
          <w:rFonts w:ascii="Times New Roman" w:hAnsi="Times New Roman"/>
          <w:i/>
          <w:iCs/>
        </w:rPr>
        <w:t xml:space="preserve">Commonwealth Electoral Act 1902 </w:t>
      </w:r>
      <w:r w:rsidRPr="004F7959">
        <w:rPr>
          <w:rFonts w:ascii="Times New Roman" w:hAnsi="Times New Roman"/>
        </w:rPr>
        <w:t>(Cth) as "not in an unusual form" for the not uncommon offence provisions for the previous half century "requiring advertisements, pamphlets and other election literature to bear the name of the printer and of the person by whose authority it is issued".</w:t>
      </w:r>
      <w:r w:rsidRPr="004F7959">
        <w:rPr>
          <w:rStyle w:val="FootnoteReference"/>
          <w:rFonts w:ascii="Times New Roman" w:hAnsi="Times New Roman"/>
          <w:sz w:val="24"/>
        </w:rPr>
        <w:footnoteReference w:id="62"/>
      </w:r>
      <w:r w:rsidRPr="004F7959">
        <w:rPr>
          <w:rFonts w:ascii="Times New Roman" w:hAnsi="Times New Roman"/>
        </w:rPr>
        <w:t xml:space="preserve"> His Honour described the purpose of such provisions as follows:</w:t>
      </w:r>
      <w:r w:rsidRPr="004F7959">
        <w:rPr>
          <w:rStyle w:val="FootnoteReference"/>
          <w:rFonts w:ascii="Times New Roman" w:hAnsi="Times New Roman"/>
          <w:sz w:val="24"/>
        </w:rPr>
        <w:footnoteReference w:id="63"/>
      </w:r>
    </w:p>
    <w:p w14:paraId="7F83609F" w14:textId="77777777" w:rsidR="0012516B" w:rsidRDefault="0012516B" w:rsidP="004F7959">
      <w:pPr>
        <w:pStyle w:val="LeftrightafterHC"/>
        <w:spacing w:before="0" w:after="260" w:line="280" w:lineRule="exact"/>
        <w:ind w:right="0"/>
        <w:jc w:val="both"/>
        <w:rPr>
          <w:rFonts w:ascii="Times New Roman" w:hAnsi="Times New Roman"/>
        </w:rPr>
      </w:pPr>
      <w:r w:rsidRPr="004F7959">
        <w:rPr>
          <w:rFonts w:ascii="Times New Roman" w:hAnsi="Times New Roman"/>
        </w:rPr>
        <w:t xml:space="preserve">"It is a notorious fact that many persons rely upon others for their guidance, especially in forming their opinions. It is obvious, therefore, that the freedom of choice of the electors at elections may be influenced by the </w:t>
      </w:r>
      <w:r w:rsidRPr="004F7959">
        <w:rPr>
          <w:rFonts w:ascii="Times New Roman" w:hAnsi="Times New Roman"/>
        </w:rPr>
        <w:lastRenderedPageBreak/>
        <w:t>weight attributed by the electors to printed articles, which weight may be greater or less than would be attributed to those articles if the electors knew the real authors."</w:t>
      </w:r>
    </w:p>
    <w:p w14:paraId="6E1EC199" w14:textId="77777777" w:rsidR="0012516B" w:rsidRPr="004F7959" w:rsidRDefault="0012516B" w:rsidP="007F67B1">
      <w:pPr>
        <w:pStyle w:val="FixListStyle"/>
        <w:numPr>
          <w:ilvl w:val="0"/>
          <w:numId w:val="0"/>
        </w:numPr>
        <w:spacing w:after="260" w:line="280" w:lineRule="exact"/>
        <w:ind w:right="0"/>
        <w:jc w:val="both"/>
        <w:rPr>
          <w:rFonts w:ascii="Times New Roman" w:hAnsi="Times New Roman"/>
        </w:rPr>
      </w:pPr>
      <w:r w:rsidRPr="004F7959">
        <w:rPr>
          <w:rFonts w:ascii="Times New Roman" w:hAnsi="Times New Roman"/>
        </w:rPr>
        <w:t>Isaacs J added that "[t]</w:t>
      </w:r>
      <w:proofErr w:type="gramStart"/>
      <w:r w:rsidRPr="004F7959">
        <w:rPr>
          <w:rFonts w:ascii="Times New Roman" w:hAnsi="Times New Roman"/>
        </w:rPr>
        <w:t>he</w:t>
      </w:r>
      <w:proofErr w:type="gramEnd"/>
      <w:r w:rsidRPr="004F7959">
        <w:rPr>
          <w:rFonts w:ascii="Times New Roman" w:hAnsi="Times New Roman"/>
        </w:rPr>
        <w:t xml:space="preserve"> vote of every elector is a matter of concern to the whole Commonwealth".</w:t>
      </w:r>
      <w:r w:rsidRPr="004F7959">
        <w:rPr>
          <w:rStyle w:val="FootnoteReference"/>
          <w:rFonts w:ascii="Times New Roman" w:hAnsi="Times New Roman"/>
          <w:sz w:val="24"/>
        </w:rPr>
        <w:footnoteReference w:id="64"/>
      </w:r>
    </w:p>
    <w:p w14:paraId="2CF604F1"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Unsurprisingly, it was not suggested on this appeal, nor could it have been suggested, that printing, publishing, or distributing 1,000 pamphlets that violated the progenitor provisions of the </w:t>
      </w:r>
      <w:r w:rsidRPr="004F7959">
        <w:rPr>
          <w:rFonts w:ascii="Times New Roman" w:hAnsi="Times New Roman"/>
          <w:i/>
          <w:iCs/>
        </w:rPr>
        <w:t xml:space="preserve">Commonwealth Electoral Act </w:t>
      </w:r>
      <w:r w:rsidRPr="004F7959">
        <w:rPr>
          <w:rFonts w:ascii="Times New Roman" w:hAnsi="Times New Roman"/>
        </w:rPr>
        <w:t>would have involved anything less than 1,000 offences. Just as the "bilateral nature of publication underpins the long-established common law rule that every communication of defamatory matter founds a separate cause of action",</w:t>
      </w:r>
      <w:r w:rsidRPr="004F7959">
        <w:rPr>
          <w:rStyle w:val="FootnoteReference"/>
          <w:rFonts w:ascii="Times New Roman" w:hAnsi="Times New Roman"/>
          <w:sz w:val="24"/>
        </w:rPr>
        <w:footnoteReference w:id="65"/>
      </w:r>
      <w:r w:rsidRPr="004F7959">
        <w:rPr>
          <w:rFonts w:ascii="Times New Roman" w:hAnsi="Times New Roman"/>
        </w:rPr>
        <w:t xml:space="preserve"> so too the bilateral nature of publication would have founded a separate offence for each pamphlet that was provided to a different person.   </w:t>
      </w:r>
    </w:p>
    <w:p w14:paraId="75285CDA" w14:textId="77777777" w:rsidR="0012516B" w:rsidRPr="004F7959" w:rsidRDefault="0012516B" w:rsidP="004F7959">
      <w:pPr>
        <w:pStyle w:val="HeadingL1"/>
        <w:spacing w:after="260" w:line="280" w:lineRule="exact"/>
        <w:ind w:right="0"/>
        <w:jc w:val="both"/>
        <w:rPr>
          <w:rFonts w:ascii="Times New Roman" w:hAnsi="Times New Roman"/>
        </w:rPr>
      </w:pPr>
      <w:r w:rsidRPr="004F7959">
        <w:rPr>
          <w:rFonts w:ascii="Times New Roman" w:hAnsi="Times New Roman"/>
        </w:rPr>
        <w:t>The reason for the Digital Amendments</w:t>
      </w:r>
    </w:p>
    <w:p w14:paraId="287F0617"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After the 2016 federal election, the Joint Standing Committee on Electoral Matters issued an </w:t>
      </w:r>
      <w:r w:rsidRPr="004F7959">
        <w:rPr>
          <w:rFonts w:ascii="Times New Roman" w:hAnsi="Times New Roman"/>
          <w:i/>
          <w:iCs/>
        </w:rPr>
        <w:t xml:space="preserve">Interim Report on the authorisation of voter communication </w:t>
      </w:r>
      <w:r w:rsidRPr="004F7959">
        <w:rPr>
          <w:rFonts w:ascii="Times New Roman" w:hAnsi="Times New Roman"/>
        </w:rPr>
        <w:t>("the JSCEM Report"). The JSCEM Report described how:</w:t>
      </w:r>
      <w:r w:rsidRPr="004F7959">
        <w:rPr>
          <w:rStyle w:val="FootnoteReference"/>
          <w:rFonts w:ascii="Times New Roman" w:hAnsi="Times New Roman"/>
          <w:sz w:val="24"/>
        </w:rPr>
        <w:footnoteReference w:id="66"/>
      </w:r>
    </w:p>
    <w:p w14:paraId="2C19739A" w14:textId="77777777" w:rsidR="0012516B" w:rsidRDefault="0012516B" w:rsidP="004F7959">
      <w:pPr>
        <w:pStyle w:val="LeftrightafterHC"/>
        <w:spacing w:before="0" w:after="260" w:line="280" w:lineRule="exact"/>
        <w:ind w:right="0"/>
        <w:jc w:val="both"/>
        <w:rPr>
          <w:rFonts w:ascii="Times New Roman" w:hAnsi="Times New Roman"/>
        </w:rPr>
      </w:pPr>
      <w:r w:rsidRPr="004F7959">
        <w:rPr>
          <w:rFonts w:ascii="Times New Roman" w:hAnsi="Times New Roman"/>
        </w:rPr>
        <w:t>"</w:t>
      </w:r>
      <w:proofErr w:type="gramStart"/>
      <w:r w:rsidRPr="004F7959">
        <w:rPr>
          <w:rFonts w:ascii="Times New Roman" w:hAnsi="Times New Roman"/>
        </w:rPr>
        <w:t>concern</w:t>
      </w:r>
      <w:proofErr w:type="gramEnd"/>
      <w:r w:rsidRPr="004F7959">
        <w:rPr>
          <w:rFonts w:ascii="Times New Roman" w:hAnsi="Times New Roman"/>
        </w:rPr>
        <w:t xml:space="preserve"> has arisen when electoral material is communicated through new means without the requirement to authorise. This places in doubt the integrity of the material being disseminated to the public and is at odds with the overarching purpose of authorisation which exists to ensure that electors know the source of any electoral advertising they receive."</w:t>
      </w:r>
    </w:p>
    <w:p w14:paraId="6774AD37"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The Committee concluded that "the current requirements for authorisation for print and broadcast do not appropriately cover many new forms of communications of electoral materials".</w:t>
      </w:r>
      <w:r w:rsidRPr="004F7959">
        <w:rPr>
          <w:rStyle w:val="FootnoteReference"/>
          <w:rFonts w:ascii="Times New Roman" w:hAnsi="Times New Roman"/>
          <w:sz w:val="24"/>
        </w:rPr>
        <w:footnoteReference w:id="67"/>
      </w:r>
      <w:r w:rsidRPr="004F7959">
        <w:rPr>
          <w:rFonts w:ascii="Times New Roman" w:hAnsi="Times New Roman"/>
        </w:rPr>
        <w:t xml:space="preserve"> The Committee recommended that a consistent approach be taken with some flexibility provided for different formats </w:t>
      </w:r>
      <w:r w:rsidRPr="004F7959">
        <w:rPr>
          <w:rFonts w:ascii="Times New Roman" w:hAnsi="Times New Roman"/>
        </w:rPr>
        <w:lastRenderedPageBreak/>
        <w:t>(after receiving evidence of the unique characteristics of some "[n]</w:t>
      </w:r>
      <w:proofErr w:type="spellStart"/>
      <w:r w:rsidRPr="004F7959">
        <w:rPr>
          <w:rFonts w:ascii="Times New Roman" w:hAnsi="Times New Roman"/>
        </w:rPr>
        <w:t>ew</w:t>
      </w:r>
      <w:proofErr w:type="spellEnd"/>
      <w:r w:rsidRPr="004F7959">
        <w:rPr>
          <w:rFonts w:ascii="Times New Roman" w:hAnsi="Times New Roman"/>
        </w:rPr>
        <w:t xml:space="preserve"> media" such as Twitter) where "reasonably possible", so as not to "interfere with the purpose of the communication, which is to communicate with electors".</w:t>
      </w:r>
      <w:r w:rsidRPr="004F7959">
        <w:rPr>
          <w:rStyle w:val="FootnoteReference"/>
          <w:rFonts w:ascii="Times New Roman" w:hAnsi="Times New Roman"/>
          <w:sz w:val="24"/>
        </w:rPr>
        <w:footnoteReference w:id="68"/>
      </w:r>
    </w:p>
    <w:p w14:paraId="022601C2"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Section 321D was part of the Digital Amendments introduced by the enactment of the </w:t>
      </w:r>
      <w:r w:rsidRPr="004F7959">
        <w:rPr>
          <w:rFonts w:ascii="Times New Roman" w:hAnsi="Times New Roman"/>
          <w:i/>
          <w:iCs/>
        </w:rPr>
        <w:t xml:space="preserve">Electoral and Other Legislation Amendment Bill 2017 </w:t>
      </w:r>
      <w:r w:rsidRPr="004F7959">
        <w:rPr>
          <w:rFonts w:ascii="Times New Roman" w:hAnsi="Times New Roman"/>
        </w:rPr>
        <w:t>(Cth) ("the Bill"). The Revised Explanatory Memorandum indicated that the purpose of the Bill was to "implement[] the Government response to the recommendations of the JSCEM Report", including to "appl[y] the electoral authorisation requirements to modern communication channels".</w:t>
      </w:r>
      <w:r w:rsidRPr="004F7959">
        <w:rPr>
          <w:rStyle w:val="FootnoteReference"/>
          <w:rFonts w:ascii="Times New Roman" w:hAnsi="Times New Roman"/>
          <w:sz w:val="24"/>
        </w:rPr>
        <w:footnoteReference w:id="69"/>
      </w:r>
      <w:r w:rsidRPr="004F7959">
        <w:rPr>
          <w:rFonts w:ascii="Times New Roman" w:hAnsi="Times New Roman"/>
        </w:rPr>
        <w:t xml:space="preserve"> The offence provisions of ss 328 and 328A were repealed</w:t>
      </w:r>
      <w:r w:rsidRPr="004F7959">
        <w:rPr>
          <w:rStyle w:val="FootnoteReference"/>
          <w:rFonts w:ascii="Times New Roman" w:hAnsi="Times New Roman"/>
          <w:sz w:val="24"/>
        </w:rPr>
        <w:footnoteReference w:id="70"/>
      </w:r>
      <w:r w:rsidRPr="004F7959">
        <w:rPr>
          <w:rFonts w:ascii="Times New Roman" w:hAnsi="Times New Roman"/>
        </w:rPr>
        <w:t xml:space="preserve"> and replaced with a civil penalty provision, s 321D.</w:t>
      </w:r>
      <w:r w:rsidRPr="004F7959">
        <w:rPr>
          <w:rStyle w:val="FootnoteReference"/>
          <w:rFonts w:ascii="Times New Roman" w:hAnsi="Times New Roman"/>
          <w:sz w:val="24"/>
        </w:rPr>
        <w:footnoteReference w:id="71"/>
      </w:r>
      <w:r w:rsidRPr="004F7959">
        <w:rPr>
          <w:rFonts w:ascii="Times New Roman" w:hAnsi="Times New Roman"/>
        </w:rPr>
        <w:t xml:space="preserve"> The Revised Explanatory Memorandum indicated that in order "to fall within the scope of the requirement", "electoral matter must be communicated to a person" but, if that requirement were met, it was intended that "[a]</w:t>
      </w:r>
      <w:proofErr w:type="spellStart"/>
      <w:r w:rsidRPr="004F7959">
        <w:rPr>
          <w:rFonts w:ascii="Times New Roman" w:hAnsi="Times New Roman"/>
        </w:rPr>
        <w:t>ny</w:t>
      </w:r>
      <w:proofErr w:type="spellEnd"/>
      <w:r w:rsidRPr="004F7959">
        <w:rPr>
          <w:rFonts w:ascii="Times New Roman" w:hAnsi="Times New Roman"/>
        </w:rPr>
        <w:t xml:space="preserve"> method of communication is covered".</w:t>
      </w:r>
      <w:r w:rsidRPr="004F7959">
        <w:rPr>
          <w:rStyle w:val="FootnoteReference"/>
          <w:rFonts w:ascii="Times New Roman" w:hAnsi="Times New Roman"/>
          <w:sz w:val="24"/>
        </w:rPr>
        <w:footnoteReference w:id="72"/>
      </w:r>
      <w:r w:rsidRPr="004F7959">
        <w:rPr>
          <w:rFonts w:ascii="Times New Roman" w:hAnsi="Times New Roman"/>
        </w:rPr>
        <w:t xml:space="preserve"> </w:t>
      </w:r>
    </w:p>
    <w:p w14:paraId="071E1CBD"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In his Second Reading Speech for the Bill, the Minister for the Environment and Energy, Mr Frydenberg, indicated that the effect of the Bill was "to harmonise authorisation requirements applying to electoral communication across different channels, addressing gaps and inconsistencies wherever possible".</w:t>
      </w:r>
      <w:r w:rsidRPr="004F7959">
        <w:rPr>
          <w:rStyle w:val="FootnoteReference"/>
          <w:rFonts w:ascii="Times New Roman" w:hAnsi="Times New Roman"/>
          <w:sz w:val="24"/>
        </w:rPr>
        <w:footnoteReference w:id="73"/>
      </w:r>
      <w:r w:rsidRPr="004F7959">
        <w:rPr>
          <w:rFonts w:ascii="Times New Roman" w:hAnsi="Times New Roman"/>
        </w:rPr>
        <w:t xml:space="preserve"> In doing so, the objects of the Bill were: to "address[] the recommendations made by the first interim report of the Joint Standing Committee on Electoral Matters inquiry into the 2016 federal election"; to "promote[] free and informed voting at elections and referendums by allowing electors to know who is communicating with them"; and to protect the "strong public interest in ensuring voters are aware of who is communicating with them without adversely impacting public debate".</w:t>
      </w:r>
      <w:r w:rsidRPr="004F7959">
        <w:rPr>
          <w:rStyle w:val="FootnoteReference"/>
          <w:rFonts w:ascii="Times New Roman" w:hAnsi="Times New Roman"/>
          <w:sz w:val="24"/>
        </w:rPr>
        <w:footnoteReference w:id="74"/>
      </w:r>
      <w:r w:rsidRPr="004F7959">
        <w:rPr>
          <w:rFonts w:ascii="Times New Roman" w:hAnsi="Times New Roman"/>
        </w:rPr>
        <w:t xml:space="preserve"> In his </w:t>
      </w:r>
      <w:r w:rsidRPr="004F7959">
        <w:rPr>
          <w:rFonts w:ascii="Times New Roman" w:hAnsi="Times New Roman"/>
        </w:rPr>
        <w:lastRenderedPageBreak/>
        <w:t>Second Reading Speech in the Senate, the Assistant Minister for Social Services and Multicultural Affairs, Mr </w:t>
      </w:r>
      <w:proofErr w:type="spellStart"/>
      <w:r w:rsidRPr="004F7959">
        <w:rPr>
          <w:rFonts w:ascii="Times New Roman" w:hAnsi="Times New Roman"/>
        </w:rPr>
        <w:t>Seselja</w:t>
      </w:r>
      <w:proofErr w:type="spellEnd"/>
      <w:r w:rsidRPr="004F7959">
        <w:rPr>
          <w:rFonts w:ascii="Times New Roman" w:hAnsi="Times New Roman"/>
        </w:rPr>
        <w:t>, referred to the findings of the JSCEM Report that "current authorisation requirements have not kept pace with technological change".</w:t>
      </w:r>
      <w:r w:rsidRPr="004F7959">
        <w:rPr>
          <w:rStyle w:val="FootnoteReference"/>
          <w:rFonts w:ascii="Times New Roman" w:hAnsi="Times New Roman"/>
          <w:sz w:val="24"/>
        </w:rPr>
        <w:footnoteReference w:id="75"/>
      </w:r>
    </w:p>
    <w:p w14:paraId="2941270D" w14:textId="77777777" w:rsidR="0012516B" w:rsidRPr="004F7959" w:rsidRDefault="0012516B" w:rsidP="004F7959">
      <w:pPr>
        <w:pStyle w:val="HeadingL1"/>
        <w:spacing w:after="260" w:line="280" w:lineRule="exact"/>
        <w:ind w:right="0"/>
        <w:jc w:val="both"/>
        <w:rPr>
          <w:rFonts w:ascii="Times New Roman" w:hAnsi="Times New Roman"/>
        </w:rPr>
      </w:pPr>
      <w:r w:rsidRPr="004F7959">
        <w:rPr>
          <w:rFonts w:ascii="Times New Roman" w:hAnsi="Times New Roman"/>
        </w:rPr>
        <w:t>Rewriting history?</w:t>
      </w:r>
    </w:p>
    <w:p w14:paraId="4383E485"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The history of the Digital Amendments thus makes it clear beyond peradventure that the purpose of the Digital Amendments was to modernise the progenitor provisions so that they would apply to all forms of communication in a digital era. But the appellant's interpretation of s 321D of the </w:t>
      </w:r>
      <w:r w:rsidRPr="004F7959">
        <w:rPr>
          <w:rFonts w:ascii="Times New Roman" w:hAnsi="Times New Roman"/>
          <w:i/>
        </w:rPr>
        <w:t>Commonwealth Electoral Act</w:t>
      </w:r>
      <w:r w:rsidRPr="004F7959">
        <w:rPr>
          <w:rFonts w:ascii="Times New Roman" w:hAnsi="Times New Roman"/>
          <w:i/>
          <w:iCs/>
        </w:rPr>
        <w:t xml:space="preserve"> </w:t>
      </w:r>
      <w:r w:rsidRPr="004F7959">
        <w:rPr>
          <w:rFonts w:ascii="Times New Roman" w:hAnsi="Times New Roman"/>
        </w:rPr>
        <w:t xml:space="preserve">was contrary to this history and purpose. </w:t>
      </w:r>
    </w:p>
    <w:p w14:paraId="35E2A5DC"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The appellant argued that a single "bulk" electronic communication, such as a single email sent to ten recipients, should be treated as only a single communication. By contrast, the appellant accepted that "where the Communicator recreates the message many times with a view to conveying it to different individuals or groups on each of those recreations", there would be multiple contraventions. </w:t>
      </w:r>
    </w:p>
    <w:p w14:paraId="5301BB7E"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On the appellant's interpretation, therefore, the email sent to ten recipients would involve only one contravention but the bulk photocopy of a pamphlet that is dropped in ten letterboxes would involve multiple contraventions. The appellant asserted that the difference arose because in the instance of the digital communication "the Communicator creates the message in contemplation of it being disseminated to multiple persons at once". The premise of this difference was said to be that "[o]</w:t>
      </w:r>
      <w:proofErr w:type="spellStart"/>
      <w:r w:rsidRPr="004F7959">
        <w:rPr>
          <w:rFonts w:ascii="Times New Roman" w:hAnsi="Times New Roman"/>
        </w:rPr>
        <w:t>nce</w:t>
      </w:r>
      <w:proofErr w:type="spellEnd"/>
      <w:r w:rsidRPr="004F7959">
        <w:rPr>
          <w:rFonts w:ascii="Times New Roman" w:hAnsi="Times New Roman"/>
        </w:rPr>
        <w:t xml:space="preserve"> one person has received the message ... [s 321D] is engaged". Modern technology would mean that the instantaneous delivery to ten email recipients would be only one contravention but the slower delivery of ten pamphlets would be ten contraventions. For the reasons below, the text of s 321D does not require the conclusion that the purpose of the Commonwealth Parliament misfired so badly.  </w:t>
      </w:r>
    </w:p>
    <w:p w14:paraId="0482B10F" w14:textId="77777777" w:rsidR="0012516B" w:rsidRPr="004F7959" w:rsidRDefault="0012516B" w:rsidP="004F7959">
      <w:pPr>
        <w:pStyle w:val="HeadingL1"/>
        <w:spacing w:after="260" w:line="280" w:lineRule="exact"/>
        <w:ind w:right="0"/>
        <w:jc w:val="both"/>
        <w:rPr>
          <w:rFonts w:ascii="Times New Roman" w:hAnsi="Times New Roman"/>
        </w:rPr>
      </w:pPr>
      <w:r w:rsidRPr="004F7959">
        <w:rPr>
          <w:rFonts w:ascii="Times New Roman" w:hAnsi="Times New Roman"/>
        </w:rPr>
        <w:t xml:space="preserve">The text and interpretation of s 321D </w:t>
      </w:r>
      <w:proofErr w:type="gramStart"/>
      <w:r w:rsidRPr="004F7959">
        <w:rPr>
          <w:rFonts w:ascii="Times New Roman" w:hAnsi="Times New Roman"/>
        </w:rPr>
        <w:t>in light of</w:t>
      </w:r>
      <w:proofErr w:type="gramEnd"/>
      <w:r w:rsidRPr="004F7959">
        <w:rPr>
          <w:rFonts w:ascii="Times New Roman" w:hAnsi="Times New Roman"/>
        </w:rPr>
        <w:t xml:space="preserve"> its history and purpose</w:t>
      </w:r>
    </w:p>
    <w:p w14:paraId="24CF4F96"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The relevant terms of s 321D are set out in the reasons of Gageler CJ, Gleeson and Jagot JJ. The offence provision in s 321</w:t>
      </w:r>
      <w:proofErr w:type="gramStart"/>
      <w:r w:rsidRPr="004F7959">
        <w:rPr>
          <w:rFonts w:ascii="Times New Roman" w:hAnsi="Times New Roman"/>
        </w:rPr>
        <w:t>D(</w:t>
      </w:r>
      <w:proofErr w:type="gramEnd"/>
      <w:r w:rsidRPr="004F7959">
        <w:rPr>
          <w:rFonts w:ascii="Times New Roman" w:hAnsi="Times New Roman"/>
        </w:rPr>
        <w:t>5) relevantly provides:</w:t>
      </w:r>
    </w:p>
    <w:p w14:paraId="402CFDBE" w14:textId="77777777" w:rsidR="0012516B" w:rsidRDefault="0012516B" w:rsidP="004F7959">
      <w:pPr>
        <w:pStyle w:val="LeftrightafterHC"/>
        <w:spacing w:before="0" w:after="260" w:line="280" w:lineRule="exact"/>
        <w:ind w:right="0"/>
        <w:jc w:val="both"/>
        <w:rPr>
          <w:rFonts w:ascii="Times New Roman" w:hAnsi="Times New Roman"/>
        </w:rPr>
      </w:pPr>
      <w:r w:rsidRPr="004F7959">
        <w:rPr>
          <w:rFonts w:ascii="Times New Roman" w:hAnsi="Times New Roman"/>
        </w:rPr>
        <w:lastRenderedPageBreak/>
        <w:t>"The notifying entity must ensure that the particulars set out in the following table ... are notified in accordance with any requirements determined under ... subsection [(7)]."</w:t>
      </w:r>
    </w:p>
    <w:p w14:paraId="190F2A1B"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The required particulars in the table to which reference is made in s 321</w:t>
      </w:r>
      <w:proofErr w:type="gramStart"/>
      <w:r w:rsidRPr="004F7959">
        <w:rPr>
          <w:rFonts w:ascii="Times New Roman" w:hAnsi="Times New Roman"/>
        </w:rPr>
        <w:t>D(</w:t>
      </w:r>
      <w:proofErr w:type="gramEnd"/>
      <w:r w:rsidRPr="004F7959">
        <w:rPr>
          <w:rFonts w:ascii="Times New Roman" w:hAnsi="Times New Roman"/>
        </w:rPr>
        <w:t xml:space="preserve">5) are divided according to categories which describe "the communication". In each category, "communication" is used as a noun. The categories are relevantly divided by means which include whether "the communication" is tangible (a sticker, fridge magnet, leaflet, flyer, pamphlet, notice, poster, or how-to-vote card) or "any other communication". Plainly, the categories concerned with "any other communication" were intended to include digital communications.  </w:t>
      </w:r>
    </w:p>
    <w:p w14:paraId="75CF1D9B"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The required particulars differ according to the category of "the communication" but the particulars generally include those contained in the progenitor provisions. For example, in all instances, the name of the notifying entity must be provided. In some instances, the address of the notifying entity must be provided. Other particulars required in some categories include the name and address of the printer who printed the communication.  </w:t>
      </w:r>
    </w:p>
    <w:p w14:paraId="25AFAE4F"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Section 321</w:t>
      </w:r>
      <w:proofErr w:type="gramStart"/>
      <w:r w:rsidRPr="004F7959">
        <w:rPr>
          <w:rFonts w:ascii="Times New Roman" w:hAnsi="Times New Roman"/>
        </w:rPr>
        <w:t>D(</w:t>
      </w:r>
      <w:proofErr w:type="gramEnd"/>
      <w:r w:rsidRPr="004F7959">
        <w:rPr>
          <w:rFonts w:ascii="Times New Roman" w:hAnsi="Times New Roman"/>
        </w:rPr>
        <w:t>1) provides for the circumstances in which s 321D applies. It specifies that s 321D "applies in relation to electoral matter that is communicated to a person" with the section only applying to such electoral matter if the electoral matter falls into one of various categories. One such category of electoral matter, which spans both digital and non-digital forms of communication, is electoral advertisements that meet various requirements.</w:t>
      </w:r>
      <w:r w:rsidRPr="004F7959">
        <w:rPr>
          <w:rStyle w:val="FootnoteReference"/>
          <w:rFonts w:ascii="Times New Roman" w:hAnsi="Times New Roman"/>
          <w:sz w:val="24"/>
        </w:rPr>
        <w:footnoteReference w:id="76"/>
      </w:r>
      <w:r w:rsidRPr="004F7959">
        <w:rPr>
          <w:rFonts w:ascii="Times New Roman" w:hAnsi="Times New Roman"/>
        </w:rPr>
        <w:t xml:space="preserve"> Another category, relating to tangible forms of communication, is where "the [electoral] matter forms part of a sticker, fridge magnet, leaflet, flyer, pamphlet, notice, poster or how-to-vote card; [and] the content of the matter was approved by [the notifying entity]".</w:t>
      </w:r>
      <w:r w:rsidRPr="004F7959">
        <w:rPr>
          <w:rStyle w:val="FootnoteReference"/>
          <w:rFonts w:ascii="Times New Roman" w:hAnsi="Times New Roman"/>
          <w:sz w:val="24"/>
        </w:rPr>
        <w:footnoteReference w:id="77"/>
      </w:r>
      <w:r w:rsidRPr="004F7959">
        <w:rPr>
          <w:rFonts w:ascii="Times New Roman" w:hAnsi="Times New Roman"/>
        </w:rPr>
        <w:t xml:space="preserve"> </w:t>
      </w:r>
    </w:p>
    <w:p w14:paraId="5FBECEDC"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Although s 321D(1) might leave open the possibility that the notifying entity could be further liable if a leaflet, flyer, or pamphlet were photocopied by the recipient (not acting as an agent of the notifying entity) and communicated to another person, that possibility is excluded by s 4AA(2) which requires each recreation and communication of matter to be treated separately for the purpose of determining whether it is "electoral matter". The required dominant purpose "of the communication"</w:t>
      </w:r>
      <w:r w:rsidRPr="004F7959">
        <w:rPr>
          <w:rStyle w:val="FootnoteReference"/>
          <w:rFonts w:ascii="Times New Roman" w:hAnsi="Times New Roman"/>
          <w:sz w:val="24"/>
        </w:rPr>
        <w:footnoteReference w:id="78"/>
      </w:r>
      <w:r w:rsidRPr="004F7959">
        <w:rPr>
          <w:rFonts w:ascii="Times New Roman" w:hAnsi="Times New Roman"/>
        </w:rPr>
        <w:t xml:space="preserve"> or of the "matter communicated or intended to be communicated"</w:t>
      </w:r>
      <w:r w:rsidRPr="004F7959">
        <w:rPr>
          <w:rStyle w:val="FootnoteReference"/>
          <w:rFonts w:ascii="Times New Roman" w:hAnsi="Times New Roman"/>
          <w:sz w:val="24"/>
        </w:rPr>
        <w:footnoteReference w:id="79"/>
      </w:r>
      <w:r w:rsidRPr="004F7959">
        <w:rPr>
          <w:rFonts w:ascii="Times New Roman" w:hAnsi="Times New Roman"/>
        </w:rPr>
        <w:t xml:space="preserve"> must be the dominant purpose of the person doing the </w:t>
      </w:r>
      <w:r w:rsidRPr="004F7959">
        <w:rPr>
          <w:rFonts w:ascii="Times New Roman" w:hAnsi="Times New Roman"/>
        </w:rPr>
        <w:lastRenderedPageBreak/>
        <w:t xml:space="preserve">communication. This is obviously because "the communication" (leaflet, flyer, or pamphlet) is not capable of having the dominant purpose itself. The dominant purpose can only be that of the person who engages in the act of communication.  </w:t>
      </w:r>
    </w:p>
    <w:p w14:paraId="3612B6AC"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A third category is where the electoral matter does not satisfy the requirements of the category of electoral advertisements and does not form part of any of the listed tangible forms of communication but "the [electoral] matter is communicated by, or on behalf of, a [notifying entity]".</w:t>
      </w:r>
      <w:r w:rsidRPr="004F7959">
        <w:rPr>
          <w:rStyle w:val="FootnoteReference"/>
          <w:rFonts w:ascii="Times New Roman" w:hAnsi="Times New Roman"/>
          <w:sz w:val="24"/>
        </w:rPr>
        <w:footnoteReference w:id="80"/>
      </w:r>
      <w:r w:rsidRPr="004F7959">
        <w:rPr>
          <w:rFonts w:ascii="Times New Roman" w:hAnsi="Times New Roman"/>
        </w:rPr>
        <w:t xml:space="preserve"> Like the categories of required particulars in s 321D(5) concerning "any other communication", this final category of electoral matter is plainly intended to include digital forms of communication. A note to s 321</w:t>
      </w:r>
      <w:proofErr w:type="gramStart"/>
      <w:r w:rsidRPr="004F7959">
        <w:rPr>
          <w:rFonts w:ascii="Times New Roman" w:hAnsi="Times New Roman"/>
        </w:rPr>
        <w:t>D(</w:t>
      </w:r>
      <w:proofErr w:type="gramEnd"/>
      <w:r w:rsidRPr="004F7959">
        <w:rPr>
          <w:rFonts w:ascii="Times New Roman" w:hAnsi="Times New Roman"/>
        </w:rPr>
        <w:t>1) provides that:</w:t>
      </w:r>
      <w:r w:rsidRPr="004F7959">
        <w:rPr>
          <w:rStyle w:val="FootnoteReference"/>
          <w:rFonts w:ascii="Times New Roman" w:hAnsi="Times New Roman"/>
          <w:sz w:val="24"/>
        </w:rPr>
        <w:footnoteReference w:id="81"/>
      </w:r>
    </w:p>
    <w:p w14:paraId="06F6BBC8" w14:textId="77777777" w:rsidR="0012516B" w:rsidRDefault="0012516B" w:rsidP="004F7959">
      <w:pPr>
        <w:pStyle w:val="LeftrightafterHC"/>
        <w:spacing w:before="0" w:after="260" w:line="280" w:lineRule="exact"/>
        <w:ind w:right="0"/>
        <w:jc w:val="both"/>
        <w:rPr>
          <w:rFonts w:ascii="Times New Roman" w:hAnsi="Times New Roman"/>
        </w:rPr>
      </w:pPr>
      <w:r w:rsidRPr="004F7959">
        <w:rPr>
          <w:rFonts w:ascii="Times New Roman" w:hAnsi="Times New Roman"/>
        </w:rPr>
        <w:t>"Examples of matters that may be covered by this section include internet advertisements, bulk text messages and bulk voice calls containing electoral matter."</w:t>
      </w:r>
    </w:p>
    <w:p w14:paraId="428E8C39"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It can immediately be seen that s 321D is structured in a way that divides between the manner of communicating electoral matter by: (</w:t>
      </w:r>
      <w:proofErr w:type="spellStart"/>
      <w:r w:rsidRPr="004F7959">
        <w:rPr>
          <w:rFonts w:ascii="Times New Roman" w:hAnsi="Times New Roman"/>
        </w:rPr>
        <w:t>i</w:t>
      </w:r>
      <w:proofErr w:type="spellEnd"/>
      <w:r w:rsidRPr="004F7959">
        <w:rPr>
          <w:rFonts w:ascii="Times New Roman" w:hAnsi="Times New Roman"/>
        </w:rPr>
        <w:t xml:space="preserve">) the traditional category of tangible forms of communication (such as where "the communication" is a pamphlet and the electoral matter that "is communicated" by or on behalf of the notifying entity forms part of the pamphlet); and (ii) generally intangible forms of communication (such as where "the communication" is an email or text message and the electoral matter that "is communicated" by or on behalf of the notifying entity forms part of the email or text message). But that structure plainly is one of convenient exposition rather than substantive effect since the category of electoral advertisements encompasses advertisements by both digital and non-digital forms of communication. </w:t>
      </w:r>
    </w:p>
    <w:p w14:paraId="71A632C2"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The term "communicate" is not defined in the </w:t>
      </w:r>
      <w:r w:rsidRPr="004F7959">
        <w:rPr>
          <w:rFonts w:ascii="Times New Roman" w:hAnsi="Times New Roman"/>
          <w:i/>
          <w:iCs/>
        </w:rPr>
        <w:t>Commonwealth Electoral Act</w:t>
      </w:r>
      <w:r w:rsidRPr="004F7959">
        <w:rPr>
          <w:rFonts w:ascii="Times New Roman" w:hAnsi="Times New Roman"/>
        </w:rPr>
        <w:t>. The definition section for Pt XXA (of which s 321D forms a part), in s 321B, provides only an exclusion from the scope of "communicate": "a carriage service provider does not communicate electoral matter merely because the carriage service provider supplies the listed carriage service used to communicate the matter". The word "communicate", used as a verb in s 321</w:t>
      </w:r>
      <w:proofErr w:type="gramStart"/>
      <w:r w:rsidRPr="004F7959">
        <w:rPr>
          <w:rFonts w:ascii="Times New Roman" w:hAnsi="Times New Roman"/>
        </w:rPr>
        <w:t>D(</w:t>
      </w:r>
      <w:proofErr w:type="gramEnd"/>
      <w:r w:rsidRPr="004F7959">
        <w:rPr>
          <w:rFonts w:ascii="Times New Roman" w:hAnsi="Times New Roman"/>
        </w:rPr>
        <w:t xml:space="preserve">1), must bear its relevant, contextual, ordinary meaning.  </w:t>
      </w:r>
    </w:p>
    <w:p w14:paraId="0FF62455"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The relevant, contextual, ordinary meanings of communicate, from </w:t>
      </w:r>
      <w:proofErr w:type="spellStart"/>
      <w:r w:rsidRPr="004F7959">
        <w:rPr>
          <w:rFonts w:ascii="Times New Roman" w:hAnsi="Times New Roman"/>
          <w:i/>
          <w:iCs/>
        </w:rPr>
        <w:t>communicare</w:t>
      </w:r>
      <w:proofErr w:type="spellEnd"/>
      <w:r w:rsidRPr="004F7959">
        <w:rPr>
          <w:rFonts w:ascii="Times New Roman" w:hAnsi="Times New Roman"/>
          <w:i/>
          <w:iCs/>
        </w:rPr>
        <w:t xml:space="preserve"> </w:t>
      </w:r>
      <w:r w:rsidRPr="004F7959">
        <w:rPr>
          <w:rFonts w:ascii="Times New Roman" w:hAnsi="Times New Roman"/>
        </w:rPr>
        <w:t>(to make common), in relation to something tangible or intangible are virtually indistinguishable. The meaning is "[t]o share",</w:t>
      </w:r>
      <w:r w:rsidRPr="004F7959">
        <w:rPr>
          <w:rStyle w:val="FootnoteReference"/>
          <w:rFonts w:ascii="Times New Roman" w:hAnsi="Times New Roman"/>
          <w:sz w:val="24"/>
        </w:rPr>
        <w:footnoteReference w:id="82"/>
      </w:r>
      <w:r w:rsidRPr="004F7959">
        <w:rPr>
          <w:rFonts w:ascii="Times New Roman" w:hAnsi="Times New Roman"/>
        </w:rPr>
        <w:t xml:space="preserve"> "to give to another </w:t>
      </w:r>
      <w:r w:rsidRPr="004F7959">
        <w:rPr>
          <w:rFonts w:ascii="Times New Roman" w:hAnsi="Times New Roman"/>
        </w:rPr>
        <w:lastRenderedPageBreak/>
        <w:t>as a partaker",</w:t>
      </w:r>
      <w:r w:rsidRPr="004F7959">
        <w:rPr>
          <w:rStyle w:val="FootnoteReference"/>
          <w:rFonts w:ascii="Times New Roman" w:hAnsi="Times New Roman"/>
          <w:sz w:val="24"/>
        </w:rPr>
        <w:footnoteReference w:id="83"/>
      </w:r>
      <w:r w:rsidRPr="004F7959">
        <w:rPr>
          <w:rFonts w:ascii="Times New Roman" w:hAnsi="Times New Roman"/>
        </w:rPr>
        <w:t xml:space="preserve"> or "to impart".</w:t>
      </w:r>
      <w:r w:rsidRPr="004F7959">
        <w:rPr>
          <w:rStyle w:val="FootnoteReference"/>
          <w:rFonts w:ascii="Times New Roman" w:hAnsi="Times New Roman"/>
          <w:sz w:val="24"/>
        </w:rPr>
        <w:footnoteReference w:id="84"/>
      </w:r>
      <w:r w:rsidRPr="004F7959">
        <w:rPr>
          <w:rFonts w:ascii="Times New Roman" w:hAnsi="Times New Roman"/>
        </w:rPr>
        <w:t xml:space="preserve"> Possibly some slight shade of a different meaning in relation to something intangible is to "transmit".</w:t>
      </w:r>
      <w:r w:rsidRPr="004F7959">
        <w:rPr>
          <w:rStyle w:val="FootnoteReference"/>
          <w:rFonts w:ascii="Times New Roman" w:hAnsi="Times New Roman"/>
          <w:sz w:val="24"/>
        </w:rPr>
        <w:footnoteReference w:id="85"/>
      </w:r>
      <w:r w:rsidRPr="004F7959">
        <w:rPr>
          <w:rFonts w:ascii="Times New Roman" w:hAnsi="Times New Roman"/>
        </w:rPr>
        <w:t xml:space="preserve"> The more specialist meaning in relation to computers is "to exchange data".</w:t>
      </w:r>
      <w:r w:rsidRPr="004F7959">
        <w:rPr>
          <w:rStyle w:val="FootnoteReference"/>
          <w:rFonts w:ascii="Times New Roman" w:hAnsi="Times New Roman"/>
          <w:sz w:val="24"/>
        </w:rPr>
        <w:footnoteReference w:id="86"/>
      </w:r>
      <w:r w:rsidRPr="004F7959">
        <w:rPr>
          <w:rFonts w:ascii="Times New Roman" w:hAnsi="Times New Roman"/>
        </w:rPr>
        <w:t xml:space="preserve"> The essence of this ordinary meaning of communicate is to transfer or share information from one person to another. </w:t>
      </w:r>
    </w:p>
    <w:p w14:paraId="70DC7B10"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In light of the history, purpose, and structure of s 321D, the ordinary meaning of "communicate", and the impossibility of any rational contention that the categories of "the communication" in s 321</w:t>
      </w:r>
      <w:proofErr w:type="gramStart"/>
      <w:r w:rsidRPr="004F7959">
        <w:rPr>
          <w:rFonts w:ascii="Times New Roman" w:hAnsi="Times New Roman"/>
        </w:rPr>
        <w:t>D(</w:t>
      </w:r>
      <w:proofErr w:type="gramEnd"/>
      <w:r w:rsidRPr="004F7959">
        <w:rPr>
          <w:rFonts w:ascii="Times New Roman" w:hAnsi="Times New Roman"/>
        </w:rPr>
        <w:t>5) are to be treated differently based upon the means by which the matter is communicated, there is only one principled interpretation of s 321D. That principled interpretation relevantly treats "the communication" in s 321</w:t>
      </w:r>
      <w:proofErr w:type="gramStart"/>
      <w:r w:rsidRPr="004F7959">
        <w:rPr>
          <w:rFonts w:ascii="Times New Roman" w:hAnsi="Times New Roman"/>
        </w:rPr>
        <w:t>D(</w:t>
      </w:r>
      <w:proofErr w:type="gramEnd"/>
      <w:r w:rsidRPr="004F7959">
        <w:rPr>
          <w:rFonts w:ascii="Times New Roman" w:hAnsi="Times New Roman"/>
        </w:rPr>
        <w:t xml:space="preserve">5) as being each separate form of transmission of information. Consistently with s 321D, a separate contravention occurs each time a form of transmission of information "applies" so that non-complying electoral matter "is communicated to a person". Hence, there is a contravention on each occasion that electoral matter is imparted or transmitted by, or on behalf of, a notifying entity (whether through electronic or physical means) to another person without the inclusion of the relevant particulars. </w:t>
      </w:r>
    </w:p>
    <w:p w14:paraId="5569F8C4"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This interpretation means that the requirements of s 321D will not be met if any "communication" within s 321</w:t>
      </w:r>
      <w:proofErr w:type="gramStart"/>
      <w:r w:rsidRPr="004F7959">
        <w:rPr>
          <w:rFonts w:ascii="Times New Roman" w:hAnsi="Times New Roman"/>
        </w:rPr>
        <w:t>D(</w:t>
      </w:r>
      <w:proofErr w:type="gramEnd"/>
      <w:r w:rsidRPr="004F7959">
        <w:rPr>
          <w:rFonts w:ascii="Times New Roman" w:hAnsi="Times New Roman"/>
        </w:rPr>
        <w:t>5) (that is, any individual transmission of digital or non-digital information) is not received by another. A pamphlet that is printed but never distributed has not been "communicated to a person". An email that bounces back has not been "communicated to a person". A Facebook post that is posted but removed before it has any reach has not been "communicated to a person". The mere act of posting information on Facebook is no more a contravention than the mere act of printing a pamphlet that is never provided to any recipient. There is no sense of the word "communication" (other than perhaps in a quantum universe) in which matter that is never provided or transmitted to another is communicated.</w:t>
      </w:r>
    </w:p>
    <w:p w14:paraId="5D795D07"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On the other hand, where the requirements of s 321D are otherwise met and no exception applies, the number of contraventions will be the same whether the </w:t>
      </w:r>
      <w:r w:rsidRPr="004F7959">
        <w:rPr>
          <w:rFonts w:ascii="Times New Roman" w:hAnsi="Times New Roman"/>
        </w:rPr>
        <w:lastRenderedPageBreak/>
        <w:t xml:space="preserve">method of communication involves the receipt by six people of electoral matter by the following means: imparting six pamphlets to six different people; transmitting an email to six different people (whether the email is transmitted to each person as carbon copies or as staggered transmissions); transmitting a text message to six different people; and, in this case by reference to the first contravention, transmitting a Facebook post to six different people. </w:t>
      </w:r>
    </w:p>
    <w:p w14:paraId="13F2CFFB" w14:textId="77777777" w:rsidR="0012516B" w:rsidRPr="004F7959" w:rsidRDefault="0012516B" w:rsidP="004F7959">
      <w:pPr>
        <w:pStyle w:val="HeadingL1"/>
        <w:spacing w:after="260" w:line="280" w:lineRule="exact"/>
        <w:ind w:right="0"/>
        <w:jc w:val="both"/>
        <w:rPr>
          <w:rFonts w:ascii="Times New Roman" w:hAnsi="Times New Roman"/>
        </w:rPr>
      </w:pPr>
      <w:r w:rsidRPr="004F7959">
        <w:rPr>
          <w:rFonts w:ascii="Times New Roman" w:hAnsi="Times New Roman"/>
        </w:rPr>
        <w:t>Deterrence and the injustice of present authority</w:t>
      </w:r>
    </w:p>
    <w:p w14:paraId="65217C04"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The interpretation above is narrower than the broadest form of the Electoral Commissioner's submission. That broad submission was that a contravention occurs every time that any of the forms in which a communication is made is "seen". Hence, the Electoral Commissioner argued, a single contravening corflute erected outside a house by a notifying entity could involve 1,000 contraventions if 1,000 cars drove past the house and the corflute was seen by 1,000 drivers. By analogy, a single contravening fridge magnet seen by 50 people at a party would involve 50 contraventions. </w:t>
      </w:r>
    </w:p>
    <w:p w14:paraId="509F8942"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That submission should not be accepted. The progenitor provisions of the </w:t>
      </w:r>
      <w:r w:rsidRPr="004F7959">
        <w:rPr>
          <w:rFonts w:ascii="Times New Roman" w:hAnsi="Times New Roman"/>
          <w:i/>
          <w:iCs/>
        </w:rPr>
        <w:t xml:space="preserve">Commonwealth Electoral Act </w:t>
      </w:r>
      <w:r w:rsidRPr="004F7959">
        <w:rPr>
          <w:rFonts w:ascii="Times New Roman" w:hAnsi="Times New Roman"/>
        </w:rPr>
        <w:t xml:space="preserve">never created multiple offences in this way. The notions in those progenitor provisions of printing, publishing, or distributing were tied to the </w:t>
      </w:r>
      <w:proofErr w:type="gramStart"/>
      <w:r w:rsidRPr="004F7959">
        <w:rPr>
          <w:rFonts w:ascii="Times New Roman" w:hAnsi="Times New Roman"/>
        </w:rPr>
        <w:t>particular tangible</w:t>
      </w:r>
      <w:proofErr w:type="gramEnd"/>
      <w:r w:rsidRPr="004F7959">
        <w:rPr>
          <w:rFonts w:ascii="Times New Roman" w:hAnsi="Times New Roman"/>
        </w:rPr>
        <w:t xml:space="preserve"> things that were printed, published, or distributed. The viewing by multiple people of infringing content in a single tangible thing did not create additional offences. So too, the reference in s 321</w:t>
      </w:r>
      <w:proofErr w:type="gramStart"/>
      <w:r w:rsidRPr="004F7959">
        <w:rPr>
          <w:rFonts w:ascii="Times New Roman" w:hAnsi="Times New Roman"/>
        </w:rPr>
        <w:t>D(</w:t>
      </w:r>
      <w:proofErr w:type="gramEnd"/>
      <w:r w:rsidRPr="004F7959">
        <w:rPr>
          <w:rFonts w:ascii="Times New Roman" w:hAnsi="Times New Roman"/>
        </w:rPr>
        <w:t xml:space="preserve">1) to "electoral matter that is communicated to a person" is tied by s 321D(5) to "the communication" which is a tangible or intangible creation. The viewing by multiple people of infringing content in a single digital transmission does not create additional offences. In the digital world, this distinction is one between "reach", as relied upon by the primary judge as described above, and "impressions". </w:t>
      </w:r>
    </w:p>
    <w:p w14:paraId="136180B8"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Nevertheless, the Electoral Commissioner argued, with the support of the reasons of the Full Court,</w:t>
      </w:r>
      <w:r w:rsidRPr="004F7959">
        <w:rPr>
          <w:rStyle w:val="FootnoteReference"/>
          <w:rFonts w:ascii="Times New Roman" w:hAnsi="Times New Roman"/>
          <w:sz w:val="24"/>
        </w:rPr>
        <w:footnoteReference w:id="87"/>
      </w:r>
      <w:r w:rsidRPr="004F7959">
        <w:rPr>
          <w:rFonts w:ascii="Times New Roman" w:hAnsi="Times New Roman"/>
        </w:rPr>
        <w:t xml:space="preserve"> that the broad interpretation was required due to the inadequacy of the maximum penalty of $25,200, in some cases, as general deterrence against contraventions. For instance, it might be thought that a maximum penalty of $25,200 would be more than sufficient deterrence against a contravening text message, email, or Facebook post that might be transmitted to a single person. The effect of the Electoral Commissioner's submission about deterrence is that a penalty of $25,200 would be inadequate deterrence against transmitting a contravening text message, email, or Facebook post to 1,000, 10,000, or perhaps even 100,000 recipients. The Electoral Commissioner submitted that such an approach would not provide sufficient scope for effective </w:t>
      </w:r>
      <w:r w:rsidRPr="004F7959">
        <w:rPr>
          <w:rFonts w:ascii="Times New Roman" w:hAnsi="Times New Roman"/>
        </w:rPr>
        <w:lastRenderedPageBreak/>
        <w:t>general deterrence, particularly for deterrence of "the most egregious breaches by the most deliberate – perhaps, repeating – contraveners with resources that make $25,000 a rounding error".</w:t>
      </w:r>
    </w:p>
    <w:p w14:paraId="1E93E139"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The reason that this submission should not be accepted is that if this Court were to interpret the scope of a civil penalty provision by reference to a perception that the level set by Parliament was inadequate then the Court would heap injustice upon injustice. That is due to the unfortunate state of the jurisprudence on civil penalties developed by this Court. </w:t>
      </w:r>
    </w:p>
    <w:p w14:paraId="2A33FB09"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In the context of a different civil penalty regime,</w:t>
      </w:r>
      <w:r w:rsidRPr="004F7959">
        <w:rPr>
          <w:rStyle w:val="FootnoteReference"/>
          <w:rFonts w:ascii="Times New Roman" w:hAnsi="Times New Roman"/>
          <w:sz w:val="24"/>
        </w:rPr>
        <w:footnoteReference w:id="88"/>
      </w:r>
      <w:r w:rsidRPr="004F7959">
        <w:rPr>
          <w:rFonts w:ascii="Times New Roman" w:hAnsi="Times New Roman"/>
        </w:rPr>
        <w:t xml:space="preserve"> and restating this Court's general principles concerning civil penalties,</w:t>
      </w:r>
      <w:r w:rsidRPr="004F7959">
        <w:rPr>
          <w:rStyle w:val="FootnoteReference"/>
          <w:rFonts w:ascii="Times New Roman" w:hAnsi="Times New Roman"/>
          <w:sz w:val="24"/>
        </w:rPr>
        <w:footnoteReference w:id="89"/>
      </w:r>
      <w:r w:rsidRPr="004F7959">
        <w:rPr>
          <w:rFonts w:ascii="Times New Roman" w:hAnsi="Times New Roman"/>
        </w:rPr>
        <w:t xml:space="preserve"> this Court held in </w:t>
      </w:r>
      <w:r w:rsidRPr="004F7959">
        <w:rPr>
          <w:rFonts w:ascii="Times New Roman" w:hAnsi="Times New Roman"/>
          <w:i/>
          <w:iCs/>
        </w:rPr>
        <w:t>Australian Building and Construction Commissioner v Pattinson</w:t>
      </w:r>
      <w:r w:rsidRPr="004F7959">
        <w:rPr>
          <w:rStyle w:val="FootnoteReference"/>
          <w:rFonts w:ascii="Times New Roman" w:hAnsi="Times New Roman"/>
          <w:sz w:val="24"/>
        </w:rPr>
        <w:footnoteReference w:id="90"/>
      </w:r>
      <w:r w:rsidRPr="004F7959">
        <w:rPr>
          <w:rFonts w:ascii="Times New Roman" w:hAnsi="Times New Roman"/>
        </w:rPr>
        <w:t xml:space="preserve"> that it was impermissible to consider whether the penalty was proportionate to the seriousness of the contravention when assessing the "appropriate" civil penalty. In that case, I expressed my grave regret for the state of the present jurisprudence on deterrence. I continue to hold that regret. Notions of "just desert", a core element of justice, have been marginalised in the pursuit of deterrence</w:t>
      </w:r>
      <w:r w:rsidRPr="004F7959">
        <w:rPr>
          <w:rStyle w:val="FootnoteReference"/>
          <w:rFonts w:ascii="Times New Roman" w:hAnsi="Times New Roman"/>
          <w:sz w:val="24"/>
        </w:rPr>
        <w:footnoteReference w:id="91"/>
      </w:r>
      <w:r w:rsidRPr="004F7959">
        <w:rPr>
          <w:rFonts w:ascii="Times New Roman" w:hAnsi="Times New Roman"/>
        </w:rPr>
        <w:t xml:space="preserve"> with only particular instances of that broad principle retained (in the form of the totality, consistency or parity, and course of conduct principles) as a bulwark against the flood of injustice arising from disproportionate penalties.</w:t>
      </w:r>
      <w:r w:rsidRPr="004F7959">
        <w:rPr>
          <w:rStyle w:val="FootnoteReference"/>
          <w:rFonts w:ascii="Times New Roman" w:hAnsi="Times New Roman"/>
          <w:sz w:val="24"/>
        </w:rPr>
        <w:footnoteReference w:id="92"/>
      </w:r>
    </w:p>
    <w:p w14:paraId="27324C02"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The damage to justice done by the approach of this Court to civil penalties is great: "problems run deep in maintenance of the prevailing jurisprudence on civil penalties which is based almost entirely on deterrence".</w:t>
      </w:r>
      <w:r w:rsidRPr="004F7959">
        <w:rPr>
          <w:rStyle w:val="FootnoteReference"/>
          <w:rFonts w:ascii="Times New Roman" w:hAnsi="Times New Roman"/>
          <w:sz w:val="24"/>
        </w:rPr>
        <w:footnoteReference w:id="93"/>
      </w:r>
      <w:r w:rsidRPr="004F7959">
        <w:rPr>
          <w:rFonts w:ascii="Times New Roman" w:hAnsi="Times New Roman"/>
        </w:rPr>
        <w:t xml:space="preserve"> The decision of this </w:t>
      </w:r>
      <w:r w:rsidRPr="004F7959">
        <w:rPr>
          <w:rFonts w:ascii="Times New Roman" w:hAnsi="Times New Roman"/>
        </w:rPr>
        <w:lastRenderedPageBreak/>
        <w:t xml:space="preserve">Court in </w:t>
      </w:r>
      <w:r w:rsidRPr="004F7959">
        <w:rPr>
          <w:rFonts w:ascii="Times New Roman" w:hAnsi="Times New Roman"/>
          <w:i/>
          <w:iCs/>
        </w:rPr>
        <w:t>Pattinson</w:t>
      </w:r>
      <w:r w:rsidRPr="004F7959">
        <w:rPr>
          <w:rFonts w:ascii="Times New Roman" w:hAnsi="Times New Roman"/>
        </w:rPr>
        <w:t xml:space="preserve">, and its predecessors, have had few friends or supporters among those commentators who have carefully considered the subject. The consequences of the decision in </w:t>
      </w:r>
      <w:r w:rsidRPr="004F7959">
        <w:rPr>
          <w:rFonts w:ascii="Times New Roman" w:hAnsi="Times New Roman"/>
          <w:i/>
          <w:iCs/>
        </w:rPr>
        <w:t xml:space="preserve">Pattinson </w:t>
      </w:r>
      <w:r w:rsidRPr="004F7959">
        <w:rPr>
          <w:rFonts w:ascii="Times New Roman" w:hAnsi="Times New Roman"/>
        </w:rPr>
        <w:t>have even been the subject of concerns expressed extra-judicially.</w:t>
      </w:r>
      <w:r w:rsidRPr="004F7959">
        <w:rPr>
          <w:rStyle w:val="FootnoteReference"/>
          <w:rFonts w:ascii="Times New Roman" w:hAnsi="Times New Roman"/>
          <w:sz w:val="24"/>
        </w:rPr>
        <w:footnoteReference w:id="94"/>
      </w:r>
      <w:r w:rsidRPr="004F7959">
        <w:rPr>
          <w:rFonts w:ascii="Times New Roman" w:hAnsi="Times New Roman"/>
        </w:rPr>
        <w:t xml:space="preserve"> Some commentators have pointed to anomalies and uncertainty that have arisen from the decision.</w:t>
      </w:r>
      <w:r w:rsidRPr="004F7959">
        <w:rPr>
          <w:rStyle w:val="FootnoteReference"/>
          <w:rFonts w:ascii="Times New Roman" w:hAnsi="Times New Roman"/>
          <w:sz w:val="24"/>
        </w:rPr>
        <w:footnoteReference w:id="95"/>
      </w:r>
      <w:r w:rsidRPr="004F7959">
        <w:rPr>
          <w:rFonts w:ascii="Times New Roman" w:hAnsi="Times New Roman"/>
        </w:rPr>
        <w:t xml:space="preserve"> Other commentators have made powerful and cogent arguments for reform.</w:t>
      </w:r>
      <w:r w:rsidRPr="004F7959">
        <w:rPr>
          <w:rStyle w:val="FootnoteReference"/>
          <w:rFonts w:ascii="Times New Roman" w:hAnsi="Times New Roman"/>
          <w:sz w:val="24"/>
        </w:rPr>
        <w:footnoteReference w:id="96"/>
      </w:r>
      <w:r w:rsidRPr="004F7959">
        <w:rPr>
          <w:rFonts w:ascii="Times New Roman" w:hAnsi="Times New Roman"/>
        </w:rPr>
        <w:t xml:space="preserve"> </w:t>
      </w:r>
    </w:p>
    <w:p w14:paraId="4F9AA3FF"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Whether or not this Court should re-open that jurisprudence if an application to do so were made is unnecessary to decide in this appeal. The simple point is that the present injustice created by the jurisprudence of this Court concerning deterrence should not be turbocharged by any further use of deterrence to expand the conduct that will amount to a contravention in a civil penalty regime by means of what the Electoral Commissioner described as an interpretative principle of ensuring "sufficient" deterrence. For these reasons, therefore, I agree with Gageler CJ, Gleeson and Jagot JJ that considerations of deterrence should generally be irrelevant in the interpretation of the scope of a civil penalty regime. </w:t>
      </w:r>
    </w:p>
    <w:p w14:paraId="7A923B1C" w14:textId="77777777" w:rsidR="0012516B" w:rsidRPr="004F7959" w:rsidRDefault="0012516B" w:rsidP="004F7959">
      <w:pPr>
        <w:pStyle w:val="HeadingL1"/>
        <w:spacing w:after="260" w:line="280" w:lineRule="exact"/>
        <w:ind w:right="0"/>
        <w:jc w:val="both"/>
        <w:rPr>
          <w:rFonts w:ascii="Times New Roman" w:hAnsi="Times New Roman"/>
        </w:rPr>
      </w:pPr>
      <w:r w:rsidRPr="004F7959">
        <w:rPr>
          <w:rFonts w:ascii="Times New Roman" w:hAnsi="Times New Roman"/>
        </w:rPr>
        <w:t xml:space="preserve">Conclusion and how to restore the intention of Parliament    </w:t>
      </w:r>
    </w:p>
    <w:p w14:paraId="56F29A54"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In my view, the intention of Parliament was not to treat as a single contravention conduct that would previously have amounted to 1,000 pre-digital offences, such as the distribution of 1,000 pamphlets. Instead, when electoral matter is communicated digitally through Facebook rather than by pamphlet, with a reach of 1,000 people and for the dominant purpose of influencing the way electors vote in a federal election, the intention of Parliament was that there should be 1,000 contraventions. The reasoning of Gageler CJ, Gleeson and Jagot JJ in this appeal rejects that conclusion. It may be impossible to distinguish the approach of their Honours to the contravening posts from the approach that would be taken to bulk emails, text messages, or other instant messages sent digitally with a reach of </w:t>
      </w:r>
      <w:r w:rsidRPr="004F7959">
        <w:rPr>
          <w:rFonts w:ascii="Times New Roman" w:hAnsi="Times New Roman"/>
        </w:rPr>
        <w:lastRenderedPageBreak/>
        <w:t xml:space="preserve">1,000 people. In each case, packets of digital data are sent, </w:t>
      </w:r>
      <w:proofErr w:type="spellStart"/>
      <w:r w:rsidRPr="004F7959">
        <w:rPr>
          <w:rFonts w:ascii="Times New Roman" w:hAnsi="Times New Roman"/>
        </w:rPr>
        <w:t>en</w:t>
      </w:r>
      <w:proofErr w:type="spellEnd"/>
      <w:r w:rsidRPr="004F7959">
        <w:rPr>
          <w:rFonts w:ascii="Times New Roman" w:hAnsi="Times New Roman"/>
        </w:rPr>
        <w:t xml:space="preserve"> masse, containing an identical message. </w:t>
      </w:r>
    </w:p>
    <w:p w14:paraId="34177DC8" w14:textId="77777777" w:rsidR="0012516B" w:rsidRPr="004F7959" w:rsidRDefault="0012516B" w:rsidP="004F7959">
      <w:pPr>
        <w:pStyle w:val="FixListStyle"/>
        <w:spacing w:after="260" w:line="280" w:lineRule="exact"/>
        <w:ind w:right="0"/>
        <w:jc w:val="both"/>
        <w:rPr>
          <w:rFonts w:ascii="Times New Roman" w:hAnsi="Times New Roman"/>
        </w:rPr>
      </w:pPr>
      <w:r w:rsidRPr="004F7959">
        <w:rPr>
          <w:rFonts w:ascii="Times New Roman" w:hAnsi="Times New Roman"/>
        </w:rPr>
        <w:tab/>
        <w:t xml:space="preserve">The remedy to restore the intention of the Commonwealth Parliament must now lie with the Commonwealth Parliament itself. If the Commonwealth Parliament seeks to treat digital communications in the same way as it treated non-digital communications immediately prior to the commencement of the Digital Amendments in 2018, it is now necessary for s 321D of the </w:t>
      </w:r>
      <w:r w:rsidRPr="004F7959">
        <w:rPr>
          <w:rFonts w:ascii="Times New Roman" w:hAnsi="Times New Roman"/>
          <w:i/>
        </w:rPr>
        <w:t>Commonwealth Electoral Act</w:t>
      </w:r>
      <w:r w:rsidRPr="004F7959">
        <w:rPr>
          <w:rFonts w:ascii="Times New Roman" w:hAnsi="Times New Roman"/>
          <w:i/>
          <w:iCs/>
        </w:rPr>
        <w:t xml:space="preserve"> </w:t>
      </w:r>
      <w:r w:rsidRPr="004F7959">
        <w:rPr>
          <w:rFonts w:ascii="Times New Roman" w:hAnsi="Times New Roman"/>
        </w:rPr>
        <w:t xml:space="preserve">to be made clearer. Section 321D will need to provide expressly for that which I consider to be implicit in the present terms of the provision. A further express provision could be added which contains words that make it clear that when the other requirements of the provision are satisfied, a contravention will occur by a notifying entity each time an unauthorised message is sent by, or on behalf of, the notifying entity, and received by another person, irrespective of whether the form of that communication is tangible or digital. </w:t>
      </w:r>
    </w:p>
    <w:p w14:paraId="0DA246FD" w14:textId="77777777" w:rsidR="0012516B" w:rsidRDefault="0012516B" w:rsidP="0012516B">
      <w:pPr>
        <w:pStyle w:val="FixListStyle"/>
        <w:spacing w:after="260" w:line="280" w:lineRule="exact"/>
        <w:ind w:right="0"/>
        <w:jc w:val="both"/>
        <w:rPr>
          <w:rFonts w:ascii="Times New Roman" w:hAnsi="Times New Roman"/>
        </w:rPr>
        <w:sectPr w:rsidR="0012516B" w:rsidSect="0012516B">
          <w:headerReference w:type="even" r:id="rId26"/>
          <w:headerReference w:type="default" r:id="rId27"/>
          <w:headerReference w:type="first" r:id="rId28"/>
          <w:pgSz w:w="11907" w:h="16839" w:code="9"/>
          <w:pgMar w:top="1440" w:right="1701" w:bottom="1984" w:left="1701" w:header="720" w:footer="720" w:gutter="0"/>
          <w:cols w:space="720"/>
          <w:docGrid w:linePitch="354"/>
        </w:sectPr>
      </w:pPr>
      <w:r w:rsidRPr="004F7959">
        <w:rPr>
          <w:rFonts w:ascii="Times New Roman" w:hAnsi="Times New Roman"/>
        </w:rPr>
        <w:tab/>
        <w:t>Unless or until any amendment is made by the Commonwealth Parliament, there will now be a radical change in the digital equivalent of the treatment, which has endured for more than a century, of a political campaigner who would have committed 1,000 offences by dropping 1,000 contravening pamphlets in letterboxes. The political campaigner of today will commit only a single contravention by an electronic message transmitted and received by 1,000, 10,000, 100,000 or 1,000,000 unique profiles on Facebook, or on TikTok, Reddit, or any other social media. The same reasoning applies, by necessary analogy, to transmissions by text message or email; indeed, as is plain from the passages quoted from the JSCEM Report in the introduction to these reasons, Facebook posts were intended to be treated in the same way as text messages. The democratic roadblock presented by today's interpretation of s 321D, from which I dissent, can be appreciated without speaking of the penalty of $25,200 for a single contravention of that provision having become "an acceptable cost of doing business".</w:t>
      </w:r>
      <w:r w:rsidRPr="004F7959">
        <w:rPr>
          <w:rStyle w:val="FootnoteReference"/>
          <w:rFonts w:ascii="Times New Roman" w:hAnsi="Times New Roman"/>
          <w:sz w:val="24"/>
        </w:rPr>
        <w:footnoteReference w:id="97"/>
      </w:r>
      <w:r w:rsidRPr="004F7959">
        <w:rPr>
          <w:rFonts w:ascii="Times New Roman" w:hAnsi="Times New Roman"/>
        </w:rPr>
        <w:t xml:space="preserve">    </w:t>
      </w:r>
    </w:p>
    <w:p w14:paraId="13DACA48" w14:textId="53D781FA" w:rsidR="004D59C7" w:rsidRPr="0012516B" w:rsidRDefault="004D59C7" w:rsidP="0012516B">
      <w:pPr>
        <w:pStyle w:val="NormalBody"/>
      </w:pPr>
    </w:p>
    <w:sectPr w:rsidR="004D59C7" w:rsidRPr="0012516B" w:rsidSect="0012516B">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EEF5" w14:textId="77777777" w:rsidR="002E39D4" w:rsidRDefault="002E39D4">
      <w:pPr>
        <w:spacing w:line="240" w:lineRule="auto"/>
      </w:pPr>
      <w:r>
        <w:separator/>
      </w:r>
    </w:p>
  </w:endnote>
  <w:endnote w:type="continuationSeparator" w:id="0">
    <w:p w14:paraId="64DCB325" w14:textId="77777777" w:rsidR="002E39D4" w:rsidRDefault="002E39D4">
      <w:pPr>
        <w:spacing w:line="240" w:lineRule="auto"/>
      </w:pPr>
      <w:r>
        <w:continuationSeparator/>
      </w:r>
    </w:p>
  </w:endnote>
  <w:endnote w:type="continuationNotice" w:id="1">
    <w:p w14:paraId="5F21BF0D" w14:textId="77777777" w:rsidR="002E39D4" w:rsidRDefault="002E39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8827B" w14:textId="77777777" w:rsidR="00A50746" w:rsidRDefault="00A50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6702" w14:textId="77777777" w:rsidR="00A50746" w:rsidRDefault="00A50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FC24" w14:textId="77777777" w:rsidR="00A50746" w:rsidRDefault="00A507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4194" w14:textId="77777777" w:rsidR="00A50746" w:rsidRDefault="00A507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1461" w14:textId="77777777" w:rsidR="00A50746" w:rsidRDefault="00A507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A3899" w14:textId="77777777" w:rsidR="00A50746" w:rsidRDefault="00A5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ADC16" w14:textId="77777777" w:rsidR="002E39D4" w:rsidRPr="001526A9" w:rsidRDefault="002E39D4" w:rsidP="001526A9">
      <w:pPr>
        <w:pStyle w:val="Footer"/>
        <w:spacing w:before="120" w:after="20"/>
        <w:ind w:right="0"/>
        <w:rPr>
          <w:rFonts w:ascii="Times New Roman" w:hAnsi="Times New Roman"/>
        </w:rPr>
      </w:pPr>
      <w:r>
        <w:continuationSeparator/>
      </w:r>
    </w:p>
  </w:footnote>
  <w:footnote w:type="continuationSeparator" w:id="0">
    <w:p w14:paraId="7D0B6C94" w14:textId="77777777" w:rsidR="002E39D4" w:rsidRPr="001526A9" w:rsidRDefault="002E39D4" w:rsidP="001526A9">
      <w:pPr>
        <w:pStyle w:val="Footer"/>
        <w:spacing w:before="120" w:after="20"/>
        <w:ind w:right="0"/>
        <w:rPr>
          <w:rFonts w:ascii="Times New Roman" w:hAnsi="Times New Roman"/>
        </w:rPr>
      </w:pPr>
      <w:r w:rsidRPr="001526A9">
        <w:rPr>
          <w:rFonts w:ascii="Times New Roman" w:hAnsi="Times New Roman"/>
        </w:rPr>
        <w:continuationSeparator/>
      </w:r>
    </w:p>
  </w:footnote>
  <w:footnote w:type="continuationNotice" w:id="1">
    <w:p w14:paraId="5E7556C5" w14:textId="77777777" w:rsidR="002E39D4" w:rsidRPr="0012516B" w:rsidRDefault="002E39D4">
      <w:pPr>
        <w:jc w:val="right"/>
        <w:rPr>
          <w:rFonts w:ascii="Times New Roman" w:hAnsi="Times New Roman"/>
          <w:sz w:val="24"/>
        </w:rPr>
      </w:pPr>
    </w:p>
  </w:footnote>
  <w:footnote w:id="2">
    <w:p w14:paraId="11944C96" w14:textId="4200C5BE" w:rsidR="00D126E8" w:rsidRPr="001526A9" w:rsidRDefault="00D126E8"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877FEE" w:rsidRPr="001526A9">
        <w:rPr>
          <w:rFonts w:ascii="Times New Roman" w:hAnsi="Times New Roman"/>
          <w:i/>
          <w:iCs/>
          <w:sz w:val="24"/>
        </w:rPr>
        <w:t>Regulatory Powers (Standard Provisions) Act 2014</w:t>
      </w:r>
      <w:r w:rsidR="00877FEE" w:rsidRPr="001526A9">
        <w:rPr>
          <w:rFonts w:ascii="Times New Roman" w:hAnsi="Times New Roman"/>
          <w:sz w:val="24"/>
        </w:rPr>
        <w:t xml:space="preserve"> (Cth), s 79(2) and </w:t>
      </w:r>
      <w:r w:rsidR="00877FEE" w:rsidRPr="001526A9">
        <w:rPr>
          <w:rFonts w:ascii="Times New Roman" w:hAnsi="Times New Roman"/>
          <w:i/>
          <w:iCs/>
          <w:sz w:val="24"/>
        </w:rPr>
        <w:t>Commonwealth Electoral Act 1918</w:t>
      </w:r>
      <w:r w:rsidR="00877FEE" w:rsidRPr="001526A9">
        <w:rPr>
          <w:rFonts w:ascii="Times New Roman" w:hAnsi="Times New Roman"/>
          <w:sz w:val="24"/>
        </w:rPr>
        <w:t xml:space="preserve"> (Cth), s 384A.</w:t>
      </w:r>
    </w:p>
  </w:footnote>
  <w:footnote w:id="3">
    <w:p w14:paraId="121C5648" w14:textId="0E9827C0" w:rsidR="004451D4" w:rsidRPr="001526A9" w:rsidRDefault="004451D4"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Pr="001526A9">
        <w:rPr>
          <w:rFonts w:ascii="Times New Roman" w:hAnsi="Times New Roman"/>
          <w:i/>
          <w:iCs/>
          <w:sz w:val="24"/>
        </w:rPr>
        <w:t xml:space="preserve">Electoral </w:t>
      </w:r>
      <w:r w:rsidR="00141D37" w:rsidRPr="001526A9">
        <w:rPr>
          <w:rFonts w:ascii="Times New Roman" w:hAnsi="Times New Roman"/>
          <w:i/>
          <w:iCs/>
          <w:sz w:val="24"/>
        </w:rPr>
        <w:t>Commissioner</w:t>
      </w:r>
      <w:r w:rsidRPr="001526A9">
        <w:rPr>
          <w:rFonts w:ascii="Times New Roman" w:hAnsi="Times New Roman"/>
          <w:i/>
          <w:iCs/>
          <w:sz w:val="24"/>
        </w:rPr>
        <w:t xml:space="preserve"> of the </w:t>
      </w:r>
      <w:r w:rsidR="00141D37" w:rsidRPr="001526A9">
        <w:rPr>
          <w:rFonts w:ascii="Times New Roman" w:hAnsi="Times New Roman"/>
          <w:i/>
          <w:iCs/>
          <w:sz w:val="24"/>
        </w:rPr>
        <w:t xml:space="preserve">Australian Electoral Commission v Laming </w:t>
      </w:r>
      <w:r w:rsidR="0097337A" w:rsidRPr="001526A9">
        <w:rPr>
          <w:rFonts w:ascii="Times New Roman" w:hAnsi="Times New Roman"/>
          <w:i/>
          <w:iCs/>
          <w:sz w:val="24"/>
        </w:rPr>
        <w:t>[</w:t>
      </w:r>
      <w:r w:rsidR="00141D37" w:rsidRPr="001526A9">
        <w:rPr>
          <w:rFonts w:ascii="Times New Roman" w:hAnsi="Times New Roman"/>
          <w:i/>
          <w:iCs/>
          <w:sz w:val="24"/>
        </w:rPr>
        <w:t xml:space="preserve">No </w:t>
      </w:r>
      <w:r w:rsidR="00B543BC" w:rsidRPr="001526A9">
        <w:rPr>
          <w:rFonts w:ascii="Times New Roman" w:hAnsi="Times New Roman"/>
          <w:i/>
          <w:iCs/>
          <w:sz w:val="24"/>
        </w:rPr>
        <w:t>2</w:t>
      </w:r>
      <w:r w:rsidR="0097337A" w:rsidRPr="001526A9">
        <w:rPr>
          <w:rFonts w:ascii="Times New Roman" w:hAnsi="Times New Roman"/>
          <w:i/>
          <w:iCs/>
          <w:sz w:val="24"/>
        </w:rPr>
        <w:t>]</w:t>
      </w:r>
      <w:r w:rsidR="00141D37" w:rsidRPr="001526A9">
        <w:rPr>
          <w:rFonts w:ascii="Times New Roman" w:hAnsi="Times New Roman"/>
          <w:sz w:val="24"/>
        </w:rPr>
        <w:t xml:space="preserve"> [2023] FCA </w:t>
      </w:r>
      <w:r w:rsidR="00B543BC" w:rsidRPr="001526A9">
        <w:rPr>
          <w:rFonts w:ascii="Times New Roman" w:hAnsi="Times New Roman"/>
          <w:sz w:val="24"/>
        </w:rPr>
        <w:t>917</w:t>
      </w:r>
      <w:r w:rsidR="00141D37" w:rsidRPr="001526A9">
        <w:rPr>
          <w:rFonts w:ascii="Times New Roman" w:hAnsi="Times New Roman"/>
          <w:sz w:val="24"/>
        </w:rPr>
        <w:t>.</w:t>
      </w:r>
    </w:p>
  </w:footnote>
  <w:footnote w:id="4">
    <w:p w14:paraId="3506C144" w14:textId="1DB7381A" w:rsidR="00141D37" w:rsidRPr="001526A9" w:rsidRDefault="00141D37"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A6300F" w:rsidRPr="001526A9">
        <w:rPr>
          <w:rFonts w:ascii="Times New Roman" w:hAnsi="Times New Roman"/>
          <w:i/>
          <w:iCs/>
          <w:sz w:val="24"/>
        </w:rPr>
        <w:t>Electoral Commissioner of the Australian Electoral Commission v Laming</w:t>
      </w:r>
      <w:r w:rsidR="00A6300F" w:rsidRPr="001526A9">
        <w:rPr>
          <w:rFonts w:ascii="Times New Roman" w:hAnsi="Times New Roman"/>
          <w:sz w:val="24"/>
        </w:rPr>
        <w:t xml:space="preserve"> </w:t>
      </w:r>
      <w:r w:rsidR="00C07716" w:rsidRPr="001526A9">
        <w:rPr>
          <w:rFonts w:ascii="Times New Roman" w:hAnsi="Times New Roman"/>
          <w:sz w:val="24"/>
        </w:rPr>
        <w:t>(2024) 304 FCR 561</w:t>
      </w:r>
      <w:r w:rsidR="00A6300F" w:rsidRPr="001526A9">
        <w:rPr>
          <w:rFonts w:ascii="Times New Roman" w:hAnsi="Times New Roman"/>
          <w:sz w:val="24"/>
        </w:rPr>
        <w:t>.</w:t>
      </w:r>
    </w:p>
  </w:footnote>
  <w:footnote w:id="5">
    <w:p w14:paraId="4B41F71E" w14:textId="4656E1E6" w:rsidR="00E0237E" w:rsidRPr="001526A9" w:rsidRDefault="00E0237E"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D64315" w:rsidRPr="001526A9">
        <w:rPr>
          <w:rFonts w:ascii="Times New Roman" w:hAnsi="Times New Roman"/>
          <w:sz w:val="24"/>
        </w:rPr>
        <w:t xml:space="preserve">Australia, </w:t>
      </w:r>
      <w:r w:rsidRPr="001526A9">
        <w:rPr>
          <w:rFonts w:ascii="Times New Roman" w:hAnsi="Times New Roman"/>
          <w:sz w:val="24"/>
        </w:rPr>
        <w:t>Joint Standing Committee on Electoral Matters</w:t>
      </w:r>
      <w:r w:rsidR="00BB4BCF" w:rsidRPr="001526A9">
        <w:rPr>
          <w:rFonts w:ascii="Times New Roman" w:hAnsi="Times New Roman"/>
          <w:sz w:val="24"/>
        </w:rPr>
        <w:t xml:space="preserve">, </w:t>
      </w:r>
      <w:r w:rsidR="00BB4BCF" w:rsidRPr="001526A9">
        <w:rPr>
          <w:rFonts w:ascii="Times New Roman" w:hAnsi="Times New Roman"/>
          <w:i/>
          <w:iCs/>
          <w:sz w:val="24"/>
        </w:rPr>
        <w:t>The 2016 Federal Election</w:t>
      </w:r>
      <w:r w:rsidR="00F94214" w:rsidRPr="001526A9">
        <w:rPr>
          <w:rFonts w:ascii="Times New Roman" w:hAnsi="Times New Roman"/>
          <w:i/>
          <w:iCs/>
          <w:sz w:val="24"/>
        </w:rPr>
        <w:t>:</w:t>
      </w:r>
      <w:r w:rsidR="00BB4BCF" w:rsidRPr="001526A9">
        <w:rPr>
          <w:rFonts w:ascii="Times New Roman" w:hAnsi="Times New Roman"/>
          <w:i/>
          <w:iCs/>
          <w:sz w:val="24"/>
        </w:rPr>
        <w:t xml:space="preserve"> Interim Report on the authorisation of voter communication</w:t>
      </w:r>
      <w:r w:rsidR="00BB4BCF" w:rsidRPr="001526A9">
        <w:rPr>
          <w:rFonts w:ascii="Times New Roman" w:hAnsi="Times New Roman"/>
          <w:sz w:val="24"/>
        </w:rPr>
        <w:t xml:space="preserve"> </w:t>
      </w:r>
      <w:r w:rsidR="007B69DD" w:rsidRPr="001526A9">
        <w:rPr>
          <w:rFonts w:ascii="Times New Roman" w:hAnsi="Times New Roman"/>
          <w:sz w:val="24"/>
        </w:rPr>
        <w:t>(</w:t>
      </w:r>
      <w:r w:rsidR="00BB4BCF" w:rsidRPr="001526A9">
        <w:rPr>
          <w:rFonts w:ascii="Times New Roman" w:hAnsi="Times New Roman"/>
          <w:sz w:val="24"/>
        </w:rPr>
        <w:t>2016</w:t>
      </w:r>
      <w:r w:rsidR="007B69DD" w:rsidRPr="001526A9">
        <w:rPr>
          <w:rFonts w:ascii="Times New Roman" w:hAnsi="Times New Roman"/>
          <w:sz w:val="24"/>
        </w:rPr>
        <w:t>)</w:t>
      </w:r>
      <w:r w:rsidR="00BB4BCF" w:rsidRPr="001526A9">
        <w:rPr>
          <w:rFonts w:ascii="Times New Roman" w:hAnsi="Times New Roman"/>
          <w:sz w:val="24"/>
        </w:rPr>
        <w:t>.</w:t>
      </w:r>
    </w:p>
  </w:footnote>
  <w:footnote w:id="6">
    <w:p w14:paraId="6D45E465" w14:textId="3432BB19" w:rsidR="009B3CA8" w:rsidRPr="001526A9" w:rsidRDefault="009B3CA8"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7B69DD" w:rsidRPr="001526A9">
        <w:rPr>
          <w:rFonts w:ascii="Times New Roman" w:hAnsi="Times New Roman"/>
          <w:sz w:val="24"/>
        </w:rPr>
        <w:t xml:space="preserve">Australia, </w:t>
      </w:r>
      <w:r w:rsidRPr="001526A9">
        <w:rPr>
          <w:rFonts w:ascii="Times New Roman" w:hAnsi="Times New Roman"/>
          <w:sz w:val="24"/>
        </w:rPr>
        <w:t xml:space="preserve">Joint Standing Committee on Electoral Matters, </w:t>
      </w:r>
      <w:r w:rsidRPr="001526A9">
        <w:rPr>
          <w:rFonts w:ascii="Times New Roman" w:hAnsi="Times New Roman"/>
          <w:i/>
          <w:iCs/>
          <w:sz w:val="24"/>
        </w:rPr>
        <w:t>The 2016 Federal Election</w:t>
      </w:r>
      <w:r w:rsidR="00F94214" w:rsidRPr="001526A9">
        <w:rPr>
          <w:rFonts w:ascii="Times New Roman" w:hAnsi="Times New Roman"/>
          <w:i/>
          <w:iCs/>
          <w:sz w:val="24"/>
        </w:rPr>
        <w:t>:</w:t>
      </w:r>
      <w:r w:rsidRPr="001526A9">
        <w:rPr>
          <w:rFonts w:ascii="Times New Roman" w:hAnsi="Times New Roman"/>
          <w:i/>
          <w:iCs/>
          <w:sz w:val="24"/>
        </w:rPr>
        <w:t xml:space="preserve"> Interim Report on the authorisation of voter communication</w:t>
      </w:r>
      <w:r w:rsidRPr="001526A9">
        <w:rPr>
          <w:rFonts w:ascii="Times New Roman" w:hAnsi="Times New Roman"/>
          <w:sz w:val="24"/>
        </w:rPr>
        <w:t xml:space="preserve"> </w:t>
      </w:r>
      <w:r w:rsidR="007B69DD" w:rsidRPr="001526A9">
        <w:rPr>
          <w:rFonts w:ascii="Times New Roman" w:hAnsi="Times New Roman"/>
          <w:sz w:val="24"/>
        </w:rPr>
        <w:t>(</w:t>
      </w:r>
      <w:r w:rsidRPr="001526A9">
        <w:rPr>
          <w:rFonts w:ascii="Times New Roman" w:hAnsi="Times New Roman"/>
          <w:sz w:val="24"/>
        </w:rPr>
        <w:t>2016</w:t>
      </w:r>
      <w:r w:rsidR="007B69DD" w:rsidRPr="001526A9">
        <w:rPr>
          <w:rFonts w:ascii="Times New Roman" w:hAnsi="Times New Roman"/>
          <w:sz w:val="24"/>
        </w:rPr>
        <w:t>)</w:t>
      </w:r>
      <w:r w:rsidRPr="001526A9">
        <w:rPr>
          <w:rFonts w:ascii="Times New Roman" w:hAnsi="Times New Roman"/>
          <w:sz w:val="24"/>
        </w:rPr>
        <w:t xml:space="preserve"> at </w:t>
      </w:r>
      <w:r w:rsidR="0072443B" w:rsidRPr="001526A9">
        <w:rPr>
          <w:rFonts w:ascii="Times New Roman" w:hAnsi="Times New Roman"/>
          <w:sz w:val="24"/>
        </w:rPr>
        <w:t xml:space="preserve">2 </w:t>
      </w:r>
      <w:r w:rsidRPr="001526A9">
        <w:rPr>
          <w:rFonts w:ascii="Times New Roman" w:hAnsi="Times New Roman"/>
          <w:sz w:val="24"/>
        </w:rPr>
        <w:t>[1.9].</w:t>
      </w:r>
    </w:p>
  </w:footnote>
  <w:footnote w:id="7">
    <w:p w14:paraId="708C3622" w14:textId="72BF0635" w:rsidR="00542119" w:rsidRPr="001526A9" w:rsidRDefault="00542119"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DF626B" w:rsidRPr="001526A9">
        <w:rPr>
          <w:rFonts w:ascii="Times New Roman" w:hAnsi="Times New Roman"/>
          <w:sz w:val="24"/>
        </w:rPr>
        <w:t xml:space="preserve">Australia, </w:t>
      </w:r>
      <w:r w:rsidRPr="001526A9">
        <w:rPr>
          <w:rFonts w:ascii="Times New Roman" w:hAnsi="Times New Roman"/>
          <w:sz w:val="24"/>
        </w:rPr>
        <w:t xml:space="preserve">Joint Standing Committee on Electoral Matters, </w:t>
      </w:r>
      <w:r w:rsidRPr="001526A9">
        <w:rPr>
          <w:rFonts w:ascii="Times New Roman" w:hAnsi="Times New Roman"/>
          <w:i/>
          <w:iCs/>
          <w:sz w:val="24"/>
        </w:rPr>
        <w:t>The 2016 Federal Election</w:t>
      </w:r>
      <w:r w:rsidR="00422C9C" w:rsidRPr="001526A9">
        <w:rPr>
          <w:rFonts w:ascii="Times New Roman" w:hAnsi="Times New Roman"/>
          <w:i/>
          <w:iCs/>
          <w:sz w:val="24"/>
        </w:rPr>
        <w:t>:</w:t>
      </w:r>
      <w:r w:rsidRPr="001526A9">
        <w:rPr>
          <w:rFonts w:ascii="Times New Roman" w:hAnsi="Times New Roman"/>
          <w:i/>
          <w:iCs/>
          <w:sz w:val="24"/>
        </w:rPr>
        <w:t xml:space="preserve"> Interim Report on the authorisation of voter communication</w:t>
      </w:r>
      <w:r w:rsidRPr="001526A9">
        <w:rPr>
          <w:rFonts w:ascii="Times New Roman" w:hAnsi="Times New Roman"/>
          <w:sz w:val="24"/>
        </w:rPr>
        <w:t xml:space="preserve"> </w:t>
      </w:r>
      <w:r w:rsidR="00FC7D68" w:rsidRPr="001526A9">
        <w:rPr>
          <w:rFonts w:ascii="Times New Roman" w:hAnsi="Times New Roman"/>
          <w:sz w:val="24"/>
        </w:rPr>
        <w:t>(</w:t>
      </w:r>
      <w:r w:rsidRPr="001526A9">
        <w:rPr>
          <w:rFonts w:ascii="Times New Roman" w:hAnsi="Times New Roman"/>
          <w:sz w:val="24"/>
        </w:rPr>
        <w:t>2016</w:t>
      </w:r>
      <w:r w:rsidR="00FC7D68" w:rsidRPr="001526A9">
        <w:rPr>
          <w:rFonts w:ascii="Times New Roman" w:hAnsi="Times New Roman"/>
          <w:sz w:val="24"/>
        </w:rPr>
        <w:t>)</w:t>
      </w:r>
      <w:r w:rsidRPr="001526A9">
        <w:rPr>
          <w:rFonts w:ascii="Times New Roman" w:hAnsi="Times New Roman"/>
          <w:sz w:val="24"/>
        </w:rPr>
        <w:t xml:space="preserve"> at </w:t>
      </w:r>
      <w:r w:rsidR="00160188" w:rsidRPr="001526A9">
        <w:rPr>
          <w:rFonts w:ascii="Times New Roman" w:hAnsi="Times New Roman"/>
          <w:sz w:val="24"/>
        </w:rPr>
        <w:t xml:space="preserve">3 </w:t>
      </w:r>
      <w:r w:rsidRPr="001526A9">
        <w:rPr>
          <w:rFonts w:ascii="Times New Roman" w:hAnsi="Times New Roman"/>
          <w:sz w:val="24"/>
        </w:rPr>
        <w:t>[1.15].</w:t>
      </w:r>
    </w:p>
  </w:footnote>
  <w:footnote w:id="8">
    <w:p w14:paraId="2CADD197" w14:textId="255E15DE" w:rsidR="00BF26F1" w:rsidRPr="001526A9" w:rsidRDefault="00BF26F1"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FC7D68" w:rsidRPr="001526A9">
        <w:rPr>
          <w:rFonts w:ascii="Times New Roman" w:hAnsi="Times New Roman"/>
          <w:sz w:val="24"/>
        </w:rPr>
        <w:t xml:space="preserve">Australia, </w:t>
      </w:r>
      <w:r w:rsidRPr="001526A9">
        <w:rPr>
          <w:rFonts w:ascii="Times New Roman" w:hAnsi="Times New Roman"/>
          <w:sz w:val="24"/>
        </w:rPr>
        <w:t xml:space="preserve">Joint Standing Committee on Electoral Matters, </w:t>
      </w:r>
      <w:r w:rsidRPr="001526A9">
        <w:rPr>
          <w:rFonts w:ascii="Times New Roman" w:hAnsi="Times New Roman"/>
          <w:i/>
          <w:iCs/>
          <w:sz w:val="24"/>
        </w:rPr>
        <w:t>The 2016 Federal Election</w:t>
      </w:r>
      <w:r w:rsidR="00422C9C" w:rsidRPr="001526A9">
        <w:rPr>
          <w:rFonts w:ascii="Times New Roman" w:hAnsi="Times New Roman"/>
          <w:i/>
          <w:iCs/>
          <w:sz w:val="24"/>
        </w:rPr>
        <w:t>:</w:t>
      </w:r>
      <w:r w:rsidRPr="001526A9">
        <w:rPr>
          <w:rFonts w:ascii="Times New Roman" w:hAnsi="Times New Roman"/>
          <w:i/>
          <w:iCs/>
          <w:sz w:val="24"/>
        </w:rPr>
        <w:t xml:space="preserve"> Interim Report on the authorisation of voter communication </w:t>
      </w:r>
      <w:r w:rsidR="00FC7D68" w:rsidRPr="001526A9">
        <w:rPr>
          <w:rFonts w:ascii="Times New Roman" w:hAnsi="Times New Roman"/>
          <w:sz w:val="24"/>
        </w:rPr>
        <w:t>(</w:t>
      </w:r>
      <w:r w:rsidRPr="001526A9">
        <w:rPr>
          <w:rFonts w:ascii="Times New Roman" w:hAnsi="Times New Roman"/>
          <w:sz w:val="24"/>
        </w:rPr>
        <w:t>2016</w:t>
      </w:r>
      <w:r w:rsidR="00FC7D68" w:rsidRPr="001526A9">
        <w:rPr>
          <w:rFonts w:ascii="Times New Roman" w:hAnsi="Times New Roman"/>
          <w:sz w:val="24"/>
        </w:rPr>
        <w:t>)</w:t>
      </w:r>
      <w:r w:rsidRPr="001526A9">
        <w:rPr>
          <w:rFonts w:ascii="Times New Roman" w:hAnsi="Times New Roman"/>
          <w:sz w:val="24"/>
        </w:rPr>
        <w:t xml:space="preserve"> at </w:t>
      </w:r>
      <w:r w:rsidR="000A35E9" w:rsidRPr="001526A9">
        <w:rPr>
          <w:rFonts w:ascii="Times New Roman" w:hAnsi="Times New Roman"/>
          <w:sz w:val="24"/>
        </w:rPr>
        <w:t xml:space="preserve">7 </w:t>
      </w:r>
      <w:r w:rsidRPr="001526A9">
        <w:rPr>
          <w:rFonts w:ascii="Times New Roman" w:hAnsi="Times New Roman"/>
          <w:sz w:val="24"/>
        </w:rPr>
        <w:t>[2.1].</w:t>
      </w:r>
    </w:p>
  </w:footnote>
  <w:footnote w:id="9">
    <w:p w14:paraId="1CF72020" w14:textId="2579ADCE" w:rsidR="008020B2" w:rsidRPr="001526A9" w:rsidRDefault="008020B2"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FC7D68" w:rsidRPr="001526A9">
        <w:rPr>
          <w:rFonts w:ascii="Times New Roman" w:hAnsi="Times New Roman"/>
          <w:sz w:val="24"/>
        </w:rPr>
        <w:t xml:space="preserve">Australia, </w:t>
      </w:r>
      <w:r w:rsidRPr="001526A9">
        <w:rPr>
          <w:rFonts w:ascii="Times New Roman" w:hAnsi="Times New Roman"/>
          <w:sz w:val="24"/>
        </w:rPr>
        <w:t xml:space="preserve">Joint Standing Committee on Electoral Matters, </w:t>
      </w:r>
      <w:r w:rsidRPr="001526A9">
        <w:rPr>
          <w:rFonts w:ascii="Times New Roman" w:hAnsi="Times New Roman"/>
          <w:i/>
          <w:iCs/>
          <w:sz w:val="24"/>
        </w:rPr>
        <w:t>The 2016 Federal Election</w:t>
      </w:r>
      <w:r w:rsidR="00422C9C" w:rsidRPr="001526A9">
        <w:rPr>
          <w:rFonts w:ascii="Times New Roman" w:hAnsi="Times New Roman"/>
          <w:i/>
          <w:iCs/>
          <w:sz w:val="24"/>
        </w:rPr>
        <w:t>:</w:t>
      </w:r>
      <w:r w:rsidRPr="001526A9">
        <w:rPr>
          <w:rFonts w:ascii="Times New Roman" w:hAnsi="Times New Roman"/>
          <w:i/>
          <w:iCs/>
          <w:sz w:val="24"/>
        </w:rPr>
        <w:t xml:space="preserve"> Interim Report on the authorisation of voter communication</w:t>
      </w:r>
      <w:r w:rsidRPr="001526A9">
        <w:rPr>
          <w:rFonts w:ascii="Times New Roman" w:hAnsi="Times New Roman"/>
          <w:sz w:val="24"/>
        </w:rPr>
        <w:t xml:space="preserve"> </w:t>
      </w:r>
      <w:r w:rsidR="00FC7D68" w:rsidRPr="001526A9">
        <w:rPr>
          <w:rFonts w:ascii="Times New Roman" w:hAnsi="Times New Roman"/>
          <w:sz w:val="24"/>
        </w:rPr>
        <w:t>(</w:t>
      </w:r>
      <w:r w:rsidRPr="001526A9">
        <w:rPr>
          <w:rFonts w:ascii="Times New Roman" w:hAnsi="Times New Roman"/>
          <w:sz w:val="24"/>
        </w:rPr>
        <w:t>2016</w:t>
      </w:r>
      <w:r w:rsidR="00FC7D68" w:rsidRPr="001526A9">
        <w:rPr>
          <w:rFonts w:ascii="Times New Roman" w:hAnsi="Times New Roman"/>
          <w:sz w:val="24"/>
        </w:rPr>
        <w:t>)</w:t>
      </w:r>
      <w:r w:rsidRPr="001526A9">
        <w:rPr>
          <w:rFonts w:ascii="Times New Roman" w:hAnsi="Times New Roman"/>
          <w:sz w:val="24"/>
        </w:rPr>
        <w:t xml:space="preserve"> at </w:t>
      </w:r>
      <w:r w:rsidR="000A35E9" w:rsidRPr="001526A9">
        <w:rPr>
          <w:rFonts w:ascii="Times New Roman" w:hAnsi="Times New Roman"/>
          <w:sz w:val="24"/>
        </w:rPr>
        <w:t xml:space="preserve">8 </w:t>
      </w:r>
      <w:r w:rsidR="00624F57" w:rsidRPr="001526A9">
        <w:rPr>
          <w:rFonts w:ascii="Times New Roman" w:hAnsi="Times New Roman"/>
          <w:sz w:val="24"/>
        </w:rPr>
        <w:t>[2.8]-</w:t>
      </w:r>
      <w:r w:rsidRPr="001526A9">
        <w:rPr>
          <w:rFonts w:ascii="Times New Roman" w:hAnsi="Times New Roman"/>
          <w:sz w:val="24"/>
        </w:rPr>
        <w:t>[2.</w:t>
      </w:r>
      <w:r w:rsidR="00E00BEC" w:rsidRPr="001526A9">
        <w:rPr>
          <w:rFonts w:ascii="Times New Roman" w:hAnsi="Times New Roman"/>
          <w:sz w:val="24"/>
        </w:rPr>
        <w:t>9</w:t>
      </w:r>
      <w:r w:rsidRPr="001526A9">
        <w:rPr>
          <w:rFonts w:ascii="Times New Roman" w:hAnsi="Times New Roman"/>
          <w:sz w:val="24"/>
        </w:rPr>
        <w:t>]</w:t>
      </w:r>
      <w:r w:rsidR="00ED0C91" w:rsidRPr="001526A9">
        <w:rPr>
          <w:rFonts w:ascii="Times New Roman" w:hAnsi="Times New Roman"/>
          <w:sz w:val="24"/>
        </w:rPr>
        <w:t>,</w:t>
      </w:r>
      <w:r w:rsidR="003B5E42" w:rsidRPr="001526A9">
        <w:rPr>
          <w:rFonts w:ascii="Times New Roman" w:hAnsi="Times New Roman"/>
          <w:sz w:val="24"/>
        </w:rPr>
        <w:t xml:space="preserve"> q</w:t>
      </w:r>
      <w:r w:rsidR="00E00BEC" w:rsidRPr="001526A9">
        <w:rPr>
          <w:rFonts w:ascii="Times New Roman" w:hAnsi="Times New Roman"/>
          <w:sz w:val="24"/>
        </w:rPr>
        <w:t xml:space="preserve">uoting Orr, </w:t>
      </w:r>
      <w:r w:rsidR="00E00BEC" w:rsidRPr="001526A9">
        <w:rPr>
          <w:rFonts w:ascii="Times New Roman" w:hAnsi="Times New Roman"/>
          <w:i/>
          <w:iCs/>
          <w:sz w:val="24"/>
        </w:rPr>
        <w:t>The Law of Politics</w:t>
      </w:r>
      <w:r w:rsidR="00E00BEC" w:rsidRPr="001526A9">
        <w:rPr>
          <w:rFonts w:ascii="Times New Roman" w:hAnsi="Times New Roman"/>
          <w:sz w:val="24"/>
        </w:rPr>
        <w:t xml:space="preserve"> </w:t>
      </w:r>
      <w:r w:rsidR="00A03D24" w:rsidRPr="001526A9">
        <w:rPr>
          <w:rFonts w:ascii="Times New Roman" w:hAnsi="Times New Roman"/>
          <w:sz w:val="24"/>
        </w:rPr>
        <w:t>(</w:t>
      </w:r>
      <w:r w:rsidR="00E00BEC" w:rsidRPr="001526A9">
        <w:rPr>
          <w:rFonts w:ascii="Times New Roman" w:hAnsi="Times New Roman"/>
          <w:sz w:val="24"/>
        </w:rPr>
        <w:t>2010</w:t>
      </w:r>
      <w:r w:rsidR="00A03D24" w:rsidRPr="001526A9">
        <w:rPr>
          <w:rFonts w:ascii="Times New Roman" w:hAnsi="Times New Roman"/>
          <w:sz w:val="24"/>
        </w:rPr>
        <w:t>) at</w:t>
      </w:r>
      <w:r w:rsidR="00E00BEC" w:rsidRPr="001526A9">
        <w:rPr>
          <w:rFonts w:ascii="Times New Roman" w:hAnsi="Times New Roman"/>
          <w:sz w:val="24"/>
        </w:rPr>
        <w:t xml:space="preserve"> 181.</w:t>
      </w:r>
    </w:p>
  </w:footnote>
  <w:footnote w:id="10">
    <w:p w14:paraId="41A42147" w14:textId="480D8E9A" w:rsidR="00F87525" w:rsidRPr="001526A9" w:rsidRDefault="00F87525"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E24BFA" w:rsidRPr="001526A9">
        <w:rPr>
          <w:rFonts w:ascii="Times New Roman" w:hAnsi="Times New Roman"/>
          <w:sz w:val="24"/>
        </w:rPr>
        <w:t xml:space="preserve">Australia, </w:t>
      </w:r>
      <w:r w:rsidRPr="001526A9">
        <w:rPr>
          <w:rFonts w:ascii="Times New Roman" w:hAnsi="Times New Roman"/>
          <w:sz w:val="24"/>
        </w:rPr>
        <w:t xml:space="preserve">Joint Standing Committee on Electoral Matters, </w:t>
      </w:r>
      <w:r w:rsidRPr="001526A9">
        <w:rPr>
          <w:rFonts w:ascii="Times New Roman" w:hAnsi="Times New Roman"/>
          <w:i/>
          <w:iCs/>
          <w:sz w:val="24"/>
        </w:rPr>
        <w:t>The 2016 Federal Election</w:t>
      </w:r>
      <w:r w:rsidR="00422C9C" w:rsidRPr="001526A9">
        <w:rPr>
          <w:rFonts w:ascii="Times New Roman" w:hAnsi="Times New Roman"/>
          <w:i/>
          <w:iCs/>
          <w:sz w:val="24"/>
        </w:rPr>
        <w:t>:</w:t>
      </w:r>
      <w:r w:rsidRPr="001526A9">
        <w:rPr>
          <w:rFonts w:ascii="Times New Roman" w:hAnsi="Times New Roman"/>
          <w:i/>
          <w:iCs/>
          <w:sz w:val="24"/>
        </w:rPr>
        <w:t xml:space="preserve"> Interim Report on the authorisation of voter communication</w:t>
      </w:r>
      <w:r w:rsidRPr="001526A9">
        <w:rPr>
          <w:rFonts w:ascii="Times New Roman" w:hAnsi="Times New Roman"/>
          <w:sz w:val="24"/>
        </w:rPr>
        <w:t xml:space="preserve"> </w:t>
      </w:r>
      <w:r w:rsidR="00E24BFA" w:rsidRPr="001526A9">
        <w:rPr>
          <w:rFonts w:ascii="Times New Roman" w:hAnsi="Times New Roman"/>
          <w:sz w:val="24"/>
        </w:rPr>
        <w:t>(</w:t>
      </w:r>
      <w:r w:rsidRPr="001526A9">
        <w:rPr>
          <w:rFonts w:ascii="Times New Roman" w:hAnsi="Times New Roman"/>
          <w:sz w:val="24"/>
        </w:rPr>
        <w:t>2016</w:t>
      </w:r>
      <w:r w:rsidR="00E24BFA" w:rsidRPr="001526A9">
        <w:rPr>
          <w:rFonts w:ascii="Times New Roman" w:hAnsi="Times New Roman"/>
          <w:sz w:val="24"/>
        </w:rPr>
        <w:t>)</w:t>
      </w:r>
      <w:r w:rsidRPr="001526A9">
        <w:rPr>
          <w:rFonts w:ascii="Times New Roman" w:hAnsi="Times New Roman"/>
          <w:sz w:val="24"/>
        </w:rPr>
        <w:t xml:space="preserve"> at </w:t>
      </w:r>
      <w:r w:rsidR="000A35E9" w:rsidRPr="001526A9">
        <w:rPr>
          <w:rFonts w:ascii="Times New Roman" w:hAnsi="Times New Roman"/>
          <w:sz w:val="24"/>
        </w:rPr>
        <w:t xml:space="preserve">10 </w:t>
      </w:r>
      <w:r w:rsidRPr="001526A9">
        <w:rPr>
          <w:rFonts w:ascii="Times New Roman" w:hAnsi="Times New Roman"/>
          <w:sz w:val="24"/>
        </w:rPr>
        <w:t>[2.18].</w:t>
      </w:r>
    </w:p>
  </w:footnote>
  <w:footnote w:id="11">
    <w:p w14:paraId="798C6964" w14:textId="14D97180" w:rsidR="00CD57AB" w:rsidRPr="001526A9" w:rsidRDefault="00CD57AB"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E24BFA" w:rsidRPr="001526A9">
        <w:rPr>
          <w:rFonts w:ascii="Times New Roman" w:hAnsi="Times New Roman"/>
          <w:sz w:val="24"/>
        </w:rPr>
        <w:t xml:space="preserve">Australia, </w:t>
      </w:r>
      <w:r w:rsidRPr="001526A9">
        <w:rPr>
          <w:rFonts w:ascii="Times New Roman" w:hAnsi="Times New Roman"/>
          <w:sz w:val="24"/>
        </w:rPr>
        <w:t xml:space="preserve">Joint Standing Committee on Electoral Matters, </w:t>
      </w:r>
      <w:r w:rsidRPr="001526A9">
        <w:rPr>
          <w:rFonts w:ascii="Times New Roman" w:hAnsi="Times New Roman"/>
          <w:i/>
          <w:iCs/>
          <w:sz w:val="24"/>
        </w:rPr>
        <w:t>The 2016 Federal Election</w:t>
      </w:r>
      <w:r w:rsidR="00422C9C" w:rsidRPr="001526A9">
        <w:rPr>
          <w:rFonts w:ascii="Times New Roman" w:hAnsi="Times New Roman"/>
          <w:i/>
          <w:iCs/>
          <w:sz w:val="24"/>
        </w:rPr>
        <w:t>:</w:t>
      </w:r>
      <w:r w:rsidRPr="001526A9">
        <w:rPr>
          <w:rFonts w:ascii="Times New Roman" w:hAnsi="Times New Roman"/>
          <w:i/>
          <w:iCs/>
          <w:sz w:val="24"/>
        </w:rPr>
        <w:t xml:space="preserve"> Interim Report on the authorisation of voter communication</w:t>
      </w:r>
      <w:r w:rsidRPr="001526A9">
        <w:rPr>
          <w:rFonts w:ascii="Times New Roman" w:hAnsi="Times New Roman"/>
          <w:sz w:val="24"/>
        </w:rPr>
        <w:t xml:space="preserve"> </w:t>
      </w:r>
      <w:r w:rsidR="00E24BFA" w:rsidRPr="001526A9">
        <w:rPr>
          <w:rFonts w:ascii="Times New Roman" w:hAnsi="Times New Roman"/>
          <w:sz w:val="24"/>
        </w:rPr>
        <w:t>(</w:t>
      </w:r>
      <w:r w:rsidRPr="001526A9">
        <w:rPr>
          <w:rFonts w:ascii="Times New Roman" w:hAnsi="Times New Roman"/>
          <w:sz w:val="24"/>
        </w:rPr>
        <w:t>2016</w:t>
      </w:r>
      <w:r w:rsidR="00674DF5" w:rsidRPr="001526A9">
        <w:rPr>
          <w:rFonts w:ascii="Times New Roman" w:hAnsi="Times New Roman"/>
          <w:sz w:val="24"/>
        </w:rPr>
        <w:t>)</w:t>
      </w:r>
      <w:r w:rsidRPr="001526A9">
        <w:rPr>
          <w:rFonts w:ascii="Times New Roman" w:hAnsi="Times New Roman"/>
          <w:sz w:val="24"/>
        </w:rPr>
        <w:t xml:space="preserve"> at </w:t>
      </w:r>
      <w:r w:rsidR="008A77BA" w:rsidRPr="001526A9">
        <w:rPr>
          <w:rFonts w:ascii="Times New Roman" w:hAnsi="Times New Roman"/>
          <w:sz w:val="24"/>
        </w:rPr>
        <w:t xml:space="preserve">25-26 </w:t>
      </w:r>
      <w:r w:rsidRPr="001526A9">
        <w:rPr>
          <w:rFonts w:ascii="Times New Roman" w:hAnsi="Times New Roman"/>
          <w:sz w:val="24"/>
        </w:rPr>
        <w:t>[2.102].</w:t>
      </w:r>
    </w:p>
  </w:footnote>
  <w:footnote w:id="12">
    <w:p w14:paraId="3031E1E8" w14:textId="380D3F61" w:rsidR="00B831B8" w:rsidRPr="001526A9" w:rsidRDefault="00B831B8"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FF31CC" w:rsidRPr="001526A9">
        <w:rPr>
          <w:rFonts w:ascii="Times New Roman" w:hAnsi="Times New Roman"/>
          <w:sz w:val="24"/>
        </w:rPr>
        <w:t xml:space="preserve">Australia, </w:t>
      </w:r>
      <w:r w:rsidRPr="001526A9">
        <w:rPr>
          <w:rFonts w:ascii="Times New Roman" w:hAnsi="Times New Roman"/>
          <w:sz w:val="24"/>
        </w:rPr>
        <w:t xml:space="preserve">Joint Standing Committee on Electoral Matters, </w:t>
      </w:r>
      <w:r w:rsidRPr="001526A9">
        <w:rPr>
          <w:rFonts w:ascii="Times New Roman" w:hAnsi="Times New Roman"/>
          <w:i/>
          <w:iCs/>
          <w:sz w:val="24"/>
        </w:rPr>
        <w:t>The 2016 Federal Election</w:t>
      </w:r>
      <w:r w:rsidR="00AA5FF6" w:rsidRPr="001526A9">
        <w:rPr>
          <w:rFonts w:ascii="Times New Roman" w:hAnsi="Times New Roman"/>
          <w:i/>
          <w:iCs/>
          <w:sz w:val="24"/>
        </w:rPr>
        <w:t>:</w:t>
      </w:r>
      <w:r w:rsidRPr="001526A9">
        <w:rPr>
          <w:rFonts w:ascii="Times New Roman" w:hAnsi="Times New Roman"/>
          <w:i/>
          <w:iCs/>
          <w:sz w:val="24"/>
        </w:rPr>
        <w:t xml:space="preserve"> Interim Report on the authorisation of voter communication</w:t>
      </w:r>
      <w:r w:rsidRPr="001526A9">
        <w:rPr>
          <w:rFonts w:ascii="Times New Roman" w:hAnsi="Times New Roman"/>
          <w:sz w:val="24"/>
        </w:rPr>
        <w:t xml:space="preserve"> </w:t>
      </w:r>
      <w:r w:rsidR="00FF31CC" w:rsidRPr="001526A9">
        <w:rPr>
          <w:rFonts w:ascii="Times New Roman" w:hAnsi="Times New Roman"/>
          <w:sz w:val="24"/>
        </w:rPr>
        <w:t>(</w:t>
      </w:r>
      <w:r w:rsidRPr="001526A9">
        <w:rPr>
          <w:rFonts w:ascii="Times New Roman" w:hAnsi="Times New Roman"/>
          <w:sz w:val="24"/>
        </w:rPr>
        <w:t>2016</w:t>
      </w:r>
      <w:r w:rsidR="00FF31CC" w:rsidRPr="001526A9">
        <w:rPr>
          <w:rFonts w:ascii="Times New Roman" w:hAnsi="Times New Roman"/>
          <w:sz w:val="24"/>
        </w:rPr>
        <w:t>)</w:t>
      </w:r>
      <w:r w:rsidRPr="001526A9">
        <w:rPr>
          <w:rFonts w:ascii="Times New Roman" w:hAnsi="Times New Roman"/>
          <w:sz w:val="24"/>
        </w:rPr>
        <w:t xml:space="preserve"> at </w:t>
      </w:r>
      <w:r w:rsidR="008B11F4" w:rsidRPr="001526A9">
        <w:rPr>
          <w:rFonts w:ascii="Times New Roman" w:hAnsi="Times New Roman"/>
          <w:sz w:val="24"/>
        </w:rPr>
        <w:t xml:space="preserve">26 </w:t>
      </w:r>
      <w:r w:rsidRPr="001526A9">
        <w:rPr>
          <w:rFonts w:ascii="Times New Roman" w:hAnsi="Times New Roman"/>
          <w:sz w:val="24"/>
        </w:rPr>
        <w:t>[2.105]</w:t>
      </w:r>
      <w:r w:rsidR="008B11F4" w:rsidRPr="001526A9">
        <w:rPr>
          <w:rFonts w:ascii="Times New Roman" w:hAnsi="Times New Roman"/>
          <w:sz w:val="24"/>
        </w:rPr>
        <w:t>,</w:t>
      </w:r>
      <w:r w:rsidRPr="001526A9">
        <w:rPr>
          <w:rFonts w:ascii="Times New Roman" w:hAnsi="Times New Roman"/>
          <w:sz w:val="24"/>
        </w:rPr>
        <w:t xml:space="preserve"> [2.108].</w:t>
      </w:r>
    </w:p>
  </w:footnote>
  <w:footnote w:id="13">
    <w:p w14:paraId="428FEEC6" w14:textId="3633CF62" w:rsidR="00807407" w:rsidRPr="001526A9" w:rsidRDefault="00807407"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DE37F8" w:rsidRPr="001526A9">
        <w:rPr>
          <w:rFonts w:ascii="Times New Roman" w:hAnsi="Times New Roman"/>
          <w:sz w:val="24"/>
        </w:rPr>
        <w:t>Australia, House of Representatives</w:t>
      </w:r>
      <w:r w:rsidR="00C91225" w:rsidRPr="001526A9">
        <w:rPr>
          <w:rFonts w:ascii="Times New Roman" w:hAnsi="Times New Roman"/>
          <w:sz w:val="24"/>
        </w:rPr>
        <w:t xml:space="preserve">, </w:t>
      </w:r>
      <w:r w:rsidR="00C91225" w:rsidRPr="001526A9">
        <w:rPr>
          <w:rFonts w:ascii="Times New Roman" w:hAnsi="Times New Roman"/>
          <w:i/>
          <w:iCs/>
          <w:sz w:val="24"/>
        </w:rPr>
        <w:t>Parliamentary Debates</w:t>
      </w:r>
      <w:r w:rsidR="00C91225" w:rsidRPr="001526A9">
        <w:rPr>
          <w:rFonts w:ascii="Times New Roman" w:hAnsi="Times New Roman"/>
          <w:sz w:val="24"/>
        </w:rPr>
        <w:t xml:space="preserve"> (Hansard), </w:t>
      </w:r>
      <w:r w:rsidR="007C69C9" w:rsidRPr="001526A9">
        <w:rPr>
          <w:rFonts w:ascii="Times New Roman" w:hAnsi="Times New Roman"/>
          <w:sz w:val="24"/>
        </w:rPr>
        <w:t>30 March 2017</w:t>
      </w:r>
      <w:r w:rsidRPr="001526A9">
        <w:rPr>
          <w:rFonts w:ascii="Times New Roman" w:hAnsi="Times New Roman"/>
          <w:sz w:val="24"/>
        </w:rPr>
        <w:t xml:space="preserve"> at 3793.</w:t>
      </w:r>
    </w:p>
  </w:footnote>
  <w:footnote w:id="14">
    <w:p w14:paraId="1381A00F" w14:textId="1363AE2F" w:rsidR="00C075ED" w:rsidRPr="001526A9" w:rsidRDefault="00C075ED"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7C69C9" w:rsidRPr="001526A9">
        <w:rPr>
          <w:rFonts w:ascii="Times New Roman" w:hAnsi="Times New Roman"/>
          <w:sz w:val="24"/>
        </w:rPr>
        <w:t xml:space="preserve">Australia, House of Representatives, </w:t>
      </w:r>
      <w:r w:rsidR="007C69C9" w:rsidRPr="001526A9">
        <w:rPr>
          <w:rFonts w:ascii="Times New Roman" w:hAnsi="Times New Roman"/>
          <w:i/>
          <w:iCs/>
          <w:sz w:val="24"/>
        </w:rPr>
        <w:t>Parliamentary Debates</w:t>
      </w:r>
      <w:r w:rsidR="007C69C9" w:rsidRPr="001526A9">
        <w:rPr>
          <w:rFonts w:ascii="Times New Roman" w:hAnsi="Times New Roman"/>
          <w:sz w:val="24"/>
        </w:rPr>
        <w:t xml:space="preserve"> (Hansard), 30 March 2017</w:t>
      </w:r>
      <w:r w:rsidRPr="001526A9">
        <w:rPr>
          <w:rFonts w:ascii="Times New Roman" w:hAnsi="Times New Roman"/>
          <w:sz w:val="24"/>
        </w:rPr>
        <w:t xml:space="preserve"> at 3794. </w:t>
      </w:r>
    </w:p>
  </w:footnote>
  <w:footnote w:id="15">
    <w:p w14:paraId="49A1B380" w14:textId="12B2712D" w:rsidR="00522E5C" w:rsidRPr="001526A9" w:rsidRDefault="00522E5C"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9879CC" w:rsidRPr="001526A9">
        <w:rPr>
          <w:rFonts w:ascii="Times New Roman" w:hAnsi="Times New Roman"/>
          <w:sz w:val="24"/>
        </w:rPr>
        <w:t xml:space="preserve">Australia, </w:t>
      </w:r>
      <w:r w:rsidR="00A9694D" w:rsidRPr="001526A9">
        <w:rPr>
          <w:rFonts w:ascii="Times New Roman" w:hAnsi="Times New Roman"/>
          <w:sz w:val="24"/>
        </w:rPr>
        <w:t>Senate</w:t>
      </w:r>
      <w:r w:rsidR="009879CC" w:rsidRPr="001526A9">
        <w:rPr>
          <w:rFonts w:ascii="Times New Roman" w:hAnsi="Times New Roman"/>
          <w:sz w:val="24"/>
        </w:rPr>
        <w:t xml:space="preserve">, </w:t>
      </w:r>
      <w:r w:rsidR="0088784F" w:rsidRPr="001526A9">
        <w:rPr>
          <w:rFonts w:ascii="Times New Roman" w:hAnsi="Times New Roman"/>
          <w:i/>
          <w:iCs/>
          <w:sz w:val="24"/>
        </w:rPr>
        <w:t>Electoral and Other Legislation Amendment Bill 2017</w:t>
      </w:r>
      <w:r w:rsidR="0088784F" w:rsidRPr="001526A9">
        <w:rPr>
          <w:rFonts w:ascii="Times New Roman" w:hAnsi="Times New Roman"/>
          <w:sz w:val="24"/>
        </w:rPr>
        <w:t>,</w:t>
      </w:r>
      <w:r w:rsidR="008A4B1B" w:rsidRPr="001526A9">
        <w:rPr>
          <w:rFonts w:ascii="Times New Roman" w:hAnsi="Times New Roman"/>
          <w:i/>
          <w:iCs/>
          <w:sz w:val="24"/>
        </w:rPr>
        <w:t xml:space="preserve"> </w:t>
      </w:r>
      <w:r w:rsidR="008A4B1B" w:rsidRPr="001526A9">
        <w:rPr>
          <w:rFonts w:ascii="Times New Roman" w:hAnsi="Times New Roman"/>
          <w:sz w:val="24"/>
        </w:rPr>
        <w:t>Revised Explanatory Memorandum</w:t>
      </w:r>
      <w:r w:rsidRPr="001526A9">
        <w:rPr>
          <w:rFonts w:ascii="Times New Roman" w:hAnsi="Times New Roman"/>
          <w:sz w:val="24"/>
        </w:rPr>
        <w:t xml:space="preserve"> at</w:t>
      </w:r>
      <w:r w:rsidR="008A4B1B" w:rsidRPr="001526A9">
        <w:rPr>
          <w:rFonts w:ascii="Times New Roman" w:hAnsi="Times New Roman"/>
          <w:sz w:val="24"/>
        </w:rPr>
        <w:t xml:space="preserve"> 2</w:t>
      </w:r>
      <w:r w:rsidRPr="001526A9">
        <w:rPr>
          <w:rFonts w:ascii="Times New Roman" w:hAnsi="Times New Roman"/>
          <w:sz w:val="24"/>
        </w:rPr>
        <w:t xml:space="preserve"> [4].</w:t>
      </w:r>
    </w:p>
  </w:footnote>
  <w:footnote w:id="16">
    <w:p w14:paraId="7C888661" w14:textId="692A8C18" w:rsidR="005628FE" w:rsidRPr="001526A9" w:rsidRDefault="005628FE"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D409EF" w:rsidRPr="001526A9">
        <w:rPr>
          <w:rFonts w:ascii="Times New Roman" w:hAnsi="Times New Roman"/>
          <w:sz w:val="24"/>
        </w:rPr>
        <w:t xml:space="preserve"> Australia, </w:t>
      </w:r>
      <w:r w:rsidR="00A301A8" w:rsidRPr="001526A9">
        <w:rPr>
          <w:rFonts w:ascii="Times New Roman" w:hAnsi="Times New Roman"/>
          <w:sz w:val="24"/>
        </w:rPr>
        <w:t>Senate</w:t>
      </w:r>
      <w:r w:rsidR="00D409EF" w:rsidRPr="001526A9">
        <w:rPr>
          <w:rFonts w:ascii="Times New Roman" w:hAnsi="Times New Roman"/>
          <w:sz w:val="24"/>
        </w:rPr>
        <w:t xml:space="preserve">, </w:t>
      </w:r>
      <w:r w:rsidR="00D409EF" w:rsidRPr="001526A9">
        <w:rPr>
          <w:rFonts w:ascii="Times New Roman" w:hAnsi="Times New Roman"/>
          <w:i/>
          <w:iCs/>
          <w:sz w:val="24"/>
        </w:rPr>
        <w:t>Electoral and Other Legislation Amendment Bill 2017</w:t>
      </w:r>
      <w:r w:rsidR="00D409EF" w:rsidRPr="001526A9">
        <w:rPr>
          <w:rFonts w:ascii="Times New Roman" w:hAnsi="Times New Roman"/>
          <w:sz w:val="24"/>
        </w:rPr>
        <w:t>,</w:t>
      </w:r>
      <w:r w:rsidR="00D409EF" w:rsidRPr="001526A9">
        <w:rPr>
          <w:rFonts w:ascii="Times New Roman" w:hAnsi="Times New Roman"/>
          <w:i/>
          <w:iCs/>
          <w:sz w:val="24"/>
        </w:rPr>
        <w:t xml:space="preserve"> </w:t>
      </w:r>
      <w:r w:rsidR="00D409EF" w:rsidRPr="001526A9">
        <w:rPr>
          <w:rFonts w:ascii="Times New Roman" w:hAnsi="Times New Roman"/>
          <w:sz w:val="24"/>
        </w:rPr>
        <w:t>Revised Explanatory Memorandum</w:t>
      </w:r>
      <w:r w:rsidRPr="001526A9">
        <w:rPr>
          <w:rFonts w:ascii="Times New Roman" w:hAnsi="Times New Roman"/>
          <w:sz w:val="24"/>
        </w:rPr>
        <w:t xml:space="preserve"> at </w:t>
      </w:r>
      <w:r w:rsidR="00F92AA1" w:rsidRPr="001526A9">
        <w:rPr>
          <w:rFonts w:ascii="Times New Roman" w:hAnsi="Times New Roman"/>
          <w:sz w:val="24"/>
        </w:rPr>
        <w:t xml:space="preserve">24 </w:t>
      </w:r>
      <w:r w:rsidRPr="001526A9">
        <w:rPr>
          <w:rFonts w:ascii="Times New Roman" w:hAnsi="Times New Roman"/>
          <w:sz w:val="24"/>
        </w:rPr>
        <w:t>[75].</w:t>
      </w:r>
    </w:p>
  </w:footnote>
  <w:footnote w:id="17">
    <w:p w14:paraId="391A9B32" w14:textId="259593F7" w:rsidR="00B63DB6" w:rsidRPr="001526A9" w:rsidRDefault="00B63DB6"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Pr="001526A9">
        <w:rPr>
          <w:rFonts w:ascii="Times New Roman" w:hAnsi="Times New Roman"/>
          <w:i/>
          <w:iCs/>
          <w:sz w:val="24"/>
        </w:rPr>
        <w:t>Electoral Commissioner of the Australian Electoral Commission v Laming</w:t>
      </w:r>
      <w:r w:rsidRPr="001526A9">
        <w:rPr>
          <w:rFonts w:ascii="Times New Roman" w:hAnsi="Times New Roman"/>
          <w:sz w:val="24"/>
        </w:rPr>
        <w:t xml:space="preserve"> </w:t>
      </w:r>
      <w:r w:rsidR="0006750B" w:rsidRPr="001526A9">
        <w:rPr>
          <w:rFonts w:ascii="Times New Roman" w:hAnsi="Times New Roman"/>
          <w:sz w:val="24"/>
        </w:rPr>
        <w:t>(2024) 304 FCR 561</w:t>
      </w:r>
      <w:r w:rsidRPr="001526A9">
        <w:rPr>
          <w:rFonts w:ascii="Times New Roman" w:hAnsi="Times New Roman"/>
          <w:sz w:val="24"/>
        </w:rPr>
        <w:t xml:space="preserve"> at </w:t>
      </w:r>
      <w:r w:rsidR="0006750B" w:rsidRPr="001526A9">
        <w:rPr>
          <w:rFonts w:ascii="Times New Roman" w:hAnsi="Times New Roman"/>
          <w:sz w:val="24"/>
        </w:rPr>
        <w:t xml:space="preserve">584-585 </w:t>
      </w:r>
      <w:r w:rsidRPr="001526A9">
        <w:rPr>
          <w:rFonts w:ascii="Times New Roman" w:hAnsi="Times New Roman"/>
          <w:sz w:val="24"/>
        </w:rPr>
        <w:t>[101].</w:t>
      </w:r>
    </w:p>
  </w:footnote>
  <w:footnote w:id="18">
    <w:p w14:paraId="2A69E18C" w14:textId="728B8821" w:rsidR="00731DD8" w:rsidRPr="001526A9" w:rsidRDefault="00731DD8" w:rsidP="001526A9">
      <w:pPr>
        <w:pStyle w:val="FootnoteText"/>
        <w:spacing w:line="280" w:lineRule="exact"/>
        <w:ind w:right="0"/>
        <w:jc w:val="both"/>
        <w:rPr>
          <w:rFonts w:ascii="Times New Roman" w:hAnsi="Times New Roman"/>
          <w:i/>
          <w:iCs/>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Pr="001526A9">
        <w:rPr>
          <w:rFonts w:ascii="Times New Roman" w:hAnsi="Times New Roman"/>
          <w:i/>
          <w:iCs/>
          <w:sz w:val="24"/>
        </w:rPr>
        <w:t>Australian Capital Television Pty Ltd v The Commonwealth</w:t>
      </w:r>
      <w:r w:rsidRPr="001526A9">
        <w:rPr>
          <w:rFonts w:ascii="Times New Roman" w:hAnsi="Times New Roman"/>
          <w:sz w:val="24"/>
        </w:rPr>
        <w:t xml:space="preserve"> (1992) 177 CLR 106 at 135</w:t>
      </w:r>
      <w:r w:rsidR="00345D59" w:rsidRPr="001526A9">
        <w:rPr>
          <w:rFonts w:ascii="Times New Roman" w:hAnsi="Times New Roman"/>
          <w:sz w:val="24"/>
        </w:rPr>
        <w:t>;</w:t>
      </w:r>
      <w:r w:rsidRPr="001526A9">
        <w:rPr>
          <w:rFonts w:ascii="Times New Roman" w:hAnsi="Times New Roman"/>
          <w:sz w:val="24"/>
        </w:rPr>
        <w:t xml:space="preserve"> </w:t>
      </w:r>
      <w:r w:rsidR="00345D59" w:rsidRPr="001526A9">
        <w:rPr>
          <w:rFonts w:ascii="Times New Roman" w:hAnsi="Times New Roman"/>
          <w:sz w:val="24"/>
        </w:rPr>
        <w:t>s</w:t>
      </w:r>
      <w:r w:rsidRPr="001526A9">
        <w:rPr>
          <w:rFonts w:ascii="Times New Roman" w:hAnsi="Times New Roman"/>
          <w:sz w:val="24"/>
        </w:rPr>
        <w:t>ee also at 138-140</w:t>
      </w:r>
      <w:r w:rsidR="00345D59" w:rsidRPr="001526A9">
        <w:rPr>
          <w:rFonts w:ascii="Times New Roman" w:hAnsi="Times New Roman"/>
          <w:sz w:val="24"/>
        </w:rPr>
        <w:t>.</w:t>
      </w:r>
      <w:r w:rsidRPr="001526A9">
        <w:rPr>
          <w:rFonts w:ascii="Times New Roman" w:hAnsi="Times New Roman"/>
          <w:sz w:val="24"/>
        </w:rPr>
        <w:t xml:space="preserve"> </w:t>
      </w:r>
      <w:r w:rsidR="00345D59" w:rsidRPr="001526A9">
        <w:rPr>
          <w:rFonts w:ascii="Times New Roman" w:hAnsi="Times New Roman"/>
          <w:sz w:val="24"/>
        </w:rPr>
        <w:t xml:space="preserve">See also </w:t>
      </w:r>
      <w:r w:rsidRPr="001526A9">
        <w:rPr>
          <w:rFonts w:ascii="Times New Roman" w:hAnsi="Times New Roman"/>
          <w:i/>
          <w:iCs/>
          <w:sz w:val="24"/>
        </w:rPr>
        <w:t>Lange v Australian Broadcasting Corporation</w:t>
      </w:r>
      <w:r w:rsidRPr="001526A9">
        <w:rPr>
          <w:rFonts w:ascii="Times New Roman" w:hAnsi="Times New Roman"/>
          <w:sz w:val="24"/>
        </w:rPr>
        <w:t xml:space="preserve"> (1997) 189 CLR 520 at 559-560</w:t>
      </w:r>
      <w:r w:rsidR="00FB44CF" w:rsidRPr="001526A9">
        <w:rPr>
          <w:rFonts w:ascii="Times New Roman" w:hAnsi="Times New Roman"/>
          <w:sz w:val="24"/>
        </w:rPr>
        <w:t>;</w:t>
      </w:r>
      <w:r w:rsidR="00F455F5" w:rsidRPr="001526A9">
        <w:rPr>
          <w:rFonts w:ascii="Times New Roman" w:hAnsi="Times New Roman"/>
          <w:i/>
          <w:iCs/>
          <w:sz w:val="24"/>
        </w:rPr>
        <w:t xml:space="preserve"> Aid/Watch Inc v </w:t>
      </w:r>
      <w:r w:rsidR="002F1FCB" w:rsidRPr="001526A9">
        <w:rPr>
          <w:rFonts w:ascii="Times New Roman" w:hAnsi="Times New Roman"/>
          <w:i/>
          <w:iCs/>
          <w:sz w:val="24"/>
        </w:rPr>
        <w:t xml:space="preserve">Federal </w:t>
      </w:r>
      <w:r w:rsidR="00F455F5" w:rsidRPr="001526A9">
        <w:rPr>
          <w:rFonts w:ascii="Times New Roman" w:hAnsi="Times New Roman"/>
          <w:i/>
          <w:iCs/>
          <w:sz w:val="24"/>
        </w:rPr>
        <w:t>Commissioner of Taxation</w:t>
      </w:r>
      <w:r w:rsidR="00F455F5" w:rsidRPr="001526A9">
        <w:rPr>
          <w:rFonts w:ascii="Times New Roman" w:hAnsi="Times New Roman"/>
          <w:sz w:val="24"/>
        </w:rPr>
        <w:t xml:space="preserve"> (2010) 241 CLR 539 at </w:t>
      </w:r>
      <w:r w:rsidR="00111B7A" w:rsidRPr="001526A9">
        <w:rPr>
          <w:rFonts w:ascii="Times New Roman" w:hAnsi="Times New Roman"/>
          <w:sz w:val="24"/>
        </w:rPr>
        <w:t xml:space="preserve">555-556 </w:t>
      </w:r>
      <w:r w:rsidR="00F455F5" w:rsidRPr="001526A9">
        <w:rPr>
          <w:rFonts w:ascii="Times New Roman" w:hAnsi="Times New Roman"/>
          <w:sz w:val="24"/>
        </w:rPr>
        <w:t>[44].</w:t>
      </w:r>
    </w:p>
  </w:footnote>
  <w:footnote w:id="19">
    <w:p w14:paraId="1031761B" w14:textId="7F257392" w:rsidR="00F51DA5" w:rsidRPr="001526A9" w:rsidRDefault="00F51DA5"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t>Emphasis added.</w:t>
      </w:r>
    </w:p>
  </w:footnote>
  <w:footnote w:id="20">
    <w:p w14:paraId="072CBCDE" w14:textId="20FF27CC" w:rsidR="000F2439" w:rsidRPr="001526A9" w:rsidRDefault="000F2439"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00436956" w:rsidRPr="001526A9">
        <w:rPr>
          <w:rFonts w:ascii="Times New Roman" w:hAnsi="Times New Roman"/>
          <w:sz w:val="24"/>
        </w:rPr>
        <w:t xml:space="preserve">Australia, </w:t>
      </w:r>
      <w:r w:rsidRPr="001526A9">
        <w:rPr>
          <w:rFonts w:ascii="Times New Roman" w:hAnsi="Times New Roman"/>
          <w:sz w:val="24"/>
        </w:rPr>
        <w:t xml:space="preserve">Joint Standing Committee on Electoral Matters, </w:t>
      </w:r>
      <w:r w:rsidRPr="001526A9">
        <w:rPr>
          <w:rFonts w:ascii="Times New Roman" w:hAnsi="Times New Roman"/>
          <w:i/>
          <w:iCs/>
          <w:sz w:val="24"/>
        </w:rPr>
        <w:t>The 2016 Federal Election</w:t>
      </w:r>
      <w:r w:rsidR="00866314" w:rsidRPr="001526A9">
        <w:rPr>
          <w:rFonts w:ascii="Times New Roman" w:hAnsi="Times New Roman"/>
          <w:i/>
          <w:iCs/>
          <w:sz w:val="24"/>
        </w:rPr>
        <w:t>:</w:t>
      </w:r>
      <w:r w:rsidRPr="001526A9">
        <w:rPr>
          <w:rFonts w:ascii="Times New Roman" w:hAnsi="Times New Roman"/>
          <w:i/>
          <w:iCs/>
          <w:sz w:val="24"/>
        </w:rPr>
        <w:t xml:space="preserve"> Interim Report on the authorisation of voter communication</w:t>
      </w:r>
      <w:r w:rsidRPr="001526A9">
        <w:rPr>
          <w:rFonts w:ascii="Times New Roman" w:hAnsi="Times New Roman"/>
          <w:sz w:val="24"/>
        </w:rPr>
        <w:t xml:space="preserve"> </w:t>
      </w:r>
      <w:r w:rsidR="00436956" w:rsidRPr="001526A9">
        <w:rPr>
          <w:rFonts w:ascii="Times New Roman" w:hAnsi="Times New Roman"/>
          <w:sz w:val="24"/>
        </w:rPr>
        <w:t>(</w:t>
      </w:r>
      <w:r w:rsidRPr="001526A9">
        <w:rPr>
          <w:rFonts w:ascii="Times New Roman" w:hAnsi="Times New Roman"/>
          <w:sz w:val="24"/>
        </w:rPr>
        <w:t>2016</w:t>
      </w:r>
      <w:r w:rsidR="00436956" w:rsidRPr="001526A9">
        <w:rPr>
          <w:rFonts w:ascii="Times New Roman" w:hAnsi="Times New Roman"/>
          <w:sz w:val="24"/>
        </w:rPr>
        <w:t>)</w:t>
      </w:r>
      <w:r w:rsidRPr="001526A9">
        <w:rPr>
          <w:rFonts w:ascii="Times New Roman" w:hAnsi="Times New Roman"/>
          <w:sz w:val="24"/>
        </w:rPr>
        <w:t xml:space="preserve"> at </w:t>
      </w:r>
      <w:r w:rsidR="004D014F" w:rsidRPr="001526A9">
        <w:rPr>
          <w:rFonts w:ascii="Times New Roman" w:hAnsi="Times New Roman"/>
          <w:sz w:val="24"/>
        </w:rPr>
        <w:t xml:space="preserve">26 </w:t>
      </w:r>
      <w:r w:rsidRPr="001526A9">
        <w:rPr>
          <w:rFonts w:ascii="Times New Roman" w:hAnsi="Times New Roman"/>
          <w:sz w:val="24"/>
        </w:rPr>
        <w:t>[2.105]</w:t>
      </w:r>
      <w:r w:rsidR="004D014F" w:rsidRPr="001526A9">
        <w:rPr>
          <w:rFonts w:ascii="Times New Roman" w:hAnsi="Times New Roman"/>
          <w:sz w:val="24"/>
        </w:rPr>
        <w:t>,</w:t>
      </w:r>
      <w:r w:rsidRPr="001526A9">
        <w:rPr>
          <w:rFonts w:ascii="Times New Roman" w:hAnsi="Times New Roman"/>
          <w:sz w:val="24"/>
        </w:rPr>
        <w:t xml:space="preserve"> [2.108]; </w:t>
      </w:r>
      <w:r w:rsidR="002727D1" w:rsidRPr="001526A9">
        <w:rPr>
          <w:rFonts w:ascii="Times New Roman" w:hAnsi="Times New Roman"/>
          <w:i/>
          <w:iCs/>
          <w:sz w:val="24"/>
        </w:rPr>
        <w:t>Commonwealth Electoral Act</w:t>
      </w:r>
      <w:r w:rsidR="002727D1" w:rsidRPr="001526A9">
        <w:rPr>
          <w:rFonts w:ascii="Times New Roman" w:hAnsi="Times New Roman"/>
          <w:sz w:val="24"/>
        </w:rPr>
        <w:t>,</w:t>
      </w:r>
      <w:r w:rsidR="002727D1" w:rsidRPr="001526A9">
        <w:rPr>
          <w:rFonts w:ascii="Times New Roman" w:hAnsi="Times New Roman"/>
          <w:i/>
          <w:iCs/>
          <w:sz w:val="24"/>
        </w:rPr>
        <w:t xml:space="preserve"> </w:t>
      </w:r>
      <w:r w:rsidRPr="001526A9">
        <w:rPr>
          <w:rFonts w:ascii="Times New Roman" w:hAnsi="Times New Roman"/>
          <w:sz w:val="24"/>
        </w:rPr>
        <w:t>s 321C(2)(</w:t>
      </w:r>
      <w:r w:rsidR="002A638B" w:rsidRPr="001526A9">
        <w:rPr>
          <w:rFonts w:ascii="Times New Roman" w:hAnsi="Times New Roman"/>
          <w:sz w:val="24"/>
        </w:rPr>
        <w:t>b).</w:t>
      </w:r>
    </w:p>
  </w:footnote>
  <w:footnote w:id="21">
    <w:p w14:paraId="5DE4A4DC" w14:textId="77777777" w:rsidR="008A5582" w:rsidRPr="001526A9" w:rsidRDefault="008A5582"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Pr="001526A9">
        <w:rPr>
          <w:rFonts w:ascii="Times New Roman" w:hAnsi="Times New Roman"/>
          <w:i/>
          <w:iCs/>
          <w:sz w:val="24"/>
        </w:rPr>
        <w:t>Smith v Oldham</w:t>
      </w:r>
      <w:r w:rsidRPr="001526A9">
        <w:rPr>
          <w:rFonts w:ascii="Times New Roman" w:hAnsi="Times New Roman"/>
          <w:sz w:val="24"/>
        </w:rPr>
        <w:t xml:space="preserve"> (1912) 15 CLR 355 at 362.</w:t>
      </w:r>
    </w:p>
  </w:footnote>
  <w:footnote w:id="22">
    <w:p w14:paraId="6CA9FA8F" w14:textId="77777777" w:rsidR="003129C4" w:rsidRPr="001526A9" w:rsidRDefault="003129C4"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r>
      <w:r w:rsidRPr="001526A9">
        <w:rPr>
          <w:rFonts w:ascii="Times New Roman" w:hAnsi="Times New Roman"/>
          <w:i/>
          <w:iCs/>
          <w:sz w:val="24"/>
        </w:rPr>
        <w:t>Australian Building and Construction Commissioner v Pattinson</w:t>
      </w:r>
      <w:r w:rsidRPr="001526A9">
        <w:rPr>
          <w:rFonts w:ascii="Times New Roman" w:hAnsi="Times New Roman"/>
          <w:sz w:val="24"/>
        </w:rPr>
        <w:t xml:space="preserve"> (2022) 274 CLR 450 at 469 [45].</w:t>
      </w:r>
    </w:p>
  </w:footnote>
  <w:footnote w:id="23">
    <w:p w14:paraId="0892660D" w14:textId="2520A135" w:rsidR="00E547F6" w:rsidRPr="001526A9" w:rsidRDefault="00E547F6" w:rsidP="001526A9">
      <w:pPr>
        <w:pStyle w:val="FootnoteText"/>
        <w:spacing w:line="280" w:lineRule="exact"/>
        <w:ind w:right="0"/>
        <w:jc w:val="both"/>
        <w:rPr>
          <w:rFonts w:ascii="Times New Roman" w:hAnsi="Times New Roman"/>
          <w:sz w:val="24"/>
        </w:rPr>
      </w:pPr>
      <w:r w:rsidRPr="001526A9">
        <w:rPr>
          <w:rStyle w:val="FootnoteReference"/>
          <w:rFonts w:ascii="Times New Roman" w:hAnsi="Times New Roman"/>
          <w:sz w:val="22"/>
          <w:vertAlign w:val="baseline"/>
        </w:rPr>
        <w:footnoteRef/>
      </w:r>
      <w:r w:rsidRPr="001526A9">
        <w:rPr>
          <w:rFonts w:ascii="Times New Roman" w:hAnsi="Times New Roman"/>
          <w:sz w:val="24"/>
        </w:rPr>
        <w:t xml:space="preserve"> </w:t>
      </w:r>
      <w:r w:rsidRPr="001526A9">
        <w:rPr>
          <w:rFonts w:ascii="Times New Roman" w:hAnsi="Times New Roman"/>
          <w:sz w:val="24"/>
        </w:rPr>
        <w:tab/>
        <w:t>See</w:t>
      </w:r>
      <w:r w:rsidR="005A5DC8" w:rsidRPr="001526A9">
        <w:rPr>
          <w:rFonts w:ascii="Times New Roman" w:hAnsi="Times New Roman"/>
          <w:sz w:val="24"/>
        </w:rPr>
        <w:t xml:space="preserve">, to the same effect, </w:t>
      </w:r>
      <w:r w:rsidR="00462A1F" w:rsidRPr="001526A9">
        <w:rPr>
          <w:rFonts w:ascii="Times New Roman" w:hAnsi="Times New Roman"/>
          <w:i/>
          <w:iCs/>
          <w:sz w:val="24"/>
        </w:rPr>
        <w:t>Electoral Commissioner v McQuestin</w:t>
      </w:r>
      <w:r w:rsidR="00462A1F" w:rsidRPr="001526A9">
        <w:rPr>
          <w:rFonts w:ascii="Times New Roman" w:hAnsi="Times New Roman"/>
          <w:sz w:val="24"/>
        </w:rPr>
        <w:t xml:space="preserve"> [2024] FCA 287 at </w:t>
      </w:r>
      <w:r w:rsidR="00BD1D41" w:rsidRPr="001526A9">
        <w:rPr>
          <w:rFonts w:ascii="Times New Roman" w:hAnsi="Times New Roman"/>
          <w:sz w:val="24"/>
        </w:rPr>
        <w:t>[48]-[54].</w:t>
      </w:r>
    </w:p>
  </w:footnote>
  <w:footnote w:id="24">
    <w:p w14:paraId="5B50A524"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 xml:space="preserve">Electoral Act, s 321D(7). </w:t>
      </w:r>
    </w:p>
  </w:footnote>
  <w:footnote w:id="25">
    <w:p w14:paraId="3FDC4EF0"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Electoral Act, s 321D(1).</w:t>
      </w:r>
    </w:p>
  </w:footnote>
  <w:footnote w:id="26">
    <w:p w14:paraId="01CD2682"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Electoral Act, s 4AA(5)(a).</w:t>
      </w:r>
    </w:p>
  </w:footnote>
  <w:footnote w:id="27">
    <w:p w14:paraId="364AEA1F"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Electoral Act, s 321E(1)(a)(i).</w:t>
      </w:r>
    </w:p>
  </w:footnote>
  <w:footnote w:id="28">
    <w:p w14:paraId="73047723"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Electoral Act, s 321E(1)(b)(i).</w:t>
      </w:r>
    </w:p>
  </w:footnote>
  <w:footnote w:id="29">
    <w:p w14:paraId="0D5B5C53"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r>
      <w:r w:rsidRPr="00790760">
        <w:rPr>
          <w:rFonts w:ascii="Times New Roman" w:hAnsi="Times New Roman"/>
          <w:i/>
          <w:sz w:val="24"/>
        </w:rPr>
        <w:t>Macquarie Dictionary</w:t>
      </w:r>
      <w:r w:rsidRPr="00790760">
        <w:rPr>
          <w:rFonts w:ascii="Times New Roman" w:hAnsi="Times New Roman"/>
          <w:sz w:val="24"/>
        </w:rPr>
        <w:t>, online, "communicate", meanings (1)-(3).</w:t>
      </w:r>
    </w:p>
  </w:footnote>
  <w:footnote w:id="30">
    <w:p w14:paraId="04F19121"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(2021) 273 CLR 346.</w:t>
      </w:r>
    </w:p>
  </w:footnote>
  <w:footnote w:id="31">
    <w:p w14:paraId="42596293"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(2021) 273 CLR 346 at 376 [98].</w:t>
      </w:r>
    </w:p>
  </w:footnote>
  <w:footnote w:id="32">
    <w:p w14:paraId="7A277518"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(2021) 273 CLR 346 at 376 [98].</w:t>
      </w:r>
    </w:p>
  </w:footnote>
  <w:footnote w:id="33">
    <w:p w14:paraId="56C415CD"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r>
      <w:r w:rsidRPr="00790760">
        <w:rPr>
          <w:rFonts w:ascii="Times New Roman" w:hAnsi="Times New Roman"/>
          <w:i/>
          <w:iCs/>
          <w:sz w:val="24"/>
        </w:rPr>
        <w:t xml:space="preserve">Dow Jones &amp; Co Inc v Gutnick </w:t>
      </w:r>
      <w:r w:rsidRPr="00790760">
        <w:rPr>
          <w:rFonts w:ascii="Times New Roman" w:hAnsi="Times New Roman"/>
          <w:sz w:val="24"/>
        </w:rPr>
        <w:t xml:space="preserve">(2002) 210 CLR 575 at 600 [26]-[27]; </w:t>
      </w:r>
      <w:r w:rsidRPr="00790760">
        <w:rPr>
          <w:rFonts w:ascii="Times New Roman" w:hAnsi="Times New Roman"/>
          <w:i/>
          <w:iCs/>
          <w:sz w:val="24"/>
        </w:rPr>
        <w:t>Google Inc v</w:t>
      </w:r>
      <w:r>
        <w:rPr>
          <w:rFonts w:ascii="Times New Roman" w:hAnsi="Times New Roman"/>
          <w:i/>
          <w:iCs/>
          <w:sz w:val="24"/>
        </w:rPr>
        <w:t> </w:t>
      </w:r>
      <w:r w:rsidRPr="00790760">
        <w:rPr>
          <w:rFonts w:ascii="Times New Roman" w:hAnsi="Times New Roman"/>
          <w:i/>
          <w:iCs/>
          <w:sz w:val="24"/>
        </w:rPr>
        <w:t xml:space="preserve">Duffy </w:t>
      </w:r>
      <w:r w:rsidRPr="00790760">
        <w:rPr>
          <w:rFonts w:ascii="Times New Roman" w:hAnsi="Times New Roman"/>
          <w:sz w:val="24"/>
        </w:rPr>
        <w:t xml:space="preserve">(2017) 129 SASR 304 at 404 [359]; </w:t>
      </w:r>
      <w:r w:rsidRPr="00790760">
        <w:rPr>
          <w:rFonts w:ascii="Times New Roman" w:hAnsi="Times New Roman"/>
          <w:i/>
          <w:iCs/>
          <w:sz w:val="24"/>
        </w:rPr>
        <w:t xml:space="preserve">Voller </w:t>
      </w:r>
      <w:r w:rsidRPr="00790760">
        <w:rPr>
          <w:rFonts w:ascii="Times New Roman" w:hAnsi="Times New Roman"/>
          <w:sz w:val="24"/>
        </w:rPr>
        <w:t>(2021) 273 CLR 346 at 355 [23], 364 [61</w:t>
      </w:r>
      <w:r w:rsidRPr="00790760" w:rsidDel="00445068">
        <w:rPr>
          <w:rFonts w:ascii="Times New Roman" w:hAnsi="Times New Roman"/>
          <w:sz w:val="24"/>
        </w:rPr>
        <w:t>]</w:t>
      </w:r>
      <w:r w:rsidRPr="00790760">
        <w:rPr>
          <w:rFonts w:ascii="Times New Roman" w:hAnsi="Times New Roman"/>
          <w:sz w:val="24"/>
        </w:rPr>
        <w:t>.</w:t>
      </w:r>
    </w:p>
  </w:footnote>
  <w:footnote w:id="34">
    <w:p w14:paraId="3B852B85"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r>
      <w:r w:rsidRPr="00790760">
        <w:rPr>
          <w:rFonts w:ascii="Times New Roman" w:hAnsi="Times New Roman"/>
          <w:i/>
          <w:iCs/>
          <w:sz w:val="24"/>
        </w:rPr>
        <w:t xml:space="preserve">Voller </w:t>
      </w:r>
      <w:r w:rsidRPr="00790760">
        <w:rPr>
          <w:rFonts w:ascii="Times New Roman" w:hAnsi="Times New Roman"/>
          <w:sz w:val="24"/>
        </w:rPr>
        <w:t>(2021) 273 CLR 346 at 401-402 [165].</w:t>
      </w:r>
    </w:p>
  </w:footnote>
  <w:footnote w:id="35">
    <w:p w14:paraId="7EE3632E"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See Electoral Act, s 4AA(2).</w:t>
      </w:r>
    </w:p>
  </w:footnote>
  <w:footnote w:id="36">
    <w:p w14:paraId="7460E20E" w14:textId="77777777" w:rsidR="0012516B" w:rsidRPr="00790760" w:rsidRDefault="0012516B" w:rsidP="00790760">
      <w:pPr>
        <w:pStyle w:val="FootnoteText"/>
        <w:spacing w:line="280" w:lineRule="exact"/>
        <w:ind w:right="0"/>
        <w:jc w:val="both"/>
        <w:rPr>
          <w:rFonts w:ascii="Times New Roman" w:hAnsi="Times New Roman"/>
          <w:i/>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 xml:space="preserve">Electoral Act, s 321C(1). cf </w:t>
      </w:r>
      <w:r w:rsidRPr="00790760">
        <w:rPr>
          <w:rFonts w:ascii="Times New Roman" w:hAnsi="Times New Roman"/>
          <w:i/>
          <w:iCs/>
          <w:sz w:val="24"/>
        </w:rPr>
        <w:t xml:space="preserve">Mulholland v Australian Electoral Commission </w:t>
      </w:r>
      <w:r w:rsidRPr="00790760">
        <w:rPr>
          <w:rFonts w:ascii="Times New Roman" w:hAnsi="Times New Roman"/>
          <w:sz w:val="24"/>
        </w:rPr>
        <w:t>(2004)</w:t>
      </w:r>
      <w:r>
        <w:rPr>
          <w:rFonts w:ascii="Times New Roman" w:hAnsi="Times New Roman"/>
          <w:sz w:val="24"/>
        </w:rPr>
        <w:t> </w:t>
      </w:r>
      <w:r w:rsidRPr="00790760">
        <w:rPr>
          <w:rFonts w:ascii="Times New Roman" w:hAnsi="Times New Roman"/>
          <w:sz w:val="24"/>
        </w:rPr>
        <w:t xml:space="preserve">220 CLR </w:t>
      </w:r>
      <w:r w:rsidRPr="00790760" w:rsidDel="006364B6">
        <w:rPr>
          <w:rFonts w:ascii="Times New Roman" w:hAnsi="Times New Roman"/>
          <w:sz w:val="24"/>
        </w:rPr>
        <w:t>181</w:t>
      </w:r>
      <w:r w:rsidRPr="00790760">
        <w:rPr>
          <w:rFonts w:ascii="Times New Roman" w:hAnsi="Times New Roman"/>
          <w:sz w:val="24"/>
        </w:rPr>
        <w:t xml:space="preserve">; </w:t>
      </w:r>
      <w:r w:rsidRPr="00790760">
        <w:rPr>
          <w:rFonts w:ascii="Times New Roman" w:hAnsi="Times New Roman"/>
          <w:i/>
          <w:iCs/>
          <w:sz w:val="24"/>
        </w:rPr>
        <w:t>Ruddick v</w:t>
      </w:r>
      <w:r w:rsidRPr="00790760" w:rsidDel="005F374B">
        <w:rPr>
          <w:rFonts w:ascii="Times New Roman" w:hAnsi="Times New Roman"/>
          <w:i/>
          <w:iCs/>
          <w:sz w:val="24"/>
        </w:rPr>
        <w:t xml:space="preserve"> </w:t>
      </w:r>
      <w:r w:rsidRPr="00790760">
        <w:rPr>
          <w:rFonts w:ascii="Times New Roman" w:hAnsi="Times New Roman"/>
          <w:i/>
          <w:iCs/>
          <w:sz w:val="24"/>
        </w:rPr>
        <w:t xml:space="preserve">The Commonwealth </w:t>
      </w:r>
      <w:r w:rsidRPr="00790760">
        <w:rPr>
          <w:rFonts w:ascii="Times New Roman" w:hAnsi="Times New Roman"/>
          <w:sz w:val="24"/>
        </w:rPr>
        <w:t>(2022) 275 CLR 333.</w:t>
      </w:r>
    </w:p>
  </w:footnote>
  <w:footnote w:id="37">
    <w:p w14:paraId="43CD2726"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 xml:space="preserve">Electoral Act, s 321C(2). </w:t>
      </w:r>
    </w:p>
  </w:footnote>
  <w:footnote w:id="38">
    <w:p w14:paraId="3063C495"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(1912) 15 CLR 355 at 358.</w:t>
      </w:r>
    </w:p>
  </w:footnote>
  <w:footnote w:id="39">
    <w:p w14:paraId="7E79518E"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 xml:space="preserve">See </w:t>
      </w:r>
      <w:r w:rsidRPr="00790760">
        <w:rPr>
          <w:rFonts w:ascii="Times New Roman" w:hAnsi="Times New Roman"/>
          <w:i/>
          <w:iCs/>
          <w:sz w:val="24"/>
        </w:rPr>
        <w:t xml:space="preserve">Australian Building and Construction Commissioner v Pattinson </w:t>
      </w:r>
      <w:r w:rsidRPr="00790760">
        <w:rPr>
          <w:rFonts w:ascii="Times New Roman" w:hAnsi="Times New Roman"/>
          <w:sz w:val="24"/>
        </w:rPr>
        <w:t>(2022) 274</w:t>
      </w:r>
      <w:r>
        <w:rPr>
          <w:rFonts w:ascii="Times New Roman" w:hAnsi="Times New Roman"/>
          <w:sz w:val="24"/>
        </w:rPr>
        <w:t> </w:t>
      </w:r>
      <w:r w:rsidRPr="00790760">
        <w:rPr>
          <w:rFonts w:ascii="Times New Roman" w:hAnsi="Times New Roman"/>
          <w:sz w:val="24"/>
        </w:rPr>
        <w:t>CLR 450 at 457 [9]-[10], 459-460 [15]-[18].</w:t>
      </w:r>
    </w:p>
  </w:footnote>
  <w:footnote w:id="40">
    <w:p w14:paraId="0F3AB517"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Section 384A of the Electoral Act provides that each civil penalty provision of the</w:t>
      </w:r>
      <w:r>
        <w:rPr>
          <w:rFonts w:ascii="Times New Roman" w:hAnsi="Times New Roman"/>
          <w:sz w:val="24"/>
        </w:rPr>
        <w:t> </w:t>
      </w:r>
      <w:r w:rsidRPr="00790760">
        <w:rPr>
          <w:rFonts w:ascii="Times New Roman" w:hAnsi="Times New Roman"/>
          <w:sz w:val="24"/>
        </w:rPr>
        <w:t xml:space="preserve">Electoral Act is enforceable under Pts 4 and 6 of the </w:t>
      </w:r>
      <w:r w:rsidRPr="00790760">
        <w:rPr>
          <w:rFonts w:ascii="Times New Roman" w:hAnsi="Times New Roman"/>
          <w:i/>
          <w:iCs/>
          <w:sz w:val="24"/>
        </w:rPr>
        <w:t>Regulatory Powers (Standard Provisions) Act 2014</w:t>
      </w:r>
      <w:r w:rsidRPr="00790760">
        <w:rPr>
          <w:rFonts w:ascii="Times New Roman" w:hAnsi="Times New Roman"/>
          <w:sz w:val="24"/>
        </w:rPr>
        <w:t xml:space="preserve"> (Cth) ("the Regulatory Powers Act"). Section 82(6) of the Regulatory Powers Act</w:t>
      </w:r>
      <w:r w:rsidRPr="00790760">
        <w:rPr>
          <w:rFonts w:ascii="Times New Roman" w:hAnsi="Times New Roman"/>
          <w:i/>
          <w:iCs/>
          <w:sz w:val="24"/>
        </w:rPr>
        <w:t xml:space="preserve"> </w:t>
      </w:r>
      <w:r w:rsidRPr="00790760">
        <w:rPr>
          <w:rFonts w:ascii="Times New Roman" w:hAnsi="Times New Roman"/>
          <w:sz w:val="24"/>
        </w:rPr>
        <w:t>provides that, in determining the pecuniary penalty, the court must take into account, among other things, "(a) the nature and extent of the contravention" and "(c) the circumstances in which the contravention took place".</w:t>
      </w:r>
    </w:p>
  </w:footnote>
  <w:footnote w:id="41">
    <w:p w14:paraId="5A41FA9C"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 xml:space="preserve">See Australia, Joint Standing Committee on Electoral Matters, </w:t>
      </w:r>
      <w:r w:rsidRPr="00790760">
        <w:rPr>
          <w:rFonts w:ascii="Times New Roman" w:hAnsi="Times New Roman"/>
          <w:i/>
          <w:iCs/>
          <w:sz w:val="24"/>
        </w:rPr>
        <w:t xml:space="preserve">The 2016 Federal Election: Interim Report on the authorisation of voter communication </w:t>
      </w:r>
      <w:r w:rsidRPr="00790760">
        <w:rPr>
          <w:rFonts w:ascii="Times New Roman" w:hAnsi="Times New Roman"/>
          <w:sz w:val="24"/>
        </w:rPr>
        <w:t>(2016), especially at 19-23 [2.66]</w:t>
      </w:r>
      <w:r w:rsidRPr="00790760">
        <w:rPr>
          <w:rFonts w:ascii="Times New Roman" w:hAnsi="Times New Roman"/>
          <w:sz w:val="24"/>
        </w:rPr>
        <w:noBreakHyphen/>
        <w:t xml:space="preserve">[2.90]; Australia, House of Representatives, </w:t>
      </w:r>
      <w:r w:rsidRPr="00790760">
        <w:rPr>
          <w:rFonts w:ascii="Times New Roman" w:hAnsi="Times New Roman"/>
          <w:i/>
          <w:iCs/>
          <w:sz w:val="24"/>
        </w:rPr>
        <w:t xml:space="preserve">Parliamentary Debates </w:t>
      </w:r>
      <w:r w:rsidRPr="00790760">
        <w:rPr>
          <w:rFonts w:ascii="Times New Roman" w:hAnsi="Times New Roman"/>
          <w:sz w:val="24"/>
        </w:rPr>
        <w:t>(Hansard), 30 March 2017 at 3793</w:t>
      </w:r>
      <w:r w:rsidRPr="00790760">
        <w:rPr>
          <w:rFonts w:ascii="Times New Roman" w:hAnsi="Times New Roman"/>
          <w:sz w:val="24"/>
        </w:rPr>
        <w:noBreakHyphen/>
        <w:t xml:space="preserve">3795; Australia, Senate, </w:t>
      </w:r>
      <w:r w:rsidRPr="00790760">
        <w:rPr>
          <w:rFonts w:ascii="Times New Roman" w:hAnsi="Times New Roman"/>
          <w:i/>
          <w:iCs/>
          <w:sz w:val="24"/>
        </w:rPr>
        <w:t>Electoral and Other Legislation Amendment Bill 2017</w:t>
      </w:r>
      <w:r w:rsidRPr="00790760">
        <w:rPr>
          <w:rFonts w:ascii="Times New Roman" w:hAnsi="Times New Roman"/>
          <w:sz w:val="24"/>
        </w:rPr>
        <w:t>, Revised Explanatory Memorandum</w:t>
      </w:r>
      <w:r w:rsidRPr="00790760">
        <w:rPr>
          <w:rFonts w:ascii="Times New Roman" w:hAnsi="Times New Roman"/>
          <w:i/>
          <w:iCs/>
          <w:sz w:val="24"/>
        </w:rPr>
        <w:t xml:space="preserve"> </w:t>
      </w:r>
      <w:r w:rsidRPr="00790760">
        <w:rPr>
          <w:rFonts w:ascii="Times New Roman" w:hAnsi="Times New Roman"/>
          <w:sz w:val="24"/>
        </w:rPr>
        <w:t>at 2 [1], [4], 16 [48].</w:t>
      </w:r>
    </w:p>
  </w:footnote>
  <w:footnote w:id="42">
    <w:p w14:paraId="303828E9"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 xml:space="preserve">Inserted by the </w:t>
      </w:r>
      <w:r w:rsidRPr="00790760">
        <w:rPr>
          <w:rFonts w:ascii="Times New Roman" w:hAnsi="Times New Roman"/>
          <w:i/>
          <w:iCs/>
          <w:sz w:val="24"/>
        </w:rPr>
        <w:t xml:space="preserve">Electoral and Other Legislation Amendment Act 2017 </w:t>
      </w:r>
      <w:r w:rsidRPr="00790760">
        <w:rPr>
          <w:rFonts w:ascii="Times New Roman" w:hAnsi="Times New Roman"/>
          <w:sz w:val="24"/>
        </w:rPr>
        <w:t>(Cth).</w:t>
      </w:r>
    </w:p>
  </w:footnote>
  <w:footnote w:id="43">
    <w:p w14:paraId="75863E3F"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Electoral Act, s 328, as in force on 1 July 2016.</w:t>
      </w:r>
    </w:p>
  </w:footnote>
  <w:footnote w:id="44">
    <w:p w14:paraId="3A0EDB4B"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Electoral Act, s 328A, as in force on 1 July 2016.</w:t>
      </w:r>
    </w:p>
  </w:footnote>
  <w:footnote w:id="45">
    <w:p w14:paraId="66FF8F01"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Electoral Act, s 328B, as in force on 1 July 2016.</w:t>
      </w:r>
    </w:p>
  </w:footnote>
  <w:footnote w:id="46">
    <w:p w14:paraId="751E137E"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Electoral Act, s 331, as in force on 1 July 2016.</w:t>
      </w:r>
    </w:p>
  </w:footnote>
  <w:footnote w:id="47">
    <w:p w14:paraId="1DDECBD3"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 xml:space="preserve">Australia, Joint Standing Committee on Electoral Matters, </w:t>
      </w:r>
      <w:r w:rsidRPr="00790760">
        <w:rPr>
          <w:rFonts w:ascii="Times New Roman" w:hAnsi="Times New Roman"/>
          <w:i/>
          <w:iCs/>
          <w:sz w:val="24"/>
        </w:rPr>
        <w:t xml:space="preserve">The 2016 Federal Election: Interim Report on the authorisation of voter communication </w:t>
      </w:r>
      <w:r w:rsidRPr="00790760">
        <w:rPr>
          <w:rFonts w:ascii="Times New Roman" w:hAnsi="Times New Roman"/>
          <w:sz w:val="24"/>
        </w:rPr>
        <w:t>(2016) at</w:t>
      </w:r>
      <w:r>
        <w:rPr>
          <w:rFonts w:ascii="Times New Roman" w:hAnsi="Times New Roman"/>
          <w:sz w:val="24"/>
        </w:rPr>
        <w:t> </w:t>
      </w:r>
      <w:r w:rsidRPr="00790760">
        <w:rPr>
          <w:rFonts w:ascii="Times New Roman" w:hAnsi="Times New Roman"/>
          <w:sz w:val="24"/>
        </w:rPr>
        <w:t>20</w:t>
      </w:r>
      <w:r>
        <w:rPr>
          <w:rFonts w:ascii="Times New Roman" w:hAnsi="Times New Roman"/>
          <w:sz w:val="24"/>
        </w:rPr>
        <w:t> </w:t>
      </w:r>
      <w:r w:rsidRPr="00790760">
        <w:rPr>
          <w:rFonts w:ascii="Times New Roman" w:hAnsi="Times New Roman"/>
          <w:sz w:val="24"/>
        </w:rPr>
        <w:t>[2.72].</w:t>
      </w:r>
    </w:p>
  </w:footnote>
  <w:footnote w:id="48">
    <w:p w14:paraId="073E2BA8"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 xml:space="preserve">Australia, Joint Standing Committee on Electoral Matters, </w:t>
      </w:r>
      <w:r w:rsidRPr="00790760">
        <w:rPr>
          <w:rFonts w:ascii="Times New Roman" w:hAnsi="Times New Roman"/>
          <w:i/>
          <w:iCs/>
          <w:sz w:val="24"/>
        </w:rPr>
        <w:t xml:space="preserve">The 2016 Federal Election: Interim Report on the authorisation of voter communication </w:t>
      </w:r>
      <w:r w:rsidRPr="00790760">
        <w:rPr>
          <w:rFonts w:ascii="Times New Roman" w:hAnsi="Times New Roman"/>
          <w:sz w:val="24"/>
        </w:rPr>
        <w:t>(2016) at</w:t>
      </w:r>
      <w:r>
        <w:rPr>
          <w:rFonts w:ascii="Times New Roman" w:hAnsi="Times New Roman"/>
          <w:sz w:val="24"/>
        </w:rPr>
        <w:t> </w:t>
      </w:r>
      <w:r w:rsidRPr="00790760">
        <w:rPr>
          <w:rFonts w:ascii="Times New Roman" w:hAnsi="Times New Roman"/>
          <w:sz w:val="24"/>
        </w:rPr>
        <w:t>7</w:t>
      </w:r>
      <w:r>
        <w:rPr>
          <w:rFonts w:ascii="Times New Roman" w:hAnsi="Times New Roman"/>
          <w:sz w:val="24"/>
        </w:rPr>
        <w:t> </w:t>
      </w:r>
      <w:r w:rsidRPr="00790760">
        <w:rPr>
          <w:rFonts w:ascii="Times New Roman" w:hAnsi="Times New Roman"/>
          <w:sz w:val="24"/>
        </w:rPr>
        <w:t>[2.1].</w:t>
      </w:r>
    </w:p>
  </w:footnote>
  <w:footnote w:id="49">
    <w:p w14:paraId="771D82E0" w14:textId="77777777" w:rsidR="0012516B" w:rsidRPr="00790760" w:rsidRDefault="0012516B" w:rsidP="00790760">
      <w:pPr>
        <w:pStyle w:val="FootnoteText"/>
        <w:spacing w:line="280" w:lineRule="exact"/>
        <w:ind w:right="0"/>
        <w:jc w:val="both"/>
        <w:rPr>
          <w:rFonts w:ascii="Times New Roman" w:hAnsi="Times New Roman"/>
          <w:sz w:val="24"/>
        </w:rPr>
      </w:pPr>
      <w:r w:rsidRPr="00790760">
        <w:rPr>
          <w:rStyle w:val="FootnoteReference"/>
          <w:rFonts w:ascii="Times New Roman" w:hAnsi="Times New Roman"/>
          <w:sz w:val="22"/>
          <w:vertAlign w:val="baseline"/>
        </w:rPr>
        <w:footnoteRef/>
      </w:r>
      <w:r w:rsidRPr="00790760">
        <w:rPr>
          <w:rFonts w:ascii="Times New Roman" w:hAnsi="Times New Roman"/>
          <w:sz w:val="24"/>
        </w:rPr>
        <w:t xml:space="preserve"> </w:t>
      </w:r>
      <w:r w:rsidRPr="00790760">
        <w:rPr>
          <w:rFonts w:ascii="Times New Roman" w:hAnsi="Times New Roman"/>
          <w:sz w:val="24"/>
        </w:rPr>
        <w:tab/>
        <w:t xml:space="preserve">Australia, Joint Standing Committee on Electoral Matters, </w:t>
      </w:r>
      <w:r w:rsidRPr="00790760">
        <w:rPr>
          <w:rFonts w:ascii="Times New Roman" w:hAnsi="Times New Roman"/>
          <w:i/>
          <w:iCs/>
          <w:sz w:val="24"/>
        </w:rPr>
        <w:t xml:space="preserve">The 2016 Federal Election: Interim Report on the authorisation of voter communication </w:t>
      </w:r>
      <w:r w:rsidRPr="00790760">
        <w:rPr>
          <w:rFonts w:ascii="Times New Roman" w:hAnsi="Times New Roman"/>
          <w:sz w:val="24"/>
        </w:rPr>
        <w:t>(2016) at</w:t>
      </w:r>
      <w:r>
        <w:rPr>
          <w:rFonts w:ascii="Times New Roman" w:hAnsi="Times New Roman"/>
          <w:sz w:val="24"/>
        </w:rPr>
        <w:t> </w:t>
      </w:r>
      <w:r w:rsidRPr="00790760">
        <w:rPr>
          <w:rFonts w:ascii="Times New Roman" w:hAnsi="Times New Roman"/>
          <w:sz w:val="24"/>
        </w:rPr>
        <w:t>9</w:t>
      </w:r>
      <w:r>
        <w:rPr>
          <w:rFonts w:ascii="Times New Roman" w:hAnsi="Times New Roman"/>
          <w:sz w:val="24"/>
        </w:rPr>
        <w:t> </w:t>
      </w:r>
      <w:r w:rsidRPr="00790760">
        <w:rPr>
          <w:rFonts w:ascii="Times New Roman" w:hAnsi="Times New Roman"/>
          <w:sz w:val="24"/>
        </w:rPr>
        <w:t>[2.14] and 22 [2.87].</w:t>
      </w:r>
    </w:p>
  </w:footnote>
  <w:footnote w:id="50">
    <w:p w14:paraId="515E594E"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Commonwealth Electoral Act 1902 </w:t>
      </w:r>
      <w:r w:rsidRPr="004F7959">
        <w:rPr>
          <w:rFonts w:ascii="Times New Roman" w:hAnsi="Times New Roman"/>
          <w:sz w:val="24"/>
        </w:rPr>
        <w:t xml:space="preserve">(Cth), s 180(a); from 1918 to February 1984: </w:t>
      </w:r>
      <w:r w:rsidRPr="004F7959">
        <w:rPr>
          <w:rFonts w:ascii="Times New Roman" w:hAnsi="Times New Roman"/>
          <w:i/>
          <w:iCs/>
          <w:sz w:val="24"/>
        </w:rPr>
        <w:t xml:space="preserve">Commonwealth Electoral Act 1918 </w:t>
      </w:r>
      <w:r w:rsidRPr="004F7959">
        <w:rPr>
          <w:rFonts w:ascii="Times New Roman" w:hAnsi="Times New Roman"/>
          <w:sz w:val="24"/>
        </w:rPr>
        <w:t xml:space="preserve">(Cth), s 161(a); from February 1984 to 2018: </w:t>
      </w:r>
      <w:r w:rsidRPr="004F7959">
        <w:rPr>
          <w:rFonts w:ascii="Times New Roman" w:hAnsi="Times New Roman"/>
          <w:i/>
          <w:iCs/>
          <w:sz w:val="24"/>
        </w:rPr>
        <w:t xml:space="preserve">Commonwealth Electoral Act 1918 </w:t>
      </w:r>
      <w:r w:rsidRPr="004F7959">
        <w:rPr>
          <w:rFonts w:ascii="Times New Roman" w:hAnsi="Times New Roman"/>
          <w:sz w:val="24"/>
        </w:rPr>
        <w:t xml:space="preserve">(Cth), s 160(1)(a), later renumbered s 328(1)(a) by the </w:t>
      </w:r>
      <w:r w:rsidRPr="004F7959">
        <w:rPr>
          <w:rFonts w:ascii="Times New Roman" w:hAnsi="Times New Roman"/>
          <w:i/>
          <w:iCs/>
          <w:sz w:val="24"/>
        </w:rPr>
        <w:t>Commonwealth Electoral Legislation Amendment Act 198</w:t>
      </w:r>
      <w:r w:rsidRPr="004F7959">
        <w:rPr>
          <w:rFonts w:ascii="Times New Roman" w:hAnsi="Times New Roman"/>
          <w:i/>
          <w:sz w:val="24"/>
        </w:rPr>
        <w:t>4</w:t>
      </w:r>
      <w:r w:rsidRPr="004F7959">
        <w:rPr>
          <w:rFonts w:ascii="Times New Roman" w:hAnsi="Times New Roman"/>
          <w:i/>
          <w:iCs/>
          <w:sz w:val="24"/>
        </w:rPr>
        <w:t xml:space="preserve"> </w:t>
      </w:r>
      <w:r w:rsidRPr="004F7959">
        <w:rPr>
          <w:rFonts w:ascii="Times New Roman" w:hAnsi="Times New Roman"/>
          <w:sz w:val="24"/>
        </w:rPr>
        <w:t>(Cth).</w:t>
      </w:r>
    </w:p>
  </w:footnote>
  <w:footnote w:id="51">
    <w:p w14:paraId="2B94E997"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Australia, Joint Standing Committee on Electoral Matters, </w:t>
      </w:r>
      <w:r w:rsidRPr="004F7959">
        <w:rPr>
          <w:rFonts w:ascii="Times New Roman" w:hAnsi="Times New Roman"/>
          <w:i/>
          <w:iCs/>
          <w:sz w:val="24"/>
        </w:rPr>
        <w:t>The 2016 Federal Election: Interim Report on the authorisation of voter communication</w:t>
      </w:r>
      <w:r w:rsidRPr="004F7959">
        <w:rPr>
          <w:rFonts w:ascii="Times New Roman" w:hAnsi="Times New Roman"/>
          <w:sz w:val="24"/>
        </w:rPr>
        <w:t xml:space="preserve"> (2016) at 7 [2.2], 9 [2.14].</w:t>
      </w:r>
    </w:p>
  </w:footnote>
  <w:footnote w:id="52">
    <w:p w14:paraId="0AD2210C"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Australia, House of Representatives, </w:t>
      </w:r>
      <w:r w:rsidRPr="004F7959">
        <w:rPr>
          <w:rFonts w:ascii="Times New Roman" w:hAnsi="Times New Roman"/>
          <w:i/>
          <w:iCs/>
          <w:sz w:val="24"/>
        </w:rPr>
        <w:t xml:space="preserve">Parliamentary Debates </w:t>
      </w:r>
      <w:r w:rsidRPr="004F7959">
        <w:rPr>
          <w:rFonts w:ascii="Times New Roman" w:hAnsi="Times New Roman"/>
          <w:sz w:val="24"/>
        </w:rPr>
        <w:t>(Hansard), 30 March 2017 at 3793.</w:t>
      </w:r>
    </w:p>
  </w:footnote>
  <w:footnote w:id="53">
    <w:p w14:paraId="3A4A7F02"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Commonwealth Electoral Act 1918 </w:t>
      </w:r>
      <w:r w:rsidRPr="004F7959">
        <w:rPr>
          <w:rFonts w:ascii="Times New Roman" w:hAnsi="Times New Roman"/>
          <w:sz w:val="24"/>
        </w:rPr>
        <w:t xml:space="preserve">(Cth), s 321D(1) note 2. </w:t>
      </w:r>
    </w:p>
  </w:footnote>
  <w:footnote w:id="54">
    <w:p w14:paraId="56F74BAA"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Commonwealth Electoral Act</w:t>
      </w:r>
      <w:r w:rsidRPr="004F7959">
        <w:rPr>
          <w:rFonts w:ascii="Times New Roman" w:hAnsi="Times New Roman"/>
          <w:sz w:val="24"/>
        </w:rPr>
        <w:t xml:space="preserve">, s 4AA(1). </w:t>
      </w:r>
    </w:p>
  </w:footnote>
  <w:footnote w:id="55">
    <w:p w14:paraId="681E8DB9"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Electoral Commissioner of the Australian Electoral Commission v Laming [No 2] </w:t>
      </w:r>
      <w:r w:rsidRPr="004F7959">
        <w:rPr>
          <w:rFonts w:ascii="Times New Roman" w:hAnsi="Times New Roman"/>
          <w:sz w:val="24"/>
        </w:rPr>
        <w:t>[2023] FCA 917 at [67].</w:t>
      </w:r>
    </w:p>
  </w:footnote>
  <w:footnote w:id="56">
    <w:p w14:paraId="772FF1A8"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Electoral Commissioner of the Australian Electoral Commission v Laming [No 2] </w:t>
      </w:r>
      <w:r w:rsidRPr="004F7959">
        <w:rPr>
          <w:rFonts w:ascii="Times New Roman" w:hAnsi="Times New Roman"/>
          <w:sz w:val="24"/>
        </w:rPr>
        <w:t>[2023] FCA 917 at [160].</w:t>
      </w:r>
    </w:p>
  </w:footnote>
  <w:footnote w:id="57">
    <w:p w14:paraId="0556B91D"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Electoral Commissioner of the Australian Electoral Commission v Laming [No 2] </w:t>
      </w:r>
      <w:r w:rsidRPr="004F7959">
        <w:rPr>
          <w:rFonts w:ascii="Times New Roman" w:hAnsi="Times New Roman"/>
          <w:sz w:val="24"/>
        </w:rPr>
        <w:t xml:space="preserve">[2023] FCA 917 at [65]. </w:t>
      </w:r>
    </w:p>
  </w:footnote>
  <w:footnote w:id="58">
    <w:p w14:paraId="6B084368"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Commonwealth Electoral Act 1918 </w:t>
      </w:r>
      <w:r w:rsidRPr="004F7959">
        <w:rPr>
          <w:rFonts w:ascii="Times New Roman" w:hAnsi="Times New Roman"/>
          <w:sz w:val="24"/>
        </w:rPr>
        <w:t xml:space="preserve">(Cth), s 161(a) (as made); </w:t>
      </w:r>
      <w:r w:rsidRPr="004F7959">
        <w:rPr>
          <w:rFonts w:ascii="Times New Roman" w:hAnsi="Times New Roman"/>
          <w:i/>
          <w:iCs/>
          <w:sz w:val="24"/>
        </w:rPr>
        <w:t xml:space="preserve">Commonwealth Electoral Legislation Amendment Act 1983 </w:t>
      </w:r>
      <w:r w:rsidRPr="004F7959">
        <w:rPr>
          <w:rFonts w:ascii="Times New Roman" w:hAnsi="Times New Roman"/>
          <w:sz w:val="24"/>
        </w:rPr>
        <w:t xml:space="preserve">(Cth), s 114, inserting s 160(1)(a) into the </w:t>
      </w:r>
      <w:r w:rsidRPr="004F7959">
        <w:rPr>
          <w:rFonts w:ascii="Times New Roman" w:hAnsi="Times New Roman"/>
          <w:i/>
          <w:iCs/>
          <w:sz w:val="24"/>
        </w:rPr>
        <w:t xml:space="preserve">Commonwealth Electoral Act 1918 </w:t>
      </w:r>
      <w:r w:rsidRPr="004F7959">
        <w:rPr>
          <w:rFonts w:ascii="Times New Roman" w:hAnsi="Times New Roman"/>
          <w:sz w:val="24"/>
        </w:rPr>
        <w:t xml:space="preserve">(Cth), renumbered s 328(1)(a) by the </w:t>
      </w:r>
      <w:r w:rsidRPr="004F7959">
        <w:rPr>
          <w:rFonts w:ascii="Times New Roman" w:hAnsi="Times New Roman"/>
          <w:i/>
          <w:iCs/>
          <w:sz w:val="24"/>
        </w:rPr>
        <w:t xml:space="preserve">Commonwealth Electoral Legislation Amendment Act 1984 </w:t>
      </w:r>
      <w:r w:rsidRPr="004F7959">
        <w:rPr>
          <w:rFonts w:ascii="Times New Roman" w:hAnsi="Times New Roman"/>
          <w:sz w:val="24"/>
        </w:rPr>
        <w:t>(Cth), s 5.</w:t>
      </w:r>
    </w:p>
  </w:footnote>
  <w:footnote w:id="59">
    <w:p w14:paraId="370EDDA0"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Commonwealth Electoral Legislation Amendment Act 1983 </w:t>
      </w:r>
      <w:r w:rsidRPr="004F7959">
        <w:rPr>
          <w:rFonts w:ascii="Times New Roman" w:hAnsi="Times New Roman"/>
          <w:sz w:val="24"/>
        </w:rPr>
        <w:t xml:space="preserve">(Cth), s 114, inserting s 160(1)(a) into the </w:t>
      </w:r>
      <w:r w:rsidRPr="004F7959">
        <w:rPr>
          <w:rFonts w:ascii="Times New Roman" w:hAnsi="Times New Roman"/>
          <w:i/>
          <w:sz w:val="24"/>
        </w:rPr>
        <w:t xml:space="preserve">Commonwealth Electoral Act 1918 </w:t>
      </w:r>
      <w:r w:rsidRPr="004F7959">
        <w:rPr>
          <w:rFonts w:ascii="Times New Roman" w:hAnsi="Times New Roman"/>
          <w:sz w:val="24"/>
        </w:rPr>
        <w:t xml:space="preserve">(Cth), renumbered s 328(1)(a) by </w:t>
      </w:r>
      <w:r w:rsidRPr="004F7959">
        <w:rPr>
          <w:rFonts w:ascii="Times New Roman" w:hAnsi="Times New Roman"/>
          <w:i/>
          <w:iCs/>
          <w:sz w:val="24"/>
        </w:rPr>
        <w:t xml:space="preserve">Commonwealth Electoral Legislation Amendment Act 1984 </w:t>
      </w:r>
      <w:r w:rsidRPr="004F7959">
        <w:rPr>
          <w:rFonts w:ascii="Times New Roman" w:hAnsi="Times New Roman"/>
          <w:sz w:val="24"/>
        </w:rPr>
        <w:t>(Cth), s 5.</w:t>
      </w:r>
    </w:p>
  </w:footnote>
  <w:footnote w:id="60">
    <w:p w14:paraId="50590BE1" w14:textId="77777777" w:rsidR="0012516B" w:rsidRPr="004F7959" w:rsidRDefault="0012516B" w:rsidP="004F7959">
      <w:pPr>
        <w:pStyle w:val="FootnoteText"/>
        <w:spacing w:line="280" w:lineRule="exact"/>
        <w:ind w:right="0"/>
        <w:jc w:val="both"/>
        <w:rPr>
          <w:rFonts w:ascii="Times New Roman" w:hAnsi="Times New Roman"/>
          <w:i/>
          <w:iCs/>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Electoral and Referendum Amendment (Electoral Integrity and Other Measures) Act 2006 </w:t>
      </w:r>
      <w:r w:rsidRPr="004F7959">
        <w:rPr>
          <w:rFonts w:ascii="Times New Roman" w:hAnsi="Times New Roman"/>
          <w:sz w:val="24"/>
        </w:rPr>
        <w:t>(Cth), s 3, Sch 1, item 87.</w:t>
      </w:r>
    </w:p>
  </w:footnote>
  <w:footnote w:id="61">
    <w:p w14:paraId="03299EE5"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(1912) 15 CLR 355. </w:t>
      </w:r>
    </w:p>
  </w:footnote>
  <w:footnote w:id="62">
    <w:p w14:paraId="6EC156BC"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Smith v Oldham </w:t>
      </w:r>
      <w:r w:rsidRPr="004F7959">
        <w:rPr>
          <w:rFonts w:ascii="Times New Roman" w:hAnsi="Times New Roman"/>
          <w:sz w:val="24"/>
        </w:rPr>
        <w:t>(1912) 15 CLR 355 at 358.</w:t>
      </w:r>
    </w:p>
  </w:footnote>
  <w:footnote w:id="63">
    <w:p w14:paraId="0A295633"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Smith v Oldham </w:t>
      </w:r>
      <w:r w:rsidRPr="004F7959">
        <w:rPr>
          <w:rFonts w:ascii="Times New Roman" w:hAnsi="Times New Roman"/>
          <w:sz w:val="24"/>
        </w:rPr>
        <w:t>(1912) 15 CLR 355 at 358.</w:t>
      </w:r>
    </w:p>
  </w:footnote>
  <w:footnote w:id="64">
    <w:p w14:paraId="6EDC9C4B"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Smith v Oldham </w:t>
      </w:r>
      <w:r w:rsidRPr="004F7959">
        <w:rPr>
          <w:rFonts w:ascii="Times New Roman" w:hAnsi="Times New Roman"/>
          <w:sz w:val="24"/>
        </w:rPr>
        <w:t>(1912) 15 CLR 355 at 362.</w:t>
      </w:r>
    </w:p>
  </w:footnote>
  <w:footnote w:id="65">
    <w:p w14:paraId="2064EB2D"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Dow Jones &amp; Co Inc v Gutnick </w:t>
      </w:r>
      <w:r w:rsidRPr="004F7959">
        <w:rPr>
          <w:rFonts w:ascii="Times New Roman" w:hAnsi="Times New Roman"/>
          <w:sz w:val="24"/>
        </w:rPr>
        <w:t xml:space="preserve">(2002) 210 CLR 575 at 600 [27], referring to </w:t>
      </w:r>
      <w:r w:rsidRPr="004F7959">
        <w:rPr>
          <w:rFonts w:ascii="Times New Roman" w:hAnsi="Times New Roman"/>
          <w:i/>
          <w:iCs/>
          <w:sz w:val="24"/>
        </w:rPr>
        <w:t xml:space="preserve">Duke of Brunswick v Harmer </w:t>
      </w:r>
      <w:r w:rsidRPr="004F7959">
        <w:rPr>
          <w:rFonts w:ascii="Times New Roman" w:hAnsi="Times New Roman"/>
          <w:sz w:val="24"/>
        </w:rPr>
        <w:t xml:space="preserve">(1849) 14 QB 185 [117 ER 75]; </w:t>
      </w:r>
      <w:r w:rsidRPr="004F7959">
        <w:rPr>
          <w:rFonts w:ascii="Times New Roman" w:hAnsi="Times New Roman"/>
          <w:i/>
          <w:iCs/>
          <w:sz w:val="24"/>
        </w:rPr>
        <w:t xml:space="preserve">McLean v David Syme &amp; Co Ltd </w:t>
      </w:r>
      <w:r w:rsidRPr="004F7959">
        <w:rPr>
          <w:rFonts w:ascii="Times New Roman" w:hAnsi="Times New Roman"/>
          <w:sz w:val="24"/>
        </w:rPr>
        <w:t>(1970) 72 SR (NSW) 513 at 519-520, 528.</w:t>
      </w:r>
    </w:p>
  </w:footnote>
  <w:footnote w:id="66">
    <w:p w14:paraId="5A9ECFA0"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Australia, Joint Standing Committee on Electoral Matters, </w:t>
      </w:r>
      <w:r w:rsidRPr="004F7959">
        <w:rPr>
          <w:rFonts w:ascii="Times New Roman" w:hAnsi="Times New Roman"/>
          <w:i/>
          <w:iCs/>
          <w:sz w:val="24"/>
        </w:rPr>
        <w:t>The 2016 Federal Election: Interim Report on the authorisation of voter communication</w:t>
      </w:r>
      <w:r w:rsidRPr="004F7959">
        <w:rPr>
          <w:rFonts w:ascii="Times New Roman" w:hAnsi="Times New Roman"/>
          <w:sz w:val="24"/>
        </w:rPr>
        <w:t xml:space="preserve"> (2016) at 7 [2.2].</w:t>
      </w:r>
    </w:p>
  </w:footnote>
  <w:footnote w:id="67">
    <w:p w14:paraId="19900265"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Australia, Joint Standing Committee on Electoral Matters, </w:t>
      </w:r>
      <w:r w:rsidRPr="004F7959">
        <w:rPr>
          <w:rFonts w:ascii="Times New Roman" w:hAnsi="Times New Roman"/>
          <w:i/>
          <w:iCs/>
          <w:sz w:val="24"/>
        </w:rPr>
        <w:t>The 2016 Federal Election: Interim Report on the authorisation of voter communication</w:t>
      </w:r>
      <w:r w:rsidRPr="004F7959">
        <w:rPr>
          <w:rFonts w:ascii="Times New Roman" w:hAnsi="Times New Roman"/>
          <w:sz w:val="24"/>
        </w:rPr>
        <w:t xml:space="preserve"> (2016) at 10 [2.18].</w:t>
      </w:r>
    </w:p>
  </w:footnote>
  <w:footnote w:id="68">
    <w:p w14:paraId="44B8AB4B"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Australia, Joint Standing Committee on Electoral Matters, </w:t>
      </w:r>
      <w:r w:rsidRPr="004F7959">
        <w:rPr>
          <w:rFonts w:ascii="Times New Roman" w:hAnsi="Times New Roman"/>
          <w:i/>
          <w:iCs/>
          <w:sz w:val="24"/>
        </w:rPr>
        <w:t>The 2016 Federal Election: Interim Report on the authorisation of voter communication</w:t>
      </w:r>
      <w:r w:rsidRPr="004F7959">
        <w:rPr>
          <w:rFonts w:ascii="Times New Roman" w:hAnsi="Times New Roman"/>
          <w:sz w:val="24"/>
        </w:rPr>
        <w:t xml:space="preserve"> (2016) at 23-25 [2.91]-[2.99].</w:t>
      </w:r>
    </w:p>
  </w:footnote>
  <w:footnote w:id="69">
    <w:p w14:paraId="7B902479"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Australia, Senate, </w:t>
      </w:r>
      <w:r w:rsidRPr="004F7959">
        <w:rPr>
          <w:rFonts w:ascii="Times New Roman" w:hAnsi="Times New Roman"/>
          <w:i/>
          <w:iCs/>
          <w:sz w:val="24"/>
        </w:rPr>
        <w:t>Electoral and Other Legislation Amendment Bill 2017</w:t>
      </w:r>
      <w:r w:rsidRPr="004F7959">
        <w:rPr>
          <w:rFonts w:ascii="Times New Roman" w:hAnsi="Times New Roman"/>
          <w:sz w:val="24"/>
        </w:rPr>
        <w:t>, Revised Explanatory Memorandum at 2 [2], [4].</w:t>
      </w:r>
    </w:p>
  </w:footnote>
  <w:footnote w:id="70">
    <w:p w14:paraId="63D43A0E"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Electoral and Other Legislation Amendment Act 2017 </w:t>
      </w:r>
      <w:r w:rsidRPr="004F7959">
        <w:rPr>
          <w:rFonts w:ascii="Times New Roman" w:hAnsi="Times New Roman"/>
          <w:sz w:val="24"/>
        </w:rPr>
        <w:t>(Cth), s 3, Sch 1, item 11.</w:t>
      </w:r>
    </w:p>
  </w:footnote>
  <w:footnote w:id="71">
    <w:p w14:paraId="5FC40DEA"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sz w:val="24"/>
        </w:rPr>
        <w:t xml:space="preserve">Electoral and Other Legislation Amendment Act 2017 </w:t>
      </w:r>
      <w:r w:rsidRPr="004F7959">
        <w:rPr>
          <w:rFonts w:ascii="Times New Roman" w:hAnsi="Times New Roman"/>
          <w:sz w:val="24"/>
        </w:rPr>
        <w:t>(Cth), s 3, Sch 1, item 10.</w:t>
      </w:r>
    </w:p>
  </w:footnote>
  <w:footnote w:id="72">
    <w:p w14:paraId="7F56BA3F"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Australia, Senate, </w:t>
      </w:r>
      <w:r w:rsidRPr="004F7959">
        <w:rPr>
          <w:rFonts w:ascii="Times New Roman" w:hAnsi="Times New Roman"/>
          <w:i/>
          <w:iCs/>
          <w:sz w:val="24"/>
        </w:rPr>
        <w:t>Electoral and Other Legislation Amendment Bill 2017</w:t>
      </w:r>
      <w:r w:rsidRPr="004F7959">
        <w:rPr>
          <w:rFonts w:ascii="Times New Roman" w:hAnsi="Times New Roman"/>
          <w:sz w:val="24"/>
        </w:rPr>
        <w:t>, Revised Explanatory Memorandum at 16 [48].</w:t>
      </w:r>
    </w:p>
  </w:footnote>
  <w:footnote w:id="73">
    <w:p w14:paraId="3D3406D6"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Australia, House of Representatives, </w:t>
      </w:r>
      <w:r w:rsidRPr="004F7959">
        <w:rPr>
          <w:rFonts w:ascii="Times New Roman" w:hAnsi="Times New Roman"/>
          <w:i/>
          <w:iCs/>
          <w:sz w:val="24"/>
        </w:rPr>
        <w:t xml:space="preserve">Parliamentary Debates </w:t>
      </w:r>
      <w:r w:rsidRPr="004F7959">
        <w:rPr>
          <w:rFonts w:ascii="Times New Roman" w:hAnsi="Times New Roman"/>
          <w:sz w:val="24"/>
        </w:rPr>
        <w:t>(Hansard), 30 March 2017 at 3793.</w:t>
      </w:r>
    </w:p>
  </w:footnote>
  <w:footnote w:id="74">
    <w:p w14:paraId="0FF714A4"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Australia, House of Representatives, </w:t>
      </w:r>
      <w:r w:rsidRPr="004F7959">
        <w:rPr>
          <w:rFonts w:ascii="Times New Roman" w:hAnsi="Times New Roman"/>
          <w:i/>
          <w:iCs/>
          <w:sz w:val="24"/>
        </w:rPr>
        <w:t xml:space="preserve">Parliamentary Debates </w:t>
      </w:r>
      <w:r w:rsidRPr="004F7959">
        <w:rPr>
          <w:rFonts w:ascii="Times New Roman" w:hAnsi="Times New Roman"/>
          <w:sz w:val="24"/>
        </w:rPr>
        <w:t>(Hansard), 30 March 2017 at 3792-3794.</w:t>
      </w:r>
    </w:p>
  </w:footnote>
  <w:footnote w:id="75">
    <w:p w14:paraId="14DF8357"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Australia, Senate, </w:t>
      </w:r>
      <w:r w:rsidRPr="004F7959">
        <w:rPr>
          <w:rFonts w:ascii="Times New Roman" w:hAnsi="Times New Roman"/>
          <w:i/>
          <w:iCs/>
          <w:sz w:val="24"/>
        </w:rPr>
        <w:t xml:space="preserve">Parliamentary Debates </w:t>
      </w:r>
      <w:r w:rsidRPr="004F7959">
        <w:rPr>
          <w:rFonts w:ascii="Times New Roman" w:hAnsi="Times New Roman"/>
          <w:sz w:val="24"/>
        </w:rPr>
        <w:t xml:space="preserve">(Hansard), 7 September 2017 at 6734. See also Australia, Joint Standing Committee on Electoral Matters, </w:t>
      </w:r>
      <w:r w:rsidRPr="004F7959">
        <w:rPr>
          <w:rFonts w:ascii="Times New Roman" w:hAnsi="Times New Roman"/>
          <w:i/>
          <w:iCs/>
          <w:sz w:val="24"/>
        </w:rPr>
        <w:t>The 2016 Federal Election: Interim Report on the authorisation of voter communication</w:t>
      </w:r>
      <w:r w:rsidRPr="004F7959">
        <w:rPr>
          <w:rFonts w:ascii="Times New Roman" w:hAnsi="Times New Roman"/>
          <w:sz w:val="24"/>
        </w:rPr>
        <w:t xml:space="preserve"> (2016) at v, 2 [1.6].</w:t>
      </w:r>
    </w:p>
  </w:footnote>
  <w:footnote w:id="76">
    <w:p w14:paraId="5DBE5714"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Commonwealth Electoral Act 1918 </w:t>
      </w:r>
      <w:r w:rsidRPr="004F7959">
        <w:rPr>
          <w:rFonts w:ascii="Times New Roman" w:hAnsi="Times New Roman"/>
          <w:sz w:val="24"/>
        </w:rPr>
        <w:t>(Cth), s 321D(1)(a). See also s 4AA.</w:t>
      </w:r>
    </w:p>
  </w:footnote>
  <w:footnote w:id="77">
    <w:p w14:paraId="6A1F7620"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Commonwealth Electoral Act 1918 </w:t>
      </w:r>
      <w:r w:rsidRPr="004F7959">
        <w:rPr>
          <w:rFonts w:ascii="Times New Roman" w:hAnsi="Times New Roman"/>
          <w:sz w:val="24"/>
        </w:rPr>
        <w:t xml:space="preserve">(Cth), s 321D(1)(b). </w:t>
      </w:r>
    </w:p>
  </w:footnote>
  <w:footnote w:id="78">
    <w:p w14:paraId="54039DFD"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See </w:t>
      </w:r>
      <w:r w:rsidRPr="004F7959">
        <w:rPr>
          <w:rFonts w:ascii="Times New Roman" w:hAnsi="Times New Roman"/>
          <w:i/>
          <w:iCs/>
          <w:sz w:val="24"/>
        </w:rPr>
        <w:t xml:space="preserve">Commonwealth Electoral Act 1918 </w:t>
      </w:r>
      <w:r w:rsidRPr="004F7959">
        <w:rPr>
          <w:rFonts w:ascii="Times New Roman" w:hAnsi="Times New Roman"/>
          <w:sz w:val="24"/>
        </w:rPr>
        <w:t>(Cth), s 4AA(3).</w:t>
      </w:r>
    </w:p>
  </w:footnote>
  <w:footnote w:id="79">
    <w:p w14:paraId="29D0D01F"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Commonwealth Electoral Act 1918 </w:t>
      </w:r>
      <w:r w:rsidRPr="004F7959">
        <w:rPr>
          <w:rFonts w:ascii="Times New Roman" w:hAnsi="Times New Roman"/>
          <w:sz w:val="24"/>
        </w:rPr>
        <w:t>(Cth), s 4AA(1).</w:t>
      </w:r>
    </w:p>
  </w:footnote>
  <w:footnote w:id="80">
    <w:p w14:paraId="4ACD0D9A"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Commonwealth Electoral Act 1918 </w:t>
      </w:r>
      <w:r w:rsidRPr="004F7959">
        <w:rPr>
          <w:rFonts w:ascii="Times New Roman" w:hAnsi="Times New Roman"/>
          <w:sz w:val="24"/>
        </w:rPr>
        <w:t>(Cth), s 321D(1)(c).</w:t>
      </w:r>
    </w:p>
  </w:footnote>
  <w:footnote w:id="81">
    <w:p w14:paraId="378FACB4"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sz w:val="24"/>
        </w:rPr>
        <w:t xml:space="preserve">Commonwealth Electoral Act 1918 </w:t>
      </w:r>
      <w:r w:rsidRPr="004F7959">
        <w:rPr>
          <w:rFonts w:ascii="Times New Roman" w:hAnsi="Times New Roman"/>
          <w:sz w:val="24"/>
        </w:rPr>
        <w:t>(Cth), s 321D(1) note 2.</w:t>
      </w:r>
    </w:p>
  </w:footnote>
  <w:footnote w:id="82">
    <w:p w14:paraId="1DE1547A"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Oxford English Dictionary</w:t>
      </w:r>
      <w:r w:rsidRPr="004F7959">
        <w:rPr>
          <w:rFonts w:ascii="Times New Roman" w:hAnsi="Times New Roman"/>
          <w:sz w:val="24"/>
        </w:rPr>
        <w:t>, 2nd ed (1989), vol 3 at 578, “communicate”, sense 4.</w:t>
      </w:r>
    </w:p>
  </w:footnote>
  <w:footnote w:id="83">
    <w:p w14:paraId="6872930D"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Macquarie Dictionary</w:t>
      </w:r>
      <w:r w:rsidRPr="004F7959">
        <w:rPr>
          <w:rFonts w:ascii="Times New Roman" w:hAnsi="Times New Roman"/>
          <w:sz w:val="24"/>
        </w:rPr>
        <w:t>, 9th ed (2023), vol 1 at 322, “communicate”, sense 1.</w:t>
      </w:r>
      <w:r w:rsidRPr="004F7959">
        <w:rPr>
          <w:rFonts w:ascii="Times New Roman" w:hAnsi="Times New Roman"/>
          <w:i/>
          <w:iCs/>
          <w:sz w:val="24"/>
        </w:rPr>
        <w:t xml:space="preserve"> </w:t>
      </w:r>
      <w:r w:rsidRPr="004F7959">
        <w:rPr>
          <w:rFonts w:ascii="Times New Roman" w:hAnsi="Times New Roman"/>
          <w:sz w:val="24"/>
        </w:rPr>
        <w:t xml:space="preserve">See also </w:t>
      </w:r>
      <w:r w:rsidRPr="004F7959">
        <w:rPr>
          <w:rFonts w:ascii="Times New Roman" w:hAnsi="Times New Roman"/>
          <w:i/>
          <w:sz w:val="24"/>
        </w:rPr>
        <w:t>Oxford English Dictionary</w:t>
      </w:r>
      <w:r w:rsidRPr="004F7959">
        <w:rPr>
          <w:rFonts w:ascii="Times New Roman" w:hAnsi="Times New Roman"/>
          <w:sz w:val="24"/>
        </w:rPr>
        <w:t>, 2nd ed (1989), vol 3 at 577, “communicate”, sense 1.</w:t>
      </w:r>
    </w:p>
  </w:footnote>
  <w:footnote w:id="84">
    <w:p w14:paraId="0E80458C"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Oxford English Dictionary</w:t>
      </w:r>
      <w:r w:rsidRPr="004F7959">
        <w:rPr>
          <w:rFonts w:ascii="Times New Roman" w:hAnsi="Times New Roman"/>
          <w:sz w:val="24"/>
        </w:rPr>
        <w:t xml:space="preserve">, 2nd ed (1989), vol 3 at 577, “communicate”, senses 1, 3a; </w:t>
      </w:r>
      <w:r w:rsidRPr="004F7959">
        <w:rPr>
          <w:rFonts w:ascii="Times New Roman" w:hAnsi="Times New Roman"/>
          <w:i/>
          <w:iCs/>
          <w:sz w:val="24"/>
        </w:rPr>
        <w:t>Macquarie Dictionary</w:t>
      </w:r>
      <w:r w:rsidRPr="004F7959">
        <w:rPr>
          <w:rFonts w:ascii="Times New Roman" w:hAnsi="Times New Roman"/>
          <w:sz w:val="24"/>
        </w:rPr>
        <w:t>, 9th ed (2023), vol 1 at 322, “communicate”, sense 1.</w:t>
      </w:r>
    </w:p>
  </w:footnote>
  <w:footnote w:id="85">
    <w:p w14:paraId="69F8CDF2"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Oxford English Dictionary</w:t>
      </w:r>
      <w:r w:rsidRPr="004F7959">
        <w:rPr>
          <w:rFonts w:ascii="Times New Roman" w:hAnsi="Times New Roman"/>
          <w:sz w:val="24"/>
        </w:rPr>
        <w:t xml:space="preserve">, 2nd ed (1989), vol 3 at 577, “communicate”, sense 1; </w:t>
      </w:r>
      <w:r w:rsidRPr="004F7959">
        <w:rPr>
          <w:rFonts w:ascii="Times New Roman" w:hAnsi="Times New Roman"/>
          <w:i/>
          <w:iCs/>
          <w:sz w:val="24"/>
        </w:rPr>
        <w:t>Macquarie Dictionary</w:t>
      </w:r>
      <w:r w:rsidRPr="004F7959">
        <w:rPr>
          <w:rFonts w:ascii="Times New Roman" w:hAnsi="Times New Roman"/>
          <w:sz w:val="24"/>
        </w:rPr>
        <w:t>, 9th ed (2023), vol 1 at 322, “communicate”, sense 1.</w:t>
      </w:r>
    </w:p>
  </w:footnote>
  <w:footnote w:id="86">
    <w:p w14:paraId="09019EB3"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Macquarie Dictionary</w:t>
      </w:r>
      <w:r w:rsidRPr="004F7959">
        <w:rPr>
          <w:rFonts w:ascii="Times New Roman" w:hAnsi="Times New Roman"/>
          <w:sz w:val="24"/>
        </w:rPr>
        <w:t>, 9th ed (2023), vol 1 at 322, “communicate”, sense 9.</w:t>
      </w:r>
    </w:p>
  </w:footnote>
  <w:footnote w:id="87">
    <w:p w14:paraId="1E31EE14"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Electoral Commissioner of the Australian Electoral Commission v Laming</w:t>
      </w:r>
      <w:r w:rsidRPr="004F7959">
        <w:rPr>
          <w:rFonts w:ascii="Times New Roman" w:hAnsi="Times New Roman"/>
          <w:sz w:val="24"/>
        </w:rPr>
        <w:t xml:space="preserve"> (2024) 304 FCR 561 at 565-566 [14]-[15], 570-571 [38], 584-585 [101], [105].</w:t>
      </w:r>
    </w:p>
  </w:footnote>
  <w:footnote w:id="88">
    <w:p w14:paraId="7C873FD1"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Fair Work Act 2009 </w:t>
      </w:r>
      <w:r w:rsidRPr="004F7959">
        <w:rPr>
          <w:rFonts w:ascii="Times New Roman" w:hAnsi="Times New Roman"/>
          <w:sz w:val="24"/>
        </w:rPr>
        <w:t xml:space="preserve">(Cth), s 546(1). </w:t>
      </w:r>
    </w:p>
  </w:footnote>
  <w:footnote w:id="89">
    <w:p w14:paraId="6BA82ADC"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 xml:space="preserve">The Commonwealth v Director, Fair Work Building Industry Inspectorate </w:t>
      </w:r>
      <w:r w:rsidRPr="004F7959">
        <w:rPr>
          <w:rFonts w:ascii="Times New Roman" w:hAnsi="Times New Roman"/>
          <w:sz w:val="24"/>
        </w:rPr>
        <w:t xml:space="preserve">(2015) 258 CLR 482 at 506 [55], quoting </w:t>
      </w:r>
      <w:r w:rsidRPr="004F7959">
        <w:rPr>
          <w:rFonts w:ascii="Times New Roman" w:hAnsi="Times New Roman"/>
          <w:i/>
          <w:sz w:val="24"/>
        </w:rPr>
        <w:t xml:space="preserve">Trade Practices Commission v CSR Ltd </w:t>
      </w:r>
      <w:r w:rsidRPr="004F7959">
        <w:rPr>
          <w:rFonts w:ascii="Times New Roman" w:hAnsi="Times New Roman"/>
          <w:sz w:val="24"/>
        </w:rPr>
        <w:t>(1991) ATPR ¶41-076</w:t>
      </w:r>
      <w:r w:rsidRPr="004F7959">
        <w:rPr>
          <w:rFonts w:ascii="Times New Roman" w:hAnsi="Times New Roman"/>
          <w:sz w:val="24"/>
          <w:szCs w:val="16"/>
        </w:rPr>
        <w:t xml:space="preserve"> </w:t>
      </w:r>
      <w:r w:rsidRPr="004F7959">
        <w:rPr>
          <w:rFonts w:ascii="Times New Roman" w:hAnsi="Times New Roman"/>
          <w:sz w:val="24"/>
        </w:rPr>
        <w:t xml:space="preserve">at 52,152; </w:t>
      </w:r>
      <w:r w:rsidRPr="004F7959">
        <w:rPr>
          <w:rFonts w:ascii="Times New Roman" w:hAnsi="Times New Roman"/>
          <w:i/>
          <w:iCs/>
          <w:sz w:val="24"/>
        </w:rPr>
        <w:t>Australian Building and Construction Commissioner v Construction, Forestry, Mining and Energy Union</w:t>
      </w:r>
      <w:r w:rsidRPr="004F7959">
        <w:rPr>
          <w:rFonts w:ascii="Times New Roman" w:hAnsi="Times New Roman"/>
          <w:sz w:val="24"/>
        </w:rPr>
        <w:t xml:space="preserve"> (2018) 262 CLR 157 at 195-196 [116].</w:t>
      </w:r>
    </w:p>
  </w:footnote>
  <w:footnote w:id="90">
    <w:p w14:paraId="2D813687"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(2022) 274 CLR 450 at 467 [39], 468 [42], 469 [44].</w:t>
      </w:r>
    </w:p>
  </w:footnote>
  <w:footnote w:id="91">
    <w:p w14:paraId="5115B594"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Compare </w:t>
      </w:r>
      <w:r w:rsidRPr="004F7959">
        <w:rPr>
          <w:rFonts w:ascii="Times New Roman" w:hAnsi="Times New Roman"/>
          <w:i/>
          <w:iCs/>
          <w:sz w:val="24"/>
        </w:rPr>
        <w:t>Australian Building and Construction Commissioner v Pattinson</w:t>
      </w:r>
      <w:r w:rsidRPr="004F7959">
        <w:rPr>
          <w:rFonts w:ascii="Times New Roman" w:hAnsi="Times New Roman"/>
          <w:sz w:val="24"/>
        </w:rPr>
        <w:t xml:space="preserve"> (2022) 274 CLR 450 at 478 [80], 481-482 [89]-[91].</w:t>
      </w:r>
    </w:p>
  </w:footnote>
  <w:footnote w:id="92">
    <w:p w14:paraId="48E3D51E"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sz w:val="24"/>
        </w:rPr>
        <w:t>Australian Building and Construction Commissioner v Pattinson</w:t>
      </w:r>
      <w:r w:rsidRPr="004F7959">
        <w:rPr>
          <w:rFonts w:ascii="Times New Roman" w:hAnsi="Times New Roman"/>
          <w:sz w:val="24"/>
        </w:rPr>
        <w:t xml:space="preserve"> (2022) 274 CLR 450 at 469-470 [45].</w:t>
      </w:r>
    </w:p>
  </w:footnote>
  <w:footnote w:id="93">
    <w:p w14:paraId="6773BE62"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Game and Palaniappan, "Proportionality by Another Name in the Imposition of Civil Penalties", in Kayis, Gluer and Walpole (eds), </w:t>
      </w:r>
      <w:r w:rsidRPr="004F7959">
        <w:rPr>
          <w:rFonts w:ascii="Times New Roman" w:hAnsi="Times New Roman"/>
          <w:i/>
          <w:iCs/>
          <w:sz w:val="24"/>
        </w:rPr>
        <w:t xml:space="preserve">The Law of Civil Penalties </w:t>
      </w:r>
      <w:r w:rsidRPr="004F7959">
        <w:rPr>
          <w:rFonts w:ascii="Times New Roman" w:hAnsi="Times New Roman"/>
          <w:sz w:val="24"/>
        </w:rPr>
        <w:t xml:space="preserve">(2023) 50 at 65. See also Boncardo and Bromberg, "Civil Penalties in Industrial Law", in Kayis, Gluer and Walpole (eds), </w:t>
      </w:r>
      <w:r w:rsidRPr="004F7959">
        <w:rPr>
          <w:rFonts w:ascii="Times New Roman" w:hAnsi="Times New Roman"/>
          <w:i/>
          <w:iCs/>
          <w:sz w:val="24"/>
        </w:rPr>
        <w:t xml:space="preserve">The Law of Civil Penalties </w:t>
      </w:r>
      <w:r w:rsidRPr="004F7959">
        <w:rPr>
          <w:rFonts w:ascii="Times New Roman" w:hAnsi="Times New Roman"/>
          <w:sz w:val="24"/>
        </w:rPr>
        <w:t xml:space="preserve">(2023) 261 at 275-276; Ramsay and Webster, "The Origins, Evolution and Merits of the Civil Penalty Regimes Enforced by ASIC" (2024) 40 </w:t>
      </w:r>
      <w:r w:rsidRPr="004F7959">
        <w:rPr>
          <w:rFonts w:ascii="Times New Roman" w:hAnsi="Times New Roman"/>
          <w:i/>
          <w:sz w:val="24"/>
        </w:rPr>
        <w:t xml:space="preserve">Company and Securities Law Journal </w:t>
      </w:r>
      <w:r w:rsidRPr="004F7959">
        <w:rPr>
          <w:rFonts w:ascii="Times New Roman" w:hAnsi="Times New Roman"/>
          <w:sz w:val="24"/>
        </w:rPr>
        <w:t xml:space="preserve">261 at 281. </w:t>
      </w:r>
    </w:p>
  </w:footnote>
  <w:footnote w:id="94">
    <w:p w14:paraId="5E5B9150"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See Muys and Fischbein, "Beyond all Proportion: High Court in ABCC v Pattinson Affirms Primacy of Deterrence in Fixing Civil Penalties" (2024) 32 </w:t>
      </w:r>
      <w:r w:rsidRPr="004F7959">
        <w:rPr>
          <w:rFonts w:ascii="Times New Roman" w:hAnsi="Times New Roman"/>
          <w:i/>
          <w:iCs/>
          <w:sz w:val="24"/>
        </w:rPr>
        <w:t xml:space="preserve">Australian Journal of Competition and Consumer Law </w:t>
      </w:r>
      <w:r w:rsidRPr="004F7959">
        <w:rPr>
          <w:rFonts w:ascii="Times New Roman" w:hAnsi="Times New Roman"/>
          <w:sz w:val="24"/>
        </w:rPr>
        <w:t>60 at 68.</w:t>
      </w:r>
    </w:p>
  </w:footnote>
  <w:footnote w:id="95">
    <w:p w14:paraId="79E2907C"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See, eg, Fisse, “Australian Cartel Law: Recent Developments – First Set of Two Sets” (2023) 51 </w:t>
      </w:r>
      <w:r w:rsidRPr="004F7959">
        <w:rPr>
          <w:rFonts w:ascii="Times New Roman" w:hAnsi="Times New Roman"/>
          <w:i/>
          <w:sz w:val="24"/>
        </w:rPr>
        <w:t>Australian Business Law Review</w:t>
      </w:r>
      <w:r w:rsidRPr="004F7959">
        <w:rPr>
          <w:rFonts w:ascii="Times New Roman" w:hAnsi="Times New Roman"/>
          <w:sz w:val="24"/>
        </w:rPr>
        <w:t xml:space="preserve"> 70 at 84-85.</w:t>
      </w:r>
    </w:p>
  </w:footnote>
  <w:footnote w:id="96">
    <w:p w14:paraId="03CDF0DE"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t xml:space="preserve">See, eg, Gleeson and Sharma, "Course of Conduct and Totality in Civil Penalties", in Kayis, Gluer and Walpole (eds), </w:t>
      </w:r>
      <w:r w:rsidRPr="004F7959">
        <w:rPr>
          <w:rFonts w:ascii="Times New Roman" w:hAnsi="Times New Roman"/>
          <w:i/>
          <w:iCs/>
          <w:sz w:val="24"/>
        </w:rPr>
        <w:t xml:space="preserve">The Law of Civil Penalties </w:t>
      </w:r>
      <w:r w:rsidRPr="004F7959">
        <w:rPr>
          <w:rFonts w:ascii="Times New Roman" w:hAnsi="Times New Roman"/>
          <w:sz w:val="24"/>
        </w:rPr>
        <w:t>(2023) 93 at 108.</w:t>
      </w:r>
    </w:p>
  </w:footnote>
  <w:footnote w:id="97">
    <w:p w14:paraId="0E9E2608" w14:textId="77777777" w:rsidR="0012516B" w:rsidRPr="004F7959" w:rsidRDefault="0012516B" w:rsidP="004F7959">
      <w:pPr>
        <w:pStyle w:val="FootnoteText"/>
        <w:spacing w:line="280" w:lineRule="exact"/>
        <w:ind w:right="0"/>
        <w:jc w:val="both"/>
        <w:rPr>
          <w:rFonts w:ascii="Times New Roman" w:hAnsi="Times New Roman"/>
          <w:sz w:val="24"/>
        </w:rPr>
      </w:pPr>
      <w:r w:rsidRPr="004F7959">
        <w:rPr>
          <w:rStyle w:val="FootnoteReference"/>
          <w:rFonts w:ascii="Times New Roman" w:hAnsi="Times New Roman"/>
          <w:sz w:val="22"/>
          <w:vertAlign w:val="baseline"/>
        </w:rPr>
        <w:footnoteRef/>
      </w:r>
      <w:r w:rsidRPr="004F7959">
        <w:rPr>
          <w:rFonts w:ascii="Times New Roman" w:hAnsi="Times New Roman"/>
          <w:sz w:val="24"/>
        </w:rPr>
        <w:t xml:space="preserve"> </w:t>
      </w:r>
      <w:r w:rsidRPr="004F7959">
        <w:rPr>
          <w:rFonts w:ascii="Times New Roman" w:hAnsi="Times New Roman"/>
          <w:sz w:val="24"/>
        </w:rPr>
        <w:tab/>
      </w:r>
      <w:r w:rsidRPr="004F7959">
        <w:rPr>
          <w:rFonts w:ascii="Times New Roman" w:hAnsi="Times New Roman"/>
          <w:i/>
          <w:iCs/>
          <w:sz w:val="24"/>
        </w:rPr>
        <w:t>Australian Building and Construction Commissioner v Pattinson</w:t>
      </w:r>
      <w:r w:rsidRPr="004F7959">
        <w:rPr>
          <w:rFonts w:ascii="Times New Roman" w:hAnsi="Times New Roman"/>
          <w:sz w:val="24"/>
        </w:rPr>
        <w:t xml:space="preserve"> (2022) 274 CLR 450 at 460 [17], quoting </w:t>
      </w:r>
      <w:r w:rsidRPr="004F7959">
        <w:rPr>
          <w:rFonts w:ascii="Times New Roman" w:hAnsi="Times New Roman"/>
          <w:i/>
          <w:iCs/>
          <w:sz w:val="24"/>
        </w:rPr>
        <w:t xml:space="preserve">Singtel Optus Pty Ltd v Australian Competition and Consumer Commission </w:t>
      </w:r>
      <w:r w:rsidRPr="004F7959">
        <w:rPr>
          <w:rFonts w:ascii="Times New Roman" w:hAnsi="Times New Roman"/>
          <w:sz w:val="24"/>
        </w:rPr>
        <w:t xml:space="preserve">(2012) 287 ALR 249 at 265 [62]. See also </w:t>
      </w:r>
      <w:r w:rsidRPr="004F7959">
        <w:rPr>
          <w:rFonts w:ascii="Times New Roman" w:hAnsi="Times New Roman"/>
          <w:i/>
          <w:iCs/>
          <w:sz w:val="24"/>
        </w:rPr>
        <w:t>Australian Competition and Consumer Commission v TPG Internet Pty Ltd</w:t>
      </w:r>
      <w:r w:rsidRPr="004F7959">
        <w:rPr>
          <w:rFonts w:ascii="Times New Roman" w:hAnsi="Times New Roman"/>
          <w:sz w:val="24"/>
        </w:rPr>
        <w:t xml:space="preserve"> (2013) 250 CLR 640 at 659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DBF7" w14:textId="77777777" w:rsidR="001526A9" w:rsidRPr="00A50746" w:rsidRDefault="001526A9" w:rsidP="00A507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A8EB" w14:textId="77777777" w:rsidR="0012516B" w:rsidRDefault="0012516B" w:rsidP="004F795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3CE1910" w14:textId="77777777" w:rsidR="0012516B" w:rsidRDefault="0012516B" w:rsidP="004F7959">
    <w:pPr>
      <w:pStyle w:val="Header"/>
      <w:tabs>
        <w:tab w:val="clear" w:pos="4153"/>
        <w:tab w:val="clear" w:pos="8306"/>
        <w:tab w:val="right" w:pos="1304"/>
      </w:tabs>
      <w:spacing w:line="280" w:lineRule="exact"/>
      <w:ind w:firstLine="0"/>
      <w:rPr>
        <w:rFonts w:ascii="Times New Roman" w:hAnsi="Times New Roman"/>
        <w:i/>
        <w:sz w:val="22"/>
      </w:rPr>
    </w:pPr>
  </w:p>
  <w:p w14:paraId="64A43E8C" w14:textId="77777777" w:rsidR="0012516B" w:rsidRDefault="0012516B" w:rsidP="004F795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C00627F" w14:textId="77777777" w:rsidR="0012516B" w:rsidRPr="004F7959" w:rsidRDefault="0012516B" w:rsidP="004F795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EF0B" w14:textId="77777777" w:rsidR="0012516B" w:rsidRDefault="0012516B" w:rsidP="004F795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5946E2F" w14:textId="77777777" w:rsidR="0012516B" w:rsidRDefault="0012516B" w:rsidP="004F7959">
    <w:pPr>
      <w:pStyle w:val="Header"/>
      <w:tabs>
        <w:tab w:val="clear" w:pos="4153"/>
        <w:tab w:val="clear" w:pos="8306"/>
        <w:tab w:val="left" w:pos="7200"/>
        <w:tab w:val="right" w:pos="8504"/>
      </w:tabs>
      <w:spacing w:line="280" w:lineRule="exact"/>
      <w:jc w:val="right"/>
      <w:rPr>
        <w:rFonts w:ascii="Times New Roman" w:hAnsi="Times New Roman"/>
        <w:i/>
        <w:sz w:val="22"/>
      </w:rPr>
    </w:pPr>
  </w:p>
  <w:p w14:paraId="3A53DE36" w14:textId="77777777" w:rsidR="0012516B" w:rsidRDefault="0012516B" w:rsidP="004F795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E808EFD" w14:textId="77777777" w:rsidR="0012516B" w:rsidRPr="004F7959" w:rsidRDefault="0012516B" w:rsidP="004F795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1B17" w14:textId="77777777" w:rsidR="0012516B" w:rsidRDefault="0012516B" w:rsidP="004F7959">
    <w:pPr>
      <w:pStyle w:val="Header"/>
      <w:tabs>
        <w:tab w:val="clear" w:pos="4153"/>
        <w:tab w:val="clear" w:pos="8306"/>
        <w:tab w:val="center" w:pos="1134"/>
      </w:tabs>
      <w:spacing w:line="280" w:lineRule="exact"/>
      <w:ind w:firstLine="0"/>
      <w:rPr>
        <w:rFonts w:ascii="Times New Roman" w:hAnsi="Times New Roman"/>
        <w:i/>
        <w:sz w:val="22"/>
      </w:rPr>
    </w:pPr>
  </w:p>
  <w:p w14:paraId="61C331F9" w14:textId="77777777" w:rsidR="0012516B" w:rsidRDefault="0012516B" w:rsidP="004F7959">
    <w:pPr>
      <w:pStyle w:val="Header"/>
      <w:tabs>
        <w:tab w:val="clear" w:pos="4153"/>
        <w:tab w:val="clear" w:pos="8306"/>
        <w:tab w:val="center" w:pos="1134"/>
      </w:tabs>
      <w:spacing w:line="280" w:lineRule="exact"/>
      <w:ind w:firstLine="0"/>
      <w:rPr>
        <w:rFonts w:ascii="Times New Roman" w:hAnsi="Times New Roman"/>
        <w:i/>
        <w:sz w:val="22"/>
      </w:rPr>
    </w:pPr>
  </w:p>
  <w:p w14:paraId="1860F799" w14:textId="77777777" w:rsidR="0012516B" w:rsidRDefault="0012516B" w:rsidP="004F7959">
    <w:pPr>
      <w:pStyle w:val="Header"/>
      <w:tabs>
        <w:tab w:val="clear" w:pos="4153"/>
        <w:tab w:val="clear" w:pos="8306"/>
        <w:tab w:val="center" w:pos="1134"/>
      </w:tabs>
      <w:spacing w:line="280" w:lineRule="exact"/>
      <w:ind w:firstLine="0"/>
      <w:rPr>
        <w:rFonts w:ascii="Times New Roman" w:hAnsi="Times New Roman"/>
        <w:i/>
        <w:sz w:val="22"/>
      </w:rPr>
    </w:pPr>
  </w:p>
  <w:p w14:paraId="5B076FC3" w14:textId="77777777" w:rsidR="0012516B" w:rsidRPr="004F7959" w:rsidRDefault="0012516B" w:rsidP="004F7959">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FF383" w14:textId="77777777" w:rsidR="0012516B" w:rsidRPr="0012516B" w:rsidRDefault="0012516B" w:rsidP="00125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7EF9" w14:textId="1049CDCD" w:rsidR="001526A9" w:rsidRPr="00A50746" w:rsidRDefault="00A50746" w:rsidP="00A5074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60468D">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60468D">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BA1C" w14:textId="504E27F2" w:rsidR="00C42226" w:rsidRPr="00A50746" w:rsidRDefault="00C42226" w:rsidP="00A507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B485" w14:textId="77777777" w:rsidR="00A50746" w:rsidRPr="001526A9" w:rsidRDefault="00A50746" w:rsidP="001526A9">
    <w:pPr>
      <w:pStyle w:val="Header"/>
      <w:tabs>
        <w:tab w:val="clear" w:pos="4153"/>
        <w:tab w:val="clear" w:pos="8306"/>
        <w:tab w:val="right" w:pos="1304"/>
      </w:tabs>
      <w:spacing w:line="280" w:lineRule="exact"/>
      <w:ind w:firstLine="0"/>
      <w:rPr>
        <w:rFonts w:ascii="Times New Roman" w:hAnsi="Times New Roman"/>
        <w:i/>
        <w:sz w:val="22"/>
      </w:rPr>
    </w:pPr>
    <w:proofErr w:type="spellStart"/>
    <w:r w:rsidRPr="001526A9">
      <w:rPr>
        <w:rFonts w:ascii="Times New Roman" w:hAnsi="Times New Roman"/>
        <w:i/>
        <w:sz w:val="22"/>
      </w:rPr>
      <w:t>Gageler</w:t>
    </w:r>
    <w:proofErr w:type="spellEnd"/>
    <w:r w:rsidRPr="001526A9">
      <w:rPr>
        <w:rFonts w:ascii="Times New Roman" w:hAnsi="Times New Roman"/>
        <w:i/>
        <w:sz w:val="22"/>
      </w:rPr>
      <w:tab/>
      <w:t>CJ</w:t>
    </w:r>
  </w:p>
  <w:p w14:paraId="68832CAE" w14:textId="77777777" w:rsidR="00A50746" w:rsidRPr="001526A9" w:rsidRDefault="00A50746" w:rsidP="001526A9">
    <w:pPr>
      <w:pStyle w:val="Header"/>
      <w:tabs>
        <w:tab w:val="clear" w:pos="4153"/>
        <w:tab w:val="clear" w:pos="8306"/>
        <w:tab w:val="right" w:pos="1304"/>
      </w:tabs>
      <w:spacing w:line="280" w:lineRule="exact"/>
      <w:ind w:firstLine="0"/>
      <w:rPr>
        <w:rFonts w:ascii="Times New Roman" w:hAnsi="Times New Roman"/>
        <w:i/>
        <w:sz w:val="22"/>
      </w:rPr>
    </w:pPr>
    <w:r w:rsidRPr="001526A9">
      <w:rPr>
        <w:rFonts w:ascii="Times New Roman" w:hAnsi="Times New Roman"/>
        <w:i/>
        <w:sz w:val="22"/>
      </w:rPr>
      <w:t>Gleeson</w:t>
    </w:r>
    <w:r w:rsidRPr="001526A9">
      <w:rPr>
        <w:rFonts w:ascii="Times New Roman" w:hAnsi="Times New Roman"/>
        <w:i/>
        <w:sz w:val="22"/>
      </w:rPr>
      <w:tab/>
      <w:t>J</w:t>
    </w:r>
  </w:p>
  <w:p w14:paraId="0B55EB4D" w14:textId="77777777" w:rsidR="00A50746" w:rsidRDefault="00A50746" w:rsidP="001526A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7A30A583" w14:textId="77777777" w:rsidR="00A50746" w:rsidRDefault="00A50746" w:rsidP="001526A9">
    <w:pPr>
      <w:pStyle w:val="Header"/>
      <w:tabs>
        <w:tab w:val="clear" w:pos="4153"/>
        <w:tab w:val="clear" w:pos="8306"/>
        <w:tab w:val="right" w:pos="1304"/>
      </w:tabs>
      <w:spacing w:line="280" w:lineRule="exact"/>
      <w:ind w:firstLine="0"/>
      <w:rPr>
        <w:rFonts w:ascii="Times New Roman" w:hAnsi="Times New Roman"/>
        <w:i/>
        <w:sz w:val="22"/>
      </w:rPr>
    </w:pPr>
  </w:p>
  <w:p w14:paraId="374A89CD" w14:textId="77777777" w:rsidR="00A50746" w:rsidRDefault="00A50746" w:rsidP="001526A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1955703" w14:textId="77777777" w:rsidR="00A50746" w:rsidRPr="001526A9" w:rsidRDefault="00A50746" w:rsidP="001526A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E6BF" w14:textId="77777777" w:rsidR="00A50746" w:rsidRPr="001526A9" w:rsidRDefault="00A50746" w:rsidP="001526A9">
    <w:pPr>
      <w:pStyle w:val="Header"/>
      <w:tabs>
        <w:tab w:val="clear" w:pos="4153"/>
        <w:tab w:val="clear" w:pos="8306"/>
        <w:tab w:val="left" w:pos="7200"/>
        <w:tab w:val="right" w:pos="8504"/>
      </w:tabs>
      <w:spacing w:line="280" w:lineRule="exact"/>
      <w:jc w:val="right"/>
      <w:rPr>
        <w:rFonts w:ascii="Times New Roman" w:hAnsi="Times New Roman"/>
        <w:i/>
        <w:sz w:val="22"/>
      </w:rPr>
    </w:pPr>
    <w:r w:rsidRPr="001526A9">
      <w:rPr>
        <w:rFonts w:ascii="Times New Roman" w:hAnsi="Times New Roman"/>
        <w:i/>
        <w:sz w:val="22"/>
      </w:rPr>
      <w:tab/>
    </w:r>
    <w:proofErr w:type="spellStart"/>
    <w:r w:rsidRPr="001526A9">
      <w:rPr>
        <w:rFonts w:ascii="Times New Roman" w:hAnsi="Times New Roman"/>
        <w:i/>
        <w:sz w:val="22"/>
      </w:rPr>
      <w:t>Gageler</w:t>
    </w:r>
    <w:proofErr w:type="spellEnd"/>
    <w:r w:rsidRPr="001526A9">
      <w:rPr>
        <w:rFonts w:ascii="Times New Roman" w:hAnsi="Times New Roman"/>
        <w:i/>
        <w:sz w:val="22"/>
      </w:rPr>
      <w:tab/>
      <w:t>CJ</w:t>
    </w:r>
  </w:p>
  <w:p w14:paraId="63831C34" w14:textId="77777777" w:rsidR="00A50746" w:rsidRPr="001526A9" w:rsidRDefault="00A50746" w:rsidP="001526A9">
    <w:pPr>
      <w:pStyle w:val="Header"/>
      <w:tabs>
        <w:tab w:val="clear" w:pos="4153"/>
        <w:tab w:val="clear" w:pos="8306"/>
        <w:tab w:val="left" w:pos="7200"/>
        <w:tab w:val="right" w:pos="8504"/>
      </w:tabs>
      <w:spacing w:line="280" w:lineRule="exact"/>
      <w:jc w:val="right"/>
      <w:rPr>
        <w:rFonts w:ascii="Times New Roman" w:hAnsi="Times New Roman"/>
        <w:i/>
        <w:sz w:val="22"/>
      </w:rPr>
    </w:pPr>
    <w:r w:rsidRPr="001526A9">
      <w:rPr>
        <w:rFonts w:ascii="Times New Roman" w:hAnsi="Times New Roman"/>
        <w:i/>
        <w:sz w:val="22"/>
      </w:rPr>
      <w:tab/>
      <w:t>Gleeson</w:t>
    </w:r>
    <w:r w:rsidRPr="001526A9">
      <w:rPr>
        <w:rFonts w:ascii="Times New Roman" w:hAnsi="Times New Roman"/>
        <w:i/>
        <w:sz w:val="22"/>
      </w:rPr>
      <w:tab/>
      <w:t>J</w:t>
    </w:r>
  </w:p>
  <w:p w14:paraId="37DDE988" w14:textId="77777777" w:rsidR="00A50746" w:rsidRDefault="00A50746" w:rsidP="001526A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5754DCCC" w14:textId="77777777" w:rsidR="00A50746" w:rsidRDefault="00A50746" w:rsidP="001526A9">
    <w:pPr>
      <w:pStyle w:val="Header"/>
      <w:tabs>
        <w:tab w:val="clear" w:pos="4153"/>
        <w:tab w:val="clear" w:pos="8306"/>
        <w:tab w:val="left" w:pos="7200"/>
        <w:tab w:val="right" w:pos="8504"/>
      </w:tabs>
      <w:spacing w:line="280" w:lineRule="exact"/>
      <w:jc w:val="right"/>
      <w:rPr>
        <w:rFonts w:ascii="Times New Roman" w:hAnsi="Times New Roman"/>
        <w:i/>
        <w:sz w:val="22"/>
      </w:rPr>
    </w:pPr>
  </w:p>
  <w:p w14:paraId="6DA76881" w14:textId="77777777" w:rsidR="00A50746" w:rsidRDefault="00A50746" w:rsidP="001526A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A611A5E" w14:textId="77777777" w:rsidR="00A50746" w:rsidRPr="001526A9" w:rsidRDefault="00A50746" w:rsidP="001526A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778F" w14:textId="77777777" w:rsidR="00A50746" w:rsidRDefault="00A50746" w:rsidP="001526A9">
    <w:pPr>
      <w:pStyle w:val="Header"/>
      <w:tabs>
        <w:tab w:val="clear" w:pos="4153"/>
        <w:tab w:val="clear" w:pos="8306"/>
        <w:tab w:val="center" w:pos="1134"/>
      </w:tabs>
      <w:spacing w:line="280" w:lineRule="exact"/>
      <w:ind w:firstLine="0"/>
      <w:rPr>
        <w:rFonts w:ascii="Times New Roman" w:hAnsi="Times New Roman"/>
        <w:i/>
        <w:sz w:val="22"/>
      </w:rPr>
    </w:pPr>
  </w:p>
  <w:p w14:paraId="42676F75" w14:textId="77777777" w:rsidR="00A50746" w:rsidRDefault="00A50746" w:rsidP="001526A9">
    <w:pPr>
      <w:pStyle w:val="Header"/>
      <w:tabs>
        <w:tab w:val="clear" w:pos="4153"/>
        <w:tab w:val="clear" w:pos="8306"/>
        <w:tab w:val="center" w:pos="1134"/>
      </w:tabs>
      <w:spacing w:line="280" w:lineRule="exact"/>
      <w:ind w:firstLine="0"/>
      <w:rPr>
        <w:rFonts w:ascii="Times New Roman" w:hAnsi="Times New Roman"/>
        <w:i/>
        <w:sz w:val="22"/>
      </w:rPr>
    </w:pPr>
  </w:p>
  <w:p w14:paraId="152BB26C" w14:textId="77777777" w:rsidR="00A50746" w:rsidRDefault="00A50746" w:rsidP="001526A9">
    <w:pPr>
      <w:pStyle w:val="Header"/>
      <w:tabs>
        <w:tab w:val="clear" w:pos="4153"/>
        <w:tab w:val="clear" w:pos="8306"/>
        <w:tab w:val="center" w:pos="1134"/>
      </w:tabs>
      <w:spacing w:line="280" w:lineRule="exact"/>
      <w:ind w:firstLine="0"/>
      <w:rPr>
        <w:rFonts w:ascii="Times New Roman" w:hAnsi="Times New Roman"/>
        <w:i/>
        <w:sz w:val="22"/>
      </w:rPr>
    </w:pPr>
  </w:p>
  <w:p w14:paraId="4868A7AF" w14:textId="77777777" w:rsidR="00A50746" w:rsidRDefault="00A50746" w:rsidP="001526A9">
    <w:pPr>
      <w:pStyle w:val="Header"/>
      <w:tabs>
        <w:tab w:val="clear" w:pos="4153"/>
        <w:tab w:val="clear" w:pos="8306"/>
        <w:tab w:val="center" w:pos="1134"/>
      </w:tabs>
      <w:spacing w:line="280" w:lineRule="exact"/>
      <w:ind w:firstLine="0"/>
      <w:rPr>
        <w:rFonts w:ascii="Times New Roman" w:hAnsi="Times New Roman"/>
        <w:i/>
        <w:sz w:val="22"/>
      </w:rPr>
    </w:pPr>
  </w:p>
  <w:p w14:paraId="71F5C53B" w14:textId="77777777" w:rsidR="00A50746" w:rsidRDefault="00A50746" w:rsidP="001526A9">
    <w:pPr>
      <w:pStyle w:val="Header"/>
      <w:tabs>
        <w:tab w:val="clear" w:pos="4153"/>
        <w:tab w:val="clear" w:pos="8306"/>
        <w:tab w:val="center" w:pos="1134"/>
      </w:tabs>
      <w:spacing w:line="280" w:lineRule="exact"/>
      <w:ind w:firstLine="0"/>
      <w:rPr>
        <w:rFonts w:ascii="Times New Roman" w:hAnsi="Times New Roman"/>
        <w:i/>
        <w:sz w:val="22"/>
      </w:rPr>
    </w:pPr>
  </w:p>
  <w:p w14:paraId="7C9C4E68" w14:textId="77777777" w:rsidR="00A50746" w:rsidRPr="001526A9" w:rsidRDefault="00A50746" w:rsidP="001526A9">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CA14" w14:textId="77777777" w:rsidR="0012516B" w:rsidRDefault="0012516B" w:rsidP="0079076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317F411A" w14:textId="77777777" w:rsidR="0012516B" w:rsidRDefault="0012516B" w:rsidP="00790760">
    <w:pPr>
      <w:pStyle w:val="Header"/>
      <w:tabs>
        <w:tab w:val="clear" w:pos="4153"/>
        <w:tab w:val="clear" w:pos="8306"/>
        <w:tab w:val="right" w:pos="1304"/>
      </w:tabs>
      <w:spacing w:line="280" w:lineRule="exact"/>
      <w:ind w:firstLine="0"/>
      <w:rPr>
        <w:rFonts w:ascii="Times New Roman" w:hAnsi="Times New Roman"/>
        <w:i/>
        <w:sz w:val="22"/>
      </w:rPr>
    </w:pPr>
  </w:p>
  <w:p w14:paraId="79F14222" w14:textId="77777777" w:rsidR="0012516B" w:rsidRDefault="0012516B" w:rsidP="0079076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782FB54" w14:textId="77777777" w:rsidR="0012516B" w:rsidRPr="00790760" w:rsidRDefault="0012516B" w:rsidP="0079076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9A22" w14:textId="77777777" w:rsidR="0012516B" w:rsidRDefault="0012516B" w:rsidP="0079076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3522D368" w14:textId="77777777" w:rsidR="0012516B" w:rsidRDefault="0012516B" w:rsidP="00790760">
    <w:pPr>
      <w:pStyle w:val="Header"/>
      <w:tabs>
        <w:tab w:val="clear" w:pos="4153"/>
        <w:tab w:val="clear" w:pos="8306"/>
        <w:tab w:val="left" w:pos="7200"/>
        <w:tab w:val="right" w:pos="8504"/>
      </w:tabs>
      <w:spacing w:line="280" w:lineRule="exact"/>
      <w:jc w:val="right"/>
      <w:rPr>
        <w:rFonts w:ascii="Times New Roman" w:hAnsi="Times New Roman"/>
        <w:i/>
        <w:sz w:val="22"/>
      </w:rPr>
    </w:pPr>
  </w:p>
  <w:p w14:paraId="14151A72" w14:textId="77777777" w:rsidR="0012516B" w:rsidRDefault="0012516B" w:rsidP="0079076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8A43CD7" w14:textId="77777777" w:rsidR="0012516B" w:rsidRPr="00790760" w:rsidRDefault="0012516B" w:rsidP="0079076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DF0B" w14:textId="77777777" w:rsidR="0012516B" w:rsidRDefault="0012516B" w:rsidP="00790760">
    <w:pPr>
      <w:pStyle w:val="Header"/>
      <w:tabs>
        <w:tab w:val="clear" w:pos="4153"/>
        <w:tab w:val="clear" w:pos="8306"/>
        <w:tab w:val="center" w:pos="1134"/>
      </w:tabs>
      <w:spacing w:line="280" w:lineRule="exact"/>
      <w:ind w:firstLine="0"/>
      <w:rPr>
        <w:rFonts w:ascii="Times New Roman" w:hAnsi="Times New Roman"/>
        <w:i/>
        <w:sz w:val="22"/>
      </w:rPr>
    </w:pPr>
  </w:p>
  <w:p w14:paraId="5F10A753" w14:textId="77777777" w:rsidR="0012516B" w:rsidRDefault="0012516B" w:rsidP="00790760">
    <w:pPr>
      <w:pStyle w:val="Header"/>
      <w:tabs>
        <w:tab w:val="clear" w:pos="4153"/>
        <w:tab w:val="clear" w:pos="8306"/>
        <w:tab w:val="center" w:pos="1134"/>
      </w:tabs>
      <w:spacing w:line="280" w:lineRule="exact"/>
      <w:ind w:firstLine="0"/>
      <w:rPr>
        <w:rFonts w:ascii="Times New Roman" w:hAnsi="Times New Roman"/>
        <w:i/>
        <w:sz w:val="22"/>
      </w:rPr>
    </w:pPr>
  </w:p>
  <w:p w14:paraId="1CEFFE96" w14:textId="77777777" w:rsidR="0012516B" w:rsidRDefault="0012516B" w:rsidP="00790760">
    <w:pPr>
      <w:pStyle w:val="Header"/>
      <w:tabs>
        <w:tab w:val="clear" w:pos="4153"/>
        <w:tab w:val="clear" w:pos="8306"/>
        <w:tab w:val="center" w:pos="1134"/>
      </w:tabs>
      <w:spacing w:line="280" w:lineRule="exact"/>
      <w:ind w:firstLine="0"/>
      <w:rPr>
        <w:rFonts w:ascii="Times New Roman" w:hAnsi="Times New Roman"/>
        <w:i/>
        <w:sz w:val="22"/>
      </w:rPr>
    </w:pPr>
  </w:p>
  <w:p w14:paraId="3E067564" w14:textId="77777777" w:rsidR="0012516B" w:rsidRPr="00790760" w:rsidRDefault="0012516B" w:rsidP="0079076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D8E5D0D"/>
    <w:multiLevelType w:val="hybridMultilevel"/>
    <w:tmpl w:val="FCF87EE4"/>
    <w:lvl w:ilvl="0" w:tplc="D27C6D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A020DE"/>
    <w:multiLevelType w:val="hybridMultilevel"/>
    <w:tmpl w:val="5AB651B6"/>
    <w:lvl w:ilvl="0" w:tplc="36688AD8">
      <w:start w:val="1"/>
      <w:numFmt w:val="lowerRoman"/>
      <w:lvlText w:val="%1)"/>
      <w:lvlJc w:val="right"/>
      <w:pPr>
        <w:ind w:left="1020" w:hanging="360"/>
      </w:pPr>
    </w:lvl>
    <w:lvl w:ilvl="1" w:tplc="22F0BD0C">
      <w:start w:val="1"/>
      <w:numFmt w:val="lowerRoman"/>
      <w:lvlText w:val="%2)"/>
      <w:lvlJc w:val="right"/>
      <w:pPr>
        <w:ind w:left="1020" w:hanging="360"/>
      </w:pPr>
    </w:lvl>
    <w:lvl w:ilvl="2" w:tplc="0B2A8ACE">
      <w:start w:val="1"/>
      <w:numFmt w:val="lowerRoman"/>
      <w:lvlText w:val="%3)"/>
      <w:lvlJc w:val="right"/>
      <w:pPr>
        <w:ind w:left="1020" w:hanging="360"/>
      </w:pPr>
    </w:lvl>
    <w:lvl w:ilvl="3" w:tplc="75187AB0">
      <w:start w:val="1"/>
      <w:numFmt w:val="lowerRoman"/>
      <w:lvlText w:val="%4)"/>
      <w:lvlJc w:val="right"/>
      <w:pPr>
        <w:ind w:left="1020" w:hanging="360"/>
      </w:pPr>
    </w:lvl>
    <w:lvl w:ilvl="4" w:tplc="484CF46C">
      <w:start w:val="1"/>
      <w:numFmt w:val="lowerRoman"/>
      <w:lvlText w:val="%5)"/>
      <w:lvlJc w:val="right"/>
      <w:pPr>
        <w:ind w:left="1020" w:hanging="360"/>
      </w:pPr>
    </w:lvl>
    <w:lvl w:ilvl="5" w:tplc="97ECDF94">
      <w:start w:val="1"/>
      <w:numFmt w:val="lowerRoman"/>
      <w:lvlText w:val="%6)"/>
      <w:lvlJc w:val="right"/>
      <w:pPr>
        <w:ind w:left="1020" w:hanging="360"/>
      </w:pPr>
    </w:lvl>
    <w:lvl w:ilvl="6" w:tplc="B8505372">
      <w:start w:val="1"/>
      <w:numFmt w:val="lowerRoman"/>
      <w:lvlText w:val="%7)"/>
      <w:lvlJc w:val="right"/>
      <w:pPr>
        <w:ind w:left="1020" w:hanging="360"/>
      </w:pPr>
    </w:lvl>
    <w:lvl w:ilvl="7" w:tplc="C7C2F646">
      <w:start w:val="1"/>
      <w:numFmt w:val="lowerRoman"/>
      <w:lvlText w:val="%8)"/>
      <w:lvlJc w:val="right"/>
      <w:pPr>
        <w:ind w:left="1020" w:hanging="360"/>
      </w:pPr>
    </w:lvl>
    <w:lvl w:ilvl="8" w:tplc="6C42BB92">
      <w:start w:val="1"/>
      <w:numFmt w:val="lowerRoman"/>
      <w:lvlText w:val="%9)"/>
      <w:lvlJc w:val="right"/>
      <w:pPr>
        <w:ind w:left="1020" w:hanging="360"/>
      </w:p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4A53B15"/>
    <w:multiLevelType w:val="hybridMultilevel"/>
    <w:tmpl w:val="A3E05F06"/>
    <w:lvl w:ilvl="0" w:tplc="E7E270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B7F48"/>
    <w:multiLevelType w:val="hybridMultilevel"/>
    <w:tmpl w:val="5CD6EF6A"/>
    <w:lvl w:ilvl="0" w:tplc="D27C6DF4">
      <w:start w:val="1"/>
      <w:numFmt w:val="lowerLetter"/>
      <w:lvlText w:val="(%1)"/>
      <w:lvlJc w:val="left"/>
      <w:pPr>
        <w:ind w:left="7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607C84"/>
    <w:multiLevelType w:val="hybridMultilevel"/>
    <w:tmpl w:val="2E945ECA"/>
    <w:lvl w:ilvl="0" w:tplc="D90EA9E4">
      <w:start w:val="1"/>
      <w:numFmt w:val="lowerLetter"/>
      <w:lvlText w:val="(%1)"/>
      <w:lvlJc w:val="left"/>
      <w:pPr>
        <w:ind w:left="7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2445E6"/>
    <w:multiLevelType w:val="hybridMultilevel"/>
    <w:tmpl w:val="5CD6EF6A"/>
    <w:lvl w:ilvl="0" w:tplc="FFFFFFFF">
      <w:start w:val="1"/>
      <w:numFmt w:val="lowerLetter"/>
      <w:lvlText w:val="(%1)"/>
      <w:lvlJc w:val="left"/>
      <w:pPr>
        <w:ind w:left="75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1B0363"/>
    <w:multiLevelType w:val="hybridMultilevel"/>
    <w:tmpl w:val="531E1F66"/>
    <w:lvl w:ilvl="0" w:tplc="F9C23670">
      <w:start w:val="1"/>
      <w:numFmt w:val="lowerRoman"/>
      <w:lvlText w:val="%1)"/>
      <w:lvlJc w:val="right"/>
      <w:pPr>
        <w:ind w:left="1020" w:hanging="360"/>
      </w:pPr>
    </w:lvl>
    <w:lvl w:ilvl="1" w:tplc="C204D010">
      <w:start w:val="1"/>
      <w:numFmt w:val="lowerRoman"/>
      <w:lvlText w:val="%2)"/>
      <w:lvlJc w:val="right"/>
      <w:pPr>
        <w:ind w:left="1020" w:hanging="360"/>
      </w:pPr>
    </w:lvl>
    <w:lvl w:ilvl="2" w:tplc="897490D0">
      <w:start w:val="1"/>
      <w:numFmt w:val="lowerRoman"/>
      <w:lvlText w:val="%3)"/>
      <w:lvlJc w:val="right"/>
      <w:pPr>
        <w:ind w:left="1020" w:hanging="360"/>
      </w:pPr>
    </w:lvl>
    <w:lvl w:ilvl="3" w:tplc="F3B28662">
      <w:start w:val="1"/>
      <w:numFmt w:val="lowerRoman"/>
      <w:lvlText w:val="%4)"/>
      <w:lvlJc w:val="right"/>
      <w:pPr>
        <w:ind w:left="1020" w:hanging="360"/>
      </w:pPr>
    </w:lvl>
    <w:lvl w:ilvl="4" w:tplc="DA0A5966">
      <w:start w:val="1"/>
      <w:numFmt w:val="lowerRoman"/>
      <w:lvlText w:val="%5)"/>
      <w:lvlJc w:val="right"/>
      <w:pPr>
        <w:ind w:left="1020" w:hanging="360"/>
      </w:pPr>
    </w:lvl>
    <w:lvl w:ilvl="5" w:tplc="1ABE2C3A">
      <w:start w:val="1"/>
      <w:numFmt w:val="lowerRoman"/>
      <w:lvlText w:val="%6)"/>
      <w:lvlJc w:val="right"/>
      <w:pPr>
        <w:ind w:left="1020" w:hanging="360"/>
      </w:pPr>
    </w:lvl>
    <w:lvl w:ilvl="6" w:tplc="092E727E">
      <w:start w:val="1"/>
      <w:numFmt w:val="lowerRoman"/>
      <w:lvlText w:val="%7)"/>
      <w:lvlJc w:val="right"/>
      <w:pPr>
        <w:ind w:left="1020" w:hanging="360"/>
      </w:pPr>
    </w:lvl>
    <w:lvl w:ilvl="7" w:tplc="A658F268">
      <w:start w:val="1"/>
      <w:numFmt w:val="lowerRoman"/>
      <w:lvlText w:val="%8)"/>
      <w:lvlJc w:val="right"/>
      <w:pPr>
        <w:ind w:left="1020" w:hanging="360"/>
      </w:pPr>
    </w:lvl>
    <w:lvl w:ilvl="8" w:tplc="16E22C38">
      <w:start w:val="1"/>
      <w:numFmt w:val="lowerRoman"/>
      <w:lvlText w:val="%9)"/>
      <w:lvlJc w:val="right"/>
      <w:pPr>
        <w:ind w:left="1020" w:hanging="360"/>
      </w:pPr>
    </w:lvl>
  </w:abstractNum>
  <w:abstractNum w:abstractNumId="24"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6"/>
  </w:num>
  <w:num w:numId="3" w16cid:durableId="1375159326">
    <w:abstractNumId w:val="24"/>
  </w:num>
  <w:num w:numId="4" w16cid:durableId="1020468450">
    <w:abstractNumId w:val="14"/>
  </w:num>
  <w:num w:numId="5" w16cid:durableId="298609604">
    <w:abstractNumId w:val="19"/>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8"/>
  </w:num>
  <w:num w:numId="18" w16cid:durableId="586305847">
    <w:abstractNumId w:val="11"/>
  </w:num>
  <w:num w:numId="19" w16cid:durableId="650985869">
    <w:abstractNumId w:val="11"/>
  </w:num>
  <w:num w:numId="20" w16cid:durableId="1089236547">
    <w:abstractNumId w:val="20"/>
  </w:num>
  <w:num w:numId="21" w16cid:durableId="1485585836">
    <w:abstractNumId w:val="12"/>
  </w:num>
  <w:num w:numId="22" w16cid:durableId="1230457825">
    <w:abstractNumId w:val="12"/>
  </w:num>
  <w:num w:numId="23" w16cid:durableId="94059466">
    <w:abstractNumId w:val="12"/>
  </w:num>
  <w:num w:numId="24" w16cid:durableId="232396044">
    <w:abstractNumId w:val="12"/>
  </w:num>
  <w:num w:numId="25" w16cid:durableId="936326193">
    <w:abstractNumId w:val="12"/>
  </w:num>
  <w:num w:numId="26" w16cid:durableId="1076049734">
    <w:abstractNumId w:val="12"/>
  </w:num>
  <w:num w:numId="27" w16cid:durableId="1178546152">
    <w:abstractNumId w:val="22"/>
  </w:num>
  <w:num w:numId="28" w16cid:durableId="757941801">
    <w:abstractNumId w:val="12"/>
  </w:num>
  <w:num w:numId="29" w16cid:durableId="67920571">
    <w:abstractNumId w:val="21"/>
  </w:num>
  <w:num w:numId="30" w16cid:durableId="1739279472">
    <w:abstractNumId w:val="13"/>
  </w:num>
  <w:num w:numId="31" w16cid:durableId="1500583645">
    <w:abstractNumId w:val="17"/>
  </w:num>
  <w:num w:numId="32" w16cid:durableId="1789733831">
    <w:abstractNumId w:val="23"/>
  </w:num>
  <w:num w:numId="33" w16cid:durableId="837310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26"/>
    <w:rsid w:val="000014BD"/>
    <w:rsid w:val="000014C7"/>
    <w:rsid w:val="00002069"/>
    <w:rsid w:val="00002CE6"/>
    <w:rsid w:val="0000316A"/>
    <w:rsid w:val="000049B7"/>
    <w:rsid w:val="00005A56"/>
    <w:rsid w:val="00005D29"/>
    <w:rsid w:val="00010892"/>
    <w:rsid w:val="00010EAD"/>
    <w:rsid w:val="00010FE9"/>
    <w:rsid w:val="00011937"/>
    <w:rsid w:val="000141CA"/>
    <w:rsid w:val="00014B34"/>
    <w:rsid w:val="00015AED"/>
    <w:rsid w:val="000168C9"/>
    <w:rsid w:val="00016C20"/>
    <w:rsid w:val="00016DBB"/>
    <w:rsid w:val="00017144"/>
    <w:rsid w:val="00017280"/>
    <w:rsid w:val="00020E3D"/>
    <w:rsid w:val="00022A53"/>
    <w:rsid w:val="00023D0E"/>
    <w:rsid w:val="000250AF"/>
    <w:rsid w:val="00025490"/>
    <w:rsid w:val="0002561E"/>
    <w:rsid w:val="00025AD1"/>
    <w:rsid w:val="000268E1"/>
    <w:rsid w:val="00030614"/>
    <w:rsid w:val="00031FB3"/>
    <w:rsid w:val="000342CA"/>
    <w:rsid w:val="000355EF"/>
    <w:rsid w:val="0003575A"/>
    <w:rsid w:val="000360EB"/>
    <w:rsid w:val="00037A5F"/>
    <w:rsid w:val="00037D87"/>
    <w:rsid w:val="00041B24"/>
    <w:rsid w:val="0004237B"/>
    <w:rsid w:val="00042EF3"/>
    <w:rsid w:val="00043D2C"/>
    <w:rsid w:val="0004525D"/>
    <w:rsid w:val="00046812"/>
    <w:rsid w:val="00046A35"/>
    <w:rsid w:val="0005050F"/>
    <w:rsid w:val="00055ACD"/>
    <w:rsid w:val="00056F27"/>
    <w:rsid w:val="000573AF"/>
    <w:rsid w:val="00060CD1"/>
    <w:rsid w:val="0006169E"/>
    <w:rsid w:val="000626FD"/>
    <w:rsid w:val="0006432B"/>
    <w:rsid w:val="000650C3"/>
    <w:rsid w:val="000653D4"/>
    <w:rsid w:val="0006750B"/>
    <w:rsid w:val="00071C35"/>
    <w:rsid w:val="000749DD"/>
    <w:rsid w:val="000754B3"/>
    <w:rsid w:val="00075F50"/>
    <w:rsid w:val="000766AE"/>
    <w:rsid w:val="000768DF"/>
    <w:rsid w:val="00076ED9"/>
    <w:rsid w:val="00077285"/>
    <w:rsid w:val="00080D77"/>
    <w:rsid w:val="000823F6"/>
    <w:rsid w:val="0008266D"/>
    <w:rsid w:val="00082A1A"/>
    <w:rsid w:val="00082B7A"/>
    <w:rsid w:val="000830A0"/>
    <w:rsid w:val="00083FEF"/>
    <w:rsid w:val="0008425F"/>
    <w:rsid w:val="0008435D"/>
    <w:rsid w:val="000847EC"/>
    <w:rsid w:val="000854F5"/>
    <w:rsid w:val="0008558C"/>
    <w:rsid w:val="00085F13"/>
    <w:rsid w:val="000862B7"/>
    <w:rsid w:val="0008739B"/>
    <w:rsid w:val="00087530"/>
    <w:rsid w:val="0009122B"/>
    <w:rsid w:val="00097557"/>
    <w:rsid w:val="000A1FC4"/>
    <w:rsid w:val="000A28D4"/>
    <w:rsid w:val="000A2EB4"/>
    <w:rsid w:val="000A35E9"/>
    <w:rsid w:val="000A3DA3"/>
    <w:rsid w:val="000A63C6"/>
    <w:rsid w:val="000B02EF"/>
    <w:rsid w:val="000B2185"/>
    <w:rsid w:val="000B4630"/>
    <w:rsid w:val="000B497F"/>
    <w:rsid w:val="000B5A72"/>
    <w:rsid w:val="000B5D16"/>
    <w:rsid w:val="000B62EE"/>
    <w:rsid w:val="000B710D"/>
    <w:rsid w:val="000B7558"/>
    <w:rsid w:val="000B7919"/>
    <w:rsid w:val="000C01A7"/>
    <w:rsid w:val="000C04DC"/>
    <w:rsid w:val="000C0D98"/>
    <w:rsid w:val="000C178D"/>
    <w:rsid w:val="000C3A27"/>
    <w:rsid w:val="000C45F0"/>
    <w:rsid w:val="000D1C94"/>
    <w:rsid w:val="000D25E6"/>
    <w:rsid w:val="000D3359"/>
    <w:rsid w:val="000D4697"/>
    <w:rsid w:val="000D5249"/>
    <w:rsid w:val="000D53C8"/>
    <w:rsid w:val="000D5E3B"/>
    <w:rsid w:val="000D7EB2"/>
    <w:rsid w:val="000E4CDA"/>
    <w:rsid w:val="000E58B5"/>
    <w:rsid w:val="000E65F7"/>
    <w:rsid w:val="000F0EC9"/>
    <w:rsid w:val="000F0FFE"/>
    <w:rsid w:val="000F1345"/>
    <w:rsid w:val="000F2439"/>
    <w:rsid w:val="000F364F"/>
    <w:rsid w:val="000F3BB3"/>
    <w:rsid w:val="000F54FC"/>
    <w:rsid w:val="001001B9"/>
    <w:rsid w:val="0010156A"/>
    <w:rsid w:val="00101786"/>
    <w:rsid w:val="00102254"/>
    <w:rsid w:val="0010702C"/>
    <w:rsid w:val="00107523"/>
    <w:rsid w:val="001079CD"/>
    <w:rsid w:val="00110970"/>
    <w:rsid w:val="00110B06"/>
    <w:rsid w:val="00110BC3"/>
    <w:rsid w:val="00111568"/>
    <w:rsid w:val="00111B7A"/>
    <w:rsid w:val="001120C0"/>
    <w:rsid w:val="00112EBB"/>
    <w:rsid w:val="00113AF1"/>
    <w:rsid w:val="00113F00"/>
    <w:rsid w:val="001150BF"/>
    <w:rsid w:val="00115EB0"/>
    <w:rsid w:val="001164BB"/>
    <w:rsid w:val="001168F2"/>
    <w:rsid w:val="00120207"/>
    <w:rsid w:val="00123A31"/>
    <w:rsid w:val="00123BE8"/>
    <w:rsid w:val="00123C1B"/>
    <w:rsid w:val="00124E61"/>
    <w:rsid w:val="0012516B"/>
    <w:rsid w:val="00125E3C"/>
    <w:rsid w:val="0013386E"/>
    <w:rsid w:val="00133A09"/>
    <w:rsid w:val="00133E7E"/>
    <w:rsid w:val="0013456F"/>
    <w:rsid w:val="001370FB"/>
    <w:rsid w:val="001409FF"/>
    <w:rsid w:val="00141D37"/>
    <w:rsid w:val="00142072"/>
    <w:rsid w:val="00142B15"/>
    <w:rsid w:val="00143861"/>
    <w:rsid w:val="00143FCB"/>
    <w:rsid w:val="00144FEF"/>
    <w:rsid w:val="00145627"/>
    <w:rsid w:val="001468AB"/>
    <w:rsid w:val="00146A41"/>
    <w:rsid w:val="0015031C"/>
    <w:rsid w:val="00151679"/>
    <w:rsid w:val="00151887"/>
    <w:rsid w:val="00152663"/>
    <w:rsid w:val="001526A9"/>
    <w:rsid w:val="0015318E"/>
    <w:rsid w:val="00154E55"/>
    <w:rsid w:val="0015535F"/>
    <w:rsid w:val="0015567A"/>
    <w:rsid w:val="00155E1B"/>
    <w:rsid w:val="00156FD0"/>
    <w:rsid w:val="0015720E"/>
    <w:rsid w:val="00160188"/>
    <w:rsid w:val="00160271"/>
    <w:rsid w:val="001602DE"/>
    <w:rsid w:val="00160304"/>
    <w:rsid w:val="00162460"/>
    <w:rsid w:val="00163D92"/>
    <w:rsid w:val="00164144"/>
    <w:rsid w:val="0016597B"/>
    <w:rsid w:val="00165B53"/>
    <w:rsid w:val="001708DE"/>
    <w:rsid w:val="00171FD6"/>
    <w:rsid w:val="0017285E"/>
    <w:rsid w:val="00172ADE"/>
    <w:rsid w:val="00175703"/>
    <w:rsid w:val="001758DE"/>
    <w:rsid w:val="00176D25"/>
    <w:rsid w:val="00177792"/>
    <w:rsid w:val="0018342E"/>
    <w:rsid w:val="001840C2"/>
    <w:rsid w:val="00184851"/>
    <w:rsid w:val="00184B46"/>
    <w:rsid w:val="00185939"/>
    <w:rsid w:val="00186669"/>
    <w:rsid w:val="001876F6"/>
    <w:rsid w:val="00187DEC"/>
    <w:rsid w:val="00191E23"/>
    <w:rsid w:val="001953B1"/>
    <w:rsid w:val="0019595D"/>
    <w:rsid w:val="00195B44"/>
    <w:rsid w:val="001963C0"/>
    <w:rsid w:val="0019667F"/>
    <w:rsid w:val="00197956"/>
    <w:rsid w:val="001A10BB"/>
    <w:rsid w:val="001A409D"/>
    <w:rsid w:val="001A446E"/>
    <w:rsid w:val="001A507D"/>
    <w:rsid w:val="001A5A9D"/>
    <w:rsid w:val="001B0F38"/>
    <w:rsid w:val="001B108F"/>
    <w:rsid w:val="001B1676"/>
    <w:rsid w:val="001B17A8"/>
    <w:rsid w:val="001B4F70"/>
    <w:rsid w:val="001B4F9A"/>
    <w:rsid w:val="001B54C7"/>
    <w:rsid w:val="001B55C8"/>
    <w:rsid w:val="001B62C8"/>
    <w:rsid w:val="001B63C6"/>
    <w:rsid w:val="001B66CD"/>
    <w:rsid w:val="001C096C"/>
    <w:rsid w:val="001C2087"/>
    <w:rsid w:val="001C20C7"/>
    <w:rsid w:val="001C22CA"/>
    <w:rsid w:val="001C26C1"/>
    <w:rsid w:val="001C271D"/>
    <w:rsid w:val="001C3F9B"/>
    <w:rsid w:val="001C3FAC"/>
    <w:rsid w:val="001C48D4"/>
    <w:rsid w:val="001C53EB"/>
    <w:rsid w:val="001C6A71"/>
    <w:rsid w:val="001C7C93"/>
    <w:rsid w:val="001D136A"/>
    <w:rsid w:val="001D1C55"/>
    <w:rsid w:val="001D36CD"/>
    <w:rsid w:val="001D4095"/>
    <w:rsid w:val="001D4F49"/>
    <w:rsid w:val="001D6D82"/>
    <w:rsid w:val="001D7982"/>
    <w:rsid w:val="001E1D3D"/>
    <w:rsid w:val="001E3FBB"/>
    <w:rsid w:val="001E47D1"/>
    <w:rsid w:val="001E48C7"/>
    <w:rsid w:val="001E5795"/>
    <w:rsid w:val="001E6A64"/>
    <w:rsid w:val="001E75C5"/>
    <w:rsid w:val="001F138D"/>
    <w:rsid w:val="001F1456"/>
    <w:rsid w:val="001F1568"/>
    <w:rsid w:val="001F1B5F"/>
    <w:rsid w:val="001F3F2A"/>
    <w:rsid w:val="001F3F7E"/>
    <w:rsid w:val="001F69C2"/>
    <w:rsid w:val="001F7289"/>
    <w:rsid w:val="00201675"/>
    <w:rsid w:val="002020AD"/>
    <w:rsid w:val="0020348E"/>
    <w:rsid w:val="002038D9"/>
    <w:rsid w:val="002048D1"/>
    <w:rsid w:val="00205E63"/>
    <w:rsid w:val="00206518"/>
    <w:rsid w:val="002068FC"/>
    <w:rsid w:val="002079CB"/>
    <w:rsid w:val="0021045E"/>
    <w:rsid w:val="0021096E"/>
    <w:rsid w:val="00210DE8"/>
    <w:rsid w:val="00211C80"/>
    <w:rsid w:val="00211D73"/>
    <w:rsid w:val="00212A3E"/>
    <w:rsid w:val="00212BFA"/>
    <w:rsid w:val="0021341D"/>
    <w:rsid w:val="00213952"/>
    <w:rsid w:val="00214BF2"/>
    <w:rsid w:val="00215A7F"/>
    <w:rsid w:val="00216522"/>
    <w:rsid w:val="00217823"/>
    <w:rsid w:val="00217DA1"/>
    <w:rsid w:val="00220089"/>
    <w:rsid w:val="002212AD"/>
    <w:rsid w:val="002217B1"/>
    <w:rsid w:val="00221D19"/>
    <w:rsid w:val="00223A4F"/>
    <w:rsid w:val="002260E3"/>
    <w:rsid w:val="0022666B"/>
    <w:rsid w:val="002272FE"/>
    <w:rsid w:val="0022734D"/>
    <w:rsid w:val="00227D5C"/>
    <w:rsid w:val="00231441"/>
    <w:rsid w:val="002319A6"/>
    <w:rsid w:val="00231A95"/>
    <w:rsid w:val="0023447F"/>
    <w:rsid w:val="002348F5"/>
    <w:rsid w:val="002350B3"/>
    <w:rsid w:val="002360DC"/>
    <w:rsid w:val="00236472"/>
    <w:rsid w:val="0023798E"/>
    <w:rsid w:val="002415B6"/>
    <w:rsid w:val="00242EE4"/>
    <w:rsid w:val="0024462E"/>
    <w:rsid w:val="00245866"/>
    <w:rsid w:val="002474FA"/>
    <w:rsid w:val="00247E03"/>
    <w:rsid w:val="00253493"/>
    <w:rsid w:val="00253DE9"/>
    <w:rsid w:val="00254B23"/>
    <w:rsid w:val="00254CCC"/>
    <w:rsid w:val="00257AFB"/>
    <w:rsid w:val="00260C08"/>
    <w:rsid w:val="0026279A"/>
    <w:rsid w:val="0026293D"/>
    <w:rsid w:val="00263AF1"/>
    <w:rsid w:val="00265250"/>
    <w:rsid w:val="00265982"/>
    <w:rsid w:val="0026645C"/>
    <w:rsid w:val="0026677A"/>
    <w:rsid w:val="00267D6F"/>
    <w:rsid w:val="00270154"/>
    <w:rsid w:val="00271BB6"/>
    <w:rsid w:val="00271F70"/>
    <w:rsid w:val="002727D1"/>
    <w:rsid w:val="002734D7"/>
    <w:rsid w:val="00273EDB"/>
    <w:rsid w:val="0027408B"/>
    <w:rsid w:val="00276B56"/>
    <w:rsid w:val="002779DC"/>
    <w:rsid w:val="00280F46"/>
    <w:rsid w:val="00280F8C"/>
    <w:rsid w:val="002819FD"/>
    <w:rsid w:val="00281C14"/>
    <w:rsid w:val="002827C1"/>
    <w:rsid w:val="002845E2"/>
    <w:rsid w:val="002852C1"/>
    <w:rsid w:val="00285539"/>
    <w:rsid w:val="0028583A"/>
    <w:rsid w:val="00286402"/>
    <w:rsid w:val="00287368"/>
    <w:rsid w:val="00287873"/>
    <w:rsid w:val="00290D19"/>
    <w:rsid w:val="0029162C"/>
    <w:rsid w:val="002916CC"/>
    <w:rsid w:val="00292730"/>
    <w:rsid w:val="0029278C"/>
    <w:rsid w:val="00292E65"/>
    <w:rsid w:val="00293B6A"/>
    <w:rsid w:val="0029477B"/>
    <w:rsid w:val="002949F1"/>
    <w:rsid w:val="00296250"/>
    <w:rsid w:val="0029697C"/>
    <w:rsid w:val="002973A7"/>
    <w:rsid w:val="002979F1"/>
    <w:rsid w:val="00297BF9"/>
    <w:rsid w:val="002A07B8"/>
    <w:rsid w:val="002A13E1"/>
    <w:rsid w:val="002A1E37"/>
    <w:rsid w:val="002A245D"/>
    <w:rsid w:val="002A3248"/>
    <w:rsid w:val="002A3BC3"/>
    <w:rsid w:val="002A59B9"/>
    <w:rsid w:val="002A638B"/>
    <w:rsid w:val="002A66FB"/>
    <w:rsid w:val="002B0846"/>
    <w:rsid w:val="002B1304"/>
    <w:rsid w:val="002B4A40"/>
    <w:rsid w:val="002C0A99"/>
    <w:rsid w:val="002C0D36"/>
    <w:rsid w:val="002C1EDE"/>
    <w:rsid w:val="002C2F7B"/>
    <w:rsid w:val="002C54A1"/>
    <w:rsid w:val="002C5981"/>
    <w:rsid w:val="002C7307"/>
    <w:rsid w:val="002D0410"/>
    <w:rsid w:val="002D0899"/>
    <w:rsid w:val="002D1707"/>
    <w:rsid w:val="002D17E2"/>
    <w:rsid w:val="002D3F5B"/>
    <w:rsid w:val="002D63F3"/>
    <w:rsid w:val="002D7356"/>
    <w:rsid w:val="002E0EC8"/>
    <w:rsid w:val="002E1384"/>
    <w:rsid w:val="002E278F"/>
    <w:rsid w:val="002E39D4"/>
    <w:rsid w:val="002E3B4D"/>
    <w:rsid w:val="002E419A"/>
    <w:rsid w:val="002E6C52"/>
    <w:rsid w:val="002F0522"/>
    <w:rsid w:val="002F0734"/>
    <w:rsid w:val="002F1FCB"/>
    <w:rsid w:val="002F5E52"/>
    <w:rsid w:val="002F6602"/>
    <w:rsid w:val="002F7C30"/>
    <w:rsid w:val="0030026A"/>
    <w:rsid w:val="00301975"/>
    <w:rsid w:val="00301A02"/>
    <w:rsid w:val="00302445"/>
    <w:rsid w:val="00302D3E"/>
    <w:rsid w:val="00302FA9"/>
    <w:rsid w:val="00303D76"/>
    <w:rsid w:val="0030542C"/>
    <w:rsid w:val="003070FD"/>
    <w:rsid w:val="00310418"/>
    <w:rsid w:val="003129C4"/>
    <w:rsid w:val="00312FFC"/>
    <w:rsid w:val="003150BF"/>
    <w:rsid w:val="003150CE"/>
    <w:rsid w:val="00315E92"/>
    <w:rsid w:val="00316C78"/>
    <w:rsid w:val="00323B9E"/>
    <w:rsid w:val="00330804"/>
    <w:rsid w:val="00330AD7"/>
    <w:rsid w:val="003322FE"/>
    <w:rsid w:val="0033267A"/>
    <w:rsid w:val="00332B0A"/>
    <w:rsid w:val="003337EA"/>
    <w:rsid w:val="00334A6B"/>
    <w:rsid w:val="003366B2"/>
    <w:rsid w:val="00340066"/>
    <w:rsid w:val="0034122D"/>
    <w:rsid w:val="003421C0"/>
    <w:rsid w:val="00342830"/>
    <w:rsid w:val="0034288B"/>
    <w:rsid w:val="0034332B"/>
    <w:rsid w:val="00344F78"/>
    <w:rsid w:val="00345911"/>
    <w:rsid w:val="00345D59"/>
    <w:rsid w:val="0034665D"/>
    <w:rsid w:val="0034681C"/>
    <w:rsid w:val="0035154A"/>
    <w:rsid w:val="003516EF"/>
    <w:rsid w:val="00351DB8"/>
    <w:rsid w:val="00355EB9"/>
    <w:rsid w:val="003600A8"/>
    <w:rsid w:val="00361D88"/>
    <w:rsid w:val="0036284D"/>
    <w:rsid w:val="00363030"/>
    <w:rsid w:val="00366524"/>
    <w:rsid w:val="00366BCB"/>
    <w:rsid w:val="0037015F"/>
    <w:rsid w:val="00373E58"/>
    <w:rsid w:val="0037432D"/>
    <w:rsid w:val="00376073"/>
    <w:rsid w:val="00376B1B"/>
    <w:rsid w:val="00377452"/>
    <w:rsid w:val="003806ED"/>
    <w:rsid w:val="00381223"/>
    <w:rsid w:val="00381849"/>
    <w:rsid w:val="003823A0"/>
    <w:rsid w:val="00384F36"/>
    <w:rsid w:val="00385271"/>
    <w:rsid w:val="00387D0F"/>
    <w:rsid w:val="003906F9"/>
    <w:rsid w:val="0039226E"/>
    <w:rsid w:val="00392CC8"/>
    <w:rsid w:val="0039302F"/>
    <w:rsid w:val="00393EE0"/>
    <w:rsid w:val="00396349"/>
    <w:rsid w:val="00397708"/>
    <w:rsid w:val="003A2017"/>
    <w:rsid w:val="003A2D74"/>
    <w:rsid w:val="003A31F9"/>
    <w:rsid w:val="003A3B13"/>
    <w:rsid w:val="003A426D"/>
    <w:rsid w:val="003A48CC"/>
    <w:rsid w:val="003A4FB5"/>
    <w:rsid w:val="003A72EF"/>
    <w:rsid w:val="003A7E21"/>
    <w:rsid w:val="003B1C66"/>
    <w:rsid w:val="003B2A3C"/>
    <w:rsid w:val="003B4EED"/>
    <w:rsid w:val="003B5E42"/>
    <w:rsid w:val="003B6B2C"/>
    <w:rsid w:val="003C266A"/>
    <w:rsid w:val="003C2D1F"/>
    <w:rsid w:val="003C4275"/>
    <w:rsid w:val="003C602A"/>
    <w:rsid w:val="003D06BC"/>
    <w:rsid w:val="003D1759"/>
    <w:rsid w:val="003D1896"/>
    <w:rsid w:val="003D1B70"/>
    <w:rsid w:val="003D2956"/>
    <w:rsid w:val="003D3348"/>
    <w:rsid w:val="003D3B14"/>
    <w:rsid w:val="003D465C"/>
    <w:rsid w:val="003D4B5E"/>
    <w:rsid w:val="003D4DB5"/>
    <w:rsid w:val="003D5F87"/>
    <w:rsid w:val="003D6112"/>
    <w:rsid w:val="003D62F7"/>
    <w:rsid w:val="003D788C"/>
    <w:rsid w:val="003E09C0"/>
    <w:rsid w:val="003E1035"/>
    <w:rsid w:val="003E17F2"/>
    <w:rsid w:val="003E19F7"/>
    <w:rsid w:val="003E1EB2"/>
    <w:rsid w:val="003E492C"/>
    <w:rsid w:val="003E6115"/>
    <w:rsid w:val="003E6D46"/>
    <w:rsid w:val="003E710D"/>
    <w:rsid w:val="003E71F7"/>
    <w:rsid w:val="003E7A9C"/>
    <w:rsid w:val="003F1CFE"/>
    <w:rsid w:val="003F30E9"/>
    <w:rsid w:val="003F328F"/>
    <w:rsid w:val="003F531A"/>
    <w:rsid w:val="003F556D"/>
    <w:rsid w:val="003F7C9E"/>
    <w:rsid w:val="004025E8"/>
    <w:rsid w:val="00402768"/>
    <w:rsid w:val="00403D6C"/>
    <w:rsid w:val="004043AB"/>
    <w:rsid w:val="00404C36"/>
    <w:rsid w:val="0040542A"/>
    <w:rsid w:val="00406054"/>
    <w:rsid w:val="00406F38"/>
    <w:rsid w:val="004107CA"/>
    <w:rsid w:val="004111BC"/>
    <w:rsid w:val="004114CB"/>
    <w:rsid w:val="004116DD"/>
    <w:rsid w:val="004125F4"/>
    <w:rsid w:val="004126D4"/>
    <w:rsid w:val="004128FB"/>
    <w:rsid w:val="00413F38"/>
    <w:rsid w:val="00413FCC"/>
    <w:rsid w:val="00414703"/>
    <w:rsid w:val="00415716"/>
    <w:rsid w:val="00415D2B"/>
    <w:rsid w:val="004165CD"/>
    <w:rsid w:val="0041687E"/>
    <w:rsid w:val="00416A23"/>
    <w:rsid w:val="00416C0A"/>
    <w:rsid w:val="00417BB5"/>
    <w:rsid w:val="00417FCA"/>
    <w:rsid w:val="00421941"/>
    <w:rsid w:val="00422C9C"/>
    <w:rsid w:val="004248F8"/>
    <w:rsid w:val="00424DE2"/>
    <w:rsid w:val="00426ACD"/>
    <w:rsid w:val="00427814"/>
    <w:rsid w:val="00427A72"/>
    <w:rsid w:val="00431887"/>
    <w:rsid w:val="00432528"/>
    <w:rsid w:val="004325FC"/>
    <w:rsid w:val="00432836"/>
    <w:rsid w:val="00433E84"/>
    <w:rsid w:val="00436956"/>
    <w:rsid w:val="004373D1"/>
    <w:rsid w:val="0043778D"/>
    <w:rsid w:val="00443CCE"/>
    <w:rsid w:val="004451D4"/>
    <w:rsid w:val="004454C2"/>
    <w:rsid w:val="00446FE7"/>
    <w:rsid w:val="00447347"/>
    <w:rsid w:val="00447F33"/>
    <w:rsid w:val="00450A27"/>
    <w:rsid w:val="00451EC2"/>
    <w:rsid w:val="004544E0"/>
    <w:rsid w:val="00454A00"/>
    <w:rsid w:val="004554BD"/>
    <w:rsid w:val="0045558F"/>
    <w:rsid w:val="00457814"/>
    <w:rsid w:val="0046245E"/>
    <w:rsid w:val="00462A1F"/>
    <w:rsid w:val="00463357"/>
    <w:rsid w:val="00463A04"/>
    <w:rsid w:val="00463A4C"/>
    <w:rsid w:val="00465255"/>
    <w:rsid w:val="004717BE"/>
    <w:rsid w:val="00473691"/>
    <w:rsid w:val="00473718"/>
    <w:rsid w:val="00473869"/>
    <w:rsid w:val="0047410E"/>
    <w:rsid w:val="0047477D"/>
    <w:rsid w:val="0047593E"/>
    <w:rsid w:val="00477299"/>
    <w:rsid w:val="0048054A"/>
    <w:rsid w:val="004818E8"/>
    <w:rsid w:val="004820F7"/>
    <w:rsid w:val="00482F67"/>
    <w:rsid w:val="00483006"/>
    <w:rsid w:val="00483925"/>
    <w:rsid w:val="00484208"/>
    <w:rsid w:val="00484518"/>
    <w:rsid w:val="00484827"/>
    <w:rsid w:val="00484915"/>
    <w:rsid w:val="004854CD"/>
    <w:rsid w:val="00485961"/>
    <w:rsid w:val="00487387"/>
    <w:rsid w:val="00490B6B"/>
    <w:rsid w:val="00490C55"/>
    <w:rsid w:val="00490E50"/>
    <w:rsid w:val="004919FD"/>
    <w:rsid w:val="00492BA5"/>
    <w:rsid w:val="004955AC"/>
    <w:rsid w:val="004972DE"/>
    <w:rsid w:val="004A0674"/>
    <w:rsid w:val="004A06FC"/>
    <w:rsid w:val="004A0E5F"/>
    <w:rsid w:val="004A132C"/>
    <w:rsid w:val="004A1AF4"/>
    <w:rsid w:val="004A4A84"/>
    <w:rsid w:val="004A4C86"/>
    <w:rsid w:val="004B04C8"/>
    <w:rsid w:val="004B1AEB"/>
    <w:rsid w:val="004B26D9"/>
    <w:rsid w:val="004B27A2"/>
    <w:rsid w:val="004B2C5E"/>
    <w:rsid w:val="004B438C"/>
    <w:rsid w:val="004B5858"/>
    <w:rsid w:val="004B6502"/>
    <w:rsid w:val="004B774B"/>
    <w:rsid w:val="004C1AAF"/>
    <w:rsid w:val="004C20D7"/>
    <w:rsid w:val="004C4629"/>
    <w:rsid w:val="004C4B71"/>
    <w:rsid w:val="004C7470"/>
    <w:rsid w:val="004D014F"/>
    <w:rsid w:val="004D087E"/>
    <w:rsid w:val="004D1328"/>
    <w:rsid w:val="004D19DB"/>
    <w:rsid w:val="004D1E88"/>
    <w:rsid w:val="004D3CD7"/>
    <w:rsid w:val="004D4A45"/>
    <w:rsid w:val="004D54DA"/>
    <w:rsid w:val="004D58DE"/>
    <w:rsid w:val="004D59C7"/>
    <w:rsid w:val="004D63E2"/>
    <w:rsid w:val="004E015D"/>
    <w:rsid w:val="004E333C"/>
    <w:rsid w:val="004E3F30"/>
    <w:rsid w:val="004E46F8"/>
    <w:rsid w:val="004E50C8"/>
    <w:rsid w:val="004E64DE"/>
    <w:rsid w:val="004E653E"/>
    <w:rsid w:val="004E65F5"/>
    <w:rsid w:val="004E6EB9"/>
    <w:rsid w:val="004F14D7"/>
    <w:rsid w:val="004F1FBB"/>
    <w:rsid w:val="004F20FB"/>
    <w:rsid w:val="004F2D77"/>
    <w:rsid w:val="004F3C00"/>
    <w:rsid w:val="004F3E28"/>
    <w:rsid w:val="004F621F"/>
    <w:rsid w:val="00502EAE"/>
    <w:rsid w:val="005038AC"/>
    <w:rsid w:val="00503A1B"/>
    <w:rsid w:val="005048A6"/>
    <w:rsid w:val="0050500F"/>
    <w:rsid w:val="00505279"/>
    <w:rsid w:val="005059B6"/>
    <w:rsid w:val="005063E1"/>
    <w:rsid w:val="005064AE"/>
    <w:rsid w:val="00506B77"/>
    <w:rsid w:val="00506C40"/>
    <w:rsid w:val="00507CC5"/>
    <w:rsid w:val="00510568"/>
    <w:rsid w:val="0051239B"/>
    <w:rsid w:val="00512B70"/>
    <w:rsid w:val="00514E3C"/>
    <w:rsid w:val="00514E63"/>
    <w:rsid w:val="00516BBB"/>
    <w:rsid w:val="00522E5C"/>
    <w:rsid w:val="00523E83"/>
    <w:rsid w:val="005248BB"/>
    <w:rsid w:val="00524E52"/>
    <w:rsid w:val="00526D5C"/>
    <w:rsid w:val="005272CA"/>
    <w:rsid w:val="005308A5"/>
    <w:rsid w:val="005314E9"/>
    <w:rsid w:val="00531723"/>
    <w:rsid w:val="0053254A"/>
    <w:rsid w:val="0053275E"/>
    <w:rsid w:val="0053324F"/>
    <w:rsid w:val="00533F44"/>
    <w:rsid w:val="005348BF"/>
    <w:rsid w:val="00534F81"/>
    <w:rsid w:val="00541E10"/>
    <w:rsid w:val="00541EF9"/>
    <w:rsid w:val="00541F0F"/>
    <w:rsid w:val="00542119"/>
    <w:rsid w:val="005425CD"/>
    <w:rsid w:val="005431CF"/>
    <w:rsid w:val="00543D0A"/>
    <w:rsid w:val="00544EFB"/>
    <w:rsid w:val="005454F3"/>
    <w:rsid w:val="005455E5"/>
    <w:rsid w:val="0054681B"/>
    <w:rsid w:val="0054779A"/>
    <w:rsid w:val="00547BA1"/>
    <w:rsid w:val="00552FBD"/>
    <w:rsid w:val="00553A89"/>
    <w:rsid w:val="00555E69"/>
    <w:rsid w:val="00556101"/>
    <w:rsid w:val="0055721E"/>
    <w:rsid w:val="00557CB1"/>
    <w:rsid w:val="0056072C"/>
    <w:rsid w:val="0056091E"/>
    <w:rsid w:val="00561371"/>
    <w:rsid w:val="0056172D"/>
    <w:rsid w:val="005628FE"/>
    <w:rsid w:val="00562BBE"/>
    <w:rsid w:val="005635F3"/>
    <w:rsid w:val="0056411C"/>
    <w:rsid w:val="00565B4C"/>
    <w:rsid w:val="005663FF"/>
    <w:rsid w:val="005675DF"/>
    <w:rsid w:val="005677E5"/>
    <w:rsid w:val="00570D24"/>
    <w:rsid w:val="00573F16"/>
    <w:rsid w:val="00574C1A"/>
    <w:rsid w:val="005773A4"/>
    <w:rsid w:val="0057759D"/>
    <w:rsid w:val="005779F8"/>
    <w:rsid w:val="00577E4E"/>
    <w:rsid w:val="00580EEB"/>
    <w:rsid w:val="00580FCF"/>
    <w:rsid w:val="00581CE5"/>
    <w:rsid w:val="00583673"/>
    <w:rsid w:val="00583D08"/>
    <w:rsid w:val="00586E98"/>
    <w:rsid w:val="00587BE7"/>
    <w:rsid w:val="00587CBC"/>
    <w:rsid w:val="005904C5"/>
    <w:rsid w:val="005911B5"/>
    <w:rsid w:val="00591401"/>
    <w:rsid w:val="00595DF1"/>
    <w:rsid w:val="00596524"/>
    <w:rsid w:val="005966B5"/>
    <w:rsid w:val="00597D35"/>
    <w:rsid w:val="005A399F"/>
    <w:rsid w:val="005A4A36"/>
    <w:rsid w:val="005A58B1"/>
    <w:rsid w:val="005A5DC8"/>
    <w:rsid w:val="005A6D6D"/>
    <w:rsid w:val="005A7264"/>
    <w:rsid w:val="005A7D65"/>
    <w:rsid w:val="005B0551"/>
    <w:rsid w:val="005B0BC8"/>
    <w:rsid w:val="005B1601"/>
    <w:rsid w:val="005B3139"/>
    <w:rsid w:val="005B35A2"/>
    <w:rsid w:val="005B4CFC"/>
    <w:rsid w:val="005B4DD6"/>
    <w:rsid w:val="005B58B0"/>
    <w:rsid w:val="005B6E0D"/>
    <w:rsid w:val="005C0298"/>
    <w:rsid w:val="005C0769"/>
    <w:rsid w:val="005C2B45"/>
    <w:rsid w:val="005C31A0"/>
    <w:rsid w:val="005C360A"/>
    <w:rsid w:val="005C3A74"/>
    <w:rsid w:val="005C421C"/>
    <w:rsid w:val="005C48E5"/>
    <w:rsid w:val="005C69D5"/>
    <w:rsid w:val="005C6DF1"/>
    <w:rsid w:val="005C7248"/>
    <w:rsid w:val="005C7EE9"/>
    <w:rsid w:val="005D221C"/>
    <w:rsid w:val="005D2A43"/>
    <w:rsid w:val="005D3B2D"/>
    <w:rsid w:val="005D3C99"/>
    <w:rsid w:val="005D6EA0"/>
    <w:rsid w:val="005E3188"/>
    <w:rsid w:val="005E3D15"/>
    <w:rsid w:val="005E5045"/>
    <w:rsid w:val="005E64ED"/>
    <w:rsid w:val="005E76D4"/>
    <w:rsid w:val="005E76E2"/>
    <w:rsid w:val="005E7853"/>
    <w:rsid w:val="005E7B36"/>
    <w:rsid w:val="005E7E76"/>
    <w:rsid w:val="005F02E6"/>
    <w:rsid w:val="005F08DD"/>
    <w:rsid w:val="005F1038"/>
    <w:rsid w:val="005F10F1"/>
    <w:rsid w:val="005F1911"/>
    <w:rsid w:val="005F282C"/>
    <w:rsid w:val="005F2CBA"/>
    <w:rsid w:val="005F3216"/>
    <w:rsid w:val="005F4B77"/>
    <w:rsid w:val="005F4DFE"/>
    <w:rsid w:val="005F4EF9"/>
    <w:rsid w:val="005F591A"/>
    <w:rsid w:val="005F6251"/>
    <w:rsid w:val="006015AE"/>
    <w:rsid w:val="006017B1"/>
    <w:rsid w:val="006043AF"/>
    <w:rsid w:val="0060468D"/>
    <w:rsid w:val="0060685F"/>
    <w:rsid w:val="00607066"/>
    <w:rsid w:val="00607097"/>
    <w:rsid w:val="00607197"/>
    <w:rsid w:val="00607A16"/>
    <w:rsid w:val="006109F8"/>
    <w:rsid w:val="006111A7"/>
    <w:rsid w:val="006147EA"/>
    <w:rsid w:val="0061684D"/>
    <w:rsid w:val="00620571"/>
    <w:rsid w:val="00620B22"/>
    <w:rsid w:val="00622086"/>
    <w:rsid w:val="00622E9D"/>
    <w:rsid w:val="00623075"/>
    <w:rsid w:val="00623910"/>
    <w:rsid w:val="00623B17"/>
    <w:rsid w:val="00624A27"/>
    <w:rsid w:val="00624D74"/>
    <w:rsid w:val="00624F57"/>
    <w:rsid w:val="0062716D"/>
    <w:rsid w:val="00627AF2"/>
    <w:rsid w:val="006312C8"/>
    <w:rsid w:val="00632F94"/>
    <w:rsid w:val="00633B4F"/>
    <w:rsid w:val="00633C26"/>
    <w:rsid w:val="00633E59"/>
    <w:rsid w:val="00634999"/>
    <w:rsid w:val="0063632F"/>
    <w:rsid w:val="0063733E"/>
    <w:rsid w:val="00640207"/>
    <w:rsid w:val="00640E38"/>
    <w:rsid w:val="006427DF"/>
    <w:rsid w:val="006440EC"/>
    <w:rsid w:val="00650C56"/>
    <w:rsid w:val="006518FC"/>
    <w:rsid w:val="00651DE6"/>
    <w:rsid w:val="006526BE"/>
    <w:rsid w:val="00652858"/>
    <w:rsid w:val="006558DC"/>
    <w:rsid w:val="0065596F"/>
    <w:rsid w:val="00656B27"/>
    <w:rsid w:val="00657F8B"/>
    <w:rsid w:val="00660401"/>
    <w:rsid w:val="006618FC"/>
    <w:rsid w:val="006635E3"/>
    <w:rsid w:val="00663D00"/>
    <w:rsid w:val="00663E86"/>
    <w:rsid w:val="006644BB"/>
    <w:rsid w:val="0066560E"/>
    <w:rsid w:val="00671585"/>
    <w:rsid w:val="0067176D"/>
    <w:rsid w:val="00671B7E"/>
    <w:rsid w:val="0067356D"/>
    <w:rsid w:val="00674DF5"/>
    <w:rsid w:val="00675F6A"/>
    <w:rsid w:val="006767BC"/>
    <w:rsid w:val="00676AF4"/>
    <w:rsid w:val="006778A5"/>
    <w:rsid w:val="00681D75"/>
    <w:rsid w:val="0068242E"/>
    <w:rsid w:val="006826AD"/>
    <w:rsid w:val="00683D76"/>
    <w:rsid w:val="0068470D"/>
    <w:rsid w:val="00684BAF"/>
    <w:rsid w:val="00686C33"/>
    <w:rsid w:val="006915D5"/>
    <w:rsid w:val="00696EBB"/>
    <w:rsid w:val="00697FEC"/>
    <w:rsid w:val="006A015E"/>
    <w:rsid w:val="006A18AC"/>
    <w:rsid w:val="006A1C1A"/>
    <w:rsid w:val="006A1F10"/>
    <w:rsid w:val="006A312D"/>
    <w:rsid w:val="006A4C29"/>
    <w:rsid w:val="006A4D4E"/>
    <w:rsid w:val="006A5E19"/>
    <w:rsid w:val="006A6DE1"/>
    <w:rsid w:val="006B061C"/>
    <w:rsid w:val="006B24EA"/>
    <w:rsid w:val="006B4F96"/>
    <w:rsid w:val="006B630A"/>
    <w:rsid w:val="006B7C24"/>
    <w:rsid w:val="006C1577"/>
    <w:rsid w:val="006C1A37"/>
    <w:rsid w:val="006C29B6"/>
    <w:rsid w:val="006C34C4"/>
    <w:rsid w:val="006C44A9"/>
    <w:rsid w:val="006C48D1"/>
    <w:rsid w:val="006C5ACD"/>
    <w:rsid w:val="006C6255"/>
    <w:rsid w:val="006C6300"/>
    <w:rsid w:val="006D1544"/>
    <w:rsid w:val="006D30A8"/>
    <w:rsid w:val="006D36B7"/>
    <w:rsid w:val="006D3872"/>
    <w:rsid w:val="006D3A49"/>
    <w:rsid w:val="006D4291"/>
    <w:rsid w:val="006D45AB"/>
    <w:rsid w:val="006D5649"/>
    <w:rsid w:val="006D5E5B"/>
    <w:rsid w:val="006D686D"/>
    <w:rsid w:val="006E11FD"/>
    <w:rsid w:val="006E16F1"/>
    <w:rsid w:val="006E3361"/>
    <w:rsid w:val="006E359B"/>
    <w:rsid w:val="006E5F9B"/>
    <w:rsid w:val="006E6A97"/>
    <w:rsid w:val="006E75BF"/>
    <w:rsid w:val="006E7948"/>
    <w:rsid w:val="006F09B5"/>
    <w:rsid w:val="006F0D72"/>
    <w:rsid w:val="006F1349"/>
    <w:rsid w:val="006F1CF8"/>
    <w:rsid w:val="006F201F"/>
    <w:rsid w:val="006F22B0"/>
    <w:rsid w:val="006F2368"/>
    <w:rsid w:val="006F2C03"/>
    <w:rsid w:val="006F42BE"/>
    <w:rsid w:val="006F48B3"/>
    <w:rsid w:val="006F48B8"/>
    <w:rsid w:val="006F4ACE"/>
    <w:rsid w:val="006F553C"/>
    <w:rsid w:val="006F5924"/>
    <w:rsid w:val="006F5CF0"/>
    <w:rsid w:val="006F6258"/>
    <w:rsid w:val="006F65E1"/>
    <w:rsid w:val="006F796A"/>
    <w:rsid w:val="006F7F8E"/>
    <w:rsid w:val="00701552"/>
    <w:rsid w:val="00701F6C"/>
    <w:rsid w:val="00703B26"/>
    <w:rsid w:val="00703D5A"/>
    <w:rsid w:val="00704FDE"/>
    <w:rsid w:val="00705448"/>
    <w:rsid w:val="00710053"/>
    <w:rsid w:val="00710BCA"/>
    <w:rsid w:val="007122EC"/>
    <w:rsid w:val="00712E6F"/>
    <w:rsid w:val="00714504"/>
    <w:rsid w:val="00717278"/>
    <w:rsid w:val="0071742A"/>
    <w:rsid w:val="0072443B"/>
    <w:rsid w:val="00730E8F"/>
    <w:rsid w:val="00731D48"/>
    <w:rsid w:val="00731DD8"/>
    <w:rsid w:val="00733D9F"/>
    <w:rsid w:val="00734484"/>
    <w:rsid w:val="0073728E"/>
    <w:rsid w:val="00740B3B"/>
    <w:rsid w:val="00742076"/>
    <w:rsid w:val="00743BF2"/>
    <w:rsid w:val="00743EED"/>
    <w:rsid w:val="00745136"/>
    <w:rsid w:val="00745A15"/>
    <w:rsid w:val="00745BEA"/>
    <w:rsid w:val="00745DD2"/>
    <w:rsid w:val="00746D61"/>
    <w:rsid w:val="00747F17"/>
    <w:rsid w:val="00751354"/>
    <w:rsid w:val="007546AA"/>
    <w:rsid w:val="00754D15"/>
    <w:rsid w:val="007551A3"/>
    <w:rsid w:val="00756909"/>
    <w:rsid w:val="00760D10"/>
    <w:rsid w:val="00762108"/>
    <w:rsid w:val="00765551"/>
    <w:rsid w:val="00766520"/>
    <w:rsid w:val="00770E38"/>
    <w:rsid w:val="00770E4F"/>
    <w:rsid w:val="00771477"/>
    <w:rsid w:val="0077501C"/>
    <w:rsid w:val="007751DE"/>
    <w:rsid w:val="00776AF1"/>
    <w:rsid w:val="00776D32"/>
    <w:rsid w:val="00781064"/>
    <w:rsid w:val="0078133D"/>
    <w:rsid w:val="00781E34"/>
    <w:rsid w:val="0078322B"/>
    <w:rsid w:val="0078493E"/>
    <w:rsid w:val="00784ED4"/>
    <w:rsid w:val="00785785"/>
    <w:rsid w:val="00791DED"/>
    <w:rsid w:val="00792AA8"/>
    <w:rsid w:val="00792E2E"/>
    <w:rsid w:val="00793AAE"/>
    <w:rsid w:val="00794972"/>
    <w:rsid w:val="007952F4"/>
    <w:rsid w:val="00795960"/>
    <w:rsid w:val="00796EE7"/>
    <w:rsid w:val="00797022"/>
    <w:rsid w:val="007A055E"/>
    <w:rsid w:val="007A3123"/>
    <w:rsid w:val="007A3ABE"/>
    <w:rsid w:val="007A3B7C"/>
    <w:rsid w:val="007A412D"/>
    <w:rsid w:val="007A48BC"/>
    <w:rsid w:val="007A4C3A"/>
    <w:rsid w:val="007A4CB0"/>
    <w:rsid w:val="007A5200"/>
    <w:rsid w:val="007A5B52"/>
    <w:rsid w:val="007A60F8"/>
    <w:rsid w:val="007A62C3"/>
    <w:rsid w:val="007B2DA0"/>
    <w:rsid w:val="007B341B"/>
    <w:rsid w:val="007B4102"/>
    <w:rsid w:val="007B562A"/>
    <w:rsid w:val="007B651A"/>
    <w:rsid w:val="007B6648"/>
    <w:rsid w:val="007B6669"/>
    <w:rsid w:val="007B69DD"/>
    <w:rsid w:val="007C179F"/>
    <w:rsid w:val="007C2E45"/>
    <w:rsid w:val="007C311B"/>
    <w:rsid w:val="007C3E0F"/>
    <w:rsid w:val="007C462E"/>
    <w:rsid w:val="007C506B"/>
    <w:rsid w:val="007C69C9"/>
    <w:rsid w:val="007D0986"/>
    <w:rsid w:val="007D1034"/>
    <w:rsid w:val="007D2553"/>
    <w:rsid w:val="007D2576"/>
    <w:rsid w:val="007D4E4B"/>
    <w:rsid w:val="007D59A7"/>
    <w:rsid w:val="007D698B"/>
    <w:rsid w:val="007D7BB6"/>
    <w:rsid w:val="007E2661"/>
    <w:rsid w:val="007E29F9"/>
    <w:rsid w:val="007E2F7F"/>
    <w:rsid w:val="007E5D35"/>
    <w:rsid w:val="007E638F"/>
    <w:rsid w:val="007E6795"/>
    <w:rsid w:val="007F3638"/>
    <w:rsid w:val="007F52A6"/>
    <w:rsid w:val="007F5789"/>
    <w:rsid w:val="007F68DA"/>
    <w:rsid w:val="007F76F2"/>
    <w:rsid w:val="008004E7"/>
    <w:rsid w:val="00800A7D"/>
    <w:rsid w:val="00802083"/>
    <w:rsid w:val="008020B2"/>
    <w:rsid w:val="0080276C"/>
    <w:rsid w:val="008060C8"/>
    <w:rsid w:val="00807407"/>
    <w:rsid w:val="00810F5C"/>
    <w:rsid w:val="008116EB"/>
    <w:rsid w:val="00812723"/>
    <w:rsid w:val="00812B05"/>
    <w:rsid w:val="00814A6A"/>
    <w:rsid w:val="00814ED4"/>
    <w:rsid w:val="008152E3"/>
    <w:rsid w:val="0081557C"/>
    <w:rsid w:val="008159B1"/>
    <w:rsid w:val="00815BE0"/>
    <w:rsid w:val="00815D20"/>
    <w:rsid w:val="00820282"/>
    <w:rsid w:val="00820651"/>
    <w:rsid w:val="0082117F"/>
    <w:rsid w:val="00823F07"/>
    <w:rsid w:val="00823F12"/>
    <w:rsid w:val="00825805"/>
    <w:rsid w:val="0082619C"/>
    <w:rsid w:val="00826D8C"/>
    <w:rsid w:val="00831A0D"/>
    <w:rsid w:val="00834418"/>
    <w:rsid w:val="00836577"/>
    <w:rsid w:val="00836AD2"/>
    <w:rsid w:val="008375CC"/>
    <w:rsid w:val="00841113"/>
    <w:rsid w:val="008415CC"/>
    <w:rsid w:val="00842862"/>
    <w:rsid w:val="00844A64"/>
    <w:rsid w:val="00845199"/>
    <w:rsid w:val="00845320"/>
    <w:rsid w:val="00845C8E"/>
    <w:rsid w:val="008461A2"/>
    <w:rsid w:val="00846A7C"/>
    <w:rsid w:val="00846F9C"/>
    <w:rsid w:val="00847280"/>
    <w:rsid w:val="00847DFE"/>
    <w:rsid w:val="0085010F"/>
    <w:rsid w:val="00851111"/>
    <w:rsid w:val="00851444"/>
    <w:rsid w:val="008525CF"/>
    <w:rsid w:val="008542CC"/>
    <w:rsid w:val="00857917"/>
    <w:rsid w:val="00860973"/>
    <w:rsid w:val="00860B77"/>
    <w:rsid w:val="0086183E"/>
    <w:rsid w:val="00863E1A"/>
    <w:rsid w:val="008648B5"/>
    <w:rsid w:val="00865A78"/>
    <w:rsid w:val="00866314"/>
    <w:rsid w:val="0086641A"/>
    <w:rsid w:val="00867F68"/>
    <w:rsid w:val="0087040C"/>
    <w:rsid w:val="008725C4"/>
    <w:rsid w:val="008737D3"/>
    <w:rsid w:val="00873E0E"/>
    <w:rsid w:val="00876112"/>
    <w:rsid w:val="00877CBF"/>
    <w:rsid w:val="00877FEE"/>
    <w:rsid w:val="00882022"/>
    <w:rsid w:val="00882D53"/>
    <w:rsid w:val="008830A5"/>
    <w:rsid w:val="00883437"/>
    <w:rsid w:val="008834C5"/>
    <w:rsid w:val="00883C24"/>
    <w:rsid w:val="008853F8"/>
    <w:rsid w:val="0088784F"/>
    <w:rsid w:val="00891242"/>
    <w:rsid w:val="008943CE"/>
    <w:rsid w:val="008953BD"/>
    <w:rsid w:val="0089561D"/>
    <w:rsid w:val="008A3979"/>
    <w:rsid w:val="008A4628"/>
    <w:rsid w:val="008A4B1B"/>
    <w:rsid w:val="008A5582"/>
    <w:rsid w:val="008A77BA"/>
    <w:rsid w:val="008B11F4"/>
    <w:rsid w:val="008B12FA"/>
    <w:rsid w:val="008B26BC"/>
    <w:rsid w:val="008B3175"/>
    <w:rsid w:val="008B47CB"/>
    <w:rsid w:val="008B6A6C"/>
    <w:rsid w:val="008B6BA8"/>
    <w:rsid w:val="008B6EF9"/>
    <w:rsid w:val="008C15BB"/>
    <w:rsid w:val="008C28E5"/>
    <w:rsid w:val="008C3DED"/>
    <w:rsid w:val="008C4E5F"/>
    <w:rsid w:val="008C5562"/>
    <w:rsid w:val="008C6886"/>
    <w:rsid w:val="008C6C82"/>
    <w:rsid w:val="008C7972"/>
    <w:rsid w:val="008D1412"/>
    <w:rsid w:val="008D15F7"/>
    <w:rsid w:val="008D1FDE"/>
    <w:rsid w:val="008D351D"/>
    <w:rsid w:val="008D3D38"/>
    <w:rsid w:val="008D3EEF"/>
    <w:rsid w:val="008D4FEB"/>
    <w:rsid w:val="008E1C45"/>
    <w:rsid w:val="008E1DF5"/>
    <w:rsid w:val="008E242E"/>
    <w:rsid w:val="008E350F"/>
    <w:rsid w:val="008E647B"/>
    <w:rsid w:val="008E7B61"/>
    <w:rsid w:val="008F084C"/>
    <w:rsid w:val="008F3AE2"/>
    <w:rsid w:val="008F5D71"/>
    <w:rsid w:val="008F6221"/>
    <w:rsid w:val="008F722B"/>
    <w:rsid w:val="008F777B"/>
    <w:rsid w:val="008F7CCE"/>
    <w:rsid w:val="00904611"/>
    <w:rsid w:val="009064E2"/>
    <w:rsid w:val="00906B5D"/>
    <w:rsid w:val="00906EFF"/>
    <w:rsid w:val="00907198"/>
    <w:rsid w:val="00907453"/>
    <w:rsid w:val="009077C7"/>
    <w:rsid w:val="0091220E"/>
    <w:rsid w:val="0091399C"/>
    <w:rsid w:val="009145F5"/>
    <w:rsid w:val="0091465A"/>
    <w:rsid w:val="00914D5F"/>
    <w:rsid w:val="009165EF"/>
    <w:rsid w:val="00920216"/>
    <w:rsid w:val="00920463"/>
    <w:rsid w:val="009231E5"/>
    <w:rsid w:val="009238C7"/>
    <w:rsid w:val="00923D68"/>
    <w:rsid w:val="009245CA"/>
    <w:rsid w:val="00924B8B"/>
    <w:rsid w:val="0092564F"/>
    <w:rsid w:val="00926E4D"/>
    <w:rsid w:val="00930C20"/>
    <w:rsid w:val="00930F6A"/>
    <w:rsid w:val="00931F3A"/>
    <w:rsid w:val="0093352D"/>
    <w:rsid w:val="009358C0"/>
    <w:rsid w:val="00935AB9"/>
    <w:rsid w:val="0093696E"/>
    <w:rsid w:val="00936FAB"/>
    <w:rsid w:val="009376FF"/>
    <w:rsid w:val="00940185"/>
    <w:rsid w:val="00940BCD"/>
    <w:rsid w:val="00940EC7"/>
    <w:rsid w:val="00941279"/>
    <w:rsid w:val="009462D5"/>
    <w:rsid w:val="00947411"/>
    <w:rsid w:val="00947CBD"/>
    <w:rsid w:val="00952D5D"/>
    <w:rsid w:val="0095345F"/>
    <w:rsid w:val="00953898"/>
    <w:rsid w:val="00953EB6"/>
    <w:rsid w:val="00954498"/>
    <w:rsid w:val="0095456C"/>
    <w:rsid w:val="009547B3"/>
    <w:rsid w:val="00954AB9"/>
    <w:rsid w:val="00956905"/>
    <w:rsid w:val="00956EA5"/>
    <w:rsid w:val="009614C6"/>
    <w:rsid w:val="00962BFB"/>
    <w:rsid w:val="00962E1C"/>
    <w:rsid w:val="0096349D"/>
    <w:rsid w:val="00964954"/>
    <w:rsid w:val="00965582"/>
    <w:rsid w:val="00966621"/>
    <w:rsid w:val="00966DEC"/>
    <w:rsid w:val="00967363"/>
    <w:rsid w:val="009705AA"/>
    <w:rsid w:val="00971794"/>
    <w:rsid w:val="00972939"/>
    <w:rsid w:val="0097337A"/>
    <w:rsid w:val="0097643E"/>
    <w:rsid w:val="0097673B"/>
    <w:rsid w:val="0097770B"/>
    <w:rsid w:val="00981767"/>
    <w:rsid w:val="00983A9A"/>
    <w:rsid w:val="00983FD7"/>
    <w:rsid w:val="00986000"/>
    <w:rsid w:val="0098697E"/>
    <w:rsid w:val="00987323"/>
    <w:rsid w:val="0098794B"/>
    <w:rsid w:val="009879CC"/>
    <w:rsid w:val="00987C7D"/>
    <w:rsid w:val="00990380"/>
    <w:rsid w:val="00990ECE"/>
    <w:rsid w:val="0099102F"/>
    <w:rsid w:val="00991122"/>
    <w:rsid w:val="009921DB"/>
    <w:rsid w:val="00993786"/>
    <w:rsid w:val="009940EF"/>
    <w:rsid w:val="00994A8D"/>
    <w:rsid w:val="00994D06"/>
    <w:rsid w:val="00997CF0"/>
    <w:rsid w:val="009A0BBC"/>
    <w:rsid w:val="009A20C8"/>
    <w:rsid w:val="009A213D"/>
    <w:rsid w:val="009A2B50"/>
    <w:rsid w:val="009A2EA8"/>
    <w:rsid w:val="009A5AFD"/>
    <w:rsid w:val="009A6D38"/>
    <w:rsid w:val="009A6EFD"/>
    <w:rsid w:val="009A7ED3"/>
    <w:rsid w:val="009B39DC"/>
    <w:rsid w:val="009B3CA8"/>
    <w:rsid w:val="009B61E7"/>
    <w:rsid w:val="009B7E15"/>
    <w:rsid w:val="009C0087"/>
    <w:rsid w:val="009C0E91"/>
    <w:rsid w:val="009C10FC"/>
    <w:rsid w:val="009C15C7"/>
    <w:rsid w:val="009C2EE1"/>
    <w:rsid w:val="009C6E72"/>
    <w:rsid w:val="009D09E3"/>
    <w:rsid w:val="009D0B08"/>
    <w:rsid w:val="009D2127"/>
    <w:rsid w:val="009D2575"/>
    <w:rsid w:val="009D3314"/>
    <w:rsid w:val="009D3C3F"/>
    <w:rsid w:val="009D3E9A"/>
    <w:rsid w:val="009D3FD3"/>
    <w:rsid w:val="009D4D67"/>
    <w:rsid w:val="009D55CA"/>
    <w:rsid w:val="009D5611"/>
    <w:rsid w:val="009D635B"/>
    <w:rsid w:val="009D66DC"/>
    <w:rsid w:val="009D7F6F"/>
    <w:rsid w:val="009E0393"/>
    <w:rsid w:val="009E07D3"/>
    <w:rsid w:val="009E1088"/>
    <w:rsid w:val="009E1CD2"/>
    <w:rsid w:val="009E36A2"/>
    <w:rsid w:val="009E4DAA"/>
    <w:rsid w:val="009E56F9"/>
    <w:rsid w:val="009E70F2"/>
    <w:rsid w:val="009E74F3"/>
    <w:rsid w:val="009F06F2"/>
    <w:rsid w:val="009F52ED"/>
    <w:rsid w:val="009F5755"/>
    <w:rsid w:val="009F5AE4"/>
    <w:rsid w:val="009F635E"/>
    <w:rsid w:val="009F7861"/>
    <w:rsid w:val="00A02C5D"/>
    <w:rsid w:val="00A0361D"/>
    <w:rsid w:val="00A03D24"/>
    <w:rsid w:val="00A074BD"/>
    <w:rsid w:val="00A109A3"/>
    <w:rsid w:val="00A109C8"/>
    <w:rsid w:val="00A131F2"/>
    <w:rsid w:val="00A136AE"/>
    <w:rsid w:val="00A140D3"/>
    <w:rsid w:val="00A1446B"/>
    <w:rsid w:val="00A167F2"/>
    <w:rsid w:val="00A174CD"/>
    <w:rsid w:val="00A17EFE"/>
    <w:rsid w:val="00A20124"/>
    <w:rsid w:val="00A206DA"/>
    <w:rsid w:val="00A20C78"/>
    <w:rsid w:val="00A22CEC"/>
    <w:rsid w:val="00A2312E"/>
    <w:rsid w:val="00A239C5"/>
    <w:rsid w:val="00A24323"/>
    <w:rsid w:val="00A2512C"/>
    <w:rsid w:val="00A2515B"/>
    <w:rsid w:val="00A2588E"/>
    <w:rsid w:val="00A26C94"/>
    <w:rsid w:val="00A26C9F"/>
    <w:rsid w:val="00A26EDF"/>
    <w:rsid w:val="00A26FFB"/>
    <w:rsid w:val="00A273F7"/>
    <w:rsid w:val="00A301A8"/>
    <w:rsid w:val="00A318F1"/>
    <w:rsid w:val="00A31E8C"/>
    <w:rsid w:val="00A34789"/>
    <w:rsid w:val="00A3630E"/>
    <w:rsid w:val="00A36536"/>
    <w:rsid w:val="00A37958"/>
    <w:rsid w:val="00A37966"/>
    <w:rsid w:val="00A37BB8"/>
    <w:rsid w:val="00A37D74"/>
    <w:rsid w:val="00A40225"/>
    <w:rsid w:val="00A41FF8"/>
    <w:rsid w:val="00A42075"/>
    <w:rsid w:val="00A42D87"/>
    <w:rsid w:val="00A44BD3"/>
    <w:rsid w:val="00A4521D"/>
    <w:rsid w:val="00A46D6F"/>
    <w:rsid w:val="00A50746"/>
    <w:rsid w:val="00A51F0A"/>
    <w:rsid w:val="00A53494"/>
    <w:rsid w:val="00A53A44"/>
    <w:rsid w:val="00A54EF2"/>
    <w:rsid w:val="00A55D48"/>
    <w:rsid w:val="00A57BEB"/>
    <w:rsid w:val="00A60894"/>
    <w:rsid w:val="00A61673"/>
    <w:rsid w:val="00A62D02"/>
    <w:rsid w:val="00A6300F"/>
    <w:rsid w:val="00A64926"/>
    <w:rsid w:val="00A65571"/>
    <w:rsid w:val="00A665CF"/>
    <w:rsid w:val="00A67CA7"/>
    <w:rsid w:val="00A70E39"/>
    <w:rsid w:val="00A71AFD"/>
    <w:rsid w:val="00A71C5E"/>
    <w:rsid w:val="00A72084"/>
    <w:rsid w:val="00A73989"/>
    <w:rsid w:val="00A770FC"/>
    <w:rsid w:val="00A7752F"/>
    <w:rsid w:val="00A80A83"/>
    <w:rsid w:val="00A821A8"/>
    <w:rsid w:val="00A82C46"/>
    <w:rsid w:val="00A83A9B"/>
    <w:rsid w:val="00A841B2"/>
    <w:rsid w:val="00A854B8"/>
    <w:rsid w:val="00A85C35"/>
    <w:rsid w:val="00A86675"/>
    <w:rsid w:val="00A90334"/>
    <w:rsid w:val="00A90561"/>
    <w:rsid w:val="00A90C24"/>
    <w:rsid w:val="00A91CAC"/>
    <w:rsid w:val="00A92061"/>
    <w:rsid w:val="00A94249"/>
    <w:rsid w:val="00A94BC9"/>
    <w:rsid w:val="00A959BC"/>
    <w:rsid w:val="00A9694D"/>
    <w:rsid w:val="00AA051B"/>
    <w:rsid w:val="00AA0F19"/>
    <w:rsid w:val="00AA2562"/>
    <w:rsid w:val="00AA287F"/>
    <w:rsid w:val="00AA3C60"/>
    <w:rsid w:val="00AA5FF6"/>
    <w:rsid w:val="00AA727C"/>
    <w:rsid w:val="00AB00AD"/>
    <w:rsid w:val="00AB10E0"/>
    <w:rsid w:val="00AB1909"/>
    <w:rsid w:val="00AB1946"/>
    <w:rsid w:val="00AB2FF4"/>
    <w:rsid w:val="00AB35BA"/>
    <w:rsid w:val="00AB4C94"/>
    <w:rsid w:val="00AB5F9C"/>
    <w:rsid w:val="00AB7BD7"/>
    <w:rsid w:val="00AC0B99"/>
    <w:rsid w:val="00AC0DF1"/>
    <w:rsid w:val="00AC1367"/>
    <w:rsid w:val="00AC1AD6"/>
    <w:rsid w:val="00AC240C"/>
    <w:rsid w:val="00AC2F61"/>
    <w:rsid w:val="00AC42AE"/>
    <w:rsid w:val="00AC5EDA"/>
    <w:rsid w:val="00AD100C"/>
    <w:rsid w:val="00AD1690"/>
    <w:rsid w:val="00AD25D9"/>
    <w:rsid w:val="00AD64DF"/>
    <w:rsid w:val="00AE1025"/>
    <w:rsid w:val="00AE2630"/>
    <w:rsid w:val="00AE3F03"/>
    <w:rsid w:val="00AE4920"/>
    <w:rsid w:val="00AE535C"/>
    <w:rsid w:val="00AE64F0"/>
    <w:rsid w:val="00AF0CAC"/>
    <w:rsid w:val="00AF23C8"/>
    <w:rsid w:val="00AF2AE2"/>
    <w:rsid w:val="00AF69AC"/>
    <w:rsid w:val="00B0377E"/>
    <w:rsid w:val="00B057C4"/>
    <w:rsid w:val="00B07BA9"/>
    <w:rsid w:val="00B10055"/>
    <w:rsid w:val="00B10E13"/>
    <w:rsid w:val="00B1141E"/>
    <w:rsid w:val="00B1278B"/>
    <w:rsid w:val="00B12AF1"/>
    <w:rsid w:val="00B13009"/>
    <w:rsid w:val="00B17295"/>
    <w:rsid w:val="00B215F5"/>
    <w:rsid w:val="00B2318A"/>
    <w:rsid w:val="00B25910"/>
    <w:rsid w:val="00B260C8"/>
    <w:rsid w:val="00B26626"/>
    <w:rsid w:val="00B26B62"/>
    <w:rsid w:val="00B272B1"/>
    <w:rsid w:val="00B27A54"/>
    <w:rsid w:val="00B30783"/>
    <w:rsid w:val="00B31F7C"/>
    <w:rsid w:val="00B32370"/>
    <w:rsid w:val="00B335CD"/>
    <w:rsid w:val="00B33E01"/>
    <w:rsid w:val="00B33E60"/>
    <w:rsid w:val="00B341C9"/>
    <w:rsid w:val="00B345EE"/>
    <w:rsid w:val="00B3536B"/>
    <w:rsid w:val="00B36C4B"/>
    <w:rsid w:val="00B41C9D"/>
    <w:rsid w:val="00B41F0F"/>
    <w:rsid w:val="00B4211F"/>
    <w:rsid w:val="00B42560"/>
    <w:rsid w:val="00B429A6"/>
    <w:rsid w:val="00B42C22"/>
    <w:rsid w:val="00B455AA"/>
    <w:rsid w:val="00B45778"/>
    <w:rsid w:val="00B457A1"/>
    <w:rsid w:val="00B4630F"/>
    <w:rsid w:val="00B464B1"/>
    <w:rsid w:val="00B476B1"/>
    <w:rsid w:val="00B47A4A"/>
    <w:rsid w:val="00B47B51"/>
    <w:rsid w:val="00B47B99"/>
    <w:rsid w:val="00B47F81"/>
    <w:rsid w:val="00B506F2"/>
    <w:rsid w:val="00B510E3"/>
    <w:rsid w:val="00B521AC"/>
    <w:rsid w:val="00B52702"/>
    <w:rsid w:val="00B52727"/>
    <w:rsid w:val="00B53AC8"/>
    <w:rsid w:val="00B542F4"/>
    <w:rsid w:val="00B543BC"/>
    <w:rsid w:val="00B5498D"/>
    <w:rsid w:val="00B54BB6"/>
    <w:rsid w:val="00B5501D"/>
    <w:rsid w:val="00B57D8D"/>
    <w:rsid w:val="00B6012A"/>
    <w:rsid w:val="00B6151E"/>
    <w:rsid w:val="00B6344A"/>
    <w:rsid w:val="00B63DB6"/>
    <w:rsid w:val="00B64962"/>
    <w:rsid w:val="00B64F5C"/>
    <w:rsid w:val="00B652AA"/>
    <w:rsid w:val="00B676EC"/>
    <w:rsid w:val="00B67D6D"/>
    <w:rsid w:val="00B7016C"/>
    <w:rsid w:val="00B7039B"/>
    <w:rsid w:val="00B737F7"/>
    <w:rsid w:val="00B74D1E"/>
    <w:rsid w:val="00B74ECC"/>
    <w:rsid w:val="00B75DFF"/>
    <w:rsid w:val="00B76A18"/>
    <w:rsid w:val="00B76B8C"/>
    <w:rsid w:val="00B77487"/>
    <w:rsid w:val="00B831B8"/>
    <w:rsid w:val="00B83306"/>
    <w:rsid w:val="00B8433B"/>
    <w:rsid w:val="00B84C6C"/>
    <w:rsid w:val="00B9020F"/>
    <w:rsid w:val="00B92687"/>
    <w:rsid w:val="00B92972"/>
    <w:rsid w:val="00B93A45"/>
    <w:rsid w:val="00B94248"/>
    <w:rsid w:val="00B942A1"/>
    <w:rsid w:val="00B94B4F"/>
    <w:rsid w:val="00B94CCD"/>
    <w:rsid w:val="00B976F6"/>
    <w:rsid w:val="00BA12A9"/>
    <w:rsid w:val="00BA2AAA"/>
    <w:rsid w:val="00BA2BA3"/>
    <w:rsid w:val="00BA3153"/>
    <w:rsid w:val="00BA4407"/>
    <w:rsid w:val="00BA4CAD"/>
    <w:rsid w:val="00BA5F41"/>
    <w:rsid w:val="00BA6FEC"/>
    <w:rsid w:val="00BA7385"/>
    <w:rsid w:val="00BB0D95"/>
    <w:rsid w:val="00BB187C"/>
    <w:rsid w:val="00BB1B86"/>
    <w:rsid w:val="00BB296B"/>
    <w:rsid w:val="00BB2A9C"/>
    <w:rsid w:val="00BB2D75"/>
    <w:rsid w:val="00BB3033"/>
    <w:rsid w:val="00BB3165"/>
    <w:rsid w:val="00BB3622"/>
    <w:rsid w:val="00BB3D72"/>
    <w:rsid w:val="00BB4BCF"/>
    <w:rsid w:val="00BB682C"/>
    <w:rsid w:val="00BB6B26"/>
    <w:rsid w:val="00BB7B0A"/>
    <w:rsid w:val="00BB7CA9"/>
    <w:rsid w:val="00BB7E88"/>
    <w:rsid w:val="00BC062D"/>
    <w:rsid w:val="00BC0DE8"/>
    <w:rsid w:val="00BC1694"/>
    <w:rsid w:val="00BC236B"/>
    <w:rsid w:val="00BC2BB4"/>
    <w:rsid w:val="00BC65D9"/>
    <w:rsid w:val="00BC7C52"/>
    <w:rsid w:val="00BD0CF6"/>
    <w:rsid w:val="00BD0FA9"/>
    <w:rsid w:val="00BD1471"/>
    <w:rsid w:val="00BD14C5"/>
    <w:rsid w:val="00BD196A"/>
    <w:rsid w:val="00BD1D41"/>
    <w:rsid w:val="00BD2081"/>
    <w:rsid w:val="00BD2311"/>
    <w:rsid w:val="00BD6262"/>
    <w:rsid w:val="00BD68FB"/>
    <w:rsid w:val="00BD7EED"/>
    <w:rsid w:val="00BE1AF0"/>
    <w:rsid w:val="00BE2522"/>
    <w:rsid w:val="00BE375D"/>
    <w:rsid w:val="00BE3DEF"/>
    <w:rsid w:val="00BE495D"/>
    <w:rsid w:val="00BE4C48"/>
    <w:rsid w:val="00BE54A7"/>
    <w:rsid w:val="00BE61C1"/>
    <w:rsid w:val="00BE64AF"/>
    <w:rsid w:val="00BE6717"/>
    <w:rsid w:val="00BE790E"/>
    <w:rsid w:val="00BF0381"/>
    <w:rsid w:val="00BF1B4A"/>
    <w:rsid w:val="00BF23F7"/>
    <w:rsid w:val="00BF26F1"/>
    <w:rsid w:val="00BF446E"/>
    <w:rsid w:val="00BF5BF5"/>
    <w:rsid w:val="00BF6E7B"/>
    <w:rsid w:val="00C01021"/>
    <w:rsid w:val="00C0141F"/>
    <w:rsid w:val="00C0164D"/>
    <w:rsid w:val="00C01F72"/>
    <w:rsid w:val="00C022C2"/>
    <w:rsid w:val="00C02457"/>
    <w:rsid w:val="00C025AF"/>
    <w:rsid w:val="00C03FF2"/>
    <w:rsid w:val="00C04483"/>
    <w:rsid w:val="00C045EE"/>
    <w:rsid w:val="00C048AF"/>
    <w:rsid w:val="00C075ED"/>
    <w:rsid w:val="00C07716"/>
    <w:rsid w:val="00C077E0"/>
    <w:rsid w:val="00C07DE6"/>
    <w:rsid w:val="00C1212E"/>
    <w:rsid w:val="00C12607"/>
    <w:rsid w:val="00C12BC0"/>
    <w:rsid w:val="00C154B5"/>
    <w:rsid w:val="00C15D81"/>
    <w:rsid w:val="00C17872"/>
    <w:rsid w:val="00C205E9"/>
    <w:rsid w:val="00C212FC"/>
    <w:rsid w:val="00C21826"/>
    <w:rsid w:val="00C23522"/>
    <w:rsid w:val="00C23F48"/>
    <w:rsid w:val="00C2411A"/>
    <w:rsid w:val="00C25615"/>
    <w:rsid w:val="00C25AFC"/>
    <w:rsid w:val="00C25BAB"/>
    <w:rsid w:val="00C262BD"/>
    <w:rsid w:val="00C26544"/>
    <w:rsid w:val="00C30E04"/>
    <w:rsid w:val="00C310C2"/>
    <w:rsid w:val="00C32533"/>
    <w:rsid w:val="00C33E33"/>
    <w:rsid w:val="00C36525"/>
    <w:rsid w:val="00C40EB3"/>
    <w:rsid w:val="00C41BD9"/>
    <w:rsid w:val="00C42226"/>
    <w:rsid w:val="00C434FD"/>
    <w:rsid w:val="00C4350E"/>
    <w:rsid w:val="00C4636E"/>
    <w:rsid w:val="00C47AC7"/>
    <w:rsid w:val="00C5187D"/>
    <w:rsid w:val="00C5192E"/>
    <w:rsid w:val="00C52DE6"/>
    <w:rsid w:val="00C53B06"/>
    <w:rsid w:val="00C5531D"/>
    <w:rsid w:val="00C57A8F"/>
    <w:rsid w:val="00C6016B"/>
    <w:rsid w:val="00C61B0D"/>
    <w:rsid w:val="00C634A7"/>
    <w:rsid w:val="00C638D7"/>
    <w:rsid w:val="00C638DF"/>
    <w:rsid w:val="00C64720"/>
    <w:rsid w:val="00C6517F"/>
    <w:rsid w:val="00C66AEF"/>
    <w:rsid w:val="00C67BA6"/>
    <w:rsid w:val="00C70DA3"/>
    <w:rsid w:val="00C71176"/>
    <w:rsid w:val="00C71392"/>
    <w:rsid w:val="00C71920"/>
    <w:rsid w:val="00C72A63"/>
    <w:rsid w:val="00C7320A"/>
    <w:rsid w:val="00C73ECB"/>
    <w:rsid w:val="00C768E8"/>
    <w:rsid w:val="00C77A70"/>
    <w:rsid w:val="00C80AE4"/>
    <w:rsid w:val="00C81284"/>
    <w:rsid w:val="00C81485"/>
    <w:rsid w:val="00C84BED"/>
    <w:rsid w:val="00C84FEE"/>
    <w:rsid w:val="00C85552"/>
    <w:rsid w:val="00C85643"/>
    <w:rsid w:val="00C857F1"/>
    <w:rsid w:val="00C871C4"/>
    <w:rsid w:val="00C874CA"/>
    <w:rsid w:val="00C91225"/>
    <w:rsid w:val="00C93BB1"/>
    <w:rsid w:val="00C957D7"/>
    <w:rsid w:val="00C97301"/>
    <w:rsid w:val="00CA1130"/>
    <w:rsid w:val="00CA415F"/>
    <w:rsid w:val="00CA529D"/>
    <w:rsid w:val="00CA54A6"/>
    <w:rsid w:val="00CA5EA7"/>
    <w:rsid w:val="00CB026C"/>
    <w:rsid w:val="00CB0A6A"/>
    <w:rsid w:val="00CB20B9"/>
    <w:rsid w:val="00CB2C14"/>
    <w:rsid w:val="00CB5A49"/>
    <w:rsid w:val="00CB5C15"/>
    <w:rsid w:val="00CB678B"/>
    <w:rsid w:val="00CC1228"/>
    <w:rsid w:val="00CC1A21"/>
    <w:rsid w:val="00CC1BA4"/>
    <w:rsid w:val="00CC274A"/>
    <w:rsid w:val="00CC3C7E"/>
    <w:rsid w:val="00CC548C"/>
    <w:rsid w:val="00CC66DE"/>
    <w:rsid w:val="00CC75C4"/>
    <w:rsid w:val="00CC783D"/>
    <w:rsid w:val="00CC7C0C"/>
    <w:rsid w:val="00CD03AE"/>
    <w:rsid w:val="00CD291D"/>
    <w:rsid w:val="00CD48C1"/>
    <w:rsid w:val="00CD5694"/>
    <w:rsid w:val="00CD57AB"/>
    <w:rsid w:val="00CD641C"/>
    <w:rsid w:val="00CD75E3"/>
    <w:rsid w:val="00CE1455"/>
    <w:rsid w:val="00CE14A0"/>
    <w:rsid w:val="00CE1576"/>
    <w:rsid w:val="00CE2627"/>
    <w:rsid w:val="00CE2EB2"/>
    <w:rsid w:val="00CE401E"/>
    <w:rsid w:val="00CE46E7"/>
    <w:rsid w:val="00CE525D"/>
    <w:rsid w:val="00CE5C99"/>
    <w:rsid w:val="00CF1DCC"/>
    <w:rsid w:val="00CF23EE"/>
    <w:rsid w:val="00CF41D3"/>
    <w:rsid w:val="00CF447B"/>
    <w:rsid w:val="00CF582B"/>
    <w:rsid w:val="00CF5DA1"/>
    <w:rsid w:val="00CF6B93"/>
    <w:rsid w:val="00D00C9C"/>
    <w:rsid w:val="00D02FC2"/>
    <w:rsid w:val="00D04CA8"/>
    <w:rsid w:val="00D057B0"/>
    <w:rsid w:val="00D0723B"/>
    <w:rsid w:val="00D10DDF"/>
    <w:rsid w:val="00D11357"/>
    <w:rsid w:val="00D1240A"/>
    <w:rsid w:val="00D126E8"/>
    <w:rsid w:val="00D126F7"/>
    <w:rsid w:val="00D129F5"/>
    <w:rsid w:val="00D12ED9"/>
    <w:rsid w:val="00D141DD"/>
    <w:rsid w:val="00D1494A"/>
    <w:rsid w:val="00D21887"/>
    <w:rsid w:val="00D22468"/>
    <w:rsid w:val="00D266DE"/>
    <w:rsid w:val="00D27DBB"/>
    <w:rsid w:val="00D31041"/>
    <w:rsid w:val="00D31689"/>
    <w:rsid w:val="00D325D3"/>
    <w:rsid w:val="00D355E8"/>
    <w:rsid w:val="00D36338"/>
    <w:rsid w:val="00D37A39"/>
    <w:rsid w:val="00D4081E"/>
    <w:rsid w:val="00D409EF"/>
    <w:rsid w:val="00D43DD6"/>
    <w:rsid w:val="00D44BD7"/>
    <w:rsid w:val="00D454EC"/>
    <w:rsid w:val="00D461B2"/>
    <w:rsid w:val="00D51C2C"/>
    <w:rsid w:val="00D53525"/>
    <w:rsid w:val="00D55A36"/>
    <w:rsid w:val="00D55DFF"/>
    <w:rsid w:val="00D5689A"/>
    <w:rsid w:val="00D57072"/>
    <w:rsid w:val="00D60B88"/>
    <w:rsid w:val="00D61249"/>
    <w:rsid w:val="00D61646"/>
    <w:rsid w:val="00D61AE5"/>
    <w:rsid w:val="00D62E7F"/>
    <w:rsid w:val="00D62FC3"/>
    <w:rsid w:val="00D64315"/>
    <w:rsid w:val="00D64636"/>
    <w:rsid w:val="00D668E4"/>
    <w:rsid w:val="00D67466"/>
    <w:rsid w:val="00D67B36"/>
    <w:rsid w:val="00D7047B"/>
    <w:rsid w:val="00D70735"/>
    <w:rsid w:val="00D714F8"/>
    <w:rsid w:val="00D72003"/>
    <w:rsid w:val="00D729A9"/>
    <w:rsid w:val="00D741F4"/>
    <w:rsid w:val="00D74FEC"/>
    <w:rsid w:val="00D75505"/>
    <w:rsid w:val="00D76695"/>
    <w:rsid w:val="00D77DAB"/>
    <w:rsid w:val="00D77FD4"/>
    <w:rsid w:val="00D80998"/>
    <w:rsid w:val="00D8228F"/>
    <w:rsid w:val="00D83CB1"/>
    <w:rsid w:val="00D8497A"/>
    <w:rsid w:val="00D862DA"/>
    <w:rsid w:val="00D8640C"/>
    <w:rsid w:val="00D86456"/>
    <w:rsid w:val="00D86909"/>
    <w:rsid w:val="00D86B12"/>
    <w:rsid w:val="00D870BD"/>
    <w:rsid w:val="00D90144"/>
    <w:rsid w:val="00D90ED8"/>
    <w:rsid w:val="00D936C9"/>
    <w:rsid w:val="00D94E7F"/>
    <w:rsid w:val="00D95B2C"/>
    <w:rsid w:val="00DA22DA"/>
    <w:rsid w:val="00DA352D"/>
    <w:rsid w:val="00DA3D7B"/>
    <w:rsid w:val="00DA43F9"/>
    <w:rsid w:val="00DA4D95"/>
    <w:rsid w:val="00DA5CBC"/>
    <w:rsid w:val="00DA6721"/>
    <w:rsid w:val="00DA7189"/>
    <w:rsid w:val="00DA7370"/>
    <w:rsid w:val="00DB1190"/>
    <w:rsid w:val="00DB15ED"/>
    <w:rsid w:val="00DB25F0"/>
    <w:rsid w:val="00DB2B58"/>
    <w:rsid w:val="00DB2E3B"/>
    <w:rsid w:val="00DB3EC6"/>
    <w:rsid w:val="00DB4594"/>
    <w:rsid w:val="00DB4AA3"/>
    <w:rsid w:val="00DB59FE"/>
    <w:rsid w:val="00DB5DFC"/>
    <w:rsid w:val="00DB68FF"/>
    <w:rsid w:val="00DB7230"/>
    <w:rsid w:val="00DC32BA"/>
    <w:rsid w:val="00DC39A2"/>
    <w:rsid w:val="00DC45DF"/>
    <w:rsid w:val="00DC563D"/>
    <w:rsid w:val="00DC5FD8"/>
    <w:rsid w:val="00DC6DF1"/>
    <w:rsid w:val="00DD4569"/>
    <w:rsid w:val="00DD6518"/>
    <w:rsid w:val="00DD6537"/>
    <w:rsid w:val="00DD6667"/>
    <w:rsid w:val="00DD711B"/>
    <w:rsid w:val="00DD74A2"/>
    <w:rsid w:val="00DE1009"/>
    <w:rsid w:val="00DE16C2"/>
    <w:rsid w:val="00DE19C6"/>
    <w:rsid w:val="00DE27EC"/>
    <w:rsid w:val="00DE30E5"/>
    <w:rsid w:val="00DE37F8"/>
    <w:rsid w:val="00DE383B"/>
    <w:rsid w:val="00DE49BE"/>
    <w:rsid w:val="00DE6576"/>
    <w:rsid w:val="00DF2B7C"/>
    <w:rsid w:val="00DF312A"/>
    <w:rsid w:val="00DF4614"/>
    <w:rsid w:val="00DF4D84"/>
    <w:rsid w:val="00DF626B"/>
    <w:rsid w:val="00DF69C8"/>
    <w:rsid w:val="00DF6D10"/>
    <w:rsid w:val="00DF7413"/>
    <w:rsid w:val="00DF7B25"/>
    <w:rsid w:val="00E0091F"/>
    <w:rsid w:val="00E00B67"/>
    <w:rsid w:val="00E00BEC"/>
    <w:rsid w:val="00E0237E"/>
    <w:rsid w:val="00E0299F"/>
    <w:rsid w:val="00E04840"/>
    <w:rsid w:val="00E07494"/>
    <w:rsid w:val="00E108E1"/>
    <w:rsid w:val="00E11080"/>
    <w:rsid w:val="00E135A1"/>
    <w:rsid w:val="00E140A4"/>
    <w:rsid w:val="00E1488B"/>
    <w:rsid w:val="00E1496E"/>
    <w:rsid w:val="00E16CC1"/>
    <w:rsid w:val="00E16EF1"/>
    <w:rsid w:val="00E177A0"/>
    <w:rsid w:val="00E17F63"/>
    <w:rsid w:val="00E204E5"/>
    <w:rsid w:val="00E24BFA"/>
    <w:rsid w:val="00E25C05"/>
    <w:rsid w:val="00E27116"/>
    <w:rsid w:val="00E272A1"/>
    <w:rsid w:val="00E30523"/>
    <w:rsid w:val="00E34F84"/>
    <w:rsid w:val="00E366E9"/>
    <w:rsid w:val="00E368C3"/>
    <w:rsid w:val="00E36DAC"/>
    <w:rsid w:val="00E3764A"/>
    <w:rsid w:val="00E37A7B"/>
    <w:rsid w:val="00E42A06"/>
    <w:rsid w:val="00E42B21"/>
    <w:rsid w:val="00E4384F"/>
    <w:rsid w:val="00E43C06"/>
    <w:rsid w:val="00E449B1"/>
    <w:rsid w:val="00E47AC3"/>
    <w:rsid w:val="00E47B31"/>
    <w:rsid w:val="00E501F7"/>
    <w:rsid w:val="00E5082D"/>
    <w:rsid w:val="00E52A0C"/>
    <w:rsid w:val="00E547F6"/>
    <w:rsid w:val="00E574A9"/>
    <w:rsid w:val="00E57889"/>
    <w:rsid w:val="00E60511"/>
    <w:rsid w:val="00E61355"/>
    <w:rsid w:val="00E613BC"/>
    <w:rsid w:val="00E61F1E"/>
    <w:rsid w:val="00E63727"/>
    <w:rsid w:val="00E642D7"/>
    <w:rsid w:val="00E65226"/>
    <w:rsid w:val="00E66670"/>
    <w:rsid w:val="00E66861"/>
    <w:rsid w:val="00E66E21"/>
    <w:rsid w:val="00E67063"/>
    <w:rsid w:val="00E70EDD"/>
    <w:rsid w:val="00E70F38"/>
    <w:rsid w:val="00E710FC"/>
    <w:rsid w:val="00E7132F"/>
    <w:rsid w:val="00E71915"/>
    <w:rsid w:val="00E754DF"/>
    <w:rsid w:val="00E773E9"/>
    <w:rsid w:val="00E80916"/>
    <w:rsid w:val="00E81BFF"/>
    <w:rsid w:val="00E840DF"/>
    <w:rsid w:val="00E844D6"/>
    <w:rsid w:val="00E8452A"/>
    <w:rsid w:val="00E84A95"/>
    <w:rsid w:val="00E8560F"/>
    <w:rsid w:val="00E860A3"/>
    <w:rsid w:val="00E8780A"/>
    <w:rsid w:val="00E926D2"/>
    <w:rsid w:val="00E92BD3"/>
    <w:rsid w:val="00E957FC"/>
    <w:rsid w:val="00E97C5A"/>
    <w:rsid w:val="00EA0289"/>
    <w:rsid w:val="00EA14E1"/>
    <w:rsid w:val="00EA17BC"/>
    <w:rsid w:val="00EA7BAA"/>
    <w:rsid w:val="00EB02E0"/>
    <w:rsid w:val="00EB11D1"/>
    <w:rsid w:val="00EB16C4"/>
    <w:rsid w:val="00EB181B"/>
    <w:rsid w:val="00EB1CA4"/>
    <w:rsid w:val="00EB2DEA"/>
    <w:rsid w:val="00EB3176"/>
    <w:rsid w:val="00EB3D24"/>
    <w:rsid w:val="00EB60EE"/>
    <w:rsid w:val="00EB6849"/>
    <w:rsid w:val="00EC341C"/>
    <w:rsid w:val="00EC3AF0"/>
    <w:rsid w:val="00EC538B"/>
    <w:rsid w:val="00ED0C91"/>
    <w:rsid w:val="00ED1657"/>
    <w:rsid w:val="00ED5637"/>
    <w:rsid w:val="00ED6618"/>
    <w:rsid w:val="00EE19AD"/>
    <w:rsid w:val="00EE38F8"/>
    <w:rsid w:val="00EE71C9"/>
    <w:rsid w:val="00EE7D53"/>
    <w:rsid w:val="00EF07C6"/>
    <w:rsid w:val="00EF0B7A"/>
    <w:rsid w:val="00EF10BC"/>
    <w:rsid w:val="00EF2056"/>
    <w:rsid w:val="00EF352D"/>
    <w:rsid w:val="00EF4AEE"/>
    <w:rsid w:val="00EF4E51"/>
    <w:rsid w:val="00EF59F2"/>
    <w:rsid w:val="00EF5A94"/>
    <w:rsid w:val="00EF5B14"/>
    <w:rsid w:val="00EF6A7D"/>
    <w:rsid w:val="00EF6E41"/>
    <w:rsid w:val="00EF752D"/>
    <w:rsid w:val="00F00A36"/>
    <w:rsid w:val="00F02122"/>
    <w:rsid w:val="00F0283D"/>
    <w:rsid w:val="00F03849"/>
    <w:rsid w:val="00F03BF4"/>
    <w:rsid w:val="00F03F3B"/>
    <w:rsid w:val="00F04300"/>
    <w:rsid w:val="00F0693D"/>
    <w:rsid w:val="00F07468"/>
    <w:rsid w:val="00F078E0"/>
    <w:rsid w:val="00F11DDC"/>
    <w:rsid w:val="00F1302B"/>
    <w:rsid w:val="00F13F76"/>
    <w:rsid w:val="00F14A02"/>
    <w:rsid w:val="00F153C1"/>
    <w:rsid w:val="00F15CA7"/>
    <w:rsid w:val="00F16071"/>
    <w:rsid w:val="00F171AF"/>
    <w:rsid w:val="00F2176B"/>
    <w:rsid w:val="00F217E8"/>
    <w:rsid w:val="00F22CFD"/>
    <w:rsid w:val="00F22D82"/>
    <w:rsid w:val="00F22FE8"/>
    <w:rsid w:val="00F236EE"/>
    <w:rsid w:val="00F23A8E"/>
    <w:rsid w:val="00F24569"/>
    <w:rsid w:val="00F2582D"/>
    <w:rsid w:val="00F2659C"/>
    <w:rsid w:val="00F26D40"/>
    <w:rsid w:val="00F302CD"/>
    <w:rsid w:val="00F308F2"/>
    <w:rsid w:val="00F319AB"/>
    <w:rsid w:val="00F33202"/>
    <w:rsid w:val="00F340B6"/>
    <w:rsid w:val="00F34991"/>
    <w:rsid w:val="00F361B7"/>
    <w:rsid w:val="00F36307"/>
    <w:rsid w:val="00F36B37"/>
    <w:rsid w:val="00F407A6"/>
    <w:rsid w:val="00F40BAE"/>
    <w:rsid w:val="00F421D9"/>
    <w:rsid w:val="00F43A8F"/>
    <w:rsid w:val="00F455F5"/>
    <w:rsid w:val="00F473C1"/>
    <w:rsid w:val="00F50896"/>
    <w:rsid w:val="00F5166A"/>
    <w:rsid w:val="00F51DA5"/>
    <w:rsid w:val="00F52F93"/>
    <w:rsid w:val="00F531ED"/>
    <w:rsid w:val="00F54608"/>
    <w:rsid w:val="00F552F2"/>
    <w:rsid w:val="00F55307"/>
    <w:rsid w:val="00F55E52"/>
    <w:rsid w:val="00F5653B"/>
    <w:rsid w:val="00F57B6D"/>
    <w:rsid w:val="00F57EF0"/>
    <w:rsid w:val="00F627E2"/>
    <w:rsid w:val="00F629A0"/>
    <w:rsid w:val="00F660E0"/>
    <w:rsid w:val="00F668E6"/>
    <w:rsid w:val="00F66DFC"/>
    <w:rsid w:val="00F67668"/>
    <w:rsid w:val="00F70DE1"/>
    <w:rsid w:val="00F71520"/>
    <w:rsid w:val="00F73663"/>
    <w:rsid w:val="00F73894"/>
    <w:rsid w:val="00F73907"/>
    <w:rsid w:val="00F74D4F"/>
    <w:rsid w:val="00F7590F"/>
    <w:rsid w:val="00F75FE2"/>
    <w:rsid w:val="00F772CC"/>
    <w:rsid w:val="00F8228E"/>
    <w:rsid w:val="00F83E98"/>
    <w:rsid w:val="00F8569E"/>
    <w:rsid w:val="00F85A14"/>
    <w:rsid w:val="00F87525"/>
    <w:rsid w:val="00F90D29"/>
    <w:rsid w:val="00F90EB0"/>
    <w:rsid w:val="00F913C6"/>
    <w:rsid w:val="00F918A8"/>
    <w:rsid w:val="00F92616"/>
    <w:rsid w:val="00F9285C"/>
    <w:rsid w:val="00F92AA1"/>
    <w:rsid w:val="00F94214"/>
    <w:rsid w:val="00F94864"/>
    <w:rsid w:val="00F9506B"/>
    <w:rsid w:val="00F95BDD"/>
    <w:rsid w:val="00F961F3"/>
    <w:rsid w:val="00FA02EE"/>
    <w:rsid w:val="00FA120F"/>
    <w:rsid w:val="00FA1E02"/>
    <w:rsid w:val="00FA33A6"/>
    <w:rsid w:val="00FA58CE"/>
    <w:rsid w:val="00FA7B80"/>
    <w:rsid w:val="00FB0B18"/>
    <w:rsid w:val="00FB0BC7"/>
    <w:rsid w:val="00FB0E3F"/>
    <w:rsid w:val="00FB1062"/>
    <w:rsid w:val="00FB18EA"/>
    <w:rsid w:val="00FB2ACA"/>
    <w:rsid w:val="00FB44CF"/>
    <w:rsid w:val="00FB5CE0"/>
    <w:rsid w:val="00FB673E"/>
    <w:rsid w:val="00FB753B"/>
    <w:rsid w:val="00FC0066"/>
    <w:rsid w:val="00FC276E"/>
    <w:rsid w:val="00FC37AB"/>
    <w:rsid w:val="00FC3D57"/>
    <w:rsid w:val="00FC3EB4"/>
    <w:rsid w:val="00FC3ED9"/>
    <w:rsid w:val="00FC51B8"/>
    <w:rsid w:val="00FC5346"/>
    <w:rsid w:val="00FC5586"/>
    <w:rsid w:val="00FC5FD1"/>
    <w:rsid w:val="00FC6AD0"/>
    <w:rsid w:val="00FC6C2D"/>
    <w:rsid w:val="00FC7D68"/>
    <w:rsid w:val="00FD0CE0"/>
    <w:rsid w:val="00FD16AB"/>
    <w:rsid w:val="00FD182C"/>
    <w:rsid w:val="00FD2D28"/>
    <w:rsid w:val="00FD2E3A"/>
    <w:rsid w:val="00FD38DC"/>
    <w:rsid w:val="00FD3C30"/>
    <w:rsid w:val="00FD495F"/>
    <w:rsid w:val="00FD5084"/>
    <w:rsid w:val="00FD56A9"/>
    <w:rsid w:val="00FD6457"/>
    <w:rsid w:val="00FD68DB"/>
    <w:rsid w:val="00FD755E"/>
    <w:rsid w:val="00FD77C8"/>
    <w:rsid w:val="00FD7CD3"/>
    <w:rsid w:val="00FE05C0"/>
    <w:rsid w:val="00FE199E"/>
    <w:rsid w:val="00FE364B"/>
    <w:rsid w:val="00FE410C"/>
    <w:rsid w:val="00FE44C5"/>
    <w:rsid w:val="00FE5F83"/>
    <w:rsid w:val="00FE6DC0"/>
    <w:rsid w:val="00FF1021"/>
    <w:rsid w:val="00FF141F"/>
    <w:rsid w:val="00FF1515"/>
    <w:rsid w:val="00FF2EAF"/>
    <w:rsid w:val="00FF31CC"/>
    <w:rsid w:val="00FF406D"/>
    <w:rsid w:val="00FF5BDA"/>
    <w:rsid w:val="00FF5CE3"/>
    <w:rsid w:val="00FF7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5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60468D"/>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60468D"/>
    <w:pPr>
      <w:keepNext/>
      <w:numPr>
        <w:numId w:val="5"/>
      </w:numPr>
      <w:ind w:right="1296"/>
      <w:outlineLvl w:val="0"/>
    </w:pPr>
    <w:rPr>
      <w:u w:val="single"/>
    </w:rPr>
  </w:style>
  <w:style w:type="paragraph" w:styleId="Heading2">
    <w:name w:val="heading 2"/>
    <w:basedOn w:val="Normal"/>
    <w:next w:val="Normal"/>
    <w:uiPriority w:val="99"/>
    <w:semiHidden/>
    <w:qFormat/>
    <w:locked/>
    <w:rsid w:val="0060468D"/>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60468D"/>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6046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468D"/>
  </w:style>
  <w:style w:type="paragraph" w:styleId="Footer">
    <w:name w:val="footer"/>
    <w:basedOn w:val="Normal"/>
    <w:link w:val="FooterChar"/>
    <w:uiPriority w:val="43"/>
    <w:locked/>
    <w:rsid w:val="0060468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60468D"/>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60468D"/>
    <w:pPr>
      <w:spacing w:before="240" w:line="240" w:lineRule="exact"/>
      <w:ind w:left="720" w:right="794" w:firstLine="0"/>
    </w:pPr>
  </w:style>
  <w:style w:type="paragraph" w:styleId="FootnoteText">
    <w:name w:val="footnote text"/>
    <w:basedOn w:val="Normal"/>
    <w:link w:val="FootnoteTextChar"/>
    <w:uiPriority w:val="53"/>
    <w:locked/>
    <w:rsid w:val="0060468D"/>
    <w:pPr>
      <w:spacing w:after="240" w:line="240" w:lineRule="exact"/>
      <w:ind w:left="510" w:hanging="510"/>
    </w:pPr>
  </w:style>
  <w:style w:type="character" w:styleId="FootnoteReference">
    <w:name w:val="footnote reference"/>
    <w:uiPriority w:val="51"/>
    <w:locked/>
    <w:rsid w:val="0060468D"/>
    <w:rPr>
      <w:b/>
      <w:sz w:val="28"/>
      <w:vertAlign w:val="superscript"/>
    </w:rPr>
  </w:style>
  <w:style w:type="paragraph" w:customStyle="1" w:styleId="FootIndAgain">
    <w:name w:val="FootIndAgain"/>
    <w:basedOn w:val="FootnoteText"/>
    <w:uiPriority w:val="47"/>
    <w:qFormat/>
    <w:locked/>
    <w:rsid w:val="0060468D"/>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60468D"/>
    <w:pPr>
      <w:ind w:firstLine="0"/>
    </w:pPr>
  </w:style>
  <w:style w:type="character" w:customStyle="1" w:styleId="Heading1Char">
    <w:name w:val="Heading 1 Char"/>
    <w:uiPriority w:val="99"/>
    <w:semiHidden/>
    <w:locked/>
    <w:rsid w:val="0060468D"/>
    <w:rPr>
      <w:rFonts w:ascii="Univers" w:hAnsi="Univers"/>
      <w:sz w:val="26"/>
      <w:u w:val="single"/>
      <w:lang w:val="en-AU"/>
    </w:rPr>
  </w:style>
  <w:style w:type="character" w:customStyle="1" w:styleId="Heading2Char">
    <w:name w:val="Heading 2 Char"/>
    <w:uiPriority w:val="99"/>
    <w:semiHidden/>
    <w:locked/>
    <w:rsid w:val="0060468D"/>
    <w:rPr>
      <w:rFonts w:ascii="Arial" w:hAnsi="Arial"/>
      <w:b/>
      <w:i/>
      <w:sz w:val="24"/>
      <w:lang w:val="en-AU"/>
    </w:rPr>
  </w:style>
  <w:style w:type="character" w:customStyle="1" w:styleId="Heading3Char">
    <w:name w:val="Heading 3 Char"/>
    <w:uiPriority w:val="99"/>
    <w:semiHidden/>
    <w:locked/>
    <w:rsid w:val="0060468D"/>
    <w:rPr>
      <w:rFonts w:ascii="Arial" w:hAnsi="Arial"/>
      <w:sz w:val="24"/>
      <w:lang w:val="en-AU"/>
    </w:rPr>
  </w:style>
  <w:style w:type="paragraph" w:customStyle="1" w:styleId="NormalHC">
    <w:name w:val="Normal HC"/>
    <w:basedOn w:val="Normal"/>
    <w:uiPriority w:val="27"/>
    <w:qFormat/>
    <w:locked/>
    <w:rsid w:val="0060468D"/>
    <w:pPr>
      <w:numPr>
        <w:numId w:val="16"/>
      </w:numPr>
      <w:spacing w:after="480"/>
      <w:ind w:left="0" w:hanging="720"/>
    </w:pPr>
  </w:style>
  <w:style w:type="paragraph" w:customStyle="1" w:styleId="HeadingFirst">
    <w:name w:val="Heading First"/>
    <w:basedOn w:val="NormalHC"/>
    <w:next w:val="HeadingV"/>
    <w:uiPriority w:val="15"/>
    <w:qFormat/>
    <w:locked/>
    <w:rsid w:val="0060468D"/>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60468D"/>
    <w:pPr>
      <w:keepNext/>
      <w:numPr>
        <w:numId w:val="0"/>
      </w:numPr>
      <w:outlineLvl w:val="2"/>
    </w:pPr>
    <w:rPr>
      <w:b/>
      <w:szCs w:val="20"/>
    </w:rPr>
  </w:style>
  <w:style w:type="paragraph" w:customStyle="1" w:styleId="HeadingL2">
    <w:name w:val="Heading L2"/>
    <w:basedOn w:val="HeadingL1"/>
    <w:next w:val="NormalHC"/>
    <w:uiPriority w:val="23"/>
    <w:qFormat/>
    <w:locked/>
    <w:rsid w:val="0060468D"/>
    <w:pPr>
      <w:outlineLvl w:val="3"/>
    </w:pPr>
    <w:rPr>
      <w:b w:val="0"/>
      <w:i/>
    </w:rPr>
  </w:style>
  <w:style w:type="paragraph" w:customStyle="1" w:styleId="HeadingMatter">
    <w:name w:val="Heading Matter"/>
    <w:basedOn w:val="NormalHC"/>
    <w:next w:val="HeadingFirst"/>
    <w:uiPriority w:val="13"/>
    <w:qFormat/>
    <w:locked/>
    <w:rsid w:val="0060468D"/>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60468D"/>
    <w:pPr>
      <w:keepNext w:val="0"/>
    </w:pPr>
  </w:style>
  <w:style w:type="paragraph" w:customStyle="1" w:styleId="HeadingV">
    <w:name w:val="Heading V"/>
    <w:basedOn w:val="HeadingFirst"/>
    <w:next w:val="HeadingSecond"/>
    <w:uiPriority w:val="17"/>
    <w:qFormat/>
    <w:locked/>
    <w:rsid w:val="0060468D"/>
    <w:rPr>
      <w:caps w:val="0"/>
      <w:u w:val="none"/>
    </w:rPr>
  </w:style>
  <w:style w:type="paragraph" w:customStyle="1" w:styleId="LeftrightafterHC">
    <w:name w:val="Leftright after HC"/>
    <w:basedOn w:val="Normal"/>
    <w:next w:val="leftright"/>
    <w:uiPriority w:val="31"/>
    <w:qFormat/>
    <w:locked/>
    <w:rsid w:val="0060468D"/>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60468D"/>
    <w:pPr>
      <w:ind w:firstLine="720"/>
    </w:pPr>
  </w:style>
  <w:style w:type="paragraph" w:customStyle="1" w:styleId="LeftrightHanging">
    <w:name w:val="LeftrightHanging"/>
    <w:basedOn w:val="NormalHC"/>
    <w:uiPriority w:val="35"/>
    <w:qFormat/>
    <w:locked/>
    <w:rsid w:val="0060468D"/>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60468D"/>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60468D"/>
    <w:pPr>
      <w:spacing w:before="200"/>
      <w:ind w:left="2160"/>
    </w:pPr>
  </w:style>
  <w:style w:type="paragraph" w:customStyle="1" w:styleId="NormalafterHd2nd">
    <w:name w:val="Normal after Hd2nd"/>
    <w:basedOn w:val="NormalHC"/>
    <w:next w:val="NormalHC"/>
    <w:uiPriority w:val="29"/>
    <w:locked/>
    <w:rsid w:val="0060468D"/>
    <w:pPr>
      <w:numPr>
        <w:numId w:val="0"/>
      </w:numPr>
      <w:spacing w:before="1000"/>
    </w:pPr>
  </w:style>
  <w:style w:type="character" w:customStyle="1" w:styleId="NormalHCChar">
    <w:name w:val="Normal HC Char"/>
    <w:uiPriority w:val="99"/>
    <w:semiHidden/>
    <w:locked/>
    <w:rsid w:val="0060468D"/>
    <w:rPr>
      <w:rFonts w:ascii="Univers" w:hAnsi="Univers"/>
      <w:sz w:val="26"/>
      <w:szCs w:val="26"/>
    </w:rPr>
  </w:style>
  <w:style w:type="character" w:customStyle="1" w:styleId="StyleFootnoteReferenceChar">
    <w:name w:val="Style Footnote Reference Char"/>
    <w:uiPriority w:val="99"/>
    <w:semiHidden/>
    <w:locked/>
    <w:rsid w:val="0060468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0468D"/>
  </w:style>
  <w:style w:type="paragraph" w:customStyle="1" w:styleId="HeadingJudgment">
    <w:name w:val="Heading Judgment"/>
    <w:basedOn w:val="Normal"/>
    <w:uiPriority w:val="59"/>
    <w:qFormat/>
    <w:locked/>
    <w:rsid w:val="0060468D"/>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60468D"/>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60468D"/>
    <w:pPr>
      <w:outlineLvl w:val="4"/>
    </w:pPr>
    <w:rPr>
      <w:b w:val="0"/>
    </w:rPr>
  </w:style>
  <w:style w:type="character" w:styleId="PageNumber">
    <w:name w:val="page number"/>
    <w:basedOn w:val="DefaultParagraphFont"/>
    <w:uiPriority w:val="57"/>
    <w:locked/>
    <w:rsid w:val="0060468D"/>
  </w:style>
  <w:style w:type="paragraph" w:styleId="BalloonText">
    <w:name w:val="Balloon Text"/>
    <w:basedOn w:val="Normal"/>
    <w:link w:val="BalloonTextChar"/>
    <w:semiHidden/>
    <w:locked/>
    <w:rsid w:val="0060468D"/>
    <w:rPr>
      <w:rFonts w:ascii="Tahoma" w:hAnsi="Tahoma" w:cs="Tahoma"/>
      <w:sz w:val="16"/>
      <w:szCs w:val="16"/>
      <w:lang w:eastAsia="en-US"/>
    </w:rPr>
  </w:style>
  <w:style w:type="character" w:customStyle="1" w:styleId="BalloonTextChar">
    <w:name w:val="Balloon Text Char"/>
    <w:basedOn w:val="DefaultParagraphFont"/>
    <w:link w:val="BalloonText"/>
    <w:semiHidden/>
    <w:rsid w:val="0060468D"/>
    <w:rPr>
      <w:rFonts w:ascii="Tahoma" w:hAnsi="Tahoma" w:cs="Tahoma"/>
      <w:sz w:val="16"/>
      <w:szCs w:val="16"/>
      <w:lang w:eastAsia="en-US"/>
    </w:rPr>
  </w:style>
  <w:style w:type="paragraph" w:customStyle="1" w:styleId="ClosingText">
    <w:name w:val="Closing Text"/>
    <w:basedOn w:val="Normal"/>
    <w:uiPriority w:val="98"/>
    <w:semiHidden/>
    <w:qFormat/>
    <w:locked/>
    <w:rsid w:val="0060468D"/>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60468D"/>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60468D"/>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60468D"/>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60468D"/>
    <w:rPr>
      <w:szCs w:val="20"/>
      <w:lang w:eastAsia="en-US"/>
    </w:rPr>
  </w:style>
  <w:style w:type="paragraph" w:customStyle="1" w:styleId="NormalBody">
    <w:name w:val="Normal Body"/>
    <w:basedOn w:val="NormalHC"/>
    <w:uiPriority w:val="28"/>
    <w:qFormat/>
    <w:locked/>
    <w:rsid w:val="0060468D"/>
    <w:pPr>
      <w:numPr>
        <w:numId w:val="0"/>
      </w:numPr>
    </w:pPr>
    <w:rPr>
      <w:lang w:eastAsia="en-US"/>
    </w:rPr>
  </w:style>
  <w:style w:type="paragraph" w:customStyle="1" w:styleId="StyleFootnoteReference">
    <w:name w:val="Style Footnote Reference"/>
    <w:basedOn w:val="Normal"/>
    <w:next w:val="Normal"/>
    <w:semiHidden/>
    <w:rsid w:val="0060468D"/>
    <w:rPr>
      <w:vertAlign w:val="superscript"/>
      <w:lang w:eastAsia="en-US"/>
    </w:rPr>
  </w:style>
  <w:style w:type="paragraph" w:styleId="ListNumber">
    <w:name w:val="List Number"/>
    <w:basedOn w:val="Normal"/>
    <w:uiPriority w:val="56"/>
    <w:locked/>
    <w:rsid w:val="0060468D"/>
    <w:pPr>
      <w:numPr>
        <w:numId w:val="11"/>
      </w:numPr>
      <w:contextualSpacing/>
    </w:pPr>
  </w:style>
  <w:style w:type="paragraph" w:customStyle="1" w:styleId="FixListStyle">
    <w:name w:val="FixListStyle"/>
    <w:basedOn w:val="Normal"/>
    <w:uiPriority w:val="99"/>
    <w:qFormat/>
    <w:rsid w:val="0060468D"/>
    <w:pPr>
      <w:numPr>
        <w:numId w:val="19"/>
      </w:numPr>
      <w:spacing w:after="480"/>
      <w:ind w:left="0" w:hanging="720"/>
    </w:pPr>
  </w:style>
  <w:style w:type="paragraph" w:customStyle="1" w:styleId="CatchwordsBold">
    <w:name w:val="Catchwords Bold"/>
    <w:basedOn w:val="Normal"/>
    <w:link w:val="CatchwordsBoldChar"/>
    <w:qFormat/>
    <w:rsid w:val="0060468D"/>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60468D"/>
    <w:rPr>
      <w:rFonts w:ascii="Times New Roman" w:hAnsi="Times New Roman"/>
      <w:b/>
      <w:szCs w:val="20"/>
    </w:rPr>
  </w:style>
  <w:style w:type="paragraph" w:customStyle="1" w:styleId="CatchwordsRight">
    <w:name w:val="Catchwords Right"/>
    <w:basedOn w:val="Normal"/>
    <w:link w:val="CatchwordsRightChar"/>
    <w:qFormat/>
    <w:rsid w:val="0060468D"/>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60468D"/>
    <w:rPr>
      <w:rFonts w:ascii="Times New Roman" w:hAnsi="Times New Roman"/>
      <w:szCs w:val="20"/>
    </w:rPr>
  </w:style>
  <w:style w:type="paragraph" w:customStyle="1" w:styleId="CatchwordsText">
    <w:name w:val="Catchwords Text"/>
    <w:basedOn w:val="Normal"/>
    <w:link w:val="CatchwordsTextChar"/>
    <w:qFormat/>
    <w:rsid w:val="0060468D"/>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60468D"/>
    <w:rPr>
      <w:rFonts w:ascii="Times New Roman" w:hAnsi="Times New Roman"/>
      <w:szCs w:val="20"/>
    </w:rPr>
  </w:style>
  <w:style w:type="paragraph" w:customStyle="1" w:styleId="CenteredBorder">
    <w:name w:val="Centered Border"/>
    <w:qFormat/>
    <w:rsid w:val="0060468D"/>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60468D"/>
    <w:pPr>
      <w:jc w:val="center"/>
    </w:pPr>
    <w:rPr>
      <w:rFonts w:ascii="Times New Roman" w:hAnsi="Times New Roman"/>
      <w:b/>
      <w:bCs/>
      <w:szCs w:val="20"/>
      <w:lang w:val="en-GB"/>
    </w:rPr>
  </w:style>
  <w:style w:type="character" w:customStyle="1" w:styleId="OrderCentred">
    <w:name w:val="Order Centred"/>
    <w:semiHidden/>
    <w:rsid w:val="0060468D"/>
    <w:rPr>
      <w:b/>
      <w:bCs/>
      <w:sz w:val="26"/>
    </w:rPr>
  </w:style>
  <w:style w:type="paragraph" w:customStyle="1" w:styleId="OrdersTopLine">
    <w:name w:val="Orders TopLine"/>
    <w:qFormat/>
    <w:rsid w:val="0060468D"/>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60468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60468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60468D"/>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60468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60468D"/>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60468D"/>
    <w:rPr>
      <w:rFonts w:ascii="Times New Roman" w:hAnsi="Times New Roman"/>
      <w:i/>
      <w:lang w:eastAsia="en-US"/>
    </w:rPr>
  </w:style>
  <w:style w:type="paragraph" w:customStyle="1" w:styleId="OrdersIndentLevel2i">
    <w:name w:val="Orders Indent Level 2 (i)"/>
    <w:basedOn w:val="Normal"/>
    <w:link w:val="OrdersIndentLevel2iChar"/>
    <w:qFormat/>
    <w:rsid w:val="0060468D"/>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60468D"/>
    <w:rPr>
      <w:rFonts w:ascii="Times New Roman" w:hAnsi="Times New Roman"/>
      <w:i/>
      <w:lang w:eastAsia="en-US"/>
    </w:rPr>
  </w:style>
  <w:style w:type="paragraph" w:customStyle="1" w:styleId="OrdersMatter">
    <w:name w:val="Orders Matter"/>
    <w:basedOn w:val="OrderCentreBold"/>
    <w:link w:val="OrdersMatterChar"/>
    <w:qFormat/>
    <w:rsid w:val="0060468D"/>
  </w:style>
  <w:style w:type="character" w:customStyle="1" w:styleId="OrdersMatterChar">
    <w:name w:val="Orders Matter Char"/>
    <w:link w:val="OrdersMatter"/>
    <w:rsid w:val="0060468D"/>
    <w:rPr>
      <w:rFonts w:ascii="Times New Roman" w:hAnsi="Times New Roman"/>
      <w:b/>
      <w:bCs/>
      <w:szCs w:val="20"/>
      <w:lang w:val="en-GB"/>
    </w:rPr>
  </w:style>
  <w:style w:type="paragraph" w:customStyle="1" w:styleId="OrdersNotice">
    <w:name w:val="Orders Notice"/>
    <w:rsid w:val="0060468D"/>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60468D"/>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60468D"/>
    <w:rPr>
      <w:rFonts w:ascii="Times New Roman" w:hAnsi="Times New Roman"/>
      <w:szCs w:val="20"/>
      <w:lang w:eastAsia="en-US"/>
    </w:rPr>
  </w:style>
  <w:style w:type="paragraph" w:customStyle="1" w:styleId="OrdersText">
    <w:name w:val="Orders Text"/>
    <w:basedOn w:val="Normal"/>
    <w:link w:val="OrdersTextChar"/>
    <w:qFormat/>
    <w:rsid w:val="0060468D"/>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60468D"/>
    <w:rPr>
      <w:rFonts w:ascii="Times New Roman" w:hAnsi="Times New Roman"/>
      <w:i/>
      <w:lang w:eastAsia="en-US"/>
    </w:rPr>
  </w:style>
  <w:style w:type="paragraph" w:customStyle="1" w:styleId="OrdersCenteredBorder">
    <w:name w:val="Orders Centered Border"/>
    <w:qFormat/>
    <w:rsid w:val="0060468D"/>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60468D"/>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60468D"/>
    <w:rPr>
      <w:rFonts w:ascii="Times New Roman" w:hAnsi="Times New Roman"/>
      <w:szCs w:val="20"/>
    </w:rPr>
  </w:style>
  <w:style w:type="paragraph" w:customStyle="1" w:styleId="LRHangingafterHC">
    <w:name w:val="LR Hanging after HC"/>
    <w:basedOn w:val="Normal"/>
    <w:next w:val="LeftrightHanging"/>
    <w:uiPriority w:val="99"/>
    <w:qFormat/>
    <w:rsid w:val="0060468D"/>
    <w:pPr>
      <w:spacing w:before="720" w:line="240" w:lineRule="exact"/>
      <w:ind w:left="1440" w:right="794" w:hanging="720"/>
    </w:pPr>
  </w:style>
  <w:style w:type="paragraph" w:styleId="Revision">
    <w:name w:val="Revision"/>
    <w:hidden/>
    <w:uiPriority w:val="99"/>
    <w:semiHidden/>
    <w:rsid w:val="00620B22"/>
  </w:style>
  <w:style w:type="table" w:styleId="TableGrid">
    <w:name w:val="Table Grid"/>
    <w:basedOn w:val="TableNormal"/>
    <w:uiPriority w:val="39"/>
    <w:locked/>
    <w:rsid w:val="000E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B57D8D"/>
    <w:rPr>
      <w:sz w:val="16"/>
      <w:szCs w:val="16"/>
    </w:rPr>
  </w:style>
  <w:style w:type="paragraph" w:styleId="CommentText">
    <w:name w:val="annotation text"/>
    <w:basedOn w:val="Normal"/>
    <w:link w:val="CommentTextChar"/>
    <w:uiPriority w:val="99"/>
    <w:unhideWhenUsed/>
    <w:locked/>
    <w:rsid w:val="00B57D8D"/>
    <w:pPr>
      <w:spacing w:line="240" w:lineRule="auto"/>
    </w:pPr>
    <w:rPr>
      <w:sz w:val="20"/>
      <w:szCs w:val="20"/>
    </w:rPr>
  </w:style>
  <w:style w:type="character" w:customStyle="1" w:styleId="CommentTextChar">
    <w:name w:val="Comment Text Char"/>
    <w:basedOn w:val="DefaultParagraphFont"/>
    <w:link w:val="CommentText"/>
    <w:uiPriority w:val="99"/>
    <w:rsid w:val="00B57D8D"/>
    <w:rPr>
      <w:sz w:val="20"/>
      <w:szCs w:val="20"/>
    </w:rPr>
  </w:style>
  <w:style w:type="paragraph" w:styleId="CommentSubject">
    <w:name w:val="annotation subject"/>
    <w:basedOn w:val="CommentText"/>
    <w:next w:val="CommentText"/>
    <w:link w:val="CommentSubjectChar"/>
    <w:uiPriority w:val="99"/>
    <w:semiHidden/>
    <w:unhideWhenUsed/>
    <w:locked/>
    <w:rsid w:val="00B57D8D"/>
    <w:rPr>
      <w:b/>
      <w:bCs/>
    </w:rPr>
  </w:style>
  <w:style w:type="character" w:customStyle="1" w:styleId="CommentSubjectChar">
    <w:name w:val="Comment Subject Char"/>
    <w:basedOn w:val="CommentTextChar"/>
    <w:link w:val="CommentSubject"/>
    <w:uiPriority w:val="99"/>
    <w:semiHidden/>
    <w:rsid w:val="00B57D8D"/>
    <w:rPr>
      <w:b/>
      <w:bCs/>
      <w:sz w:val="20"/>
      <w:szCs w:val="20"/>
    </w:rPr>
  </w:style>
  <w:style w:type="character" w:customStyle="1" w:styleId="FootnoteTextChar">
    <w:name w:val="Footnote Text Char"/>
    <w:basedOn w:val="DefaultParagraphFont"/>
    <w:link w:val="FootnoteText"/>
    <w:uiPriority w:val="53"/>
    <w:rsid w:val="0012516B"/>
  </w:style>
  <w:style w:type="paragraph" w:customStyle="1" w:styleId="Body">
    <w:name w:val="Body"/>
    <w:basedOn w:val="Normal"/>
    <w:qFormat/>
    <w:rsid w:val="00A5074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5074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5074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5074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5074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5074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E00A0532-FDD6-40F1-995C-35967B293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a53eb4-5ba1-498b-a0d3-d589036531b6"/>
    <ds:schemaRef ds:uri="10f79a86-695f-47ec-b340-f86fc9460191"/>
    <ds:schemaRef ds:uri="3cc3f26d-d9cc-46f3-89c7-f1482de8c8f1"/>
    <ds:schemaRef ds:uri="cbc5b7fd-636f-49ec-b8cc-eb8a3f2ba19e"/>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49</Pages>
  <Words>14552</Words>
  <Characters>76198</Characters>
  <Application>Microsoft Office Word</Application>
  <DocSecurity>0</DocSecurity>
  <Lines>634</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2025-08-10T22:59:00Z</dcterms:created>
  <dcterms:modified xsi:type="dcterms:W3CDTF">2025-08-11T00:52:00Z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