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1788" w14:textId="77777777" w:rsidR="005F7663" w:rsidRPr="00704FF8" w:rsidRDefault="005F7663" w:rsidP="00704FF8">
      <w:pPr>
        <w:pStyle w:val="OrdersTopLine"/>
      </w:pPr>
      <w:r w:rsidRPr="00704FF8">
        <w:t>HIGH COURT OF AUSTRALIA</w:t>
      </w:r>
    </w:p>
    <w:p w14:paraId="1837ABE7" w14:textId="77777777" w:rsidR="005F7663" w:rsidRPr="00704FF8" w:rsidRDefault="005F7663" w:rsidP="00704FF8">
      <w:pPr>
        <w:pStyle w:val="OrderCentre"/>
      </w:pPr>
    </w:p>
    <w:p w14:paraId="2ACA7B2F" w14:textId="77777777" w:rsidR="005F7663" w:rsidRPr="00C46004" w:rsidRDefault="005F7663" w:rsidP="00704FF8">
      <w:pPr>
        <w:pStyle w:val="OrderCentre"/>
        <w:rPr>
          <w:spacing w:val="-4"/>
          <w:sz w:val="24"/>
          <w:szCs w:val="24"/>
        </w:rPr>
      </w:pPr>
      <w:r w:rsidRPr="00C46004">
        <w:rPr>
          <w:spacing w:val="-4"/>
          <w:sz w:val="24"/>
          <w:szCs w:val="24"/>
        </w:rPr>
        <w:t>GAGELER CJ,</w:t>
      </w:r>
    </w:p>
    <w:p w14:paraId="34E491BE" w14:textId="77777777" w:rsidR="005F7663" w:rsidRPr="00704FF8" w:rsidRDefault="005F7663"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3FB7ED6E" w14:textId="77777777" w:rsidR="005F7663" w:rsidRPr="00427F3A" w:rsidRDefault="005F7663" w:rsidP="00EE5374">
      <w:pPr>
        <w:pStyle w:val="Centre"/>
        <w:rPr>
          <w:lang w:val="en-AU"/>
        </w:rPr>
      </w:pPr>
    </w:p>
    <w:p w14:paraId="0E1C72C6" w14:textId="77777777" w:rsidR="005F7663" w:rsidRPr="00704FF8" w:rsidRDefault="005F7663" w:rsidP="00704FF8">
      <w:pPr>
        <w:pStyle w:val="OrdersCenteredBorder"/>
      </w:pPr>
    </w:p>
    <w:p w14:paraId="746BD94A" w14:textId="77777777" w:rsidR="005F7663" w:rsidRPr="00704FF8" w:rsidRDefault="005F7663" w:rsidP="0032341F">
      <w:pPr>
        <w:pStyle w:val="OrdersBodyHeading"/>
      </w:pPr>
    </w:p>
    <w:p w14:paraId="687BD109" w14:textId="77777777" w:rsidR="005F7663" w:rsidRPr="00B07B4E" w:rsidRDefault="005F7663" w:rsidP="00F80351">
      <w:pPr>
        <w:pStyle w:val="OrdersPartyName"/>
        <w:ind w:right="-1"/>
        <w:rPr>
          <w:b/>
        </w:rPr>
      </w:pPr>
      <w:r w:rsidRPr="00B07B4E">
        <w:rPr>
          <w:b/>
        </w:rPr>
        <w:t xml:space="preserve">Matter No </w:t>
      </w:r>
      <w:r w:rsidRPr="00F80351">
        <w:rPr>
          <w:b/>
        </w:rPr>
        <w:t>A2/2025</w:t>
      </w:r>
    </w:p>
    <w:p w14:paraId="710F287F" w14:textId="77777777" w:rsidR="005F7663" w:rsidRPr="00B07B4E" w:rsidRDefault="005F7663" w:rsidP="00F80351">
      <w:pPr>
        <w:pStyle w:val="OrdersPartyName"/>
        <w:ind w:right="-1"/>
      </w:pPr>
    </w:p>
    <w:p w14:paraId="6D91955B" w14:textId="77777777" w:rsidR="005F7663" w:rsidRPr="00B07B4E" w:rsidRDefault="005F7663" w:rsidP="00F80351">
      <w:pPr>
        <w:pStyle w:val="OrdersPartyName"/>
        <w:ind w:right="-1"/>
      </w:pPr>
      <w:r w:rsidRPr="00F80351">
        <w:t>CD &amp; ANOR</w:t>
      </w:r>
      <w:r w:rsidRPr="00B07B4E">
        <w:tab/>
      </w:r>
      <w:r>
        <w:t>PLAINTIFFS</w:t>
      </w:r>
    </w:p>
    <w:p w14:paraId="051BC2C4" w14:textId="77777777" w:rsidR="005F7663" w:rsidRPr="00B07B4E" w:rsidRDefault="005F7663" w:rsidP="00F80351">
      <w:pPr>
        <w:pStyle w:val="OrdersPartyName"/>
        <w:ind w:right="-1"/>
      </w:pPr>
    </w:p>
    <w:p w14:paraId="150B92AD" w14:textId="77777777" w:rsidR="005F7663" w:rsidRPr="00B07B4E" w:rsidRDefault="005F7663" w:rsidP="00F80351">
      <w:pPr>
        <w:pStyle w:val="OrdersPartyName"/>
        <w:ind w:right="-1"/>
      </w:pPr>
      <w:r w:rsidRPr="00B07B4E">
        <w:t>AND</w:t>
      </w:r>
    </w:p>
    <w:p w14:paraId="7806B689" w14:textId="77777777" w:rsidR="005F7663" w:rsidRPr="00B07B4E" w:rsidRDefault="005F7663" w:rsidP="00F80351">
      <w:pPr>
        <w:pStyle w:val="OrdersPartyName"/>
        <w:ind w:right="-1"/>
      </w:pPr>
    </w:p>
    <w:p w14:paraId="34958EBF" w14:textId="77777777" w:rsidR="005F7663" w:rsidRPr="00B07B4E" w:rsidRDefault="005F7663" w:rsidP="00F80351">
      <w:pPr>
        <w:pStyle w:val="OrdersPartyName"/>
        <w:ind w:right="-1"/>
      </w:pPr>
      <w:r w:rsidRPr="00F80351">
        <w:t>THE COMMONWEALTH OF AUSTRALIA</w:t>
      </w:r>
      <w:r w:rsidRPr="00B07B4E">
        <w:tab/>
      </w:r>
      <w:r>
        <w:t>DEFENDANT</w:t>
      </w:r>
    </w:p>
    <w:p w14:paraId="6891FB4B" w14:textId="77777777" w:rsidR="005F7663" w:rsidRPr="00B07B4E" w:rsidRDefault="005F7663" w:rsidP="00F80351">
      <w:pPr>
        <w:pStyle w:val="OrdersBodyHeading"/>
      </w:pPr>
    </w:p>
    <w:p w14:paraId="43625825" w14:textId="77777777" w:rsidR="005F7663" w:rsidRPr="00B07B4E" w:rsidRDefault="005F7663" w:rsidP="00F80351">
      <w:pPr>
        <w:pStyle w:val="OrdersPartyName"/>
        <w:ind w:right="-1"/>
        <w:rPr>
          <w:b/>
        </w:rPr>
      </w:pPr>
      <w:r w:rsidRPr="00B07B4E">
        <w:rPr>
          <w:b/>
        </w:rPr>
        <w:t xml:space="preserve">Matter No </w:t>
      </w:r>
      <w:r w:rsidRPr="00F80351">
        <w:rPr>
          <w:b/>
        </w:rPr>
        <w:t>A24/2024</w:t>
      </w:r>
    </w:p>
    <w:p w14:paraId="2EDC4C7F" w14:textId="77777777" w:rsidR="005F7663" w:rsidRPr="00B07B4E" w:rsidRDefault="005F7663" w:rsidP="00F80351">
      <w:pPr>
        <w:pStyle w:val="OrdersPartyName"/>
        <w:ind w:right="-1"/>
      </w:pPr>
    </w:p>
    <w:p w14:paraId="546F81CC" w14:textId="77777777" w:rsidR="005F7663" w:rsidRPr="00B07B4E" w:rsidRDefault="005F7663" w:rsidP="00F80351">
      <w:pPr>
        <w:pStyle w:val="OrdersPartyName"/>
        <w:ind w:right="-1"/>
      </w:pPr>
      <w:r w:rsidRPr="00F80351">
        <w:t>CD &amp; ANOR</w:t>
      </w:r>
      <w:r w:rsidRPr="00B07B4E">
        <w:tab/>
        <w:t>APPELLANT</w:t>
      </w:r>
      <w:r>
        <w:t>S</w:t>
      </w:r>
    </w:p>
    <w:p w14:paraId="54D34AE5" w14:textId="77777777" w:rsidR="005F7663" w:rsidRPr="00B07B4E" w:rsidRDefault="005F7663" w:rsidP="00F80351">
      <w:pPr>
        <w:pStyle w:val="OrdersPartyName"/>
        <w:ind w:right="-1"/>
      </w:pPr>
    </w:p>
    <w:p w14:paraId="48ED2096" w14:textId="77777777" w:rsidR="005F7663" w:rsidRPr="00B07B4E" w:rsidRDefault="005F7663" w:rsidP="00F80351">
      <w:pPr>
        <w:pStyle w:val="OrdersPartyName"/>
        <w:ind w:right="-1"/>
      </w:pPr>
      <w:r w:rsidRPr="00B07B4E">
        <w:t>AND</w:t>
      </w:r>
    </w:p>
    <w:p w14:paraId="4C07FBD3" w14:textId="77777777" w:rsidR="005F7663" w:rsidRPr="00B07B4E" w:rsidRDefault="005F7663" w:rsidP="00F80351">
      <w:pPr>
        <w:pStyle w:val="OrdersPartyName"/>
        <w:ind w:right="-1"/>
      </w:pPr>
    </w:p>
    <w:p w14:paraId="6954A59E" w14:textId="77777777" w:rsidR="005F7663" w:rsidRDefault="005F7663" w:rsidP="00F80351">
      <w:pPr>
        <w:pStyle w:val="OrdersPartyName"/>
        <w:ind w:right="-1"/>
        <w:jc w:val="left"/>
      </w:pPr>
      <w:r w:rsidRPr="00F80351">
        <w:t xml:space="preserve">DIRECTOR OF PUBLIC PROSECUTIONS (SA) </w:t>
      </w:r>
    </w:p>
    <w:p w14:paraId="6F6281AD" w14:textId="77777777" w:rsidR="005F7663" w:rsidRPr="00B07B4E" w:rsidRDefault="005F7663" w:rsidP="00F80351">
      <w:pPr>
        <w:pStyle w:val="OrdersPartyName"/>
        <w:ind w:right="-1"/>
        <w:jc w:val="left"/>
      </w:pPr>
      <w:r w:rsidRPr="00F80351">
        <w:t>&amp; ANOR</w:t>
      </w:r>
      <w:r w:rsidRPr="00B07B4E">
        <w:tab/>
        <w:t>RESPONDENT</w:t>
      </w:r>
      <w:r>
        <w:t>S</w:t>
      </w:r>
    </w:p>
    <w:p w14:paraId="3115BD8A" w14:textId="77777777" w:rsidR="005F7663" w:rsidRPr="00B07B4E" w:rsidRDefault="005F7663" w:rsidP="00F80351">
      <w:pPr>
        <w:pStyle w:val="OrdersBodyHeading"/>
      </w:pPr>
    </w:p>
    <w:p w14:paraId="2A151BFE" w14:textId="77777777" w:rsidR="005F7663" w:rsidRPr="00427F3A" w:rsidRDefault="005F7663" w:rsidP="00BE0A6C">
      <w:pPr>
        <w:pStyle w:val="BodyHeading"/>
      </w:pPr>
    </w:p>
    <w:p w14:paraId="06DFB658" w14:textId="77777777" w:rsidR="005F7663" w:rsidRDefault="005F7663" w:rsidP="00EE5374">
      <w:pPr>
        <w:pStyle w:val="CentreItalics"/>
      </w:pPr>
      <w:r w:rsidRPr="00F80351">
        <w:t>CD v The Commonwealth of Australia</w:t>
      </w:r>
    </w:p>
    <w:p w14:paraId="4F6303FE" w14:textId="77777777" w:rsidR="005F7663" w:rsidRPr="00427F3A" w:rsidRDefault="005F7663" w:rsidP="00EE5374">
      <w:pPr>
        <w:pStyle w:val="CentreItalics"/>
      </w:pPr>
      <w:r w:rsidRPr="00F80351">
        <w:t>CD v Director of Public Prosecutions (SA)</w:t>
      </w:r>
    </w:p>
    <w:p w14:paraId="249CFFB1" w14:textId="77777777" w:rsidR="005F7663" w:rsidRPr="00427F3A" w:rsidRDefault="005F7663" w:rsidP="00E90E4F">
      <w:pPr>
        <w:pStyle w:val="OrdersCentre"/>
      </w:pPr>
      <w:r>
        <w:t>[2025</w:t>
      </w:r>
      <w:r w:rsidRPr="00427F3A">
        <w:t xml:space="preserve">] HCA </w:t>
      </w:r>
      <w:r>
        <w:t>37</w:t>
      </w:r>
    </w:p>
    <w:p w14:paraId="3609E9AA" w14:textId="77777777" w:rsidR="005F7663" w:rsidRDefault="005F7663" w:rsidP="00E90E4F">
      <w:pPr>
        <w:pStyle w:val="OrdersCentreItalics"/>
      </w:pPr>
      <w:r>
        <w:t>Date of Hearing: 13 May 2025</w:t>
      </w:r>
    </w:p>
    <w:p w14:paraId="3555F9B9" w14:textId="77777777" w:rsidR="005F7663" w:rsidRPr="00427F3A" w:rsidRDefault="005F7663" w:rsidP="00E90E4F">
      <w:pPr>
        <w:pStyle w:val="OrdersCentreItalics"/>
      </w:pPr>
      <w:r>
        <w:t>Date of Judgment: 8 October 2025</w:t>
      </w:r>
    </w:p>
    <w:p w14:paraId="3E59F550" w14:textId="77777777" w:rsidR="005F7663" w:rsidRDefault="005F7663" w:rsidP="00E90E4F">
      <w:pPr>
        <w:pStyle w:val="OrdersCentre"/>
      </w:pPr>
      <w:r w:rsidRPr="00F80351">
        <w:t>A2/2025</w:t>
      </w:r>
      <w:r>
        <w:t xml:space="preserve"> &amp; </w:t>
      </w:r>
      <w:r w:rsidRPr="00F80351">
        <w:t>A24/2024</w:t>
      </w:r>
    </w:p>
    <w:p w14:paraId="1C24E65D" w14:textId="77777777" w:rsidR="005F7663" w:rsidRPr="00427F3A" w:rsidRDefault="005F7663" w:rsidP="00E90E4F">
      <w:pPr>
        <w:pStyle w:val="OrdersCentre"/>
      </w:pPr>
    </w:p>
    <w:p w14:paraId="4EA651A1" w14:textId="77777777" w:rsidR="005F7663" w:rsidRPr="00BE0A6C" w:rsidRDefault="005F7663" w:rsidP="00E90E4F">
      <w:pPr>
        <w:pStyle w:val="OrderCentreBold"/>
      </w:pPr>
      <w:r w:rsidRPr="00BE0A6C">
        <w:t>ORDER</w:t>
      </w:r>
    </w:p>
    <w:p w14:paraId="5D967124" w14:textId="77777777" w:rsidR="005F7663" w:rsidRPr="00427F3A" w:rsidRDefault="005F7663" w:rsidP="00736C52">
      <w:pPr>
        <w:pStyle w:val="Centre"/>
        <w:rPr>
          <w:lang w:val="en-AU"/>
        </w:rPr>
      </w:pPr>
    </w:p>
    <w:p w14:paraId="6F7F623E" w14:textId="77777777" w:rsidR="005F7663" w:rsidRPr="00B07B4E" w:rsidRDefault="005F7663" w:rsidP="00DD4F75">
      <w:pPr>
        <w:pStyle w:val="OrdersPartyName"/>
        <w:ind w:right="-1"/>
        <w:rPr>
          <w:b/>
        </w:rPr>
      </w:pPr>
      <w:r w:rsidRPr="00B07B4E">
        <w:rPr>
          <w:b/>
        </w:rPr>
        <w:t xml:space="preserve">Matter No </w:t>
      </w:r>
      <w:r w:rsidRPr="00F80351">
        <w:rPr>
          <w:b/>
        </w:rPr>
        <w:t>A2/2025</w:t>
      </w:r>
    </w:p>
    <w:p w14:paraId="04E8E182" w14:textId="77777777" w:rsidR="005F7663" w:rsidRDefault="005F7663" w:rsidP="0032341F">
      <w:pPr>
        <w:pStyle w:val="OrdersText"/>
      </w:pPr>
    </w:p>
    <w:p w14:paraId="751FEACD" w14:textId="77777777" w:rsidR="005F7663" w:rsidRDefault="005F7663" w:rsidP="0003313D">
      <w:pPr>
        <w:pStyle w:val="OrdersText"/>
        <w:ind w:left="0" w:firstLine="0"/>
      </w:pPr>
      <w:r>
        <w:t>The questions stated for the opinion of the Full Court in the special case filed on 14 March 2025 be answered as follows:</w:t>
      </w:r>
    </w:p>
    <w:p w14:paraId="647FAB9D" w14:textId="77777777" w:rsidR="005F7663" w:rsidRDefault="005F7663" w:rsidP="00077C60">
      <w:pPr>
        <w:pStyle w:val="OrdersText"/>
      </w:pPr>
    </w:p>
    <w:p w14:paraId="10E78AAB" w14:textId="77777777" w:rsidR="005F7663" w:rsidRDefault="005F7663" w:rsidP="00992E6B">
      <w:pPr>
        <w:pStyle w:val="OrdersText"/>
        <w:ind w:left="1440" w:hanging="1440"/>
      </w:pPr>
      <w:r>
        <w:t>Question (1):</w:t>
      </w:r>
      <w:r>
        <w:tab/>
        <w:t xml:space="preserve">Is the </w:t>
      </w:r>
      <w:r w:rsidRPr="000506A7">
        <w:rPr>
          <w:i w:val="0"/>
        </w:rPr>
        <w:t>Surveillance Legislation (Confirmation of Application) Act 2024</w:t>
      </w:r>
      <w:r>
        <w:rPr>
          <w:iCs/>
        </w:rPr>
        <w:t xml:space="preserve"> </w:t>
      </w:r>
      <w:r>
        <w:t>(Cth) invalid, either in whole or in part, because:</w:t>
      </w:r>
    </w:p>
    <w:p w14:paraId="1DBF736D" w14:textId="77777777" w:rsidR="005F7663" w:rsidRPr="00F8768B" w:rsidRDefault="005F7663" w:rsidP="00992E6B">
      <w:pPr>
        <w:pStyle w:val="OrdersText"/>
        <w:ind w:left="1440" w:hanging="1440"/>
        <w:rPr>
          <w:i w:val="0"/>
          <w:iCs/>
        </w:rPr>
      </w:pPr>
    </w:p>
    <w:p w14:paraId="2A3FA7B3"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1BEC7949"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54BBE401" w14:textId="671140B6" w:rsidR="005F7663" w:rsidRDefault="005F7663" w:rsidP="001D7298">
      <w:pPr>
        <w:pStyle w:val="OrdersText"/>
        <w:ind w:left="2171" w:hanging="731"/>
      </w:pPr>
      <w:r>
        <w:lastRenderedPageBreak/>
        <w:t>(a)</w:t>
      </w:r>
      <w:r>
        <w:tab/>
        <w:t xml:space="preserve">it is an impermissible exercise by the Parliament of the judicial power of the Commonwealth; or </w:t>
      </w:r>
    </w:p>
    <w:p w14:paraId="6E23E198" w14:textId="77777777" w:rsidR="00D40CD3" w:rsidRDefault="00D40CD3" w:rsidP="001D7298">
      <w:pPr>
        <w:pStyle w:val="OrdersText"/>
        <w:ind w:left="2171" w:hanging="731"/>
      </w:pPr>
    </w:p>
    <w:p w14:paraId="4726D82C" w14:textId="77777777" w:rsidR="005F7663" w:rsidRDefault="005F7663" w:rsidP="00C312F9">
      <w:pPr>
        <w:pStyle w:val="OrdersText"/>
        <w:ind w:left="2149"/>
        <w:rPr>
          <w:i w:val="0"/>
          <w:iCs/>
        </w:rPr>
      </w:pPr>
      <w:r>
        <w:t>(b)</w:t>
      </w:r>
      <w:r>
        <w:tab/>
        <w:t>it impermissibly interferes with and undermines the institutional integrity of courts vested with federal jurisdiction?</w:t>
      </w:r>
    </w:p>
    <w:p w14:paraId="383FF9B6" w14:textId="77777777" w:rsidR="005F7663" w:rsidRPr="00923ACA" w:rsidRDefault="005F7663" w:rsidP="00C312F9">
      <w:pPr>
        <w:pStyle w:val="OrdersText"/>
        <w:ind w:left="2149"/>
        <w:rPr>
          <w:i w:val="0"/>
          <w:iCs/>
        </w:rPr>
      </w:pPr>
    </w:p>
    <w:p w14:paraId="095B79E9" w14:textId="77777777" w:rsidR="005F7663" w:rsidRDefault="005F7663" w:rsidP="00077C60">
      <w:pPr>
        <w:pStyle w:val="OrdersText"/>
      </w:pPr>
      <w:r>
        <w:t>Answer:</w:t>
      </w:r>
      <w:r>
        <w:tab/>
        <w:t>No.</w:t>
      </w:r>
    </w:p>
    <w:p w14:paraId="15609B5E" w14:textId="77777777" w:rsidR="005F7663" w:rsidRDefault="005F7663" w:rsidP="00077C60">
      <w:pPr>
        <w:pStyle w:val="OrdersText"/>
      </w:pPr>
    </w:p>
    <w:p w14:paraId="36350FB5" w14:textId="77777777" w:rsidR="005F7663" w:rsidRDefault="005F7663" w:rsidP="00077C60">
      <w:pPr>
        <w:pStyle w:val="OrdersText"/>
      </w:pPr>
      <w:r>
        <w:t>Question (2):</w:t>
      </w:r>
      <w:r>
        <w:tab/>
        <w:t>Who should pay the costs of the Special Case?</w:t>
      </w:r>
    </w:p>
    <w:p w14:paraId="2CA87330" w14:textId="77777777" w:rsidR="005F7663" w:rsidRPr="00A60A78" w:rsidRDefault="005F7663" w:rsidP="00077C60">
      <w:pPr>
        <w:pStyle w:val="OrdersText"/>
        <w:rPr>
          <w:i w:val="0"/>
          <w:iCs/>
        </w:rPr>
      </w:pPr>
    </w:p>
    <w:p w14:paraId="5557C982" w14:textId="77777777" w:rsidR="005F7663" w:rsidRPr="00A83423" w:rsidRDefault="005F7663" w:rsidP="00077C60">
      <w:pPr>
        <w:pStyle w:val="OrdersText"/>
      </w:pPr>
      <w:r>
        <w:t>Answer:</w:t>
      </w:r>
      <w:r>
        <w:tab/>
        <w:t>The plaintiffs.</w:t>
      </w:r>
    </w:p>
    <w:p w14:paraId="23DA6E99" w14:textId="77777777" w:rsidR="005F7663" w:rsidRDefault="005F7663" w:rsidP="00EE5374">
      <w:pPr>
        <w:pStyle w:val="Body"/>
      </w:pPr>
    </w:p>
    <w:p w14:paraId="0DD1AC6A" w14:textId="77777777" w:rsidR="005F7663" w:rsidRPr="00B07B4E" w:rsidRDefault="005F7663" w:rsidP="00DD4F75">
      <w:pPr>
        <w:pStyle w:val="OrdersPartyName"/>
        <w:ind w:right="-1"/>
        <w:rPr>
          <w:b/>
        </w:rPr>
      </w:pPr>
      <w:r w:rsidRPr="00B07B4E">
        <w:rPr>
          <w:b/>
        </w:rPr>
        <w:t xml:space="preserve">Matter No </w:t>
      </w:r>
      <w:r w:rsidRPr="00F80351">
        <w:rPr>
          <w:b/>
        </w:rPr>
        <w:t>A24/2024</w:t>
      </w:r>
    </w:p>
    <w:p w14:paraId="3FD02743" w14:textId="77777777" w:rsidR="005F7663" w:rsidRDefault="005F7663" w:rsidP="00EE5374">
      <w:pPr>
        <w:pStyle w:val="Body"/>
      </w:pPr>
    </w:p>
    <w:p w14:paraId="2F7F1D7E" w14:textId="77777777" w:rsidR="005F7663" w:rsidRPr="00A83423" w:rsidRDefault="005F7663" w:rsidP="00C56927">
      <w:pPr>
        <w:pStyle w:val="OrdersText"/>
      </w:pPr>
      <w:r>
        <w:t>Special leave to appeal is revoked.</w:t>
      </w:r>
    </w:p>
    <w:p w14:paraId="3A9B30AF" w14:textId="77777777" w:rsidR="005F7663" w:rsidRDefault="005F7663" w:rsidP="00EE5374">
      <w:pPr>
        <w:pStyle w:val="Body"/>
      </w:pPr>
    </w:p>
    <w:p w14:paraId="6EA76F1B" w14:textId="77777777" w:rsidR="005F7663" w:rsidRPr="00427F3A" w:rsidRDefault="005F7663" w:rsidP="00EE5374">
      <w:pPr>
        <w:pStyle w:val="Body"/>
      </w:pPr>
    </w:p>
    <w:p w14:paraId="285E4E3B" w14:textId="77777777" w:rsidR="005F7663" w:rsidRPr="00427F3A" w:rsidRDefault="005F7663" w:rsidP="0032341F">
      <w:pPr>
        <w:pStyle w:val="OrdersBody"/>
      </w:pPr>
      <w:r w:rsidRPr="00427F3A">
        <w:t xml:space="preserve">On appeal from the </w:t>
      </w:r>
      <w:r w:rsidRPr="00F80351">
        <w:t xml:space="preserve">Supreme Court of South Australia </w:t>
      </w:r>
      <w:r>
        <w:t>(</w:t>
      </w:r>
      <w:r w:rsidRPr="00F80351">
        <w:t>A24/2024</w:t>
      </w:r>
      <w:r>
        <w:t xml:space="preserve"> only)</w:t>
      </w:r>
    </w:p>
    <w:p w14:paraId="44EBE4CE" w14:textId="77777777" w:rsidR="005F7663" w:rsidRDefault="005F7663" w:rsidP="00EE5374">
      <w:pPr>
        <w:pStyle w:val="Body"/>
      </w:pPr>
    </w:p>
    <w:p w14:paraId="28B59598" w14:textId="77777777" w:rsidR="005F7663" w:rsidRPr="00427F3A" w:rsidRDefault="005F7663" w:rsidP="00EE5374">
      <w:pPr>
        <w:pStyle w:val="Body"/>
      </w:pPr>
    </w:p>
    <w:p w14:paraId="5938AB21" w14:textId="77777777" w:rsidR="005F7663" w:rsidRPr="00427F3A" w:rsidRDefault="005F7663" w:rsidP="00785D25">
      <w:pPr>
        <w:pStyle w:val="OrdersBodyHeading"/>
        <w:keepNext/>
      </w:pPr>
      <w:r w:rsidRPr="00427F3A">
        <w:t>Representation</w:t>
      </w:r>
    </w:p>
    <w:p w14:paraId="6E09F2B1" w14:textId="77777777" w:rsidR="005F7663" w:rsidRDefault="005F7663" w:rsidP="00785D25">
      <w:pPr>
        <w:pStyle w:val="Body"/>
        <w:keepNext/>
      </w:pPr>
    </w:p>
    <w:p w14:paraId="0EB06B1D" w14:textId="77777777" w:rsidR="005F7663" w:rsidRPr="00B2420A" w:rsidRDefault="005F7663" w:rsidP="00E90E4F">
      <w:pPr>
        <w:pStyle w:val="OrdersBody"/>
      </w:pPr>
      <w:r w:rsidRPr="00B2420A">
        <w:t>B W Walker SC with D F O</w:t>
      </w:r>
      <w:r w:rsidRPr="00B2420A">
        <w:rPr>
          <w:lang w:val="en-AU"/>
        </w:rPr>
        <w:t>'L</w:t>
      </w:r>
      <w:r w:rsidRPr="00B2420A">
        <w:t>eary SC and S Palaniappan for the plaintiffs in A2/2025 and the appellants in A24/2024 (instructed by Agresta Moran Barristers &amp; Solicitors)</w:t>
      </w:r>
    </w:p>
    <w:p w14:paraId="2109DFEC" w14:textId="77777777" w:rsidR="005F7663" w:rsidRPr="00B2420A" w:rsidRDefault="005F7663" w:rsidP="001B3C97">
      <w:pPr>
        <w:pStyle w:val="Body"/>
      </w:pPr>
    </w:p>
    <w:p w14:paraId="12E036E8" w14:textId="77777777" w:rsidR="005F7663" w:rsidRPr="00B2420A" w:rsidRDefault="005F7663" w:rsidP="00881156">
      <w:pPr>
        <w:pStyle w:val="OrdersBody"/>
      </w:pPr>
      <w:r w:rsidRPr="00B2420A">
        <w:t>S P Donaghue KC, Solicitor-General of the Commonwealth, with M R Salinger and M P A Maynard for the defendant in A2/2025 (instructed by Australian Government Solicitor)</w:t>
      </w:r>
    </w:p>
    <w:p w14:paraId="3EA71169" w14:textId="77777777" w:rsidR="005F7663" w:rsidRPr="00B2420A" w:rsidRDefault="005F7663" w:rsidP="00881156">
      <w:pPr>
        <w:pStyle w:val="Body"/>
      </w:pPr>
    </w:p>
    <w:p w14:paraId="2A53CCA7" w14:textId="77777777" w:rsidR="005F7663" w:rsidRPr="00B2420A" w:rsidRDefault="005F7663" w:rsidP="00881156">
      <w:pPr>
        <w:pStyle w:val="OrdersBody"/>
      </w:pPr>
      <w:r w:rsidRPr="00B2420A">
        <w:t xml:space="preserve">M G Hinton KC with A F Cairney and W M Scobie </w:t>
      </w:r>
      <w:r>
        <w:t>for</w:t>
      </w:r>
      <w:r w:rsidRPr="00B2420A">
        <w:t xml:space="preserve"> the Director of Public Prosecutions (SA), </w:t>
      </w:r>
      <w:r>
        <w:t>intervening</w:t>
      </w:r>
      <w:r w:rsidRPr="00B2420A">
        <w:t xml:space="preserve"> in A2/2025, and for the first respondent in A24/2024 (instructed by Office of the Director of Public Prosecutions (SA))</w:t>
      </w:r>
    </w:p>
    <w:p w14:paraId="6BDEDE89" w14:textId="77777777" w:rsidR="005F7663" w:rsidRPr="00B2420A" w:rsidRDefault="005F7663" w:rsidP="00881156">
      <w:pPr>
        <w:pStyle w:val="Body"/>
      </w:pPr>
    </w:p>
    <w:p w14:paraId="600C0CA1" w14:textId="77777777" w:rsidR="005F7663" w:rsidRPr="00B2420A" w:rsidRDefault="005F7663" w:rsidP="00881156">
      <w:pPr>
        <w:pStyle w:val="OrdersBody"/>
      </w:pPr>
      <w:r w:rsidRPr="00B2420A">
        <w:t>T M Begbie KC with P J Melican and M R Salinger for the second respondent in A24/2024 (instructed by Australian Government Solicitor)</w:t>
      </w:r>
    </w:p>
    <w:p w14:paraId="494D54D4" w14:textId="77777777" w:rsidR="005F7663" w:rsidRPr="00B2420A" w:rsidRDefault="005F7663" w:rsidP="001B3C97">
      <w:pPr>
        <w:pStyle w:val="Body"/>
      </w:pPr>
    </w:p>
    <w:p w14:paraId="36BC28C6" w14:textId="77777777" w:rsidR="005F7663" w:rsidRPr="00B2420A" w:rsidRDefault="005F7663" w:rsidP="00EB2770">
      <w:pPr>
        <w:pStyle w:val="OrdersBody"/>
      </w:pPr>
      <w:r w:rsidRPr="00B2420A">
        <w:t xml:space="preserve">C S Bydder SC, Solicitor-General for the State of Western Australia, with A K Miller </w:t>
      </w:r>
      <w:r>
        <w:t>for</w:t>
      </w:r>
      <w:r w:rsidRPr="00B2420A">
        <w:t xml:space="preserve"> the Attorney-General for the State of Western Australia and the Attorney-General for the State of Victoria, intervening in A2/2025 (instructed by State Solicitor</w:t>
      </w:r>
      <w:r w:rsidRPr="00B2420A">
        <w:rPr>
          <w:lang w:val="en-AU"/>
        </w:rPr>
        <w:t>'</w:t>
      </w:r>
      <w:r w:rsidRPr="00B2420A">
        <w:t>s Office (WA) and Victorian Government Solicitor)</w:t>
      </w:r>
    </w:p>
    <w:p w14:paraId="05674730" w14:textId="52330D46"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0B910B41" w14:textId="5669616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23CA8D61" w14:textId="77777777" w:rsidR="005F7663" w:rsidRDefault="005F7663" w:rsidP="00B2420A">
      <w:pPr>
        <w:pStyle w:val="OrdersBody"/>
      </w:pPr>
    </w:p>
    <w:p w14:paraId="6622C1E5" w14:textId="77777777" w:rsidR="005F7663" w:rsidRPr="00B2420A" w:rsidRDefault="005F7663" w:rsidP="00B2420A">
      <w:pPr>
        <w:pStyle w:val="OrdersBody"/>
      </w:pPr>
      <w:r w:rsidRPr="00B2420A">
        <w:t xml:space="preserve">S Robertson SC with L A Coleman </w:t>
      </w:r>
      <w:r>
        <w:t>for</w:t>
      </w:r>
      <w:r w:rsidRPr="00B2420A">
        <w:t xml:space="preserve"> the Attorney-General for the State of New South Wales, intervening in A2/2025 (instructed by Crown Solicitor (NSW))</w:t>
      </w:r>
    </w:p>
    <w:p w14:paraId="5E7556A4" w14:textId="77777777" w:rsidR="005F7663" w:rsidRDefault="005F7663" w:rsidP="00A01277">
      <w:pPr>
        <w:pStyle w:val="Body"/>
      </w:pPr>
    </w:p>
    <w:p w14:paraId="5689B35C" w14:textId="77777777" w:rsidR="005F7663" w:rsidRDefault="005F7663" w:rsidP="00EE5374">
      <w:pPr>
        <w:pStyle w:val="Body"/>
      </w:pPr>
    </w:p>
    <w:p w14:paraId="7BB2ABD5" w14:textId="77777777" w:rsidR="005F7663" w:rsidRDefault="005F7663" w:rsidP="00EE5374">
      <w:pPr>
        <w:pStyle w:val="Body"/>
      </w:pPr>
    </w:p>
    <w:p w14:paraId="1076FB4D" w14:textId="77777777" w:rsidR="005F7663" w:rsidRDefault="005F7663" w:rsidP="00EE5374">
      <w:pPr>
        <w:pStyle w:val="Body"/>
      </w:pPr>
    </w:p>
    <w:p w14:paraId="3F936242" w14:textId="77777777" w:rsidR="005F7663" w:rsidRDefault="005F7663" w:rsidP="00EE5374">
      <w:pPr>
        <w:pStyle w:val="Body"/>
      </w:pPr>
    </w:p>
    <w:p w14:paraId="142D5B0A" w14:textId="77777777" w:rsidR="005F7663" w:rsidRDefault="005F7663" w:rsidP="00EE5374">
      <w:pPr>
        <w:pStyle w:val="Body"/>
      </w:pPr>
    </w:p>
    <w:p w14:paraId="2B0A590A" w14:textId="77777777" w:rsidR="005F7663" w:rsidRDefault="005F7663" w:rsidP="00EE5374">
      <w:pPr>
        <w:pStyle w:val="Body"/>
      </w:pPr>
    </w:p>
    <w:p w14:paraId="47069645" w14:textId="77777777" w:rsidR="005F7663" w:rsidRDefault="005F7663" w:rsidP="00EE5374">
      <w:pPr>
        <w:pStyle w:val="Body"/>
      </w:pPr>
    </w:p>
    <w:p w14:paraId="62BFB366" w14:textId="77777777" w:rsidR="005F7663" w:rsidRDefault="005F7663" w:rsidP="00EE5374">
      <w:pPr>
        <w:pStyle w:val="Body"/>
      </w:pPr>
    </w:p>
    <w:p w14:paraId="6F524431" w14:textId="77777777" w:rsidR="005F7663" w:rsidRDefault="005F7663" w:rsidP="00EE5374">
      <w:pPr>
        <w:pStyle w:val="Body"/>
      </w:pPr>
    </w:p>
    <w:p w14:paraId="420EFA78" w14:textId="77777777" w:rsidR="005F7663" w:rsidRDefault="005F7663" w:rsidP="00EE5374">
      <w:pPr>
        <w:pStyle w:val="Body"/>
      </w:pPr>
    </w:p>
    <w:p w14:paraId="53ABB25F" w14:textId="77777777" w:rsidR="005F7663" w:rsidRDefault="005F7663" w:rsidP="00EE5374">
      <w:pPr>
        <w:pStyle w:val="Body"/>
      </w:pPr>
    </w:p>
    <w:p w14:paraId="7CE6CC1C" w14:textId="77777777" w:rsidR="005F7663" w:rsidRDefault="005F7663" w:rsidP="00EE5374">
      <w:pPr>
        <w:pStyle w:val="Body"/>
      </w:pPr>
    </w:p>
    <w:p w14:paraId="3D315A10" w14:textId="77777777" w:rsidR="005F7663" w:rsidRDefault="005F7663" w:rsidP="00EE5374">
      <w:pPr>
        <w:pStyle w:val="Body"/>
      </w:pPr>
    </w:p>
    <w:p w14:paraId="2958F673" w14:textId="77777777" w:rsidR="005F7663" w:rsidRDefault="005F7663" w:rsidP="00EE5374">
      <w:pPr>
        <w:pStyle w:val="Body"/>
      </w:pPr>
    </w:p>
    <w:p w14:paraId="54F35D10" w14:textId="77777777" w:rsidR="005F7663" w:rsidRDefault="005F7663" w:rsidP="00EE5374">
      <w:pPr>
        <w:pStyle w:val="Body"/>
      </w:pPr>
    </w:p>
    <w:p w14:paraId="17460D00" w14:textId="77777777" w:rsidR="005F7663" w:rsidRDefault="005F7663" w:rsidP="00EE5374">
      <w:pPr>
        <w:pStyle w:val="Body"/>
      </w:pPr>
    </w:p>
    <w:p w14:paraId="756D78D6" w14:textId="77777777" w:rsidR="005F7663" w:rsidRDefault="005F7663" w:rsidP="00EE5374">
      <w:pPr>
        <w:pStyle w:val="Body"/>
      </w:pPr>
    </w:p>
    <w:p w14:paraId="03C1A0A8" w14:textId="77777777" w:rsidR="005F7663" w:rsidRDefault="005F7663" w:rsidP="00EE5374">
      <w:pPr>
        <w:pStyle w:val="Body"/>
      </w:pPr>
    </w:p>
    <w:p w14:paraId="363D0AB3" w14:textId="77777777" w:rsidR="005F7663" w:rsidRDefault="005F7663" w:rsidP="00EE5374">
      <w:pPr>
        <w:pStyle w:val="Body"/>
      </w:pPr>
    </w:p>
    <w:p w14:paraId="5ED03B4F" w14:textId="77777777" w:rsidR="005F7663" w:rsidRDefault="005F7663" w:rsidP="00EE5374">
      <w:pPr>
        <w:pStyle w:val="Body"/>
      </w:pPr>
    </w:p>
    <w:p w14:paraId="75802E12" w14:textId="77777777" w:rsidR="005F7663" w:rsidRDefault="005F7663" w:rsidP="00EE5374">
      <w:pPr>
        <w:pStyle w:val="Body"/>
      </w:pPr>
    </w:p>
    <w:p w14:paraId="517469B7" w14:textId="77777777" w:rsidR="005F7663" w:rsidRDefault="005F7663" w:rsidP="00EE5374">
      <w:pPr>
        <w:pStyle w:val="Body"/>
      </w:pPr>
    </w:p>
    <w:p w14:paraId="7A087103" w14:textId="77777777" w:rsidR="005F7663" w:rsidRDefault="005F7663" w:rsidP="00EE5374">
      <w:pPr>
        <w:pStyle w:val="Body"/>
      </w:pPr>
    </w:p>
    <w:p w14:paraId="30E470A2" w14:textId="77777777" w:rsidR="005F7663" w:rsidRDefault="005F7663" w:rsidP="00EE5374">
      <w:pPr>
        <w:pStyle w:val="Body"/>
      </w:pPr>
    </w:p>
    <w:p w14:paraId="46C1CA19" w14:textId="77777777" w:rsidR="005F7663" w:rsidRDefault="005F7663" w:rsidP="00EE5374">
      <w:pPr>
        <w:pStyle w:val="Body"/>
      </w:pPr>
    </w:p>
    <w:p w14:paraId="1372F35B" w14:textId="77777777" w:rsidR="005F7663" w:rsidRDefault="005F7663" w:rsidP="00EE5374">
      <w:pPr>
        <w:pStyle w:val="Body"/>
      </w:pPr>
    </w:p>
    <w:p w14:paraId="3BEEAE78" w14:textId="77777777" w:rsidR="005F7663" w:rsidRDefault="005F7663" w:rsidP="00EE5374">
      <w:pPr>
        <w:pStyle w:val="Body"/>
      </w:pPr>
    </w:p>
    <w:p w14:paraId="4EA80537" w14:textId="77777777" w:rsidR="005F7663" w:rsidRDefault="005F7663" w:rsidP="00EE5374">
      <w:pPr>
        <w:pStyle w:val="Body"/>
      </w:pPr>
    </w:p>
    <w:p w14:paraId="1EDCDDBC" w14:textId="77777777" w:rsidR="005F7663" w:rsidRDefault="005F7663" w:rsidP="00EE5374">
      <w:pPr>
        <w:pStyle w:val="Body"/>
      </w:pPr>
    </w:p>
    <w:p w14:paraId="1A33251B" w14:textId="77777777" w:rsidR="005F7663" w:rsidRPr="00427F3A" w:rsidRDefault="005F7663" w:rsidP="00EE5374">
      <w:pPr>
        <w:pStyle w:val="Body"/>
      </w:pPr>
    </w:p>
    <w:p w14:paraId="37232BF0" w14:textId="77777777" w:rsidR="005F7663" w:rsidRPr="00427F3A" w:rsidRDefault="005F7663" w:rsidP="00F9713B">
      <w:pPr>
        <w:pStyle w:val="Notice"/>
        <w:rPr>
          <w:lang w:val="en-AU"/>
        </w:rPr>
      </w:pPr>
      <w:r w:rsidRPr="00427F3A">
        <w:rPr>
          <w:lang w:val="en-AU"/>
        </w:rPr>
        <w:t>Notice:  This copy of the Court's Reasons for Judgment is subject to formal revision prior to publication in the Commonwealth Law Reports.</w:t>
      </w:r>
    </w:p>
    <w:p w14:paraId="5117EB5C" w14:textId="5E9FF411"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10E5B4B"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F7663" w:rsidSect="005F7663">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DB77945" w14:textId="77777777" w:rsidR="005F7663" w:rsidRDefault="005F7663" w:rsidP="001649CA">
      <w:pPr>
        <w:pStyle w:val="CatchwordsBold"/>
      </w:pPr>
      <w:r w:rsidRPr="00B9489E">
        <w:lastRenderedPageBreak/>
        <w:t>CATCHWORDS</w:t>
      </w:r>
    </w:p>
    <w:p w14:paraId="72B41199" w14:textId="77777777" w:rsidR="005F7663" w:rsidRPr="00B9489E" w:rsidRDefault="005F7663" w:rsidP="001649CA">
      <w:pPr>
        <w:pStyle w:val="CatchwordsBold"/>
      </w:pPr>
    </w:p>
    <w:p w14:paraId="01140A01" w14:textId="77777777" w:rsidR="005F7663" w:rsidRDefault="005F7663" w:rsidP="00490597">
      <w:pPr>
        <w:pStyle w:val="CatchwordsBold"/>
      </w:pPr>
      <w:r>
        <w:t>CD v The Commonwealth of Australia</w:t>
      </w:r>
    </w:p>
    <w:p w14:paraId="78D07FBB" w14:textId="77777777" w:rsidR="005F7663" w:rsidRDefault="005F7663" w:rsidP="001649CA">
      <w:pPr>
        <w:pStyle w:val="CatchwordsBold"/>
      </w:pPr>
      <w:r>
        <w:t>CD v Director of Public Prosecutions (SA)</w:t>
      </w:r>
    </w:p>
    <w:p w14:paraId="71C1320D" w14:textId="77777777" w:rsidR="005F7663" w:rsidRPr="00B9489E" w:rsidRDefault="005F7663" w:rsidP="00562CAB">
      <w:pPr>
        <w:pStyle w:val="Default"/>
      </w:pPr>
    </w:p>
    <w:p w14:paraId="1BAA118A" w14:textId="77777777" w:rsidR="005F7663" w:rsidRDefault="005F7663" w:rsidP="001649CA">
      <w:pPr>
        <w:pStyle w:val="CatchwordsText"/>
      </w:pPr>
      <w:r>
        <w:t xml:space="preserve">Constitutional law (Cth) – Judicial power of Commonwealth – Admissibility of evidence – Where information and records obtained pursuant to warrants – Where </w:t>
      </w:r>
      <w:r w:rsidRPr="0099601B">
        <w:rPr>
          <w:i/>
          <w:iCs/>
        </w:rPr>
        <w:t>Surveillance Legislation (Confirmation of Application) Act 2024</w:t>
      </w:r>
      <w:r>
        <w:t xml:space="preserve"> (Cth) ("Confirmation of Application Act") deems information and records obtained under specified warrants to have been lawfully obtained – Whether Confirmation of Application Act invalid – Whether Confirmation of Application Act impermissible exercise by Parliament of judicial power of Commonwealth – Whether Confirmation of Application Act impermissibly interferes with and undermines institutional integrity of courts vested with federal jurisdiction. </w:t>
      </w:r>
    </w:p>
    <w:p w14:paraId="666F9580" w14:textId="77777777" w:rsidR="005F7663" w:rsidRDefault="005F7663" w:rsidP="001649CA">
      <w:pPr>
        <w:pStyle w:val="CatchwordsText"/>
      </w:pPr>
    </w:p>
    <w:p w14:paraId="61C73C72" w14:textId="77777777" w:rsidR="005F7663" w:rsidRDefault="005F7663" w:rsidP="001649CA">
      <w:pPr>
        <w:pStyle w:val="CatchwordsText"/>
      </w:pPr>
      <w:r>
        <w:t>Words and phrases – "admissible", "communication", "criminal proceedings", "evidence", "exercise of judicial power", "illegally obtained", "inadmissible", "intercepting a communication", "interfere with the integrity of courts", "judicial power", "legislative power", "statutory concept", "telecommunications system", "undue impairment of judicial power", "unlawfully intercepted", "usurpation of judicial power", "warrant".</w:t>
      </w:r>
    </w:p>
    <w:p w14:paraId="3366BF4D" w14:textId="77777777" w:rsidR="005F7663" w:rsidRPr="00B9489E" w:rsidRDefault="005F7663" w:rsidP="001649CA">
      <w:pPr>
        <w:pStyle w:val="CatchwordsText"/>
      </w:pPr>
    </w:p>
    <w:p w14:paraId="07C5B74E" w14:textId="77777777" w:rsidR="005F7663" w:rsidRDefault="005F7663" w:rsidP="001649CA">
      <w:pPr>
        <w:pStyle w:val="CatchwordsText"/>
        <w:rPr>
          <w:iCs/>
        </w:rPr>
      </w:pPr>
      <w:r>
        <w:rPr>
          <w:i/>
        </w:rPr>
        <w:t>Constitution</w:t>
      </w:r>
      <w:r w:rsidRPr="00FE4E36">
        <w:rPr>
          <w:iCs/>
        </w:rPr>
        <w:t xml:space="preserve">, </w:t>
      </w:r>
      <w:r>
        <w:rPr>
          <w:iCs/>
        </w:rPr>
        <w:t>Ch III.</w:t>
      </w:r>
    </w:p>
    <w:p w14:paraId="4715E601" w14:textId="26D4C67F" w:rsidR="005F7663" w:rsidRDefault="005F7663" w:rsidP="001649CA">
      <w:pPr>
        <w:pStyle w:val="CatchwordsText"/>
        <w:rPr>
          <w:iCs/>
        </w:rPr>
      </w:pPr>
      <w:r w:rsidRPr="005C6E31">
        <w:rPr>
          <w:i/>
        </w:rPr>
        <w:t>Surveillance Legislation (Confirmation of Application) Act 2024</w:t>
      </w:r>
      <w:r>
        <w:rPr>
          <w:iCs/>
        </w:rPr>
        <w:t xml:space="preserve"> (Cth), ss 4, 5, 6</w:t>
      </w:r>
      <w:r w:rsidR="0085053D">
        <w:rPr>
          <w:iCs/>
        </w:rPr>
        <w:t>,</w:t>
      </w:r>
      <w:r>
        <w:rPr>
          <w:iCs/>
        </w:rPr>
        <w:t xml:space="preserve"> 7.</w:t>
      </w:r>
    </w:p>
    <w:p w14:paraId="2E2596D2" w14:textId="77777777" w:rsidR="005F7663" w:rsidRPr="00FE4E36" w:rsidRDefault="005F7663" w:rsidP="001649CA">
      <w:pPr>
        <w:pStyle w:val="CatchwordsText"/>
        <w:rPr>
          <w:iCs/>
        </w:rPr>
      </w:pPr>
      <w:r w:rsidRPr="00AD5EE5">
        <w:rPr>
          <w:i/>
        </w:rPr>
        <w:t>Telecommunications (Interception and Access) Act 1979</w:t>
      </w:r>
      <w:r>
        <w:rPr>
          <w:iCs/>
        </w:rPr>
        <w:t xml:space="preserve"> (Cth), ss 7, 63, 77.</w:t>
      </w:r>
    </w:p>
    <w:p w14:paraId="7317C3B0" w14:textId="77777777" w:rsidR="005F7663" w:rsidRDefault="005F7663" w:rsidP="001649CA">
      <w:pPr>
        <w:pStyle w:val="CatchwordsText"/>
        <w:rPr>
          <w:b/>
        </w:rPr>
      </w:pPr>
    </w:p>
    <w:p w14:paraId="3963097E" w14:textId="276FEE08" w:rsidR="005F7663" w:rsidRDefault="005F7663" w:rsidP="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0C0B78C9" w14:textId="3D9751F2"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712F8DAC" w14:textId="485AFABE"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65521D38" w14:textId="77777777" w:rsidR="005F7663" w:rsidRDefault="005F7663" w:rsidP="00192A62">
      <w:pPr>
        <w:pStyle w:val="NormalBody"/>
        <w:tabs>
          <w:tab w:val="clear" w:pos="720"/>
          <w:tab w:val="left" w:pos="0"/>
        </w:tabs>
        <w:spacing w:after="260" w:line="280" w:lineRule="exact"/>
        <w:ind w:right="0"/>
        <w:jc w:val="both"/>
        <w:rPr>
          <w:rFonts w:ascii="Times New Roman" w:hAnsi="Times New Roman"/>
        </w:rPr>
        <w:sectPr w:rsidR="005F7663" w:rsidSect="005F7663">
          <w:pgSz w:w="11907" w:h="16839" w:code="9"/>
          <w:pgMar w:top="1440" w:right="1701" w:bottom="1984" w:left="1701" w:header="720" w:footer="720" w:gutter="0"/>
          <w:pgNumType w:start="1"/>
          <w:cols w:space="720"/>
          <w:titlePg/>
          <w:docGrid w:linePitch="354"/>
        </w:sectPr>
      </w:pPr>
    </w:p>
    <w:p w14:paraId="63DA3D30" w14:textId="09B17D3E" w:rsidR="00192A62" w:rsidRPr="00192A62" w:rsidRDefault="00192A62" w:rsidP="00192A62">
      <w:pPr>
        <w:pStyle w:val="NormalBody"/>
        <w:tabs>
          <w:tab w:val="clear" w:pos="720"/>
          <w:tab w:val="left" w:pos="0"/>
        </w:tabs>
        <w:spacing w:after="260" w:line="280" w:lineRule="exact"/>
        <w:ind w:right="0"/>
        <w:jc w:val="both"/>
        <w:rPr>
          <w:rFonts w:ascii="Times New Roman" w:hAnsi="Times New Roman"/>
        </w:rPr>
      </w:pPr>
      <w:r w:rsidRPr="00192A62">
        <w:rPr>
          <w:rFonts w:ascii="Times New Roman" w:hAnsi="Times New Roman"/>
        </w:rPr>
        <w:lastRenderedPageBreak/>
        <w:t xml:space="preserve">GAGELER CJ, GORDON, STEWARD, GLEESON, JAGOT AND BEECH-JONES JJ.   </w:t>
      </w:r>
    </w:p>
    <w:p w14:paraId="5DC26991" w14:textId="03EE30FE" w:rsidR="00A73989" w:rsidRPr="00192A62" w:rsidRDefault="00935699" w:rsidP="00192A62">
      <w:pPr>
        <w:pStyle w:val="HeadingL1"/>
        <w:spacing w:after="260" w:line="280" w:lineRule="exact"/>
        <w:ind w:right="0"/>
        <w:jc w:val="both"/>
        <w:rPr>
          <w:rFonts w:ascii="Times New Roman" w:hAnsi="Times New Roman"/>
        </w:rPr>
      </w:pPr>
      <w:r w:rsidRPr="00192A62">
        <w:rPr>
          <w:rFonts w:ascii="Times New Roman" w:hAnsi="Times New Roman"/>
        </w:rPr>
        <w:t xml:space="preserve">The </w:t>
      </w:r>
      <w:r w:rsidR="00335B32" w:rsidRPr="00192A62">
        <w:rPr>
          <w:rFonts w:ascii="Times New Roman" w:hAnsi="Times New Roman"/>
        </w:rPr>
        <w:t xml:space="preserve">determinative </w:t>
      </w:r>
      <w:r w:rsidRPr="00192A62">
        <w:rPr>
          <w:rFonts w:ascii="Times New Roman" w:hAnsi="Times New Roman"/>
        </w:rPr>
        <w:t>questions of law</w:t>
      </w:r>
      <w:r w:rsidR="00C84F17" w:rsidRPr="00192A62">
        <w:rPr>
          <w:rFonts w:ascii="Times New Roman" w:hAnsi="Times New Roman"/>
        </w:rPr>
        <w:t xml:space="preserve"> in context</w:t>
      </w:r>
    </w:p>
    <w:p w14:paraId="649CE018" w14:textId="4014DB7C" w:rsidR="009E1F70" w:rsidRPr="00192A62" w:rsidRDefault="0093569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D25D8" w:rsidRPr="00192A62">
        <w:rPr>
          <w:rFonts w:ascii="Times New Roman" w:hAnsi="Times New Roman"/>
        </w:rPr>
        <w:t xml:space="preserve">Before </w:t>
      </w:r>
      <w:r w:rsidR="00115FCB" w:rsidRPr="00192A62">
        <w:rPr>
          <w:rFonts w:ascii="Times New Roman" w:hAnsi="Times New Roman"/>
        </w:rPr>
        <w:t xml:space="preserve">the </w:t>
      </w:r>
      <w:r w:rsidR="001D25D8" w:rsidRPr="00192A62">
        <w:rPr>
          <w:rFonts w:ascii="Times New Roman" w:hAnsi="Times New Roman"/>
        </w:rPr>
        <w:t xml:space="preserve">Court is a special case in a proceeding </w:t>
      </w:r>
      <w:r w:rsidR="00FC1ED5" w:rsidRPr="00192A62">
        <w:rPr>
          <w:rFonts w:ascii="Times New Roman" w:hAnsi="Times New Roman"/>
        </w:rPr>
        <w:t xml:space="preserve">commenced by </w:t>
      </w:r>
      <w:r w:rsidR="00115FCB" w:rsidRPr="00192A62">
        <w:rPr>
          <w:rFonts w:ascii="Times New Roman" w:hAnsi="Times New Roman"/>
        </w:rPr>
        <w:t xml:space="preserve">writ of summons </w:t>
      </w:r>
      <w:r w:rsidR="00444752" w:rsidRPr="00192A62">
        <w:rPr>
          <w:rFonts w:ascii="Times New Roman" w:hAnsi="Times New Roman"/>
        </w:rPr>
        <w:t>in which the plaintiffs</w:t>
      </w:r>
      <w:r w:rsidR="00FC1ED5" w:rsidRPr="00192A62">
        <w:rPr>
          <w:rFonts w:ascii="Times New Roman" w:hAnsi="Times New Roman"/>
        </w:rPr>
        <w:t>, CD and TB,</w:t>
      </w:r>
      <w:r w:rsidR="00444752" w:rsidRPr="00192A62">
        <w:rPr>
          <w:rFonts w:ascii="Times New Roman" w:hAnsi="Times New Roman"/>
        </w:rPr>
        <w:t xml:space="preserve"> </w:t>
      </w:r>
      <w:r w:rsidR="00320744" w:rsidRPr="00192A62">
        <w:rPr>
          <w:rFonts w:ascii="Times New Roman" w:hAnsi="Times New Roman"/>
        </w:rPr>
        <w:t xml:space="preserve">seek </w:t>
      </w:r>
      <w:r w:rsidR="00444752" w:rsidRPr="00192A62">
        <w:rPr>
          <w:rFonts w:ascii="Times New Roman" w:hAnsi="Times New Roman"/>
        </w:rPr>
        <w:t xml:space="preserve">a declaration that the </w:t>
      </w:r>
      <w:r w:rsidR="00597282" w:rsidRPr="00192A62">
        <w:rPr>
          <w:rFonts w:ascii="Times New Roman" w:hAnsi="Times New Roman"/>
          <w:i/>
          <w:iCs/>
        </w:rPr>
        <w:t>Surveillance Legislation (Confirmation of Application) Act 2024</w:t>
      </w:r>
      <w:r w:rsidR="00597282" w:rsidRPr="00192A62">
        <w:rPr>
          <w:rFonts w:ascii="Times New Roman" w:hAnsi="Times New Roman"/>
        </w:rPr>
        <w:t xml:space="preserve"> (Cth)</w:t>
      </w:r>
      <w:r w:rsidR="00F43E95" w:rsidRPr="00192A62">
        <w:rPr>
          <w:rFonts w:ascii="Times New Roman" w:hAnsi="Times New Roman"/>
        </w:rPr>
        <w:t xml:space="preserve"> </w:t>
      </w:r>
      <w:r w:rsidR="009839AC" w:rsidRPr="00192A62">
        <w:rPr>
          <w:rFonts w:ascii="Times New Roman" w:hAnsi="Times New Roman"/>
        </w:rPr>
        <w:t xml:space="preserve">("the Confirmation of Application Act") </w:t>
      </w:r>
      <w:r w:rsidR="00F43E95" w:rsidRPr="00192A62">
        <w:rPr>
          <w:rFonts w:ascii="Times New Roman" w:hAnsi="Times New Roman"/>
        </w:rPr>
        <w:t>is invalid</w:t>
      </w:r>
      <w:r w:rsidR="009839AC" w:rsidRPr="00192A62">
        <w:rPr>
          <w:rFonts w:ascii="Times New Roman" w:hAnsi="Times New Roman"/>
        </w:rPr>
        <w:t xml:space="preserve">. </w:t>
      </w:r>
      <w:r w:rsidR="001E4BAC" w:rsidRPr="00192A62">
        <w:rPr>
          <w:rFonts w:ascii="Times New Roman" w:hAnsi="Times New Roman"/>
        </w:rPr>
        <w:t xml:space="preserve">Before the Court is also an application for revocation of special leave granted to CD and TB to appeal from a decision of the Court of Appeal of the Supreme Court of South Australia which answered </w:t>
      </w:r>
      <w:r w:rsidR="009F603F" w:rsidRPr="00192A62">
        <w:rPr>
          <w:rFonts w:ascii="Times New Roman" w:hAnsi="Times New Roman"/>
        </w:rPr>
        <w:t xml:space="preserve">questions of law </w:t>
      </w:r>
      <w:r w:rsidR="009E1F70" w:rsidRPr="00192A62">
        <w:rPr>
          <w:rFonts w:ascii="Times New Roman" w:hAnsi="Times New Roman"/>
        </w:rPr>
        <w:t xml:space="preserve">concerning the application of the </w:t>
      </w:r>
      <w:r w:rsidR="009E1F70" w:rsidRPr="00192A62">
        <w:rPr>
          <w:rFonts w:ascii="Times New Roman" w:hAnsi="Times New Roman"/>
          <w:i/>
          <w:iCs/>
        </w:rPr>
        <w:t>Telecommunications (Interception and Access) Act 1979</w:t>
      </w:r>
      <w:r w:rsidR="009E1F70" w:rsidRPr="00192A62">
        <w:rPr>
          <w:rFonts w:ascii="Times New Roman" w:hAnsi="Times New Roman"/>
        </w:rPr>
        <w:t xml:space="preserve"> (Cth) ("the TIA Act") before the enactment of the Confirmation of Application Act. </w:t>
      </w:r>
    </w:p>
    <w:p w14:paraId="3CE3A5F2" w14:textId="77930F1B" w:rsidR="00935699" w:rsidRPr="00192A62" w:rsidRDefault="00F24937"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questions of law stated </w:t>
      </w:r>
      <w:r w:rsidR="00372955" w:rsidRPr="00192A62">
        <w:rPr>
          <w:rFonts w:ascii="Times New Roman" w:hAnsi="Times New Roman"/>
        </w:rPr>
        <w:t xml:space="preserve">by the parties </w:t>
      </w:r>
      <w:r w:rsidR="009F603F" w:rsidRPr="00192A62">
        <w:rPr>
          <w:rFonts w:ascii="Times New Roman" w:hAnsi="Times New Roman"/>
        </w:rPr>
        <w:t xml:space="preserve">for the opinion of the </w:t>
      </w:r>
      <w:r w:rsidR="00514189" w:rsidRPr="00192A62">
        <w:rPr>
          <w:rFonts w:ascii="Times New Roman" w:hAnsi="Times New Roman"/>
        </w:rPr>
        <w:t xml:space="preserve">Full </w:t>
      </w:r>
      <w:r w:rsidR="009F603F" w:rsidRPr="00192A62">
        <w:rPr>
          <w:rFonts w:ascii="Times New Roman" w:hAnsi="Times New Roman"/>
        </w:rPr>
        <w:t xml:space="preserve">Court </w:t>
      </w:r>
      <w:r w:rsidR="00372955" w:rsidRPr="00192A62">
        <w:rPr>
          <w:rFonts w:ascii="Times New Roman" w:hAnsi="Times New Roman"/>
        </w:rPr>
        <w:t xml:space="preserve">in the special case </w:t>
      </w:r>
      <w:r w:rsidR="0001498E" w:rsidRPr="00192A62">
        <w:rPr>
          <w:rFonts w:ascii="Times New Roman" w:hAnsi="Times New Roman"/>
        </w:rPr>
        <w:t xml:space="preserve">are </w:t>
      </w:r>
      <w:r w:rsidR="009F603F" w:rsidRPr="00192A62">
        <w:rPr>
          <w:rFonts w:ascii="Times New Roman" w:hAnsi="Times New Roman"/>
        </w:rPr>
        <w:t>as follows</w:t>
      </w:r>
      <w:r w:rsidR="00DC4F25" w:rsidRPr="00192A62">
        <w:rPr>
          <w:rFonts w:ascii="Times New Roman" w:hAnsi="Times New Roman"/>
        </w:rPr>
        <w:t xml:space="preserve">, </w:t>
      </w:r>
      <w:r w:rsidR="0001498E" w:rsidRPr="00192A62">
        <w:rPr>
          <w:rFonts w:ascii="Times New Roman" w:hAnsi="Times New Roman"/>
        </w:rPr>
        <w:t xml:space="preserve">CD and TB </w:t>
      </w:r>
      <w:r w:rsidR="00BB5495" w:rsidRPr="00192A62">
        <w:rPr>
          <w:rFonts w:ascii="Times New Roman" w:hAnsi="Times New Roman"/>
        </w:rPr>
        <w:t xml:space="preserve">correctly </w:t>
      </w:r>
      <w:r w:rsidR="00DC4F25" w:rsidRPr="00192A62">
        <w:rPr>
          <w:rFonts w:ascii="Times New Roman" w:hAnsi="Times New Roman"/>
        </w:rPr>
        <w:t xml:space="preserve">accepting that </w:t>
      </w:r>
      <w:r w:rsidR="00BB5495" w:rsidRPr="00192A62">
        <w:rPr>
          <w:rFonts w:ascii="Times New Roman" w:hAnsi="Times New Roman"/>
        </w:rPr>
        <w:t>question 1(b) could not succeed independently from question 1(a)</w:t>
      </w:r>
      <w:r w:rsidR="009F603F" w:rsidRPr="00192A62">
        <w:rPr>
          <w:rFonts w:ascii="Times New Roman" w:hAnsi="Times New Roman"/>
        </w:rPr>
        <w:t>:</w:t>
      </w:r>
    </w:p>
    <w:p w14:paraId="3E6C26A0" w14:textId="2BAA0DB0" w:rsidR="007F2433" w:rsidRPr="00192A62" w:rsidRDefault="007F2433"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w:t>
      </w:r>
      <w:r w:rsidR="00FA4D41" w:rsidRPr="00192A62">
        <w:rPr>
          <w:rFonts w:ascii="Times New Roman" w:hAnsi="Times New Roman"/>
        </w:rPr>
        <w:t>1.</w:t>
      </w:r>
      <w:r w:rsidR="007E2E32" w:rsidRPr="00192A62">
        <w:rPr>
          <w:rFonts w:ascii="Times New Roman" w:hAnsi="Times New Roman"/>
        </w:rPr>
        <w:tab/>
      </w:r>
      <w:r w:rsidRPr="00192A62">
        <w:rPr>
          <w:rFonts w:ascii="Times New Roman" w:hAnsi="Times New Roman"/>
        </w:rPr>
        <w:t xml:space="preserve">Is the </w:t>
      </w:r>
      <w:r w:rsidRPr="00192A62">
        <w:rPr>
          <w:rFonts w:ascii="Times New Roman" w:hAnsi="Times New Roman"/>
          <w:i/>
          <w:iCs/>
        </w:rPr>
        <w:t>Surveillance Legislation (Confirmation of Application) Act 2024</w:t>
      </w:r>
      <w:r w:rsidRPr="00192A62">
        <w:rPr>
          <w:rFonts w:ascii="Times New Roman" w:hAnsi="Times New Roman"/>
        </w:rPr>
        <w:t xml:space="preserve"> (Cth) invalid, either in whole or in part, because:</w:t>
      </w:r>
    </w:p>
    <w:p w14:paraId="22B15FDB" w14:textId="35DBEE6E" w:rsidR="007F2433" w:rsidRPr="00192A62" w:rsidRDefault="007E2E32"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7F2433" w:rsidRPr="00192A62">
        <w:rPr>
          <w:rFonts w:ascii="Times New Roman" w:hAnsi="Times New Roman"/>
        </w:rPr>
        <w:t>(a)</w:t>
      </w:r>
      <w:r w:rsidRPr="00192A62">
        <w:rPr>
          <w:rFonts w:ascii="Times New Roman" w:hAnsi="Times New Roman"/>
        </w:rPr>
        <w:tab/>
      </w:r>
      <w:r w:rsidR="007F2433" w:rsidRPr="00192A62">
        <w:rPr>
          <w:rFonts w:ascii="Times New Roman" w:hAnsi="Times New Roman"/>
        </w:rPr>
        <w:t>it is an impermissible exercise by the Parliament of the judicial power of the Commonwealth; or</w:t>
      </w:r>
    </w:p>
    <w:p w14:paraId="65A3F5FA" w14:textId="0B481877" w:rsidR="009F603F" w:rsidRPr="00192A62" w:rsidRDefault="007E2E32"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7F2433" w:rsidRPr="00192A62">
        <w:rPr>
          <w:rFonts w:ascii="Times New Roman" w:hAnsi="Times New Roman"/>
        </w:rPr>
        <w:t>(b)</w:t>
      </w:r>
      <w:r w:rsidRPr="00192A62">
        <w:rPr>
          <w:rFonts w:ascii="Times New Roman" w:hAnsi="Times New Roman"/>
        </w:rPr>
        <w:tab/>
      </w:r>
      <w:r w:rsidR="007F2433" w:rsidRPr="00192A62">
        <w:rPr>
          <w:rFonts w:ascii="Times New Roman" w:hAnsi="Times New Roman"/>
        </w:rPr>
        <w:t>it impermissibly interferes with and undermines the institutional integrity</w:t>
      </w:r>
      <w:r w:rsidR="00AE7D36" w:rsidRPr="00192A62">
        <w:rPr>
          <w:rFonts w:ascii="Times New Roman" w:hAnsi="Times New Roman"/>
        </w:rPr>
        <w:t xml:space="preserve"> </w:t>
      </w:r>
      <w:r w:rsidR="007F2433" w:rsidRPr="00192A62">
        <w:rPr>
          <w:rFonts w:ascii="Times New Roman" w:hAnsi="Times New Roman"/>
        </w:rPr>
        <w:t>of courts vested with federal jurisdiction?</w:t>
      </w:r>
    </w:p>
    <w:p w14:paraId="58EBED36" w14:textId="77777777" w:rsidR="00192A62" w:rsidRDefault="00354528" w:rsidP="00192A62">
      <w:pPr>
        <w:pStyle w:val="leftright"/>
        <w:spacing w:before="0" w:after="260" w:line="280" w:lineRule="exact"/>
        <w:ind w:right="0"/>
        <w:jc w:val="both"/>
        <w:rPr>
          <w:rFonts w:ascii="Times New Roman" w:hAnsi="Times New Roman"/>
        </w:rPr>
      </w:pPr>
      <w:r w:rsidRPr="00192A62">
        <w:rPr>
          <w:rFonts w:ascii="Times New Roman" w:hAnsi="Times New Roman"/>
        </w:rPr>
        <w:t>2.</w:t>
      </w:r>
      <w:r w:rsidR="007E2E32" w:rsidRPr="00192A62">
        <w:rPr>
          <w:rFonts w:ascii="Times New Roman" w:hAnsi="Times New Roman"/>
        </w:rPr>
        <w:tab/>
      </w:r>
      <w:r w:rsidR="00B7071A" w:rsidRPr="00192A62">
        <w:rPr>
          <w:rFonts w:ascii="Times New Roman" w:hAnsi="Times New Roman"/>
        </w:rPr>
        <w:t>Who should pay the costs of the Special Case?</w:t>
      </w:r>
      <w:r w:rsidR="00127D43" w:rsidRPr="00192A62">
        <w:rPr>
          <w:rFonts w:ascii="Times New Roman" w:hAnsi="Times New Roman"/>
        </w:rPr>
        <w:t>"</w:t>
      </w:r>
    </w:p>
    <w:p w14:paraId="196EAB2B" w14:textId="32509835" w:rsidR="00317746" w:rsidRPr="00192A62" w:rsidRDefault="00A375E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317746" w:rsidRPr="00192A62">
        <w:rPr>
          <w:rFonts w:ascii="Times New Roman" w:hAnsi="Times New Roman"/>
        </w:rPr>
        <w:t xml:space="preserve">The questions of law stated in the special case arise for determination independently of the outcome of the appeal. Conversely, the appeal would become moot if those questions are answered in the negative. The parties accordingly accept that the questions of law stated in the special </w:t>
      </w:r>
      <w:r w:rsidR="0091348B" w:rsidRPr="00192A62">
        <w:rPr>
          <w:rFonts w:ascii="Times New Roman" w:hAnsi="Times New Roman"/>
        </w:rPr>
        <w:t>case</w:t>
      </w:r>
      <w:r w:rsidR="00317746" w:rsidRPr="00192A62">
        <w:rPr>
          <w:rFonts w:ascii="Times New Roman" w:hAnsi="Times New Roman"/>
        </w:rPr>
        <w:t xml:space="preserve"> are appropriate to be considered and that special leave to appeal should be revoked if those questions are answered in the negative.</w:t>
      </w:r>
    </w:p>
    <w:p w14:paraId="7617331A" w14:textId="1E0362AA" w:rsidR="00A375E9" w:rsidRPr="00192A62" w:rsidRDefault="002A00E5"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context in which the determinative questions of law arise is recorded in the special case. </w:t>
      </w:r>
      <w:r w:rsidR="001C7C23" w:rsidRPr="00192A62">
        <w:rPr>
          <w:rFonts w:ascii="Times New Roman" w:hAnsi="Times New Roman"/>
        </w:rPr>
        <w:t xml:space="preserve">Both plaintiffs </w:t>
      </w:r>
      <w:r w:rsidR="00BB0FC7" w:rsidRPr="00192A62">
        <w:rPr>
          <w:rFonts w:ascii="Times New Roman" w:hAnsi="Times New Roman"/>
        </w:rPr>
        <w:t xml:space="preserve">have been arrested and charged and are being held in custody. </w:t>
      </w:r>
      <w:r w:rsidR="00E30198" w:rsidRPr="00192A62">
        <w:rPr>
          <w:rFonts w:ascii="Times New Roman" w:hAnsi="Times New Roman"/>
        </w:rPr>
        <w:t xml:space="preserve">The </w:t>
      </w:r>
      <w:r w:rsidR="00347FD5" w:rsidRPr="00192A62">
        <w:rPr>
          <w:rFonts w:ascii="Times New Roman" w:hAnsi="Times New Roman"/>
        </w:rPr>
        <w:t>information</w:t>
      </w:r>
      <w:r w:rsidR="00E30198" w:rsidRPr="00192A62">
        <w:rPr>
          <w:rFonts w:ascii="Times New Roman" w:hAnsi="Times New Roman"/>
        </w:rPr>
        <w:t xml:space="preserve"> </w:t>
      </w:r>
      <w:r w:rsidR="00127D43" w:rsidRPr="00192A62">
        <w:rPr>
          <w:rFonts w:ascii="Times New Roman" w:hAnsi="Times New Roman"/>
        </w:rPr>
        <w:t xml:space="preserve">filed </w:t>
      </w:r>
      <w:r w:rsidR="00E30198" w:rsidRPr="00192A62">
        <w:rPr>
          <w:rFonts w:ascii="Times New Roman" w:hAnsi="Times New Roman"/>
        </w:rPr>
        <w:t xml:space="preserve">in the </w:t>
      </w:r>
      <w:r w:rsidR="00347FD5" w:rsidRPr="00192A62">
        <w:rPr>
          <w:rFonts w:ascii="Times New Roman" w:hAnsi="Times New Roman"/>
        </w:rPr>
        <w:t xml:space="preserve">criminal jurisdiction of the Supreme Court of South Australia alleges that </w:t>
      </w:r>
      <w:r w:rsidR="00E6284B" w:rsidRPr="00192A62">
        <w:rPr>
          <w:rFonts w:ascii="Times New Roman" w:hAnsi="Times New Roman"/>
        </w:rPr>
        <w:t xml:space="preserve">the plaintiffs participated in a "criminal </w:t>
      </w:r>
      <w:r w:rsidR="00E6284B" w:rsidRPr="00192A62">
        <w:rPr>
          <w:rFonts w:ascii="Times New Roman" w:hAnsi="Times New Roman"/>
        </w:rPr>
        <w:lastRenderedPageBreak/>
        <w:t>organisation" as defined in s</w:t>
      </w:r>
      <w:r w:rsidR="004315CF" w:rsidRPr="00192A62">
        <w:rPr>
          <w:rFonts w:ascii="Times New Roman" w:hAnsi="Times New Roman"/>
        </w:rPr>
        <w:t> </w:t>
      </w:r>
      <w:r w:rsidR="00E6284B" w:rsidRPr="00192A62">
        <w:rPr>
          <w:rFonts w:ascii="Times New Roman" w:hAnsi="Times New Roman"/>
        </w:rPr>
        <w:t>83D(</w:t>
      </w:r>
      <w:r w:rsidR="004315CF" w:rsidRPr="00192A62">
        <w:rPr>
          <w:rFonts w:ascii="Times New Roman" w:hAnsi="Times New Roman"/>
        </w:rPr>
        <w:t>1</w:t>
      </w:r>
      <w:r w:rsidR="00E6284B" w:rsidRPr="00192A62">
        <w:rPr>
          <w:rFonts w:ascii="Times New Roman" w:hAnsi="Times New Roman"/>
        </w:rPr>
        <w:t xml:space="preserve">) of the </w:t>
      </w:r>
      <w:r w:rsidR="00E6284B" w:rsidRPr="00192A62">
        <w:rPr>
          <w:rFonts w:ascii="Times New Roman" w:hAnsi="Times New Roman"/>
          <w:i/>
          <w:iCs/>
        </w:rPr>
        <w:t>Criminal Law Consolidation Act 1935</w:t>
      </w:r>
      <w:r w:rsidR="00E6284B" w:rsidRPr="00192A62">
        <w:rPr>
          <w:rFonts w:ascii="Times New Roman" w:hAnsi="Times New Roman"/>
        </w:rPr>
        <w:t xml:space="preserve"> (SA)</w:t>
      </w:r>
      <w:r w:rsidR="004315CF" w:rsidRPr="00192A62">
        <w:rPr>
          <w:rFonts w:ascii="Times New Roman" w:hAnsi="Times New Roman"/>
        </w:rPr>
        <w:t xml:space="preserve"> and, in contravention of that Act, </w:t>
      </w:r>
      <w:r w:rsidR="004619E6" w:rsidRPr="00192A62">
        <w:rPr>
          <w:rFonts w:ascii="Times New Roman" w:hAnsi="Times New Roman"/>
        </w:rPr>
        <w:t>stored and controlled access to a utility vehicle containing unlawful firearms</w:t>
      </w:r>
      <w:r w:rsidR="00A557EF" w:rsidRPr="00192A62">
        <w:rPr>
          <w:rFonts w:ascii="Times New Roman" w:hAnsi="Times New Roman"/>
        </w:rPr>
        <w:t xml:space="preserve"> and, in contravention of the </w:t>
      </w:r>
      <w:r w:rsidR="000E4150" w:rsidRPr="00192A62">
        <w:rPr>
          <w:rFonts w:ascii="Times New Roman" w:hAnsi="Times New Roman"/>
          <w:i/>
          <w:iCs/>
        </w:rPr>
        <w:t>Firearms Act 2015</w:t>
      </w:r>
      <w:r w:rsidR="000E4150" w:rsidRPr="00192A62">
        <w:rPr>
          <w:rFonts w:ascii="Times New Roman" w:hAnsi="Times New Roman"/>
        </w:rPr>
        <w:t xml:space="preserve"> (SA), possessed prohibited items, either a firearm or a sound moderator or parts of a firearm.</w:t>
      </w:r>
      <w:r w:rsidR="00644F7C" w:rsidRPr="00192A62">
        <w:rPr>
          <w:rFonts w:ascii="Times New Roman" w:hAnsi="Times New Roman"/>
        </w:rPr>
        <w:t xml:space="preserve"> </w:t>
      </w:r>
    </w:p>
    <w:p w14:paraId="7ACE3AA9" w14:textId="0396A0ED" w:rsidR="004619E6" w:rsidRPr="00192A62" w:rsidRDefault="004619E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FB7A96" w:rsidRPr="00192A62">
        <w:rPr>
          <w:rFonts w:ascii="Times New Roman" w:hAnsi="Times New Roman"/>
        </w:rPr>
        <w:t xml:space="preserve">The Director of Public Prosecutions (SA) </w:t>
      </w:r>
      <w:r w:rsidR="00E67D32" w:rsidRPr="00192A62">
        <w:rPr>
          <w:rFonts w:ascii="Times New Roman" w:hAnsi="Times New Roman"/>
        </w:rPr>
        <w:t>(</w:t>
      </w:r>
      <w:r w:rsidR="0029743B" w:rsidRPr="00192A62">
        <w:rPr>
          <w:rFonts w:ascii="Times New Roman" w:hAnsi="Times New Roman"/>
        </w:rPr>
        <w:t>"</w:t>
      </w:r>
      <w:r w:rsidR="00E67D32" w:rsidRPr="00192A62">
        <w:rPr>
          <w:rFonts w:ascii="Times New Roman" w:hAnsi="Times New Roman"/>
        </w:rPr>
        <w:t xml:space="preserve">the </w:t>
      </w:r>
      <w:r w:rsidR="00A07CBF" w:rsidRPr="00192A62">
        <w:rPr>
          <w:rFonts w:ascii="Times New Roman" w:hAnsi="Times New Roman"/>
        </w:rPr>
        <w:t xml:space="preserve">SA </w:t>
      </w:r>
      <w:r w:rsidR="00E67D32" w:rsidRPr="00192A62">
        <w:rPr>
          <w:rFonts w:ascii="Times New Roman" w:hAnsi="Times New Roman"/>
        </w:rPr>
        <w:t xml:space="preserve">Director") </w:t>
      </w:r>
      <w:r w:rsidR="00FB7A96" w:rsidRPr="00192A62">
        <w:rPr>
          <w:rFonts w:ascii="Times New Roman" w:hAnsi="Times New Roman"/>
        </w:rPr>
        <w:t xml:space="preserve">seeks to prove </w:t>
      </w:r>
      <w:r w:rsidR="000E4150" w:rsidRPr="00192A62">
        <w:rPr>
          <w:rFonts w:ascii="Times New Roman" w:hAnsi="Times New Roman"/>
        </w:rPr>
        <w:t xml:space="preserve">the </w:t>
      </w:r>
      <w:r w:rsidR="00FB7A96" w:rsidRPr="00192A62">
        <w:rPr>
          <w:rFonts w:ascii="Times New Roman" w:hAnsi="Times New Roman"/>
        </w:rPr>
        <w:t>charge</w:t>
      </w:r>
      <w:r w:rsidR="000E4150" w:rsidRPr="00192A62">
        <w:rPr>
          <w:rFonts w:ascii="Times New Roman" w:hAnsi="Times New Roman"/>
        </w:rPr>
        <w:t>s, in whole or in part,</w:t>
      </w:r>
      <w:r w:rsidR="00FB7A96" w:rsidRPr="00192A62">
        <w:rPr>
          <w:rFonts w:ascii="Times New Roman" w:hAnsi="Times New Roman"/>
        </w:rPr>
        <w:t xml:space="preserve"> by </w:t>
      </w:r>
      <w:r w:rsidR="00D40E17" w:rsidRPr="00192A62">
        <w:rPr>
          <w:rFonts w:ascii="Times New Roman" w:hAnsi="Times New Roman"/>
        </w:rPr>
        <w:t xml:space="preserve">using </w:t>
      </w:r>
      <w:r w:rsidR="0072200F" w:rsidRPr="00192A62">
        <w:rPr>
          <w:rFonts w:ascii="Times New Roman" w:hAnsi="Times New Roman"/>
        </w:rPr>
        <w:t xml:space="preserve">electronic communications sent and received using an application on mobile phones </w:t>
      </w:r>
      <w:r w:rsidR="0059255E" w:rsidRPr="00192A62">
        <w:rPr>
          <w:rFonts w:ascii="Times New Roman" w:hAnsi="Times New Roman"/>
        </w:rPr>
        <w:t xml:space="preserve">known as "AN0M" and an associated </w:t>
      </w:r>
      <w:r w:rsidR="00D95FCA" w:rsidRPr="00192A62">
        <w:rPr>
          <w:rFonts w:ascii="Times New Roman" w:hAnsi="Times New Roman"/>
        </w:rPr>
        <w:t xml:space="preserve">telecommunications platform known as the AN0M platform. </w:t>
      </w:r>
      <w:r w:rsidR="00A93973" w:rsidRPr="00192A62">
        <w:rPr>
          <w:rFonts w:ascii="Times New Roman" w:hAnsi="Times New Roman"/>
        </w:rPr>
        <w:t>Unbeknown to the users of the AN</w:t>
      </w:r>
      <w:r w:rsidR="00CE5DBA" w:rsidRPr="00192A62">
        <w:rPr>
          <w:rFonts w:ascii="Times New Roman" w:hAnsi="Times New Roman"/>
        </w:rPr>
        <w:t>0</w:t>
      </w:r>
      <w:r w:rsidR="00A93973" w:rsidRPr="00192A62">
        <w:rPr>
          <w:rFonts w:ascii="Times New Roman" w:hAnsi="Times New Roman"/>
        </w:rPr>
        <w:t>M application, and without their consent, communications sent from AN0M-enabled devices were copied and sent to servers able to be accessed by the</w:t>
      </w:r>
      <w:r w:rsidR="00F05641" w:rsidRPr="00192A62">
        <w:rPr>
          <w:rFonts w:ascii="Times New Roman" w:hAnsi="Times New Roman"/>
        </w:rPr>
        <w:t xml:space="preserve"> Australian Federal Police</w:t>
      </w:r>
      <w:r w:rsidR="00F562D4" w:rsidRPr="00192A62">
        <w:rPr>
          <w:rFonts w:ascii="Times New Roman" w:hAnsi="Times New Roman"/>
        </w:rPr>
        <w:t xml:space="preserve"> (</w:t>
      </w:r>
      <w:r w:rsidR="00D0297B" w:rsidRPr="00192A62">
        <w:rPr>
          <w:rFonts w:ascii="Times New Roman" w:hAnsi="Times New Roman"/>
        </w:rPr>
        <w:t>"</w:t>
      </w:r>
      <w:r w:rsidR="00F562D4" w:rsidRPr="00192A62">
        <w:rPr>
          <w:rFonts w:ascii="Times New Roman" w:hAnsi="Times New Roman"/>
        </w:rPr>
        <w:t>the AFP")</w:t>
      </w:r>
      <w:r w:rsidR="00F05641" w:rsidRPr="00192A62">
        <w:rPr>
          <w:rFonts w:ascii="Times New Roman" w:hAnsi="Times New Roman"/>
        </w:rPr>
        <w:t xml:space="preserve">. </w:t>
      </w:r>
      <w:r w:rsidR="00A7321F" w:rsidRPr="00192A62">
        <w:rPr>
          <w:rFonts w:ascii="Times New Roman" w:hAnsi="Times New Roman"/>
        </w:rPr>
        <w:t xml:space="preserve">The </w:t>
      </w:r>
      <w:r w:rsidR="007E7EA8" w:rsidRPr="00192A62">
        <w:rPr>
          <w:rFonts w:ascii="Times New Roman" w:hAnsi="Times New Roman"/>
        </w:rPr>
        <w:t xml:space="preserve">AFP gained access to the AN0M communications under two </w:t>
      </w:r>
      <w:r w:rsidR="00A7321F" w:rsidRPr="00192A62">
        <w:rPr>
          <w:rFonts w:ascii="Times New Roman" w:hAnsi="Times New Roman"/>
        </w:rPr>
        <w:t xml:space="preserve">surveillance device warrants and </w:t>
      </w:r>
      <w:r w:rsidR="0082383D" w:rsidRPr="00192A62">
        <w:rPr>
          <w:rFonts w:ascii="Times New Roman" w:hAnsi="Times New Roman"/>
        </w:rPr>
        <w:t xml:space="preserve">five </w:t>
      </w:r>
      <w:r w:rsidR="00A7321F" w:rsidRPr="00192A62">
        <w:rPr>
          <w:rFonts w:ascii="Times New Roman" w:hAnsi="Times New Roman"/>
        </w:rPr>
        <w:t xml:space="preserve">computer access warrants </w:t>
      </w:r>
      <w:r w:rsidR="0082383D" w:rsidRPr="00192A62">
        <w:rPr>
          <w:rFonts w:ascii="Times New Roman" w:hAnsi="Times New Roman"/>
        </w:rPr>
        <w:t xml:space="preserve">issued </w:t>
      </w:r>
      <w:r w:rsidR="00A7321F" w:rsidRPr="00192A62">
        <w:rPr>
          <w:rFonts w:ascii="Times New Roman" w:hAnsi="Times New Roman"/>
        </w:rPr>
        <w:t>pursuant to the</w:t>
      </w:r>
      <w:r w:rsidR="00A7321F" w:rsidRPr="00192A62">
        <w:rPr>
          <w:rFonts w:ascii="Times New Roman" w:hAnsi="Times New Roman"/>
          <w:i/>
          <w:iCs/>
        </w:rPr>
        <w:t xml:space="preserve"> Surveillance Devices Act 2004</w:t>
      </w:r>
      <w:r w:rsidR="00A7321F" w:rsidRPr="00192A62">
        <w:rPr>
          <w:rFonts w:ascii="Times New Roman" w:hAnsi="Times New Roman"/>
        </w:rPr>
        <w:t xml:space="preserve"> (Cth)</w:t>
      </w:r>
      <w:r w:rsidR="0082383D" w:rsidRPr="00192A62">
        <w:rPr>
          <w:rFonts w:ascii="Times New Roman" w:hAnsi="Times New Roman"/>
        </w:rPr>
        <w:t>.</w:t>
      </w:r>
      <w:r w:rsidR="008E17EA" w:rsidRPr="00192A62">
        <w:rPr>
          <w:rFonts w:ascii="Times New Roman" w:hAnsi="Times New Roman"/>
        </w:rPr>
        <w:t xml:space="preserve"> The AFP also gained access to data relating to the AN0M communications </w:t>
      </w:r>
      <w:r w:rsidR="00101759" w:rsidRPr="00192A62">
        <w:rPr>
          <w:rFonts w:ascii="Times New Roman" w:hAnsi="Times New Roman"/>
        </w:rPr>
        <w:t xml:space="preserve">under four search warrants issued under s 3E of the </w:t>
      </w:r>
      <w:r w:rsidR="00101759" w:rsidRPr="00192A62">
        <w:rPr>
          <w:rFonts w:ascii="Times New Roman" w:hAnsi="Times New Roman"/>
          <w:i/>
          <w:iCs/>
        </w:rPr>
        <w:t>Crimes Act 1914</w:t>
      </w:r>
      <w:r w:rsidR="00101759" w:rsidRPr="00192A62">
        <w:rPr>
          <w:rFonts w:ascii="Times New Roman" w:hAnsi="Times New Roman"/>
        </w:rPr>
        <w:t xml:space="preserve"> (Cth).</w:t>
      </w:r>
      <w:r w:rsidR="00DC7B73" w:rsidRPr="00192A62">
        <w:rPr>
          <w:rFonts w:ascii="Times New Roman" w:hAnsi="Times New Roman"/>
        </w:rPr>
        <w:t xml:space="preserve"> </w:t>
      </w:r>
      <w:r w:rsidR="00831AC1" w:rsidRPr="00192A62">
        <w:rPr>
          <w:rFonts w:ascii="Times New Roman" w:hAnsi="Times New Roman"/>
        </w:rPr>
        <w:t>R</w:t>
      </w:r>
      <w:r w:rsidR="002B2645" w:rsidRPr="00192A62">
        <w:rPr>
          <w:rFonts w:ascii="Times New Roman" w:hAnsi="Times New Roman"/>
        </w:rPr>
        <w:t>elevantly, the AFP did not obtain warrants under the TIA Act.</w:t>
      </w:r>
      <w:r w:rsidR="00E03AEC" w:rsidRPr="00192A62">
        <w:rPr>
          <w:rFonts w:ascii="Times New Roman" w:hAnsi="Times New Roman"/>
        </w:rPr>
        <w:t xml:space="preserve"> </w:t>
      </w:r>
    </w:p>
    <w:p w14:paraId="282AC81B" w14:textId="3C66FE29" w:rsidR="00CE4FE8" w:rsidRPr="00192A62" w:rsidRDefault="00CE4FE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710F6" w:rsidRPr="00192A62">
        <w:rPr>
          <w:rFonts w:ascii="Times New Roman" w:hAnsi="Times New Roman"/>
        </w:rPr>
        <w:t xml:space="preserve">CD and TB </w:t>
      </w:r>
      <w:r w:rsidRPr="00192A62">
        <w:rPr>
          <w:rFonts w:ascii="Times New Roman" w:hAnsi="Times New Roman"/>
        </w:rPr>
        <w:t xml:space="preserve">filed </w:t>
      </w:r>
      <w:r w:rsidR="007063C8" w:rsidRPr="00192A62">
        <w:rPr>
          <w:rFonts w:ascii="Times New Roman" w:hAnsi="Times New Roman"/>
        </w:rPr>
        <w:t>a</w:t>
      </w:r>
      <w:r w:rsidRPr="00192A62">
        <w:rPr>
          <w:rFonts w:ascii="Times New Roman" w:hAnsi="Times New Roman"/>
        </w:rPr>
        <w:t xml:space="preserve">n interlocutory application in the criminal proceedings </w:t>
      </w:r>
      <w:r w:rsidR="00A91B08" w:rsidRPr="00192A62">
        <w:rPr>
          <w:rFonts w:ascii="Times New Roman" w:hAnsi="Times New Roman"/>
        </w:rPr>
        <w:t xml:space="preserve">seeking, amongst other things, an order for the exclusion of the </w:t>
      </w:r>
      <w:r w:rsidR="00310CFE" w:rsidRPr="00192A62">
        <w:rPr>
          <w:rFonts w:ascii="Times New Roman" w:hAnsi="Times New Roman"/>
        </w:rPr>
        <w:t xml:space="preserve">AN0M communications on which the </w:t>
      </w:r>
      <w:r w:rsidR="008623A3" w:rsidRPr="00192A62">
        <w:rPr>
          <w:rFonts w:ascii="Times New Roman" w:hAnsi="Times New Roman"/>
        </w:rPr>
        <w:t xml:space="preserve">SA </w:t>
      </w:r>
      <w:r w:rsidR="00310CFE" w:rsidRPr="00192A62">
        <w:rPr>
          <w:rFonts w:ascii="Times New Roman" w:hAnsi="Times New Roman"/>
        </w:rPr>
        <w:t>Director would otherwise rely</w:t>
      </w:r>
      <w:r w:rsidR="007063C8" w:rsidRPr="00192A62">
        <w:rPr>
          <w:rFonts w:ascii="Times New Roman" w:hAnsi="Times New Roman"/>
        </w:rPr>
        <w:t xml:space="preserve"> </w:t>
      </w:r>
      <w:r w:rsidR="00B7001A" w:rsidRPr="00192A62">
        <w:rPr>
          <w:rFonts w:ascii="Times New Roman" w:hAnsi="Times New Roman"/>
        </w:rPr>
        <w:t>as evidence</w:t>
      </w:r>
      <w:r w:rsidR="00572010" w:rsidRPr="00192A62">
        <w:rPr>
          <w:rFonts w:ascii="Times New Roman" w:hAnsi="Times New Roman"/>
        </w:rPr>
        <w:t xml:space="preserve"> on the ground that the AN0M communications </w:t>
      </w:r>
      <w:r w:rsidR="000B7637" w:rsidRPr="00192A62">
        <w:rPr>
          <w:rFonts w:ascii="Times New Roman" w:hAnsi="Times New Roman"/>
        </w:rPr>
        <w:t xml:space="preserve">were unlawfully intercepted in </w:t>
      </w:r>
      <w:r w:rsidR="00092B2C" w:rsidRPr="00192A62">
        <w:rPr>
          <w:rFonts w:ascii="Times New Roman" w:hAnsi="Times New Roman"/>
        </w:rPr>
        <w:t xml:space="preserve">contravention </w:t>
      </w:r>
      <w:r w:rsidR="000B7637" w:rsidRPr="00192A62">
        <w:rPr>
          <w:rFonts w:ascii="Times New Roman" w:hAnsi="Times New Roman"/>
        </w:rPr>
        <w:t xml:space="preserve">of s 7(1) of the </w:t>
      </w:r>
      <w:r w:rsidR="00EB324D" w:rsidRPr="00192A62">
        <w:rPr>
          <w:rFonts w:ascii="Times New Roman" w:hAnsi="Times New Roman"/>
        </w:rPr>
        <w:t>TIA Act</w:t>
      </w:r>
      <w:r w:rsidR="000B7637" w:rsidRPr="00192A62">
        <w:rPr>
          <w:rFonts w:ascii="Times New Roman" w:hAnsi="Times New Roman"/>
        </w:rPr>
        <w:t>, and were therefore inadmissible under ss 63(1)(a) and 77(1)(a) of</w:t>
      </w:r>
      <w:r w:rsidR="00310CFE" w:rsidRPr="00192A62">
        <w:rPr>
          <w:rFonts w:ascii="Times New Roman" w:hAnsi="Times New Roman"/>
        </w:rPr>
        <w:t xml:space="preserve"> </w:t>
      </w:r>
      <w:r w:rsidR="000B7637" w:rsidRPr="00192A62">
        <w:rPr>
          <w:rFonts w:ascii="Times New Roman" w:hAnsi="Times New Roman"/>
        </w:rPr>
        <w:t>that Act.</w:t>
      </w:r>
      <w:r w:rsidR="00316B16" w:rsidRPr="00192A62">
        <w:rPr>
          <w:rStyle w:val="FootnoteReference"/>
          <w:rFonts w:ascii="Times New Roman" w:hAnsi="Times New Roman"/>
          <w:sz w:val="24"/>
        </w:rPr>
        <w:footnoteReference w:id="2"/>
      </w:r>
      <w:r w:rsidR="00EA1624" w:rsidRPr="00192A62">
        <w:rPr>
          <w:rFonts w:ascii="Times New Roman" w:hAnsi="Times New Roman"/>
        </w:rPr>
        <w:t xml:space="preserve"> </w:t>
      </w:r>
      <w:r w:rsidR="00F56945" w:rsidRPr="00192A62">
        <w:rPr>
          <w:rFonts w:ascii="Times New Roman" w:hAnsi="Times New Roman"/>
        </w:rPr>
        <w:t>T</w:t>
      </w:r>
      <w:r w:rsidR="00EA1624" w:rsidRPr="00192A62">
        <w:rPr>
          <w:rFonts w:ascii="Times New Roman" w:hAnsi="Times New Roman"/>
        </w:rPr>
        <w:t>he trial judge dismissed that application on the basis that the AN0M communications were not unlawfully intercepted as alleged.</w:t>
      </w:r>
      <w:r w:rsidR="00EA1624" w:rsidRPr="00192A62">
        <w:rPr>
          <w:rStyle w:val="FootnoteReference"/>
          <w:rFonts w:ascii="Times New Roman" w:hAnsi="Times New Roman"/>
          <w:sz w:val="24"/>
        </w:rPr>
        <w:footnoteReference w:id="3"/>
      </w:r>
      <w:r w:rsidR="00191967" w:rsidRPr="00192A62">
        <w:rPr>
          <w:rFonts w:ascii="Times New Roman" w:hAnsi="Times New Roman"/>
        </w:rPr>
        <w:t xml:space="preserve"> </w:t>
      </w:r>
      <w:r w:rsidR="00B55595" w:rsidRPr="00192A62">
        <w:rPr>
          <w:rFonts w:ascii="Times New Roman" w:hAnsi="Times New Roman"/>
        </w:rPr>
        <w:t>T</w:t>
      </w:r>
      <w:r w:rsidR="00191967" w:rsidRPr="00192A62">
        <w:rPr>
          <w:rFonts w:ascii="Times New Roman" w:hAnsi="Times New Roman"/>
        </w:rPr>
        <w:t xml:space="preserve">he trial judge then </w:t>
      </w:r>
      <w:r w:rsidR="00B55595" w:rsidRPr="00192A62">
        <w:rPr>
          <w:rFonts w:ascii="Times New Roman" w:hAnsi="Times New Roman"/>
        </w:rPr>
        <w:t xml:space="preserve">stated for the consideration of the Court of Appeal of </w:t>
      </w:r>
      <w:r w:rsidR="00AA05AD" w:rsidRPr="00192A62">
        <w:rPr>
          <w:rFonts w:ascii="Times New Roman" w:hAnsi="Times New Roman"/>
        </w:rPr>
        <w:lastRenderedPageBreak/>
        <w:t xml:space="preserve">the Supreme Court of </w:t>
      </w:r>
      <w:r w:rsidR="00B55595" w:rsidRPr="00192A62">
        <w:rPr>
          <w:rFonts w:ascii="Times New Roman" w:hAnsi="Times New Roman"/>
        </w:rPr>
        <w:t>South Australia questions</w:t>
      </w:r>
      <w:r w:rsidR="00B57D97" w:rsidRPr="00192A62">
        <w:rPr>
          <w:rFonts w:ascii="Times New Roman" w:hAnsi="Times New Roman"/>
        </w:rPr>
        <w:t xml:space="preserve"> of law</w:t>
      </w:r>
      <w:r w:rsidR="007B4AD1" w:rsidRPr="00192A62">
        <w:rPr>
          <w:rFonts w:ascii="Times New Roman" w:hAnsi="Times New Roman"/>
        </w:rPr>
        <w:t xml:space="preserve"> including</w:t>
      </w:r>
      <w:r w:rsidR="00B57D97" w:rsidRPr="00192A62">
        <w:rPr>
          <w:rFonts w:ascii="Times New Roman" w:hAnsi="Times New Roman"/>
        </w:rPr>
        <w:t>:</w:t>
      </w:r>
      <w:r w:rsidR="00B57D97" w:rsidRPr="00192A62">
        <w:rPr>
          <w:rStyle w:val="FootnoteReference"/>
          <w:rFonts w:ascii="Times New Roman" w:hAnsi="Times New Roman"/>
          <w:sz w:val="24"/>
        </w:rPr>
        <w:footnoteReference w:id="4"/>
      </w:r>
      <w:r w:rsidR="00B57D97" w:rsidRPr="00192A62">
        <w:rPr>
          <w:rFonts w:ascii="Times New Roman" w:hAnsi="Times New Roman"/>
        </w:rPr>
        <w:t xml:space="preserve"> (1) </w:t>
      </w:r>
      <w:r w:rsidR="00ED09F6" w:rsidRPr="00192A62">
        <w:rPr>
          <w:rFonts w:ascii="Times New Roman" w:hAnsi="Times New Roman"/>
        </w:rPr>
        <w:t>Did the AN0M application and system (together the AN0M platform) involve an interception of a communication passing over a telecommunications system contrary to s</w:t>
      </w:r>
      <w:r w:rsidR="00642C00" w:rsidRPr="00192A62">
        <w:rPr>
          <w:rFonts w:ascii="Times New Roman" w:hAnsi="Times New Roman"/>
        </w:rPr>
        <w:t> </w:t>
      </w:r>
      <w:r w:rsidR="00ED09F6" w:rsidRPr="00192A62">
        <w:rPr>
          <w:rFonts w:ascii="Times New Roman" w:hAnsi="Times New Roman"/>
        </w:rPr>
        <w:t>7(1) of the</w:t>
      </w:r>
      <w:r w:rsidR="00EB324D" w:rsidRPr="00192A62">
        <w:rPr>
          <w:rFonts w:ascii="Times New Roman" w:hAnsi="Times New Roman"/>
        </w:rPr>
        <w:t xml:space="preserve"> TIA </w:t>
      </w:r>
      <w:r w:rsidR="000F5EBB" w:rsidRPr="00192A62">
        <w:rPr>
          <w:rFonts w:ascii="Times New Roman" w:hAnsi="Times New Roman"/>
        </w:rPr>
        <w:t>A</w:t>
      </w:r>
      <w:r w:rsidR="00EB324D" w:rsidRPr="00192A62">
        <w:rPr>
          <w:rFonts w:ascii="Times New Roman" w:hAnsi="Times New Roman"/>
        </w:rPr>
        <w:t>ct; and (2) </w:t>
      </w:r>
      <w:r w:rsidR="009753B3" w:rsidRPr="00192A62">
        <w:rPr>
          <w:rFonts w:ascii="Times New Roman" w:hAnsi="Times New Roman"/>
        </w:rPr>
        <w:t xml:space="preserve">If the answer to question one is "Yes", is the information and records obtained as a result of that interception inadmissible at trial. The Court of Appeal answered </w:t>
      </w:r>
      <w:r w:rsidR="005137EA" w:rsidRPr="00192A62">
        <w:rPr>
          <w:rFonts w:ascii="Times New Roman" w:hAnsi="Times New Roman"/>
        </w:rPr>
        <w:t xml:space="preserve">question </w:t>
      </w:r>
      <w:r w:rsidR="009753B3" w:rsidRPr="00192A62">
        <w:rPr>
          <w:rFonts w:ascii="Times New Roman" w:hAnsi="Times New Roman"/>
        </w:rPr>
        <w:t xml:space="preserve">one "No" and </w:t>
      </w:r>
      <w:r w:rsidR="005137EA" w:rsidRPr="00192A62">
        <w:rPr>
          <w:rFonts w:ascii="Times New Roman" w:hAnsi="Times New Roman"/>
        </w:rPr>
        <w:t xml:space="preserve">question </w:t>
      </w:r>
      <w:r w:rsidR="009753B3" w:rsidRPr="00192A62">
        <w:rPr>
          <w:rFonts w:ascii="Times New Roman" w:hAnsi="Times New Roman"/>
        </w:rPr>
        <w:t>two "Does not arise".</w:t>
      </w:r>
      <w:r w:rsidR="009753B3" w:rsidRPr="00192A62">
        <w:rPr>
          <w:rStyle w:val="FootnoteReference"/>
          <w:rFonts w:ascii="Times New Roman" w:hAnsi="Times New Roman"/>
          <w:sz w:val="24"/>
        </w:rPr>
        <w:footnoteReference w:id="5"/>
      </w:r>
      <w:r w:rsidR="00502317" w:rsidRPr="00192A62">
        <w:rPr>
          <w:rFonts w:ascii="Times New Roman" w:hAnsi="Times New Roman"/>
        </w:rPr>
        <w:t xml:space="preserve"> </w:t>
      </w:r>
    </w:p>
    <w:p w14:paraId="73940B54" w14:textId="56312E07" w:rsidR="00B63D78" w:rsidRPr="00192A62" w:rsidRDefault="00B63D78" w:rsidP="00192A62">
      <w:pPr>
        <w:pStyle w:val="FixListStyle"/>
        <w:spacing w:after="260" w:line="280" w:lineRule="exact"/>
        <w:ind w:right="0"/>
        <w:jc w:val="both"/>
        <w:rPr>
          <w:rFonts w:ascii="Times New Roman" w:hAnsi="Times New Roman"/>
        </w:rPr>
      </w:pPr>
      <w:r w:rsidRPr="00192A62">
        <w:rPr>
          <w:rFonts w:ascii="Times New Roman" w:hAnsi="Times New Roman"/>
        </w:rPr>
        <w:tab/>
        <w:t>In the meantime</w:t>
      </w:r>
      <w:r w:rsidR="00F56945" w:rsidRPr="00192A62">
        <w:rPr>
          <w:rFonts w:ascii="Times New Roman" w:hAnsi="Times New Roman"/>
        </w:rPr>
        <w:t>,</w:t>
      </w:r>
      <w:r w:rsidRPr="00192A62">
        <w:rPr>
          <w:rFonts w:ascii="Times New Roman" w:hAnsi="Times New Roman"/>
        </w:rPr>
        <w:t xml:space="preserve"> </w:t>
      </w:r>
      <w:r w:rsidR="009710F6" w:rsidRPr="00192A62">
        <w:rPr>
          <w:rFonts w:ascii="Times New Roman" w:hAnsi="Times New Roman"/>
        </w:rPr>
        <w:t xml:space="preserve">CD </w:t>
      </w:r>
      <w:r w:rsidRPr="00192A62">
        <w:rPr>
          <w:rFonts w:ascii="Times New Roman" w:hAnsi="Times New Roman"/>
        </w:rPr>
        <w:t>filed two fur</w:t>
      </w:r>
      <w:r w:rsidR="00F56945" w:rsidRPr="00192A62">
        <w:rPr>
          <w:rFonts w:ascii="Times New Roman" w:hAnsi="Times New Roman"/>
        </w:rPr>
        <w:t>t</w:t>
      </w:r>
      <w:r w:rsidRPr="00192A62">
        <w:rPr>
          <w:rFonts w:ascii="Times New Roman" w:hAnsi="Times New Roman"/>
        </w:rPr>
        <w:t xml:space="preserve">her </w:t>
      </w:r>
      <w:r w:rsidR="00F56945" w:rsidRPr="00192A62">
        <w:rPr>
          <w:rFonts w:ascii="Times New Roman" w:hAnsi="Times New Roman"/>
        </w:rPr>
        <w:t>interlocutory</w:t>
      </w:r>
      <w:r w:rsidRPr="00192A62">
        <w:rPr>
          <w:rFonts w:ascii="Times New Roman" w:hAnsi="Times New Roman"/>
        </w:rPr>
        <w:t xml:space="preserve"> applications in the criminal proceedings seeking </w:t>
      </w:r>
      <w:r w:rsidR="00F56945" w:rsidRPr="00192A62">
        <w:rPr>
          <w:rFonts w:ascii="Times New Roman" w:hAnsi="Times New Roman"/>
        </w:rPr>
        <w:t xml:space="preserve">orders for the exclusion of the AN0M communications on which the </w:t>
      </w:r>
      <w:r w:rsidR="00322994" w:rsidRPr="00192A62">
        <w:rPr>
          <w:rFonts w:ascii="Times New Roman" w:hAnsi="Times New Roman"/>
        </w:rPr>
        <w:t xml:space="preserve">SA </w:t>
      </w:r>
      <w:r w:rsidR="00F56945" w:rsidRPr="00192A62">
        <w:rPr>
          <w:rFonts w:ascii="Times New Roman" w:hAnsi="Times New Roman"/>
        </w:rPr>
        <w:t>Director would otherwise rely as evidence</w:t>
      </w:r>
      <w:r w:rsidR="00F227F5" w:rsidRPr="00192A62">
        <w:rPr>
          <w:rFonts w:ascii="Times New Roman" w:hAnsi="Times New Roman"/>
        </w:rPr>
        <w:t xml:space="preserve"> on the ground that the </w:t>
      </w:r>
      <w:r w:rsidR="00CE7C4A" w:rsidRPr="00192A62">
        <w:rPr>
          <w:rFonts w:ascii="Times New Roman" w:hAnsi="Times New Roman"/>
        </w:rPr>
        <w:t xml:space="preserve">various warrants (described above) were invalid. The trial judge has heard but </w:t>
      </w:r>
      <w:r w:rsidR="00FA1F1E" w:rsidRPr="00192A62">
        <w:rPr>
          <w:rFonts w:ascii="Times New Roman" w:hAnsi="Times New Roman"/>
        </w:rPr>
        <w:t xml:space="preserve">not determined those applications. </w:t>
      </w:r>
    </w:p>
    <w:p w14:paraId="416129EE" w14:textId="44320E30" w:rsidR="00B20AF8" w:rsidRPr="00192A62" w:rsidRDefault="00B20AF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710F6" w:rsidRPr="00192A62">
        <w:rPr>
          <w:rFonts w:ascii="Times New Roman" w:hAnsi="Times New Roman"/>
        </w:rPr>
        <w:t xml:space="preserve">CD and TB </w:t>
      </w:r>
      <w:r w:rsidRPr="00192A62">
        <w:rPr>
          <w:rFonts w:ascii="Times New Roman" w:hAnsi="Times New Roman"/>
        </w:rPr>
        <w:t xml:space="preserve">filed an application for and obtained a grant of special leave to appeal to this Court </w:t>
      </w:r>
      <w:r w:rsidR="00A53650" w:rsidRPr="00192A62">
        <w:rPr>
          <w:rFonts w:ascii="Times New Roman" w:hAnsi="Times New Roman"/>
        </w:rPr>
        <w:t>against</w:t>
      </w:r>
      <w:r w:rsidRPr="00192A62">
        <w:rPr>
          <w:rFonts w:ascii="Times New Roman" w:hAnsi="Times New Roman"/>
        </w:rPr>
        <w:t xml:space="preserve"> the </w:t>
      </w:r>
      <w:r w:rsidR="00A53650" w:rsidRPr="00192A62">
        <w:rPr>
          <w:rFonts w:ascii="Times New Roman" w:hAnsi="Times New Roman"/>
        </w:rPr>
        <w:t>Court of Appeal's answers to the questions of law.</w:t>
      </w:r>
      <w:r w:rsidR="00A53650" w:rsidRPr="00192A62">
        <w:rPr>
          <w:rStyle w:val="FootnoteReference"/>
          <w:rFonts w:ascii="Times New Roman" w:hAnsi="Times New Roman"/>
          <w:sz w:val="24"/>
        </w:rPr>
        <w:footnoteReference w:id="6"/>
      </w:r>
      <w:r w:rsidR="00285D42" w:rsidRPr="00192A62">
        <w:rPr>
          <w:rFonts w:ascii="Times New Roman" w:hAnsi="Times New Roman"/>
        </w:rPr>
        <w:t xml:space="preserve"> </w:t>
      </w:r>
    </w:p>
    <w:p w14:paraId="2600F5C9" w14:textId="4C894DCA" w:rsidR="00C56DC1" w:rsidRPr="00192A62" w:rsidRDefault="009A524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56DC1" w:rsidRPr="00192A62">
        <w:rPr>
          <w:rFonts w:ascii="Times New Roman" w:hAnsi="Times New Roman"/>
        </w:rPr>
        <w:t xml:space="preserve">The Confirmation of Application </w:t>
      </w:r>
      <w:r w:rsidR="006F5585" w:rsidRPr="00192A62">
        <w:rPr>
          <w:rFonts w:ascii="Times New Roman" w:hAnsi="Times New Roman"/>
        </w:rPr>
        <w:t xml:space="preserve">Act </w:t>
      </w:r>
      <w:r w:rsidR="00FD75CA" w:rsidRPr="00192A62">
        <w:rPr>
          <w:rFonts w:ascii="Times New Roman" w:hAnsi="Times New Roman"/>
        </w:rPr>
        <w:t xml:space="preserve">was enacted </w:t>
      </w:r>
      <w:r w:rsidR="00415F8A" w:rsidRPr="00192A62">
        <w:rPr>
          <w:rFonts w:ascii="Times New Roman" w:hAnsi="Times New Roman"/>
        </w:rPr>
        <w:t xml:space="preserve">after the </w:t>
      </w:r>
      <w:r w:rsidR="00AC0CF5" w:rsidRPr="00192A62">
        <w:rPr>
          <w:rFonts w:ascii="Times New Roman" w:hAnsi="Times New Roman"/>
        </w:rPr>
        <w:t>grant of special leave to appeal by this Court</w:t>
      </w:r>
      <w:r w:rsidR="00E85E1A" w:rsidRPr="00192A62">
        <w:rPr>
          <w:rFonts w:ascii="Times New Roman" w:hAnsi="Times New Roman"/>
        </w:rPr>
        <w:t xml:space="preserve">. </w:t>
      </w:r>
      <w:r w:rsidR="00B47F26" w:rsidRPr="00192A62">
        <w:rPr>
          <w:rFonts w:ascii="Times New Roman" w:hAnsi="Times New Roman"/>
        </w:rPr>
        <w:t xml:space="preserve">Section 4 of that Act contains definitions. </w:t>
      </w:r>
      <w:r w:rsidR="001B440C" w:rsidRPr="00192A62">
        <w:rPr>
          <w:rFonts w:ascii="Times New Roman" w:hAnsi="Times New Roman"/>
        </w:rPr>
        <w:t>Relevantly, "</w:t>
      </w:r>
      <w:r w:rsidR="009F4279" w:rsidRPr="00192A62">
        <w:rPr>
          <w:rFonts w:ascii="Times New Roman" w:hAnsi="Times New Roman"/>
          <w:b/>
          <w:bCs/>
          <w:i/>
          <w:iCs/>
        </w:rPr>
        <w:t>intercepting a communication passing over a telecommunications system</w:t>
      </w:r>
      <w:r w:rsidR="009F4279" w:rsidRPr="00192A62">
        <w:rPr>
          <w:rFonts w:ascii="Times New Roman" w:hAnsi="Times New Roman"/>
        </w:rPr>
        <w:t xml:space="preserve"> has the same meaning as in the" TIA Act and </w:t>
      </w:r>
      <w:r w:rsidR="00891481" w:rsidRPr="00192A62">
        <w:rPr>
          <w:rFonts w:ascii="Times New Roman" w:hAnsi="Times New Roman"/>
        </w:rPr>
        <w:t>"</w:t>
      </w:r>
      <w:r w:rsidR="00891481" w:rsidRPr="00192A62">
        <w:rPr>
          <w:rFonts w:ascii="Times New Roman" w:hAnsi="Times New Roman"/>
          <w:b/>
          <w:bCs/>
          <w:i/>
          <w:iCs/>
        </w:rPr>
        <w:t>intercepted while passing over a telecommunications system</w:t>
      </w:r>
      <w:r w:rsidR="00891481" w:rsidRPr="00192A62">
        <w:rPr>
          <w:rFonts w:ascii="Times New Roman" w:hAnsi="Times New Roman"/>
        </w:rPr>
        <w:t xml:space="preserve"> has a corresponding meaning". </w:t>
      </w:r>
      <w:r w:rsidR="00EB0BA9" w:rsidRPr="00192A62">
        <w:rPr>
          <w:rFonts w:ascii="Times New Roman" w:hAnsi="Times New Roman"/>
        </w:rPr>
        <w:t xml:space="preserve">The definition of </w:t>
      </w:r>
      <w:r w:rsidR="00891481" w:rsidRPr="00192A62">
        <w:rPr>
          <w:rFonts w:ascii="Times New Roman" w:hAnsi="Times New Roman"/>
        </w:rPr>
        <w:t>"</w:t>
      </w:r>
      <w:r w:rsidR="00EB0BA9" w:rsidRPr="00192A62">
        <w:rPr>
          <w:rFonts w:ascii="Times New Roman" w:hAnsi="Times New Roman"/>
        </w:rPr>
        <w:t>r</w:t>
      </w:r>
      <w:r w:rsidR="00891481" w:rsidRPr="00192A62">
        <w:rPr>
          <w:rFonts w:ascii="Times New Roman" w:hAnsi="Times New Roman"/>
        </w:rPr>
        <w:t xml:space="preserve">elevant warrant" </w:t>
      </w:r>
      <w:r w:rsidR="00EB0BA9" w:rsidRPr="00192A62">
        <w:rPr>
          <w:rFonts w:ascii="Times New Roman" w:hAnsi="Times New Roman"/>
        </w:rPr>
        <w:t xml:space="preserve">identifies each of </w:t>
      </w:r>
      <w:r w:rsidR="00891481" w:rsidRPr="00192A62">
        <w:rPr>
          <w:rFonts w:ascii="Times New Roman" w:hAnsi="Times New Roman"/>
        </w:rPr>
        <w:t xml:space="preserve">the </w:t>
      </w:r>
      <w:r w:rsidR="00046170" w:rsidRPr="00192A62">
        <w:rPr>
          <w:rFonts w:ascii="Times New Roman" w:hAnsi="Times New Roman"/>
        </w:rPr>
        <w:t>surveillance device warrants, the computer access warrants, and the search warrants by which the AFP obtained access to the AN</w:t>
      </w:r>
      <w:r w:rsidR="00943C2B" w:rsidRPr="00192A62">
        <w:rPr>
          <w:rFonts w:ascii="Times New Roman" w:hAnsi="Times New Roman"/>
        </w:rPr>
        <w:t>0</w:t>
      </w:r>
      <w:r w:rsidR="00046170" w:rsidRPr="00192A62">
        <w:rPr>
          <w:rFonts w:ascii="Times New Roman" w:hAnsi="Times New Roman"/>
        </w:rPr>
        <w:t>M communications and the data related to the</w:t>
      </w:r>
      <w:r w:rsidR="00825153" w:rsidRPr="00192A62">
        <w:rPr>
          <w:rFonts w:ascii="Times New Roman" w:hAnsi="Times New Roman"/>
        </w:rPr>
        <w:t>m</w:t>
      </w:r>
      <w:r w:rsidR="00046170" w:rsidRPr="00192A62">
        <w:rPr>
          <w:rFonts w:ascii="Times New Roman" w:hAnsi="Times New Roman"/>
        </w:rPr>
        <w:t xml:space="preserve">. </w:t>
      </w:r>
    </w:p>
    <w:p w14:paraId="0F14A6EE" w14:textId="59BEFA88" w:rsidR="00277E20" w:rsidRPr="00192A62" w:rsidRDefault="00277E20" w:rsidP="00192A62">
      <w:pPr>
        <w:pStyle w:val="FixListStyle"/>
        <w:spacing w:after="260" w:line="280" w:lineRule="exact"/>
        <w:ind w:right="0"/>
        <w:jc w:val="both"/>
        <w:rPr>
          <w:rFonts w:ascii="Times New Roman" w:hAnsi="Times New Roman"/>
        </w:rPr>
      </w:pPr>
      <w:r w:rsidRPr="00192A62">
        <w:rPr>
          <w:rFonts w:ascii="Times New Roman" w:hAnsi="Times New Roman"/>
        </w:rPr>
        <w:tab/>
        <w:t>Section 5 of the Confirmation of Application Act is in these terms:</w:t>
      </w:r>
    </w:p>
    <w:p w14:paraId="64C37752" w14:textId="00DB97A6" w:rsidR="005B0212" w:rsidRPr="00192A62" w:rsidRDefault="00277E20"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w:t>
      </w:r>
      <w:r w:rsidR="005B0212" w:rsidRPr="00192A62">
        <w:rPr>
          <w:rFonts w:ascii="Times New Roman" w:hAnsi="Times New Roman"/>
        </w:rPr>
        <w:t>(1)</w:t>
      </w:r>
      <w:r w:rsidR="00765436" w:rsidRPr="00192A62">
        <w:rPr>
          <w:rFonts w:ascii="Times New Roman" w:hAnsi="Times New Roman"/>
        </w:rPr>
        <w:tab/>
      </w:r>
      <w:r w:rsidR="005B0212" w:rsidRPr="00192A62">
        <w:rPr>
          <w:rFonts w:ascii="Times New Roman" w:hAnsi="Times New Roman"/>
        </w:rPr>
        <w:t>Information, or a record obtained under, or purportedly under, a relevant warrant, is taken for all purposes:</w:t>
      </w:r>
    </w:p>
    <w:p w14:paraId="68E51D72" w14:textId="03557561" w:rsidR="005B0212" w:rsidRPr="00192A62" w:rsidRDefault="00765436"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(a)</w:t>
      </w:r>
      <w:r w:rsidRPr="00192A62">
        <w:rPr>
          <w:rFonts w:ascii="Times New Roman" w:hAnsi="Times New Roman"/>
        </w:rPr>
        <w:tab/>
      </w:r>
      <w:r w:rsidR="005B0212" w:rsidRPr="00192A62">
        <w:rPr>
          <w:rFonts w:ascii="Times New Roman" w:hAnsi="Times New Roman"/>
        </w:rPr>
        <w:t>not to have been, and always not to have been, intercepted while passing over a telecommunications system; and</w:t>
      </w:r>
    </w:p>
    <w:p w14:paraId="316748AA" w14:textId="0084B4F4" w:rsidR="005B0212" w:rsidRPr="00192A62" w:rsidRDefault="00765436"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lastRenderedPageBreak/>
        <w:tab/>
      </w:r>
      <w:r w:rsidR="005B0212" w:rsidRPr="00192A62">
        <w:rPr>
          <w:rFonts w:ascii="Times New Roman" w:hAnsi="Times New Roman"/>
        </w:rPr>
        <w:t>(b)</w:t>
      </w:r>
      <w:r w:rsidRPr="00192A62">
        <w:rPr>
          <w:rFonts w:ascii="Times New Roman" w:hAnsi="Times New Roman"/>
        </w:rPr>
        <w:tab/>
      </w:r>
      <w:r w:rsidR="005B0212" w:rsidRPr="00192A62">
        <w:rPr>
          <w:rFonts w:ascii="Times New Roman" w:hAnsi="Times New Roman"/>
        </w:rPr>
        <w:t>not to have been, and always not to have been, information or a record obtained by intercepting a communication passing over a telecommunications system.</w:t>
      </w:r>
    </w:p>
    <w:p w14:paraId="0E24C121" w14:textId="78314581" w:rsidR="005B0212" w:rsidRPr="00192A62" w:rsidRDefault="005B021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(2)</w:t>
      </w:r>
      <w:r w:rsidR="00765436" w:rsidRPr="00192A62">
        <w:rPr>
          <w:rFonts w:ascii="Times New Roman" w:hAnsi="Times New Roman"/>
        </w:rPr>
        <w:tab/>
      </w:r>
      <w:r w:rsidRPr="00192A62">
        <w:rPr>
          <w:rFonts w:ascii="Times New Roman" w:hAnsi="Times New Roman"/>
        </w:rPr>
        <w:t>To avoid doubt, anything done, or anything purported to have been done, by a person that would have been wholly, or partly, invalid or unlawful except for subsection</w:t>
      </w:r>
      <w:r w:rsidR="00383360" w:rsidRPr="00192A62">
        <w:rPr>
          <w:rFonts w:ascii="Times New Roman" w:hAnsi="Times New Roman"/>
        </w:rPr>
        <w:t> </w:t>
      </w:r>
      <w:r w:rsidRPr="00192A62">
        <w:rPr>
          <w:rFonts w:ascii="Times New Roman" w:hAnsi="Times New Roman"/>
        </w:rPr>
        <w:t>(1) is taken for all purposes to be valid and lawful and to have always been valid and lawful, despite any effect that may have on the accrued rights of any person.</w:t>
      </w:r>
    </w:p>
    <w:p w14:paraId="4BFF19A9" w14:textId="20FFE57D" w:rsidR="005B0212" w:rsidRPr="00192A62" w:rsidRDefault="005B021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(3)</w:t>
      </w:r>
      <w:r w:rsidR="00130260" w:rsidRPr="00192A62">
        <w:rPr>
          <w:rFonts w:ascii="Times New Roman" w:hAnsi="Times New Roman"/>
        </w:rPr>
        <w:tab/>
      </w:r>
      <w:r w:rsidRPr="00192A62">
        <w:rPr>
          <w:rFonts w:ascii="Times New Roman" w:hAnsi="Times New Roman"/>
        </w:rPr>
        <w:t>Without limiting subsection</w:t>
      </w:r>
      <w:r w:rsidR="00383360" w:rsidRPr="00192A62">
        <w:rPr>
          <w:rFonts w:ascii="Times New Roman" w:hAnsi="Times New Roman"/>
        </w:rPr>
        <w:t> </w:t>
      </w:r>
      <w:r w:rsidRPr="00192A62">
        <w:rPr>
          <w:rFonts w:ascii="Times New Roman" w:hAnsi="Times New Roman"/>
        </w:rPr>
        <w:t>(1) or</w:t>
      </w:r>
      <w:r w:rsidR="00383360" w:rsidRPr="00192A62">
        <w:rPr>
          <w:rFonts w:ascii="Times New Roman" w:hAnsi="Times New Roman"/>
        </w:rPr>
        <w:t> </w:t>
      </w:r>
      <w:r w:rsidRPr="00192A62">
        <w:rPr>
          <w:rFonts w:ascii="Times New Roman" w:hAnsi="Times New Roman"/>
        </w:rPr>
        <w:t>(2), evidence that, except for subsection</w:t>
      </w:r>
      <w:r w:rsidR="00383360" w:rsidRPr="00192A62">
        <w:rPr>
          <w:rFonts w:ascii="Times New Roman" w:hAnsi="Times New Roman"/>
        </w:rPr>
        <w:t> </w:t>
      </w:r>
      <w:r w:rsidRPr="00192A62">
        <w:rPr>
          <w:rFonts w:ascii="Times New Roman" w:hAnsi="Times New Roman"/>
        </w:rPr>
        <w:t>(1), would have been wholly, or partly, obtained:</w:t>
      </w:r>
    </w:p>
    <w:p w14:paraId="7F8CDACB" w14:textId="14139DB7" w:rsidR="0015766E" w:rsidRP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(a)</w:t>
      </w:r>
      <w:r w:rsidRPr="00192A62">
        <w:rPr>
          <w:rFonts w:ascii="Times New Roman" w:hAnsi="Times New Roman"/>
        </w:rPr>
        <w:tab/>
      </w:r>
      <w:r w:rsidR="005B0212" w:rsidRPr="00192A62">
        <w:rPr>
          <w:rFonts w:ascii="Times New Roman" w:hAnsi="Times New Roman"/>
        </w:rPr>
        <w:t xml:space="preserve">in contravention of an Australian law or in consequence of a contravention of an Australian law; or </w:t>
      </w:r>
    </w:p>
    <w:p w14:paraId="6DF06570" w14:textId="4F963CE3" w:rsidR="00A41552" w:rsidRPr="00192A62" w:rsidRDefault="0015766E"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(b)</w:t>
      </w:r>
      <w:r w:rsidRPr="00192A62">
        <w:rPr>
          <w:rFonts w:ascii="Times New Roman" w:hAnsi="Times New Roman"/>
        </w:rPr>
        <w:tab/>
      </w:r>
      <w:r w:rsidR="005B0212" w:rsidRPr="00192A62">
        <w:rPr>
          <w:rFonts w:ascii="Times New Roman" w:hAnsi="Times New Roman"/>
        </w:rPr>
        <w:t xml:space="preserve">improperly or in consequence of an impropriety; </w:t>
      </w:r>
    </w:p>
    <w:p w14:paraId="2E55E25A" w14:textId="6C59553F" w:rsidR="005B0212" w:rsidRPr="00192A62" w:rsidRDefault="00A4155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ab/>
      </w:r>
      <w:r w:rsidR="005B0212" w:rsidRPr="00192A62">
        <w:rPr>
          <w:rFonts w:ascii="Times New Roman" w:hAnsi="Times New Roman"/>
        </w:rPr>
        <w:t>is taken for all purposes not to have been, and always not to have been, obtained:</w:t>
      </w:r>
    </w:p>
    <w:p w14:paraId="3F863A11" w14:textId="51AAAE46" w:rsidR="005B0212" w:rsidRP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(c)</w:t>
      </w:r>
      <w:r w:rsidRPr="00192A62">
        <w:rPr>
          <w:rFonts w:ascii="Times New Roman" w:hAnsi="Times New Roman"/>
        </w:rPr>
        <w:tab/>
      </w:r>
      <w:r w:rsidR="005B0212" w:rsidRPr="00192A62">
        <w:rPr>
          <w:rFonts w:ascii="Times New Roman" w:hAnsi="Times New Roman"/>
        </w:rPr>
        <w:t>in contravention of an Australian law or in consequence of a contravention of an Australian law; or</w:t>
      </w:r>
    </w:p>
    <w:p w14:paraId="787BF8B0" w14:textId="77777777" w:rsid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(d)</w:t>
      </w:r>
      <w:r w:rsidRPr="00192A62">
        <w:rPr>
          <w:rFonts w:ascii="Times New Roman" w:hAnsi="Times New Roman"/>
        </w:rPr>
        <w:tab/>
      </w:r>
      <w:r w:rsidR="005B0212" w:rsidRPr="00192A62">
        <w:rPr>
          <w:rFonts w:ascii="Times New Roman" w:hAnsi="Times New Roman"/>
        </w:rPr>
        <w:t>improperly or in consequence of an impropriety."</w:t>
      </w:r>
    </w:p>
    <w:p w14:paraId="48356AEA" w14:textId="0E128B70" w:rsidR="005B0212" w:rsidRPr="00192A62" w:rsidRDefault="005B0212"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B3A4F" w:rsidRPr="00192A62">
        <w:rPr>
          <w:rFonts w:ascii="Times New Roman" w:hAnsi="Times New Roman"/>
        </w:rPr>
        <w:t>Section 6 contains related provisions the effect of which is t</w:t>
      </w:r>
      <w:r w:rsidR="00BD17F2" w:rsidRPr="00192A62">
        <w:rPr>
          <w:rFonts w:ascii="Times New Roman" w:hAnsi="Times New Roman"/>
        </w:rPr>
        <w:t>hat</w:t>
      </w:r>
      <w:r w:rsidR="002E35C2" w:rsidRPr="00192A62">
        <w:rPr>
          <w:rFonts w:ascii="Times New Roman" w:hAnsi="Times New Roman"/>
        </w:rPr>
        <w:t>:</w:t>
      </w:r>
      <w:r w:rsidR="00BD17F2" w:rsidRPr="00192A62">
        <w:rPr>
          <w:rFonts w:ascii="Times New Roman" w:hAnsi="Times New Roman"/>
        </w:rPr>
        <w:t xml:space="preserve"> information, or a record, obtained in reliance, or purported reliance, on a </w:t>
      </w:r>
      <w:r w:rsidR="00973185" w:rsidRPr="00192A62">
        <w:rPr>
          <w:rFonts w:ascii="Times New Roman" w:hAnsi="Times New Roman"/>
        </w:rPr>
        <w:t>"</w:t>
      </w:r>
      <w:r w:rsidR="00BD17F2" w:rsidRPr="00192A62">
        <w:rPr>
          <w:rFonts w:ascii="Times New Roman" w:hAnsi="Times New Roman"/>
        </w:rPr>
        <w:t>relevant warrant</w:t>
      </w:r>
      <w:r w:rsidR="00973185" w:rsidRPr="00192A62">
        <w:rPr>
          <w:rFonts w:ascii="Times New Roman" w:hAnsi="Times New Roman"/>
        </w:rPr>
        <w:t>"</w:t>
      </w:r>
      <w:r w:rsidR="00BD17F2" w:rsidRPr="00192A62">
        <w:rPr>
          <w:rFonts w:ascii="Times New Roman" w:hAnsi="Times New Roman"/>
        </w:rPr>
        <w:t xml:space="preserve"> is taken for all purposes to have</w:t>
      </w:r>
      <w:r w:rsidR="002E35C2" w:rsidRPr="00192A62">
        <w:rPr>
          <w:rFonts w:ascii="Times New Roman" w:hAnsi="Times New Roman"/>
        </w:rPr>
        <w:t xml:space="preserve"> </w:t>
      </w:r>
      <w:r w:rsidR="00BD17F2" w:rsidRPr="00192A62">
        <w:rPr>
          <w:rFonts w:ascii="Times New Roman" w:hAnsi="Times New Roman"/>
        </w:rPr>
        <w:t>been, and to always have been, obtained under</w:t>
      </w:r>
      <w:r w:rsidR="002E35C2" w:rsidRPr="00192A62">
        <w:rPr>
          <w:rFonts w:ascii="Times New Roman" w:hAnsi="Times New Roman"/>
        </w:rPr>
        <w:t xml:space="preserve"> a warrant granted under the applicable Act (s 6(1)); </w:t>
      </w:r>
      <w:r w:rsidR="00506F6D" w:rsidRPr="00192A62">
        <w:rPr>
          <w:rFonts w:ascii="Times New Roman" w:hAnsi="Times New Roman"/>
        </w:rPr>
        <w:t xml:space="preserve">anything done, or anything purported to have been done, by a person that would have been wholly, or partly, invalid or unlawful except for s 6(1) is </w:t>
      </w:r>
      <w:r w:rsidR="00A71407" w:rsidRPr="00192A62">
        <w:rPr>
          <w:rFonts w:ascii="Times New Roman" w:hAnsi="Times New Roman"/>
        </w:rPr>
        <w:t xml:space="preserve">taken for all purposes to be valid and lawful and to have always been valid and lawful, despite any effect that may have on the accrued rights of any person (s 6(2)); </w:t>
      </w:r>
      <w:r w:rsidR="00973185" w:rsidRPr="00192A62">
        <w:rPr>
          <w:rFonts w:ascii="Times New Roman" w:hAnsi="Times New Roman"/>
        </w:rPr>
        <w:t xml:space="preserve">and </w:t>
      </w:r>
      <w:r w:rsidR="00A71407" w:rsidRPr="00192A62">
        <w:rPr>
          <w:rFonts w:ascii="Times New Roman" w:hAnsi="Times New Roman"/>
        </w:rPr>
        <w:t>evidence that</w:t>
      </w:r>
      <w:r w:rsidR="00763CBF" w:rsidRPr="00192A62">
        <w:rPr>
          <w:rFonts w:ascii="Times New Roman" w:hAnsi="Times New Roman"/>
        </w:rPr>
        <w:t>,</w:t>
      </w:r>
      <w:r w:rsidR="00A71407" w:rsidRPr="00192A62">
        <w:rPr>
          <w:rFonts w:ascii="Times New Roman" w:hAnsi="Times New Roman"/>
        </w:rPr>
        <w:t xml:space="preserve"> except for s 6(1)</w:t>
      </w:r>
      <w:r w:rsidR="00763CBF" w:rsidRPr="00192A62">
        <w:rPr>
          <w:rFonts w:ascii="Times New Roman" w:hAnsi="Times New Roman"/>
        </w:rPr>
        <w:t>,</w:t>
      </w:r>
      <w:r w:rsidR="00A71407" w:rsidRPr="00192A62">
        <w:rPr>
          <w:rFonts w:ascii="Times New Roman" w:hAnsi="Times New Roman"/>
        </w:rPr>
        <w:t xml:space="preserve"> </w:t>
      </w:r>
      <w:r w:rsidR="00F6750B" w:rsidRPr="00192A62">
        <w:rPr>
          <w:rFonts w:ascii="Times New Roman" w:hAnsi="Times New Roman"/>
        </w:rPr>
        <w:t>would have been wholly, or partly, obtained in contravention of an Australian law or in consequence of a contravention of an Australian law</w:t>
      </w:r>
      <w:r w:rsidR="00DB3C78" w:rsidRPr="00192A62">
        <w:rPr>
          <w:rFonts w:ascii="Times New Roman" w:hAnsi="Times New Roman"/>
        </w:rPr>
        <w:t>,</w:t>
      </w:r>
      <w:r w:rsidR="00F6750B" w:rsidRPr="00192A62">
        <w:rPr>
          <w:rFonts w:ascii="Times New Roman" w:hAnsi="Times New Roman"/>
        </w:rPr>
        <w:t xml:space="preserve"> or improperly or in consequence of an impropriety</w:t>
      </w:r>
      <w:r w:rsidR="00DB3C78" w:rsidRPr="00192A62">
        <w:rPr>
          <w:rFonts w:ascii="Times New Roman" w:hAnsi="Times New Roman"/>
        </w:rPr>
        <w:t>,</w:t>
      </w:r>
      <w:r w:rsidR="00F6750B" w:rsidRPr="00192A62">
        <w:rPr>
          <w:rFonts w:ascii="Times New Roman" w:hAnsi="Times New Roman"/>
        </w:rPr>
        <w:t xml:space="preserve"> </w:t>
      </w:r>
      <w:r w:rsidR="00730473" w:rsidRPr="00192A62">
        <w:rPr>
          <w:rFonts w:ascii="Times New Roman" w:hAnsi="Times New Roman"/>
        </w:rPr>
        <w:t>is taken for all purposes not to have been, and always not to have been, so obtained (s 6(3)).</w:t>
      </w:r>
    </w:p>
    <w:p w14:paraId="314D2EC1" w14:textId="1E5E2031" w:rsidR="00730473" w:rsidRPr="00192A62" w:rsidRDefault="00730473" w:rsidP="00192A62">
      <w:pPr>
        <w:pStyle w:val="FixListStyle"/>
        <w:spacing w:after="260" w:line="280" w:lineRule="exact"/>
        <w:ind w:right="0"/>
        <w:jc w:val="both"/>
        <w:rPr>
          <w:rFonts w:ascii="Times New Roman" w:hAnsi="Times New Roman"/>
        </w:rPr>
      </w:pPr>
      <w:r w:rsidRPr="00192A62">
        <w:rPr>
          <w:rFonts w:ascii="Times New Roman" w:hAnsi="Times New Roman"/>
        </w:rPr>
        <w:tab/>
        <w:t>By s 7</w:t>
      </w:r>
      <w:r w:rsidR="00607846" w:rsidRPr="00192A62">
        <w:rPr>
          <w:rFonts w:ascii="Times New Roman" w:hAnsi="Times New Roman"/>
        </w:rPr>
        <w:t>,</w:t>
      </w:r>
      <w:r w:rsidRPr="00192A62">
        <w:rPr>
          <w:rFonts w:ascii="Times New Roman" w:hAnsi="Times New Roman"/>
        </w:rPr>
        <w:t xml:space="preserve"> the </w:t>
      </w:r>
      <w:r w:rsidR="00621CE4" w:rsidRPr="00192A62">
        <w:rPr>
          <w:rFonts w:ascii="Times New Roman" w:hAnsi="Times New Roman"/>
        </w:rPr>
        <w:t>Confirmation of Application Act</w:t>
      </w:r>
      <w:r w:rsidR="00621CE4" w:rsidRPr="00192A62">
        <w:rPr>
          <w:rFonts w:ascii="Times New Roman" w:hAnsi="Times New Roman"/>
          <w:i/>
          <w:iCs/>
        </w:rPr>
        <w:t xml:space="preserve"> </w:t>
      </w:r>
      <w:r w:rsidR="00621CE4" w:rsidRPr="00192A62">
        <w:rPr>
          <w:rFonts w:ascii="Times New Roman" w:hAnsi="Times New Roman"/>
        </w:rPr>
        <w:t>applies to civil and criminal proceedings</w:t>
      </w:r>
      <w:r w:rsidR="00C829D4" w:rsidRPr="00192A62">
        <w:rPr>
          <w:rFonts w:ascii="Times New Roman" w:hAnsi="Times New Roman"/>
        </w:rPr>
        <w:t xml:space="preserve"> instituted</w:t>
      </w:r>
      <w:r w:rsidR="00621CE4" w:rsidRPr="00192A62">
        <w:rPr>
          <w:rFonts w:ascii="Times New Roman" w:hAnsi="Times New Roman"/>
        </w:rPr>
        <w:t xml:space="preserve">: on or after the commencement of the Act; </w:t>
      </w:r>
      <w:r w:rsidR="00C829D4" w:rsidRPr="00192A62">
        <w:rPr>
          <w:rFonts w:ascii="Times New Roman" w:hAnsi="Times New Roman"/>
        </w:rPr>
        <w:t xml:space="preserve">and </w:t>
      </w:r>
      <w:r w:rsidR="00434015" w:rsidRPr="00192A62">
        <w:rPr>
          <w:rFonts w:ascii="Times New Roman" w:hAnsi="Times New Roman"/>
        </w:rPr>
        <w:t xml:space="preserve">before </w:t>
      </w:r>
      <w:r w:rsidR="00434015" w:rsidRPr="00192A62">
        <w:rPr>
          <w:rFonts w:ascii="Times New Roman" w:hAnsi="Times New Roman"/>
        </w:rPr>
        <w:lastRenderedPageBreak/>
        <w:t xml:space="preserve">commencement of the Act if the </w:t>
      </w:r>
      <w:r w:rsidR="002D1F04" w:rsidRPr="00192A62">
        <w:rPr>
          <w:rFonts w:ascii="Times New Roman" w:hAnsi="Times New Roman"/>
        </w:rPr>
        <w:t xml:space="preserve">proceedings are concluded before, on or after such commencement. </w:t>
      </w:r>
    </w:p>
    <w:p w14:paraId="5331E308" w14:textId="18702621" w:rsidR="00BD0079" w:rsidRPr="00192A62" w:rsidRDefault="00BD007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202305" w:rsidRPr="00192A62">
        <w:rPr>
          <w:rFonts w:ascii="Times New Roman" w:hAnsi="Times New Roman"/>
        </w:rPr>
        <w:t xml:space="preserve">As will be explained, consistent with the submissions of the Solicitor-General </w:t>
      </w:r>
      <w:r w:rsidR="003651EE" w:rsidRPr="00192A62">
        <w:rPr>
          <w:rFonts w:ascii="Times New Roman" w:hAnsi="Times New Roman"/>
        </w:rPr>
        <w:t xml:space="preserve">of the Commonwealth (supported by </w:t>
      </w:r>
      <w:r w:rsidR="004C7695" w:rsidRPr="00192A62">
        <w:rPr>
          <w:rFonts w:ascii="Times New Roman" w:hAnsi="Times New Roman"/>
        </w:rPr>
        <w:t>interveners, the Attorneys-General for Western Australia, Victoria</w:t>
      </w:r>
      <w:r w:rsidR="00B808DE" w:rsidRPr="00192A62">
        <w:rPr>
          <w:rFonts w:ascii="Times New Roman" w:hAnsi="Times New Roman"/>
        </w:rPr>
        <w:t xml:space="preserve"> and New South Wales and, by leave, the </w:t>
      </w:r>
      <w:r w:rsidR="001C0BF3" w:rsidRPr="00192A62">
        <w:rPr>
          <w:rFonts w:ascii="Times New Roman" w:hAnsi="Times New Roman"/>
        </w:rPr>
        <w:t xml:space="preserve">SA </w:t>
      </w:r>
      <w:r w:rsidR="00B808DE" w:rsidRPr="00192A62">
        <w:rPr>
          <w:rFonts w:ascii="Times New Roman" w:hAnsi="Times New Roman"/>
        </w:rPr>
        <w:t>Director)</w:t>
      </w:r>
      <w:r w:rsidR="001C0BF3" w:rsidRPr="00192A62">
        <w:rPr>
          <w:rFonts w:ascii="Times New Roman" w:hAnsi="Times New Roman"/>
        </w:rPr>
        <w:t>,</w:t>
      </w:r>
      <w:r w:rsidR="00B808DE" w:rsidRPr="00192A62">
        <w:rPr>
          <w:rFonts w:ascii="Times New Roman" w:hAnsi="Times New Roman"/>
        </w:rPr>
        <w:t xml:space="preserve"> </w:t>
      </w:r>
      <w:r w:rsidR="00743176" w:rsidRPr="00192A62">
        <w:rPr>
          <w:rFonts w:ascii="Times New Roman" w:hAnsi="Times New Roman"/>
        </w:rPr>
        <w:t xml:space="preserve">ss 5 and 6 of the Confirmation of Application Act do not infringe the judicial power of the </w:t>
      </w:r>
      <w:r w:rsidR="00D373B8" w:rsidRPr="00192A62">
        <w:rPr>
          <w:rFonts w:ascii="Times New Roman" w:hAnsi="Times New Roman"/>
        </w:rPr>
        <w:t xml:space="preserve">Commonwealth or impermissibly interfere with the integrity of courts </w:t>
      </w:r>
      <w:r w:rsidR="00425ABA" w:rsidRPr="00192A62">
        <w:rPr>
          <w:rFonts w:ascii="Times New Roman" w:hAnsi="Times New Roman"/>
        </w:rPr>
        <w:t xml:space="preserve">whether </w:t>
      </w:r>
      <w:r w:rsidR="00D373B8" w:rsidRPr="00192A62">
        <w:rPr>
          <w:rFonts w:ascii="Times New Roman" w:hAnsi="Times New Roman"/>
        </w:rPr>
        <w:t>exercising federal jurisdiction</w:t>
      </w:r>
      <w:r w:rsidR="00425ABA" w:rsidRPr="00192A62">
        <w:rPr>
          <w:rFonts w:ascii="Times New Roman" w:hAnsi="Times New Roman"/>
        </w:rPr>
        <w:t xml:space="preserve"> or otherwise</w:t>
      </w:r>
      <w:r w:rsidR="00D373B8" w:rsidRPr="00192A62">
        <w:rPr>
          <w:rFonts w:ascii="Times New Roman" w:hAnsi="Times New Roman"/>
        </w:rPr>
        <w:t xml:space="preserve">. </w:t>
      </w:r>
      <w:r w:rsidR="00336DF9" w:rsidRPr="00192A62">
        <w:rPr>
          <w:rFonts w:ascii="Times New Roman" w:hAnsi="Times New Roman"/>
        </w:rPr>
        <w:t xml:space="preserve">Those provisions do no more than </w:t>
      </w:r>
      <w:r w:rsidR="00AF6CAF" w:rsidRPr="00192A62">
        <w:rPr>
          <w:rFonts w:ascii="Times New Roman" w:hAnsi="Times New Roman"/>
        </w:rPr>
        <w:t>reflect</w:t>
      </w:r>
      <w:r w:rsidR="00336DF9" w:rsidRPr="00192A62">
        <w:rPr>
          <w:rFonts w:ascii="Times New Roman" w:hAnsi="Times New Roman"/>
        </w:rPr>
        <w:t xml:space="preserve"> the law as established in </w:t>
      </w:r>
      <w:r w:rsidR="00AF6CAF" w:rsidRPr="00192A62">
        <w:rPr>
          <w:rFonts w:ascii="Times New Roman" w:hAnsi="Times New Roman"/>
        </w:rPr>
        <w:t>several cases including</w:t>
      </w:r>
      <w:r w:rsidR="00A60848" w:rsidRPr="00192A62">
        <w:rPr>
          <w:rFonts w:ascii="Times New Roman" w:hAnsi="Times New Roman"/>
        </w:rPr>
        <w:t xml:space="preserve"> </w:t>
      </w:r>
      <w:r w:rsidR="00AF6CAF" w:rsidRPr="00192A62">
        <w:rPr>
          <w:rFonts w:ascii="Times New Roman" w:hAnsi="Times New Roman"/>
          <w:i/>
          <w:iCs/>
        </w:rPr>
        <w:t xml:space="preserve">Nicholas v </w:t>
      </w:r>
      <w:r w:rsidR="00A60848" w:rsidRPr="00192A62">
        <w:rPr>
          <w:rFonts w:ascii="Times New Roman" w:hAnsi="Times New Roman"/>
          <w:i/>
          <w:iCs/>
        </w:rPr>
        <w:t>T</w:t>
      </w:r>
      <w:r w:rsidR="00AF6CAF" w:rsidRPr="00192A62">
        <w:rPr>
          <w:rFonts w:ascii="Times New Roman" w:hAnsi="Times New Roman"/>
          <w:i/>
          <w:iCs/>
        </w:rPr>
        <w:t>he Queen</w:t>
      </w:r>
      <w:r w:rsidR="00F17B44" w:rsidRPr="00192A62">
        <w:rPr>
          <w:rStyle w:val="FootnoteReference"/>
          <w:rFonts w:ascii="Times New Roman" w:hAnsi="Times New Roman"/>
          <w:sz w:val="24"/>
        </w:rPr>
        <w:footnoteReference w:id="7"/>
      </w:r>
      <w:r w:rsidR="00E31032" w:rsidRPr="00192A62">
        <w:rPr>
          <w:rFonts w:ascii="Times New Roman" w:hAnsi="Times New Roman"/>
        </w:rPr>
        <w:t xml:space="preserve"> and </w:t>
      </w:r>
      <w:r w:rsidR="00A60848" w:rsidRPr="00192A62">
        <w:rPr>
          <w:rFonts w:ascii="Times New Roman" w:hAnsi="Times New Roman"/>
          <w:i/>
          <w:iCs/>
        </w:rPr>
        <w:t>Duncan v Independent Commission Against Corruption</w:t>
      </w:r>
      <w:r w:rsidR="00A60848" w:rsidRPr="00192A62">
        <w:rPr>
          <w:rFonts w:ascii="Times New Roman" w:hAnsi="Times New Roman"/>
        </w:rPr>
        <w:t>.</w:t>
      </w:r>
      <w:r w:rsidR="00A60848" w:rsidRPr="00192A62">
        <w:rPr>
          <w:rStyle w:val="FootnoteReference"/>
          <w:rFonts w:ascii="Times New Roman" w:hAnsi="Times New Roman"/>
          <w:sz w:val="24"/>
        </w:rPr>
        <w:footnoteReference w:id="8"/>
      </w:r>
      <w:r w:rsidR="00A60848" w:rsidRPr="00192A62">
        <w:rPr>
          <w:rFonts w:ascii="Times New Roman" w:hAnsi="Times New Roman"/>
        </w:rPr>
        <w:t xml:space="preserve"> </w:t>
      </w:r>
      <w:r w:rsidR="00E3052B" w:rsidRPr="00192A62">
        <w:rPr>
          <w:rFonts w:ascii="Times New Roman" w:hAnsi="Times New Roman"/>
        </w:rPr>
        <w:t>T</w:t>
      </w:r>
      <w:r w:rsidR="00A60848" w:rsidRPr="00192A62">
        <w:rPr>
          <w:rFonts w:ascii="Times New Roman" w:hAnsi="Times New Roman"/>
        </w:rPr>
        <w:t xml:space="preserve">he distinction on which </w:t>
      </w:r>
      <w:r w:rsidR="0066479B" w:rsidRPr="00192A62">
        <w:rPr>
          <w:rFonts w:ascii="Times New Roman" w:hAnsi="Times New Roman"/>
        </w:rPr>
        <w:t xml:space="preserve">CD and TB </w:t>
      </w:r>
      <w:r w:rsidR="00A60848" w:rsidRPr="00192A62">
        <w:rPr>
          <w:rFonts w:ascii="Times New Roman" w:hAnsi="Times New Roman"/>
        </w:rPr>
        <w:t xml:space="preserve">relied, between a </w:t>
      </w:r>
      <w:r w:rsidR="00CC7135" w:rsidRPr="00192A62">
        <w:rPr>
          <w:rFonts w:ascii="Times New Roman" w:hAnsi="Times New Roman"/>
        </w:rPr>
        <w:t xml:space="preserve">law which attaches new legal consequences to facts </w:t>
      </w:r>
      <w:r w:rsidR="00D244CA" w:rsidRPr="00192A62">
        <w:rPr>
          <w:rFonts w:ascii="Times New Roman" w:hAnsi="Times New Roman"/>
        </w:rPr>
        <w:t>(</w:t>
      </w:r>
      <w:r w:rsidR="00B9031E" w:rsidRPr="00192A62">
        <w:rPr>
          <w:rFonts w:ascii="Times New Roman" w:hAnsi="Times New Roman"/>
        </w:rPr>
        <w:t xml:space="preserve">accepted </w:t>
      </w:r>
      <w:r w:rsidR="0066479B" w:rsidRPr="00192A62">
        <w:rPr>
          <w:rFonts w:ascii="Times New Roman" w:hAnsi="Times New Roman"/>
        </w:rPr>
        <w:t xml:space="preserve">by CD and TB </w:t>
      </w:r>
      <w:r w:rsidR="00B9031E" w:rsidRPr="00192A62">
        <w:rPr>
          <w:rFonts w:ascii="Times New Roman" w:hAnsi="Times New Roman"/>
        </w:rPr>
        <w:t xml:space="preserve">to involve </w:t>
      </w:r>
      <w:r w:rsidR="00D244CA" w:rsidRPr="00192A62">
        <w:rPr>
          <w:rFonts w:ascii="Times New Roman" w:hAnsi="Times New Roman"/>
        </w:rPr>
        <w:t xml:space="preserve">legislative power) </w:t>
      </w:r>
      <w:r w:rsidR="00CC7135" w:rsidRPr="00192A62">
        <w:rPr>
          <w:rFonts w:ascii="Times New Roman" w:hAnsi="Times New Roman"/>
        </w:rPr>
        <w:t xml:space="preserve">and a law which </w:t>
      </w:r>
      <w:r w:rsidR="00D244CA" w:rsidRPr="00192A62">
        <w:rPr>
          <w:rFonts w:ascii="Times New Roman" w:hAnsi="Times New Roman"/>
        </w:rPr>
        <w:t xml:space="preserve">purports to establish new facts and to attach legal </w:t>
      </w:r>
      <w:r w:rsidR="00E3052B" w:rsidRPr="00192A62">
        <w:rPr>
          <w:rFonts w:ascii="Times New Roman" w:hAnsi="Times New Roman"/>
        </w:rPr>
        <w:t>consequences to those new facts (</w:t>
      </w:r>
      <w:r w:rsidR="00B9031E" w:rsidRPr="00192A62">
        <w:rPr>
          <w:rFonts w:ascii="Times New Roman" w:hAnsi="Times New Roman"/>
        </w:rPr>
        <w:t xml:space="preserve">alleged </w:t>
      </w:r>
      <w:r w:rsidR="0066479B" w:rsidRPr="00192A62">
        <w:rPr>
          <w:rFonts w:ascii="Times New Roman" w:hAnsi="Times New Roman"/>
        </w:rPr>
        <w:t xml:space="preserve">by CD and TB </w:t>
      </w:r>
      <w:r w:rsidR="00E37125" w:rsidRPr="00192A62">
        <w:rPr>
          <w:rFonts w:ascii="Times New Roman" w:hAnsi="Times New Roman"/>
        </w:rPr>
        <w:t xml:space="preserve">to involve </w:t>
      </w:r>
      <w:r w:rsidR="00E3052B" w:rsidRPr="00192A62">
        <w:rPr>
          <w:rFonts w:ascii="Times New Roman" w:hAnsi="Times New Roman"/>
        </w:rPr>
        <w:t>a purported exercise of judicial power)</w:t>
      </w:r>
      <w:r w:rsidR="007D4D0C" w:rsidRPr="00192A62">
        <w:rPr>
          <w:rFonts w:ascii="Times New Roman" w:hAnsi="Times New Roman"/>
        </w:rPr>
        <w:t>, is neither as clear-cut as the plaintiffs' submissions would have it, nor</w:t>
      </w:r>
      <w:r w:rsidR="00B9031E" w:rsidRPr="00192A62">
        <w:rPr>
          <w:rFonts w:ascii="Times New Roman" w:hAnsi="Times New Roman"/>
        </w:rPr>
        <w:t>, to the extent the distinction exists,</w:t>
      </w:r>
      <w:r w:rsidR="007D4D0C" w:rsidRPr="00192A62">
        <w:rPr>
          <w:rFonts w:ascii="Times New Roman" w:hAnsi="Times New Roman"/>
        </w:rPr>
        <w:t xml:space="preserve"> </w:t>
      </w:r>
      <w:r w:rsidR="00C91B8F" w:rsidRPr="00192A62">
        <w:rPr>
          <w:rFonts w:ascii="Times New Roman" w:hAnsi="Times New Roman"/>
        </w:rPr>
        <w:t>engaged by the provisions of the impugned legislation.</w:t>
      </w:r>
      <w:r w:rsidR="0006677E" w:rsidRPr="00192A62">
        <w:rPr>
          <w:rFonts w:ascii="Times New Roman" w:hAnsi="Times New Roman"/>
        </w:rPr>
        <w:t xml:space="preserve"> </w:t>
      </w:r>
    </w:p>
    <w:p w14:paraId="034954E9" w14:textId="1974B4D9" w:rsidR="001A1177" w:rsidRPr="00192A62" w:rsidRDefault="00EE7EDA" w:rsidP="00192A62">
      <w:pPr>
        <w:pStyle w:val="HeadingL1"/>
        <w:spacing w:after="260" w:line="280" w:lineRule="exact"/>
        <w:ind w:right="0"/>
        <w:jc w:val="both"/>
        <w:rPr>
          <w:rFonts w:ascii="Times New Roman" w:hAnsi="Times New Roman"/>
        </w:rPr>
      </w:pPr>
      <w:r w:rsidRPr="00192A62">
        <w:rPr>
          <w:rFonts w:ascii="Times New Roman" w:hAnsi="Times New Roman"/>
        </w:rPr>
        <w:t xml:space="preserve">The principles </w:t>
      </w:r>
    </w:p>
    <w:p w14:paraId="3DCD763D" w14:textId="7F35B792" w:rsidR="001A1177" w:rsidRPr="00192A62" w:rsidRDefault="001A1177"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70ACE" w:rsidRPr="00192A62">
        <w:rPr>
          <w:rFonts w:ascii="Times New Roman" w:hAnsi="Times New Roman"/>
        </w:rPr>
        <w:t xml:space="preserve">The essential principle is that </w:t>
      </w:r>
      <w:r w:rsidR="004F1CA3" w:rsidRPr="00192A62">
        <w:rPr>
          <w:rFonts w:ascii="Times New Roman" w:hAnsi="Times New Roman"/>
        </w:rPr>
        <w:t xml:space="preserve">stated by </w:t>
      </w:r>
      <w:r w:rsidR="007903DC" w:rsidRPr="00192A62">
        <w:rPr>
          <w:rFonts w:ascii="Times New Roman" w:hAnsi="Times New Roman"/>
        </w:rPr>
        <w:t xml:space="preserve">Brennan, Deane and Dawson JJ </w:t>
      </w:r>
      <w:r w:rsidR="003E0371" w:rsidRPr="00192A62">
        <w:rPr>
          <w:rFonts w:ascii="Times New Roman" w:hAnsi="Times New Roman"/>
        </w:rPr>
        <w:t xml:space="preserve">in </w:t>
      </w:r>
      <w:r w:rsidR="003E0371" w:rsidRPr="00192A62">
        <w:rPr>
          <w:rFonts w:ascii="Times New Roman" w:hAnsi="Times New Roman"/>
          <w:i/>
          <w:iCs/>
        </w:rPr>
        <w:t>Chu Kheng Lim v Minister for Immigration</w:t>
      </w:r>
      <w:r w:rsidR="00492A8F" w:rsidRPr="00192A62">
        <w:rPr>
          <w:rFonts w:ascii="Times New Roman" w:hAnsi="Times New Roman"/>
          <w:i/>
          <w:iCs/>
        </w:rPr>
        <w:t xml:space="preserve">, Local Government and Ethnic </w:t>
      </w:r>
      <w:r w:rsidR="006A0B7D" w:rsidRPr="00192A62">
        <w:rPr>
          <w:rFonts w:ascii="Times New Roman" w:hAnsi="Times New Roman"/>
          <w:i/>
          <w:iCs/>
        </w:rPr>
        <w:t>Affairs</w:t>
      </w:r>
      <w:r w:rsidR="007903DC" w:rsidRPr="00192A62">
        <w:rPr>
          <w:rFonts w:ascii="Times New Roman" w:hAnsi="Times New Roman"/>
        </w:rPr>
        <w:t>:</w:t>
      </w:r>
      <w:r w:rsidR="003E0371" w:rsidRPr="00192A62">
        <w:rPr>
          <w:rStyle w:val="FootnoteReference"/>
          <w:rFonts w:ascii="Times New Roman" w:hAnsi="Times New Roman"/>
          <w:sz w:val="24"/>
        </w:rPr>
        <w:footnoteReference w:id="9"/>
      </w:r>
    </w:p>
    <w:p w14:paraId="49C6C19E" w14:textId="33CBAFF6" w:rsidR="00192A62" w:rsidRDefault="00967638" w:rsidP="00192A62">
      <w:pPr>
        <w:pStyle w:val="leftright"/>
        <w:spacing w:before="0" w:after="260" w:line="280" w:lineRule="exact"/>
        <w:ind w:right="0"/>
        <w:jc w:val="both"/>
        <w:rPr>
          <w:rFonts w:ascii="Times New Roman" w:hAnsi="Times New Roman"/>
        </w:rPr>
      </w:pPr>
      <w:r w:rsidRPr="00192A62">
        <w:rPr>
          <w:rFonts w:ascii="Times New Roman" w:hAnsi="Times New Roman"/>
        </w:rPr>
        <w:tab/>
      </w:r>
      <w:r w:rsidR="006533E0" w:rsidRPr="00192A62">
        <w:rPr>
          <w:rFonts w:ascii="Times New Roman" w:hAnsi="Times New Roman"/>
        </w:rPr>
        <w:t>"</w:t>
      </w:r>
      <w:r w:rsidR="00104C9B" w:rsidRPr="00192A62">
        <w:rPr>
          <w:rFonts w:ascii="Times New Roman" w:hAnsi="Times New Roman"/>
        </w:rPr>
        <w:t>The Constitution is structured upon, and incorporates, the doctrine of the separation of judicial from executive and legislative powers. Chapter</w:t>
      </w:r>
      <w:r w:rsidR="00385D1F" w:rsidRPr="00192A62">
        <w:rPr>
          <w:rFonts w:ascii="Times New Roman" w:hAnsi="Times New Roman"/>
        </w:rPr>
        <w:t> </w:t>
      </w:r>
      <w:r w:rsidR="00104C9B" w:rsidRPr="00192A62">
        <w:rPr>
          <w:rFonts w:ascii="Times New Roman" w:hAnsi="Times New Roman"/>
        </w:rPr>
        <w:t xml:space="preserve">III gives effect to that doctrine in so far as the vesting of judicial power is concerned. Its provisions constitute </w:t>
      </w:r>
      <w:r w:rsidR="00385D1F" w:rsidRPr="00192A62">
        <w:rPr>
          <w:rFonts w:ascii="Times New Roman" w:hAnsi="Times New Roman"/>
        </w:rPr>
        <w:t>'</w:t>
      </w:r>
      <w:r w:rsidR="00104C9B" w:rsidRPr="00192A62">
        <w:rPr>
          <w:rFonts w:ascii="Times New Roman" w:hAnsi="Times New Roman"/>
        </w:rPr>
        <w:t xml:space="preserve">an exhaustive statement of the manner in which the judicial power of the Commonwealth is or may be </w:t>
      </w:r>
      <w:r w:rsidR="00104C9B" w:rsidRPr="00192A62">
        <w:rPr>
          <w:rFonts w:ascii="Times New Roman" w:hAnsi="Times New Roman"/>
        </w:rPr>
        <w:lastRenderedPageBreak/>
        <w:t xml:space="preserve">vested </w:t>
      </w:r>
      <w:r w:rsidR="009D265C">
        <w:rPr>
          <w:rFonts w:ascii="Times New Roman" w:hAnsi="Times New Roman"/>
        </w:rPr>
        <w:t>...</w:t>
      </w:r>
      <w:r w:rsidR="00104C9B" w:rsidRPr="00192A62">
        <w:rPr>
          <w:rFonts w:ascii="Times New Roman" w:hAnsi="Times New Roman"/>
        </w:rPr>
        <w:t xml:space="preserve"> No part of the judicial power can be conferred in virtue of any other authority or otherwise than in accordance with the provisions of Chap</w:t>
      </w:r>
      <w:r w:rsidR="005441F8" w:rsidRPr="00192A62">
        <w:rPr>
          <w:rFonts w:ascii="Times New Roman" w:hAnsi="Times New Roman"/>
        </w:rPr>
        <w:t> </w:t>
      </w:r>
      <w:r w:rsidR="00104C9B" w:rsidRPr="00192A62">
        <w:rPr>
          <w:rFonts w:ascii="Times New Roman" w:hAnsi="Times New Roman"/>
        </w:rPr>
        <w:t>III</w:t>
      </w:r>
      <w:r w:rsidR="00D81665" w:rsidRPr="00192A62">
        <w:rPr>
          <w:rFonts w:ascii="Times New Roman" w:hAnsi="Times New Roman"/>
        </w:rPr>
        <w:t xml:space="preserve">' </w:t>
      </w:r>
      <w:r w:rsidR="005441F8" w:rsidRPr="00192A62">
        <w:rPr>
          <w:rFonts w:ascii="Times New Roman" w:hAnsi="Times New Roman"/>
        </w:rPr>
        <w:t>...</w:t>
      </w:r>
      <w:r w:rsidR="00104C9B" w:rsidRPr="00192A62">
        <w:rPr>
          <w:rFonts w:ascii="Times New Roman" w:hAnsi="Times New Roman"/>
        </w:rPr>
        <w:t xml:space="preserve"> </w:t>
      </w:r>
      <w:r w:rsidR="0090086E" w:rsidRPr="00192A62">
        <w:rPr>
          <w:rFonts w:ascii="Times New Roman" w:hAnsi="Times New Roman"/>
        </w:rPr>
        <w:t xml:space="preserve">[T]he </w:t>
      </w:r>
      <w:r w:rsidR="006533E0" w:rsidRPr="00192A62">
        <w:rPr>
          <w:rFonts w:ascii="Times New Roman" w:hAnsi="Times New Roman"/>
        </w:rPr>
        <w:t xml:space="preserve">grants of legislative power contained in s 51 of the Constitution, which are expressly </w:t>
      </w:r>
      <w:r w:rsidR="006E6692" w:rsidRPr="00192A62">
        <w:rPr>
          <w:rFonts w:ascii="Times New Roman" w:hAnsi="Times New Roman"/>
        </w:rPr>
        <w:t>'</w:t>
      </w:r>
      <w:r w:rsidR="006533E0" w:rsidRPr="00192A62">
        <w:rPr>
          <w:rFonts w:ascii="Times New Roman" w:hAnsi="Times New Roman"/>
        </w:rPr>
        <w:t>subject to</w:t>
      </w:r>
      <w:r w:rsidR="006E6692" w:rsidRPr="00192A62">
        <w:rPr>
          <w:rFonts w:ascii="Times New Roman" w:hAnsi="Times New Roman"/>
        </w:rPr>
        <w:t>'</w:t>
      </w:r>
      <w:r w:rsidR="006533E0" w:rsidRPr="00192A62">
        <w:rPr>
          <w:rFonts w:ascii="Times New Roman" w:hAnsi="Times New Roman"/>
        </w:rPr>
        <w:t xml:space="preserve"> the provisions of the Constitution as a whole, do not ... </w:t>
      </w:r>
      <w:r w:rsidR="00CA3FF5" w:rsidRPr="00192A62">
        <w:rPr>
          <w:rFonts w:ascii="Times New Roman" w:hAnsi="Times New Roman"/>
        </w:rPr>
        <w:t>extend to the making of a law which requires or authorizes the courts in which the judicial power of the Commonwealth is exclusively vested to exercise judicial power in a manner which is inconsistent with the essential character of a court or with the nature of judicial power".</w:t>
      </w:r>
    </w:p>
    <w:p w14:paraId="2960648D" w14:textId="0340032F" w:rsidR="008779CA" w:rsidRPr="00192A62" w:rsidRDefault="008779CA"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31AC1" w:rsidRPr="00192A62">
        <w:rPr>
          <w:rFonts w:ascii="Times New Roman" w:hAnsi="Times New Roman"/>
        </w:rPr>
        <w:t>Although it defies exhaustive definition, j</w:t>
      </w:r>
      <w:r w:rsidR="005839D6" w:rsidRPr="00192A62">
        <w:rPr>
          <w:rFonts w:ascii="Times New Roman" w:hAnsi="Times New Roman"/>
        </w:rPr>
        <w:t xml:space="preserve">udicial power has been described as </w:t>
      </w:r>
      <w:r w:rsidR="00541E88" w:rsidRPr="00192A62">
        <w:rPr>
          <w:rFonts w:ascii="Times New Roman" w:hAnsi="Times New Roman"/>
        </w:rPr>
        <w:t xml:space="preserve">"the </w:t>
      </w:r>
      <w:r w:rsidR="00B639DF" w:rsidRPr="00192A62">
        <w:rPr>
          <w:rFonts w:ascii="Times New Roman" w:hAnsi="Times New Roman"/>
        </w:rPr>
        <w:t xml:space="preserve">[final and authoritative] </w:t>
      </w:r>
      <w:r w:rsidR="00541E88" w:rsidRPr="00192A62">
        <w:rPr>
          <w:rFonts w:ascii="Times New Roman" w:hAnsi="Times New Roman"/>
        </w:rPr>
        <w:t>quelling of ...</w:t>
      </w:r>
      <w:r w:rsidR="00C036C4" w:rsidRPr="00192A62">
        <w:rPr>
          <w:rFonts w:ascii="Times New Roman" w:hAnsi="Times New Roman"/>
        </w:rPr>
        <w:t xml:space="preserve"> </w:t>
      </w:r>
      <w:r w:rsidR="00541E88" w:rsidRPr="00192A62">
        <w:rPr>
          <w:rFonts w:ascii="Times New Roman" w:hAnsi="Times New Roman"/>
        </w:rPr>
        <w:t xml:space="preserve">controversies </w:t>
      </w:r>
      <w:r w:rsidR="00393C1E" w:rsidRPr="00192A62">
        <w:rPr>
          <w:rFonts w:ascii="Times New Roman" w:hAnsi="Times New Roman"/>
        </w:rPr>
        <w:t xml:space="preserve">[involving rights and liabilities] </w:t>
      </w:r>
      <w:r w:rsidR="00541E88" w:rsidRPr="00192A62">
        <w:rPr>
          <w:rFonts w:ascii="Times New Roman" w:hAnsi="Times New Roman"/>
        </w:rPr>
        <w:t>by ascertainment of the facts, by application of the law and by exercise, where appropriate, of judicial discretion</w:t>
      </w:r>
      <w:r w:rsidR="005D27D0" w:rsidRPr="00192A62">
        <w:rPr>
          <w:rFonts w:ascii="Times New Roman" w:hAnsi="Times New Roman"/>
        </w:rPr>
        <w:t>"</w:t>
      </w:r>
      <w:r w:rsidR="009A328A" w:rsidRPr="00192A62">
        <w:rPr>
          <w:rFonts w:ascii="Times New Roman" w:hAnsi="Times New Roman"/>
        </w:rPr>
        <w:t>.</w:t>
      </w:r>
      <w:r w:rsidR="005D27D0" w:rsidRPr="00192A62">
        <w:rPr>
          <w:rStyle w:val="FootnoteReference"/>
          <w:rFonts w:ascii="Times New Roman" w:hAnsi="Times New Roman"/>
          <w:sz w:val="24"/>
        </w:rPr>
        <w:footnoteReference w:id="10"/>
      </w:r>
      <w:r w:rsidR="009A328A" w:rsidRPr="00192A62">
        <w:rPr>
          <w:rFonts w:ascii="Times New Roman" w:hAnsi="Times New Roman"/>
        </w:rPr>
        <w:t xml:space="preserve"> </w:t>
      </w:r>
      <w:r w:rsidR="009B0E4C" w:rsidRPr="00192A62">
        <w:rPr>
          <w:rFonts w:ascii="Times New Roman" w:hAnsi="Times New Roman"/>
        </w:rPr>
        <w:t xml:space="preserve">The adjudgment and punishment of criminal guilt is </w:t>
      </w:r>
      <w:r w:rsidR="001C73C3" w:rsidRPr="00192A62">
        <w:rPr>
          <w:rFonts w:ascii="Times New Roman" w:hAnsi="Times New Roman"/>
        </w:rPr>
        <w:t xml:space="preserve">an </w:t>
      </w:r>
      <w:r w:rsidR="009B0E4C" w:rsidRPr="00192A62">
        <w:rPr>
          <w:rFonts w:ascii="Times New Roman" w:hAnsi="Times New Roman"/>
        </w:rPr>
        <w:t>exclusive</w:t>
      </w:r>
      <w:r w:rsidR="001C73C3" w:rsidRPr="00192A62">
        <w:rPr>
          <w:rFonts w:ascii="Times New Roman" w:hAnsi="Times New Roman"/>
        </w:rPr>
        <w:t>ly</w:t>
      </w:r>
      <w:r w:rsidR="009B0E4C" w:rsidRPr="00192A62">
        <w:rPr>
          <w:rFonts w:ascii="Times New Roman" w:hAnsi="Times New Roman"/>
        </w:rPr>
        <w:t xml:space="preserve"> judicial</w:t>
      </w:r>
      <w:r w:rsidR="001C73C3" w:rsidRPr="00192A62">
        <w:rPr>
          <w:rFonts w:ascii="Times New Roman" w:hAnsi="Times New Roman"/>
        </w:rPr>
        <w:t xml:space="preserve"> function</w:t>
      </w:r>
      <w:r w:rsidR="009B0E4C" w:rsidRPr="00192A62">
        <w:rPr>
          <w:rFonts w:ascii="Times New Roman" w:hAnsi="Times New Roman"/>
        </w:rPr>
        <w:t>.</w:t>
      </w:r>
      <w:r w:rsidR="009B0E4C" w:rsidRPr="00192A62">
        <w:rPr>
          <w:rStyle w:val="FootnoteReference"/>
          <w:rFonts w:ascii="Times New Roman" w:hAnsi="Times New Roman"/>
          <w:sz w:val="24"/>
        </w:rPr>
        <w:footnoteReference w:id="11"/>
      </w:r>
      <w:r w:rsidR="009B0E4C" w:rsidRPr="00192A62">
        <w:rPr>
          <w:rFonts w:ascii="Times New Roman" w:hAnsi="Times New Roman"/>
        </w:rPr>
        <w:t xml:space="preserve"> </w:t>
      </w:r>
      <w:r w:rsidR="00095CAB" w:rsidRPr="00192A62">
        <w:rPr>
          <w:rFonts w:ascii="Times New Roman" w:hAnsi="Times New Roman"/>
        </w:rPr>
        <w:t>F</w:t>
      </w:r>
      <w:r w:rsidR="00300BCD" w:rsidRPr="00192A62">
        <w:rPr>
          <w:rFonts w:ascii="Times New Roman" w:hAnsi="Times New Roman"/>
        </w:rPr>
        <w:t xml:space="preserve">act finding </w:t>
      </w:r>
      <w:r w:rsidR="004D0050" w:rsidRPr="00192A62">
        <w:rPr>
          <w:rFonts w:ascii="Times New Roman" w:hAnsi="Times New Roman"/>
        </w:rPr>
        <w:t xml:space="preserve">as part of a determination of criminal guilt </w:t>
      </w:r>
      <w:r w:rsidR="00300BCD" w:rsidRPr="00192A62">
        <w:rPr>
          <w:rFonts w:ascii="Times New Roman" w:hAnsi="Times New Roman"/>
        </w:rPr>
        <w:t xml:space="preserve">is </w:t>
      </w:r>
      <w:r w:rsidR="00095CAB" w:rsidRPr="00192A62">
        <w:rPr>
          <w:rFonts w:ascii="Times New Roman" w:hAnsi="Times New Roman"/>
        </w:rPr>
        <w:t xml:space="preserve">an incident of that exclusively judicial </w:t>
      </w:r>
      <w:r w:rsidR="00300BCD" w:rsidRPr="00192A62">
        <w:rPr>
          <w:rFonts w:ascii="Times New Roman" w:hAnsi="Times New Roman"/>
        </w:rPr>
        <w:t xml:space="preserve">function </w:t>
      </w:r>
      <w:r w:rsidR="00095CAB" w:rsidRPr="00192A62">
        <w:rPr>
          <w:rFonts w:ascii="Times New Roman" w:hAnsi="Times New Roman"/>
        </w:rPr>
        <w:t xml:space="preserve">and is therefore inherently an </w:t>
      </w:r>
      <w:r w:rsidR="00300BCD" w:rsidRPr="00192A62">
        <w:rPr>
          <w:rFonts w:ascii="Times New Roman" w:hAnsi="Times New Roman"/>
        </w:rPr>
        <w:t>exercise of judicial power</w:t>
      </w:r>
      <w:r w:rsidR="00102103" w:rsidRPr="00192A62">
        <w:rPr>
          <w:rFonts w:ascii="Times New Roman" w:hAnsi="Times New Roman"/>
        </w:rPr>
        <w:t>,</w:t>
      </w:r>
      <w:r w:rsidR="00300BCD" w:rsidRPr="00192A62">
        <w:rPr>
          <w:rStyle w:val="FootnoteReference"/>
          <w:rFonts w:ascii="Times New Roman" w:hAnsi="Times New Roman"/>
          <w:sz w:val="24"/>
        </w:rPr>
        <w:footnoteReference w:id="12"/>
      </w:r>
      <w:r w:rsidR="00102103" w:rsidRPr="00192A62">
        <w:rPr>
          <w:rFonts w:ascii="Times New Roman" w:hAnsi="Times New Roman"/>
        </w:rPr>
        <w:t xml:space="preserve"> </w:t>
      </w:r>
      <w:r w:rsidR="00F83351" w:rsidRPr="00192A62">
        <w:rPr>
          <w:rFonts w:ascii="Times New Roman" w:hAnsi="Times New Roman"/>
        </w:rPr>
        <w:t xml:space="preserve">but </w:t>
      </w:r>
      <w:r w:rsidR="004D0050" w:rsidRPr="00192A62">
        <w:rPr>
          <w:rFonts w:ascii="Times New Roman" w:hAnsi="Times New Roman"/>
        </w:rPr>
        <w:t xml:space="preserve">a </w:t>
      </w:r>
      <w:r w:rsidR="00F83351" w:rsidRPr="00192A62">
        <w:rPr>
          <w:rFonts w:ascii="Times New Roman" w:hAnsi="Times New Roman"/>
        </w:rPr>
        <w:t xml:space="preserve">provision which </w:t>
      </w:r>
      <w:r w:rsidR="004C47BC" w:rsidRPr="00192A62">
        <w:rPr>
          <w:rFonts w:ascii="Times New Roman" w:hAnsi="Times New Roman"/>
        </w:rPr>
        <w:t xml:space="preserve">merely </w:t>
      </w:r>
      <w:r w:rsidR="00EC3D50" w:rsidRPr="00192A62">
        <w:rPr>
          <w:rFonts w:ascii="Times New Roman" w:hAnsi="Times New Roman"/>
        </w:rPr>
        <w:t>"facilitate</w:t>
      </w:r>
      <w:r w:rsidR="004D0050" w:rsidRPr="00192A62">
        <w:rPr>
          <w:rFonts w:ascii="Times New Roman" w:hAnsi="Times New Roman"/>
        </w:rPr>
        <w:t>s</w:t>
      </w:r>
      <w:r w:rsidR="00EC3D50" w:rsidRPr="00192A62">
        <w:rPr>
          <w:rFonts w:ascii="Times New Roman" w:hAnsi="Times New Roman"/>
        </w:rPr>
        <w:t xml:space="preserve"> the admission of evidence of material facts in aid of correct fact finding</w:t>
      </w:r>
      <w:r w:rsidR="000F4A8D" w:rsidRPr="00192A62">
        <w:rPr>
          <w:rFonts w:ascii="Times New Roman" w:hAnsi="Times New Roman"/>
        </w:rPr>
        <w:t>"</w:t>
      </w:r>
      <w:r w:rsidR="00BC2E3B" w:rsidRPr="00192A62">
        <w:rPr>
          <w:rStyle w:val="FootnoteReference"/>
          <w:rFonts w:ascii="Times New Roman" w:hAnsi="Times New Roman"/>
          <w:sz w:val="24"/>
        </w:rPr>
        <w:footnoteReference w:id="13"/>
      </w:r>
      <w:r w:rsidR="000F4A8D" w:rsidRPr="00192A62">
        <w:rPr>
          <w:rFonts w:ascii="Times New Roman" w:hAnsi="Times New Roman"/>
        </w:rPr>
        <w:t xml:space="preserve"> involve</w:t>
      </w:r>
      <w:r w:rsidR="00FA27B6" w:rsidRPr="00192A62">
        <w:rPr>
          <w:rFonts w:ascii="Times New Roman" w:hAnsi="Times New Roman"/>
        </w:rPr>
        <w:t>s neither</w:t>
      </w:r>
      <w:r w:rsidR="000F4A8D" w:rsidRPr="00192A62">
        <w:rPr>
          <w:rFonts w:ascii="Times New Roman" w:hAnsi="Times New Roman"/>
        </w:rPr>
        <w:t xml:space="preserve"> the exercise of </w:t>
      </w:r>
      <w:r w:rsidR="00BC2E3B" w:rsidRPr="00192A62">
        <w:rPr>
          <w:rFonts w:ascii="Times New Roman" w:hAnsi="Times New Roman"/>
        </w:rPr>
        <w:t xml:space="preserve">judicial power </w:t>
      </w:r>
      <w:r w:rsidR="00FA27B6" w:rsidRPr="00192A62">
        <w:rPr>
          <w:rFonts w:ascii="Times New Roman" w:hAnsi="Times New Roman"/>
        </w:rPr>
        <w:t>n</w:t>
      </w:r>
      <w:r w:rsidR="000F4A8D" w:rsidRPr="00192A62">
        <w:rPr>
          <w:rFonts w:ascii="Times New Roman" w:hAnsi="Times New Roman"/>
        </w:rPr>
        <w:t xml:space="preserve">or an impermissible </w:t>
      </w:r>
      <w:r w:rsidR="00FA27B6" w:rsidRPr="00192A62">
        <w:rPr>
          <w:rFonts w:ascii="Times New Roman" w:hAnsi="Times New Roman"/>
        </w:rPr>
        <w:t xml:space="preserve">legislative </w:t>
      </w:r>
      <w:r w:rsidR="00BC2E3B" w:rsidRPr="00192A62">
        <w:rPr>
          <w:rFonts w:ascii="Times New Roman" w:hAnsi="Times New Roman"/>
        </w:rPr>
        <w:t>intrusion into the exercise of that power.</w:t>
      </w:r>
      <w:r w:rsidR="00312365" w:rsidRPr="00192A62">
        <w:rPr>
          <w:rFonts w:ascii="Times New Roman" w:hAnsi="Times New Roman"/>
        </w:rPr>
        <w:t xml:space="preserve"> </w:t>
      </w:r>
      <w:r w:rsidR="00B52872" w:rsidRPr="00192A62">
        <w:rPr>
          <w:rFonts w:ascii="Times New Roman" w:hAnsi="Times New Roman"/>
        </w:rPr>
        <w:t xml:space="preserve">Further, </w:t>
      </w:r>
      <w:r w:rsidR="00C57A39" w:rsidRPr="00192A62">
        <w:rPr>
          <w:rFonts w:ascii="Times New Roman" w:hAnsi="Times New Roman"/>
        </w:rPr>
        <w:t>insofar as it has been said that fact</w:t>
      </w:r>
      <w:r w:rsidR="00E13595" w:rsidRPr="00192A62">
        <w:rPr>
          <w:rFonts w:ascii="Times New Roman" w:hAnsi="Times New Roman"/>
        </w:rPr>
        <w:t xml:space="preserve"> </w:t>
      </w:r>
      <w:r w:rsidR="00C57A39" w:rsidRPr="00192A62">
        <w:rPr>
          <w:rFonts w:ascii="Times New Roman" w:hAnsi="Times New Roman"/>
        </w:rPr>
        <w:t>finding is an attribute of judicial power</w:t>
      </w:r>
      <w:r w:rsidR="00CC1366" w:rsidRPr="00192A62">
        <w:rPr>
          <w:rFonts w:ascii="Times New Roman" w:hAnsi="Times New Roman"/>
        </w:rPr>
        <w:t>,</w:t>
      </w:r>
      <w:r w:rsidR="00C57A39" w:rsidRPr="00192A62">
        <w:rPr>
          <w:rFonts w:ascii="Times New Roman" w:hAnsi="Times New Roman"/>
        </w:rPr>
        <w:t xml:space="preserve"> it is well-established that </w:t>
      </w:r>
      <w:r w:rsidR="00CE3173" w:rsidRPr="00192A62">
        <w:rPr>
          <w:rFonts w:ascii="Times New Roman" w:hAnsi="Times New Roman"/>
        </w:rPr>
        <w:t>the "Commonwealth Parliament can regulate aspects of judicial fact-finding".</w:t>
      </w:r>
      <w:r w:rsidR="00CE3173" w:rsidRPr="00192A62">
        <w:rPr>
          <w:rStyle w:val="FootnoteReference"/>
          <w:rFonts w:ascii="Times New Roman" w:hAnsi="Times New Roman"/>
          <w:sz w:val="24"/>
        </w:rPr>
        <w:footnoteReference w:id="14"/>
      </w:r>
    </w:p>
    <w:p w14:paraId="43AC0009" w14:textId="6AC1ECA1" w:rsidR="00B65736" w:rsidRPr="00192A62" w:rsidRDefault="00D541A3"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It is not possible to </w:t>
      </w:r>
      <w:r w:rsidR="004A2B6D" w:rsidRPr="00192A62">
        <w:rPr>
          <w:rFonts w:ascii="Times New Roman" w:hAnsi="Times New Roman"/>
        </w:rPr>
        <w:t xml:space="preserve">state any </w:t>
      </w:r>
      <w:r w:rsidR="00B15341" w:rsidRPr="00192A62">
        <w:rPr>
          <w:rFonts w:ascii="Times New Roman" w:hAnsi="Times New Roman"/>
        </w:rPr>
        <w:t xml:space="preserve">formula of words against which future legislation may be tested to ascertain if it involves an exercise of or </w:t>
      </w:r>
      <w:r w:rsidR="00FA27B6" w:rsidRPr="00192A62">
        <w:rPr>
          <w:rFonts w:ascii="Times New Roman" w:hAnsi="Times New Roman"/>
        </w:rPr>
        <w:t xml:space="preserve">an </w:t>
      </w:r>
      <w:r w:rsidR="00B15341" w:rsidRPr="00192A62">
        <w:rPr>
          <w:rFonts w:ascii="Times New Roman" w:hAnsi="Times New Roman"/>
        </w:rPr>
        <w:t xml:space="preserve">impermissible constraint on the exercise of judicial power. </w:t>
      </w:r>
      <w:r w:rsidR="0070203B" w:rsidRPr="00192A62">
        <w:rPr>
          <w:rFonts w:ascii="Times New Roman" w:hAnsi="Times New Roman"/>
        </w:rPr>
        <w:t xml:space="preserve">Usurpation of judicial power is </w:t>
      </w:r>
      <w:r w:rsidR="00F72A4F" w:rsidRPr="00192A62">
        <w:rPr>
          <w:rFonts w:ascii="Times New Roman" w:hAnsi="Times New Roman"/>
        </w:rPr>
        <w:t xml:space="preserve">"a concept which is not susceptible of precise and comprehensive </w:t>
      </w:r>
      <w:r w:rsidR="00F72A4F" w:rsidRPr="00192A62">
        <w:rPr>
          <w:rFonts w:ascii="Times New Roman" w:hAnsi="Times New Roman"/>
        </w:rPr>
        <w:lastRenderedPageBreak/>
        <w:t>definition"</w:t>
      </w:r>
      <w:r w:rsidR="009E350C" w:rsidRPr="00192A62">
        <w:rPr>
          <w:rFonts w:ascii="Times New Roman" w:hAnsi="Times New Roman"/>
        </w:rPr>
        <w:t>.</w:t>
      </w:r>
      <w:r w:rsidR="00F72A4F" w:rsidRPr="00192A62">
        <w:rPr>
          <w:rStyle w:val="FootnoteReference"/>
          <w:rFonts w:ascii="Times New Roman" w:hAnsi="Times New Roman"/>
          <w:sz w:val="24"/>
        </w:rPr>
        <w:footnoteReference w:id="15"/>
      </w:r>
      <w:r w:rsidR="00F72A4F" w:rsidRPr="00192A62">
        <w:rPr>
          <w:rFonts w:ascii="Times New Roman" w:hAnsi="Times New Roman"/>
        </w:rPr>
        <w:t xml:space="preserve"> </w:t>
      </w:r>
      <w:r w:rsidR="007610E5" w:rsidRPr="00192A62">
        <w:rPr>
          <w:rFonts w:ascii="Times New Roman" w:hAnsi="Times New Roman"/>
        </w:rPr>
        <w:t xml:space="preserve">The precise terms of any impugned legislation must be construed and </w:t>
      </w:r>
      <w:r w:rsidR="009B544D" w:rsidRPr="00192A62">
        <w:rPr>
          <w:rFonts w:ascii="Times New Roman" w:hAnsi="Times New Roman"/>
        </w:rPr>
        <w:t>considered in terms of its legal and practical operation. Precedent and history matter</w:t>
      </w:r>
      <w:r w:rsidR="00C13CB4" w:rsidRPr="00192A62">
        <w:rPr>
          <w:rFonts w:ascii="Times New Roman" w:hAnsi="Times New Roman"/>
        </w:rPr>
        <w:t>.</w:t>
      </w:r>
      <w:r w:rsidR="0070203B" w:rsidRPr="00192A62">
        <w:rPr>
          <w:rFonts w:ascii="Times New Roman" w:hAnsi="Times New Roman"/>
        </w:rPr>
        <w:t xml:space="preserve"> </w:t>
      </w:r>
      <w:r w:rsidR="00907C28" w:rsidRPr="00192A62">
        <w:rPr>
          <w:rFonts w:ascii="Times New Roman" w:hAnsi="Times New Roman"/>
        </w:rPr>
        <w:t xml:space="preserve">This is why, for example, in </w:t>
      </w:r>
      <w:r w:rsidR="00091D4A" w:rsidRPr="00192A62">
        <w:rPr>
          <w:rFonts w:ascii="Times New Roman" w:hAnsi="Times New Roman"/>
        </w:rPr>
        <w:t xml:space="preserve">considering </w:t>
      </w:r>
      <w:r w:rsidR="00091D4A" w:rsidRPr="00192A62">
        <w:rPr>
          <w:rFonts w:ascii="Times New Roman" w:hAnsi="Times New Roman"/>
          <w:i/>
          <w:iCs/>
        </w:rPr>
        <w:t>Liyanage v The Queen</w:t>
      </w:r>
      <w:r w:rsidR="00091D4A" w:rsidRPr="00192A62">
        <w:rPr>
          <w:rFonts w:ascii="Times New Roman" w:hAnsi="Times New Roman"/>
        </w:rPr>
        <w:t>,</w:t>
      </w:r>
      <w:r w:rsidR="00091D4A" w:rsidRPr="00192A62">
        <w:rPr>
          <w:rStyle w:val="FootnoteReference"/>
          <w:rFonts w:ascii="Times New Roman" w:hAnsi="Times New Roman"/>
          <w:sz w:val="24"/>
        </w:rPr>
        <w:footnoteReference w:id="16"/>
      </w:r>
      <w:r w:rsidR="00091D4A" w:rsidRPr="00192A62">
        <w:rPr>
          <w:rFonts w:ascii="Times New Roman" w:hAnsi="Times New Roman"/>
        </w:rPr>
        <w:t xml:space="preserve"> </w:t>
      </w:r>
      <w:r w:rsidR="00935717" w:rsidRPr="00192A62">
        <w:rPr>
          <w:rFonts w:ascii="Times New Roman" w:hAnsi="Times New Roman"/>
        </w:rPr>
        <w:t xml:space="preserve">Mason CJ, Dawson and McHugh JJ said no more than that </w:t>
      </w:r>
      <w:r w:rsidR="005A5587" w:rsidRPr="00192A62">
        <w:rPr>
          <w:rFonts w:ascii="Times New Roman" w:hAnsi="Times New Roman"/>
        </w:rPr>
        <w:t>"</w:t>
      </w:r>
      <w:r w:rsidR="007B61B7" w:rsidRPr="00192A62">
        <w:rPr>
          <w:rFonts w:ascii="Times New Roman" w:hAnsi="Times New Roman"/>
        </w:rPr>
        <w:t>l</w:t>
      </w:r>
      <w:r w:rsidR="005A5587" w:rsidRPr="00192A62">
        <w:rPr>
          <w:rFonts w:ascii="Times New Roman" w:hAnsi="Times New Roman"/>
        </w:rPr>
        <w:t>egislation may amount to a usurpation of judicial power, particularly in a criminal case, if it prejudges an issue with respect to a particular individual and requires a court to exercise its function accordingly".</w:t>
      </w:r>
      <w:r w:rsidR="005A5587" w:rsidRPr="00192A62">
        <w:rPr>
          <w:rStyle w:val="FootnoteReference"/>
          <w:rFonts w:ascii="Times New Roman" w:hAnsi="Times New Roman"/>
          <w:sz w:val="24"/>
        </w:rPr>
        <w:footnoteReference w:id="17"/>
      </w:r>
      <w:r w:rsidR="003C57CC" w:rsidRPr="00192A62">
        <w:rPr>
          <w:rFonts w:ascii="Times New Roman" w:hAnsi="Times New Roman"/>
        </w:rPr>
        <w:t xml:space="preserve"> </w:t>
      </w:r>
    </w:p>
    <w:p w14:paraId="48BADC29" w14:textId="3D9BDF96" w:rsidR="00D541A3" w:rsidRPr="00192A62" w:rsidRDefault="00B6573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15B80" w:rsidRPr="00192A62">
        <w:rPr>
          <w:rFonts w:ascii="Times New Roman" w:hAnsi="Times New Roman"/>
        </w:rPr>
        <w:t xml:space="preserve">In </w:t>
      </w:r>
      <w:r w:rsidR="00815B80" w:rsidRPr="00192A62">
        <w:rPr>
          <w:rFonts w:ascii="Times New Roman" w:hAnsi="Times New Roman"/>
          <w:i/>
          <w:iCs/>
        </w:rPr>
        <w:t>Liyanage</w:t>
      </w:r>
      <w:r w:rsidR="00815B80" w:rsidRPr="00192A62">
        <w:rPr>
          <w:rFonts w:ascii="Times New Roman" w:hAnsi="Times New Roman"/>
        </w:rPr>
        <w:t xml:space="preserve">, the impugned </w:t>
      </w:r>
      <w:r w:rsidR="00D957B5" w:rsidRPr="00192A62">
        <w:rPr>
          <w:rFonts w:ascii="Times New Roman" w:hAnsi="Times New Roman"/>
        </w:rPr>
        <w:t xml:space="preserve">legislation </w:t>
      </w:r>
      <w:r w:rsidR="00406795" w:rsidRPr="00192A62">
        <w:rPr>
          <w:rFonts w:ascii="Times New Roman" w:hAnsi="Times New Roman"/>
        </w:rPr>
        <w:t xml:space="preserve">was directed </w:t>
      </w:r>
      <w:r w:rsidRPr="00192A62">
        <w:rPr>
          <w:rFonts w:ascii="Times New Roman" w:hAnsi="Times New Roman"/>
        </w:rPr>
        <w:t xml:space="preserve">specifically </w:t>
      </w:r>
      <w:r w:rsidR="00406795" w:rsidRPr="00192A62">
        <w:rPr>
          <w:rFonts w:ascii="Times New Roman" w:hAnsi="Times New Roman"/>
        </w:rPr>
        <w:t xml:space="preserve">to </w:t>
      </w:r>
      <w:r w:rsidRPr="00192A62">
        <w:rPr>
          <w:rFonts w:ascii="Times New Roman" w:hAnsi="Times New Roman"/>
        </w:rPr>
        <w:t xml:space="preserve">certain </w:t>
      </w:r>
      <w:r w:rsidR="00406795" w:rsidRPr="00192A62">
        <w:rPr>
          <w:rFonts w:ascii="Times New Roman" w:hAnsi="Times New Roman"/>
        </w:rPr>
        <w:t xml:space="preserve">persons </w:t>
      </w:r>
      <w:r w:rsidR="00D957B5" w:rsidRPr="00192A62">
        <w:rPr>
          <w:rFonts w:ascii="Times New Roman" w:hAnsi="Times New Roman"/>
        </w:rPr>
        <w:t xml:space="preserve">charged and </w:t>
      </w:r>
      <w:r w:rsidR="00406795" w:rsidRPr="00192A62">
        <w:rPr>
          <w:rFonts w:ascii="Times New Roman" w:hAnsi="Times New Roman"/>
        </w:rPr>
        <w:t xml:space="preserve">held in custody </w:t>
      </w:r>
      <w:r w:rsidR="008C2791" w:rsidRPr="00192A62">
        <w:rPr>
          <w:rFonts w:ascii="Times New Roman" w:hAnsi="Times New Roman"/>
        </w:rPr>
        <w:t xml:space="preserve">but </w:t>
      </w:r>
      <w:r w:rsidR="002C1B60" w:rsidRPr="00192A62">
        <w:rPr>
          <w:rFonts w:ascii="Times New Roman" w:hAnsi="Times New Roman"/>
        </w:rPr>
        <w:t xml:space="preserve">the Privy Council was "not prepared to hold that every enactment in this field which can be described as ad hominem and ex post facto must inevitably usurp or infringe the judicial power" and expressly refused to </w:t>
      </w:r>
      <w:r w:rsidR="00BD6AF7" w:rsidRPr="00192A62">
        <w:rPr>
          <w:rFonts w:ascii="Times New Roman" w:hAnsi="Times New Roman"/>
        </w:rPr>
        <w:t>"attempt the almost impossible task of tracing where the line is to be drawn between what will and what will not constitute such an interference"</w:t>
      </w:r>
      <w:r w:rsidR="004B69EE" w:rsidRPr="00192A62">
        <w:rPr>
          <w:rFonts w:ascii="Times New Roman" w:hAnsi="Times New Roman"/>
        </w:rPr>
        <w:t xml:space="preserve">, observing (as remains the case) that </w:t>
      </w:r>
      <w:r w:rsidR="00FA0B1E" w:rsidRPr="00192A62">
        <w:rPr>
          <w:rFonts w:ascii="Times New Roman" w:hAnsi="Times New Roman"/>
        </w:rPr>
        <w:t>"[e]ach case must be decided in the light of its own facts and circumstances".</w:t>
      </w:r>
      <w:r w:rsidR="00BD6AF7" w:rsidRPr="00192A62">
        <w:rPr>
          <w:rStyle w:val="FootnoteReference"/>
          <w:rFonts w:ascii="Times New Roman" w:hAnsi="Times New Roman"/>
          <w:sz w:val="24"/>
        </w:rPr>
        <w:footnoteReference w:id="18"/>
      </w:r>
      <w:r w:rsidR="00A62581" w:rsidRPr="00192A62">
        <w:rPr>
          <w:rFonts w:ascii="Times New Roman" w:hAnsi="Times New Roman"/>
        </w:rPr>
        <w:t xml:space="preserve"> </w:t>
      </w:r>
      <w:r w:rsidR="007E78F0" w:rsidRPr="00192A62">
        <w:rPr>
          <w:rFonts w:ascii="Times New Roman" w:hAnsi="Times New Roman"/>
        </w:rPr>
        <w:t>O</w:t>
      </w:r>
      <w:r w:rsidR="00A62581" w:rsidRPr="00192A62">
        <w:rPr>
          <w:rFonts w:ascii="Times New Roman" w:hAnsi="Times New Roman"/>
        </w:rPr>
        <w:t xml:space="preserve">n the applicable facts and circumstances in </w:t>
      </w:r>
      <w:r w:rsidR="00A62581" w:rsidRPr="00192A62">
        <w:rPr>
          <w:rFonts w:ascii="Times New Roman" w:hAnsi="Times New Roman"/>
          <w:i/>
          <w:iCs/>
        </w:rPr>
        <w:t>Liyanage</w:t>
      </w:r>
      <w:r w:rsidR="00A62581" w:rsidRPr="00192A62">
        <w:rPr>
          <w:rFonts w:ascii="Times New Roman" w:hAnsi="Times New Roman"/>
        </w:rPr>
        <w:t xml:space="preserve"> the Privy </w:t>
      </w:r>
      <w:r w:rsidR="00B07241" w:rsidRPr="00192A62">
        <w:rPr>
          <w:rFonts w:ascii="Times New Roman" w:hAnsi="Times New Roman"/>
        </w:rPr>
        <w:t>Council</w:t>
      </w:r>
      <w:r w:rsidR="00A62581" w:rsidRPr="00192A62">
        <w:rPr>
          <w:rFonts w:ascii="Times New Roman" w:hAnsi="Times New Roman"/>
        </w:rPr>
        <w:t xml:space="preserve"> accepted the characterisation of the legislation as </w:t>
      </w:r>
      <w:r w:rsidR="007659CF" w:rsidRPr="00192A62">
        <w:rPr>
          <w:rFonts w:ascii="Times New Roman" w:hAnsi="Times New Roman"/>
        </w:rPr>
        <w:t xml:space="preserve">"a legislative plan ex post facto to secure the conviction and enhance the punishment of ... particular individuals" taking colour from </w:t>
      </w:r>
      <w:r w:rsidR="008024D1" w:rsidRPr="00192A62">
        <w:rPr>
          <w:rFonts w:ascii="Times New Roman" w:hAnsi="Times New Roman"/>
        </w:rPr>
        <w:t xml:space="preserve">the ultimate </w:t>
      </w:r>
      <w:r w:rsidR="0095639C" w:rsidRPr="00192A62">
        <w:rPr>
          <w:rFonts w:ascii="Times New Roman" w:hAnsi="Times New Roman"/>
        </w:rPr>
        <w:t xml:space="preserve">legislative </w:t>
      </w:r>
      <w:r w:rsidR="008024D1" w:rsidRPr="00192A62">
        <w:rPr>
          <w:rFonts w:ascii="Times New Roman" w:hAnsi="Times New Roman"/>
        </w:rPr>
        <w:t xml:space="preserve">objective of securing those individuals' punishment </w:t>
      </w:r>
      <w:r w:rsidR="00A465BD" w:rsidRPr="00192A62">
        <w:rPr>
          <w:rFonts w:ascii="Times New Roman" w:hAnsi="Times New Roman"/>
        </w:rPr>
        <w:t xml:space="preserve">by compelling them to be sentenced on conviction to </w:t>
      </w:r>
      <w:r w:rsidR="001C5367" w:rsidRPr="00192A62">
        <w:rPr>
          <w:rFonts w:ascii="Times New Roman" w:hAnsi="Times New Roman"/>
        </w:rPr>
        <w:t xml:space="preserve">not less than </w:t>
      </w:r>
      <w:r w:rsidR="00882112" w:rsidRPr="00192A62">
        <w:rPr>
          <w:rFonts w:ascii="Times New Roman" w:hAnsi="Times New Roman"/>
        </w:rPr>
        <w:t>ten years' imprisonment and confiscation of property.</w:t>
      </w:r>
      <w:r w:rsidR="00882112" w:rsidRPr="00192A62">
        <w:rPr>
          <w:rStyle w:val="FootnoteReference"/>
          <w:rFonts w:ascii="Times New Roman" w:hAnsi="Times New Roman"/>
          <w:sz w:val="24"/>
        </w:rPr>
        <w:footnoteReference w:id="19"/>
      </w:r>
      <w:r w:rsidR="00484C49" w:rsidRPr="00192A62">
        <w:rPr>
          <w:rFonts w:ascii="Times New Roman" w:hAnsi="Times New Roman"/>
        </w:rPr>
        <w:t xml:space="preserve"> </w:t>
      </w:r>
      <w:r w:rsidR="000E6F8A" w:rsidRPr="00192A62">
        <w:rPr>
          <w:rFonts w:ascii="Times New Roman" w:hAnsi="Times New Roman"/>
        </w:rPr>
        <w:t xml:space="preserve">That attempt involved an impermissible exercise of </w:t>
      </w:r>
      <w:r w:rsidR="00D61B08" w:rsidRPr="00192A62">
        <w:rPr>
          <w:rFonts w:ascii="Times New Roman" w:hAnsi="Times New Roman"/>
        </w:rPr>
        <w:t xml:space="preserve">and intrusion into </w:t>
      </w:r>
      <w:r w:rsidR="000E6F8A" w:rsidRPr="00192A62">
        <w:rPr>
          <w:rFonts w:ascii="Times New Roman" w:hAnsi="Times New Roman"/>
        </w:rPr>
        <w:t>judicial power.</w:t>
      </w:r>
    </w:p>
    <w:p w14:paraId="64C678D2" w14:textId="1FD3FBCA" w:rsidR="00B4786F" w:rsidRPr="00192A62" w:rsidRDefault="00B4786F"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85759" w:rsidRPr="00192A62">
        <w:rPr>
          <w:rFonts w:ascii="Times New Roman" w:hAnsi="Times New Roman"/>
        </w:rPr>
        <w:t xml:space="preserve">In </w:t>
      </w:r>
      <w:r w:rsidR="00304F4A" w:rsidRPr="00192A62">
        <w:rPr>
          <w:rFonts w:ascii="Times New Roman" w:hAnsi="Times New Roman"/>
        </w:rPr>
        <w:t xml:space="preserve">contrast to </w:t>
      </w:r>
      <w:r w:rsidR="00E812C2" w:rsidRPr="00192A62">
        <w:rPr>
          <w:rFonts w:ascii="Times New Roman" w:hAnsi="Times New Roman"/>
          <w:i/>
          <w:iCs/>
        </w:rPr>
        <w:t>Liyanage</w:t>
      </w:r>
      <w:r w:rsidR="00304F4A" w:rsidRPr="00192A62">
        <w:rPr>
          <w:rFonts w:ascii="Times New Roman" w:hAnsi="Times New Roman"/>
        </w:rPr>
        <w:t>,</w:t>
      </w:r>
      <w:r w:rsidR="00E812C2" w:rsidRPr="00192A62">
        <w:rPr>
          <w:rFonts w:ascii="Times New Roman" w:hAnsi="Times New Roman"/>
        </w:rPr>
        <w:t xml:space="preserve"> </w:t>
      </w:r>
      <w:r w:rsidR="00A41A28" w:rsidRPr="00192A62">
        <w:rPr>
          <w:rFonts w:ascii="Times New Roman" w:hAnsi="Times New Roman"/>
        </w:rPr>
        <w:t xml:space="preserve">described as </w:t>
      </w:r>
      <w:r w:rsidR="00E812C2" w:rsidRPr="00192A62">
        <w:rPr>
          <w:rFonts w:ascii="Times New Roman" w:hAnsi="Times New Roman"/>
        </w:rPr>
        <w:t>an example of a "</w:t>
      </w:r>
      <w:r w:rsidR="00121396" w:rsidRPr="00192A62">
        <w:rPr>
          <w:rFonts w:ascii="Times New Roman" w:hAnsi="Times New Roman"/>
        </w:rPr>
        <w:t>'</w:t>
      </w:r>
      <w:r w:rsidR="00E812C2" w:rsidRPr="00192A62">
        <w:rPr>
          <w:rFonts w:ascii="Times New Roman" w:hAnsi="Times New Roman"/>
        </w:rPr>
        <w:t>legislative judgment</w:t>
      </w:r>
      <w:r w:rsidR="00121396" w:rsidRPr="00192A62">
        <w:rPr>
          <w:rFonts w:ascii="Times New Roman" w:hAnsi="Times New Roman"/>
        </w:rPr>
        <w:t>'</w:t>
      </w:r>
      <w:r w:rsidR="00E812C2" w:rsidRPr="00192A62">
        <w:rPr>
          <w:rFonts w:ascii="Times New Roman" w:hAnsi="Times New Roman"/>
        </w:rPr>
        <w:t xml:space="preserve"> directed against specific individuals" which clearly usurped </w:t>
      </w:r>
      <w:r w:rsidR="003A3218" w:rsidRPr="00192A62">
        <w:rPr>
          <w:rFonts w:ascii="Times New Roman" w:hAnsi="Times New Roman"/>
        </w:rPr>
        <w:t xml:space="preserve">the </w:t>
      </w:r>
      <w:r w:rsidR="00925CCC" w:rsidRPr="00192A62">
        <w:rPr>
          <w:rFonts w:ascii="Times New Roman" w:hAnsi="Times New Roman"/>
        </w:rPr>
        <w:t>exclusive</w:t>
      </w:r>
      <w:r w:rsidR="003A3218" w:rsidRPr="00192A62">
        <w:rPr>
          <w:rFonts w:ascii="Times New Roman" w:hAnsi="Times New Roman"/>
        </w:rPr>
        <w:t>ly</w:t>
      </w:r>
      <w:r w:rsidR="00925CCC" w:rsidRPr="00192A62">
        <w:rPr>
          <w:rFonts w:ascii="Times New Roman" w:hAnsi="Times New Roman"/>
        </w:rPr>
        <w:t xml:space="preserve"> </w:t>
      </w:r>
      <w:r w:rsidR="00E812C2" w:rsidRPr="00192A62">
        <w:rPr>
          <w:rFonts w:ascii="Times New Roman" w:hAnsi="Times New Roman"/>
        </w:rPr>
        <w:t xml:space="preserve">judicial </w:t>
      </w:r>
      <w:r w:rsidR="003A3218" w:rsidRPr="00192A62">
        <w:rPr>
          <w:rFonts w:ascii="Times New Roman" w:hAnsi="Times New Roman"/>
        </w:rPr>
        <w:t xml:space="preserve">function of </w:t>
      </w:r>
      <w:r w:rsidR="00545944" w:rsidRPr="00192A62">
        <w:rPr>
          <w:rFonts w:ascii="Times New Roman" w:hAnsi="Times New Roman"/>
        </w:rPr>
        <w:t>ad</w:t>
      </w:r>
      <w:r w:rsidR="00925CCC" w:rsidRPr="00192A62">
        <w:rPr>
          <w:rFonts w:ascii="Times New Roman" w:hAnsi="Times New Roman"/>
        </w:rPr>
        <w:t>judg</w:t>
      </w:r>
      <w:r w:rsidR="003A3218" w:rsidRPr="00192A62">
        <w:rPr>
          <w:rFonts w:ascii="Times New Roman" w:hAnsi="Times New Roman"/>
        </w:rPr>
        <w:t>ing</w:t>
      </w:r>
      <w:r w:rsidR="00925CCC" w:rsidRPr="00192A62">
        <w:rPr>
          <w:rFonts w:ascii="Times New Roman" w:hAnsi="Times New Roman"/>
        </w:rPr>
        <w:t xml:space="preserve"> and punish</w:t>
      </w:r>
      <w:r w:rsidR="003A3218" w:rsidRPr="00192A62">
        <w:rPr>
          <w:rFonts w:ascii="Times New Roman" w:hAnsi="Times New Roman"/>
        </w:rPr>
        <w:t>ing</w:t>
      </w:r>
      <w:r w:rsidR="00925CCC" w:rsidRPr="00192A62">
        <w:rPr>
          <w:rFonts w:ascii="Times New Roman" w:hAnsi="Times New Roman"/>
        </w:rPr>
        <w:t xml:space="preserve"> criminal guilt</w:t>
      </w:r>
      <w:r w:rsidR="00304F4A" w:rsidRPr="00192A62">
        <w:rPr>
          <w:rFonts w:ascii="Times New Roman" w:hAnsi="Times New Roman"/>
        </w:rPr>
        <w:t>,</w:t>
      </w:r>
      <w:r w:rsidR="00E812C2" w:rsidRPr="00192A62">
        <w:rPr>
          <w:rStyle w:val="FootnoteReference"/>
          <w:rFonts w:ascii="Times New Roman" w:hAnsi="Times New Roman"/>
          <w:sz w:val="24"/>
        </w:rPr>
        <w:footnoteReference w:id="20"/>
      </w:r>
      <w:r w:rsidR="00925CCC" w:rsidRPr="00192A62">
        <w:rPr>
          <w:rFonts w:ascii="Times New Roman" w:hAnsi="Times New Roman"/>
        </w:rPr>
        <w:t xml:space="preserve"> </w:t>
      </w:r>
      <w:r w:rsidR="008700D1" w:rsidRPr="00192A62">
        <w:rPr>
          <w:rFonts w:ascii="Times New Roman" w:hAnsi="Times New Roman"/>
        </w:rPr>
        <w:t xml:space="preserve">Gummow J in </w:t>
      </w:r>
      <w:r w:rsidR="008700D1" w:rsidRPr="00192A62">
        <w:rPr>
          <w:rFonts w:ascii="Times New Roman" w:hAnsi="Times New Roman"/>
          <w:i/>
          <w:iCs/>
        </w:rPr>
        <w:t xml:space="preserve">Nicholas </w:t>
      </w:r>
      <w:r w:rsidR="008700D1" w:rsidRPr="00192A62">
        <w:rPr>
          <w:rFonts w:ascii="Times New Roman" w:hAnsi="Times New Roman"/>
        </w:rPr>
        <w:t xml:space="preserve">described </w:t>
      </w:r>
      <w:r w:rsidR="003E233F" w:rsidRPr="00192A62">
        <w:rPr>
          <w:rFonts w:ascii="Times New Roman" w:hAnsi="Times New Roman"/>
        </w:rPr>
        <w:t xml:space="preserve">the legislation considered in </w:t>
      </w:r>
      <w:r w:rsidR="008C29C9" w:rsidRPr="00192A62">
        <w:rPr>
          <w:rFonts w:ascii="Times New Roman" w:hAnsi="Times New Roman"/>
          <w:i/>
          <w:iCs/>
        </w:rPr>
        <w:t>Polyukhovich</w:t>
      </w:r>
      <w:r w:rsidR="007014D7" w:rsidRPr="00192A62">
        <w:rPr>
          <w:rFonts w:ascii="Times New Roman" w:hAnsi="Times New Roman"/>
          <w:i/>
          <w:iCs/>
        </w:rPr>
        <w:t xml:space="preserve"> </w:t>
      </w:r>
      <w:r w:rsidR="00CC6258" w:rsidRPr="00192A62">
        <w:rPr>
          <w:rFonts w:ascii="Times New Roman" w:hAnsi="Times New Roman"/>
          <w:i/>
          <w:iCs/>
        </w:rPr>
        <w:t xml:space="preserve">v </w:t>
      </w:r>
      <w:r w:rsidR="007014D7" w:rsidRPr="00192A62">
        <w:rPr>
          <w:rFonts w:ascii="Times New Roman" w:hAnsi="Times New Roman"/>
          <w:i/>
          <w:iCs/>
        </w:rPr>
        <w:t xml:space="preserve">The </w:t>
      </w:r>
      <w:r w:rsidR="007014D7" w:rsidRPr="00192A62">
        <w:rPr>
          <w:rFonts w:ascii="Times New Roman" w:hAnsi="Times New Roman"/>
          <w:i/>
          <w:iCs/>
        </w:rPr>
        <w:lastRenderedPageBreak/>
        <w:t>Commonwealth (War Crimes Act Case)</w:t>
      </w:r>
      <w:r w:rsidR="000F4E3D" w:rsidRPr="00192A62">
        <w:rPr>
          <w:rFonts w:ascii="Times New Roman" w:hAnsi="Times New Roman"/>
        </w:rPr>
        <w:t>,</w:t>
      </w:r>
      <w:r w:rsidR="00B43BBA" w:rsidRPr="00192A62">
        <w:rPr>
          <w:rStyle w:val="FootnoteReference"/>
          <w:rFonts w:ascii="Times New Roman" w:hAnsi="Times New Roman"/>
          <w:sz w:val="24"/>
        </w:rPr>
        <w:footnoteReference w:id="21"/>
      </w:r>
      <w:r w:rsidR="00476C01" w:rsidRPr="00192A62">
        <w:rPr>
          <w:rFonts w:ascii="Times New Roman" w:hAnsi="Times New Roman"/>
        </w:rPr>
        <w:t xml:space="preserve"> which retrospectively created a criminal offence, as </w:t>
      </w:r>
      <w:r w:rsidR="000D575E" w:rsidRPr="00192A62">
        <w:rPr>
          <w:rFonts w:ascii="Times New Roman" w:hAnsi="Times New Roman"/>
        </w:rPr>
        <w:t xml:space="preserve">a </w:t>
      </w:r>
      <w:r w:rsidR="003376F7" w:rsidRPr="00192A62">
        <w:rPr>
          <w:rFonts w:ascii="Times New Roman" w:hAnsi="Times New Roman"/>
        </w:rPr>
        <w:t xml:space="preserve">valid </w:t>
      </w:r>
      <w:r w:rsidR="000D575E" w:rsidRPr="00192A62">
        <w:rPr>
          <w:rFonts w:ascii="Times New Roman" w:hAnsi="Times New Roman"/>
        </w:rPr>
        <w:t xml:space="preserve">exercise of legislative power </w:t>
      </w:r>
      <w:r w:rsidR="00451EFF" w:rsidRPr="00192A62">
        <w:rPr>
          <w:rFonts w:ascii="Times New Roman" w:hAnsi="Times New Roman"/>
        </w:rPr>
        <w:t xml:space="preserve">as </w:t>
      </w:r>
      <w:r w:rsidR="003376F7" w:rsidRPr="00192A62">
        <w:rPr>
          <w:rFonts w:ascii="Times New Roman" w:hAnsi="Times New Roman"/>
        </w:rPr>
        <w:t xml:space="preserve">it left </w:t>
      </w:r>
      <w:r w:rsidR="00451EFF" w:rsidRPr="00192A62">
        <w:rPr>
          <w:rFonts w:ascii="Times New Roman" w:hAnsi="Times New Roman"/>
        </w:rPr>
        <w:t>"</w:t>
      </w:r>
      <w:r w:rsidR="00670257" w:rsidRPr="00192A62">
        <w:rPr>
          <w:rFonts w:ascii="Times New Roman" w:hAnsi="Times New Roman"/>
        </w:rPr>
        <w:t>for determination by a court the issues which would arise at a trial under the law in question".</w:t>
      </w:r>
      <w:r w:rsidR="00670257" w:rsidRPr="00192A62">
        <w:rPr>
          <w:rStyle w:val="FootnoteReference"/>
          <w:rFonts w:ascii="Times New Roman" w:hAnsi="Times New Roman"/>
          <w:sz w:val="24"/>
        </w:rPr>
        <w:footnoteReference w:id="22"/>
      </w:r>
      <w:r w:rsidR="00451EFF" w:rsidRPr="00192A62">
        <w:rPr>
          <w:rFonts w:ascii="Times New Roman" w:hAnsi="Times New Roman"/>
        </w:rPr>
        <w:t xml:space="preserve"> </w:t>
      </w:r>
      <w:r w:rsidR="00990C86" w:rsidRPr="00192A62">
        <w:rPr>
          <w:rFonts w:ascii="Times New Roman" w:hAnsi="Times New Roman"/>
        </w:rPr>
        <w:t xml:space="preserve">As </w:t>
      </w:r>
      <w:r w:rsidR="00990C86" w:rsidRPr="00192A62">
        <w:rPr>
          <w:rFonts w:ascii="Times New Roman" w:hAnsi="Times New Roman"/>
          <w:i/>
          <w:iCs/>
        </w:rPr>
        <w:t>Nicholas</w:t>
      </w:r>
      <w:r w:rsidR="00990C86" w:rsidRPr="00192A62">
        <w:rPr>
          <w:rFonts w:ascii="Times New Roman" w:hAnsi="Times New Roman"/>
        </w:rPr>
        <w:t xml:space="preserve"> demonstrates, however, not all issues relevant to a determination of criminal guilt </w:t>
      </w:r>
      <w:r w:rsidR="00B271CD" w:rsidRPr="00192A62">
        <w:rPr>
          <w:rFonts w:ascii="Times New Roman" w:hAnsi="Times New Roman"/>
        </w:rPr>
        <w:t>are</w:t>
      </w:r>
      <w:r w:rsidR="00945870" w:rsidRPr="00192A62">
        <w:rPr>
          <w:rFonts w:ascii="Times New Roman" w:hAnsi="Times New Roman"/>
        </w:rPr>
        <w:t xml:space="preserve"> outside legislative power</w:t>
      </w:r>
      <w:r w:rsidR="006D7920" w:rsidRPr="00192A62">
        <w:rPr>
          <w:rFonts w:ascii="Times New Roman" w:hAnsi="Times New Roman"/>
        </w:rPr>
        <w:t xml:space="preserve">. </w:t>
      </w:r>
      <w:r w:rsidR="0074267D" w:rsidRPr="00192A62">
        <w:rPr>
          <w:rFonts w:ascii="Times New Roman" w:hAnsi="Times New Roman"/>
        </w:rPr>
        <w:t xml:space="preserve">In </w:t>
      </w:r>
      <w:r w:rsidR="0074267D" w:rsidRPr="00192A62">
        <w:rPr>
          <w:rFonts w:ascii="Times New Roman" w:hAnsi="Times New Roman"/>
          <w:i/>
          <w:iCs/>
        </w:rPr>
        <w:t>Nich</w:t>
      </w:r>
      <w:r w:rsidR="0027089C" w:rsidRPr="00192A62">
        <w:rPr>
          <w:rFonts w:ascii="Times New Roman" w:hAnsi="Times New Roman"/>
          <w:i/>
          <w:iCs/>
        </w:rPr>
        <w:t>o</w:t>
      </w:r>
      <w:r w:rsidR="0074267D" w:rsidRPr="00192A62">
        <w:rPr>
          <w:rFonts w:ascii="Times New Roman" w:hAnsi="Times New Roman"/>
          <w:i/>
          <w:iCs/>
        </w:rPr>
        <w:t>las</w:t>
      </w:r>
      <w:r w:rsidR="0074267D" w:rsidRPr="00192A62">
        <w:rPr>
          <w:rFonts w:ascii="Times New Roman" w:hAnsi="Times New Roman"/>
        </w:rPr>
        <w:t xml:space="preserve"> a law regulating the exercise of </w:t>
      </w:r>
      <w:r w:rsidR="0027089C" w:rsidRPr="00192A62">
        <w:rPr>
          <w:rFonts w:ascii="Times New Roman" w:hAnsi="Times New Roman"/>
        </w:rPr>
        <w:t>the discretion to exclude illegally obtained evidence</w:t>
      </w:r>
      <w:r w:rsidR="00442177" w:rsidRPr="00192A62">
        <w:rPr>
          <w:rFonts w:ascii="Times New Roman" w:hAnsi="Times New Roman"/>
        </w:rPr>
        <w:t xml:space="preserve">, despite the importance of that discretion in the common law, </w:t>
      </w:r>
      <w:r w:rsidR="00211407" w:rsidRPr="00192A62">
        <w:rPr>
          <w:rFonts w:ascii="Times New Roman" w:hAnsi="Times New Roman"/>
        </w:rPr>
        <w:t>was characterised, on its true construction, as "evidentiary"</w:t>
      </w:r>
      <w:r w:rsidR="00DF3605" w:rsidRPr="00192A62">
        <w:rPr>
          <w:rFonts w:ascii="Times New Roman" w:hAnsi="Times New Roman"/>
        </w:rPr>
        <w:t>,</w:t>
      </w:r>
      <w:r w:rsidR="00211407" w:rsidRPr="00192A62">
        <w:rPr>
          <w:rStyle w:val="FootnoteReference"/>
          <w:rFonts w:ascii="Times New Roman" w:hAnsi="Times New Roman"/>
          <w:sz w:val="24"/>
        </w:rPr>
        <w:footnoteReference w:id="23"/>
      </w:r>
      <w:r w:rsidR="006F0BB5" w:rsidRPr="00192A62">
        <w:rPr>
          <w:rFonts w:ascii="Times New Roman" w:hAnsi="Times New Roman"/>
        </w:rPr>
        <w:t xml:space="preserve"> not </w:t>
      </w:r>
      <w:r w:rsidR="007B563B" w:rsidRPr="00192A62">
        <w:rPr>
          <w:rFonts w:ascii="Times New Roman" w:hAnsi="Times New Roman"/>
        </w:rPr>
        <w:t xml:space="preserve">being </w:t>
      </w:r>
      <w:r w:rsidR="006F0BB5" w:rsidRPr="00192A62">
        <w:rPr>
          <w:rFonts w:ascii="Times New Roman" w:hAnsi="Times New Roman"/>
        </w:rPr>
        <w:t xml:space="preserve">a law which </w:t>
      </w:r>
      <w:r w:rsidR="00826E5C" w:rsidRPr="00192A62">
        <w:rPr>
          <w:rFonts w:ascii="Times New Roman" w:hAnsi="Times New Roman"/>
        </w:rPr>
        <w:t>"deem[ed] to exist, or to have been proved to the satisfaction of the tribunal of fact, any ultimate fact, being an element of the offences with which the accused is charged",</w:t>
      </w:r>
      <w:r w:rsidR="00826E5C" w:rsidRPr="00192A62">
        <w:rPr>
          <w:rStyle w:val="FootnoteReference"/>
          <w:rFonts w:ascii="Times New Roman" w:hAnsi="Times New Roman"/>
          <w:sz w:val="24"/>
        </w:rPr>
        <w:footnoteReference w:id="24"/>
      </w:r>
      <w:r w:rsidR="00940DF7" w:rsidRPr="00192A62">
        <w:rPr>
          <w:rFonts w:ascii="Times New Roman" w:hAnsi="Times New Roman"/>
        </w:rPr>
        <w:t xml:space="preserve"> and "leav[ing] untouched the elements of the crimes for which the accused is to be tried</w:t>
      </w:r>
      <w:r w:rsidR="00707A01" w:rsidRPr="00192A62">
        <w:rPr>
          <w:rFonts w:ascii="Times New Roman" w:hAnsi="Times New Roman"/>
        </w:rPr>
        <w:t>"</w:t>
      </w:r>
      <w:r w:rsidR="00311A66" w:rsidRPr="00192A62">
        <w:rPr>
          <w:rFonts w:ascii="Times New Roman" w:hAnsi="Times New Roman"/>
        </w:rPr>
        <w:t>.</w:t>
      </w:r>
      <w:r w:rsidR="00707A01" w:rsidRPr="00192A62">
        <w:rPr>
          <w:rStyle w:val="FootnoteReference"/>
          <w:rFonts w:ascii="Times New Roman" w:hAnsi="Times New Roman"/>
          <w:sz w:val="24"/>
        </w:rPr>
        <w:footnoteReference w:id="25"/>
      </w:r>
      <w:r w:rsidR="009A2F3A" w:rsidRPr="00192A62">
        <w:rPr>
          <w:rFonts w:ascii="Times New Roman" w:hAnsi="Times New Roman"/>
        </w:rPr>
        <w:t xml:space="preserve"> As such, the law did not impermissibly infringe judicial power.</w:t>
      </w:r>
    </w:p>
    <w:p w14:paraId="59EFE6EE" w14:textId="691C2518" w:rsidR="00B271CD" w:rsidRPr="00192A62" w:rsidRDefault="00B271CD"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441EF" w:rsidRPr="00192A62">
        <w:rPr>
          <w:rFonts w:ascii="Times New Roman" w:hAnsi="Times New Roman"/>
        </w:rPr>
        <w:t xml:space="preserve">Similarly, in </w:t>
      </w:r>
      <w:r w:rsidR="002A1685" w:rsidRPr="00192A62">
        <w:rPr>
          <w:rFonts w:ascii="Times New Roman" w:hAnsi="Times New Roman"/>
          <w:i/>
          <w:iCs/>
        </w:rPr>
        <w:t>Duncan</w:t>
      </w:r>
      <w:r w:rsidR="00C74B16" w:rsidRPr="00192A62">
        <w:rPr>
          <w:rFonts w:ascii="Times New Roman" w:hAnsi="Times New Roman"/>
        </w:rPr>
        <w:t>,</w:t>
      </w:r>
      <w:r w:rsidR="002A1685" w:rsidRPr="00192A62">
        <w:rPr>
          <w:rStyle w:val="FootnoteReference"/>
          <w:rFonts w:ascii="Times New Roman" w:hAnsi="Times New Roman"/>
          <w:sz w:val="24"/>
        </w:rPr>
        <w:footnoteReference w:id="26"/>
      </w:r>
      <w:r w:rsidR="00B53BA9" w:rsidRPr="00192A62">
        <w:rPr>
          <w:rFonts w:ascii="Times New Roman" w:hAnsi="Times New Roman"/>
        </w:rPr>
        <w:t xml:space="preserve"> a law which </w:t>
      </w:r>
      <w:r w:rsidR="004A26E5" w:rsidRPr="00192A62">
        <w:rPr>
          <w:rFonts w:ascii="Times New Roman" w:hAnsi="Times New Roman"/>
        </w:rPr>
        <w:t>provided that anything done or purporting to have been done by the Commission before a decision of this Court about the meaning of the statutory criterion of "corrupt conduct"</w:t>
      </w:r>
      <w:r w:rsidR="004A26E5" w:rsidRPr="00192A62">
        <w:rPr>
          <w:rStyle w:val="FootnoteReference"/>
          <w:rFonts w:ascii="Times New Roman" w:hAnsi="Times New Roman"/>
          <w:sz w:val="24"/>
        </w:rPr>
        <w:footnoteReference w:id="27"/>
      </w:r>
      <w:r w:rsidR="00134193" w:rsidRPr="00192A62">
        <w:rPr>
          <w:rFonts w:ascii="Times New Roman" w:hAnsi="Times New Roman"/>
        </w:rPr>
        <w:t xml:space="preserve"> that would have been validly done if "corrupt conduct"</w:t>
      </w:r>
      <w:r w:rsidR="008D1462" w:rsidRPr="00192A62">
        <w:rPr>
          <w:rFonts w:ascii="Times New Roman" w:hAnsi="Times New Roman"/>
        </w:rPr>
        <w:t xml:space="preserve"> included specified "relevant conduct" </w:t>
      </w:r>
      <w:r w:rsidR="00260CCB" w:rsidRPr="00192A62">
        <w:rPr>
          <w:rFonts w:ascii="Times New Roman" w:hAnsi="Times New Roman"/>
        </w:rPr>
        <w:t xml:space="preserve">was taken to have been, and always to have been, validly done was held </w:t>
      </w:r>
      <w:r w:rsidR="003F6DE9" w:rsidRPr="00192A62">
        <w:rPr>
          <w:rFonts w:ascii="Times New Roman" w:hAnsi="Times New Roman"/>
        </w:rPr>
        <w:t xml:space="preserve">neither </w:t>
      </w:r>
      <w:r w:rsidR="00260CCB" w:rsidRPr="00192A62">
        <w:rPr>
          <w:rFonts w:ascii="Times New Roman" w:hAnsi="Times New Roman"/>
        </w:rPr>
        <w:t xml:space="preserve">to trespass on </w:t>
      </w:r>
      <w:r w:rsidR="003F6DE9" w:rsidRPr="00192A62">
        <w:rPr>
          <w:rFonts w:ascii="Times New Roman" w:hAnsi="Times New Roman"/>
        </w:rPr>
        <w:t xml:space="preserve">nor to be incompatible with </w:t>
      </w:r>
      <w:r w:rsidR="00260CCB" w:rsidRPr="00192A62">
        <w:rPr>
          <w:rFonts w:ascii="Times New Roman" w:hAnsi="Times New Roman"/>
        </w:rPr>
        <w:t>judicial power</w:t>
      </w:r>
      <w:r w:rsidR="00C41D4A" w:rsidRPr="00192A62">
        <w:rPr>
          <w:rFonts w:ascii="Times New Roman" w:hAnsi="Times New Roman"/>
        </w:rPr>
        <w:t>, it being "</w:t>
      </w:r>
      <w:r w:rsidR="00803FED" w:rsidRPr="00192A62">
        <w:rPr>
          <w:rFonts w:ascii="Times New Roman" w:hAnsi="Times New Roman"/>
        </w:rPr>
        <w:t xml:space="preserve">well settled that it is open to the legislature to select the fact that </w:t>
      </w:r>
      <w:r w:rsidR="003F6DE9" w:rsidRPr="00192A62">
        <w:rPr>
          <w:rFonts w:ascii="Times New Roman" w:hAnsi="Times New Roman"/>
        </w:rPr>
        <w:t xml:space="preserve">... </w:t>
      </w:r>
      <w:r w:rsidR="00803FED" w:rsidRPr="00192A62">
        <w:rPr>
          <w:rFonts w:ascii="Times New Roman" w:hAnsi="Times New Roman"/>
        </w:rPr>
        <w:t>occurred as the ground for attaching such legal consequences as it may</w:t>
      </w:r>
      <w:r w:rsidR="003F6DE9" w:rsidRPr="00192A62">
        <w:rPr>
          <w:rFonts w:ascii="Times New Roman" w:hAnsi="Times New Roman"/>
        </w:rPr>
        <w:t xml:space="preserve"> </w:t>
      </w:r>
      <w:r w:rsidR="00803FED" w:rsidRPr="00192A62">
        <w:rPr>
          <w:rFonts w:ascii="Times New Roman" w:hAnsi="Times New Roman"/>
        </w:rPr>
        <w:t>choose</w:t>
      </w:r>
      <w:r w:rsidR="003F6DE9" w:rsidRPr="00192A62">
        <w:rPr>
          <w:rFonts w:ascii="Times New Roman" w:hAnsi="Times New Roman"/>
        </w:rPr>
        <w:t>".</w:t>
      </w:r>
      <w:r w:rsidR="003F6DE9" w:rsidRPr="00192A62">
        <w:rPr>
          <w:rStyle w:val="FootnoteReference"/>
          <w:rFonts w:ascii="Times New Roman" w:hAnsi="Times New Roman"/>
          <w:sz w:val="24"/>
        </w:rPr>
        <w:footnoteReference w:id="28"/>
      </w:r>
      <w:r w:rsidR="00EE4719" w:rsidRPr="00192A62">
        <w:rPr>
          <w:rFonts w:ascii="Times New Roman" w:hAnsi="Times New Roman"/>
        </w:rPr>
        <w:t xml:space="preserve"> Properly construed, the law did no more than </w:t>
      </w:r>
      <w:r w:rsidR="00FC2AF8" w:rsidRPr="00192A62">
        <w:rPr>
          <w:rFonts w:ascii="Times New Roman" w:hAnsi="Times New Roman"/>
        </w:rPr>
        <w:t xml:space="preserve">"effect[] an alteration in the substantive law as to what constitutes </w:t>
      </w:r>
      <w:r w:rsidR="00FC2AF8" w:rsidRPr="00192A62">
        <w:rPr>
          <w:rFonts w:ascii="Times New Roman" w:hAnsi="Times New Roman"/>
        </w:rPr>
        <w:lastRenderedPageBreak/>
        <w:t>corrupt conduct",</w:t>
      </w:r>
      <w:r w:rsidR="00FC2AF8" w:rsidRPr="00192A62">
        <w:rPr>
          <w:rStyle w:val="FootnoteReference"/>
          <w:rFonts w:ascii="Times New Roman" w:hAnsi="Times New Roman"/>
          <w:sz w:val="24"/>
        </w:rPr>
        <w:footnoteReference w:id="29"/>
      </w:r>
      <w:r w:rsidR="00FC2AF8" w:rsidRPr="00192A62">
        <w:rPr>
          <w:rFonts w:ascii="Times New Roman" w:hAnsi="Times New Roman"/>
        </w:rPr>
        <w:t xml:space="preserve"> </w:t>
      </w:r>
      <w:r w:rsidR="00A2158A" w:rsidRPr="00192A62">
        <w:rPr>
          <w:rFonts w:ascii="Times New Roman" w:hAnsi="Times New Roman"/>
        </w:rPr>
        <w:t>and did not involve "an impermissible direction to the judicature".</w:t>
      </w:r>
      <w:r w:rsidR="00A2158A" w:rsidRPr="00192A62">
        <w:rPr>
          <w:rStyle w:val="FootnoteReference"/>
          <w:rFonts w:ascii="Times New Roman" w:hAnsi="Times New Roman"/>
          <w:sz w:val="24"/>
        </w:rPr>
        <w:footnoteReference w:id="30"/>
      </w:r>
    </w:p>
    <w:p w14:paraId="088C350D" w14:textId="08DF0C46" w:rsidR="00F14314" w:rsidRPr="00192A62" w:rsidRDefault="00F14314"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12B9E" w:rsidRPr="00192A62">
        <w:rPr>
          <w:rFonts w:ascii="Times New Roman" w:hAnsi="Times New Roman"/>
        </w:rPr>
        <w:t xml:space="preserve">Further, as </w:t>
      </w:r>
      <w:r w:rsidR="007C22B7" w:rsidRPr="00192A62">
        <w:rPr>
          <w:rFonts w:ascii="Times New Roman" w:hAnsi="Times New Roman"/>
          <w:i/>
          <w:iCs/>
        </w:rPr>
        <w:t>Kable v Director of Public Prosecutions</w:t>
      </w:r>
      <w:r w:rsidR="00D0070F" w:rsidRPr="00192A62">
        <w:rPr>
          <w:rFonts w:ascii="Times New Roman" w:hAnsi="Times New Roman"/>
          <w:i/>
          <w:iCs/>
        </w:rPr>
        <w:t xml:space="preserve"> (NSW)</w:t>
      </w:r>
      <w:r w:rsidR="007C22B7" w:rsidRPr="00192A62">
        <w:rPr>
          <w:rStyle w:val="FootnoteReference"/>
          <w:rFonts w:ascii="Times New Roman" w:hAnsi="Times New Roman"/>
          <w:sz w:val="24"/>
        </w:rPr>
        <w:footnoteReference w:id="31"/>
      </w:r>
      <w:r w:rsidR="009E4E02" w:rsidRPr="00192A62">
        <w:rPr>
          <w:rFonts w:ascii="Times New Roman" w:hAnsi="Times New Roman"/>
        </w:rPr>
        <w:t xml:space="preserve"> "took as a starting point the principles applicable to courts created by the </w:t>
      </w:r>
      <w:r w:rsidR="00F64049" w:rsidRPr="00192A62">
        <w:rPr>
          <w:rFonts w:ascii="Times New Roman" w:hAnsi="Times New Roman"/>
        </w:rPr>
        <w:t xml:space="preserve">[Commonwealth] </w:t>
      </w:r>
      <w:r w:rsidR="009E4E02" w:rsidRPr="00192A62">
        <w:rPr>
          <w:rFonts w:ascii="Times New Roman" w:hAnsi="Times New Roman"/>
        </w:rPr>
        <w:t xml:space="preserve">Parliament under s 71 [of the </w:t>
      </w:r>
      <w:r w:rsidR="009E4E02" w:rsidRPr="00192A62">
        <w:rPr>
          <w:rFonts w:ascii="Times New Roman" w:hAnsi="Times New Roman"/>
          <w:i/>
          <w:iCs/>
        </w:rPr>
        <w:t>Constitution</w:t>
      </w:r>
      <w:r w:rsidR="009E4E02" w:rsidRPr="00192A62">
        <w:rPr>
          <w:rFonts w:ascii="Times New Roman" w:hAnsi="Times New Roman"/>
        </w:rPr>
        <w:t>] and to the exercise by</w:t>
      </w:r>
      <w:r w:rsidR="00F64049" w:rsidRPr="00192A62">
        <w:rPr>
          <w:rFonts w:ascii="Times New Roman" w:hAnsi="Times New Roman"/>
        </w:rPr>
        <w:t xml:space="preserve"> them of the judicial power of the Commonwealth under Ch</w:t>
      </w:r>
      <w:r w:rsidR="003F1A49" w:rsidRPr="00192A62">
        <w:rPr>
          <w:rFonts w:ascii="Times New Roman" w:hAnsi="Times New Roman"/>
        </w:rPr>
        <w:t> </w:t>
      </w:r>
      <w:r w:rsidR="00F64049" w:rsidRPr="00192A62">
        <w:rPr>
          <w:rFonts w:ascii="Times New Roman" w:hAnsi="Times New Roman"/>
        </w:rPr>
        <w:t xml:space="preserve">III", it follows that </w:t>
      </w:r>
      <w:r w:rsidR="007D7C25" w:rsidRPr="00192A62">
        <w:rPr>
          <w:rFonts w:ascii="Times New Roman" w:hAnsi="Times New Roman"/>
        </w:rPr>
        <w:t xml:space="preserve">if a law would not involve an exercise of or </w:t>
      </w:r>
      <w:r w:rsidR="00365588" w:rsidRPr="00192A62">
        <w:rPr>
          <w:rFonts w:ascii="Times New Roman" w:hAnsi="Times New Roman"/>
        </w:rPr>
        <w:t>impermissibly</w:t>
      </w:r>
      <w:r w:rsidR="007D7C25" w:rsidRPr="00192A62">
        <w:rPr>
          <w:rFonts w:ascii="Times New Roman" w:hAnsi="Times New Roman"/>
        </w:rPr>
        <w:t xml:space="preserve"> </w:t>
      </w:r>
      <w:r w:rsidR="00365588" w:rsidRPr="00192A62">
        <w:rPr>
          <w:rFonts w:ascii="Times New Roman" w:hAnsi="Times New Roman"/>
        </w:rPr>
        <w:t xml:space="preserve">confine </w:t>
      </w:r>
      <w:r w:rsidR="007D7C25" w:rsidRPr="00192A62">
        <w:rPr>
          <w:rFonts w:ascii="Times New Roman" w:hAnsi="Times New Roman"/>
        </w:rPr>
        <w:t xml:space="preserve">judicial power </w:t>
      </w:r>
      <w:r w:rsidR="00365588" w:rsidRPr="00192A62">
        <w:rPr>
          <w:rFonts w:ascii="Times New Roman" w:hAnsi="Times New Roman"/>
        </w:rPr>
        <w:t>as a law of the Commonwealth it would not do so as a law of a State or Territory.</w:t>
      </w:r>
      <w:r w:rsidR="00365588" w:rsidRPr="00192A62">
        <w:rPr>
          <w:rStyle w:val="FootnoteReference"/>
          <w:rFonts w:ascii="Times New Roman" w:hAnsi="Times New Roman"/>
          <w:sz w:val="24"/>
        </w:rPr>
        <w:footnoteReference w:id="32"/>
      </w:r>
    </w:p>
    <w:p w14:paraId="1536B413" w14:textId="012CAFE8" w:rsidR="00AE7D36" w:rsidRPr="00192A62" w:rsidRDefault="00AE7D36" w:rsidP="00192A62">
      <w:pPr>
        <w:pStyle w:val="HeadingL1"/>
        <w:spacing w:after="260" w:line="280" w:lineRule="exact"/>
        <w:ind w:right="0"/>
        <w:jc w:val="both"/>
        <w:rPr>
          <w:rFonts w:ascii="Times New Roman" w:hAnsi="Times New Roman"/>
        </w:rPr>
      </w:pPr>
      <w:r w:rsidRPr="00192A62">
        <w:rPr>
          <w:rFonts w:ascii="Times New Roman" w:hAnsi="Times New Roman"/>
        </w:rPr>
        <w:t>The impugned law</w:t>
      </w:r>
    </w:p>
    <w:p w14:paraId="41D528BC" w14:textId="1B020534" w:rsidR="00875D41" w:rsidRPr="00192A62" w:rsidRDefault="00AE7D3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D468E3" w:rsidRPr="00192A62">
        <w:rPr>
          <w:rFonts w:ascii="Times New Roman" w:hAnsi="Times New Roman"/>
        </w:rPr>
        <w:t xml:space="preserve">Section 5 of the Confirmation of Application Act </w:t>
      </w:r>
      <w:r w:rsidR="00691695" w:rsidRPr="00192A62">
        <w:rPr>
          <w:rFonts w:ascii="Times New Roman" w:hAnsi="Times New Roman"/>
        </w:rPr>
        <w:t xml:space="preserve">is properly characterised as </w:t>
      </w:r>
      <w:r w:rsidR="006A67A0" w:rsidRPr="00192A62">
        <w:rPr>
          <w:rFonts w:ascii="Times New Roman" w:hAnsi="Times New Roman"/>
        </w:rPr>
        <w:t xml:space="preserve">indistinguishable from those laws held to be valid in </w:t>
      </w:r>
      <w:r w:rsidR="006A67A0" w:rsidRPr="00192A62">
        <w:rPr>
          <w:rFonts w:ascii="Times New Roman" w:hAnsi="Times New Roman"/>
          <w:i/>
          <w:iCs/>
        </w:rPr>
        <w:t>Nicholas</w:t>
      </w:r>
      <w:r w:rsidR="006A67A0" w:rsidRPr="00192A62">
        <w:rPr>
          <w:rFonts w:ascii="Times New Roman" w:hAnsi="Times New Roman"/>
        </w:rPr>
        <w:t xml:space="preserve"> and </w:t>
      </w:r>
      <w:r w:rsidR="006A67A0" w:rsidRPr="00192A62">
        <w:rPr>
          <w:rFonts w:ascii="Times New Roman" w:hAnsi="Times New Roman"/>
          <w:i/>
          <w:iCs/>
        </w:rPr>
        <w:t>Duncan</w:t>
      </w:r>
      <w:r w:rsidR="006A67A0" w:rsidRPr="00192A62">
        <w:rPr>
          <w:rFonts w:ascii="Times New Roman" w:hAnsi="Times New Roman"/>
        </w:rPr>
        <w:t xml:space="preserve">. </w:t>
      </w:r>
      <w:r w:rsidR="00B65629" w:rsidRPr="00192A62">
        <w:rPr>
          <w:rFonts w:ascii="Times New Roman" w:hAnsi="Times New Roman"/>
        </w:rPr>
        <w:t>T</w:t>
      </w:r>
      <w:r w:rsidR="00FD57A0" w:rsidRPr="00192A62">
        <w:rPr>
          <w:rFonts w:ascii="Times New Roman" w:hAnsi="Times New Roman"/>
        </w:rPr>
        <w:t xml:space="preserve">he operation of the impugned law may be said to be directed </w:t>
      </w:r>
      <w:r w:rsidR="008B7C12" w:rsidRPr="00192A62">
        <w:rPr>
          <w:rFonts w:ascii="Times New Roman" w:hAnsi="Times New Roman"/>
        </w:rPr>
        <w:t xml:space="preserve">to </w:t>
      </w:r>
      <w:r w:rsidR="00AA577C" w:rsidRPr="00192A62">
        <w:rPr>
          <w:rFonts w:ascii="Times New Roman" w:hAnsi="Times New Roman"/>
        </w:rPr>
        <w:t xml:space="preserve">criminal or civil proceedings </w:t>
      </w:r>
      <w:r w:rsidR="0032235C" w:rsidRPr="00192A62">
        <w:rPr>
          <w:rFonts w:ascii="Times New Roman" w:hAnsi="Times New Roman"/>
        </w:rPr>
        <w:t xml:space="preserve">in which information </w:t>
      </w:r>
      <w:r w:rsidR="0093355C" w:rsidRPr="00192A62">
        <w:rPr>
          <w:rFonts w:ascii="Times New Roman" w:hAnsi="Times New Roman"/>
        </w:rPr>
        <w:t xml:space="preserve">or records </w:t>
      </w:r>
      <w:r w:rsidR="0032235C" w:rsidRPr="00192A62">
        <w:rPr>
          <w:rFonts w:ascii="Times New Roman" w:hAnsi="Times New Roman"/>
        </w:rPr>
        <w:t xml:space="preserve">obtained under the </w:t>
      </w:r>
      <w:r w:rsidR="00125C1D" w:rsidRPr="00192A62">
        <w:rPr>
          <w:rFonts w:ascii="Times New Roman" w:hAnsi="Times New Roman"/>
        </w:rPr>
        <w:t xml:space="preserve">two surveillance device warrants, five computer access warrants, and four search warrants </w:t>
      </w:r>
      <w:r w:rsidR="00B95960" w:rsidRPr="00192A62">
        <w:rPr>
          <w:rFonts w:ascii="Times New Roman" w:hAnsi="Times New Roman"/>
        </w:rPr>
        <w:t>defined as a "relevant warrant" in s 4 of the Confirmation of Application Act</w:t>
      </w:r>
      <w:r w:rsidR="00125C1D" w:rsidRPr="00192A62">
        <w:rPr>
          <w:rFonts w:ascii="Times New Roman" w:hAnsi="Times New Roman"/>
        </w:rPr>
        <w:t xml:space="preserve"> </w:t>
      </w:r>
      <w:r w:rsidR="00256999" w:rsidRPr="00192A62">
        <w:rPr>
          <w:rFonts w:ascii="Times New Roman" w:hAnsi="Times New Roman"/>
        </w:rPr>
        <w:t>will or may be</w:t>
      </w:r>
      <w:r w:rsidR="00A134B9" w:rsidRPr="00192A62">
        <w:rPr>
          <w:rFonts w:ascii="Times New Roman" w:hAnsi="Times New Roman"/>
        </w:rPr>
        <w:t xml:space="preserve"> relevant</w:t>
      </w:r>
      <w:r w:rsidR="006773CF" w:rsidRPr="00192A62">
        <w:rPr>
          <w:rFonts w:ascii="Times New Roman" w:hAnsi="Times New Roman"/>
        </w:rPr>
        <w:t xml:space="preserve">. </w:t>
      </w:r>
      <w:r w:rsidR="00E2531F" w:rsidRPr="00192A62">
        <w:rPr>
          <w:rFonts w:ascii="Times New Roman" w:hAnsi="Times New Roman"/>
        </w:rPr>
        <w:t xml:space="preserve">In that sense, the law is not general in application, but nor is it confined to </w:t>
      </w:r>
      <w:r w:rsidR="00E8554A" w:rsidRPr="00192A62">
        <w:rPr>
          <w:rFonts w:ascii="Times New Roman" w:hAnsi="Times New Roman"/>
        </w:rPr>
        <w:t xml:space="preserve">or directed specifically at </w:t>
      </w:r>
      <w:r w:rsidR="00E2531F" w:rsidRPr="00192A62">
        <w:rPr>
          <w:rFonts w:ascii="Times New Roman" w:hAnsi="Times New Roman"/>
        </w:rPr>
        <w:t xml:space="preserve">the plaintiffs. </w:t>
      </w:r>
    </w:p>
    <w:p w14:paraId="21467E85" w14:textId="160EC9B1" w:rsidR="00A0222A" w:rsidRPr="00192A62" w:rsidRDefault="00875D41"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D4B81" w:rsidRPr="00192A62">
        <w:rPr>
          <w:rFonts w:ascii="Times New Roman" w:hAnsi="Times New Roman"/>
        </w:rPr>
        <w:t xml:space="preserve">To the extent the </w:t>
      </w:r>
      <w:r w:rsidR="0060738C" w:rsidRPr="00192A62">
        <w:rPr>
          <w:rFonts w:ascii="Times New Roman" w:hAnsi="Times New Roman"/>
        </w:rPr>
        <w:t xml:space="preserve">impugned law operates on pending litigation </w:t>
      </w:r>
      <w:r w:rsidR="005E310E" w:rsidRPr="00192A62">
        <w:rPr>
          <w:rFonts w:ascii="Times New Roman" w:hAnsi="Times New Roman"/>
        </w:rPr>
        <w:t xml:space="preserve">concerning the </w:t>
      </w:r>
      <w:r w:rsidR="00442617" w:rsidRPr="00192A62">
        <w:rPr>
          <w:rFonts w:ascii="Times New Roman" w:hAnsi="Times New Roman"/>
        </w:rPr>
        <w:t>admissibility</w:t>
      </w:r>
      <w:r w:rsidR="005E310E" w:rsidRPr="00192A62">
        <w:rPr>
          <w:rFonts w:ascii="Times New Roman" w:hAnsi="Times New Roman"/>
        </w:rPr>
        <w:t xml:space="preserve"> in the criminal proceedings </w:t>
      </w:r>
      <w:r w:rsidR="002A684F" w:rsidRPr="00192A62">
        <w:rPr>
          <w:rFonts w:ascii="Times New Roman" w:hAnsi="Times New Roman"/>
        </w:rPr>
        <w:t xml:space="preserve">against the plaintiffs </w:t>
      </w:r>
      <w:r w:rsidR="005E310E" w:rsidRPr="00192A62">
        <w:rPr>
          <w:rFonts w:ascii="Times New Roman" w:hAnsi="Times New Roman"/>
        </w:rPr>
        <w:t xml:space="preserve">of information or records obtained under the </w:t>
      </w:r>
      <w:r w:rsidR="00442617" w:rsidRPr="00192A62">
        <w:rPr>
          <w:rFonts w:ascii="Times New Roman" w:hAnsi="Times New Roman"/>
        </w:rPr>
        <w:t>"</w:t>
      </w:r>
      <w:r w:rsidR="005E310E" w:rsidRPr="00192A62">
        <w:rPr>
          <w:rFonts w:ascii="Times New Roman" w:hAnsi="Times New Roman"/>
        </w:rPr>
        <w:t xml:space="preserve">relevant </w:t>
      </w:r>
      <w:r w:rsidR="00442617" w:rsidRPr="00192A62">
        <w:rPr>
          <w:rFonts w:ascii="Times New Roman" w:hAnsi="Times New Roman"/>
        </w:rPr>
        <w:t>warrants"</w:t>
      </w:r>
      <w:r w:rsidR="0060738C" w:rsidRPr="00192A62">
        <w:rPr>
          <w:rFonts w:ascii="Times New Roman" w:hAnsi="Times New Roman"/>
        </w:rPr>
        <w:t>, that fact does not indicate that the law involves an exercise of or impermissible trespass onto judicial power.</w:t>
      </w:r>
      <w:r w:rsidR="0060738C" w:rsidRPr="00192A62">
        <w:rPr>
          <w:rStyle w:val="FootnoteReference"/>
          <w:rFonts w:ascii="Times New Roman" w:hAnsi="Times New Roman"/>
          <w:sz w:val="24"/>
        </w:rPr>
        <w:footnoteReference w:id="33"/>
      </w:r>
      <w:r w:rsidR="00442617" w:rsidRPr="00192A62">
        <w:rPr>
          <w:rFonts w:ascii="Times New Roman" w:hAnsi="Times New Roman"/>
        </w:rPr>
        <w:t xml:space="preserve"> </w:t>
      </w:r>
      <w:r w:rsidR="003037BD" w:rsidRPr="00192A62">
        <w:rPr>
          <w:rFonts w:ascii="Times New Roman" w:hAnsi="Times New Roman"/>
        </w:rPr>
        <w:t xml:space="preserve">The existence of a controversy capable of being quelled by an exercise of judicial power </w:t>
      </w:r>
      <w:r w:rsidR="00A733BA" w:rsidRPr="00192A62">
        <w:rPr>
          <w:rFonts w:ascii="Times New Roman" w:hAnsi="Times New Roman"/>
        </w:rPr>
        <w:t>–</w:t>
      </w:r>
      <w:r w:rsidR="003037BD" w:rsidRPr="00192A62">
        <w:rPr>
          <w:rFonts w:ascii="Times New Roman" w:hAnsi="Times New Roman"/>
        </w:rPr>
        <w:t xml:space="preserve"> in the present case</w:t>
      </w:r>
      <w:r w:rsidR="00B156A7" w:rsidRPr="00192A62">
        <w:rPr>
          <w:rFonts w:ascii="Times New Roman" w:hAnsi="Times New Roman"/>
        </w:rPr>
        <w:t>,</w:t>
      </w:r>
      <w:r w:rsidR="003037BD" w:rsidRPr="00192A62">
        <w:rPr>
          <w:rFonts w:ascii="Times New Roman" w:hAnsi="Times New Roman"/>
        </w:rPr>
        <w:t xml:space="preserve"> the </w:t>
      </w:r>
      <w:r w:rsidR="0093355C" w:rsidRPr="00192A62">
        <w:rPr>
          <w:rFonts w:ascii="Times New Roman" w:hAnsi="Times New Roman"/>
        </w:rPr>
        <w:t xml:space="preserve">admissibility in the criminal proceedings </w:t>
      </w:r>
      <w:r w:rsidR="002A684F" w:rsidRPr="00192A62">
        <w:rPr>
          <w:rFonts w:ascii="Times New Roman" w:hAnsi="Times New Roman"/>
        </w:rPr>
        <w:t xml:space="preserve">against the plaintiffs </w:t>
      </w:r>
      <w:r w:rsidR="0093355C" w:rsidRPr="00192A62">
        <w:rPr>
          <w:rFonts w:ascii="Times New Roman" w:hAnsi="Times New Roman"/>
        </w:rPr>
        <w:t>of information or records obtained under the "relevant warrants"</w:t>
      </w:r>
      <w:r w:rsidR="002A684F" w:rsidRPr="00192A62">
        <w:rPr>
          <w:rFonts w:ascii="Times New Roman" w:hAnsi="Times New Roman"/>
        </w:rPr>
        <w:t xml:space="preserve"> </w:t>
      </w:r>
      <w:r w:rsidR="004C6999" w:rsidRPr="00192A62">
        <w:rPr>
          <w:rFonts w:ascii="Times New Roman" w:hAnsi="Times New Roman"/>
        </w:rPr>
        <w:t>–</w:t>
      </w:r>
      <w:r w:rsidR="002A684F" w:rsidRPr="00192A62">
        <w:rPr>
          <w:rFonts w:ascii="Times New Roman" w:hAnsi="Times New Roman"/>
        </w:rPr>
        <w:t xml:space="preserve"> does not mean that the Commonwealth is incapable </w:t>
      </w:r>
      <w:r w:rsidR="00AE6F83" w:rsidRPr="00192A62">
        <w:rPr>
          <w:rFonts w:ascii="Times New Roman" w:hAnsi="Times New Roman"/>
        </w:rPr>
        <w:t xml:space="preserve">in the exercise of legislative power of </w:t>
      </w:r>
      <w:r w:rsidR="00985812" w:rsidRPr="00192A62">
        <w:rPr>
          <w:rFonts w:ascii="Times New Roman" w:hAnsi="Times New Roman"/>
        </w:rPr>
        <w:t>regulating</w:t>
      </w:r>
      <w:r w:rsidR="009071FE" w:rsidRPr="00192A62">
        <w:rPr>
          <w:rFonts w:ascii="Times New Roman" w:hAnsi="Times New Roman"/>
        </w:rPr>
        <w:t xml:space="preserve"> the </w:t>
      </w:r>
      <w:r w:rsidR="00985812" w:rsidRPr="00192A62">
        <w:rPr>
          <w:rFonts w:ascii="Times New Roman" w:hAnsi="Times New Roman"/>
        </w:rPr>
        <w:t>admissibility</w:t>
      </w:r>
      <w:r w:rsidR="009071FE" w:rsidRPr="00192A62">
        <w:rPr>
          <w:rFonts w:ascii="Times New Roman" w:hAnsi="Times New Roman"/>
        </w:rPr>
        <w:t xml:space="preserve"> of evidence</w:t>
      </w:r>
      <w:r w:rsidR="00985812" w:rsidRPr="00192A62">
        <w:rPr>
          <w:rFonts w:ascii="Times New Roman" w:hAnsi="Times New Roman"/>
        </w:rPr>
        <w:t xml:space="preserve"> by any one or more available </w:t>
      </w:r>
      <w:r w:rsidR="00985812" w:rsidRPr="00192A62">
        <w:rPr>
          <w:rFonts w:ascii="Times New Roman" w:hAnsi="Times New Roman"/>
        </w:rPr>
        <w:lastRenderedPageBreak/>
        <w:t>drafting techniques</w:t>
      </w:r>
      <w:r w:rsidR="00AB32BC" w:rsidRPr="00192A62">
        <w:rPr>
          <w:rFonts w:ascii="Times New Roman" w:hAnsi="Times New Roman"/>
        </w:rPr>
        <w:t>.</w:t>
      </w:r>
      <w:r w:rsidR="00985812" w:rsidRPr="00192A62">
        <w:rPr>
          <w:rFonts w:ascii="Times New Roman" w:hAnsi="Times New Roman"/>
        </w:rPr>
        <w:t xml:space="preserve"> </w:t>
      </w:r>
      <w:r w:rsidR="00CD6609" w:rsidRPr="00192A62">
        <w:rPr>
          <w:rFonts w:ascii="Times New Roman" w:hAnsi="Times New Roman"/>
        </w:rPr>
        <w:t xml:space="preserve">That legislative power is not diminished merely because an issue in controversy in the criminal proceedings is the admissibility of the </w:t>
      </w:r>
      <w:r w:rsidR="001F43D0" w:rsidRPr="00192A62">
        <w:rPr>
          <w:rFonts w:ascii="Times New Roman" w:hAnsi="Times New Roman"/>
        </w:rPr>
        <w:t xml:space="preserve">information or records </w:t>
      </w:r>
      <w:r w:rsidR="007E497A" w:rsidRPr="00192A62">
        <w:rPr>
          <w:rFonts w:ascii="Times New Roman" w:hAnsi="Times New Roman"/>
        </w:rPr>
        <w:t xml:space="preserve">under the "relevant warrants". </w:t>
      </w:r>
      <w:r w:rsidR="00CF085F" w:rsidRPr="00192A62">
        <w:rPr>
          <w:rFonts w:ascii="Times New Roman" w:hAnsi="Times New Roman"/>
        </w:rPr>
        <w:t>Chapter</w:t>
      </w:r>
      <w:r w:rsidR="00C744BD" w:rsidRPr="00192A62">
        <w:rPr>
          <w:rFonts w:ascii="Times New Roman" w:hAnsi="Times New Roman"/>
        </w:rPr>
        <w:t> </w:t>
      </w:r>
      <w:r w:rsidR="00CF085F" w:rsidRPr="00192A62">
        <w:rPr>
          <w:rFonts w:ascii="Times New Roman" w:hAnsi="Times New Roman"/>
        </w:rPr>
        <w:t xml:space="preserve">III of the </w:t>
      </w:r>
      <w:r w:rsidR="00CF085F" w:rsidRPr="00192A62">
        <w:rPr>
          <w:rFonts w:ascii="Times New Roman" w:hAnsi="Times New Roman"/>
          <w:i/>
          <w:iCs/>
        </w:rPr>
        <w:t>Constitution</w:t>
      </w:r>
      <w:r w:rsidR="00CF085F" w:rsidRPr="00192A62">
        <w:rPr>
          <w:rFonts w:ascii="Times New Roman" w:hAnsi="Times New Roman"/>
        </w:rPr>
        <w:t xml:space="preserve"> "contains no prohibition, express or implied, that rights in issue in legal proceedings shall not be the subject of legislative declaration or action".</w:t>
      </w:r>
      <w:r w:rsidR="00CF085F" w:rsidRPr="00192A62">
        <w:rPr>
          <w:rStyle w:val="FootnoteReference"/>
          <w:rFonts w:ascii="Times New Roman" w:hAnsi="Times New Roman"/>
          <w:sz w:val="24"/>
        </w:rPr>
        <w:footnoteReference w:id="34"/>
      </w:r>
    </w:p>
    <w:p w14:paraId="6066269C" w14:textId="5D940DCD" w:rsidR="00032F64" w:rsidRPr="00192A62" w:rsidRDefault="00A0222A"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B534D2" w:rsidRPr="00192A62">
        <w:rPr>
          <w:rFonts w:ascii="Times New Roman" w:hAnsi="Times New Roman"/>
        </w:rPr>
        <w:t>T</w:t>
      </w:r>
      <w:r w:rsidR="00F61E37" w:rsidRPr="00192A62">
        <w:rPr>
          <w:rFonts w:ascii="Times New Roman" w:hAnsi="Times New Roman"/>
        </w:rPr>
        <w:t xml:space="preserve">he example on which the plaintiffs relied, that of Isaacs J in </w:t>
      </w:r>
      <w:r w:rsidR="00F61E37" w:rsidRPr="00192A62">
        <w:rPr>
          <w:rFonts w:ascii="Times New Roman" w:hAnsi="Times New Roman"/>
          <w:i/>
          <w:iCs/>
        </w:rPr>
        <w:t>Williamson v Ah On</w:t>
      </w:r>
      <w:r w:rsidR="00957D1D" w:rsidRPr="00192A62">
        <w:rPr>
          <w:rFonts w:ascii="Times New Roman" w:hAnsi="Times New Roman"/>
        </w:rPr>
        <w:t>,</w:t>
      </w:r>
      <w:r w:rsidR="00F61E37" w:rsidRPr="00192A62">
        <w:rPr>
          <w:rStyle w:val="FootnoteReference"/>
          <w:rFonts w:ascii="Times New Roman" w:hAnsi="Times New Roman"/>
          <w:sz w:val="24"/>
        </w:rPr>
        <w:footnoteReference w:id="35"/>
      </w:r>
      <w:r w:rsidR="00B534D2" w:rsidRPr="00192A62">
        <w:rPr>
          <w:rFonts w:ascii="Times New Roman" w:hAnsi="Times New Roman"/>
        </w:rPr>
        <w:t xml:space="preserve"> </w:t>
      </w:r>
      <w:r w:rsidRPr="00192A62">
        <w:rPr>
          <w:rFonts w:ascii="Times New Roman" w:hAnsi="Times New Roman"/>
        </w:rPr>
        <w:t>that it is "one thing to say, for instance, in an Act of Parliament, that a man found in possession of stolen goods shall be conclusively deemed to have stolen them, and quite another to say that he shall be deemed to have stolen them unless he personally proves that he got them honestly"</w:t>
      </w:r>
      <w:r w:rsidR="00CD148B" w:rsidRPr="00192A62">
        <w:rPr>
          <w:rFonts w:ascii="Times New Roman" w:hAnsi="Times New Roman"/>
        </w:rPr>
        <w:t>, does not assist them. In the present case, the analogy would be if the impugned law deemed the plaintiffs to be guilty of the offences with which they have be</w:t>
      </w:r>
      <w:r w:rsidR="005B1B45" w:rsidRPr="00192A62">
        <w:rPr>
          <w:rFonts w:ascii="Times New Roman" w:hAnsi="Times New Roman"/>
        </w:rPr>
        <w:t>e</w:t>
      </w:r>
      <w:r w:rsidR="00CD148B" w:rsidRPr="00192A62">
        <w:rPr>
          <w:rFonts w:ascii="Times New Roman" w:hAnsi="Times New Roman"/>
        </w:rPr>
        <w:t xml:space="preserve">n charged. </w:t>
      </w:r>
      <w:r w:rsidR="002E29A9" w:rsidRPr="00192A62">
        <w:rPr>
          <w:rFonts w:ascii="Times New Roman" w:hAnsi="Times New Roman"/>
        </w:rPr>
        <w:t>T</w:t>
      </w:r>
      <w:r w:rsidR="005B1B45" w:rsidRPr="00192A62">
        <w:rPr>
          <w:rFonts w:ascii="Times New Roman" w:hAnsi="Times New Roman"/>
        </w:rPr>
        <w:t xml:space="preserve">he </w:t>
      </w:r>
      <w:r w:rsidR="002E29A9" w:rsidRPr="00192A62">
        <w:rPr>
          <w:rFonts w:ascii="Times New Roman" w:hAnsi="Times New Roman"/>
        </w:rPr>
        <w:t>impugned</w:t>
      </w:r>
      <w:r w:rsidR="005B1B45" w:rsidRPr="00192A62">
        <w:rPr>
          <w:rFonts w:ascii="Times New Roman" w:hAnsi="Times New Roman"/>
        </w:rPr>
        <w:t xml:space="preserve"> law does no such thing. In the context of the criminal </w:t>
      </w:r>
      <w:r w:rsidR="002E29A9" w:rsidRPr="00192A62">
        <w:rPr>
          <w:rFonts w:ascii="Times New Roman" w:hAnsi="Times New Roman"/>
        </w:rPr>
        <w:t>proceedings</w:t>
      </w:r>
      <w:r w:rsidR="005B1B45" w:rsidRPr="00192A62">
        <w:rPr>
          <w:rFonts w:ascii="Times New Roman" w:hAnsi="Times New Roman"/>
        </w:rPr>
        <w:t xml:space="preserve"> within which the </w:t>
      </w:r>
      <w:r w:rsidR="002E29A9" w:rsidRPr="00192A62">
        <w:rPr>
          <w:rFonts w:ascii="Times New Roman" w:hAnsi="Times New Roman"/>
        </w:rPr>
        <w:t>guilt of the plaintiffs will be determined according to law, the impugned law merely</w:t>
      </w:r>
      <w:r w:rsidR="005B1B45" w:rsidRPr="00192A62">
        <w:rPr>
          <w:rFonts w:ascii="Times New Roman" w:hAnsi="Times New Roman"/>
        </w:rPr>
        <w:t xml:space="preserve"> facilitates </w:t>
      </w:r>
      <w:r w:rsidR="00126621" w:rsidRPr="00192A62">
        <w:rPr>
          <w:rFonts w:ascii="Times New Roman" w:hAnsi="Times New Roman"/>
        </w:rPr>
        <w:t xml:space="preserve">the admission into evidence in those proceedings of the information and records obtained under the "relevant warrants" in </w:t>
      </w:r>
      <w:r w:rsidR="00E00BE9" w:rsidRPr="00192A62">
        <w:rPr>
          <w:rFonts w:ascii="Times New Roman" w:hAnsi="Times New Roman"/>
        </w:rPr>
        <w:t>circumstances</w:t>
      </w:r>
      <w:r w:rsidR="00126621" w:rsidRPr="00192A62">
        <w:rPr>
          <w:rFonts w:ascii="Times New Roman" w:hAnsi="Times New Roman"/>
        </w:rPr>
        <w:t xml:space="preserve"> where s 7(1) </w:t>
      </w:r>
      <w:r w:rsidR="00E00BE9" w:rsidRPr="00192A62">
        <w:rPr>
          <w:rFonts w:ascii="Times New Roman" w:hAnsi="Times New Roman"/>
        </w:rPr>
        <w:t xml:space="preserve">and related provisions </w:t>
      </w:r>
      <w:r w:rsidR="00126621" w:rsidRPr="00192A62">
        <w:rPr>
          <w:rFonts w:ascii="Times New Roman" w:hAnsi="Times New Roman"/>
        </w:rPr>
        <w:t xml:space="preserve">of the TIA Act may have operated </w:t>
      </w:r>
      <w:r w:rsidR="00E00BE9" w:rsidRPr="00192A62">
        <w:rPr>
          <w:rFonts w:ascii="Times New Roman" w:hAnsi="Times New Roman"/>
        </w:rPr>
        <w:t xml:space="preserve">to exclude such evidence. </w:t>
      </w:r>
    </w:p>
    <w:p w14:paraId="72B4D6E8" w14:textId="09F3D19A" w:rsidR="00530B9F" w:rsidRPr="00192A62" w:rsidRDefault="00032F64"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It </w:t>
      </w:r>
      <w:r w:rsidR="005924AE" w:rsidRPr="00192A62">
        <w:rPr>
          <w:rFonts w:ascii="Times New Roman" w:hAnsi="Times New Roman"/>
        </w:rPr>
        <w:t xml:space="preserve">is the criminal and civil proceedings </w:t>
      </w:r>
      <w:r w:rsidR="00E44F34" w:rsidRPr="00192A62">
        <w:rPr>
          <w:rFonts w:ascii="Times New Roman" w:hAnsi="Times New Roman"/>
        </w:rPr>
        <w:t xml:space="preserve">to which the Confirmation of Application Act </w:t>
      </w:r>
      <w:r w:rsidR="00FC6132" w:rsidRPr="00192A62">
        <w:rPr>
          <w:rFonts w:ascii="Times New Roman" w:hAnsi="Times New Roman"/>
        </w:rPr>
        <w:t xml:space="preserve">applies or will apply </w:t>
      </w:r>
      <w:r w:rsidRPr="00192A62">
        <w:rPr>
          <w:rFonts w:ascii="Times New Roman" w:hAnsi="Times New Roman"/>
        </w:rPr>
        <w:t xml:space="preserve">by s 7 of that Act </w:t>
      </w:r>
      <w:r w:rsidR="00FC6132" w:rsidRPr="00192A62">
        <w:rPr>
          <w:rFonts w:ascii="Times New Roman" w:hAnsi="Times New Roman"/>
        </w:rPr>
        <w:t xml:space="preserve">which determine the scope and essential characteristics of the judicial power affected by that Act. </w:t>
      </w:r>
      <w:r w:rsidR="00E214E9" w:rsidRPr="00192A62">
        <w:rPr>
          <w:rFonts w:ascii="Times New Roman" w:hAnsi="Times New Roman"/>
        </w:rPr>
        <w:t xml:space="preserve">In the context of those existing and future proceedings, the operation </w:t>
      </w:r>
      <w:r w:rsidR="0077636B" w:rsidRPr="00192A62">
        <w:rPr>
          <w:rFonts w:ascii="Times New Roman" w:hAnsi="Times New Roman"/>
        </w:rPr>
        <w:t xml:space="preserve">and effect </w:t>
      </w:r>
      <w:r w:rsidR="00E214E9" w:rsidRPr="00192A62">
        <w:rPr>
          <w:rFonts w:ascii="Times New Roman" w:hAnsi="Times New Roman"/>
        </w:rPr>
        <w:t xml:space="preserve">of </w:t>
      </w:r>
      <w:r w:rsidR="00A947FB" w:rsidRPr="00192A62">
        <w:rPr>
          <w:rFonts w:ascii="Times New Roman" w:hAnsi="Times New Roman"/>
        </w:rPr>
        <w:t xml:space="preserve">s 5 of </w:t>
      </w:r>
      <w:r w:rsidR="00E214E9" w:rsidRPr="00192A62">
        <w:rPr>
          <w:rFonts w:ascii="Times New Roman" w:hAnsi="Times New Roman"/>
        </w:rPr>
        <w:t xml:space="preserve">the Confirmation of Application Act is and can only be to </w:t>
      </w:r>
      <w:r w:rsidR="00D078F4" w:rsidRPr="00192A62">
        <w:rPr>
          <w:rFonts w:ascii="Times New Roman" w:hAnsi="Times New Roman"/>
        </w:rPr>
        <w:t xml:space="preserve">preclude </w:t>
      </w:r>
      <w:r w:rsidR="00E23A96" w:rsidRPr="00192A62">
        <w:rPr>
          <w:rFonts w:ascii="Times New Roman" w:hAnsi="Times New Roman"/>
        </w:rPr>
        <w:t xml:space="preserve">the exclusion of </w:t>
      </w:r>
      <w:r w:rsidR="008C5389" w:rsidRPr="00192A62">
        <w:rPr>
          <w:rFonts w:ascii="Times New Roman" w:hAnsi="Times New Roman"/>
        </w:rPr>
        <w:t>the AN</w:t>
      </w:r>
      <w:r w:rsidR="00943C2B" w:rsidRPr="00192A62">
        <w:rPr>
          <w:rFonts w:ascii="Times New Roman" w:hAnsi="Times New Roman"/>
        </w:rPr>
        <w:t>0</w:t>
      </w:r>
      <w:r w:rsidR="008C5389" w:rsidRPr="00192A62">
        <w:rPr>
          <w:rFonts w:ascii="Times New Roman" w:hAnsi="Times New Roman"/>
        </w:rPr>
        <w:t xml:space="preserve">M communications as relevant </w:t>
      </w:r>
      <w:r w:rsidR="00D078F4" w:rsidRPr="00192A62">
        <w:rPr>
          <w:rFonts w:ascii="Times New Roman" w:hAnsi="Times New Roman"/>
        </w:rPr>
        <w:t xml:space="preserve">evidence </w:t>
      </w:r>
      <w:r w:rsidR="008C5389" w:rsidRPr="00192A62">
        <w:rPr>
          <w:rFonts w:ascii="Times New Roman" w:hAnsi="Times New Roman"/>
        </w:rPr>
        <w:t xml:space="preserve">on the ground that such evidence was illegally obtained in contravention of s 7(1) of the TIA Act. </w:t>
      </w:r>
      <w:r w:rsidR="0077636B" w:rsidRPr="00192A62">
        <w:rPr>
          <w:rFonts w:ascii="Times New Roman" w:hAnsi="Times New Roman"/>
        </w:rPr>
        <w:t xml:space="preserve">That operation and effect is properly characterised as merely evidentiary. </w:t>
      </w:r>
    </w:p>
    <w:p w14:paraId="00914F35" w14:textId="11A3912A" w:rsidR="00AE7D36" w:rsidRPr="00192A62" w:rsidRDefault="00530B9F"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773CF" w:rsidRPr="00192A62">
        <w:rPr>
          <w:rFonts w:ascii="Times New Roman" w:hAnsi="Times New Roman"/>
        </w:rPr>
        <w:t>P</w:t>
      </w:r>
      <w:r w:rsidR="00090AD2" w:rsidRPr="00192A62">
        <w:rPr>
          <w:rFonts w:ascii="Times New Roman" w:hAnsi="Times New Roman"/>
        </w:rPr>
        <w:t xml:space="preserve">roperly </w:t>
      </w:r>
      <w:r w:rsidR="006A67A0" w:rsidRPr="00192A62">
        <w:rPr>
          <w:rFonts w:ascii="Times New Roman" w:hAnsi="Times New Roman"/>
        </w:rPr>
        <w:t>construed</w:t>
      </w:r>
      <w:r w:rsidR="006773CF" w:rsidRPr="00192A62">
        <w:rPr>
          <w:rFonts w:ascii="Times New Roman" w:hAnsi="Times New Roman"/>
        </w:rPr>
        <w:t xml:space="preserve">, </w:t>
      </w:r>
      <w:r w:rsidR="0077636B" w:rsidRPr="00192A62">
        <w:rPr>
          <w:rFonts w:ascii="Times New Roman" w:hAnsi="Times New Roman"/>
        </w:rPr>
        <w:t xml:space="preserve">therefore, </w:t>
      </w:r>
      <w:r w:rsidR="006773CF" w:rsidRPr="00192A62">
        <w:rPr>
          <w:rFonts w:ascii="Times New Roman" w:hAnsi="Times New Roman"/>
        </w:rPr>
        <w:t xml:space="preserve">the impugned law </w:t>
      </w:r>
      <w:r w:rsidR="00410B6F" w:rsidRPr="00192A62">
        <w:rPr>
          <w:rFonts w:ascii="Times New Roman" w:hAnsi="Times New Roman"/>
        </w:rPr>
        <w:t xml:space="preserve">in all its potential operations </w:t>
      </w:r>
      <w:r w:rsidR="006773CF" w:rsidRPr="00192A62">
        <w:rPr>
          <w:rFonts w:ascii="Times New Roman" w:hAnsi="Times New Roman"/>
        </w:rPr>
        <w:t>does not trespass on the exclusive</w:t>
      </w:r>
      <w:r w:rsidR="00C77DC4" w:rsidRPr="00192A62">
        <w:rPr>
          <w:rFonts w:ascii="Times New Roman" w:hAnsi="Times New Roman"/>
        </w:rPr>
        <w:t>ly</w:t>
      </w:r>
      <w:r w:rsidR="006773CF" w:rsidRPr="00192A62">
        <w:rPr>
          <w:rFonts w:ascii="Times New Roman" w:hAnsi="Times New Roman"/>
        </w:rPr>
        <w:t xml:space="preserve"> judicial </w:t>
      </w:r>
      <w:r w:rsidR="00DD6C7C" w:rsidRPr="00192A62">
        <w:rPr>
          <w:rFonts w:ascii="Times New Roman" w:hAnsi="Times New Roman"/>
        </w:rPr>
        <w:t xml:space="preserve">function </w:t>
      </w:r>
      <w:r w:rsidR="006773CF" w:rsidRPr="00192A62">
        <w:rPr>
          <w:rFonts w:ascii="Times New Roman" w:hAnsi="Times New Roman"/>
        </w:rPr>
        <w:t xml:space="preserve">of </w:t>
      </w:r>
      <w:r w:rsidR="007D403C" w:rsidRPr="00192A62">
        <w:rPr>
          <w:rFonts w:ascii="Times New Roman" w:hAnsi="Times New Roman"/>
        </w:rPr>
        <w:t>ad</w:t>
      </w:r>
      <w:r w:rsidR="006773CF" w:rsidRPr="00192A62">
        <w:rPr>
          <w:rFonts w:ascii="Times New Roman" w:hAnsi="Times New Roman"/>
        </w:rPr>
        <w:t xml:space="preserve">judging and punishing criminal guilt. Rather, </w:t>
      </w:r>
      <w:r w:rsidR="006A67A0" w:rsidRPr="00192A62">
        <w:rPr>
          <w:rFonts w:ascii="Times New Roman" w:hAnsi="Times New Roman"/>
        </w:rPr>
        <w:t>the impugned law</w:t>
      </w:r>
      <w:r w:rsidR="00B65629" w:rsidRPr="00192A62">
        <w:rPr>
          <w:rFonts w:ascii="Times New Roman" w:hAnsi="Times New Roman"/>
        </w:rPr>
        <w:t xml:space="preserve"> </w:t>
      </w:r>
      <w:r w:rsidR="00696A67" w:rsidRPr="00192A62">
        <w:rPr>
          <w:rFonts w:ascii="Times New Roman" w:hAnsi="Times New Roman"/>
        </w:rPr>
        <w:t xml:space="preserve">facilitates the admission of evidence </w:t>
      </w:r>
      <w:r w:rsidR="00FD57A0" w:rsidRPr="00192A62">
        <w:rPr>
          <w:rFonts w:ascii="Times New Roman" w:hAnsi="Times New Roman"/>
        </w:rPr>
        <w:t xml:space="preserve">which might otherwise be excluded </w:t>
      </w:r>
      <w:r w:rsidR="006C1C07" w:rsidRPr="00192A62">
        <w:rPr>
          <w:rFonts w:ascii="Times New Roman" w:hAnsi="Times New Roman"/>
        </w:rPr>
        <w:t xml:space="preserve">by </w:t>
      </w:r>
      <w:r w:rsidR="004E55AB" w:rsidRPr="00192A62">
        <w:rPr>
          <w:rFonts w:ascii="Times New Roman" w:hAnsi="Times New Roman"/>
        </w:rPr>
        <w:t xml:space="preserve">either </w:t>
      </w:r>
      <w:r w:rsidR="00DE1C95" w:rsidRPr="00192A62">
        <w:rPr>
          <w:rFonts w:ascii="Times New Roman" w:hAnsi="Times New Roman"/>
        </w:rPr>
        <w:t>ss 63 and 77 of the TIA</w:t>
      </w:r>
      <w:r w:rsidR="00E6616A" w:rsidRPr="00192A62">
        <w:rPr>
          <w:rFonts w:ascii="Times New Roman" w:hAnsi="Times New Roman"/>
        </w:rPr>
        <w:t xml:space="preserve"> Act</w:t>
      </w:r>
      <w:r w:rsidR="00DE1C95" w:rsidRPr="00192A62">
        <w:rPr>
          <w:rFonts w:ascii="Times New Roman" w:hAnsi="Times New Roman"/>
        </w:rPr>
        <w:t xml:space="preserve">, </w:t>
      </w:r>
      <w:r w:rsidR="00D0668B" w:rsidRPr="00192A62">
        <w:rPr>
          <w:rFonts w:ascii="Times New Roman" w:hAnsi="Times New Roman"/>
        </w:rPr>
        <w:t>s </w:t>
      </w:r>
      <w:r w:rsidR="009A7D19" w:rsidRPr="00192A62">
        <w:rPr>
          <w:rFonts w:ascii="Times New Roman" w:hAnsi="Times New Roman"/>
        </w:rPr>
        <w:t xml:space="preserve">138 of the </w:t>
      </w:r>
      <w:r w:rsidR="00A0053F" w:rsidRPr="00192A62">
        <w:rPr>
          <w:rFonts w:ascii="Times New Roman" w:hAnsi="Times New Roman"/>
        </w:rPr>
        <w:t>U</w:t>
      </w:r>
      <w:r w:rsidR="0044228B" w:rsidRPr="00192A62">
        <w:rPr>
          <w:rFonts w:ascii="Times New Roman" w:hAnsi="Times New Roman"/>
        </w:rPr>
        <w:t xml:space="preserve">niform </w:t>
      </w:r>
      <w:r w:rsidR="00A0053F" w:rsidRPr="00192A62">
        <w:rPr>
          <w:rFonts w:ascii="Times New Roman" w:hAnsi="Times New Roman"/>
        </w:rPr>
        <w:t>Evidence Law legislation (</w:t>
      </w:r>
      <w:r w:rsidR="001A1066" w:rsidRPr="00192A62">
        <w:rPr>
          <w:rFonts w:ascii="Times New Roman" w:hAnsi="Times New Roman"/>
        </w:rPr>
        <w:t xml:space="preserve">as </w:t>
      </w:r>
      <w:r w:rsidR="00A0053F" w:rsidRPr="00192A62">
        <w:rPr>
          <w:rFonts w:ascii="Times New Roman" w:hAnsi="Times New Roman"/>
        </w:rPr>
        <w:t xml:space="preserve">enacted </w:t>
      </w:r>
      <w:r w:rsidR="001A1066" w:rsidRPr="00192A62">
        <w:rPr>
          <w:rFonts w:ascii="Times New Roman" w:hAnsi="Times New Roman"/>
        </w:rPr>
        <w:t>by Commonwealth, State or Territory law</w:t>
      </w:r>
      <w:r w:rsidR="00A0053F" w:rsidRPr="00192A62">
        <w:rPr>
          <w:rFonts w:ascii="Times New Roman" w:hAnsi="Times New Roman"/>
        </w:rPr>
        <w:t>)</w:t>
      </w:r>
      <w:r w:rsidR="00DE1C95" w:rsidRPr="00192A62">
        <w:rPr>
          <w:rFonts w:ascii="Times New Roman" w:hAnsi="Times New Roman"/>
        </w:rPr>
        <w:t>,</w:t>
      </w:r>
      <w:r w:rsidR="001A1066" w:rsidRPr="00192A62">
        <w:rPr>
          <w:rFonts w:ascii="Times New Roman" w:hAnsi="Times New Roman"/>
        </w:rPr>
        <w:t xml:space="preserve"> or the common law discretion to exclude </w:t>
      </w:r>
      <w:r w:rsidR="001A1066" w:rsidRPr="00192A62">
        <w:rPr>
          <w:rFonts w:ascii="Times New Roman" w:hAnsi="Times New Roman"/>
        </w:rPr>
        <w:lastRenderedPageBreak/>
        <w:t>illegally obtained evidence</w:t>
      </w:r>
      <w:r w:rsidR="00684B42" w:rsidRPr="00192A62">
        <w:rPr>
          <w:rFonts w:ascii="Times New Roman" w:hAnsi="Times New Roman"/>
        </w:rPr>
        <w:t>.</w:t>
      </w:r>
      <w:r w:rsidR="00F745F8" w:rsidRPr="00192A62">
        <w:rPr>
          <w:rStyle w:val="FootnoteReference"/>
          <w:rFonts w:ascii="Times New Roman" w:hAnsi="Times New Roman"/>
          <w:sz w:val="24"/>
        </w:rPr>
        <w:footnoteReference w:id="36"/>
      </w:r>
      <w:r w:rsidR="001A1066" w:rsidRPr="00192A62">
        <w:rPr>
          <w:rFonts w:ascii="Times New Roman" w:hAnsi="Times New Roman"/>
        </w:rPr>
        <w:t xml:space="preserve"> </w:t>
      </w:r>
      <w:r w:rsidR="00B65629" w:rsidRPr="00192A62">
        <w:rPr>
          <w:rFonts w:ascii="Times New Roman" w:hAnsi="Times New Roman"/>
        </w:rPr>
        <w:t>T</w:t>
      </w:r>
      <w:r w:rsidR="00684B42" w:rsidRPr="00192A62">
        <w:rPr>
          <w:rFonts w:ascii="Times New Roman" w:hAnsi="Times New Roman"/>
        </w:rPr>
        <w:t>he impugned law</w:t>
      </w:r>
      <w:r w:rsidR="006773CF" w:rsidRPr="00192A62">
        <w:rPr>
          <w:rFonts w:ascii="Times New Roman" w:hAnsi="Times New Roman"/>
        </w:rPr>
        <w:t xml:space="preserve"> does not </w:t>
      </w:r>
      <w:r w:rsidR="003C1E6A" w:rsidRPr="00192A62">
        <w:rPr>
          <w:rFonts w:ascii="Times New Roman" w:hAnsi="Times New Roman"/>
        </w:rPr>
        <w:t>involve a "legislative judgment" of criminal guilt</w:t>
      </w:r>
      <w:r w:rsidR="008E13E4" w:rsidRPr="00192A62">
        <w:rPr>
          <w:rFonts w:ascii="Times New Roman" w:hAnsi="Times New Roman"/>
        </w:rPr>
        <w:t xml:space="preserve"> or civil liability</w:t>
      </w:r>
      <w:r w:rsidR="00316F30" w:rsidRPr="00192A62">
        <w:rPr>
          <w:rFonts w:ascii="Times New Roman" w:hAnsi="Times New Roman"/>
        </w:rPr>
        <w:t xml:space="preserve">. It does not deem any </w:t>
      </w:r>
      <w:r w:rsidR="007C6EDE" w:rsidRPr="00192A62">
        <w:rPr>
          <w:rFonts w:ascii="Times New Roman" w:hAnsi="Times New Roman"/>
        </w:rPr>
        <w:t xml:space="preserve">fact which establishes or precludes the establishment of an element of any offence </w:t>
      </w:r>
      <w:r w:rsidR="008E13E4" w:rsidRPr="00192A62">
        <w:rPr>
          <w:rFonts w:ascii="Times New Roman" w:hAnsi="Times New Roman"/>
        </w:rPr>
        <w:t xml:space="preserve">or cause of action </w:t>
      </w:r>
      <w:r w:rsidR="007C6EDE" w:rsidRPr="00192A62">
        <w:rPr>
          <w:rFonts w:ascii="Times New Roman" w:hAnsi="Times New Roman"/>
        </w:rPr>
        <w:t xml:space="preserve">to exist or not to exist. It leaves untouched the elements of the offences with which the </w:t>
      </w:r>
      <w:r w:rsidR="0060738C" w:rsidRPr="00192A62">
        <w:rPr>
          <w:rFonts w:ascii="Times New Roman" w:hAnsi="Times New Roman"/>
        </w:rPr>
        <w:t xml:space="preserve">plaintiffs </w:t>
      </w:r>
      <w:r w:rsidR="007C6EDE" w:rsidRPr="00192A62">
        <w:rPr>
          <w:rFonts w:ascii="Times New Roman" w:hAnsi="Times New Roman"/>
        </w:rPr>
        <w:t xml:space="preserve">have been charged and, indeed, the elements of any offences with which a person may be charged </w:t>
      </w:r>
      <w:r w:rsidR="000A3AF3" w:rsidRPr="00192A62">
        <w:rPr>
          <w:rFonts w:ascii="Times New Roman" w:hAnsi="Times New Roman"/>
        </w:rPr>
        <w:t xml:space="preserve">and in respect of which information obtained under the "relevant warrants" may be probative. </w:t>
      </w:r>
      <w:r w:rsidR="002C63B1" w:rsidRPr="00192A62">
        <w:rPr>
          <w:rFonts w:ascii="Times New Roman" w:hAnsi="Times New Roman"/>
        </w:rPr>
        <w:t xml:space="preserve">It leaves untouched the elements of causes of action in a civil proceeding. </w:t>
      </w:r>
      <w:r w:rsidR="00362F46" w:rsidRPr="00192A62">
        <w:rPr>
          <w:rFonts w:ascii="Times New Roman" w:hAnsi="Times New Roman"/>
        </w:rPr>
        <w:t xml:space="preserve">The impugned legislation merely selects a fact </w:t>
      </w:r>
      <w:r w:rsidR="008E7E36" w:rsidRPr="00192A62">
        <w:rPr>
          <w:rFonts w:ascii="Times New Roman" w:hAnsi="Times New Roman"/>
        </w:rPr>
        <w:t>–</w:t>
      </w:r>
      <w:r w:rsidR="00362F46" w:rsidRPr="00192A62">
        <w:rPr>
          <w:rFonts w:ascii="Times New Roman" w:hAnsi="Times New Roman"/>
        </w:rPr>
        <w:t xml:space="preserve"> being the </w:t>
      </w:r>
      <w:r w:rsidR="004F4AC6" w:rsidRPr="00192A62">
        <w:rPr>
          <w:rFonts w:ascii="Times New Roman" w:hAnsi="Times New Roman"/>
        </w:rPr>
        <w:t xml:space="preserve">obtaining of information or a record under a "relevant warrant" as referred to in s 5(1) </w:t>
      </w:r>
      <w:r w:rsidR="001D0156" w:rsidRPr="00192A62">
        <w:rPr>
          <w:rFonts w:ascii="Times New Roman" w:hAnsi="Times New Roman"/>
        </w:rPr>
        <w:t>–</w:t>
      </w:r>
      <w:r w:rsidR="004F4AC6" w:rsidRPr="00192A62">
        <w:rPr>
          <w:rFonts w:ascii="Times New Roman" w:hAnsi="Times New Roman"/>
        </w:rPr>
        <w:t xml:space="preserve"> and attaches to that fact </w:t>
      </w:r>
      <w:r w:rsidR="005C279C" w:rsidRPr="00192A62">
        <w:rPr>
          <w:rFonts w:ascii="Times New Roman" w:hAnsi="Times New Roman"/>
        </w:rPr>
        <w:t>new legal consequences</w:t>
      </w:r>
      <w:r w:rsidR="00E9224B" w:rsidRPr="00192A62">
        <w:rPr>
          <w:rFonts w:ascii="Times New Roman" w:hAnsi="Times New Roman"/>
        </w:rPr>
        <w:t xml:space="preserve"> </w:t>
      </w:r>
      <w:r w:rsidR="00790A1C" w:rsidRPr="00192A62">
        <w:rPr>
          <w:rFonts w:ascii="Times New Roman" w:hAnsi="Times New Roman"/>
        </w:rPr>
        <w:t xml:space="preserve">or, </w:t>
      </w:r>
      <w:r w:rsidR="00427223" w:rsidRPr="00192A62">
        <w:rPr>
          <w:rFonts w:ascii="Times New Roman" w:hAnsi="Times New Roman"/>
        </w:rPr>
        <w:t>better yet</w:t>
      </w:r>
      <w:r w:rsidR="00790A1C" w:rsidRPr="00192A62">
        <w:rPr>
          <w:rFonts w:ascii="Times New Roman" w:hAnsi="Times New Roman"/>
        </w:rPr>
        <w:t xml:space="preserve">, a new legal character </w:t>
      </w:r>
      <w:r w:rsidR="00E9224B" w:rsidRPr="00192A62">
        <w:rPr>
          <w:rFonts w:ascii="Times New Roman" w:hAnsi="Times New Roman"/>
        </w:rPr>
        <w:t>in criminal and civil proceedings</w:t>
      </w:r>
      <w:r w:rsidR="00221CD2" w:rsidRPr="00192A62">
        <w:rPr>
          <w:rFonts w:ascii="Times New Roman" w:hAnsi="Times New Roman"/>
        </w:rPr>
        <w:t xml:space="preserve">. The new legal </w:t>
      </w:r>
      <w:r w:rsidR="00790A1C" w:rsidRPr="00192A62">
        <w:rPr>
          <w:rFonts w:ascii="Times New Roman" w:hAnsi="Times New Roman"/>
        </w:rPr>
        <w:t xml:space="preserve">character </w:t>
      </w:r>
      <w:r w:rsidR="00221CD2" w:rsidRPr="00192A62">
        <w:rPr>
          <w:rFonts w:ascii="Times New Roman" w:hAnsi="Times New Roman"/>
        </w:rPr>
        <w:t xml:space="preserve">is that the obtaining of information or a record under a "relevant warrant" as referred to in s 5(1) is taken for all </w:t>
      </w:r>
      <w:r w:rsidR="00322154" w:rsidRPr="00192A62">
        <w:rPr>
          <w:rFonts w:ascii="Times New Roman" w:hAnsi="Times New Roman"/>
        </w:rPr>
        <w:t>purposes</w:t>
      </w:r>
      <w:r w:rsidR="00221CD2" w:rsidRPr="00192A62">
        <w:rPr>
          <w:rFonts w:ascii="Times New Roman" w:hAnsi="Times New Roman"/>
        </w:rPr>
        <w:t xml:space="preserve"> to </w:t>
      </w:r>
      <w:r w:rsidR="00322154" w:rsidRPr="00192A62">
        <w:rPr>
          <w:rFonts w:ascii="Times New Roman" w:hAnsi="Times New Roman"/>
        </w:rPr>
        <w:t xml:space="preserve">not have </w:t>
      </w:r>
      <w:r w:rsidR="00221CD2" w:rsidRPr="00192A62">
        <w:rPr>
          <w:rFonts w:ascii="Times New Roman" w:hAnsi="Times New Roman"/>
        </w:rPr>
        <w:t xml:space="preserve">the legal consequences referred to in each of s 5(1)(a) </w:t>
      </w:r>
      <w:r w:rsidR="00322154" w:rsidRPr="00192A62">
        <w:rPr>
          <w:rFonts w:ascii="Times New Roman" w:hAnsi="Times New Roman"/>
        </w:rPr>
        <w:t>(</w:t>
      </w:r>
      <w:r w:rsidR="00FC04FF" w:rsidRPr="00192A62">
        <w:rPr>
          <w:rFonts w:ascii="Times New Roman" w:hAnsi="Times New Roman"/>
        </w:rPr>
        <w:t>not to have been, and always not to have been, intercepted while passing over a telecommunications system) and s 5(1)(b) (not to have been, and always not to have been, information or a record obtained by intercepting a communication passing over a telecommunications system).</w:t>
      </w:r>
    </w:p>
    <w:p w14:paraId="381A96FF" w14:textId="069915B1" w:rsidR="00D504CE" w:rsidRPr="00192A62" w:rsidRDefault="00D504CE"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4A0A6E" w:rsidRPr="00192A62">
        <w:rPr>
          <w:rFonts w:ascii="Times New Roman" w:hAnsi="Times New Roman"/>
        </w:rPr>
        <w:t>T</w:t>
      </w:r>
      <w:r w:rsidR="005E378C" w:rsidRPr="00192A62">
        <w:rPr>
          <w:rFonts w:ascii="Times New Roman" w:hAnsi="Times New Roman"/>
        </w:rPr>
        <w:t xml:space="preserve">he </w:t>
      </w:r>
      <w:r w:rsidR="002A02C8" w:rsidRPr="00192A62">
        <w:rPr>
          <w:rFonts w:ascii="Times New Roman" w:hAnsi="Times New Roman"/>
        </w:rPr>
        <w:t xml:space="preserve">best </w:t>
      </w:r>
      <w:r w:rsidR="005E378C" w:rsidRPr="00192A62">
        <w:rPr>
          <w:rFonts w:ascii="Times New Roman" w:hAnsi="Times New Roman"/>
        </w:rPr>
        <w:t xml:space="preserve">characterisation of </w:t>
      </w:r>
      <w:r w:rsidR="00972A59" w:rsidRPr="00192A62">
        <w:rPr>
          <w:rFonts w:ascii="Times New Roman" w:hAnsi="Times New Roman"/>
        </w:rPr>
        <w:t xml:space="preserve">s 5(1)(a) and (b), </w:t>
      </w:r>
      <w:r w:rsidR="002A02C8" w:rsidRPr="00192A62">
        <w:rPr>
          <w:rFonts w:ascii="Times New Roman" w:hAnsi="Times New Roman"/>
        </w:rPr>
        <w:t>therefore</w:t>
      </w:r>
      <w:r w:rsidR="00972A59" w:rsidRPr="00192A62">
        <w:rPr>
          <w:rFonts w:ascii="Times New Roman" w:hAnsi="Times New Roman"/>
        </w:rPr>
        <w:t xml:space="preserve">, is that advanced by the Solicitor-General </w:t>
      </w:r>
      <w:r w:rsidR="00E00E60" w:rsidRPr="00192A62">
        <w:rPr>
          <w:rFonts w:ascii="Times New Roman" w:hAnsi="Times New Roman"/>
        </w:rPr>
        <w:t xml:space="preserve">of </w:t>
      </w:r>
      <w:r w:rsidR="00972A59" w:rsidRPr="00192A62">
        <w:rPr>
          <w:rFonts w:ascii="Times New Roman" w:hAnsi="Times New Roman"/>
        </w:rPr>
        <w:t xml:space="preserve">the Commonwealth that these provisions </w:t>
      </w:r>
      <w:r w:rsidR="0036685E" w:rsidRPr="00192A62">
        <w:rPr>
          <w:rFonts w:ascii="Times New Roman" w:hAnsi="Times New Roman"/>
        </w:rPr>
        <w:t xml:space="preserve">specify "how certain facts should be characterised against a </w:t>
      </w:r>
      <w:r w:rsidR="00D42B1C" w:rsidRPr="00192A62">
        <w:rPr>
          <w:rFonts w:ascii="Times New Roman" w:hAnsi="Times New Roman"/>
        </w:rPr>
        <w:t>'</w:t>
      </w:r>
      <w:r w:rsidR="0036685E" w:rsidRPr="00192A62">
        <w:rPr>
          <w:rFonts w:ascii="Times New Roman" w:hAnsi="Times New Roman"/>
        </w:rPr>
        <w:t>statutory concept</w:t>
      </w:r>
      <w:r w:rsidR="00D42B1C" w:rsidRPr="00192A62">
        <w:rPr>
          <w:rFonts w:ascii="Times New Roman" w:hAnsi="Times New Roman"/>
        </w:rPr>
        <w:t>'</w:t>
      </w:r>
      <w:r w:rsidR="0036685E" w:rsidRPr="00192A62">
        <w:rPr>
          <w:rFonts w:ascii="Times New Roman" w:hAnsi="Times New Roman"/>
        </w:rPr>
        <w:t xml:space="preserve"> (being a legal characterisation that would otherwise have turned upon how various defined terms and deeming provisions in the [TIA] Act applied in light of the facts as found)"</w:t>
      </w:r>
      <w:r w:rsidR="00D42B1C" w:rsidRPr="00192A62">
        <w:rPr>
          <w:rFonts w:ascii="Times New Roman" w:hAnsi="Times New Roman"/>
        </w:rPr>
        <w:t>.</w:t>
      </w:r>
      <w:r w:rsidR="00EE0AE4" w:rsidRPr="00192A62">
        <w:rPr>
          <w:rFonts w:ascii="Times New Roman" w:hAnsi="Times New Roman"/>
        </w:rPr>
        <w:t xml:space="preserve"> </w:t>
      </w:r>
      <w:r w:rsidR="004578DD" w:rsidRPr="00192A62">
        <w:rPr>
          <w:rFonts w:ascii="Times New Roman" w:hAnsi="Times New Roman"/>
        </w:rPr>
        <w:t>T</w:t>
      </w:r>
      <w:r w:rsidR="00EE0AE4" w:rsidRPr="00192A62">
        <w:rPr>
          <w:rFonts w:ascii="Times New Roman" w:hAnsi="Times New Roman"/>
        </w:rPr>
        <w:t>hat is, the provisions deem "certain facts not to answer, and never to have answered, a particular statutory description"</w:t>
      </w:r>
      <w:r w:rsidR="007E30C9" w:rsidRPr="00192A62">
        <w:rPr>
          <w:rFonts w:ascii="Times New Roman" w:hAnsi="Times New Roman"/>
        </w:rPr>
        <w:t>.</w:t>
      </w:r>
      <w:r w:rsidR="001922B2" w:rsidRPr="00192A62">
        <w:rPr>
          <w:rStyle w:val="FootnoteReference"/>
          <w:rFonts w:ascii="Times New Roman" w:hAnsi="Times New Roman"/>
          <w:sz w:val="24"/>
        </w:rPr>
        <w:footnoteReference w:id="37"/>
      </w:r>
      <w:r w:rsidR="00947E53" w:rsidRPr="00192A62">
        <w:rPr>
          <w:rFonts w:ascii="Times New Roman" w:hAnsi="Times New Roman"/>
        </w:rPr>
        <w:t xml:space="preserve"> </w:t>
      </w:r>
    </w:p>
    <w:p w14:paraId="4CB52BA5" w14:textId="29B75FAD" w:rsidR="00BE610C" w:rsidRPr="00192A62" w:rsidRDefault="00BE610C"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evidentiary character of s 5(1)(a) and (b) </w:t>
      </w:r>
      <w:r w:rsidR="00E73E7E" w:rsidRPr="00192A62">
        <w:rPr>
          <w:rFonts w:ascii="Times New Roman" w:hAnsi="Times New Roman"/>
        </w:rPr>
        <w:t>–</w:t>
      </w:r>
      <w:r w:rsidR="00FC2AE4" w:rsidRPr="00192A62">
        <w:rPr>
          <w:rFonts w:ascii="Times New Roman" w:hAnsi="Times New Roman"/>
        </w:rPr>
        <w:t xml:space="preserve"> their operation to </w:t>
      </w:r>
      <w:r w:rsidR="00715EA8" w:rsidRPr="00192A62">
        <w:rPr>
          <w:rFonts w:ascii="Times New Roman" w:hAnsi="Times New Roman"/>
        </w:rPr>
        <w:t>merely</w:t>
      </w:r>
      <w:r w:rsidR="00FC2AE4" w:rsidRPr="00192A62">
        <w:rPr>
          <w:rFonts w:ascii="Times New Roman" w:hAnsi="Times New Roman"/>
        </w:rPr>
        <w:t xml:space="preserve"> facilitate the admission of relevant e</w:t>
      </w:r>
      <w:r w:rsidR="00715EA8" w:rsidRPr="00192A62">
        <w:rPr>
          <w:rFonts w:ascii="Times New Roman" w:hAnsi="Times New Roman"/>
        </w:rPr>
        <w:t xml:space="preserve">vidence which might otherwise be excluded by either </w:t>
      </w:r>
      <w:r w:rsidR="00522BC6" w:rsidRPr="00192A62">
        <w:rPr>
          <w:rFonts w:ascii="Times New Roman" w:hAnsi="Times New Roman"/>
        </w:rPr>
        <w:t>ss 63 and 77 of the TIA</w:t>
      </w:r>
      <w:r w:rsidR="00401E7F" w:rsidRPr="00192A62">
        <w:rPr>
          <w:rFonts w:ascii="Times New Roman" w:hAnsi="Times New Roman"/>
        </w:rPr>
        <w:t xml:space="preserve"> Act</w:t>
      </w:r>
      <w:r w:rsidR="00522BC6" w:rsidRPr="00192A62">
        <w:rPr>
          <w:rFonts w:ascii="Times New Roman" w:hAnsi="Times New Roman"/>
        </w:rPr>
        <w:t xml:space="preserve">, </w:t>
      </w:r>
      <w:r w:rsidR="00715EA8" w:rsidRPr="00192A62">
        <w:rPr>
          <w:rFonts w:ascii="Times New Roman" w:hAnsi="Times New Roman"/>
        </w:rPr>
        <w:t>s 138 of the Uniform Evidence Law legislation (as enacted by Commonwealth, State or Territory law)</w:t>
      </w:r>
      <w:r w:rsidR="00522BC6" w:rsidRPr="00192A62">
        <w:rPr>
          <w:rFonts w:ascii="Times New Roman" w:hAnsi="Times New Roman"/>
        </w:rPr>
        <w:t>,</w:t>
      </w:r>
      <w:r w:rsidR="00715EA8" w:rsidRPr="00192A62">
        <w:rPr>
          <w:rFonts w:ascii="Times New Roman" w:hAnsi="Times New Roman"/>
        </w:rPr>
        <w:t xml:space="preserve"> or the common law discretion to exclude illegally obtained evidence</w:t>
      </w:r>
      <w:r w:rsidR="00715EA8" w:rsidRPr="00192A62">
        <w:rPr>
          <w:rStyle w:val="FootnoteReference"/>
          <w:rFonts w:ascii="Times New Roman" w:hAnsi="Times New Roman"/>
          <w:sz w:val="24"/>
        </w:rPr>
        <w:footnoteReference w:id="38"/>
      </w:r>
      <w:r w:rsidR="00715EA8" w:rsidRPr="00192A62">
        <w:rPr>
          <w:rFonts w:ascii="Times New Roman" w:hAnsi="Times New Roman"/>
        </w:rPr>
        <w:t xml:space="preserve"> </w:t>
      </w:r>
      <w:r w:rsidR="00E73E7E" w:rsidRPr="00192A62">
        <w:rPr>
          <w:rFonts w:ascii="Times New Roman" w:hAnsi="Times New Roman"/>
        </w:rPr>
        <w:t>–</w:t>
      </w:r>
      <w:r w:rsidR="00130484" w:rsidRPr="00192A62">
        <w:rPr>
          <w:rFonts w:ascii="Times New Roman" w:hAnsi="Times New Roman"/>
        </w:rPr>
        <w:t xml:space="preserve"> also </w:t>
      </w:r>
      <w:r w:rsidR="007A60E7" w:rsidRPr="00192A62">
        <w:rPr>
          <w:rFonts w:ascii="Times New Roman" w:hAnsi="Times New Roman"/>
        </w:rPr>
        <w:t>leave</w:t>
      </w:r>
      <w:r w:rsidR="0034488B" w:rsidRPr="00192A62">
        <w:rPr>
          <w:rFonts w:ascii="Times New Roman" w:hAnsi="Times New Roman"/>
        </w:rPr>
        <w:t>s</w:t>
      </w:r>
      <w:r w:rsidR="007A60E7" w:rsidRPr="00192A62">
        <w:rPr>
          <w:rFonts w:ascii="Times New Roman" w:hAnsi="Times New Roman"/>
        </w:rPr>
        <w:t xml:space="preserve"> unaffected </w:t>
      </w:r>
      <w:r w:rsidR="00B12420" w:rsidRPr="00192A62">
        <w:rPr>
          <w:rFonts w:ascii="Times New Roman" w:hAnsi="Times New Roman"/>
        </w:rPr>
        <w:t xml:space="preserve">other </w:t>
      </w:r>
      <w:r w:rsidR="00552A86" w:rsidRPr="00192A62">
        <w:rPr>
          <w:rFonts w:ascii="Times New Roman" w:hAnsi="Times New Roman"/>
        </w:rPr>
        <w:t>statutory</w:t>
      </w:r>
      <w:r w:rsidR="00B12420" w:rsidRPr="00192A62">
        <w:rPr>
          <w:rFonts w:ascii="Times New Roman" w:hAnsi="Times New Roman"/>
        </w:rPr>
        <w:t xml:space="preserve"> and common law </w:t>
      </w:r>
      <w:r w:rsidR="00552A86" w:rsidRPr="00192A62">
        <w:rPr>
          <w:rFonts w:ascii="Times New Roman" w:hAnsi="Times New Roman"/>
        </w:rPr>
        <w:t>discretions</w:t>
      </w:r>
      <w:r w:rsidR="00B12420" w:rsidRPr="00192A62">
        <w:rPr>
          <w:rFonts w:ascii="Times New Roman" w:hAnsi="Times New Roman"/>
        </w:rPr>
        <w:t xml:space="preserve"> to exclude </w:t>
      </w:r>
      <w:r w:rsidR="00552A86" w:rsidRPr="00192A62">
        <w:rPr>
          <w:rFonts w:ascii="Times New Roman" w:hAnsi="Times New Roman"/>
        </w:rPr>
        <w:t>otherwise</w:t>
      </w:r>
      <w:r w:rsidR="00B12420" w:rsidRPr="00192A62">
        <w:rPr>
          <w:rFonts w:ascii="Times New Roman" w:hAnsi="Times New Roman"/>
        </w:rPr>
        <w:t xml:space="preserve"> rel</w:t>
      </w:r>
      <w:r w:rsidR="00552A86" w:rsidRPr="00192A62">
        <w:rPr>
          <w:rFonts w:ascii="Times New Roman" w:hAnsi="Times New Roman"/>
        </w:rPr>
        <w:t>e</w:t>
      </w:r>
      <w:r w:rsidR="00B12420" w:rsidRPr="00192A62">
        <w:rPr>
          <w:rFonts w:ascii="Times New Roman" w:hAnsi="Times New Roman"/>
        </w:rPr>
        <w:t>vant evidence</w:t>
      </w:r>
      <w:r w:rsidR="00EE696F" w:rsidRPr="00192A62">
        <w:rPr>
          <w:rFonts w:ascii="Times New Roman" w:hAnsi="Times New Roman"/>
        </w:rPr>
        <w:t xml:space="preserve"> unrelated to the discretion to exclude illegally obtained evidence. Accordingly, </w:t>
      </w:r>
      <w:r w:rsidR="007E10D6" w:rsidRPr="00192A62">
        <w:rPr>
          <w:rFonts w:ascii="Times New Roman" w:hAnsi="Times New Roman"/>
        </w:rPr>
        <w:lastRenderedPageBreak/>
        <w:t>t</w:t>
      </w:r>
      <w:r w:rsidR="00552A86" w:rsidRPr="00192A62">
        <w:rPr>
          <w:rFonts w:ascii="Times New Roman" w:hAnsi="Times New Roman"/>
        </w:rPr>
        <w:t xml:space="preserve">here is no principled distinction between that operation of the impugned law and the law challenged in </w:t>
      </w:r>
      <w:r w:rsidR="00552A86" w:rsidRPr="00192A62">
        <w:rPr>
          <w:rFonts w:ascii="Times New Roman" w:hAnsi="Times New Roman"/>
          <w:i/>
          <w:iCs/>
        </w:rPr>
        <w:t>Nicholas</w:t>
      </w:r>
      <w:r w:rsidR="00552A86" w:rsidRPr="00192A62">
        <w:rPr>
          <w:rFonts w:ascii="Times New Roman" w:hAnsi="Times New Roman"/>
        </w:rPr>
        <w:t xml:space="preserve">. </w:t>
      </w:r>
    </w:p>
    <w:p w14:paraId="475694A2" w14:textId="3BE36E4A" w:rsidR="00552A86" w:rsidRPr="00192A62" w:rsidRDefault="00552A8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478F8" w:rsidRPr="00192A62">
        <w:rPr>
          <w:rFonts w:ascii="Times New Roman" w:hAnsi="Times New Roman"/>
        </w:rPr>
        <w:t>That the impugned law involves no exercise of or impermissible trespass onto judicial power also emerges from consideration of the terms of the provision, s 7(1) of the TIA</w:t>
      </w:r>
      <w:r w:rsidR="00401E7F" w:rsidRPr="00192A62">
        <w:rPr>
          <w:rFonts w:ascii="Times New Roman" w:hAnsi="Times New Roman"/>
        </w:rPr>
        <w:t xml:space="preserve"> Act</w:t>
      </w:r>
      <w:r w:rsidR="008478F8" w:rsidRPr="00192A62">
        <w:rPr>
          <w:rFonts w:ascii="Times New Roman" w:hAnsi="Times New Roman"/>
        </w:rPr>
        <w:t xml:space="preserve">, </w:t>
      </w:r>
      <w:r w:rsidR="00ED5A69" w:rsidRPr="00192A62">
        <w:rPr>
          <w:rFonts w:ascii="Times New Roman" w:hAnsi="Times New Roman"/>
        </w:rPr>
        <w:t xml:space="preserve">in respect of </w:t>
      </w:r>
      <w:r w:rsidR="008478F8" w:rsidRPr="00192A62">
        <w:rPr>
          <w:rFonts w:ascii="Times New Roman" w:hAnsi="Times New Roman"/>
        </w:rPr>
        <w:t xml:space="preserve">which </w:t>
      </w:r>
      <w:r w:rsidR="00ED5A69" w:rsidRPr="00192A62">
        <w:rPr>
          <w:rFonts w:ascii="Times New Roman" w:hAnsi="Times New Roman"/>
        </w:rPr>
        <w:t xml:space="preserve">s 5(1)(a) and (b) operate. </w:t>
      </w:r>
      <w:r w:rsidR="009C0795" w:rsidRPr="00192A62">
        <w:rPr>
          <w:rFonts w:ascii="Times New Roman" w:hAnsi="Times New Roman"/>
        </w:rPr>
        <w:t>Section</w:t>
      </w:r>
      <w:r w:rsidR="00693F1B" w:rsidRPr="00192A62">
        <w:rPr>
          <w:rFonts w:ascii="Times New Roman" w:hAnsi="Times New Roman"/>
        </w:rPr>
        <w:t> </w:t>
      </w:r>
      <w:r w:rsidR="009C0795" w:rsidRPr="00192A62">
        <w:rPr>
          <w:rFonts w:ascii="Times New Roman" w:hAnsi="Times New Roman"/>
        </w:rPr>
        <w:t xml:space="preserve">7(1) creates a statutory prohibition (interception of a communication passing over a telecommunications system), contravention of which has </w:t>
      </w:r>
      <w:r w:rsidR="0054611A" w:rsidRPr="00192A62">
        <w:rPr>
          <w:rFonts w:ascii="Times New Roman" w:hAnsi="Times New Roman"/>
        </w:rPr>
        <w:t>statutory consequences including those in ss 63 and 77 of the TIA</w:t>
      </w:r>
      <w:r w:rsidR="00401E7F" w:rsidRPr="00192A62">
        <w:rPr>
          <w:rFonts w:ascii="Times New Roman" w:hAnsi="Times New Roman"/>
        </w:rPr>
        <w:t xml:space="preserve"> Act</w:t>
      </w:r>
      <w:r w:rsidR="0054611A" w:rsidRPr="00192A62">
        <w:rPr>
          <w:rFonts w:ascii="Times New Roman" w:hAnsi="Times New Roman"/>
        </w:rPr>
        <w:t xml:space="preserve">. It was always open to the Commonwealth </w:t>
      </w:r>
      <w:r w:rsidR="00A554B2" w:rsidRPr="00192A62">
        <w:rPr>
          <w:rFonts w:ascii="Times New Roman" w:hAnsi="Times New Roman"/>
        </w:rPr>
        <w:t xml:space="preserve">in the exercise of its legislative power </w:t>
      </w:r>
      <w:r w:rsidR="0054611A" w:rsidRPr="00192A62">
        <w:rPr>
          <w:rFonts w:ascii="Times New Roman" w:hAnsi="Times New Roman"/>
        </w:rPr>
        <w:t xml:space="preserve">to define facts within and outside of the scope of the statutory prohibition. The Commonwealth did so </w:t>
      </w:r>
      <w:r w:rsidR="006B7397" w:rsidRPr="00192A62">
        <w:rPr>
          <w:rFonts w:ascii="Times New Roman" w:hAnsi="Times New Roman"/>
        </w:rPr>
        <w:t xml:space="preserve">in </w:t>
      </w:r>
      <w:r w:rsidR="00884FA5" w:rsidRPr="00192A62">
        <w:rPr>
          <w:rFonts w:ascii="Times New Roman" w:hAnsi="Times New Roman"/>
        </w:rPr>
        <w:t>several</w:t>
      </w:r>
      <w:r w:rsidR="006B7397" w:rsidRPr="00192A62">
        <w:rPr>
          <w:rFonts w:ascii="Times New Roman" w:hAnsi="Times New Roman"/>
        </w:rPr>
        <w:t xml:space="preserve"> ways </w:t>
      </w:r>
      <w:r w:rsidR="00A554B2" w:rsidRPr="00192A62">
        <w:rPr>
          <w:rFonts w:ascii="Times New Roman" w:hAnsi="Times New Roman"/>
        </w:rPr>
        <w:t xml:space="preserve">in the </w:t>
      </w:r>
      <w:r w:rsidR="003D5371" w:rsidRPr="00192A62">
        <w:rPr>
          <w:rFonts w:ascii="Times New Roman" w:hAnsi="Times New Roman"/>
        </w:rPr>
        <w:t xml:space="preserve">TIA Act </w:t>
      </w:r>
      <w:r w:rsidR="006B7397" w:rsidRPr="00192A62">
        <w:rPr>
          <w:rFonts w:ascii="Times New Roman" w:hAnsi="Times New Roman"/>
        </w:rPr>
        <w:t>including</w:t>
      </w:r>
      <w:r w:rsidR="00884FA5" w:rsidRPr="00192A62">
        <w:rPr>
          <w:rFonts w:ascii="Times New Roman" w:hAnsi="Times New Roman"/>
        </w:rPr>
        <w:t>, for example,</w:t>
      </w:r>
      <w:r w:rsidR="006B7397" w:rsidRPr="00192A62">
        <w:rPr>
          <w:rFonts w:ascii="Times New Roman" w:hAnsi="Times New Roman"/>
        </w:rPr>
        <w:t xml:space="preserve"> ss 7(2) (</w:t>
      </w:r>
      <w:r w:rsidR="00884FA5" w:rsidRPr="00192A62">
        <w:rPr>
          <w:rFonts w:ascii="Times New Roman" w:hAnsi="Times New Roman"/>
        </w:rPr>
        <w:t xml:space="preserve">s 7(1) "does not apply to or in relation to" the facts in </w:t>
      </w:r>
      <w:r w:rsidR="00A8780D" w:rsidRPr="00192A62">
        <w:rPr>
          <w:rFonts w:ascii="Times New Roman" w:hAnsi="Times New Roman"/>
        </w:rPr>
        <w:t>paras</w:t>
      </w:r>
      <w:r w:rsidR="00884FA5" w:rsidRPr="00192A62">
        <w:rPr>
          <w:rFonts w:ascii="Times New Roman" w:hAnsi="Times New Roman"/>
        </w:rPr>
        <w:t xml:space="preserve"> (a)-(d))</w:t>
      </w:r>
      <w:r w:rsidR="000817D3" w:rsidRPr="00192A62">
        <w:rPr>
          <w:rFonts w:ascii="Times New Roman" w:hAnsi="Times New Roman"/>
        </w:rPr>
        <w:t xml:space="preserve"> and</w:t>
      </w:r>
      <w:r w:rsidR="00884FA5" w:rsidRPr="00192A62">
        <w:rPr>
          <w:rFonts w:ascii="Times New Roman" w:hAnsi="Times New Roman"/>
        </w:rPr>
        <w:t xml:space="preserve"> 7(</w:t>
      </w:r>
      <w:r w:rsidR="007A7BCB" w:rsidRPr="00192A62">
        <w:rPr>
          <w:rFonts w:ascii="Times New Roman" w:hAnsi="Times New Roman"/>
        </w:rPr>
        <w:t>4</w:t>
      </w:r>
      <w:r w:rsidR="00884FA5" w:rsidRPr="00192A62">
        <w:rPr>
          <w:rFonts w:ascii="Times New Roman" w:hAnsi="Times New Roman"/>
        </w:rPr>
        <w:t xml:space="preserve">) </w:t>
      </w:r>
      <w:r w:rsidR="007A7BCB" w:rsidRPr="00192A62">
        <w:rPr>
          <w:rFonts w:ascii="Times New Roman" w:hAnsi="Times New Roman"/>
        </w:rPr>
        <w:t>(s 7(1) "does not apply to</w:t>
      </w:r>
      <w:r w:rsidR="00763F42" w:rsidRPr="00192A62">
        <w:rPr>
          <w:rFonts w:ascii="Times New Roman" w:hAnsi="Times New Roman"/>
        </w:rPr>
        <w:t>,</w:t>
      </w:r>
      <w:r w:rsidR="007A7BCB" w:rsidRPr="00192A62">
        <w:rPr>
          <w:rFonts w:ascii="Times New Roman" w:hAnsi="Times New Roman"/>
        </w:rPr>
        <w:t xml:space="preserve"> or in relation to" the facts in paras (a)-(</w:t>
      </w:r>
      <w:r w:rsidR="00182625" w:rsidRPr="00192A62">
        <w:rPr>
          <w:rFonts w:ascii="Times New Roman" w:hAnsi="Times New Roman"/>
        </w:rPr>
        <w:t>c)</w:t>
      </w:r>
      <w:r w:rsidR="00411F1C" w:rsidRPr="00192A62">
        <w:rPr>
          <w:rFonts w:ascii="Times New Roman" w:hAnsi="Times New Roman"/>
        </w:rPr>
        <w:t>)</w:t>
      </w:r>
      <w:r w:rsidR="000817D3" w:rsidRPr="00192A62">
        <w:rPr>
          <w:rFonts w:ascii="Times New Roman" w:hAnsi="Times New Roman"/>
        </w:rPr>
        <w:t xml:space="preserve">. Further, when </w:t>
      </w:r>
      <w:r w:rsidR="00BD28D6" w:rsidRPr="00192A62">
        <w:rPr>
          <w:rFonts w:ascii="Times New Roman" w:hAnsi="Times New Roman"/>
        </w:rPr>
        <w:t xml:space="preserve">giving </w:t>
      </w:r>
      <w:r w:rsidR="005A6C58" w:rsidRPr="00192A62">
        <w:rPr>
          <w:rFonts w:ascii="Times New Roman" w:hAnsi="Times New Roman"/>
        </w:rPr>
        <w:t xml:space="preserve">meaning </w:t>
      </w:r>
      <w:r w:rsidR="00BD28D6" w:rsidRPr="00192A62">
        <w:rPr>
          <w:rFonts w:ascii="Times New Roman" w:hAnsi="Times New Roman"/>
        </w:rPr>
        <w:t xml:space="preserve">to </w:t>
      </w:r>
      <w:r w:rsidR="005A6C58" w:rsidRPr="00192A62">
        <w:rPr>
          <w:rFonts w:ascii="Times New Roman" w:hAnsi="Times New Roman"/>
        </w:rPr>
        <w:t xml:space="preserve">certain key concepts </w:t>
      </w:r>
      <w:r w:rsidR="00543650" w:rsidRPr="00192A62">
        <w:rPr>
          <w:rFonts w:ascii="Times New Roman" w:hAnsi="Times New Roman"/>
        </w:rPr>
        <w:t>in ss 5F, 5G</w:t>
      </w:r>
      <w:r w:rsidR="003C7A41" w:rsidRPr="00192A62">
        <w:rPr>
          <w:rFonts w:ascii="Times New Roman" w:hAnsi="Times New Roman"/>
        </w:rPr>
        <w:t>,</w:t>
      </w:r>
      <w:r w:rsidR="00543650" w:rsidRPr="00192A62">
        <w:rPr>
          <w:rFonts w:ascii="Times New Roman" w:hAnsi="Times New Roman"/>
        </w:rPr>
        <w:t xml:space="preserve"> 5H </w:t>
      </w:r>
      <w:r w:rsidR="003C7A41" w:rsidRPr="00192A62">
        <w:rPr>
          <w:rFonts w:ascii="Times New Roman" w:hAnsi="Times New Roman"/>
        </w:rPr>
        <w:t xml:space="preserve">and 6, </w:t>
      </w:r>
      <w:r w:rsidR="00543650" w:rsidRPr="00192A62">
        <w:rPr>
          <w:rFonts w:ascii="Times New Roman" w:hAnsi="Times New Roman"/>
        </w:rPr>
        <w:t xml:space="preserve">the </w:t>
      </w:r>
      <w:r w:rsidR="003D5371" w:rsidRPr="00192A62">
        <w:rPr>
          <w:rFonts w:ascii="Times New Roman" w:hAnsi="Times New Roman"/>
        </w:rPr>
        <w:t xml:space="preserve">TIA Act </w:t>
      </w:r>
      <w:r w:rsidR="00A554B2" w:rsidRPr="00192A62">
        <w:rPr>
          <w:rFonts w:ascii="Times New Roman" w:hAnsi="Times New Roman"/>
        </w:rPr>
        <w:t xml:space="preserve">uses </w:t>
      </w:r>
      <w:r w:rsidR="00BD28D6" w:rsidRPr="00192A62">
        <w:rPr>
          <w:rFonts w:ascii="Times New Roman" w:hAnsi="Times New Roman"/>
        </w:rPr>
        <w:t>several</w:t>
      </w:r>
      <w:r w:rsidR="00A554B2" w:rsidRPr="00192A62">
        <w:rPr>
          <w:rFonts w:ascii="Times New Roman" w:hAnsi="Times New Roman"/>
        </w:rPr>
        <w:t xml:space="preserve"> drafting techniques including deeming </w:t>
      </w:r>
      <w:r w:rsidR="00BD28D6" w:rsidRPr="00192A62">
        <w:rPr>
          <w:rFonts w:ascii="Times New Roman" w:hAnsi="Times New Roman"/>
        </w:rPr>
        <w:t>(s 5</w:t>
      </w:r>
      <w:r w:rsidR="000E03B3" w:rsidRPr="00192A62">
        <w:rPr>
          <w:rFonts w:ascii="Times New Roman" w:hAnsi="Times New Roman"/>
        </w:rPr>
        <w:t>F</w:t>
      </w:r>
      <w:r w:rsidR="00BD28D6" w:rsidRPr="00192A62">
        <w:rPr>
          <w:rFonts w:ascii="Times New Roman" w:hAnsi="Times New Roman"/>
        </w:rPr>
        <w:t xml:space="preserve">(a) and (b), "is taken to"), </w:t>
      </w:r>
      <w:r w:rsidR="00B94E8B" w:rsidRPr="00192A62">
        <w:rPr>
          <w:rFonts w:ascii="Times New Roman" w:hAnsi="Times New Roman"/>
        </w:rPr>
        <w:t>conditional application (s</w:t>
      </w:r>
      <w:r w:rsidR="00205853" w:rsidRPr="00192A62">
        <w:rPr>
          <w:rFonts w:ascii="Times New Roman" w:hAnsi="Times New Roman"/>
        </w:rPr>
        <w:t>s</w:t>
      </w:r>
      <w:r w:rsidR="00B94E8B" w:rsidRPr="00192A62">
        <w:rPr>
          <w:rFonts w:ascii="Times New Roman" w:hAnsi="Times New Roman"/>
        </w:rPr>
        <w:t> 5G</w:t>
      </w:r>
      <w:r w:rsidR="00AC712E" w:rsidRPr="00192A62">
        <w:rPr>
          <w:rFonts w:ascii="Times New Roman" w:hAnsi="Times New Roman"/>
        </w:rPr>
        <w:t xml:space="preserve"> and 5H</w:t>
      </w:r>
      <w:r w:rsidR="003A2AD6" w:rsidRPr="00192A62">
        <w:rPr>
          <w:rFonts w:ascii="Times New Roman" w:hAnsi="Times New Roman"/>
        </w:rPr>
        <w:t>(1)</w:t>
      </w:r>
      <w:r w:rsidR="00F05B11" w:rsidRPr="00192A62">
        <w:rPr>
          <w:rFonts w:ascii="Times New Roman" w:hAnsi="Times New Roman"/>
        </w:rPr>
        <w:t>,</w:t>
      </w:r>
      <w:r w:rsidR="00B94E8B" w:rsidRPr="00192A62">
        <w:rPr>
          <w:rFonts w:ascii="Times New Roman" w:hAnsi="Times New Roman"/>
        </w:rPr>
        <w:t xml:space="preserve"> "if</w:t>
      </w:r>
      <w:r w:rsidR="00741E3E" w:rsidRPr="00192A62">
        <w:rPr>
          <w:rFonts w:ascii="Times New Roman" w:hAnsi="Times New Roman"/>
        </w:rPr>
        <w:t>"</w:t>
      </w:r>
      <w:r w:rsidR="00B94E8B" w:rsidRPr="00192A62">
        <w:rPr>
          <w:rFonts w:ascii="Times New Roman" w:hAnsi="Times New Roman"/>
        </w:rPr>
        <w:t xml:space="preserve"> ...</w:t>
      </w:r>
      <w:r w:rsidR="00741E3E" w:rsidRPr="00192A62">
        <w:rPr>
          <w:rFonts w:ascii="Times New Roman" w:hAnsi="Times New Roman"/>
        </w:rPr>
        <w:t xml:space="preserve"> </w:t>
      </w:r>
      <w:r w:rsidR="00B94E8B" w:rsidRPr="00192A62">
        <w:rPr>
          <w:rFonts w:ascii="Times New Roman" w:hAnsi="Times New Roman"/>
        </w:rPr>
        <w:t xml:space="preserve">then), and </w:t>
      </w:r>
      <w:r w:rsidR="00E91083" w:rsidRPr="00192A62">
        <w:rPr>
          <w:rFonts w:ascii="Times New Roman" w:hAnsi="Times New Roman"/>
        </w:rPr>
        <w:t>defining (s 6(1)</w:t>
      </w:r>
      <w:r w:rsidR="00F05B11" w:rsidRPr="00192A62">
        <w:rPr>
          <w:rFonts w:ascii="Times New Roman" w:hAnsi="Times New Roman"/>
        </w:rPr>
        <w:t>,</w:t>
      </w:r>
      <w:r w:rsidR="00E91083" w:rsidRPr="00192A62">
        <w:rPr>
          <w:rFonts w:ascii="Times New Roman" w:hAnsi="Times New Roman"/>
        </w:rPr>
        <w:t xml:space="preserve"> "...</w:t>
      </w:r>
      <w:r w:rsidR="00A66B8D" w:rsidRPr="00192A62">
        <w:rPr>
          <w:rFonts w:ascii="Times New Roman" w:hAnsi="Times New Roman"/>
        </w:rPr>
        <w:t xml:space="preserve"> </w:t>
      </w:r>
      <w:r w:rsidR="00E91083" w:rsidRPr="00192A62">
        <w:rPr>
          <w:rFonts w:ascii="Times New Roman" w:hAnsi="Times New Roman"/>
        </w:rPr>
        <w:t xml:space="preserve">consists of"). </w:t>
      </w:r>
      <w:r w:rsidR="003D5371" w:rsidRPr="00192A62">
        <w:rPr>
          <w:rFonts w:ascii="Times New Roman" w:hAnsi="Times New Roman"/>
        </w:rPr>
        <w:t xml:space="preserve">It would have been within </w:t>
      </w:r>
      <w:r w:rsidR="0049424F" w:rsidRPr="00192A62">
        <w:rPr>
          <w:rFonts w:ascii="Times New Roman" w:hAnsi="Times New Roman"/>
        </w:rPr>
        <w:t xml:space="preserve">legislative </w:t>
      </w:r>
      <w:r w:rsidR="003D5371" w:rsidRPr="00192A62">
        <w:rPr>
          <w:rFonts w:ascii="Times New Roman" w:hAnsi="Times New Roman"/>
        </w:rPr>
        <w:t xml:space="preserve">power for the </w:t>
      </w:r>
      <w:r w:rsidR="009646D3" w:rsidRPr="00192A62">
        <w:rPr>
          <w:rFonts w:ascii="Times New Roman" w:hAnsi="Times New Roman"/>
        </w:rPr>
        <w:t>Commonwealth</w:t>
      </w:r>
      <w:r w:rsidR="003D5371" w:rsidRPr="00192A62">
        <w:rPr>
          <w:rFonts w:ascii="Times New Roman" w:hAnsi="Times New Roman"/>
        </w:rPr>
        <w:t xml:space="preserve">, </w:t>
      </w:r>
      <w:r w:rsidR="009646D3" w:rsidRPr="00192A62">
        <w:rPr>
          <w:rFonts w:ascii="Times New Roman" w:hAnsi="Times New Roman"/>
        </w:rPr>
        <w:t xml:space="preserve">at the time of enactment of the TIA Act, to deem </w:t>
      </w:r>
      <w:r w:rsidR="00204EEC" w:rsidRPr="00192A62">
        <w:rPr>
          <w:rFonts w:ascii="Times New Roman" w:hAnsi="Times New Roman"/>
        </w:rPr>
        <w:t xml:space="preserve">s 7(1) </w:t>
      </w:r>
      <w:r w:rsidR="009646D3" w:rsidRPr="00192A62">
        <w:rPr>
          <w:rFonts w:ascii="Times New Roman" w:hAnsi="Times New Roman"/>
        </w:rPr>
        <w:t xml:space="preserve">not to </w:t>
      </w:r>
      <w:r w:rsidR="00204EEC" w:rsidRPr="00192A62">
        <w:rPr>
          <w:rFonts w:ascii="Times New Roman" w:hAnsi="Times New Roman"/>
        </w:rPr>
        <w:t xml:space="preserve">apply to certain information and records (such as information and records obtained under specified warrants). </w:t>
      </w:r>
      <w:r w:rsidR="0049424F" w:rsidRPr="00192A62">
        <w:rPr>
          <w:rFonts w:ascii="Times New Roman" w:hAnsi="Times New Roman"/>
        </w:rPr>
        <w:t xml:space="preserve">It therefore follows that it is within the legislative power </w:t>
      </w:r>
      <w:r w:rsidR="00097589" w:rsidRPr="00192A62">
        <w:rPr>
          <w:rFonts w:ascii="Times New Roman" w:hAnsi="Times New Roman"/>
        </w:rPr>
        <w:t xml:space="preserve">of </w:t>
      </w:r>
      <w:r w:rsidR="0049424F" w:rsidRPr="00192A62">
        <w:rPr>
          <w:rFonts w:ascii="Times New Roman" w:hAnsi="Times New Roman"/>
        </w:rPr>
        <w:t xml:space="preserve">the Commonwealth, after the enactment of the TIA Act, to </w:t>
      </w:r>
      <w:r w:rsidR="00663BEA" w:rsidRPr="00192A62">
        <w:rPr>
          <w:rFonts w:ascii="Times New Roman" w:hAnsi="Times New Roman"/>
        </w:rPr>
        <w:t>deem s 7(1) not to apply to certain information and records either by amendment to the TIA Act or</w:t>
      </w:r>
      <w:r w:rsidR="00F577E8" w:rsidRPr="00192A62">
        <w:rPr>
          <w:rFonts w:ascii="Times New Roman" w:hAnsi="Times New Roman"/>
        </w:rPr>
        <w:t xml:space="preserve"> by another Act. </w:t>
      </w:r>
      <w:r w:rsidR="00766793" w:rsidRPr="00192A62">
        <w:rPr>
          <w:rFonts w:ascii="Times New Roman" w:hAnsi="Times New Roman"/>
        </w:rPr>
        <w:t xml:space="preserve">That the Commonwealth has achieved the same effect by a different drafting technique in </w:t>
      </w:r>
      <w:r w:rsidR="00663BEA" w:rsidRPr="00192A62">
        <w:rPr>
          <w:rFonts w:ascii="Times New Roman" w:hAnsi="Times New Roman"/>
        </w:rPr>
        <w:t>the impugned law</w:t>
      </w:r>
      <w:r w:rsidR="00F577E8" w:rsidRPr="00192A62">
        <w:rPr>
          <w:rFonts w:ascii="Times New Roman" w:hAnsi="Times New Roman"/>
        </w:rPr>
        <w:t xml:space="preserve"> </w:t>
      </w:r>
      <w:r w:rsidR="00F56693" w:rsidRPr="00192A62">
        <w:rPr>
          <w:rFonts w:ascii="Times New Roman" w:hAnsi="Times New Roman"/>
        </w:rPr>
        <w:t>does not take the impugned law outside of the Commonwealth's legislative power.</w:t>
      </w:r>
      <w:r w:rsidR="00663BEA" w:rsidRPr="00192A62">
        <w:rPr>
          <w:rFonts w:ascii="Times New Roman" w:hAnsi="Times New Roman"/>
        </w:rPr>
        <w:t xml:space="preserve"> </w:t>
      </w:r>
    </w:p>
    <w:p w14:paraId="4875C7ED" w14:textId="7C54F18B" w:rsidR="00E037D5" w:rsidRPr="00192A62" w:rsidRDefault="00E037D5"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8009F" w:rsidRPr="00192A62">
        <w:rPr>
          <w:rFonts w:ascii="Times New Roman" w:hAnsi="Times New Roman"/>
        </w:rPr>
        <w:t>Although argument focused on s 5, no independent argument was put with respect to s 6</w:t>
      </w:r>
      <w:r w:rsidR="00A601FB" w:rsidRPr="00192A62">
        <w:rPr>
          <w:rFonts w:ascii="Times New Roman" w:hAnsi="Times New Roman"/>
        </w:rPr>
        <w:t>. Accordingly, t</w:t>
      </w:r>
      <w:r w:rsidRPr="00192A62">
        <w:rPr>
          <w:rFonts w:ascii="Times New Roman" w:hAnsi="Times New Roman"/>
        </w:rPr>
        <w:t>hese conclusions apply with equal force to ss 5 and 6 of the Confirmation of Application Act.</w:t>
      </w:r>
    </w:p>
    <w:p w14:paraId="20534072" w14:textId="2C0E8CAF" w:rsidR="00572B6C" w:rsidRPr="00192A62" w:rsidRDefault="00E037D5" w:rsidP="00192A62">
      <w:pPr>
        <w:pStyle w:val="HeadingL1"/>
        <w:spacing w:after="260" w:line="280" w:lineRule="exact"/>
        <w:ind w:right="0"/>
        <w:jc w:val="both"/>
        <w:rPr>
          <w:rFonts w:ascii="Times New Roman" w:hAnsi="Times New Roman"/>
        </w:rPr>
      </w:pPr>
      <w:r w:rsidRPr="00192A62">
        <w:rPr>
          <w:rFonts w:ascii="Times New Roman" w:hAnsi="Times New Roman"/>
        </w:rPr>
        <w:t>C</w:t>
      </w:r>
      <w:r w:rsidR="00572B6C" w:rsidRPr="00192A62">
        <w:rPr>
          <w:rFonts w:ascii="Times New Roman" w:hAnsi="Times New Roman"/>
        </w:rPr>
        <w:t>onclusion and orders</w:t>
      </w:r>
    </w:p>
    <w:p w14:paraId="07398EEF" w14:textId="77777777" w:rsidR="009A04F1" w:rsidRDefault="00E037D5" w:rsidP="00192A62">
      <w:pPr>
        <w:pStyle w:val="FixListStyle"/>
        <w:spacing w:after="260" w:line="280" w:lineRule="exact"/>
        <w:ind w:right="0"/>
        <w:jc w:val="both"/>
        <w:rPr>
          <w:rFonts w:ascii="Times New Roman" w:hAnsi="Times New Roman"/>
        </w:rPr>
      </w:pPr>
      <w:r w:rsidRPr="00192A62">
        <w:rPr>
          <w:rFonts w:ascii="Times New Roman" w:hAnsi="Times New Roman"/>
        </w:rPr>
        <w:tab/>
        <w:t>For these reasons</w:t>
      </w:r>
      <w:r w:rsidR="007C64B4" w:rsidRPr="00192A62">
        <w:rPr>
          <w:rFonts w:ascii="Times New Roman" w:hAnsi="Times New Roman"/>
        </w:rPr>
        <w:t>,</w:t>
      </w:r>
      <w:r w:rsidRPr="00192A62">
        <w:rPr>
          <w:rFonts w:ascii="Times New Roman" w:hAnsi="Times New Roman"/>
        </w:rPr>
        <w:t xml:space="preserve"> the </w:t>
      </w:r>
      <w:r w:rsidR="009F3CF5" w:rsidRPr="00192A62">
        <w:rPr>
          <w:rFonts w:ascii="Times New Roman" w:hAnsi="Times New Roman"/>
        </w:rPr>
        <w:t xml:space="preserve">questions of law </w:t>
      </w:r>
      <w:r w:rsidR="00FA4D41" w:rsidRPr="00192A62">
        <w:rPr>
          <w:rFonts w:ascii="Times New Roman" w:hAnsi="Times New Roman"/>
        </w:rPr>
        <w:t xml:space="preserve">stated in the special </w:t>
      </w:r>
      <w:r w:rsidR="00EB7B6E" w:rsidRPr="00192A62">
        <w:rPr>
          <w:rFonts w:ascii="Times New Roman" w:hAnsi="Times New Roman"/>
        </w:rPr>
        <w:t xml:space="preserve">case </w:t>
      </w:r>
      <w:r w:rsidR="009F3CF5" w:rsidRPr="00192A62">
        <w:rPr>
          <w:rFonts w:ascii="Times New Roman" w:hAnsi="Times New Roman"/>
        </w:rPr>
        <w:t xml:space="preserve">are to be answered </w:t>
      </w:r>
      <w:r w:rsidR="00FA4D41" w:rsidRPr="00192A62">
        <w:rPr>
          <w:rFonts w:ascii="Times New Roman" w:hAnsi="Times New Roman"/>
        </w:rPr>
        <w:t xml:space="preserve">in the negative. </w:t>
      </w:r>
      <w:r w:rsidR="009B11C7" w:rsidRPr="00192A62">
        <w:rPr>
          <w:rFonts w:ascii="Times New Roman" w:hAnsi="Times New Roman"/>
        </w:rPr>
        <w:t xml:space="preserve">The plaintiffs should pay the defendant's costs of the special case. </w:t>
      </w:r>
      <w:r w:rsidR="007C64B4" w:rsidRPr="00192A62">
        <w:rPr>
          <w:rFonts w:ascii="Times New Roman" w:hAnsi="Times New Roman"/>
        </w:rPr>
        <w:t>It also follows that the grant of special l</w:t>
      </w:r>
      <w:r w:rsidR="00B6576F" w:rsidRPr="00192A62">
        <w:rPr>
          <w:rFonts w:ascii="Times New Roman" w:hAnsi="Times New Roman"/>
        </w:rPr>
        <w:t>e</w:t>
      </w:r>
      <w:r w:rsidR="007C64B4" w:rsidRPr="00192A62">
        <w:rPr>
          <w:rFonts w:ascii="Times New Roman" w:hAnsi="Times New Roman"/>
        </w:rPr>
        <w:t xml:space="preserve">ave </w:t>
      </w:r>
      <w:r w:rsidR="001E2BF1" w:rsidRPr="00192A62">
        <w:rPr>
          <w:rFonts w:ascii="Times New Roman" w:hAnsi="Times New Roman"/>
        </w:rPr>
        <w:t xml:space="preserve">to appeal </w:t>
      </w:r>
      <w:r w:rsidR="007C64B4" w:rsidRPr="00192A62">
        <w:rPr>
          <w:rFonts w:ascii="Times New Roman" w:hAnsi="Times New Roman"/>
        </w:rPr>
        <w:t xml:space="preserve">must be revoked. </w:t>
      </w:r>
    </w:p>
    <w:p w14:paraId="4DF48F83" w14:textId="77777777" w:rsidR="009A04F1" w:rsidRDefault="009A04F1" w:rsidP="00192A62">
      <w:pPr>
        <w:pStyle w:val="FixListStyle"/>
        <w:spacing w:after="260" w:line="280" w:lineRule="exact"/>
        <w:ind w:right="0"/>
        <w:jc w:val="both"/>
        <w:rPr>
          <w:rFonts w:ascii="Times New Roman" w:hAnsi="Times New Roman"/>
        </w:rPr>
        <w:sectPr w:rsidR="009A04F1" w:rsidSect="005F7663">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2F47F62D" w14:textId="77777777" w:rsidR="009A04F1" w:rsidRPr="001C7E7B" w:rsidRDefault="009A04F1" w:rsidP="001C7E7B">
      <w:pPr>
        <w:pStyle w:val="NormalBody"/>
        <w:tabs>
          <w:tab w:val="clear" w:pos="720"/>
          <w:tab w:val="left" w:pos="0"/>
        </w:tabs>
        <w:spacing w:after="260" w:line="280" w:lineRule="exact"/>
        <w:ind w:right="0"/>
        <w:jc w:val="both"/>
        <w:rPr>
          <w:rFonts w:ascii="Times New Roman" w:hAnsi="Times New Roman"/>
        </w:rPr>
      </w:pPr>
      <w:r w:rsidRPr="001C7E7B">
        <w:rPr>
          <w:rFonts w:ascii="Times New Roman" w:hAnsi="Times New Roman"/>
        </w:rPr>
        <w:lastRenderedPageBreak/>
        <w:t xml:space="preserve">EDELMAN J.   </w:t>
      </w:r>
    </w:p>
    <w:p w14:paraId="76BBF3C9"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 xml:space="preserve">A cunning plan, a legal issue, and a challenge to a legislative fix </w:t>
      </w:r>
    </w:p>
    <w:p w14:paraId="2384654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Between October 2018 and June 2021, the Australian Federal Police ("the AFP") conducted a large-scale operation. The operation, named "Operation Ironside", was conducted alongside operations by the Federal Bureau of Investigations in the United States and, later, also by State police in Australia. The genesis of Operation Ironside was the discovery by the AFP that an end-to-end encryption application called AN0M was being privately developed. The AFP obtained control of that development process and installed the AN0M application on mobile phones which had their usual telephone and messaging features disabled. The AFP caused 921 of the mobile phones with AN0M installed to be distributed to 21 people across Australia in circumstances where it was anticipated that they would be used by people engaged in criminal activities.</w:t>
      </w:r>
    </w:p>
    <w:p w14:paraId="292D0C3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Operation Ironside had one ingenious feature. Unknown to the users of the AN0M application, clicking the "send" icon for any message (including those with photo or voice memo attachments) composed on an AN0M-enabled device would trigger the creation of a second message in the AN0M application which was a copy of the user's message together with some additional data from the user's device. The secretly copied message and data were sent at the same time as the user's message, via the same server, to a server described as the iBot server from which it was re-transmitted to servers in Sydney that the AFP could access through retrieval software. The AFP received copies of approximately 28 million messages from the AN0M application as part of Operation Ironside. </w:t>
      </w:r>
    </w:p>
    <w:p w14:paraId="403A43C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Operation Ironside led to the arrest of more than 390 people and many prosecutions in Australia. The appellants in the appeal before this Court, who are also the plaintiffs in the special case before this Court, were among those who were arrested and charged with offences including participating in a criminal organisation</w:t>
      </w:r>
      <w:r w:rsidRPr="001C7E7B">
        <w:rPr>
          <w:rStyle w:val="FootnoteReference"/>
          <w:rFonts w:ascii="Times New Roman" w:hAnsi="Times New Roman"/>
          <w:sz w:val="24"/>
        </w:rPr>
        <w:footnoteReference w:id="39"/>
      </w:r>
      <w:r w:rsidRPr="001C7E7B">
        <w:rPr>
          <w:rFonts w:ascii="Times New Roman" w:hAnsi="Times New Roman"/>
        </w:rPr>
        <w:t xml:space="preserve"> and possession of prohibited items, including firearms.</w:t>
      </w:r>
      <w:r w:rsidRPr="001C7E7B">
        <w:rPr>
          <w:rStyle w:val="FootnoteReference"/>
          <w:rFonts w:ascii="Times New Roman" w:hAnsi="Times New Roman"/>
          <w:sz w:val="24"/>
        </w:rPr>
        <w:footnoteReference w:id="40"/>
      </w:r>
      <w:r w:rsidRPr="001C7E7B">
        <w:rPr>
          <w:rFonts w:ascii="Times New Roman" w:hAnsi="Times New Roman"/>
        </w:rPr>
        <w:t xml:space="preserve"> The prosecution case against each appellant includes evidence that each of them possessed and used an AN0M device to send or transmit communications which disclosed the offences. </w:t>
      </w:r>
    </w:p>
    <w:p w14:paraId="164783D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AFP obtained the copies of the AN0M communications under two surveillance device warrants and five computer access warrants issued pursuant to the </w:t>
      </w:r>
      <w:r w:rsidRPr="001C7E7B">
        <w:rPr>
          <w:rFonts w:ascii="Times New Roman" w:hAnsi="Times New Roman"/>
          <w:i/>
          <w:iCs/>
        </w:rPr>
        <w:t>Surveillance Devices Act 2004 </w:t>
      </w:r>
      <w:r w:rsidRPr="001C7E7B">
        <w:rPr>
          <w:rFonts w:ascii="Times New Roman" w:hAnsi="Times New Roman"/>
        </w:rPr>
        <w:t xml:space="preserve">(Cth). The AFP also accessed a second set of data relating to the AN0M communications under four search warrants issued pursuant to s 3E of the </w:t>
      </w:r>
      <w:r w:rsidRPr="001C7E7B">
        <w:rPr>
          <w:rFonts w:ascii="Times New Roman" w:hAnsi="Times New Roman"/>
          <w:i/>
          <w:iCs/>
        </w:rPr>
        <w:t>Crimes Act 1914 </w:t>
      </w:r>
      <w:r w:rsidRPr="001C7E7B">
        <w:rPr>
          <w:rFonts w:ascii="Times New Roman" w:hAnsi="Times New Roman"/>
        </w:rPr>
        <w:t xml:space="preserve">(Cth). But the AFP made a considered </w:t>
      </w:r>
      <w:r w:rsidRPr="001C7E7B">
        <w:rPr>
          <w:rFonts w:ascii="Times New Roman" w:hAnsi="Times New Roman"/>
        </w:rPr>
        <w:lastRenderedPageBreak/>
        <w:t xml:space="preserve">decision not to seek a warrant under the </w:t>
      </w:r>
      <w:r w:rsidRPr="001C7E7B">
        <w:rPr>
          <w:rFonts w:ascii="Times New Roman" w:hAnsi="Times New Roman"/>
          <w:i/>
          <w:iCs/>
        </w:rPr>
        <w:t>Telecommunications (Interception and Access) Act 1979 </w:t>
      </w:r>
      <w:r w:rsidRPr="001C7E7B">
        <w:rPr>
          <w:rFonts w:ascii="Times New Roman" w:hAnsi="Times New Roman"/>
        </w:rPr>
        <w:t>(Cth) ("the TIA Act"), due to an assumption that the TIA Act did not apply to the information obtained by the AFP.</w:t>
      </w:r>
    </w:p>
    <w:p w14:paraId="509A62D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In the prosecutions of the appellants, the assumption that the TIA Act did not apply to the AN0M communications was challenged. One basis upon which the appellants sought to exclude evidence of, and evidence related to, those communications from the prosecutions was that in the absence of a warrant under the TIA Act, those communications were unlawfully intercepted, contrary to s 7(1) of the TIA Act, and were inadmissible under ss 63(1)(a) and 77(1)(a) of the TIA Act. The appellants' challenge failed before the primary judge. The appellants' challenge also failed on one of the questions of law reserved for the determination of the Court of Appeal of the Supreme Court of South Australia</w:t>
      </w:r>
      <w:r w:rsidRPr="001C7E7B">
        <w:rPr>
          <w:rStyle w:val="FootnoteReference"/>
          <w:rFonts w:ascii="Times New Roman" w:hAnsi="Times New Roman"/>
          <w:sz w:val="24"/>
        </w:rPr>
        <w:footnoteReference w:id="41"/>
      </w:r>
      <w:r w:rsidRPr="001C7E7B">
        <w:rPr>
          <w:rFonts w:ascii="Times New Roman" w:hAnsi="Times New Roman"/>
        </w:rPr>
        <w:t xml:space="preserve"> which concerned this issue.</w:t>
      </w:r>
      <w:r w:rsidRPr="001C7E7B">
        <w:rPr>
          <w:rStyle w:val="FootnoteReference"/>
          <w:rFonts w:ascii="Times New Roman" w:hAnsi="Times New Roman"/>
          <w:sz w:val="24"/>
        </w:rPr>
        <w:footnoteReference w:id="42"/>
      </w:r>
      <w:r w:rsidRPr="001C7E7B">
        <w:rPr>
          <w:rFonts w:ascii="Times New Roman" w:hAnsi="Times New Roman"/>
        </w:rPr>
        <w:t xml:space="preserve"> On 7 November 2024, special leave to appeal from the Court of Appeal was granted by this Court.</w:t>
      </w:r>
    </w:p>
    <w:p w14:paraId="4DCEBCB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Only a fortnight after the grant of special leave to appeal, the Attorney-General of the Commonwealth introduced the </w:t>
      </w:r>
      <w:r w:rsidRPr="001C7E7B">
        <w:rPr>
          <w:rFonts w:ascii="Times New Roman" w:hAnsi="Times New Roman"/>
          <w:i/>
          <w:iCs/>
        </w:rPr>
        <w:t>Surveillance Legislation (Confirmation of Application) Bill 2024 </w:t>
      </w:r>
      <w:r w:rsidRPr="001C7E7B">
        <w:rPr>
          <w:rFonts w:ascii="Times New Roman" w:hAnsi="Times New Roman"/>
        </w:rPr>
        <w:t>(Cth) into the House of Representatives. As the Attorney-General explained in his Second Reading Speech for the Bill that became "the Confirmation Act",</w:t>
      </w:r>
      <w:r w:rsidRPr="001C7E7B">
        <w:rPr>
          <w:rStyle w:val="FootnoteReference"/>
          <w:rFonts w:ascii="Times New Roman" w:hAnsi="Times New Roman"/>
          <w:sz w:val="24"/>
        </w:rPr>
        <w:footnoteReference w:id="43"/>
      </w:r>
      <w:r w:rsidRPr="001C7E7B">
        <w:rPr>
          <w:rFonts w:ascii="Times New Roman" w:hAnsi="Times New Roman"/>
        </w:rPr>
        <w:t xml:space="preserve"> the Confirmation Act was designed to "clarify that information collected by the Australian Federal Police during Operation Ironside was lawfully obtained ... consistent with the decisions of the Supreme Court of South Australia and the South Australian Court of Appeal".</w:t>
      </w:r>
      <w:r w:rsidRPr="001C7E7B">
        <w:rPr>
          <w:rStyle w:val="FootnoteReference"/>
          <w:rFonts w:ascii="Times New Roman" w:hAnsi="Times New Roman"/>
          <w:sz w:val="24"/>
        </w:rPr>
        <w:footnoteReference w:id="44"/>
      </w:r>
      <w:r w:rsidRPr="001C7E7B">
        <w:rPr>
          <w:rFonts w:ascii="Times New Roman" w:hAnsi="Times New Roman"/>
        </w:rPr>
        <w:t xml:space="preserve"> The Confirmation Act commenced on 11 December 2024.</w:t>
      </w:r>
      <w:r w:rsidRPr="001C7E7B">
        <w:rPr>
          <w:rStyle w:val="FootnoteReference"/>
          <w:rFonts w:ascii="Times New Roman" w:hAnsi="Times New Roman"/>
          <w:sz w:val="24"/>
        </w:rPr>
        <w:footnoteReference w:id="45"/>
      </w:r>
      <w:r w:rsidRPr="001C7E7B">
        <w:rPr>
          <w:rFonts w:ascii="Times New Roman" w:hAnsi="Times New Roman"/>
        </w:rPr>
        <w:t xml:space="preserve"> The appellants, as plaintiffs, challenged the validity of the Confirmation Act.</w:t>
      </w:r>
    </w:p>
    <w:p w14:paraId="0F2B179F"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By a special case, the plaintiffs and the Commonwealth agreed to state questions for the opinion of this Court asking whether the Confirmation Act is invalid, in whole or in part, because: (i) it is an impermissible exercise by the Commonwealth Parliament of the judicial power of the Commonwealth; or (ii) it impermissibly interferes with and undermines the institutional integrity of courts vested with federal jurisdiction. </w:t>
      </w:r>
    </w:p>
    <w:p w14:paraId="0335DF6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The special case was listed for hearing concurrently with the appeal. The questions raised by the special case are anterior to the issues raised by the appeal. If valid, the Confirmation Act would have the effect that the issues concerning the interpretation of s 7(1) of the TIA Act would be moot in this case. The plaintiffs accepted that if the Confirmation Act is valid then special leave to appeal should be revoked. Oral submissions concerning the appeal were therefore deferred </w:t>
      </w:r>
      <w:r w:rsidRPr="001C7E7B" w:rsidDel="00464B61">
        <w:rPr>
          <w:rFonts w:ascii="Times New Roman" w:hAnsi="Times New Roman"/>
        </w:rPr>
        <w:t xml:space="preserve">until </w:t>
      </w:r>
      <w:r w:rsidRPr="001C7E7B">
        <w:rPr>
          <w:rFonts w:ascii="Times New Roman" w:hAnsi="Times New Roman"/>
        </w:rPr>
        <w:t>the resolution of the anterior questions raised by the special case. For the reasons below, those anterior questions concerning the validity of the Confirmation Act should be answered adversely to the plaintiffs. Special leave to appeal should be revoked.</w:t>
      </w:r>
    </w:p>
    <w:p w14:paraId="44C7D4BF"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The legal proceedings prior to the special case</w:t>
      </w:r>
    </w:p>
    <w:p w14:paraId="41397FE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7(1)(c) of the TIA Act provides that "[a] person shall not ... do any act or thing that will enable him or her or another person to intercept ... a communication passing over a telecommunications system". Section 6(1) of the TIA Act relevantly provides that "interception of a communication passing over a telecommunications system consists of listening to or recording, by any means, such a communication in its passage over that telecommunications system without the knowledge of the person making the communication". Section 5F of the TIA Act provides that "a communication ... is taken to start passing over a telecommunications system when it is sent or transmitted by the person sending the communication" and "is taken to continue to pass over the system until it becomes accessible to the intended recipient of the communication". Section 5G(a) of the TIA Act relevantly provides that "if the communication is addressed to an individual" then "the intended recipient of [the] communication" is the individual.</w:t>
      </w:r>
    </w:p>
    <w:p w14:paraId="55ED7E1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 xml:space="preserve"> </w:t>
      </w:r>
      <w:r w:rsidRPr="001C7E7B">
        <w:rPr>
          <w:rFonts w:ascii="Times New Roman" w:hAnsi="Times New Roman"/>
        </w:rPr>
        <w:tab/>
        <w:t>The appellants brought an interlocutory application challenging the admissibility of the AN0M communications on the basis that they were unlawfully intercepted contrary to s 7(1) of the TIA Act. The primary judge dismissed the appellants' interlocutory application. The primary judge reasoned that although the mobile phones were part of the telecommunications system, the AN0M application installed on those phones was not.</w:t>
      </w:r>
      <w:r w:rsidRPr="001C7E7B">
        <w:rPr>
          <w:rStyle w:val="FootnoteReference"/>
          <w:rFonts w:ascii="Times New Roman" w:hAnsi="Times New Roman"/>
          <w:sz w:val="24"/>
        </w:rPr>
        <w:footnoteReference w:id="46"/>
      </w:r>
      <w:r w:rsidRPr="001C7E7B">
        <w:rPr>
          <w:rFonts w:ascii="Times New Roman" w:hAnsi="Times New Roman"/>
        </w:rPr>
        <w:t xml:space="preserve"> The primary judge also held that the word "sent", read in the context of the word "transmitted", requires more than the pressing of a button on a mobile phone. The primary judge then reasoned that the copies of the AN0M communications were created before encryption and before the message passed to the operating system of the mobile phone so that there was no "interception" contrary to s 7(1) of the TIA Act.</w:t>
      </w:r>
      <w:r w:rsidRPr="001C7E7B">
        <w:rPr>
          <w:rStyle w:val="FootnoteReference"/>
          <w:rFonts w:ascii="Times New Roman" w:hAnsi="Times New Roman"/>
          <w:sz w:val="24"/>
        </w:rPr>
        <w:footnoteReference w:id="47"/>
      </w:r>
    </w:p>
    <w:p w14:paraId="130B0DC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primary judge subsequently stated two questions of law for the consideration of the Court of Appeal. In broad terms, those questions </w:t>
      </w:r>
      <w:r w:rsidRPr="001C7E7B">
        <w:rPr>
          <w:rFonts w:ascii="Times New Roman" w:hAnsi="Times New Roman"/>
        </w:rPr>
        <w:lastRenderedPageBreak/>
        <w:t xml:space="preserve">asked: (i) whether the AN0M application and system involved an interception of a communication passing over a telecommunications system contrary to s 7(1) of the TIA Act; and (ii) if so, whether the information and records obtained as a result of that interception were admissible at the appellants' trial. </w:t>
      </w:r>
    </w:p>
    <w:p w14:paraId="2A1C4178"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Court of Appeal held that the mobile phones and the AN0M application installed on those phones were part of the telecommunications system.</w:t>
      </w:r>
      <w:r w:rsidRPr="001C7E7B">
        <w:rPr>
          <w:rStyle w:val="FootnoteReference"/>
          <w:rFonts w:ascii="Times New Roman" w:hAnsi="Times New Roman"/>
          <w:sz w:val="24"/>
        </w:rPr>
        <w:footnoteReference w:id="48"/>
      </w:r>
      <w:r w:rsidRPr="001C7E7B">
        <w:rPr>
          <w:rFonts w:ascii="Times New Roman" w:hAnsi="Times New Roman"/>
        </w:rPr>
        <w:t xml:space="preserve"> But the Court of Appeal did not accept that the AN0M communications had been copied and the additional data added while the communications were "passing over" the telecommunications system (having been "sent or transmitted"). The Court of Appeal accepted that its conclusion might be thought by some to "lack intuitive appeal" and accepted that the creation of a copy of the original message, and the additional data added to the copy, by the AN0M application processes occurred after the user clicked "send". But the Court of Appeal held that even when the mobile phone was connected to the internet: (i) those processes took place while the data representing the original message was still being processed by the AN0M application as a preparatory step before sending; and (ii) the process of encryption of the original message and the copy was also a step preparatory to the message being sent.</w:t>
      </w:r>
      <w:r w:rsidRPr="001C7E7B">
        <w:rPr>
          <w:rStyle w:val="FootnoteReference"/>
          <w:rFonts w:ascii="Times New Roman" w:hAnsi="Times New Roman"/>
          <w:sz w:val="24"/>
        </w:rPr>
        <w:footnoteReference w:id="49"/>
      </w:r>
    </w:p>
    <w:p w14:paraId="190858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appellants obtained a grant of special leave to appeal to this Court from the decision of the Court of Appeal. The notices of appeal and contention before this Court raise the same issues as in the courts below, including whether the processes of copying the AN0M communications and adding additional data involved an interception of a communication passing over a telecommunications system contrary to s 7(1) of the TIA Act. But this appeal is not concerned with other exclusion applications brought in the Supreme Court of South Australia, including by one of the appellants seeking the exclusion of some or all of the evidence of the AN0M communications on the basis of the invalidity of some or all of the warrants obtained under the </w:t>
      </w:r>
      <w:r w:rsidRPr="001C7E7B">
        <w:rPr>
          <w:rFonts w:ascii="Times New Roman" w:hAnsi="Times New Roman"/>
          <w:i/>
          <w:iCs/>
        </w:rPr>
        <w:t>Surveillance Devices Act</w:t>
      </w:r>
      <w:r w:rsidRPr="001C7E7B">
        <w:rPr>
          <w:rFonts w:ascii="Times New Roman" w:hAnsi="Times New Roman"/>
        </w:rPr>
        <w:t xml:space="preserve"> and the </w:t>
      </w:r>
      <w:r w:rsidRPr="001C7E7B">
        <w:rPr>
          <w:rFonts w:ascii="Times New Roman" w:hAnsi="Times New Roman"/>
          <w:i/>
          <w:iCs/>
        </w:rPr>
        <w:t>Crimes Act</w:t>
      </w:r>
      <w:r w:rsidRPr="001C7E7B">
        <w:rPr>
          <w:rFonts w:ascii="Times New Roman" w:hAnsi="Times New Roman"/>
        </w:rPr>
        <w:t>.</w:t>
      </w:r>
    </w:p>
    <w:p w14:paraId="703B2A9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Confirmation Act, with which the special case is concerned, was enacted against this background and while the present appeal was pending before this Court.</w:t>
      </w:r>
    </w:p>
    <w:p w14:paraId="28DEA4C0"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The Confirmation Act and the questions in the special case</w:t>
      </w:r>
    </w:p>
    <w:p w14:paraId="006319D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Bill that became the Confirmation Act was said to be "targeted in its scope and will only apply to information or records obtained under a specified </w:t>
      </w:r>
      <w:r w:rsidRPr="001C7E7B">
        <w:rPr>
          <w:rFonts w:ascii="Times New Roman" w:hAnsi="Times New Roman"/>
        </w:rPr>
        <w:lastRenderedPageBreak/>
        <w:t>range of warrants issued in connection with Operation Ironside".</w:t>
      </w:r>
      <w:r w:rsidRPr="001C7E7B">
        <w:rPr>
          <w:rStyle w:val="FootnoteReference"/>
          <w:rFonts w:ascii="Times New Roman" w:hAnsi="Times New Roman"/>
          <w:sz w:val="24"/>
        </w:rPr>
        <w:footnoteReference w:id="50"/>
      </w:r>
      <w:r w:rsidRPr="001C7E7B">
        <w:rPr>
          <w:rFonts w:ascii="Times New Roman" w:hAnsi="Times New Roman"/>
        </w:rPr>
        <w:t xml:space="preserve"> In the Revised Explanatory Memorandum, it was explained that, once in force, the Confirmation Act would:</w:t>
      </w:r>
      <w:r w:rsidRPr="001C7E7B">
        <w:rPr>
          <w:rStyle w:val="FootnoteReference"/>
          <w:rFonts w:ascii="Times New Roman" w:hAnsi="Times New Roman"/>
          <w:sz w:val="24"/>
        </w:rPr>
        <w:footnoteReference w:id="51"/>
      </w:r>
    </w:p>
    <w:p w14:paraId="74E22603" w14:textId="77777777" w:rsidR="009A04F1"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rPr>
        <w:t xml:space="preserve">"clarify that information or a record obtained under specified warrants issued to the Australian Federal Police under the </w:t>
      </w:r>
      <w:r w:rsidRPr="001C7E7B">
        <w:rPr>
          <w:rFonts w:ascii="Times New Roman" w:hAnsi="Times New Roman"/>
          <w:i/>
          <w:iCs/>
        </w:rPr>
        <w:t>Crimes Act 1914</w:t>
      </w:r>
      <w:r w:rsidRPr="001C7E7B">
        <w:rPr>
          <w:rFonts w:ascii="Times New Roman" w:hAnsi="Times New Roman"/>
        </w:rPr>
        <w:t xml:space="preserve"> (Crimes Act) and </w:t>
      </w:r>
      <w:r w:rsidRPr="001C7E7B">
        <w:rPr>
          <w:rFonts w:ascii="Times New Roman" w:hAnsi="Times New Roman"/>
          <w:i/>
          <w:iCs/>
        </w:rPr>
        <w:t xml:space="preserve">Surveillance Devices Act 2004 </w:t>
      </w:r>
      <w:r w:rsidRPr="001C7E7B">
        <w:rPr>
          <w:rFonts w:ascii="Times New Roman" w:hAnsi="Times New Roman"/>
        </w:rPr>
        <w:t xml:space="preserve">(SD Act) was not intercepted while passing over a telecommunications system and was lawfully obtained under those warrants, consistent with the Parliament's intention". </w:t>
      </w:r>
    </w:p>
    <w:p w14:paraId="22D93F0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submissions of the plaintiffs focused primarily upon s 5 of the Confirmation Act; the plaintiffs accepted that if s 5 is valid then there was no independent argument by which s 6 could be invalid. </w:t>
      </w:r>
    </w:p>
    <w:p w14:paraId="03547E4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Section 5 of the Confirmation Act is set out in full in the joint reasons. Section 5 (when read with the definitions in s 4) is confined in its operation to information and records obtained pursuant to the seven warrants issued under the </w:t>
      </w:r>
      <w:r w:rsidRPr="001C7E7B">
        <w:rPr>
          <w:rFonts w:ascii="Times New Roman" w:hAnsi="Times New Roman"/>
          <w:i/>
          <w:iCs/>
        </w:rPr>
        <w:t xml:space="preserve">Surveillance Devices Act </w:t>
      </w:r>
      <w:r w:rsidRPr="001C7E7B">
        <w:rPr>
          <w:rFonts w:ascii="Times New Roman" w:hAnsi="Times New Roman"/>
        </w:rPr>
        <w:t xml:space="preserve">and the four warrants issued under the </w:t>
      </w:r>
      <w:r w:rsidRPr="001C7E7B">
        <w:rPr>
          <w:rFonts w:ascii="Times New Roman" w:hAnsi="Times New Roman"/>
          <w:i/>
          <w:iCs/>
        </w:rPr>
        <w:t>Crimes Act</w:t>
      </w:r>
      <w:r w:rsidRPr="001C7E7B">
        <w:rPr>
          <w:rFonts w:ascii="Times New Roman" w:hAnsi="Times New Roman"/>
        </w:rPr>
        <w:t>. Section 5(1) provides that the information and records are "taken for all purposes" not to have been (and always not to have been): (i) "intercepted while passing over a telecommunications system"; or (ii) "obtained by intercepting a communication passing over a telecommunications system" (within the meaning of the TIA Act</w:t>
      </w:r>
      <w:r w:rsidRPr="001C7E7B">
        <w:rPr>
          <w:rStyle w:val="FootnoteReference"/>
          <w:rFonts w:ascii="Times New Roman" w:hAnsi="Times New Roman"/>
          <w:sz w:val="24"/>
        </w:rPr>
        <w:footnoteReference w:id="52"/>
      </w:r>
      <w:r w:rsidRPr="001C7E7B">
        <w:rPr>
          <w:rFonts w:ascii="Times New Roman" w:hAnsi="Times New Roman"/>
        </w:rPr>
        <w:t xml:space="preserve">). </w:t>
      </w:r>
    </w:p>
    <w:p w14:paraId="5B7C8E14"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5(2) then provides that "[t]o avoid doubt, anything done, or anything purported to have been done, by a person that would have been wholly, or partly, invalid or unlawful except for subsection (1) is taken for all purposes to be valid and lawful and to have always been valid and lawful, despite any effect that may have on the accrued rights of any person".</w:t>
      </w:r>
    </w:p>
    <w:p w14:paraId="546388E2"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Section 5(3) further protects, as evidence, the information and records referred to in s 5(1) by providing that they are "taken for all purposes" not to have been (and always not to have been) obtained "in contravention of an Australian law or in consequence of a contravention of an Australian law; or ... improperly or in consequence of an impropriety". </w:t>
      </w:r>
    </w:p>
    <w:p w14:paraId="09871B0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The two substantive questions raised by the special case are overlapping but distinct. The first question essentially asks whether the Confirmation Act is a purported, but invalid, exercise of judicial power by the Commonwealth Parliament. In short, the first question asks whether judicial power has been usurped. The implication that Ch III of the </w:t>
      </w:r>
      <w:r w:rsidRPr="001C7E7B">
        <w:rPr>
          <w:rFonts w:ascii="Times New Roman" w:hAnsi="Times New Roman"/>
          <w:i/>
          <w:iCs/>
        </w:rPr>
        <w:t xml:space="preserve">Constitution </w:t>
      </w:r>
      <w:r w:rsidRPr="001C7E7B">
        <w:rPr>
          <w:rFonts w:ascii="Times New Roman" w:hAnsi="Times New Roman"/>
        </w:rPr>
        <w:t>exhaustively states the manner in which the judicial power of the Commonwealth may be vested carries with it a prohibition upon judicial power being exercised by the Commonwealth Parliament.</w:t>
      </w:r>
      <w:r w:rsidRPr="001C7E7B">
        <w:rPr>
          <w:rStyle w:val="FootnoteReference"/>
          <w:rFonts w:ascii="Times New Roman" w:hAnsi="Times New Roman"/>
          <w:sz w:val="24"/>
        </w:rPr>
        <w:footnoteReference w:id="53"/>
      </w:r>
    </w:p>
    <w:p w14:paraId="1F237AC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second, overlapping but distinct, question essentially asks whether the Confirmation Act unduly interferes with, or "infringe[s]",</w:t>
      </w:r>
      <w:r w:rsidRPr="001C7E7B">
        <w:rPr>
          <w:rStyle w:val="FootnoteReference"/>
          <w:rFonts w:ascii="Times New Roman" w:hAnsi="Times New Roman"/>
          <w:sz w:val="24"/>
        </w:rPr>
        <w:footnoteReference w:id="54"/>
      </w:r>
      <w:r w:rsidRPr="001C7E7B">
        <w:rPr>
          <w:rFonts w:ascii="Times New Roman" w:hAnsi="Times New Roman"/>
        </w:rPr>
        <w:t xml:space="preserve"> the exercise of judicial power by courts vested with federal jurisdiction. It is well established that Ch III of the </w:t>
      </w:r>
      <w:r w:rsidRPr="001C7E7B">
        <w:rPr>
          <w:rFonts w:ascii="Times New Roman" w:hAnsi="Times New Roman"/>
          <w:i/>
          <w:iCs/>
        </w:rPr>
        <w:t xml:space="preserve">Constitution </w:t>
      </w:r>
      <w:r w:rsidRPr="001C7E7B">
        <w:rPr>
          <w:rFonts w:ascii="Times New Roman" w:hAnsi="Times New Roman"/>
        </w:rPr>
        <w:t>impliedly prohibits "a law which requires or authorizes the courts in which the judicial power of the Commonwealth is exclusively vested to exercise judicial power in a manner which is inconsistent with the essential character of a court or with the nature of judicial power".</w:t>
      </w:r>
      <w:r w:rsidRPr="001C7E7B">
        <w:rPr>
          <w:rStyle w:val="FootnoteReference"/>
          <w:rFonts w:ascii="Times New Roman" w:hAnsi="Times New Roman"/>
          <w:sz w:val="24"/>
        </w:rPr>
        <w:footnoteReference w:id="55"/>
      </w:r>
      <w:r w:rsidRPr="001C7E7B">
        <w:rPr>
          <w:rFonts w:ascii="Times New Roman" w:hAnsi="Times New Roman"/>
        </w:rPr>
        <w:t xml:space="preserve"> That implication was extended to apply also to State courts in </w:t>
      </w:r>
      <w:r w:rsidRPr="001C7E7B">
        <w:rPr>
          <w:rFonts w:ascii="Times New Roman" w:hAnsi="Times New Roman"/>
          <w:i/>
          <w:iCs/>
        </w:rPr>
        <w:t>Kable v Director of Public Prosecutions (NSW).</w:t>
      </w:r>
      <w:r w:rsidRPr="001C7E7B">
        <w:rPr>
          <w:rStyle w:val="FootnoteReference"/>
          <w:rFonts w:ascii="Times New Roman" w:hAnsi="Times New Roman"/>
          <w:sz w:val="24"/>
        </w:rPr>
        <w:footnoteReference w:id="56"/>
      </w:r>
    </w:p>
    <w:p w14:paraId="2F29415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plaintiffs submitted that s 5(1) of the Confirmation Act was a "legislative declaration of fact in a pending controversy", being the matter of fact (or at least partly fact and partly law) of whether a communication has been unlawfully intercepted under the TIA Act. The plaintiffs submitted that s 5 usurped judicial power by a legislative quelling of controversies by ascertaining facts and applying the law to those facts. Alternatively, the plaintiffs submitted that s 5 of the Confirmation Act unduly impaired the institutional integrity of courts vested with federal jurisdiction due to a number of factors. These factors were said to establish that the Parliament had borrowed the reputation of the judiciary "to cloak their work in the neutral colors of judicial action".</w:t>
      </w:r>
      <w:r w:rsidRPr="001C7E7B">
        <w:rPr>
          <w:rStyle w:val="FootnoteReference"/>
          <w:rFonts w:ascii="Times New Roman" w:hAnsi="Times New Roman"/>
          <w:sz w:val="24"/>
        </w:rPr>
        <w:footnoteReference w:id="57"/>
      </w:r>
      <w:r w:rsidRPr="001C7E7B">
        <w:rPr>
          <w:rFonts w:ascii="Times New Roman" w:hAnsi="Times New Roman"/>
        </w:rPr>
        <w:t xml:space="preserve"> </w:t>
      </w:r>
    </w:p>
    <w:p w14:paraId="5CBB75EC"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lastRenderedPageBreak/>
        <w:t>Is the Confirmation Act a usurpation of judicial power?</w:t>
      </w:r>
    </w:p>
    <w:p w14:paraId="1EA7D31A"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 xml:space="preserve">When will an Act of Parliament usurp judicial power? </w:t>
      </w:r>
    </w:p>
    <w:p w14:paraId="275A434B"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concept of "usurpation" of judicial power is a common feature of discourse in this area of constitutional law concerning the exclusive power of the judiciary. "Usurp" in this context has its ordinary meaning of impermissible appropriation of judicial power, although it is sometimes conflated with the overlapping concept of undue interference with judicial power. </w:t>
      </w:r>
    </w:p>
    <w:p w14:paraId="4CD46C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There is a point at which an Act of a Parliament will cease to be properly characterised as an exercise of legislative power and be characterised as a wrongful appropriation of judicial power. That point is notoriously difficult to identify. The plaintiffs in this special case pointed to cases where a purported exercise of legislative power had been held to be properly characterised as an exercise of judicial power. The Commonwealth, supported by the Attorneys-General for the States of Western Australia, Victoria, and New South Wales and the Director of Public Prosecutions for South Australia, pointed to cases where such a characterisation was denied. A consideration of those cases is illuminating but they must be understood in the context of the underlying principle.</w:t>
      </w:r>
    </w:p>
    <w:p w14:paraId="0C56964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starting point is the trite observation that judicial power cannot be exhaustively defined but that its identification depends upon "consideration of predominant characteristics" and "historic functions and processes of courts of law".</w:t>
      </w:r>
      <w:r w:rsidRPr="001C7E7B">
        <w:rPr>
          <w:rStyle w:val="FootnoteReference"/>
          <w:rFonts w:ascii="Times New Roman" w:hAnsi="Times New Roman"/>
          <w:sz w:val="24"/>
        </w:rPr>
        <w:footnoteReference w:id="58"/>
      </w:r>
      <w:r w:rsidRPr="001C7E7B">
        <w:rPr>
          <w:rFonts w:ascii="Times New Roman" w:hAnsi="Times New Roman"/>
        </w:rPr>
        <w:t xml:space="preserve"> Those characteristics and historic functions are "at the very centre of judicial power",</w:t>
      </w:r>
      <w:r w:rsidRPr="001C7E7B">
        <w:rPr>
          <w:rStyle w:val="FootnoteReference"/>
          <w:rFonts w:ascii="Times New Roman" w:hAnsi="Times New Roman"/>
          <w:sz w:val="24"/>
        </w:rPr>
        <w:footnoteReference w:id="59"/>
      </w:r>
      <w:r w:rsidRPr="001C7E7B">
        <w:rPr>
          <w:rFonts w:ascii="Times New Roman" w:hAnsi="Times New Roman"/>
        </w:rPr>
        <w:t xml:space="preserve"> marked by the authoritative determination of "a question as to the existence of a right or obligation, so that an exercise of the power creates a new charter by reference to which that question is in future to be decided as between [defined] persons or classes of persons".</w:t>
      </w:r>
      <w:r w:rsidRPr="001C7E7B">
        <w:rPr>
          <w:rStyle w:val="FootnoteReference"/>
          <w:rFonts w:ascii="Times New Roman" w:hAnsi="Times New Roman"/>
          <w:sz w:val="24"/>
        </w:rPr>
        <w:footnoteReference w:id="60"/>
      </w:r>
      <w:r w:rsidRPr="001C7E7B">
        <w:rPr>
          <w:rFonts w:ascii="Times New Roman" w:hAnsi="Times New Roman"/>
        </w:rPr>
        <w:t xml:space="preserve"> Although it is neither an exhaustive definition nor even a complete description, the essence of judicial power can thus generally be described as the "quelling of ... controversies by ascertainment of the facts, by application of the law and by exercise, where appropriate, of judicial </w:t>
      </w:r>
      <w:r w:rsidRPr="001C7E7B">
        <w:rPr>
          <w:rFonts w:ascii="Times New Roman" w:hAnsi="Times New Roman"/>
        </w:rPr>
        <w:lastRenderedPageBreak/>
        <w:t>discretion".</w:t>
      </w:r>
      <w:r w:rsidRPr="001C7E7B">
        <w:rPr>
          <w:rStyle w:val="FootnoteReference"/>
          <w:rFonts w:ascii="Times New Roman" w:hAnsi="Times New Roman"/>
          <w:sz w:val="24"/>
        </w:rPr>
        <w:footnoteReference w:id="61"/>
      </w:r>
      <w:r w:rsidRPr="001C7E7B">
        <w:rPr>
          <w:rFonts w:ascii="Times New Roman" w:hAnsi="Times New Roman"/>
        </w:rPr>
        <w:t xml:space="preserve"> By contrast with legislative power, which usually creates generalised norms that apply prospectively, judicial power generally creates particular legal relations between people by applying to facts the legal rules that existed at the time of the controversy.</w:t>
      </w:r>
      <w:r w:rsidRPr="001C7E7B">
        <w:rPr>
          <w:rStyle w:val="FootnoteReference"/>
          <w:rFonts w:ascii="Times New Roman" w:hAnsi="Times New Roman"/>
          <w:sz w:val="24"/>
        </w:rPr>
        <w:footnoteReference w:id="62"/>
      </w:r>
      <w:r w:rsidRPr="001C7E7B">
        <w:rPr>
          <w:rFonts w:ascii="Times New Roman" w:hAnsi="Times New Roman"/>
        </w:rPr>
        <w:t xml:space="preserve"> </w:t>
      </w:r>
    </w:p>
    <w:p w14:paraId="70CEF45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An exercise of power by the legislature will often be easily characterised as judicial where the </w:t>
      </w:r>
      <w:r w:rsidRPr="001C7E7B">
        <w:rPr>
          <w:rFonts w:ascii="Times New Roman" w:hAnsi="Times New Roman"/>
          <w:i/>
          <w:iCs/>
        </w:rPr>
        <w:t xml:space="preserve">purpose </w:t>
      </w:r>
      <w:r w:rsidRPr="001C7E7B">
        <w:rPr>
          <w:rFonts w:ascii="Times New Roman" w:hAnsi="Times New Roman"/>
        </w:rPr>
        <w:t>of Parliament is to perform a role that falls within the core of judicial power by aiming to affect legal relations (rights, duties, liabilities) by resolving controversies between persons, or classes of persons, based upon the application of a legal rule to reach a legislative conclusion about past facts. A famous example, repeatedly cited,</w:t>
      </w:r>
      <w:r w:rsidRPr="001C7E7B">
        <w:rPr>
          <w:rStyle w:val="FootnoteReference"/>
          <w:rFonts w:ascii="Times New Roman" w:hAnsi="Times New Roman"/>
          <w:sz w:val="24"/>
        </w:rPr>
        <w:footnoteReference w:id="63"/>
      </w:r>
      <w:r w:rsidRPr="001C7E7B">
        <w:rPr>
          <w:rFonts w:ascii="Times New Roman" w:hAnsi="Times New Roman"/>
        </w:rPr>
        <w:t xml:space="preserve"> of the exercise of judicial power by Parliament was given by Isaacs J in 1926.</w:t>
      </w:r>
      <w:r w:rsidRPr="001C7E7B">
        <w:rPr>
          <w:rStyle w:val="FootnoteReference"/>
          <w:rFonts w:ascii="Times New Roman" w:hAnsi="Times New Roman"/>
          <w:sz w:val="24"/>
        </w:rPr>
        <w:footnoteReference w:id="64"/>
      </w:r>
      <w:r w:rsidRPr="001C7E7B">
        <w:rPr>
          <w:rFonts w:ascii="Times New Roman" w:hAnsi="Times New Roman"/>
        </w:rPr>
        <w:t xml:space="preserve"> The example was an Act of Parliament which did not merely reverse the onus of proof of receipt of stolen goods but conclusively deemed a person in possession of stolen goods to have stolen them. Another example is from the famous case of </w:t>
      </w:r>
      <w:r w:rsidRPr="001C7E7B">
        <w:rPr>
          <w:rFonts w:ascii="Times New Roman" w:hAnsi="Times New Roman"/>
          <w:i/>
          <w:iCs/>
        </w:rPr>
        <w:t>Liyanage v The Queen</w:t>
      </w:r>
      <w:r w:rsidRPr="001C7E7B">
        <w:rPr>
          <w:rFonts w:ascii="Times New Roman" w:hAnsi="Times New Roman"/>
        </w:rPr>
        <w:t>,</w:t>
      </w:r>
      <w:r w:rsidRPr="001C7E7B">
        <w:rPr>
          <w:rStyle w:val="FootnoteReference"/>
          <w:rFonts w:ascii="Times New Roman" w:hAnsi="Times New Roman"/>
          <w:sz w:val="24"/>
        </w:rPr>
        <w:footnoteReference w:id="65"/>
      </w:r>
      <w:r w:rsidRPr="001C7E7B">
        <w:rPr>
          <w:rFonts w:ascii="Times New Roman" w:hAnsi="Times New Roman"/>
        </w:rPr>
        <w:t xml:space="preserve"> in which the Privy Council described the "pith and substance" of the ad hominem legislation of Ceylon in that case as "a legislative plan ex post facto to secure the conviction and enhance the punishment of ... particular individuals".</w:t>
      </w:r>
      <w:r w:rsidRPr="001C7E7B">
        <w:rPr>
          <w:rFonts w:ascii="Times New Roman" w:hAnsi="Times New Roman"/>
          <w:i/>
          <w:iCs/>
        </w:rPr>
        <w:t xml:space="preserve"> </w:t>
      </w:r>
    </w:p>
    <w:p w14:paraId="4E804DF9"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 the other hand, it is more difficult to characterise a legislative exercise of power as judicial where it is only the </w:t>
      </w:r>
      <w:r w:rsidRPr="001C7E7B">
        <w:rPr>
          <w:rFonts w:ascii="Times New Roman" w:hAnsi="Times New Roman"/>
          <w:i/>
          <w:iCs/>
        </w:rPr>
        <w:t xml:space="preserve">effect </w:t>
      </w:r>
      <w:r w:rsidRPr="001C7E7B">
        <w:rPr>
          <w:rFonts w:ascii="Times New Roman" w:hAnsi="Times New Roman"/>
        </w:rPr>
        <w:t>of a law that is said to mimic the application of judicial power, such as where the incidental effect of a law is substantively to resolve a controversy. This will be so even where the law operates in some similar ways to the exercise of judicial power. For instance, a retrospective, or even retroactive,</w:t>
      </w:r>
      <w:r w:rsidRPr="001C7E7B">
        <w:rPr>
          <w:rStyle w:val="FootnoteReference"/>
          <w:rFonts w:ascii="Times New Roman" w:hAnsi="Times New Roman"/>
          <w:sz w:val="24"/>
        </w:rPr>
        <w:footnoteReference w:id="66"/>
      </w:r>
      <w:r w:rsidRPr="001C7E7B">
        <w:rPr>
          <w:rFonts w:ascii="Times New Roman" w:hAnsi="Times New Roman"/>
        </w:rPr>
        <w:t xml:space="preserve"> change to the law by Parliament, which leaves to courts the ability to determine the application of the law, is not usually sufficient </w:t>
      </w:r>
      <w:r w:rsidRPr="001C7E7B">
        <w:rPr>
          <w:rFonts w:ascii="Times New Roman" w:hAnsi="Times New Roman"/>
        </w:rPr>
        <w:lastRenderedPageBreak/>
        <w:t>to amount to a usurpation of judicial power</w:t>
      </w:r>
      <w:r w:rsidRPr="001C7E7B">
        <w:rPr>
          <w:rStyle w:val="FootnoteReference"/>
          <w:rFonts w:ascii="Times New Roman" w:hAnsi="Times New Roman"/>
          <w:sz w:val="24"/>
        </w:rPr>
        <w:footnoteReference w:id="67"/>
      </w:r>
      <w:r w:rsidRPr="001C7E7B">
        <w:rPr>
          <w:rFonts w:ascii="Times New Roman" w:hAnsi="Times New Roman"/>
        </w:rPr>
        <w:t xml:space="preserve"> even though one of the central attributes of judicial power is ascertaining the law that existed at the time of the facts. Similarly, an ad hominem law is not necessarily an exercise of judicial power despite the particularised nature of judicial power compared with the usual role of legislative power in creating generalised norms.</w:t>
      </w:r>
      <w:r w:rsidRPr="001C7E7B">
        <w:rPr>
          <w:rStyle w:val="FootnoteReference"/>
          <w:rFonts w:ascii="Times New Roman" w:hAnsi="Times New Roman"/>
          <w:sz w:val="24"/>
        </w:rPr>
        <w:footnoteReference w:id="68"/>
      </w:r>
    </w:p>
    <w:p w14:paraId="2B3C3548"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Nicholas v The Queen</w:t>
      </w:r>
    </w:p>
    <w:p w14:paraId="3FD4CD3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focus of submissions concerning usurpation of judicial power was the decision of this Court in </w:t>
      </w:r>
      <w:r w:rsidRPr="001C7E7B">
        <w:rPr>
          <w:rFonts w:ascii="Times New Roman" w:hAnsi="Times New Roman"/>
          <w:i/>
          <w:iCs/>
        </w:rPr>
        <w:t>Nicholas v The Queen</w:t>
      </w:r>
      <w:r w:rsidRPr="001C7E7B">
        <w:rPr>
          <w:rFonts w:ascii="Times New Roman" w:hAnsi="Times New Roman"/>
        </w:rPr>
        <w:t>.</w:t>
      </w:r>
      <w:r w:rsidRPr="001C7E7B">
        <w:rPr>
          <w:rStyle w:val="FootnoteReference"/>
          <w:rFonts w:ascii="Times New Roman" w:hAnsi="Times New Roman"/>
          <w:sz w:val="24"/>
        </w:rPr>
        <w:footnoteReference w:id="69"/>
      </w:r>
      <w:r w:rsidRPr="001C7E7B">
        <w:rPr>
          <w:rFonts w:ascii="Times New Roman" w:hAnsi="Times New Roman"/>
        </w:rPr>
        <w:t xml:space="preserve"> The background to </w:t>
      </w:r>
      <w:r w:rsidRPr="001C7E7B">
        <w:rPr>
          <w:rFonts w:ascii="Times New Roman" w:hAnsi="Times New Roman"/>
          <w:i/>
          <w:iCs/>
        </w:rPr>
        <w:t xml:space="preserve">Nicholas </w:t>
      </w:r>
      <w:r w:rsidRPr="001C7E7B">
        <w:rPr>
          <w:rFonts w:ascii="Times New Roman" w:hAnsi="Times New Roman"/>
        </w:rPr>
        <w:t xml:space="preserve">was that a permanent stay had been ordered of the prosecution of offences with which Mr Nicholas had been charged where evidence necessary for conviction was likely to be held inadmissible as a consequence of the decision of this Court in </w:t>
      </w:r>
      <w:r w:rsidRPr="001C7E7B">
        <w:rPr>
          <w:rFonts w:ascii="Times New Roman" w:hAnsi="Times New Roman"/>
          <w:i/>
          <w:iCs/>
        </w:rPr>
        <w:t>Ridgeway v The Queen</w:t>
      </w:r>
      <w:r w:rsidRPr="001C7E7B">
        <w:rPr>
          <w:rFonts w:ascii="Times New Roman" w:hAnsi="Times New Roman"/>
        </w:rPr>
        <w:t>.</w:t>
      </w:r>
      <w:r w:rsidRPr="001C7E7B">
        <w:rPr>
          <w:rStyle w:val="FootnoteReference"/>
          <w:rFonts w:ascii="Times New Roman" w:hAnsi="Times New Roman"/>
          <w:sz w:val="24"/>
        </w:rPr>
        <w:footnoteReference w:id="70"/>
      </w:r>
      <w:r w:rsidRPr="001C7E7B">
        <w:rPr>
          <w:rFonts w:ascii="Times New Roman" w:hAnsi="Times New Roman"/>
          <w:i/>
          <w:iCs/>
        </w:rPr>
        <w:t xml:space="preserve"> </w:t>
      </w:r>
      <w:r w:rsidRPr="001C7E7B">
        <w:rPr>
          <w:rFonts w:ascii="Times New Roman" w:hAnsi="Times New Roman"/>
        </w:rPr>
        <w:t xml:space="preserve">The Commonwealth Parliament subsequently enacted legislation intended to reverse the effect of the decision in </w:t>
      </w:r>
      <w:r w:rsidRPr="001C7E7B">
        <w:rPr>
          <w:rFonts w:ascii="Times New Roman" w:hAnsi="Times New Roman"/>
          <w:i/>
          <w:iCs/>
        </w:rPr>
        <w:t>Ridgeway</w:t>
      </w:r>
      <w:r w:rsidRPr="001C7E7B">
        <w:rPr>
          <w:rFonts w:ascii="Times New Roman" w:hAnsi="Times New Roman"/>
        </w:rPr>
        <w:t>. One provision of the legislation</w:t>
      </w:r>
      <w:r w:rsidRPr="001C7E7B">
        <w:rPr>
          <w:rStyle w:val="FootnoteReference"/>
          <w:rFonts w:ascii="Times New Roman" w:hAnsi="Times New Roman"/>
          <w:sz w:val="24"/>
        </w:rPr>
        <w:footnoteReference w:id="71"/>
      </w:r>
      <w:r w:rsidRPr="001C7E7B">
        <w:rPr>
          <w:rFonts w:ascii="Times New Roman" w:hAnsi="Times New Roman"/>
        </w:rPr>
        <w:t xml:space="preserve"> effectively provided that, subject to certain conditions, the admissibility of evidence for a prosecution of an offence of the relevant nature was to be determined by "disregard[ing]" the fact that a law enforcement officer committed an offence in importing narcotic goods. Mr Nicholas challenged the constitutional validity of that provision in various ways,</w:t>
      </w:r>
      <w:r w:rsidRPr="001C7E7B">
        <w:rPr>
          <w:rStyle w:val="FootnoteReference"/>
          <w:rFonts w:ascii="Times New Roman" w:hAnsi="Times New Roman"/>
          <w:sz w:val="24"/>
        </w:rPr>
        <w:footnoteReference w:id="72"/>
      </w:r>
      <w:r w:rsidRPr="001C7E7B">
        <w:rPr>
          <w:rFonts w:ascii="Times New Roman" w:hAnsi="Times New Roman"/>
        </w:rPr>
        <w:t xml:space="preserve"> but perhaps the best way of expressing his challenge was that the provision either usurped or impermissibly intruded upon ("infringed") judicial power.</w:t>
      </w:r>
      <w:r w:rsidRPr="001C7E7B">
        <w:rPr>
          <w:rStyle w:val="FootnoteReference"/>
          <w:rFonts w:ascii="Times New Roman" w:hAnsi="Times New Roman"/>
          <w:sz w:val="24"/>
        </w:rPr>
        <w:footnoteReference w:id="73"/>
      </w:r>
      <w:r w:rsidRPr="001C7E7B">
        <w:rPr>
          <w:rFonts w:ascii="Times New Roman" w:hAnsi="Times New Roman"/>
        </w:rPr>
        <w:t xml:space="preserve"> A majority of this Court held that the provision was valid. In dissent, McHugh J</w:t>
      </w:r>
      <w:r w:rsidRPr="001C7E7B">
        <w:rPr>
          <w:rStyle w:val="FootnoteReference"/>
          <w:rFonts w:ascii="Times New Roman" w:hAnsi="Times New Roman"/>
          <w:sz w:val="24"/>
        </w:rPr>
        <w:footnoteReference w:id="74"/>
      </w:r>
      <w:r w:rsidRPr="001C7E7B">
        <w:rPr>
          <w:rFonts w:ascii="Times New Roman" w:hAnsi="Times New Roman"/>
        </w:rPr>
        <w:t xml:space="preserve"> and Kirby J</w:t>
      </w:r>
      <w:r w:rsidRPr="001C7E7B">
        <w:rPr>
          <w:rStyle w:val="FootnoteReference"/>
          <w:rFonts w:ascii="Times New Roman" w:hAnsi="Times New Roman"/>
          <w:sz w:val="24"/>
        </w:rPr>
        <w:footnoteReference w:id="75"/>
      </w:r>
      <w:r w:rsidRPr="001C7E7B">
        <w:rPr>
          <w:rFonts w:ascii="Times New Roman" w:hAnsi="Times New Roman"/>
        </w:rPr>
        <w:t xml:space="preserve"> noted the relevance of the extent of the impairment of judicial power when determining invalidity, given the rationale for the exclusionary rule in </w:t>
      </w:r>
      <w:r w:rsidRPr="001C7E7B">
        <w:rPr>
          <w:rFonts w:ascii="Times New Roman" w:hAnsi="Times New Roman"/>
          <w:i/>
          <w:iCs/>
        </w:rPr>
        <w:t xml:space="preserve">Ridgeway </w:t>
      </w:r>
      <w:r w:rsidRPr="001C7E7B">
        <w:rPr>
          <w:rFonts w:ascii="Times New Roman" w:hAnsi="Times New Roman"/>
        </w:rPr>
        <w:t xml:space="preserve">(namely, to preserve "the public </w:t>
      </w:r>
      <w:r w:rsidRPr="001C7E7B">
        <w:rPr>
          <w:rFonts w:ascii="Times New Roman" w:hAnsi="Times New Roman"/>
        </w:rPr>
        <w:lastRenderedPageBreak/>
        <w:t>interest in maintaining the integrity of the courts"</w:t>
      </w:r>
      <w:r w:rsidRPr="001C7E7B">
        <w:rPr>
          <w:rStyle w:val="FootnoteReference"/>
          <w:rFonts w:ascii="Times New Roman" w:hAnsi="Times New Roman"/>
          <w:sz w:val="24"/>
        </w:rPr>
        <w:footnoteReference w:id="76"/>
      </w:r>
      <w:r w:rsidRPr="001C7E7B">
        <w:rPr>
          <w:rFonts w:ascii="Times New Roman" w:hAnsi="Times New Roman"/>
        </w:rPr>
        <w:t xml:space="preserve">). No such argument was made in the present special case. </w:t>
      </w:r>
    </w:p>
    <w:p w14:paraId="61D2A54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Two central matters upon which the members of the majority relied were: (i) the evidentiary nature of the provision (and consequently the absence of any adjudication by Parliament of any ultimate fact); and (ii) that it was not the purpose of the legislation to target an individual or a particular category of people. Brennan CJ said that a "law prescribing a rule of evidence does not impair the curial function of finding facts, applying the law or exercising any available discretion".</w:t>
      </w:r>
      <w:r w:rsidRPr="001C7E7B">
        <w:rPr>
          <w:rStyle w:val="FootnoteReference"/>
          <w:rFonts w:ascii="Times New Roman" w:hAnsi="Times New Roman"/>
          <w:sz w:val="24"/>
        </w:rPr>
        <w:footnoteReference w:id="77"/>
      </w:r>
      <w:r w:rsidRPr="001C7E7B">
        <w:rPr>
          <w:rFonts w:ascii="Times New Roman" w:hAnsi="Times New Roman"/>
        </w:rPr>
        <w:t xml:space="preserve"> The application of the provision was not limited to cases "in which prosecutions were pending"</w:t>
      </w:r>
      <w:r w:rsidRPr="001C7E7B">
        <w:rPr>
          <w:rStyle w:val="FootnoteReference"/>
          <w:rFonts w:ascii="Times New Roman" w:hAnsi="Times New Roman"/>
          <w:sz w:val="24"/>
        </w:rPr>
        <w:footnoteReference w:id="78"/>
      </w:r>
      <w:r w:rsidRPr="001C7E7B">
        <w:rPr>
          <w:rFonts w:ascii="Times New Roman" w:hAnsi="Times New Roman"/>
        </w:rPr>
        <w:t xml:space="preserve"> and the provision simply "enlarged the evidentiary material available to a jury".</w:t>
      </w:r>
      <w:r w:rsidRPr="001C7E7B">
        <w:rPr>
          <w:rStyle w:val="FootnoteReference"/>
          <w:rFonts w:ascii="Times New Roman" w:hAnsi="Times New Roman"/>
          <w:sz w:val="24"/>
        </w:rPr>
        <w:footnoteReference w:id="79"/>
      </w:r>
      <w:r w:rsidRPr="001C7E7B">
        <w:rPr>
          <w:rFonts w:ascii="Times New Roman" w:hAnsi="Times New Roman"/>
        </w:rPr>
        <w:t xml:space="preserve"> Toohey J held that as an evidentiary provision, the provision neither determined whether the charge would succeed or fail nor singled out any individual or category of persons.</w:t>
      </w:r>
      <w:r w:rsidRPr="001C7E7B">
        <w:rPr>
          <w:rStyle w:val="FootnoteReference"/>
          <w:rFonts w:ascii="Times New Roman" w:hAnsi="Times New Roman"/>
          <w:sz w:val="24"/>
        </w:rPr>
        <w:footnoteReference w:id="80"/>
      </w:r>
      <w:r w:rsidRPr="001C7E7B">
        <w:rPr>
          <w:rFonts w:ascii="Times New Roman" w:hAnsi="Times New Roman"/>
        </w:rPr>
        <w:t xml:space="preserve"> Gaudron J held that the provision did no more than exclude illegality on the part of law enforcement officers from consideration in the exercise of the discretion recognised in </w:t>
      </w:r>
      <w:r w:rsidRPr="001C7E7B">
        <w:rPr>
          <w:rFonts w:ascii="Times New Roman" w:hAnsi="Times New Roman"/>
          <w:i/>
          <w:iCs/>
        </w:rPr>
        <w:t>Ridgeway</w:t>
      </w:r>
      <w:r w:rsidRPr="001C7E7B">
        <w:rPr>
          <w:rStyle w:val="FootnoteReference"/>
          <w:rFonts w:ascii="Times New Roman" w:hAnsi="Times New Roman"/>
          <w:sz w:val="24"/>
        </w:rPr>
        <w:footnoteReference w:id="81"/>
      </w:r>
      <w:r w:rsidRPr="001C7E7B">
        <w:rPr>
          <w:rFonts w:ascii="Times New Roman" w:hAnsi="Times New Roman"/>
          <w:i/>
          <w:iCs/>
        </w:rPr>
        <w:t xml:space="preserve"> </w:t>
      </w:r>
      <w:r w:rsidRPr="001C7E7B">
        <w:rPr>
          <w:rFonts w:ascii="Times New Roman" w:hAnsi="Times New Roman"/>
        </w:rPr>
        <w:t>and did not infringe the requirements of equal justice.</w:t>
      </w:r>
      <w:r w:rsidRPr="001C7E7B">
        <w:rPr>
          <w:rStyle w:val="FootnoteReference"/>
          <w:rFonts w:ascii="Times New Roman" w:hAnsi="Times New Roman"/>
          <w:sz w:val="24"/>
        </w:rPr>
        <w:footnoteReference w:id="82"/>
      </w:r>
      <w:r w:rsidRPr="001C7E7B">
        <w:rPr>
          <w:rFonts w:ascii="Times New Roman" w:hAnsi="Times New Roman"/>
        </w:rPr>
        <w:t xml:space="preserve"> Gummow J reiterated that "the section does not deem any ultimate fact to exist, or to have been proved"</w:t>
      </w:r>
      <w:r w:rsidRPr="001C7E7B">
        <w:rPr>
          <w:rStyle w:val="FootnoteReference"/>
          <w:rFonts w:ascii="Times New Roman" w:hAnsi="Times New Roman"/>
          <w:sz w:val="24"/>
        </w:rPr>
        <w:footnoteReference w:id="83"/>
      </w:r>
      <w:r w:rsidRPr="001C7E7B">
        <w:rPr>
          <w:rFonts w:ascii="Times New Roman" w:hAnsi="Times New Roman"/>
        </w:rPr>
        <w:t xml:space="preserve"> and held that the identity of those affected by the provision might not be established for some time after the legislation came into force.</w:t>
      </w:r>
      <w:r w:rsidRPr="001C7E7B">
        <w:rPr>
          <w:rStyle w:val="FootnoteReference"/>
          <w:rFonts w:ascii="Times New Roman" w:hAnsi="Times New Roman"/>
          <w:sz w:val="24"/>
        </w:rPr>
        <w:footnoteReference w:id="84"/>
      </w:r>
      <w:r w:rsidRPr="001C7E7B">
        <w:rPr>
          <w:rFonts w:ascii="Times New Roman" w:hAnsi="Times New Roman"/>
        </w:rPr>
        <w:t xml:space="preserve"> And Hayne J held that, as a matter of substance, the provision did not deal with questions of guilt or innocence and was concerned "not with a single identified, or identifiable, prosecution but with several prosecutions (albeit prosecutions which ... can be identified and are relatively few)".</w:t>
      </w:r>
      <w:r w:rsidRPr="001C7E7B">
        <w:rPr>
          <w:rStyle w:val="FootnoteReference"/>
          <w:rFonts w:ascii="Times New Roman" w:hAnsi="Times New Roman"/>
          <w:sz w:val="24"/>
        </w:rPr>
        <w:footnoteReference w:id="85"/>
      </w:r>
    </w:p>
    <w:p w14:paraId="691C7CBF"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lastRenderedPageBreak/>
        <w:t xml:space="preserve">The Confirmation Act does not usurp judicial power </w:t>
      </w:r>
    </w:p>
    <w:p w14:paraId="04EA9C4F"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plaintiffs submitted that the difference between </w:t>
      </w:r>
      <w:r w:rsidRPr="001C7E7B">
        <w:rPr>
          <w:rFonts w:ascii="Times New Roman" w:hAnsi="Times New Roman"/>
          <w:i/>
          <w:iCs/>
        </w:rPr>
        <w:t xml:space="preserve">Nicholas </w:t>
      </w:r>
      <w:r w:rsidRPr="001C7E7B">
        <w:rPr>
          <w:rFonts w:ascii="Times New Roman" w:hAnsi="Times New Roman"/>
        </w:rPr>
        <w:t>and the circumstances of this special case is that the Commonwealth Parliament made a "legislative declaration of fact" in s 5(1) of the Confirmation Act when it provided, relevantly, that the information and records were "taken for all purposes" not to have been "obtained by intercepting a communication passing over a telecommunications system" within the meaning of the TIA Act. In other words, even if a communication fell within the meaning of "passing over a telecommunications system" by being sent or transmitted by the person sending the communication, as defined in s 5F of the TIA Act, the communication would be deemed not to have been passing over a telecommunications system.</w:t>
      </w:r>
    </w:p>
    <w:p w14:paraId="377B2BE9"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relevant expressions in s 5F, "sen[ding]" or "transmitt[ing]" a communication, do not invite legal characterisations of facts like "contracting", "assaulting", or "stealing". They are ordinary English expressions which, properly interpreted as a matter of law, require processes of characterisation of primary facts. The facts of a person being seen in a bathing suit in a pool, moving by self-propulsion, might be characterised as a person "swimming". That remains a question of fact. But a legal question is asked as soon as it is necessary to ask whether that factual characterisation satisfies a legal rule. Thus, a question of whether the factual characterisation of "swimming" falls within a regulation at the pool that creates a rule of "no swimming" on a particular day is a question of law. For these reasons, it is too simplistic to say even of a statutory expression involving ordinary concepts of fact that meaning is a question of fact and interpretation is a question of law.</w:t>
      </w:r>
      <w:r w:rsidRPr="001C7E7B">
        <w:rPr>
          <w:rStyle w:val="FootnoteReference"/>
          <w:rFonts w:ascii="Times New Roman" w:hAnsi="Times New Roman"/>
          <w:sz w:val="24"/>
        </w:rPr>
        <w:footnoteReference w:id="86"/>
      </w:r>
      <w:r w:rsidRPr="001C7E7B">
        <w:rPr>
          <w:rFonts w:ascii="Times New Roman" w:hAnsi="Times New Roman"/>
        </w:rPr>
        <w:t xml:space="preserve"> </w:t>
      </w:r>
    </w:p>
    <w:p w14:paraId="0B505FB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So too, the factual characterisations of "sending" or "transmitting" become questions of law when it is asked whether those characterisations fall within a legislative provision. To apply the analogy above to the Confirmation Act, s 5(1) operates at the level of the "no swimming" rule. It changes the legal effect of s 7(1) of the TIA Act relevantly by denying that a communication which fell within the meaning of s 7(1) was "obtained by intercepting a communication passing over a telecommunications system". This level of operation of s 5(1) of the Confirmation Act is clear from the provision in s 5(2), "[t]o avoid doubt", that the effect of s 5(1) is to make the relevant acts "valid and lawful" at all times. It is also confirmed by the complementary provision in s 5(3), which provides that the evidence comprised of the relevant information and records obtained "in contravention of an Australian law or in consequence of a contravention of an Australian law; or ... improperly or in consequence of an impropriety" is "taken for all purposes" not to have been so obtained.</w:t>
      </w:r>
    </w:p>
    <w:p w14:paraId="2575A43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In short, s 5 of the Confirmation Act alters the legal application of s 7(1) of the TIA Act and the rules of evidence to the extent that they would exclude from evidence in any proceeding the information and records received under the warrants obtained in Operation Ironside. But the Confirmation Act does not have the purpose of being a legislative declaration of facts. Nor does it have the purpose of ultimately resolving the criminal proceedings against the plaintiffs or a class of persons including the plaintiffs. Further, although the Confirmation Act operates retrospectively, it does not operate at the level of finding facts. The Confirmation Act simply removes the need for a judicial finding of the time at which the relevant communication had been "sent" or "transmitted". The Confirmation Act does not usurp judicial power. </w:t>
      </w:r>
    </w:p>
    <w:p w14:paraId="2D2886B4"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Undue impairment of judicial power</w:t>
      </w:r>
    </w:p>
    <w:p w14:paraId="06C462E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concept of an undue impairment of judicial power can overlap with the concept of a usurpation of judicial power. An example is a law of Congress or Parliament that directed that in "Smith v Jones", "Smith wins".</w:t>
      </w:r>
      <w:r w:rsidRPr="001C7E7B">
        <w:rPr>
          <w:rStyle w:val="FootnoteReference"/>
          <w:rFonts w:ascii="Times New Roman" w:hAnsi="Times New Roman"/>
          <w:sz w:val="24"/>
        </w:rPr>
        <w:footnoteReference w:id="87"/>
      </w:r>
      <w:r w:rsidRPr="001C7E7B">
        <w:rPr>
          <w:rFonts w:ascii="Times New Roman" w:hAnsi="Times New Roman"/>
        </w:rPr>
        <w:t xml:space="preserve"> Whether the litigation was pending or had been resolved in favour of Jones, the law would be invalid. As Hamilton wrote, "[a] legislature, without exceeding its province, cannot reverse a determination once made, in a particular case".</w:t>
      </w:r>
      <w:r w:rsidRPr="001C7E7B">
        <w:rPr>
          <w:rStyle w:val="FootnoteReference"/>
          <w:rFonts w:ascii="Times New Roman" w:hAnsi="Times New Roman"/>
          <w:sz w:val="24"/>
        </w:rPr>
        <w:footnoteReference w:id="88"/>
      </w:r>
      <w:r w:rsidRPr="001C7E7B">
        <w:rPr>
          <w:rFonts w:ascii="Times New Roman" w:hAnsi="Times New Roman"/>
        </w:rPr>
        <w:t xml:space="preserve"> Such a law, directing the result that courts must reach or should have reached to resolve a controversy, could be seen either as an extreme form of impairment of judicial power or as a usurpation of judicial power by Parliament.</w:t>
      </w:r>
      <w:r w:rsidRPr="001C7E7B">
        <w:rPr>
          <w:rStyle w:val="FootnoteReference"/>
          <w:rFonts w:ascii="Times New Roman" w:hAnsi="Times New Roman"/>
          <w:sz w:val="24"/>
        </w:rPr>
        <w:footnoteReference w:id="89"/>
      </w:r>
      <w:r w:rsidRPr="001C7E7B">
        <w:rPr>
          <w:rFonts w:ascii="Times New Roman" w:hAnsi="Times New Roman"/>
        </w:rPr>
        <w:t xml:space="preserve"> </w:t>
      </w:r>
    </w:p>
    <w:p w14:paraId="37125A7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An undue impairment of judicial power can arise from interferences falling short of directions to the judiciary about the result that must be reached or should have been reached. An example is legislation that requires courts to re-open final judgments entered on a particular basis before the legislation was enacted.</w:t>
      </w:r>
      <w:r w:rsidRPr="001C7E7B">
        <w:rPr>
          <w:rStyle w:val="FootnoteReference"/>
          <w:rFonts w:ascii="Times New Roman" w:hAnsi="Times New Roman"/>
          <w:sz w:val="24"/>
        </w:rPr>
        <w:footnoteReference w:id="90"/>
      </w:r>
      <w:r w:rsidRPr="001C7E7B">
        <w:rPr>
          <w:rFonts w:ascii="Times New Roman" w:hAnsi="Times New Roman"/>
        </w:rPr>
        <w:t xml:space="preserve"> Other examples are legislation that deprives a court of one of its defining characteristics (such as decisional independence or impartiality),</w:t>
      </w:r>
      <w:r w:rsidRPr="001C7E7B">
        <w:rPr>
          <w:rStyle w:val="FootnoteReference"/>
          <w:rFonts w:ascii="Times New Roman" w:hAnsi="Times New Roman"/>
          <w:sz w:val="24"/>
        </w:rPr>
        <w:footnoteReference w:id="91"/>
      </w:r>
      <w:r w:rsidRPr="001C7E7B">
        <w:rPr>
          <w:rFonts w:ascii="Times New Roman" w:hAnsi="Times New Roman"/>
        </w:rPr>
        <w:t xml:space="preserve"> or substantially impairs one of those defining characteristics (such as legislation that requires a court to act in a procedurally unfair way), which cannot be justified as reasonably necessary for a </w:t>
      </w:r>
      <w:r w:rsidRPr="001C7E7B">
        <w:rPr>
          <w:rFonts w:ascii="Times New Roman" w:hAnsi="Times New Roman"/>
        </w:rPr>
        <w:lastRenderedPageBreak/>
        <w:t>legitimate legislative purpose.</w:t>
      </w:r>
      <w:r w:rsidRPr="001C7E7B">
        <w:rPr>
          <w:rStyle w:val="FootnoteReference"/>
          <w:rFonts w:ascii="Times New Roman" w:hAnsi="Times New Roman"/>
          <w:sz w:val="24"/>
        </w:rPr>
        <w:footnoteReference w:id="92"/>
      </w:r>
      <w:r w:rsidRPr="001C7E7B">
        <w:rPr>
          <w:rFonts w:ascii="Times New Roman" w:hAnsi="Times New Roman"/>
        </w:rPr>
        <w:t xml:space="preserve"> The categories of case that can amount to an undue impairment of judicial power are not closed. In every case, close attention should be given to both the purpose and the effect of the impugned legislation.</w:t>
      </w:r>
    </w:p>
    <w:p w14:paraId="56260D7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One authority which must be approached with care is </w:t>
      </w:r>
      <w:r w:rsidRPr="001C7E7B">
        <w:rPr>
          <w:rFonts w:ascii="Times New Roman" w:hAnsi="Times New Roman"/>
          <w:i/>
          <w:iCs/>
        </w:rPr>
        <w:t>Australian Building Construction Employees' and Builders Labourers' Federation v The Commonwealth</w:t>
      </w:r>
      <w:r w:rsidRPr="001C7E7B">
        <w:rPr>
          <w:rFonts w:ascii="Times New Roman" w:hAnsi="Times New Roman"/>
        </w:rPr>
        <w:t>.</w:t>
      </w:r>
      <w:r w:rsidRPr="001C7E7B">
        <w:rPr>
          <w:rStyle w:val="FootnoteReference"/>
          <w:rFonts w:ascii="Times New Roman" w:hAnsi="Times New Roman"/>
          <w:sz w:val="24"/>
        </w:rPr>
        <w:footnoteReference w:id="93"/>
      </w:r>
      <w:r w:rsidRPr="001C7E7B">
        <w:rPr>
          <w:rFonts w:ascii="Times New Roman" w:hAnsi="Times New Roman"/>
        </w:rPr>
        <w:t xml:space="preserve"> In a passage from that authority relied upon in this case by the Commonwealth, this Court said of an argument that the legislation in that case had interfered with judicial power that "[i]t matters not that the motive or purpose of the Minister, the Government and the Parliament in enacting the statute was to circumvent the proceedings and forestall any decision which might be given in those proceedings".</w:t>
      </w:r>
      <w:r w:rsidRPr="001C7E7B">
        <w:rPr>
          <w:rStyle w:val="FootnoteReference"/>
          <w:rFonts w:ascii="Times New Roman" w:hAnsi="Times New Roman"/>
          <w:sz w:val="24"/>
        </w:rPr>
        <w:footnoteReference w:id="94"/>
      </w:r>
      <w:r w:rsidRPr="001C7E7B">
        <w:rPr>
          <w:rFonts w:ascii="Times New Roman" w:hAnsi="Times New Roman"/>
        </w:rPr>
        <w:t xml:space="preserve"> However, that statement was prefaced by an emphasis that the relevant legislation "does not deal with any aspect of the judicial process" and by a contrast with circumstances where the legislation "interferes with the judicial process itself".</w:t>
      </w:r>
      <w:r w:rsidRPr="001C7E7B">
        <w:rPr>
          <w:rStyle w:val="FootnoteReference"/>
          <w:rFonts w:ascii="Times New Roman" w:hAnsi="Times New Roman"/>
          <w:sz w:val="24"/>
        </w:rPr>
        <w:footnoteReference w:id="95"/>
      </w:r>
      <w:r w:rsidRPr="001C7E7B">
        <w:rPr>
          <w:rFonts w:ascii="Times New Roman" w:hAnsi="Times New Roman"/>
        </w:rPr>
        <w:t xml:space="preserve"> The purpose of Parliament in enacting a law cannot create an undue interference with judicial power if there is no interference with any aspect of the judicial process but merely a consequential or incidental effect upon the rights that have been, or will be, adjudicated by a court. But the purpose of Parliament is important where legislation does interfere with the judicial process.</w:t>
      </w:r>
    </w:p>
    <w:p w14:paraId="0CDFF7A3"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Duncan v Independent Commission Against Corruption</w:t>
      </w:r>
    </w:p>
    <w:p w14:paraId="072BD46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authority concerning undue impairment of judicial power which was the focus of submissions in this case is </w:t>
      </w:r>
      <w:r w:rsidRPr="001C7E7B">
        <w:rPr>
          <w:rFonts w:ascii="Times New Roman" w:hAnsi="Times New Roman"/>
          <w:i/>
          <w:iCs/>
        </w:rPr>
        <w:t>Duncan v Independent Commission Against Corruption</w:t>
      </w:r>
      <w:r w:rsidRPr="001C7E7B">
        <w:rPr>
          <w:rFonts w:ascii="Times New Roman" w:hAnsi="Times New Roman"/>
        </w:rPr>
        <w:t>.</w:t>
      </w:r>
      <w:r w:rsidRPr="001C7E7B">
        <w:rPr>
          <w:rStyle w:val="FootnoteReference"/>
          <w:rFonts w:ascii="Times New Roman" w:hAnsi="Times New Roman"/>
          <w:sz w:val="24"/>
        </w:rPr>
        <w:footnoteReference w:id="96"/>
      </w:r>
      <w:r w:rsidRPr="001C7E7B">
        <w:rPr>
          <w:rFonts w:ascii="Times New Roman" w:hAnsi="Times New Roman"/>
        </w:rPr>
        <w:t xml:space="preserve"> The background to </w:t>
      </w:r>
      <w:r w:rsidRPr="001C7E7B">
        <w:rPr>
          <w:rFonts w:ascii="Times New Roman" w:hAnsi="Times New Roman"/>
          <w:i/>
          <w:iCs/>
        </w:rPr>
        <w:t>Duncan</w:t>
      </w:r>
      <w:r w:rsidRPr="001C7E7B">
        <w:rPr>
          <w:rFonts w:ascii="Times New Roman" w:hAnsi="Times New Roman"/>
        </w:rPr>
        <w:t xml:space="preserve"> was the decision of this Court in </w:t>
      </w:r>
      <w:r w:rsidRPr="001C7E7B">
        <w:rPr>
          <w:rFonts w:ascii="Times New Roman" w:hAnsi="Times New Roman"/>
          <w:i/>
          <w:iCs/>
        </w:rPr>
        <w:t>Independent Commission Against Corruption v Cunneen</w:t>
      </w:r>
      <w:r w:rsidRPr="001C7E7B">
        <w:rPr>
          <w:rStyle w:val="FootnoteReference"/>
          <w:rFonts w:ascii="Times New Roman" w:hAnsi="Times New Roman"/>
          <w:sz w:val="24"/>
        </w:rPr>
        <w:footnoteReference w:id="97"/>
      </w:r>
      <w:r w:rsidRPr="001C7E7B">
        <w:rPr>
          <w:rFonts w:ascii="Times New Roman" w:hAnsi="Times New Roman"/>
          <w:i/>
          <w:iCs/>
        </w:rPr>
        <w:t xml:space="preserve"> </w:t>
      </w:r>
      <w:r w:rsidRPr="001C7E7B">
        <w:rPr>
          <w:rFonts w:ascii="Times New Roman" w:hAnsi="Times New Roman"/>
        </w:rPr>
        <w:t xml:space="preserve">that the meaning of "corrupt conduct" in s 8 of the </w:t>
      </w:r>
      <w:r w:rsidRPr="001C7E7B">
        <w:rPr>
          <w:rFonts w:ascii="Times New Roman" w:hAnsi="Times New Roman"/>
          <w:i/>
          <w:iCs/>
        </w:rPr>
        <w:t>Independent Commission Against Corruption Act 1988 </w:t>
      </w:r>
      <w:r w:rsidRPr="001C7E7B">
        <w:rPr>
          <w:rFonts w:ascii="Times New Roman" w:hAnsi="Times New Roman"/>
        </w:rPr>
        <w:t xml:space="preserve">(NSW), conferring investigative jurisdiction on the Commission, did not extend to conduct that did not compromise the probity of public administration. </w:t>
      </w:r>
      <w:r w:rsidRPr="001C7E7B">
        <w:rPr>
          <w:rFonts w:ascii="Times New Roman" w:hAnsi="Times New Roman"/>
        </w:rPr>
        <w:lastRenderedPageBreak/>
        <w:t xml:space="preserve">Mr Duncan could have successfully relied upon the decision in </w:t>
      </w:r>
      <w:r w:rsidRPr="001C7E7B">
        <w:rPr>
          <w:rFonts w:ascii="Times New Roman" w:hAnsi="Times New Roman"/>
          <w:i/>
          <w:iCs/>
        </w:rPr>
        <w:t xml:space="preserve">Cunneen </w:t>
      </w:r>
      <w:r w:rsidRPr="001C7E7B">
        <w:rPr>
          <w:rFonts w:ascii="Times New Roman" w:hAnsi="Times New Roman"/>
        </w:rPr>
        <w:t xml:space="preserve">in his application for leave to appeal from a decision which refused his challenge to findings of corrupt conduct made against him by the Commission. But while Mr Duncan's application for leave to appeal was pending, the Parliament of New South Wales enacted validating legislation to ensure the validity of the Commission's activities despite the decision in </w:t>
      </w:r>
      <w:r w:rsidRPr="001C7E7B">
        <w:rPr>
          <w:rFonts w:ascii="Times New Roman" w:hAnsi="Times New Roman"/>
          <w:i/>
          <w:iCs/>
        </w:rPr>
        <w:t>Cunneen</w:t>
      </w:r>
      <w:r w:rsidRPr="001C7E7B">
        <w:rPr>
          <w:rFonts w:ascii="Times New Roman" w:hAnsi="Times New Roman"/>
        </w:rPr>
        <w:t>.</w:t>
      </w:r>
      <w:r w:rsidRPr="001C7E7B">
        <w:rPr>
          <w:rStyle w:val="FootnoteReference"/>
          <w:rFonts w:ascii="Times New Roman" w:hAnsi="Times New Roman"/>
          <w:sz w:val="24"/>
        </w:rPr>
        <w:footnoteReference w:id="98"/>
      </w:r>
      <w:r w:rsidRPr="001C7E7B">
        <w:rPr>
          <w:rFonts w:ascii="Times New Roman" w:hAnsi="Times New Roman"/>
        </w:rPr>
        <w:t xml:space="preserve"> Mr Duncan challenged the validity of that validating legislation. Mr Duncan asserted that the validating legislation unduly impaired the institutional integrity of the Supreme Court of New South Wales by directing the Court to treat acts as valid when those acts were invalid.</w:t>
      </w:r>
      <w:r w:rsidRPr="001C7E7B">
        <w:rPr>
          <w:rStyle w:val="FootnoteReference"/>
          <w:rFonts w:ascii="Times New Roman" w:hAnsi="Times New Roman"/>
          <w:sz w:val="24"/>
        </w:rPr>
        <w:footnoteReference w:id="99"/>
      </w:r>
      <w:r w:rsidRPr="001C7E7B">
        <w:rPr>
          <w:rFonts w:ascii="Times New Roman" w:hAnsi="Times New Roman"/>
        </w:rPr>
        <w:t xml:space="preserve"> This Court unanimously rejected Mr Duncan's claim. </w:t>
      </w:r>
    </w:p>
    <w:p w14:paraId="3781138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joint judgment of French CJ, Kiefel, Bell and Keane JJ held that the validating legislation merely amended the </w:t>
      </w:r>
      <w:r w:rsidRPr="001C7E7B">
        <w:rPr>
          <w:rFonts w:ascii="Times New Roman" w:hAnsi="Times New Roman"/>
          <w:i/>
          <w:iCs/>
        </w:rPr>
        <w:t>Independent Commission Against Corruption Act 1988 </w:t>
      </w:r>
      <w:r w:rsidRPr="001C7E7B">
        <w:rPr>
          <w:rFonts w:ascii="Times New Roman" w:hAnsi="Times New Roman"/>
        </w:rPr>
        <w:t>(NSW).</w:t>
      </w:r>
      <w:r w:rsidRPr="001C7E7B">
        <w:rPr>
          <w:rStyle w:val="FootnoteReference"/>
          <w:rFonts w:ascii="Times New Roman" w:hAnsi="Times New Roman"/>
          <w:sz w:val="24"/>
        </w:rPr>
        <w:footnoteReference w:id="100"/>
      </w:r>
      <w:r w:rsidRPr="001C7E7B">
        <w:rPr>
          <w:rFonts w:ascii="Times New Roman" w:hAnsi="Times New Roman"/>
        </w:rPr>
        <w:t xml:space="preserve"> Although that amendment retrospectively changed the legal position of the Commission and may have affected Mr Duncan's rights, including his reputation, it was open to the legislature to attach new legal consequences to events which occurred prior to the date specified in the validating legislation (being the date of judgment delivery in </w:t>
      </w:r>
      <w:r w:rsidRPr="001C7E7B">
        <w:rPr>
          <w:rFonts w:ascii="Times New Roman" w:hAnsi="Times New Roman"/>
          <w:i/>
        </w:rPr>
        <w:t>Cunneen</w:t>
      </w:r>
      <w:r w:rsidRPr="001C7E7B">
        <w:rPr>
          <w:rFonts w:ascii="Times New Roman" w:hAnsi="Times New Roman"/>
        </w:rPr>
        <w:t>).</w:t>
      </w:r>
      <w:r w:rsidRPr="001C7E7B">
        <w:rPr>
          <w:rStyle w:val="FootnoteReference"/>
          <w:rFonts w:ascii="Times New Roman" w:hAnsi="Times New Roman"/>
          <w:sz w:val="24"/>
        </w:rPr>
        <w:footnoteReference w:id="101"/>
      </w:r>
    </w:p>
    <w:p w14:paraId="6DD69873"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Section 5 of the Confirmation Act is not an undue impairment of judicial power</w:t>
      </w:r>
    </w:p>
    <w:p w14:paraId="5CA36A6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5 of the Confirmation Act does, and is intended to, interfere with the judicial process. Section 5 is properly characterised as a law that changes the manner in which a select, but undetermined, group of cases are to be decided in the future. But the mere interference with the judicial process, particularly by laws concerned with the rules of procedure or evidence, will not, without more, be an undue impairment of judicial power. The plaintiffs properly did not suggest otherwise.</w:t>
      </w:r>
    </w:p>
    <w:p w14:paraId="0435467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Apart from their assertion that s 5 of the Confirmation Act was an exercise of judicial power, addressed separately above, the plaintiffs relied upon two </w:t>
      </w:r>
      <w:r w:rsidRPr="001C7E7B">
        <w:rPr>
          <w:rFonts w:ascii="Times New Roman" w:hAnsi="Times New Roman"/>
        </w:rPr>
        <w:lastRenderedPageBreak/>
        <w:t>matters in support of their submission that s 5 was an undue interference with judicial power. The first was that s 5 applied only to a select cohort of cases, thus establishing two separate regimes for the application of s 7 of the TIA Act. The second was that any application for the exclusion of evidence obtained under the relevant warrants was rendered futile.</w:t>
      </w:r>
    </w:p>
    <w:p w14:paraId="0ADDD9D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As to the first matter, the plaintiffs are correct that s 5 of the Confirmation Act applies only to a select cohort of cases. But that cohort are not necessarily identified people. Section 5 is not confined in its application to the 390 people who are presently charged; it could apply to others if further charges are laid as a result of information obtained under the relevant Operation Ironside warrants. Further, s 5 operates in the same usual manner as legislative amendments to the rules of evidence or procedure; in changing the manner in which the affected group of cases are to be decided, the section does not operate retroactively</w:t>
      </w:r>
      <w:r w:rsidRPr="001C7E7B">
        <w:rPr>
          <w:rStyle w:val="FootnoteReference"/>
          <w:rFonts w:ascii="Times New Roman" w:hAnsi="Times New Roman"/>
          <w:sz w:val="24"/>
        </w:rPr>
        <w:footnoteReference w:id="102"/>
      </w:r>
      <w:r w:rsidRPr="001C7E7B">
        <w:rPr>
          <w:rFonts w:ascii="Times New Roman" w:hAnsi="Times New Roman"/>
        </w:rPr>
        <w:t xml:space="preserve"> "because it will prescribe the manner in which something may or must be done in the future, even if what is to be done relates to, or is based upon, past events".</w:t>
      </w:r>
      <w:r w:rsidRPr="001C7E7B">
        <w:rPr>
          <w:rStyle w:val="FootnoteReference"/>
          <w:rFonts w:ascii="Times New Roman" w:hAnsi="Times New Roman"/>
          <w:sz w:val="24"/>
        </w:rPr>
        <w:footnoteReference w:id="103"/>
      </w:r>
      <w:r w:rsidRPr="001C7E7B">
        <w:rPr>
          <w:rFonts w:ascii="Times New Roman" w:hAnsi="Times New Roman"/>
        </w:rPr>
        <w:t xml:space="preserve"> And the creation of two different procedures for the future judicial application of a statutory rule, based on different factual circumstances, is not uncommon and entirely within the province of Parliament.</w:t>
      </w:r>
    </w:p>
    <w:p w14:paraId="7BF9E77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As to the second matter, there are three reasons that the redundancy of any application for the exclusion of evidence, within the select cohort of people to whom s 5 applies, does not establish an undue interference with judicial power. First, it was not suggested that in every case the admission of the relevant evidence was intended to, or would necessarily, have the effect that the accused person would be found guilty. The interference by s 5 with the judicial process leaves intact the court's ultimate decisional independence. Secondly, s 5 does not address the requirement for the Crown to prove that the AN0M communications were sent by the relevant accused persons. Thirdly, there remain other important judicial discretions to exclude the relevant evidence on grounds such as: (i) the prejudicial effect of the evidence exceeding its probative value;</w:t>
      </w:r>
      <w:r w:rsidRPr="001C7E7B">
        <w:rPr>
          <w:rStyle w:val="FootnoteReference"/>
          <w:rFonts w:ascii="Times New Roman" w:hAnsi="Times New Roman"/>
          <w:sz w:val="24"/>
        </w:rPr>
        <w:footnoteReference w:id="104"/>
      </w:r>
      <w:r w:rsidRPr="001C7E7B">
        <w:rPr>
          <w:rFonts w:ascii="Times New Roman" w:hAnsi="Times New Roman"/>
        </w:rPr>
        <w:t xml:space="preserve"> or (ii) the effect that the evidence would have on the fairness of the trial independently of the legality of the warrants under which the evidence was obtained.</w:t>
      </w:r>
      <w:r w:rsidRPr="001C7E7B">
        <w:rPr>
          <w:rStyle w:val="FootnoteReference"/>
          <w:rFonts w:ascii="Times New Roman" w:hAnsi="Times New Roman"/>
          <w:sz w:val="24"/>
        </w:rPr>
        <w:footnoteReference w:id="105"/>
      </w:r>
      <w:r w:rsidRPr="001C7E7B">
        <w:rPr>
          <w:rFonts w:ascii="Times New Roman" w:hAnsi="Times New Roman"/>
        </w:rPr>
        <w:t xml:space="preserve"> </w:t>
      </w:r>
    </w:p>
    <w:p w14:paraId="3D309C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Section 5 of the Confirmation Act does not unduly impair judicial power.</w:t>
      </w:r>
    </w:p>
    <w:p w14:paraId="0CF40BB9"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Conclusion</w:t>
      </w:r>
    </w:p>
    <w:p w14:paraId="09727AE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questions in the special case should be answered as follows:</w:t>
      </w:r>
    </w:p>
    <w:p w14:paraId="07E16FFF"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Question 1(a):</w:t>
      </w:r>
      <w:r w:rsidRPr="001C7E7B">
        <w:rPr>
          <w:rFonts w:ascii="Times New Roman" w:hAnsi="Times New Roman"/>
        </w:rPr>
        <w:t xml:space="preserve"> Is the </w:t>
      </w:r>
      <w:r w:rsidRPr="001C7E7B">
        <w:rPr>
          <w:rFonts w:ascii="Times New Roman" w:hAnsi="Times New Roman"/>
          <w:i/>
          <w:iCs/>
        </w:rPr>
        <w:t>Surveillance Legislation (Confirmation of Application) Act 2024</w:t>
      </w:r>
      <w:r w:rsidRPr="001C7E7B">
        <w:rPr>
          <w:rFonts w:ascii="Times New Roman" w:hAnsi="Times New Roman"/>
        </w:rPr>
        <w:t xml:space="preserve"> (Cth) invalid, either in whole or in part, because it is an impermissible exercise by the Parliament of the judicial power of the Commonwealth?</w:t>
      </w:r>
    </w:p>
    <w:p w14:paraId="6E924414" w14:textId="77777777" w:rsidR="009A04F1" w:rsidRPr="001C7E7B"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Answer:</w:t>
      </w:r>
      <w:r w:rsidRPr="001C7E7B">
        <w:rPr>
          <w:rFonts w:ascii="Times New Roman" w:hAnsi="Times New Roman"/>
        </w:rPr>
        <w:t xml:space="preserve"> No. </w:t>
      </w:r>
    </w:p>
    <w:p w14:paraId="7C4AA72D"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 xml:space="preserve">Question 1(b): </w:t>
      </w:r>
      <w:r w:rsidRPr="001C7E7B">
        <w:rPr>
          <w:rFonts w:ascii="Times New Roman" w:hAnsi="Times New Roman"/>
        </w:rPr>
        <w:t xml:space="preserve">Is the </w:t>
      </w:r>
      <w:r w:rsidRPr="001C7E7B">
        <w:rPr>
          <w:rFonts w:ascii="Times New Roman" w:hAnsi="Times New Roman"/>
          <w:i/>
          <w:iCs/>
        </w:rPr>
        <w:t>Surveillance Legislation (Confirmation of Application) Act 2024</w:t>
      </w:r>
      <w:r w:rsidRPr="001C7E7B">
        <w:rPr>
          <w:rFonts w:ascii="Times New Roman" w:hAnsi="Times New Roman"/>
        </w:rPr>
        <w:t xml:space="preserve"> (Cth) invalid, either in whole or in part, because it impermissibly interferes with and undermines the institutional integrity of courts vested with federal jurisdiction?</w:t>
      </w:r>
    </w:p>
    <w:p w14:paraId="56FC698D" w14:textId="77777777" w:rsidR="009A04F1" w:rsidRPr="001C7E7B"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 xml:space="preserve">Answer: </w:t>
      </w:r>
      <w:r w:rsidRPr="001C7E7B">
        <w:rPr>
          <w:rFonts w:ascii="Times New Roman" w:hAnsi="Times New Roman"/>
        </w:rPr>
        <w:t>No.</w:t>
      </w:r>
    </w:p>
    <w:p w14:paraId="2C6A17F9"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Question 2:</w:t>
      </w:r>
      <w:r w:rsidRPr="001C7E7B">
        <w:rPr>
          <w:rFonts w:ascii="Times New Roman" w:hAnsi="Times New Roman"/>
        </w:rPr>
        <w:t xml:space="preserve"> Who should pay the costs of the special case?</w:t>
      </w:r>
    </w:p>
    <w:p w14:paraId="7D266573" w14:textId="77777777" w:rsidR="009A04F1"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 xml:space="preserve">Answer: </w:t>
      </w:r>
      <w:r w:rsidRPr="001C7E7B">
        <w:rPr>
          <w:rFonts w:ascii="Times New Roman" w:hAnsi="Times New Roman"/>
        </w:rPr>
        <w:t xml:space="preserve">The plaintiffs. </w:t>
      </w:r>
    </w:p>
    <w:p w14:paraId="295B7186" w14:textId="77777777" w:rsidR="009A04F1" w:rsidRDefault="009A04F1" w:rsidP="009A04F1">
      <w:pPr>
        <w:pStyle w:val="FixListStyle"/>
        <w:spacing w:after="260" w:line="280" w:lineRule="exact"/>
        <w:ind w:right="0"/>
        <w:jc w:val="both"/>
        <w:rPr>
          <w:rFonts w:ascii="Times New Roman" w:hAnsi="Times New Roman"/>
        </w:rPr>
      </w:pPr>
      <w:r w:rsidRPr="001C7E7B">
        <w:rPr>
          <w:rFonts w:ascii="Times New Roman" w:hAnsi="Times New Roman"/>
        </w:rPr>
        <w:tab/>
        <w:t>An effect of these answers is that the issues raised in the appeal concerning the interpretation and application of s 7(1) of the TIA Act have no consequences for the parties to the appeal other than with respect to costs. Of course, by leaving without final resolution by this Court the important issues concerning the interpretation and application of s 7(1) there will remain residual uncertainty for an applicant seeking a warrant in related circumstances in the future. Nevertheless, and in light of the proper concession made by the plaintiffs, special leave to appeal should be revoked.</w:t>
      </w:r>
    </w:p>
    <w:p w14:paraId="1FD7183A" w14:textId="77777777" w:rsidR="009A04F1" w:rsidRDefault="009A04F1" w:rsidP="009A04F1">
      <w:pPr>
        <w:pStyle w:val="FixListStyle"/>
        <w:spacing w:after="260" w:line="280" w:lineRule="exact"/>
        <w:ind w:right="0"/>
        <w:jc w:val="both"/>
        <w:rPr>
          <w:rFonts w:ascii="Times New Roman" w:hAnsi="Times New Roman"/>
        </w:rPr>
        <w:sectPr w:rsidR="009A04F1" w:rsidSect="009A04F1">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5577F7C7" w14:textId="60950C52" w:rsidR="009F3CF5" w:rsidRPr="009A04F1" w:rsidRDefault="009F3CF5" w:rsidP="009A04F1">
      <w:pPr>
        <w:pStyle w:val="NormalBody"/>
      </w:pPr>
    </w:p>
    <w:sectPr w:rsidR="009F3CF5" w:rsidRPr="009A04F1" w:rsidSect="009A04F1">
      <w:headerReference w:type="default" r:id="rId26"/>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531D" w14:textId="77777777" w:rsidR="00CA1F60" w:rsidRDefault="00CA1F60">
      <w:pPr>
        <w:spacing w:line="240" w:lineRule="auto"/>
      </w:pPr>
      <w:r>
        <w:separator/>
      </w:r>
    </w:p>
  </w:endnote>
  <w:endnote w:type="continuationSeparator" w:id="0">
    <w:p w14:paraId="736CDD59" w14:textId="77777777" w:rsidR="00CA1F60" w:rsidRDefault="00CA1F60">
      <w:pPr>
        <w:spacing w:line="240" w:lineRule="auto"/>
      </w:pPr>
      <w:r>
        <w:continuationSeparator/>
      </w:r>
    </w:p>
  </w:endnote>
  <w:endnote w:type="continuationNotice" w:id="1">
    <w:p w14:paraId="3CC8F728" w14:textId="77777777" w:rsidR="00CA1F60" w:rsidRDefault="00CA1F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B72E" w14:textId="77777777" w:rsidR="005F7663" w:rsidRDefault="005F7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CD15" w14:textId="77777777" w:rsidR="005F7663" w:rsidRDefault="005F7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6D1" w14:textId="77777777" w:rsidR="005F7663" w:rsidRDefault="005F7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2DE4" w14:textId="77777777" w:rsidR="005F7663" w:rsidRDefault="005F76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5C26" w14:textId="77777777" w:rsidR="005F7663" w:rsidRDefault="005F76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8B03" w14:textId="77777777" w:rsidR="005F7663" w:rsidRDefault="005F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0823" w14:textId="77777777" w:rsidR="00CA1F60" w:rsidRPr="00192A62" w:rsidRDefault="00CA1F60" w:rsidP="00192A62">
      <w:pPr>
        <w:pStyle w:val="Footer"/>
        <w:spacing w:before="120" w:after="20"/>
        <w:ind w:right="0"/>
        <w:rPr>
          <w:rFonts w:ascii="Times New Roman" w:hAnsi="Times New Roman"/>
        </w:rPr>
      </w:pPr>
      <w:r>
        <w:continuationSeparator/>
      </w:r>
    </w:p>
  </w:footnote>
  <w:footnote w:type="continuationSeparator" w:id="0">
    <w:p w14:paraId="6652E25D" w14:textId="77777777" w:rsidR="00CA1F60" w:rsidRPr="00192A62" w:rsidRDefault="00CA1F60" w:rsidP="00192A62">
      <w:pPr>
        <w:pStyle w:val="Footer"/>
        <w:spacing w:before="120" w:after="20"/>
        <w:ind w:right="0"/>
        <w:rPr>
          <w:rFonts w:ascii="Times New Roman" w:hAnsi="Times New Roman"/>
        </w:rPr>
      </w:pPr>
      <w:r w:rsidRPr="00192A62">
        <w:rPr>
          <w:rFonts w:ascii="Times New Roman" w:hAnsi="Times New Roman"/>
        </w:rPr>
        <w:continuationSeparator/>
      </w:r>
    </w:p>
  </w:footnote>
  <w:footnote w:type="continuationNotice" w:id="1">
    <w:p w14:paraId="19408223" w14:textId="77777777" w:rsidR="00CA1F60" w:rsidRPr="009A04F1" w:rsidRDefault="00CA1F60">
      <w:pPr>
        <w:jc w:val="right"/>
        <w:rPr>
          <w:rFonts w:ascii="Times New Roman" w:hAnsi="Times New Roman"/>
          <w:sz w:val="24"/>
        </w:rPr>
      </w:pPr>
    </w:p>
  </w:footnote>
  <w:footnote w:id="2">
    <w:p w14:paraId="378CEE28" w14:textId="68CAB6AD" w:rsidR="00316B16" w:rsidRPr="00192A62" w:rsidRDefault="00316B16"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092B2C" w:rsidRPr="00192A62">
        <w:rPr>
          <w:rFonts w:ascii="Times New Roman" w:hAnsi="Times New Roman"/>
          <w:sz w:val="24"/>
        </w:rPr>
        <w:t xml:space="preserve">By </w:t>
      </w:r>
      <w:r w:rsidR="00502487" w:rsidRPr="00192A62">
        <w:rPr>
          <w:rFonts w:ascii="Times New Roman" w:hAnsi="Times New Roman"/>
          <w:sz w:val="24"/>
        </w:rPr>
        <w:t xml:space="preserve">s 7(1) </w:t>
      </w:r>
      <w:r w:rsidR="00C25913" w:rsidRPr="00192A62">
        <w:rPr>
          <w:rFonts w:ascii="Times New Roman" w:hAnsi="Times New Roman"/>
          <w:sz w:val="24"/>
        </w:rPr>
        <w:t xml:space="preserve">of </w:t>
      </w:r>
      <w:r w:rsidR="00092B2C" w:rsidRPr="00192A62">
        <w:rPr>
          <w:rFonts w:ascii="Times New Roman" w:hAnsi="Times New Roman"/>
          <w:sz w:val="24"/>
        </w:rPr>
        <w:t xml:space="preserve">the TIA Act, </w:t>
      </w:r>
      <w:r w:rsidR="00E7350C" w:rsidRPr="00192A62">
        <w:rPr>
          <w:rFonts w:ascii="Times New Roman" w:hAnsi="Times New Roman"/>
          <w:sz w:val="24"/>
        </w:rPr>
        <w:t>a "</w:t>
      </w:r>
      <w:r w:rsidR="00836096" w:rsidRPr="00192A62">
        <w:rPr>
          <w:rFonts w:ascii="Times New Roman" w:hAnsi="Times New Roman"/>
          <w:sz w:val="24"/>
        </w:rPr>
        <w:t>person shall not</w:t>
      </w:r>
      <w:r w:rsidR="004A4543" w:rsidRPr="00192A62">
        <w:rPr>
          <w:rFonts w:ascii="Times New Roman" w:hAnsi="Times New Roman"/>
          <w:sz w:val="24"/>
        </w:rPr>
        <w:t>:</w:t>
      </w:r>
      <w:r w:rsidR="00836096" w:rsidRPr="00192A62">
        <w:rPr>
          <w:rFonts w:ascii="Times New Roman" w:hAnsi="Times New Roman"/>
          <w:sz w:val="24"/>
        </w:rPr>
        <w:t xml:space="preserve"> (a)</w:t>
      </w:r>
      <w:r w:rsidR="004A4543" w:rsidRPr="00192A62">
        <w:rPr>
          <w:rFonts w:ascii="Times New Roman" w:hAnsi="Times New Roman"/>
          <w:sz w:val="24"/>
        </w:rPr>
        <w:t> </w:t>
      </w:r>
      <w:r w:rsidR="00836096" w:rsidRPr="00192A62">
        <w:rPr>
          <w:rFonts w:ascii="Times New Roman" w:hAnsi="Times New Roman"/>
          <w:sz w:val="24"/>
        </w:rPr>
        <w:t>intercept ... a communication passing over a telecommunications system"</w:t>
      </w:r>
      <w:r w:rsidR="00843953" w:rsidRPr="00192A62">
        <w:rPr>
          <w:rFonts w:ascii="Times New Roman" w:hAnsi="Times New Roman"/>
          <w:sz w:val="24"/>
        </w:rPr>
        <w:t>,</w:t>
      </w:r>
      <w:r w:rsidR="00836096" w:rsidRPr="00192A62">
        <w:rPr>
          <w:rFonts w:ascii="Times New Roman" w:hAnsi="Times New Roman"/>
          <w:sz w:val="24"/>
        </w:rPr>
        <w:t xml:space="preserve"> where</w:t>
      </w:r>
      <w:r w:rsidR="005147DE" w:rsidRPr="00192A62">
        <w:rPr>
          <w:rFonts w:ascii="Times New Roman" w:hAnsi="Times New Roman"/>
          <w:sz w:val="24"/>
        </w:rPr>
        <w:t>:</w:t>
      </w:r>
      <w:r w:rsidR="00836096" w:rsidRPr="00192A62">
        <w:rPr>
          <w:rFonts w:ascii="Times New Roman" w:hAnsi="Times New Roman"/>
          <w:sz w:val="24"/>
        </w:rPr>
        <w:t xml:space="preserve"> "</w:t>
      </w:r>
      <w:r w:rsidR="00D91E81" w:rsidRPr="00192A62">
        <w:rPr>
          <w:rFonts w:ascii="Times New Roman" w:hAnsi="Times New Roman"/>
          <w:sz w:val="24"/>
        </w:rPr>
        <w:t>communication" is defined in s </w:t>
      </w:r>
      <w:r w:rsidR="00A969EC" w:rsidRPr="00192A62">
        <w:rPr>
          <w:rFonts w:ascii="Times New Roman" w:hAnsi="Times New Roman"/>
          <w:sz w:val="24"/>
        </w:rPr>
        <w:t>5(1)</w:t>
      </w:r>
      <w:r w:rsidR="00F00402" w:rsidRPr="00192A62">
        <w:rPr>
          <w:rFonts w:ascii="Times New Roman" w:hAnsi="Times New Roman"/>
          <w:sz w:val="24"/>
        </w:rPr>
        <w:t xml:space="preserve">; </w:t>
      </w:r>
      <w:r w:rsidR="00A969EC" w:rsidRPr="00192A62">
        <w:rPr>
          <w:rFonts w:ascii="Times New Roman" w:hAnsi="Times New Roman"/>
          <w:sz w:val="24"/>
        </w:rPr>
        <w:t>"a communication passing over a telecommunications system"</w:t>
      </w:r>
      <w:r w:rsidR="00F00402" w:rsidRPr="00192A62">
        <w:rPr>
          <w:rFonts w:ascii="Times New Roman" w:hAnsi="Times New Roman"/>
          <w:sz w:val="24"/>
        </w:rPr>
        <w:t xml:space="preserve"> is given meaning by s</w:t>
      </w:r>
      <w:r w:rsidR="00B97CF5" w:rsidRPr="00192A62">
        <w:rPr>
          <w:rFonts w:ascii="Times New Roman" w:hAnsi="Times New Roman"/>
          <w:sz w:val="24"/>
        </w:rPr>
        <w:t>s</w:t>
      </w:r>
      <w:r w:rsidR="00F00402" w:rsidRPr="00192A62">
        <w:rPr>
          <w:rFonts w:ascii="Times New Roman" w:hAnsi="Times New Roman"/>
          <w:sz w:val="24"/>
        </w:rPr>
        <w:t> 5F</w:t>
      </w:r>
      <w:r w:rsidR="00B97CF5" w:rsidRPr="00192A62">
        <w:rPr>
          <w:rFonts w:ascii="Times New Roman" w:hAnsi="Times New Roman"/>
          <w:sz w:val="24"/>
        </w:rPr>
        <w:t xml:space="preserve"> and 5G; and "interception of a communication passing over a telecommunications system" is given meaning by s </w:t>
      </w:r>
      <w:r w:rsidR="00F479A0" w:rsidRPr="00192A62">
        <w:rPr>
          <w:rFonts w:ascii="Times New Roman" w:hAnsi="Times New Roman"/>
          <w:sz w:val="24"/>
        </w:rPr>
        <w:t xml:space="preserve">6. By </w:t>
      </w:r>
      <w:r w:rsidR="00C25913" w:rsidRPr="00192A62">
        <w:rPr>
          <w:rFonts w:ascii="Times New Roman" w:hAnsi="Times New Roman"/>
          <w:sz w:val="24"/>
        </w:rPr>
        <w:t xml:space="preserve">s 63(1)(a) </w:t>
      </w:r>
      <w:r w:rsidR="00B72C77" w:rsidRPr="00192A62">
        <w:rPr>
          <w:rFonts w:ascii="Times New Roman" w:hAnsi="Times New Roman"/>
          <w:sz w:val="24"/>
        </w:rPr>
        <w:t xml:space="preserve">of </w:t>
      </w:r>
      <w:r w:rsidR="00F479A0" w:rsidRPr="00192A62">
        <w:rPr>
          <w:rFonts w:ascii="Times New Roman" w:hAnsi="Times New Roman"/>
          <w:sz w:val="24"/>
        </w:rPr>
        <w:t xml:space="preserve">the TIA Act, </w:t>
      </w:r>
      <w:r w:rsidR="00985403" w:rsidRPr="00192A62">
        <w:rPr>
          <w:rFonts w:ascii="Times New Roman" w:hAnsi="Times New Roman"/>
          <w:sz w:val="24"/>
        </w:rPr>
        <w:t>"</w:t>
      </w:r>
      <w:r w:rsidR="00FD7373" w:rsidRPr="00192A62">
        <w:rPr>
          <w:rFonts w:ascii="Times New Roman" w:hAnsi="Times New Roman"/>
          <w:sz w:val="24"/>
        </w:rPr>
        <w:t xml:space="preserve">a person </w:t>
      </w:r>
      <w:r w:rsidR="00FA3732" w:rsidRPr="00192A62">
        <w:rPr>
          <w:rFonts w:ascii="Times New Roman" w:hAnsi="Times New Roman"/>
          <w:sz w:val="24"/>
        </w:rPr>
        <w:t xml:space="preserve">shall not ... communicate to another person, make use of, or make a record of ... </w:t>
      </w:r>
      <w:r w:rsidR="00AB3D8D" w:rsidRPr="00192A62">
        <w:rPr>
          <w:rFonts w:ascii="Times New Roman" w:hAnsi="Times New Roman"/>
          <w:sz w:val="24"/>
        </w:rPr>
        <w:t>lawfully intercepted information or information obtained by intercepting a communication in contravention of subsection</w:t>
      </w:r>
      <w:r w:rsidR="00445BA6" w:rsidRPr="00192A62">
        <w:rPr>
          <w:rFonts w:ascii="Times New Roman" w:hAnsi="Times New Roman"/>
          <w:sz w:val="24"/>
        </w:rPr>
        <w:t> </w:t>
      </w:r>
      <w:r w:rsidR="00AB3D8D" w:rsidRPr="00192A62">
        <w:rPr>
          <w:rFonts w:ascii="Times New Roman" w:hAnsi="Times New Roman"/>
          <w:sz w:val="24"/>
        </w:rPr>
        <w:t>7(1)"</w:t>
      </w:r>
      <w:r w:rsidR="00013593" w:rsidRPr="00192A62">
        <w:rPr>
          <w:rFonts w:ascii="Times New Roman" w:hAnsi="Times New Roman"/>
          <w:sz w:val="24"/>
        </w:rPr>
        <w:t>.</w:t>
      </w:r>
      <w:r w:rsidR="00AB3D8D" w:rsidRPr="00192A62">
        <w:rPr>
          <w:rFonts w:ascii="Times New Roman" w:hAnsi="Times New Roman"/>
          <w:sz w:val="24"/>
        </w:rPr>
        <w:t xml:space="preserve"> By s 77</w:t>
      </w:r>
      <w:r w:rsidR="00674BB3" w:rsidRPr="00192A62">
        <w:rPr>
          <w:rFonts w:ascii="Times New Roman" w:hAnsi="Times New Roman"/>
          <w:sz w:val="24"/>
        </w:rPr>
        <w:t>(1)(a)</w:t>
      </w:r>
      <w:r w:rsidR="00B72C77" w:rsidRPr="00192A62">
        <w:rPr>
          <w:rFonts w:ascii="Times New Roman" w:hAnsi="Times New Roman"/>
          <w:sz w:val="24"/>
        </w:rPr>
        <w:t xml:space="preserve"> of the TIA Act</w:t>
      </w:r>
      <w:r w:rsidR="00674BB3" w:rsidRPr="00192A62">
        <w:rPr>
          <w:rFonts w:ascii="Times New Roman" w:hAnsi="Times New Roman"/>
          <w:sz w:val="24"/>
        </w:rPr>
        <w:t xml:space="preserve">, such information or record is not </w:t>
      </w:r>
      <w:r w:rsidR="00C2638B" w:rsidRPr="00192A62">
        <w:rPr>
          <w:rFonts w:ascii="Times New Roman" w:hAnsi="Times New Roman"/>
          <w:sz w:val="24"/>
        </w:rPr>
        <w:t xml:space="preserve">admissible in evidence </w:t>
      </w:r>
      <w:r w:rsidR="00002063" w:rsidRPr="00192A62">
        <w:rPr>
          <w:rFonts w:ascii="Times New Roman" w:hAnsi="Times New Roman"/>
          <w:sz w:val="24"/>
        </w:rPr>
        <w:t xml:space="preserve">subject to immaterial exceptions. </w:t>
      </w:r>
    </w:p>
  </w:footnote>
  <w:footnote w:id="3">
    <w:p w14:paraId="72802AAE" w14:textId="2DFBDDDC" w:rsidR="00EA1624" w:rsidRPr="00192A62" w:rsidRDefault="00EA1624"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191967" w:rsidRPr="00192A62">
        <w:rPr>
          <w:rFonts w:ascii="Times New Roman" w:hAnsi="Times New Roman"/>
          <w:i/>
          <w:iCs/>
          <w:sz w:val="24"/>
        </w:rPr>
        <w:t xml:space="preserve">R v TB </w:t>
      </w:r>
      <w:r w:rsidR="00191967" w:rsidRPr="00192A62">
        <w:rPr>
          <w:rFonts w:ascii="Times New Roman" w:hAnsi="Times New Roman"/>
          <w:sz w:val="24"/>
        </w:rPr>
        <w:t>(2023) 413 ALR 514.</w:t>
      </w:r>
    </w:p>
  </w:footnote>
  <w:footnote w:id="4">
    <w:p w14:paraId="2B309191" w14:textId="094E48E1" w:rsidR="00B57D97" w:rsidRPr="00192A62" w:rsidRDefault="00B57D9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See </w:t>
      </w:r>
      <w:r w:rsidR="00A50770" w:rsidRPr="00192A62">
        <w:rPr>
          <w:rFonts w:ascii="Times New Roman" w:hAnsi="Times New Roman"/>
          <w:i/>
          <w:iCs/>
          <w:sz w:val="24"/>
        </w:rPr>
        <w:t>Criminal Procedure Act 1921</w:t>
      </w:r>
      <w:r w:rsidR="00A50770" w:rsidRPr="00192A62">
        <w:rPr>
          <w:rFonts w:ascii="Times New Roman" w:hAnsi="Times New Roman"/>
          <w:sz w:val="24"/>
        </w:rPr>
        <w:t xml:space="preserve"> (SA), s</w:t>
      </w:r>
      <w:r w:rsidR="00A958F8" w:rsidRPr="00192A62">
        <w:rPr>
          <w:rFonts w:ascii="Times New Roman" w:hAnsi="Times New Roman"/>
          <w:sz w:val="24"/>
        </w:rPr>
        <w:t>s</w:t>
      </w:r>
      <w:r w:rsidR="00A50770" w:rsidRPr="00192A62">
        <w:rPr>
          <w:rFonts w:ascii="Times New Roman" w:hAnsi="Times New Roman"/>
          <w:sz w:val="24"/>
        </w:rPr>
        <w:t> </w:t>
      </w:r>
      <w:r w:rsidR="00A958F8" w:rsidRPr="00192A62">
        <w:rPr>
          <w:rFonts w:ascii="Times New Roman" w:hAnsi="Times New Roman"/>
          <w:sz w:val="24"/>
        </w:rPr>
        <w:t xml:space="preserve">153 and </w:t>
      </w:r>
      <w:r w:rsidR="00A50770" w:rsidRPr="00192A62">
        <w:rPr>
          <w:rFonts w:ascii="Times New Roman" w:hAnsi="Times New Roman"/>
          <w:sz w:val="24"/>
        </w:rPr>
        <w:t>154.</w:t>
      </w:r>
    </w:p>
  </w:footnote>
  <w:footnote w:id="5">
    <w:p w14:paraId="2DA86AB9" w14:textId="72F11ED3" w:rsidR="009753B3" w:rsidRPr="00192A62" w:rsidRDefault="009753B3"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20AF8" w:rsidRPr="00192A62">
        <w:rPr>
          <w:rFonts w:ascii="Times New Roman" w:hAnsi="Times New Roman"/>
          <w:i/>
          <w:iCs/>
          <w:sz w:val="24"/>
        </w:rPr>
        <w:t>Questions of Law Reserved (Nos 1 and 2 of 2023)</w:t>
      </w:r>
      <w:r w:rsidR="00B20AF8" w:rsidRPr="00192A62">
        <w:rPr>
          <w:rFonts w:ascii="Times New Roman" w:hAnsi="Times New Roman"/>
          <w:sz w:val="24"/>
        </w:rPr>
        <w:t xml:space="preserve"> </w:t>
      </w:r>
      <w:r w:rsidR="005A0295" w:rsidRPr="00192A62">
        <w:rPr>
          <w:rFonts w:ascii="Times New Roman" w:hAnsi="Times New Roman"/>
          <w:sz w:val="24"/>
        </w:rPr>
        <w:t>(</w:t>
      </w:r>
      <w:r w:rsidR="00B20AF8" w:rsidRPr="00192A62">
        <w:rPr>
          <w:rFonts w:ascii="Times New Roman" w:hAnsi="Times New Roman"/>
          <w:sz w:val="24"/>
        </w:rPr>
        <w:t>2024</w:t>
      </w:r>
      <w:r w:rsidR="005A0295" w:rsidRPr="00192A62">
        <w:rPr>
          <w:rFonts w:ascii="Times New Roman" w:hAnsi="Times New Roman"/>
          <w:sz w:val="24"/>
        </w:rPr>
        <w:t xml:space="preserve">) </w:t>
      </w:r>
      <w:r w:rsidR="009C2172" w:rsidRPr="00192A62">
        <w:rPr>
          <w:rFonts w:ascii="Times New Roman" w:hAnsi="Times New Roman"/>
          <w:sz w:val="24"/>
        </w:rPr>
        <w:t>388 FLR 118</w:t>
      </w:r>
      <w:r w:rsidR="00C62572" w:rsidRPr="00192A62">
        <w:rPr>
          <w:rFonts w:ascii="Times New Roman" w:hAnsi="Times New Roman"/>
          <w:sz w:val="24"/>
        </w:rPr>
        <w:t>.</w:t>
      </w:r>
    </w:p>
  </w:footnote>
  <w:footnote w:id="6">
    <w:p w14:paraId="30DBC945" w14:textId="4865A853" w:rsidR="00A53650" w:rsidRPr="00192A62" w:rsidRDefault="00A53650"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10B37" w:rsidRPr="00192A62">
        <w:rPr>
          <w:rFonts w:ascii="Times New Roman" w:hAnsi="Times New Roman"/>
          <w:i/>
          <w:iCs/>
          <w:sz w:val="24"/>
        </w:rPr>
        <w:t>CD v Director of Public Prosecutions (SA)</w:t>
      </w:r>
      <w:r w:rsidR="00B10B37" w:rsidRPr="00192A62">
        <w:rPr>
          <w:rFonts w:ascii="Times New Roman" w:hAnsi="Times New Roman"/>
          <w:sz w:val="24"/>
        </w:rPr>
        <w:t xml:space="preserve"> [2024] HCASL 297.</w:t>
      </w:r>
    </w:p>
  </w:footnote>
  <w:footnote w:id="7">
    <w:p w14:paraId="7958B28B" w14:textId="01961CB1" w:rsidR="00F17B44" w:rsidRPr="00192A62" w:rsidRDefault="00F17B44"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w:t>
      </w:r>
    </w:p>
  </w:footnote>
  <w:footnote w:id="8">
    <w:p w14:paraId="5B76C86F" w14:textId="78F9347B" w:rsidR="00A60848" w:rsidRPr="00192A62" w:rsidRDefault="00A6084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w:t>
      </w:r>
      <w:r w:rsidR="00F81834" w:rsidRPr="00192A62">
        <w:rPr>
          <w:rFonts w:ascii="Times New Roman" w:hAnsi="Times New Roman"/>
          <w:sz w:val="24"/>
        </w:rPr>
        <w:t xml:space="preserve">256 </w:t>
      </w:r>
      <w:r w:rsidRPr="00192A62">
        <w:rPr>
          <w:rFonts w:ascii="Times New Roman" w:hAnsi="Times New Roman"/>
          <w:sz w:val="24"/>
        </w:rPr>
        <w:t>CLR 83.</w:t>
      </w:r>
      <w:r w:rsidR="00E360BB" w:rsidRPr="00192A62">
        <w:rPr>
          <w:rFonts w:ascii="Times New Roman" w:hAnsi="Times New Roman"/>
          <w:sz w:val="24"/>
        </w:rPr>
        <w:t xml:space="preserve"> See also</w:t>
      </w:r>
      <w:r w:rsidR="005A6935" w:rsidRPr="00192A62">
        <w:rPr>
          <w:rFonts w:ascii="Times New Roman" w:hAnsi="Times New Roman"/>
          <w:sz w:val="24"/>
        </w:rPr>
        <w:t>, eg,</w:t>
      </w:r>
      <w:r w:rsidR="00E360BB" w:rsidRPr="00192A62">
        <w:rPr>
          <w:rFonts w:ascii="Times New Roman" w:hAnsi="Times New Roman"/>
          <w:sz w:val="24"/>
        </w:rPr>
        <w:t xml:space="preserve"> </w:t>
      </w:r>
      <w:r w:rsidR="003245B4" w:rsidRPr="00192A62">
        <w:rPr>
          <w:rFonts w:ascii="Times New Roman" w:hAnsi="Times New Roman"/>
          <w:i/>
          <w:iCs/>
          <w:sz w:val="24"/>
        </w:rPr>
        <w:t>Nelungaloo Pty Ltd v The Commonwealth</w:t>
      </w:r>
      <w:r w:rsidR="003245B4" w:rsidRPr="00192A62">
        <w:rPr>
          <w:rFonts w:ascii="Times New Roman" w:hAnsi="Times New Roman"/>
          <w:sz w:val="24"/>
        </w:rPr>
        <w:t xml:space="preserve"> </w:t>
      </w:r>
      <w:r w:rsidR="009F66DF" w:rsidRPr="00192A62">
        <w:rPr>
          <w:rFonts w:ascii="Times New Roman" w:hAnsi="Times New Roman"/>
          <w:sz w:val="24"/>
        </w:rPr>
        <w:t>(</w:t>
      </w:r>
      <w:r w:rsidR="00F81834" w:rsidRPr="00192A62">
        <w:rPr>
          <w:rFonts w:ascii="Times New Roman" w:hAnsi="Times New Roman"/>
          <w:sz w:val="24"/>
        </w:rPr>
        <w:t>1948</w:t>
      </w:r>
      <w:r w:rsidR="009F66DF" w:rsidRPr="00192A62">
        <w:rPr>
          <w:rFonts w:ascii="Times New Roman" w:hAnsi="Times New Roman"/>
          <w:sz w:val="24"/>
        </w:rPr>
        <w:t xml:space="preserve">) 75 CLR 495; </w:t>
      </w:r>
      <w:r w:rsidR="00392415" w:rsidRPr="00192A62">
        <w:rPr>
          <w:rFonts w:ascii="Times New Roman" w:hAnsi="Times New Roman"/>
          <w:i/>
          <w:iCs/>
          <w:sz w:val="24"/>
        </w:rPr>
        <w:t>R v Humby; Ex parte Rooney</w:t>
      </w:r>
      <w:r w:rsidR="003E6F55" w:rsidRPr="00192A62">
        <w:rPr>
          <w:rFonts w:ascii="Times New Roman" w:hAnsi="Times New Roman"/>
          <w:sz w:val="24"/>
        </w:rPr>
        <w:t xml:space="preserve"> (1973) 129 CLR 231; </w:t>
      </w:r>
      <w:r w:rsidR="001B373A" w:rsidRPr="00192A62">
        <w:rPr>
          <w:rFonts w:ascii="Times New Roman" w:hAnsi="Times New Roman"/>
          <w:i/>
          <w:iCs/>
          <w:sz w:val="24"/>
        </w:rPr>
        <w:t>Australian Education Union v General Manager of Fair Work Australia</w:t>
      </w:r>
      <w:r w:rsidR="001B373A" w:rsidRPr="00192A62">
        <w:rPr>
          <w:rFonts w:ascii="Times New Roman" w:hAnsi="Times New Roman"/>
          <w:sz w:val="24"/>
        </w:rPr>
        <w:t xml:space="preserve"> (2012) 246 CLR 117</w:t>
      </w:r>
      <w:r w:rsidR="005A6935" w:rsidRPr="00192A62">
        <w:rPr>
          <w:rFonts w:ascii="Times New Roman" w:hAnsi="Times New Roman"/>
          <w:sz w:val="24"/>
        </w:rPr>
        <w:t>.</w:t>
      </w:r>
    </w:p>
  </w:footnote>
  <w:footnote w:id="9">
    <w:p w14:paraId="064485B8" w14:textId="34886180" w:rsidR="003E0371" w:rsidRPr="00192A62" w:rsidRDefault="003E0371"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(1992) 176 CLR 1 a</w:t>
      </w:r>
      <w:r w:rsidR="00E13020" w:rsidRPr="00192A62">
        <w:rPr>
          <w:rFonts w:ascii="Times New Roman" w:hAnsi="Times New Roman"/>
          <w:sz w:val="24"/>
        </w:rPr>
        <w:t>t</w:t>
      </w:r>
      <w:r w:rsidRPr="00192A62">
        <w:rPr>
          <w:rFonts w:ascii="Times New Roman" w:hAnsi="Times New Roman"/>
          <w:sz w:val="24"/>
        </w:rPr>
        <w:t xml:space="preserve"> </w:t>
      </w:r>
      <w:r w:rsidR="00831BFA" w:rsidRPr="00192A62">
        <w:rPr>
          <w:rFonts w:ascii="Times New Roman" w:hAnsi="Times New Roman"/>
          <w:sz w:val="24"/>
        </w:rPr>
        <w:t>26-</w:t>
      </w:r>
      <w:r w:rsidRPr="00192A62">
        <w:rPr>
          <w:rFonts w:ascii="Times New Roman" w:hAnsi="Times New Roman"/>
          <w:sz w:val="24"/>
        </w:rPr>
        <w:t>27</w:t>
      </w:r>
      <w:r w:rsidR="00831BFA" w:rsidRPr="00192A62">
        <w:rPr>
          <w:rFonts w:ascii="Times New Roman" w:hAnsi="Times New Roman"/>
          <w:sz w:val="24"/>
        </w:rPr>
        <w:t>,</w:t>
      </w:r>
      <w:r w:rsidR="00CA3FF5" w:rsidRPr="00192A62">
        <w:rPr>
          <w:rFonts w:ascii="Times New Roman" w:hAnsi="Times New Roman"/>
          <w:sz w:val="24"/>
        </w:rPr>
        <w:t xml:space="preserve"> quoting </w:t>
      </w:r>
      <w:r w:rsidR="00BC2E91" w:rsidRPr="00192A62">
        <w:rPr>
          <w:rFonts w:ascii="Times New Roman" w:hAnsi="Times New Roman"/>
          <w:i/>
          <w:iCs/>
          <w:sz w:val="24"/>
        </w:rPr>
        <w:t>R v Kirby; Ex parte Boilermakers' Society of Australia</w:t>
      </w:r>
      <w:r w:rsidR="00BC2E91" w:rsidRPr="00192A62">
        <w:rPr>
          <w:rFonts w:ascii="Times New Roman" w:hAnsi="Times New Roman"/>
          <w:sz w:val="24"/>
        </w:rPr>
        <w:t xml:space="preserve"> (1956) 94 CLR 254 at 270 and referring to</w:t>
      </w:r>
      <w:r w:rsidR="00B81F0C" w:rsidRPr="00192A62">
        <w:rPr>
          <w:rFonts w:ascii="Times New Roman" w:hAnsi="Times New Roman"/>
          <w:sz w:val="24"/>
        </w:rPr>
        <w:t xml:space="preserve">, eg, </w:t>
      </w:r>
      <w:r w:rsidR="00B81F0C" w:rsidRPr="00192A62">
        <w:rPr>
          <w:rFonts w:ascii="Times New Roman" w:hAnsi="Times New Roman"/>
          <w:i/>
          <w:iCs/>
          <w:sz w:val="24"/>
        </w:rPr>
        <w:t>Polyukhovich v The Commonwealth (War Crimes Act Case)</w:t>
      </w:r>
      <w:r w:rsidR="00B81F0C" w:rsidRPr="00192A62">
        <w:rPr>
          <w:rFonts w:ascii="Times New Roman" w:hAnsi="Times New Roman"/>
          <w:sz w:val="24"/>
        </w:rPr>
        <w:t xml:space="preserve"> (1991) 172 </w:t>
      </w:r>
      <w:r w:rsidR="00B43BBA" w:rsidRPr="00192A62">
        <w:rPr>
          <w:rFonts w:ascii="Times New Roman" w:hAnsi="Times New Roman"/>
          <w:sz w:val="24"/>
        </w:rPr>
        <w:t>C</w:t>
      </w:r>
      <w:r w:rsidR="00B81F0C" w:rsidRPr="00192A62">
        <w:rPr>
          <w:rFonts w:ascii="Times New Roman" w:hAnsi="Times New Roman"/>
          <w:sz w:val="24"/>
        </w:rPr>
        <w:t>LR 501 at</w:t>
      </w:r>
      <w:r w:rsidR="00B43BBA" w:rsidRPr="00192A62">
        <w:rPr>
          <w:rFonts w:ascii="Times New Roman" w:hAnsi="Times New Roman"/>
          <w:sz w:val="24"/>
        </w:rPr>
        <w:t xml:space="preserve"> </w:t>
      </w:r>
      <w:r w:rsidR="00B81F0C" w:rsidRPr="00192A62">
        <w:rPr>
          <w:rFonts w:ascii="Times New Roman" w:hAnsi="Times New Roman"/>
          <w:sz w:val="24"/>
        </w:rPr>
        <w:t>607, 689, 703-704.</w:t>
      </w:r>
    </w:p>
  </w:footnote>
  <w:footnote w:id="10">
    <w:p w14:paraId="3579F6D0" w14:textId="4E082D40" w:rsidR="005D27D0" w:rsidRPr="00192A62" w:rsidRDefault="005D27D0"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F2ECC" w:rsidRPr="00192A62">
        <w:rPr>
          <w:rFonts w:ascii="Times New Roman" w:hAnsi="Times New Roman"/>
          <w:i/>
          <w:iCs/>
          <w:sz w:val="24"/>
        </w:rPr>
        <w:t>Fencott v Muller</w:t>
      </w:r>
      <w:r w:rsidR="002F2ECC" w:rsidRPr="00192A62">
        <w:rPr>
          <w:rFonts w:ascii="Times New Roman" w:hAnsi="Times New Roman"/>
          <w:sz w:val="24"/>
        </w:rPr>
        <w:t xml:space="preserve"> </w:t>
      </w:r>
      <w:r w:rsidR="00ED4302" w:rsidRPr="00192A62">
        <w:rPr>
          <w:rFonts w:ascii="Times New Roman" w:hAnsi="Times New Roman"/>
          <w:sz w:val="24"/>
        </w:rPr>
        <w:t>(1983) 152 CLR 570 at 608</w:t>
      </w:r>
      <w:r w:rsidR="00E24E41" w:rsidRPr="00192A62">
        <w:rPr>
          <w:rFonts w:ascii="Times New Roman" w:hAnsi="Times New Roman"/>
          <w:sz w:val="24"/>
        </w:rPr>
        <w:t>,</w:t>
      </w:r>
      <w:r w:rsidR="00ED4302" w:rsidRPr="00192A62">
        <w:rPr>
          <w:rFonts w:ascii="Times New Roman" w:hAnsi="Times New Roman"/>
          <w:sz w:val="24"/>
        </w:rPr>
        <w:t xml:space="preserve"> </w:t>
      </w:r>
      <w:r w:rsidR="002F2ECC" w:rsidRPr="00192A62">
        <w:rPr>
          <w:rFonts w:ascii="Times New Roman" w:hAnsi="Times New Roman"/>
          <w:sz w:val="24"/>
        </w:rPr>
        <w:t xml:space="preserve">referring to </w:t>
      </w:r>
      <w:r w:rsidRPr="00192A62">
        <w:rPr>
          <w:rFonts w:ascii="Times New Roman" w:hAnsi="Times New Roman"/>
          <w:i/>
          <w:iCs/>
          <w:sz w:val="24"/>
        </w:rPr>
        <w:t>Huddart, Parker &amp; Co Pty Ltd v Moorehead</w:t>
      </w:r>
      <w:r w:rsidR="00ED4302" w:rsidRPr="00192A62">
        <w:rPr>
          <w:rFonts w:ascii="Times New Roman" w:hAnsi="Times New Roman"/>
          <w:sz w:val="24"/>
        </w:rPr>
        <w:t xml:space="preserve"> (1909) 8 CLR 330 at 357.</w:t>
      </w:r>
    </w:p>
  </w:footnote>
  <w:footnote w:id="11">
    <w:p w14:paraId="187198A2" w14:textId="6F113A3F" w:rsidR="009B0E4C" w:rsidRPr="00192A62" w:rsidRDefault="009B0E4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Chu Kheng Lim v Minister for Immigration</w:t>
      </w:r>
      <w:r w:rsidR="00567A75" w:rsidRPr="00192A62">
        <w:rPr>
          <w:rFonts w:ascii="Times New Roman" w:hAnsi="Times New Roman"/>
          <w:i/>
          <w:iCs/>
          <w:sz w:val="24"/>
        </w:rPr>
        <w:t>, Local Government and Ethnic Affairs</w:t>
      </w:r>
      <w:r w:rsidRPr="00192A62">
        <w:rPr>
          <w:rFonts w:ascii="Times New Roman" w:hAnsi="Times New Roman"/>
          <w:sz w:val="24"/>
        </w:rPr>
        <w:t xml:space="preserve"> (1992) 176 CLR 1 at </w:t>
      </w:r>
      <w:r w:rsidR="00567A75" w:rsidRPr="00192A62">
        <w:rPr>
          <w:rFonts w:ascii="Times New Roman" w:hAnsi="Times New Roman"/>
          <w:sz w:val="24"/>
        </w:rPr>
        <w:t>27.</w:t>
      </w:r>
    </w:p>
  </w:footnote>
  <w:footnote w:id="12">
    <w:p w14:paraId="55B4C172" w14:textId="02F47F6C" w:rsidR="00300BCD" w:rsidRPr="00192A62" w:rsidRDefault="00300BCD"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D87119" w:rsidRPr="00192A62">
        <w:rPr>
          <w:rFonts w:ascii="Times New Roman" w:hAnsi="Times New Roman"/>
          <w:sz w:val="24"/>
        </w:rPr>
        <w:t>eg</w:t>
      </w:r>
      <w:r w:rsidRPr="00192A62">
        <w:rPr>
          <w:rFonts w:ascii="Times New Roman" w:hAnsi="Times New Roman"/>
          <w:sz w:val="24"/>
        </w:rPr>
        <w:t xml:space="preserve">, </w:t>
      </w:r>
      <w:r w:rsidRPr="00192A62">
        <w:rPr>
          <w:rFonts w:ascii="Times New Roman" w:hAnsi="Times New Roman"/>
          <w:i/>
          <w:iCs/>
          <w:sz w:val="24"/>
        </w:rPr>
        <w:t>Nicholas v The Queen</w:t>
      </w:r>
      <w:r w:rsidRPr="00192A62">
        <w:rPr>
          <w:rFonts w:ascii="Times New Roman" w:hAnsi="Times New Roman"/>
          <w:sz w:val="24"/>
        </w:rPr>
        <w:t xml:space="preserve"> </w:t>
      </w:r>
      <w:r w:rsidR="002B3EE2" w:rsidRPr="00192A62">
        <w:rPr>
          <w:rFonts w:ascii="Times New Roman" w:hAnsi="Times New Roman"/>
          <w:sz w:val="24"/>
        </w:rPr>
        <w:t xml:space="preserve">(1998) 193 CLR 173 </w:t>
      </w:r>
      <w:r w:rsidRPr="00192A62">
        <w:rPr>
          <w:rFonts w:ascii="Times New Roman" w:hAnsi="Times New Roman"/>
          <w:sz w:val="24"/>
        </w:rPr>
        <w:t xml:space="preserve">at </w:t>
      </w:r>
      <w:r w:rsidR="002B3EE2" w:rsidRPr="00192A62">
        <w:rPr>
          <w:rFonts w:ascii="Times New Roman" w:hAnsi="Times New Roman"/>
          <w:sz w:val="24"/>
        </w:rPr>
        <w:t>187-188 [19]</w:t>
      </w:r>
      <w:r w:rsidR="00312365" w:rsidRPr="00192A62">
        <w:rPr>
          <w:rFonts w:ascii="Times New Roman" w:hAnsi="Times New Roman"/>
          <w:sz w:val="24"/>
        </w:rPr>
        <w:t>.</w:t>
      </w:r>
      <w:r w:rsidR="002B3EE2" w:rsidRPr="00192A62">
        <w:rPr>
          <w:rFonts w:ascii="Times New Roman" w:hAnsi="Times New Roman"/>
          <w:sz w:val="24"/>
        </w:rPr>
        <w:t xml:space="preserve"> </w:t>
      </w:r>
    </w:p>
  </w:footnote>
  <w:footnote w:id="13">
    <w:p w14:paraId="00EA6BC8" w14:textId="284C78B7" w:rsidR="00BC2E3B" w:rsidRPr="00192A62" w:rsidRDefault="00BC2E3B"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5439A" w:rsidRPr="00192A62">
        <w:rPr>
          <w:rFonts w:ascii="Times New Roman" w:hAnsi="Times New Roman"/>
          <w:i/>
          <w:iCs/>
          <w:sz w:val="24"/>
        </w:rPr>
        <w:t>Nicholas v The Queen</w:t>
      </w:r>
      <w:r w:rsidR="00B5439A" w:rsidRPr="00192A62">
        <w:rPr>
          <w:rFonts w:ascii="Times New Roman" w:hAnsi="Times New Roman"/>
          <w:sz w:val="24"/>
        </w:rPr>
        <w:t xml:space="preserve"> </w:t>
      </w:r>
      <w:r w:rsidRPr="00192A62">
        <w:rPr>
          <w:rFonts w:ascii="Times New Roman" w:hAnsi="Times New Roman"/>
          <w:sz w:val="24"/>
        </w:rPr>
        <w:t xml:space="preserve">(1998) 193 CLR 173 at </w:t>
      </w:r>
      <w:r w:rsidR="004C47BC" w:rsidRPr="00192A62">
        <w:rPr>
          <w:rFonts w:ascii="Times New Roman" w:hAnsi="Times New Roman"/>
          <w:sz w:val="24"/>
        </w:rPr>
        <w:t>188 [21].</w:t>
      </w:r>
    </w:p>
  </w:footnote>
  <w:footnote w:id="14">
    <w:p w14:paraId="615DAEB8" w14:textId="28EC6964" w:rsidR="00CE3173" w:rsidRPr="00192A62" w:rsidRDefault="00CE3173"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53DBF" w:rsidRPr="00192A62">
        <w:rPr>
          <w:rFonts w:ascii="Times New Roman" w:hAnsi="Times New Roman"/>
          <w:i/>
          <w:iCs/>
          <w:sz w:val="24"/>
        </w:rPr>
        <w:t>Graham v Minister for Immigration</w:t>
      </w:r>
      <w:r w:rsidR="004A306E" w:rsidRPr="00192A62">
        <w:rPr>
          <w:rFonts w:ascii="Times New Roman" w:hAnsi="Times New Roman"/>
          <w:i/>
          <w:iCs/>
          <w:sz w:val="24"/>
        </w:rPr>
        <w:t xml:space="preserve"> and Border Protectio</w:t>
      </w:r>
      <w:r w:rsidR="006B417A" w:rsidRPr="00192A62">
        <w:rPr>
          <w:rFonts w:ascii="Times New Roman" w:hAnsi="Times New Roman"/>
          <w:i/>
          <w:iCs/>
          <w:sz w:val="24"/>
        </w:rPr>
        <w:t>n</w:t>
      </w:r>
      <w:r w:rsidR="00253DBF" w:rsidRPr="00192A62">
        <w:rPr>
          <w:rFonts w:ascii="Times New Roman" w:hAnsi="Times New Roman"/>
          <w:sz w:val="24"/>
        </w:rPr>
        <w:t xml:space="preserve"> (2017) 263 CLR 1 at 22 [31].</w:t>
      </w:r>
    </w:p>
  </w:footnote>
  <w:footnote w:id="15">
    <w:p w14:paraId="1D4725E3" w14:textId="6AAF632B" w:rsidR="00F72A4F" w:rsidRPr="00192A62" w:rsidRDefault="00F72A4F"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C395F" w:rsidRPr="00192A62">
        <w:rPr>
          <w:rFonts w:ascii="Times New Roman" w:hAnsi="Times New Roman"/>
          <w:i/>
          <w:iCs/>
          <w:sz w:val="24"/>
        </w:rPr>
        <w:t>R v Humby; Ex parte Rooney</w:t>
      </w:r>
      <w:r w:rsidR="002C395F" w:rsidRPr="00192A62">
        <w:rPr>
          <w:rFonts w:ascii="Times New Roman" w:hAnsi="Times New Roman"/>
          <w:sz w:val="24"/>
        </w:rPr>
        <w:t xml:space="preserve"> </w:t>
      </w:r>
      <w:r w:rsidR="00C13CB4" w:rsidRPr="00192A62">
        <w:rPr>
          <w:rFonts w:ascii="Times New Roman" w:hAnsi="Times New Roman"/>
          <w:sz w:val="24"/>
        </w:rPr>
        <w:t xml:space="preserve">(1973) 129 CLR 231 </w:t>
      </w:r>
      <w:r w:rsidR="002C395F" w:rsidRPr="00192A62">
        <w:rPr>
          <w:rFonts w:ascii="Times New Roman" w:hAnsi="Times New Roman"/>
          <w:sz w:val="24"/>
        </w:rPr>
        <w:t>at 249-250.</w:t>
      </w:r>
    </w:p>
  </w:footnote>
  <w:footnote w:id="16">
    <w:p w14:paraId="1F4D4A25" w14:textId="0C607D38" w:rsidR="00091D4A" w:rsidRPr="00192A62" w:rsidRDefault="00091D4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935717" w:rsidRPr="00192A62">
        <w:rPr>
          <w:rFonts w:ascii="Times New Roman" w:hAnsi="Times New Roman"/>
          <w:sz w:val="24"/>
        </w:rPr>
        <w:t>[1967] 1 AC 259.</w:t>
      </w:r>
    </w:p>
  </w:footnote>
  <w:footnote w:id="17">
    <w:p w14:paraId="64ED8C18" w14:textId="464453F9" w:rsidR="005A5587" w:rsidRPr="00192A62" w:rsidRDefault="005A558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 xml:space="preserve">Leeth v </w:t>
      </w:r>
      <w:r w:rsidR="003C57CC" w:rsidRPr="00192A62">
        <w:rPr>
          <w:rFonts w:ascii="Times New Roman" w:hAnsi="Times New Roman"/>
          <w:i/>
          <w:iCs/>
          <w:sz w:val="24"/>
        </w:rPr>
        <w:t>The Commonwealth</w:t>
      </w:r>
      <w:r w:rsidR="003C57CC" w:rsidRPr="00192A62">
        <w:rPr>
          <w:rFonts w:ascii="Times New Roman" w:hAnsi="Times New Roman"/>
          <w:sz w:val="24"/>
        </w:rPr>
        <w:t xml:space="preserve"> (1992) 174 CLR 455 at </w:t>
      </w:r>
      <w:r w:rsidR="001C70A8" w:rsidRPr="00192A62">
        <w:rPr>
          <w:rFonts w:ascii="Times New Roman" w:hAnsi="Times New Roman"/>
          <w:sz w:val="24"/>
        </w:rPr>
        <w:t>469-470.</w:t>
      </w:r>
    </w:p>
  </w:footnote>
  <w:footnote w:id="18">
    <w:p w14:paraId="31C19147" w14:textId="5FEEFD44" w:rsidR="00BD6AF7" w:rsidRPr="00192A62" w:rsidRDefault="00BD6AF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251E8" w:rsidRPr="00192A62">
        <w:rPr>
          <w:rFonts w:ascii="Times New Roman" w:hAnsi="Times New Roman"/>
          <w:sz w:val="24"/>
        </w:rPr>
        <w:t>[1967] 1 AC 259</w:t>
      </w:r>
      <w:r w:rsidRPr="00192A62">
        <w:rPr>
          <w:rFonts w:ascii="Times New Roman" w:hAnsi="Times New Roman"/>
          <w:sz w:val="24"/>
        </w:rPr>
        <w:t xml:space="preserve"> at </w:t>
      </w:r>
      <w:r w:rsidR="004B69EE" w:rsidRPr="00192A62">
        <w:rPr>
          <w:rFonts w:ascii="Times New Roman" w:hAnsi="Times New Roman"/>
          <w:sz w:val="24"/>
        </w:rPr>
        <w:t>289-290.</w:t>
      </w:r>
    </w:p>
  </w:footnote>
  <w:footnote w:id="19">
    <w:p w14:paraId="4792D1AD" w14:textId="6014C573" w:rsidR="00882112" w:rsidRPr="00192A62" w:rsidRDefault="0088211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572DD6" w:rsidRPr="00192A62">
        <w:rPr>
          <w:rFonts w:ascii="Times New Roman" w:hAnsi="Times New Roman"/>
          <w:sz w:val="24"/>
        </w:rPr>
        <w:t>[1967] 1 AC 259</w:t>
      </w:r>
      <w:r w:rsidRPr="00192A62">
        <w:rPr>
          <w:rFonts w:ascii="Times New Roman" w:hAnsi="Times New Roman"/>
          <w:sz w:val="24"/>
        </w:rPr>
        <w:t xml:space="preserve"> at 290</w:t>
      </w:r>
      <w:r w:rsidR="00823C18" w:rsidRPr="00192A62">
        <w:rPr>
          <w:rFonts w:ascii="Times New Roman" w:hAnsi="Times New Roman"/>
          <w:sz w:val="24"/>
        </w:rPr>
        <w:t>-291.</w:t>
      </w:r>
    </w:p>
  </w:footnote>
  <w:footnote w:id="20">
    <w:p w14:paraId="42A46853" w14:textId="472ED610" w:rsidR="00E812C2" w:rsidRPr="00192A62" w:rsidRDefault="00E812C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B5760" w:rsidRPr="00192A62">
        <w:rPr>
          <w:rFonts w:ascii="Times New Roman" w:hAnsi="Times New Roman"/>
          <w:i/>
          <w:iCs/>
          <w:sz w:val="24"/>
        </w:rPr>
        <w:t>Nicholas v The Queen</w:t>
      </w:r>
      <w:r w:rsidR="002B5760" w:rsidRPr="00192A62">
        <w:rPr>
          <w:rFonts w:ascii="Times New Roman" w:hAnsi="Times New Roman"/>
          <w:sz w:val="24"/>
        </w:rPr>
        <w:t xml:space="preserve"> </w:t>
      </w:r>
      <w:r w:rsidR="00267E6F" w:rsidRPr="00192A62">
        <w:rPr>
          <w:rFonts w:ascii="Times New Roman" w:hAnsi="Times New Roman"/>
          <w:sz w:val="24"/>
        </w:rPr>
        <w:t xml:space="preserve">(1998) 193 CLR 173 </w:t>
      </w:r>
      <w:r w:rsidRPr="00192A62">
        <w:rPr>
          <w:rFonts w:ascii="Times New Roman" w:hAnsi="Times New Roman"/>
          <w:sz w:val="24"/>
        </w:rPr>
        <w:t>at 221 [113].</w:t>
      </w:r>
    </w:p>
  </w:footnote>
  <w:footnote w:id="21">
    <w:p w14:paraId="51C544C7" w14:textId="3398BE7C" w:rsidR="00B43BBA" w:rsidRPr="00192A62" w:rsidRDefault="00B43BB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67E6F" w:rsidRPr="00192A62">
        <w:rPr>
          <w:rFonts w:ascii="Times New Roman" w:hAnsi="Times New Roman"/>
          <w:sz w:val="24"/>
        </w:rPr>
        <w:t>(1991) 172 CLR 501</w:t>
      </w:r>
      <w:r w:rsidRPr="00192A62">
        <w:rPr>
          <w:rFonts w:ascii="Times New Roman" w:hAnsi="Times New Roman"/>
          <w:sz w:val="24"/>
        </w:rPr>
        <w:t>.</w:t>
      </w:r>
    </w:p>
  </w:footnote>
  <w:footnote w:id="22">
    <w:p w14:paraId="6EDF3076" w14:textId="2212B35D" w:rsidR="00670257" w:rsidRPr="00192A62" w:rsidRDefault="0067025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152508" w:rsidRPr="00192A62">
        <w:rPr>
          <w:rFonts w:ascii="Times New Roman" w:hAnsi="Times New Roman"/>
          <w:sz w:val="24"/>
        </w:rPr>
        <w:t xml:space="preserve">(1998) 193 CLR 173 at </w:t>
      </w:r>
      <w:r w:rsidR="00916527" w:rsidRPr="00192A62">
        <w:rPr>
          <w:rFonts w:ascii="Times New Roman" w:hAnsi="Times New Roman"/>
          <w:sz w:val="24"/>
        </w:rPr>
        <w:t>234 [149].</w:t>
      </w:r>
    </w:p>
  </w:footnote>
  <w:footnote w:id="23">
    <w:p w14:paraId="240A7EFE" w14:textId="0C86D408" w:rsidR="00211407" w:rsidRPr="00192A62" w:rsidRDefault="0021140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 at 234 [150].</w:t>
      </w:r>
    </w:p>
  </w:footnote>
  <w:footnote w:id="24">
    <w:p w14:paraId="2883B014" w14:textId="627A4DD8" w:rsidR="00826E5C" w:rsidRPr="00192A62" w:rsidRDefault="00826E5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(1998) 193 CLR 173 at </w:t>
      </w:r>
      <w:r w:rsidR="00940DF7" w:rsidRPr="00192A62">
        <w:rPr>
          <w:rFonts w:ascii="Times New Roman" w:hAnsi="Times New Roman"/>
          <w:sz w:val="24"/>
        </w:rPr>
        <w:t>236 [156].</w:t>
      </w:r>
    </w:p>
  </w:footnote>
  <w:footnote w:id="25">
    <w:p w14:paraId="2B35860B" w14:textId="3BDAFA6B" w:rsidR="00707A01" w:rsidRPr="00192A62" w:rsidRDefault="00707A01"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 at 238 [162].</w:t>
      </w:r>
    </w:p>
  </w:footnote>
  <w:footnote w:id="26">
    <w:p w14:paraId="7E128BCC" w14:textId="589F8C2B" w:rsidR="002A1685" w:rsidRPr="00192A62" w:rsidRDefault="002A1685"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(2015) 25</w:t>
      </w:r>
      <w:r w:rsidR="00407109" w:rsidRPr="00192A62">
        <w:rPr>
          <w:rFonts w:ascii="Times New Roman" w:hAnsi="Times New Roman"/>
          <w:sz w:val="24"/>
        </w:rPr>
        <w:t>6</w:t>
      </w:r>
      <w:r w:rsidRPr="00192A62">
        <w:rPr>
          <w:rFonts w:ascii="Times New Roman" w:hAnsi="Times New Roman"/>
          <w:sz w:val="24"/>
        </w:rPr>
        <w:t xml:space="preserve"> CLR 83.</w:t>
      </w:r>
    </w:p>
  </w:footnote>
  <w:footnote w:id="27">
    <w:p w14:paraId="33005DA6" w14:textId="0A1A6843" w:rsidR="004A26E5" w:rsidRPr="00192A62" w:rsidRDefault="004A26E5"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43FEC" w:rsidRPr="00192A62">
        <w:rPr>
          <w:rFonts w:ascii="Times New Roman" w:hAnsi="Times New Roman"/>
          <w:i/>
          <w:iCs/>
          <w:sz w:val="24"/>
        </w:rPr>
        <w:t>Independent Commission Against Corruption</w:t>
      </w:r>
      <w:r w:rsidR="006E75F1" w:rsidRPr="00192A62">
        <w:rPr>
          <w:rFonts w:ascii="Times New Roman" w:hAnsi="Times New Roman"/>
          <w:i/>
          <w:iCs/>
          <w:sz w:val="24"/>
        </w:rPr>
        <w:t xml:space="preserve"> (NSW) v Cu</w:t>
      </w:r>
      <w:r w:rsidR="00EE686A" w:rsidRPr="00192A62">
        <w:rPr>
          <w:rFonts w:ascii="Times New Roman" w:hAnsi="Times New Roman"/>
          <w:i/>
          <w:iCs/>
          <w:sz w:val="24"/>
        </w:rPr>
        <w:t>n</w:t>
      </w:r>
      <w:r w:rsidR="006E75F1" w:rsidRPr="00192A62">
        <w:rPr>
          <w:rFonts w:ascii="Times New Roman" w:hAnsi="Times New Roman"/>
          <w:i/>
          <w:iCs/>
          <w:sz w:val="24"/>
        </w:rPr>
        <w:t xml:space="preserve">neen </w:t>
      </w:r>
      <w:r w:rsidR="00107D01" w:rsidRPr="00192A62">
        <w:rPr>
          <w:rFonts w:ascii="Times New Roman" w:hAnsi="Times New Roman"/>
          <w:sz w:val="24"/>
        </w:rPr>
        <w:t>(2015) 256 CLR 1.</w:t>
      </w:r>
    </w:p>
  </w:footnote>
  <w:footnote w:id="28">
    <w:p w14:paraId="0953B8AD" w14:textId="5DA06804" w:rsidR="003F6DE9" w:rsidRPr="00192A62" w:rsidRDefault="003F6DE9"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EE686A" w:rsidRPr="00192A62">
        <w:rPr>
          <w:rFonts w:ascii="Times New Roman" w:hAnsi="Times New Roman"/>
          <w:sz w:val="24"/>
        </w:rPr>
        <w:t xml:space="preserve">(2015) 256 CLR 83 at </w:t>
      </w:r>
      <w:r w:rsidR="008D027F" w:rsidRPr="00192A62">
        <w:rPr>
          <w:rFonts w:ascii="Times New Roman" w:hAnsi="Times New Roman"/>
          <w:sz w:val="24"/>
        </w:rPr>
        <w:t xml:space="preserve">95 </w:t>
      </w:r>
      <w:r w:rsidR="00EE686A" w:rsidRPr="00192A62">
        <w:rPr>
          <w:rFonts w:ascii="Times New Roman" w:hAnsi="Times New Roman"/>
          <w:sz w:val="24"/>
        </w:rPr>
        <w:t>[14]</w:t>
      </w:r>
      <w:r w:rsidR="008E1B17" w:rsidRPr="00192A62">
        <w:rPr>
          <w:rFonts w:ascii="Times New Roman" w:hAnsi="Times New Roman"/>
          <w:sz w:val="24"/>
        </w:rPr>
        <w:t>,</w:t>
      </w:r>
      <w:r w:rsidR="009355E5" w:rsidRPr="00192A62">
        <w:rPr>
          <w:rFonts w:ascii="Times New Roman" w:hAnsi="Times New Roman"/>
          <w:sz w:val="24"/>
        </w:rPr>
        <w:t xml:space="preserve"> referring to </w:t>
      </w:r>
      <w:r w:rsidR="009355E5" w:rsidRPr="00192A62">
        <w:rPr>
          <w:rFonts w:ascii="Times New Roman" w:hAnsi="Times New Roman"/>
          <w:i/>
          <w:iCs/>
          <w:sz w:val="24"/>
        </w:rPr>
        <w:t>Baker v The Queen</w:t>
      </w:r>
      <w:r w:rsidR="009355E5" w:rsidRPr="00192A62">
        <w:rPr>
          <w:rFonts w:ascii="Times New Roman" w:hAnsi="Times New Roman"/>
          <w:sz w:val="24"/>
        </w:rPr>
        <w:t xml:space="preserve"> (2004) 223 CLR 513 at 532 [43], citing </w:t>
      </w:r>
      <w:r w:rsidR="009355E5" w:rsidRPr="00192A62">
        <w:rPr>
          <w:rFonts w:ascii="Times New Roman" w:hAnsi="Times New Roman"/>
          <w:i/>
          <w:iCs/>
          <w:sz w:val="24"/>
        </w:rPr>
        <w:t>Re Macks; Ex parte Saint</w:t>
      </w:r>
      <w:r w:rsidR="009355E5" w:rsidRPr="00192A62">
        <w:rPr>
          <w:rFonts w:ascii="Times New Roman" w:hAnsi="Times New Roman"/>
          <w:sz w:val="24"/>
        </w:rPr>
        <w:t xml:space="preserve"> (2000) 204 CLR 158 at 178 [25], 187-188 [59]-[60], 200 [107], 232-233 [208], 280 [347].</w:t>
      </w:r>
    </w:p>
  </w:footnote>
  <w:footnote w:id="29">
    <w:p w14:paraId="23F29047" w14:textId="3428C8F3" w:rsidR="00FC2AF8" w:rsidRPr="00192A62" w:rsidRDefault="00FC2AF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256 CLR 83 at </w:t>
      </w:r>
      <w:r w:rsidR="00A2158A" w:rsidRPr="00192A62">
        <w:rPr>
          <w:rFonts w:ascii="Times New Roman" w:hAnsi="Times New Roman"/>
          <w:sz w:val="24"/>
        </w:rPr>
        <w:t>99 [29]</w:t>
      </w:r>
      <w:r w:rsidR="00852E3D">
        <w:rPr>
          <w:rFonts w:ascii="Times New Roman" w:hAnsi="Times New Roman"/>
          <w:sz w:val="24"/>
        </w:rPr>
        <w:t>.</w:t>
      </w:r>
    </w:p>
  </w:footnote>
  <w:footnote w:id="30">
    <w:p w14:paraId="3C17D922" w14:textId="35185CDA" w:rsidR="00A2158A" w:rsidRPr="00192A62" w:rsidRDefault="00A2158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256 CLR 83 at </w:t>
      </w:r>
      <w:r w:rsidR="00877313" w:rsidRPr="00192A62">
        <w:rPr>
          <w:rFonts w:ascii="Times New Roman" w:hAnsi="Times New Roman"/>
          <w:sz w:val="24"/>
        </w:rPr>
        <w:t>99 [31].</w:t>
      </w:r>
    </w:p>
  </w:footnote>
  <w:footnote w:id="31">
    <w:p w14:paraId="747EB522" w14:textId="1E287E03" w:rsidR="007C22B7" w:rsidRPr="00192A62" w:rsidRDefault="007C22B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(1996) 189 CLR 51.</w:t>
      </w:r>
    </w:p>
  </w:footnote>
  <w:footnote w:id="32">
    <w:p w14:paraId="316A8B35" w14:textId="7BD13A90" w:rsidR="00365588" w:rsidRPr="00192A62" w:rsidRDefault="0036558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879DF" w:rsidRPr="00192A62">
        <w:rPr>
          <w:rFonts w:ascii="Times New Roman" w:hAnsi="Times New Roman"/>
          <w:i/>
          <w:iCs/>
          <w:sz w:val="24"/>
        </w:rPr>
        <w:t>H</w:t>
      </w:r>
      <w:r w:rsidR="00256476" w:rsidRPr="00192A62">
        <w:rPr>
          <w:rFonts w:ascii="Times New Roman" w:hAnsi="Times New Roman"/>
          <w:i/>
          <w:iCs/>
          <w:sz w:val="24"/>
        </w:rPr>
        <w:t xml:space="preserve"> </w:t>
      </w:r>
      <w:r w:rsidR="008879DF" w:rsidRPr="00192A62">
        <w:rPr>
          <w:rFonts w:ascii="Times New Roman" w:hAnsi="Times New Roman"/>
          <w:i/>
          <w:iCs/>
          <w:sz w:val="24"/>
        </w:rPr>
        <w:t>A Bachrach Pty Ltd v Queensland</w:t>
      </w:r>
      <w:r w:rsidR="008879DF" w:rsidRPr="00192A62">
        <w:rPr>
          <w:rFonts w:ascii="Times New Roman" w:hAnsi="Times New Roman"/>
          <w:sz w:val="24"/>
        </w:rPr>
        <w:t xml:space="preserve"> </w:t>
      </w:r>
      <w:r w:rsidR="00567006" w:rsidRPr="00192A62">
        <w:rPr>
          <w:rFonts w:ascii="Times New Roman" w:hAnsi="Times New Roman"/>
          <w:sz w:val="24"/>
        </w:rPr>
        <w:t>(1998) 195 CLR 547 at 561-562 [14].</w:t>
      </w:r>
    </w:p>
  </w:footnote>
  <w:footnote w:id="33">
    <w:p w14:paraId="503748EF" w14:textId="24C0AA90" w:rsidR="0060738C" w:rsidRPr="00192A62" w:rsidRDefault="0060738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73FF2" w:rsidRPr="00192A62">
        <w:rPr>
          <w:rFonts w:ascii="Times New Roman" w:hAnsi="Times New Roman"/>
          <w:sz w:val="24"/>
        </w:rPr>
        <w:t>e</w:t>
      </w:r>
      <w:r w:rsidR="00FD1799" w:rsidRPr="00192A62">
        <w:rPr>
          <w:rFonts w:ascii="Times New Roman" w:hAnsi="Times New Roman"/>
          <w:sz w:val="24"/>
        </w:rPr>
        <w:t xml:space="preserve">g, </w:t>
      </w:r>
      <w:r w:rsidR="00C024C8" w:rsidRPr="00192A62">
        <w:rPr>
          <w:rFonts w:ascii="Times New Roman" w:hAnsi="Times New Roman"/>
          <w:i/>
          <w:iCs/>
          <w:sz w:val="24"/>
        </w:rPr>
        <w:t>Australian</w:t>
      </w:r>
      <w:r w:rsidR="00FD1799" w:rsidRPr="00192A62">
        <w:rPr>
          <w:rFonts w:ascii="Times New Roman" w:hAnsi="Times New Roman"/>
          <w:i/>
          <w:iCs/>
          <w:sz w:val="24"/>
        </w:rPr>
        <w:t xml:space="preserve"> Bu</w:t>
      </w:r>
      <w:r w:rsidR="00C024C8" w:rsidRPr="00192A62">
        <w:rPr>
          <w:rFonts w:ascii="Times New Roman" w:hAnsi="Times New Roman"/>
          <w:i/>
          <w:iCs/>
          <w:sz w:val="24"/>
        </w:rPr>
        <w:t>i</w:t>
      </w:r>
      <w:r w:rsidR="00FD1799" w:rsidRPr="00192A62">
        <w:rPr>
          <w:rFonts w:ascii="Times New Roman" w:hAnsi="Times New Roman"/>
          <w:i/>
          <w:iCs/>
          <w:sz w:val="24"/>
        </w:rPr>
        <w:t>lding</w:t>
      </w:r>
      <w:r w:rsidR="000C36AA" w:rsidRPr="00192A62">
        <w:rPr>
          <w:rFonts w:ascii="Times New Roman" w:hAnsi="Times New Roman"/>
          <w:i/>
          <w:iCs/>
          <w:sz w:val="24"/>
        </w:rPr>
        <w:t xml:space="preserve"> Construction Employees' and Builders Labourers' Federation v The Commonwealth</w:t>
      </w:r>
      <w:r w:rsidR="000C36AA" w:rsidRPr="00192A62">
        <w:rPr>
          <w:rFonts w:ascii="Times New Roman" w:hAnsi="Times New Roman"/>
          <w:sz w:val="24"/>
        </w:rPr>
        <w:t xml:space="preserve"> (1986) 161 CLR 88.</w:t>
      </w:r>
    </w:p>
  </w:footnote>
  <w:footnote w:id="34">
    <w:p w14:paraId="261BBDEA" w14:textId="2E31C0B3" w:rsidR="00CF085F" w:rsidRPr="00192A62" w:rsidRDefault="00CF085F"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A969DD" w:rsidRPr="00192A62">
        <w:rPr>
          <w:rFonts w:ascii="Times New Roman" w:hAnsi="Times New Roman"/>
          <w:i/>
          <w:iCs/>
          <w:sz w:val="24"/>
        </w:rPr>
        <w:t>R v Humby; Ex parte Rooney</w:t>
      </w:r>
      <w:r w:rsidR="00A969DD" w:rsidRPr="00192A62">
        <w:rPr>
          <w:rFonts w:ascii="Times New Roman" w:hAnsi="Times New Roman"/>
          <w:sz w:val="24"/>
        </w:rPr>
        <w:t xml:space="preserve"> (1973) 129 CLR 231 at 250.</w:t>
      </w:r>
    </w:p>
  </w:footnote>
  <w:footnote w:id="35">
    <w:p w14:paraId="6D41E281" w14:textId="0E5C20B8" w:rsidR="00F61E37" w:rsidRPr="00192A62" w:rsidRDefault="00F61E3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534D2" w:rsidRPr="00192A62">
        <w:rPr>
          <w:rFonts w:ascii="Times New Roman" w:hAnsi="Times New Roman"/>
          <w:sz w:val="24"/>
        </w:rPr>
        <w:t>(1926) 39 CLR 9</w:t>
      </w:r>
      <w:r w:rsidR="002B54C2" w:rsidRPr="00192A62">
        <w:rPr>
          <w:rFonts w:ascii="Times New Roman" w:hAnsi="Times New Roman"/>
          <w:sz w:val="24"/>
        </w:rPr>
        <w:t>5</w:t>
      </w:r>
      <w:r w:rsidR="00B534D2" w:rsidRPr="00192A62">
        <w:rPr>
          <w:rFonts w:ascii="Times New Roman" w:hAnsi="Times New Roman"/>
          <w:sz w:val="24"/>
        </w:rPr>
        <w:t xml:space="preserve"> at 108.</w:t>
      </w:r>
    </w:p>
  </w:footnote>
  <w:footnote w:id="36">
    <w:p w14:paraId="4BDC0807" w14:textId="689A44F2" w:rsidR="00F745F8" w:rsidRPr="00192A62" w:rsidRDefault="00F745F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EE4D89" w:rsidRPr="00192A62">
        <w:rPr>
          <w:rFonts w:ascii="Times New Roman" w:hAnsi="Times New Roman"/>
          <w:i/>
          <w:iCs/>
          <w:sz w:val="24"/>
        </w:rPr>
        <w:t>Ridgeway v The Queen</w:t>
      </w:r>
      <w:r w:rsidR="00EE4D89" w:rsidRPr="00192A62">
        <w:rPr>
          <w:rFonts w:ascii="Times New Roman" w:hAnsi="Times New Roman"/>
          <w:sz w:val="24"/>
        </w:rPr>
        <w:t xml:space="preserve"> (1995) 184 CLR 19.</w:t>
      </w:r>
    </w:p>
  </w:footnote>
  <w:footnote w:id="37">
    <w:p w14:paraId="1DA4C658" w14:textId="7F5FF47A" w:rsidR="001922B2" w:rsidRPr="00192A62" w:rsidRDefault="001922B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CC5966" w:rsidRPr="00192A62">
        <w:rPr>
          <w:rFonts w:ascii="Times New Roman" w:hAnsi="Times New Roman"/>
          <w:sz w:val="24"/>
        </w:rPr>
        <w:t>e</w:t>
      </w:r>
      <w:r w:rsidRPr="00192A62">
        <w:rPr>
          <w:rFonts w:ascii="Times New Roman" w:hAnsi="Times New Roman"/>
          <w:sz w:val="24"/>
        </w:rPr>
        <w:t xml:space="preserve">g, </w:t>
      </w:r>
      <w:r w:rsidR="00BC53D3" w:rsidRPr="00192A62">
        <w:rPr>
          <w:rFonts w:ascii="Times New Roman" w:hAnsi="Times New Roman"/>
          <w:i/>
          <w:iCs/>
          <w:sz w:val="24"/>
        </w:rPr>
        <w:t>Lazarus v Independent Commission Against Corruption</w:t>
      </w:r>
      <w:r w:rsidR="00BC53D3" w:rsidRPr="00192A62">
        <w:rPr>
          <w:rFonts w:ascii="Times New Roman" w:hAnsi="Times New Roman"/>
          <w:sz w:val="24"/>
        </w:rPr>
        <w:t xml:space="preserve"> (2017) 94 NSWLR 36.</w:t>
      </w:r>
    </w:p>
  </w:footnote>
  <w:footnote w:id="38">
    <w:p w14:paraId="4507BB56" w14:textId="77777777" w:rsidR="00715EA8" w:rsidRPr="00192A62" w:rsidRDefault="00715EA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Ridgeway v The Queen</w:t>
      </w:r>
      <w:r w:rsidRPr="00192A62">
        <w:rPr>
          <w:rFonts w:ascii="Times New Roman" w:hAnsi="Times New Roman"/>
          <w:sz w:val="24"/>
        </w:rPr>
        <w:t xml:space="preserve"> (1995) 184 CLR 19.</w:t>
      </w:r>
    </w:p>
  </w:footnote>
  <w:footnote w:id="39">
    <w:p w14:paraId="664A861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Criminal Law Consolidation Act 1935 </w:t>
      </w:r>
      <w:r w:rsidRPr="001C7E7B">
        <w:rPr>
          <w:rFonts w:ascii="Times New Roman" w:hAnsi="Times New Roman"/>
          <w:sz w:val="24"/>
        </w:rPr>
        <w:t xml:space="preserve">(SA), s 83E(1). </w:t>
      </w:r>
    </w:p>
  </w:footnote>
  <w:footnote w:id="40">
    <w:p w14:paraId="5406EFC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Firearms Act 2015 </w:t>
      </w:r>
      <w:r w:rsidRPr="001C7E7B">
        <w:rPr>
          <w:rFonts w:ascii="Times New Roman" w:hAnsi="Times New Roman"/>
          <w:sz w:val="24"/>
        </w:rPr>
        <w:t xml:space="preserve">(SA), ss 9(1), 39(1). </w:t>
      </w:r>
    </w:p>
  </w:footnote>
  <w:footnote w:id="41">
    <w:p w14:paraId="292993D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Criminal Procedure Act 1921 </w:t>
      </w:r>
      <w:r w:rsidRPr="001C7E7B">
        <w:rPr>
          <w:rFonts w:ascii="Times New Roman" w:hAnsi="Times New Roman"/>
          <w:sz w:val="24"/>
        </w:rPr>
        <w:t xml:space="preserve">(SA), ss 153, 154.  </w:t>
      </w:r>
    </w:p>
  </w:footnote>
  <w:footnote w:id="42">
    <w:p w14:paraId="3B18695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Questions of Law Reserved (Nos 1 and 2 of 2023)</w:t>
      </w:r>
      <w:r w:rsidRPr="001C7E7B">
        <w:rPr>
          <w:rFonts w:ascii="Times New Roman" w:hAnsi="Times New Roman"/>
          <w:sz w:val="24"/>
        </w:rPr>
        <w:t xml:space="preserve"> (2024) 388 FLR 118 at 202 [379].</w:t>
      </w:r>
    </w:p>
  </w:footnote>
  <w:footnote w:id="43">
    <w:p w14:paraId="328DA26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 xml:space="preserve">Surveillance Legislation (Confirmation of Application) Act 2024 </w:t>
      </w:r>
      <w:r w:rsidRPr="001C7E7B">
        <w:rPr>
          <w:rFonts w:ascii="Times New Roman" w:hAnsi="Times New Roman"/>
          <w:sz w:val="24"/>
        </w:rPr>
        <w:t>(Cth).</w:t>
      </w:r>
    </w:p>
  </w:footnote>
  <w:footnote w:id="44">
    <w:p w14:paraId="7E9BBF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House of Representatives, </w:t>
      </w:r>
      <w:r w:rsidRPr="001C7E7B">
        <w:rPr>
          <w:rFonts w:ascii="Times New Roman" w:hAnsi="Times New Roman"/>
          <w:i/>
          <w:iCs/>
          <w:sz w:val="24"/>
        </w:rPr>
        <w:t>Parliamentary Debates</w:t>
      </w:r>
      <w:r w:rsidRPr="001C7E7B">
        <w:rPr>
          <w:rFonts w:ascii="Times New Roman" w:hAnsi="Times New Roman"/>
          <w:sz w:val="24"/>
        </w:rPr>
        <w:t xml:space="preserve"> (Hansard), 21 November 2024 at 8302.</w:t>
      </w:r>
    </w:p>
  </w:footnote>
  <w:footnote w:id="45">
    <w:p w14:paraId="3803F94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Surveillance Legislation (</w:t>
      </w:r>
      <w:r w:rsidRPr="001C7E7B">
        <w:rPr>
          <w:rFonts w:ascii="Times New Roman" w:hAnsi="Times New Roman"/>
          <w:i/>
          <w:sz w:val="24"/>
        </w:rPr>
        <w:t>Confirmation of Application)</w:t>
      </w:r>
      <w:r w:rsidRPr="001C7E7B">
        <w:rPr>
          <w:rFonts w:ascii="Times New Roman" w:hAnsi="Times New Roman"/>
          <w:iCs/>
          <w:sz w:val="24"/>
        </w:rPr>
        <w:t xml:space="preserve"> </w:t>
      </w:r>
      <w:r w:rsidRPr="001C7E7B">
        <w:rPr>
          <w:rFonts w:ascii="Times New Roman" w:hAnsi="Times New Roman"/>
          <w:i/>
          <w:sz w:val="24"/>
        </w:rPr>
        <w:t xml:space="preserve">Act 2024 </w:t>
      </w:r>
      <w:r w:rsidRPr="001C7E7B">
        <w:rPr>
          <w:rFonts w:ascii="Times New Roman" w:hAnsi="Times New Roman"/>
          <w:iCs/>
          <w:sz w:val="24"/>
        </w:rPr>
        <w:t xml:space="preserve">(Cth), </w:t>
      </w:r>
      <w:r w:rsidRPr="001C7E7B">
        <w:rPr>
          <w:rFonts w:ascii="Times New Roman" w:hAnsi="Times New Roman"/>
          <w:sz w:val="24"/>
        </w:rPr>
        <w:t>s 2.</w:t>
      </w:r>
    </w:p>
  </w:footnote>
  <w:footnote w:id="46">
    <w:p w14:paraId="0B7FC1B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TB </w:t>
      </w:r>
      <w:r w:rsidRPr="001C7E7B">
        <w:rPr>
          <w:rFonts w:ascii="Times New Roman" w:hAnsi="Times New Roman"/>
          <w:sz w:val="24"/>
        </w:rPr>
        <w:t xml:space="preserve">(2023) 413 ALR 514 at 536-537 [101]-[102]. </w:t>
      </w:r>
    </w:p>
  </w:footnote>
  <w:footnote w:id="47">
    <w:p w14:paraId="3F381D1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TB </w:t>
      </w:r>
      <w:r w:rsidRPr="001C7E7B">
        <w:rPr>
          <w:rFonts w:ascii="Times New Roman" w:hAnsi="Times New Roman"/>
          <w:sz w:val="24"/>
        </w:rPr>
        <w:t>(2023) 413 ALR 514 at 537-538 [105]-[109].</w:t>
      </w:r>
    </w:p>
  </w:footnote>
  <w:footnote w:id="48">
    <w:p w14:paraId="66BFF1D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Questions of Law Reserved (Nos 1 and 2 of 2023) </w:t>
      </w:r>
      <w:r w:rsidRPr="001C7E7B">
        <w:rPr>
          <w:rFonts w:ascii="Times New Roman" w:hAnsi="Times New Roman"/>
          <w:sz w:val="24"/>
        </w:rPr>
        <w:t xml:space="preserve">(2024) 388 FLR 118 at 156 [178]. </w:t>
      </w:r>
    </w:p>
  </w:footnote>
  <w:footnote w:id="49">
    <w:p w14:paraId="6CAE793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Questions of Law Reserved (Nos 1 and 2 of 2023) </w:t>
      </w:r>
      <w:r w:rsidRPr="001C7E7B">
        <w:rPr>
          <w:rFonts w:ascii="Times New Roman" w:hAnsi="Times New Roman"/>
          <w:sz w:val="24"/>
        </w:rPr>
        <w:t>(2024) 388 FLR 118 at 159-166 [193]-[216].</w:t>
      </w:r>
    </w:p>
  </w:footnote>
  <w:footnote w:id="50">
    <w:p w14:paraId="7C6CE2D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House of Representatives, </w:t>
      </w:r>
      <w:r w:rsidRPr="001C7E7B">
        <w:rPr>
          <w:rFonts w:ascii="Times New Roman" w:hAnsi="Times New Roman"/>
          <w:i/>
          <w:iCs/>
          <w:sz w:val="24"/>
        </w:rPr>
        <w:t>Parliamentary Debates</w:t>
      </w:r>
      <w:r w:rsidRPr="001C7E7B">
        <w:rPr>
          <w:rFonts w:ascii="Times New Roman" w:hAnsi="Times New Roman"/>
          <w:sz w:val="24"/>
        </w:rPr>
        <w:t xml:space="preserve"> (Hansard), 21 November 2024 at 8302.</w:t>
      </w:r>
    </w:p>
  </w:footnote>
  <w:footnote w:id="51">
    <w:p w14:paraId="7847EE7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Senate, </w:t>
      </w:r>
      <w:r w:rsidRPr="001C7E7B">
        <w:rPr>
          <w:rFonts w:ascii="Times New Roman" w:hAnsi="Times New Roman"/>
          <w:i/>
          <w:iCs/>
          <w:sz w:val="24"/>
        </w:rPr>
        <w:t>Surveillance Legislation (Confirmation of Application) Bill 2024</w:t>
      </w:r>
      <w:r w:rsidRPr="001C7E7B">
        <w:rPr>
          <w:rFonts w:ascii="Times New Roman" w:hAnsi="Times New Roman"/>
          <w:sz w:val="24"/>
        </w:rPr>
        <w:t>, Revised Explanatory Memorandum at 2 [1].</w:t>
      </w:r>
    </w:p>
  </w:footnote>
  <w:footnote w:id="52">
    <w:p w14:paraId="7A93E4E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Surveillance Legislation (Confirmation of Application) Act 2024 </w:t>
      </w:r>
      <w:r w:rsidRPr="001C7E7B">
        <w:rPr>
          <w:rFonts w:ascii="Times New Roman" w:hAnsi="Times New Roman"/>
          <w:sz w:val="24"/>
        </w:rPr>
        <w:t xml:space="preserve">(Cth), s 4 (definition of "intercepting a communication passing over a telecommunications system"). </w:t>
      </w:r>
    </w:p>
  </w:footnote>
  <w:footnote w:id="53">
    <w:p w14:paraId="16C263F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sz w:val="24"/>
        </w:rPr>
        <w:t>R</w:t>
      </w:r>
      <w:r w:rsidRPr="001C7E7B">
        <w:rPr>
          <w:rFonts w:ascii="Times New Roman" w:hAnsi="Times New Roman"/>
          <w:i/>
          <w:iCs/>
          <w:sz w:val="24"/>
        </w:rPr>
        <w:t xml:space="preserve"> v Kirby; Ex parte Boilermakers' Society of Australia </w:t>
      </w:r>
      <w:r w:rsidRPr="001C7E7B">
        <w:rPr>
          <w:rFonts w:ascii="Times New Roman" w:hAnsi="Times New Roman"/>
          <w:sz w:val="24"/>
        </w:rPr>
        <w:t xml:space="preserve">(1956) 94 CLR 254 at 270; </w:t>
      </w:r>
      <w:r w:rsidRPr="001C7E7B">
        <w:rPr>
          <w:rFonts w:ascii="Times New Roman" w:hAnsi="Times New Roman"/>
          <w:i/>
          <w:iCs/>
          <w:sz w:val="24"/>
        </w:rPr>
        <w:t>Chu Kheng Lim v Minister for Immigration</w:t>
      </w:r>
      <w:r w:rsidRPr="001C7E7B">
        <w:rPr>
          <w:rFonts w:ascii="Times New Roman" w:hAnsi="Times New Roman"/>
          <w:i/>
          <w:sz w:val="24"/>
        </w:rPr>
        <w:t>, Local Government and Ethnic Affairs</w:t>
      </w:r>
      <w:r w:rsidRPr="001C7E7B">
        <w:rPr>
          <w:rFonts w:ascii="Times New Roman" w:hAnsi="Times New Roman"/>
          <w:i/>
          <w:iCs/>
          <w:sz w:val="24"/>
        </w:rPr>
        <w:t xml:space="preserve"> </w:t>
      </w:r>
      <w:r w:rsidRPr="001C7E7B">
        <w:rPr>
          <w:rFonts w:ascii="Times New Roman" w:hAnsi="Times New Roman"/>
          <w:sz w:val="24"/>
        </w:rPr>
        <w:t>(1992) 176 CLR 1 at 26-27.</w:t>
      </w:r>
    </w:p>
  </w:footnote>
  <w:footnote w:id="54">
    <w:p w14:paraId="3A82BF8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Nicholas v The Queen </w:t>
      </w:r>
      <w:r w:rsidRPr="001C7E7B">
        <w:rPr>
          <w:rFonts w:ascii="Times New Roman" w:hAnsi="Times New Roman"/>
          <w:sz w:val="24"/>
        </w:rPr>
        <w:t>(1998) 193 CLR 173 at 220 [112].</w:t>
      </w:r>
    </w:p>
  </w:footnote>
  <w:footnote w:id="55">
    <w:p w14:paraId="44FB212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Chu Kheng Lim v Minister for Immigration</w:t>
      </w:r>
      <w:r w:rsidRPr="001C7E7B">
        <w:rPr>
          <w:rFonts w:ascii="Times New Roman" w:hAnsi="Times New Roman"/>
          <w:i/>
          <w:sz w:val="24"/>
        </w:rPr>
        <w:t>, Local Government and Ethnic Affairs</w:t>
      </w:r>
      <w:r w:rsidRPr="001C7E7B">
        <w:rPr>
          <w:rFonts w:ascii="Times New Roman" w:hAnsi="Times New Roman"/>
          <w:i/>
          <w:iCs/>
          <w:sz w:val="24"/>
        </w:rPr>
        <w:t xml:space="preserve"> </w:t>
      </w:r>
      <w:r w:rsidRPr="001C7E7B">
        <w:rPr>
          <w:rFonts w:ascii="Times New Roman" w:hAnsi="Times New Roman"/>
          <w:sz w:val="24"/>
        </w:rPr>
        <w:t xml:space="preserve">(1992) 176 CLR 1 at 27, citing </w:t>
      </w:r>
      <w:r w:rsidRPr="001C7E7B">
        <w:rPr>
          <w:rFonts w:ascii="Times New Roman" w:hAnsi="Times New Roman"/>
          <w:i/>
          <w:iCs/>
          <w:sz w:val="24"/>
        </w:rPr>
        <w:t xml:space="preserve">Polyukhovich v The Commonwealth </w:t>
      </w:r>
      <w:r w:rsidRPr="001C7E7B">
        <w:rPr>
          <w:rFonts w:ascii="Times New Roman" w:hAnsi="Times New Roman"/>
          <w:sz w:val="24"/>
        </w:rPr>
        <w:t>(1991) 172 CLR 501 at 607, 689, 703-704.</w:t>
      </w:r>
    </w:p>
  </w:footnote>
  <w:footnote w:id="56">
    <w:p w14:paraId="713366A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(1996) 189 CLR 51.</w:t>
      </w:r>
    </w:p>
  </w:footnote>
  <w:footnote w:id="57">
    <w:p w14:paraId="5BF4EE5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Mistretta v United States</w:t>
      </w:r>
      <w:r w:rsidRPr="001C7E7B">
        <w:rPr>
          <w:rFonts w:ascii="Times New Roman" w:hAnsi="Times New Roman"/>
          <w:sz w:val="24"/>
        </w:rPr>
        <w:t xml:space="preserve"> (1989) 488 US 361 at 407.</w:t>
      </w:r>
    </w:p>
  </w:footnote>
  <w:footnote w:id="58">
    <w:p w14:paraId="5E67DD1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Trade Practices Tribunal; Ex parte Tasmanian Breweries Pty Ltd </w:t>
      </w:r>
      <w:r w:rsidRPr="001C7E7B">
        <w:rPr>
          <w:rFonts w:ascii="Times New Roman" w:hAnsi="Times New Roman"/>
          <w:sz w:val="24"/>
        </w:rPr>
        <w:t>(1970) 123 CLR 361 at 394.</w:t>
      </w:r>
    </w:p>
  </w:footnote>
  <w:footnote w:id="59">
    <w:p w14:paraId="519892C4"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R v Kirby; Ex parte Boilermakers' Society of Australia</w:t>
      </w:r>
      <w:r w:rsidRPr="001C7E7B">
        <w:rPr>
          <w:rFonts w:ascii="Times New Roman" w:hAnsi="Times New Roman"/>
          <w:sz w:val="24"/>
        </w:rPr>
        <w:t xml:space="preserve"> (1956) 94 CLR 254 at 307.</w:t>
      </w:r>
    </w:p>
  </w:footnote>
  <w:footnote w:id="60">
    <w:p w14:paraId="65434EE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R v Trade Practices Tribunal; Ex parte Tasmanian Breweries Pty Ltd</w:t>
      </w:r>
      <w:r w:rsidRPr="001C7E7B">
        <w:rPr>
          <w:rFonts w:ascii="Times New Roman" w:hAnsi="Times New Roman"/>
          <w:sz w:val="24"/>
        </w:rPr>
        <w:t xml:space="preserve"> (1970) 123 CLR 361 at 374, quoted in </w:t>
      </w:r>
      <w:r w:rsidRPr="001C7E7B">
        <w:rPr>
          <w:rFonts w:ascii="Times New Roman" w:hAnsi="Times New Roman"/>
          <w:i/>
          <w:iCs/>
          <w:sz w:val="24"/>
        </w:rPr>
        <w:t>R v Ludeke; Ex parte Australian Building Construction Employees' and Builders Labourers' Federation</w:t>
      </w:r>
      <w:r w:rsidRPr="001C7E7B">
        <w:rPr>
          <w:rFonts w:ascii="Times New Roman" w:hAnsi="Times New Roman"/>
          <w:sz w:val="24"/>
        </w:rPr>
        <w:t xml:space="preserve"> (1985) 159 CLR 636 at 655.</w:t>
      </w:r>
    </w:p>
  </w:footnote>
  <w:footnote w:id="61">
    <w:p w14:paraId="6235FA3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Fencott v Muller </w:t>
      </w:r>
      <w:r w:rsidRPr="001C7E7B">
        <w:rPr>
          <w:rFonts w:ascii="Times New Roman" w:hAnsi="Times New Roman"/>
          <w:sz w:val="24"/>
        </w:rPr>
        <w:t xml:space="preserve">(1983) 152 CLR 570 at 608. See also </w:t>
      </w:r>
      <w:r w:rsidRPr="001C7E7B">
        <w:rPr>
          <w:rFonts w:ascii="Times New Roman" w:hAnsi="Times New Roman"/>
          <w:i/>
          <w:iCs/>
          <w:sz w:val="24"/>
        </w:rPr>
        <w:t xml:space="preserve">Huddart, Parker &amp; Co Pty Ltd v Moorehead </w:t>
      </w:r>
      <w:r w:rsidRPr="001C7E7B">
        <w:rPr>
          <w:rFonts w:ascii="Times New Roman" w:hAnsi="Times New Roman"/>
          <w:sz w:val="24"/>
        </w:rPr>
        <w:t xml:space="preserve">(1909) 8 CLR 330 at 357; </w:t>
      </w:r>
      <w:r w:rsidRPr="001C7E7B">
        <w:rPr>
          <w:rFonts w:ascii="Times New Roman" w:hAnsi="Times New Roman"/>
          <w:i/>
          <w:iCs/>
          <w:sz w:val="24"/>
        </w:rPr>
        <w:t>Wilson v Minister for Aboriginal and Torres Strait Islander Affairs</w:t>
      </w:r>
      <w:r w:rsidRPr="001C7E7B">
        <w:rPr>
          <w:rFonts w:ascii="Times New Roman" w:hAnsi="Times New Roman"/>
          <w:sz w:val="24"/>
        </w:rPr>
        <w:t xml:space="preserve"> (1996) 189 CLR 1 at 11. </w:t>
      </w:r>
    </w:p>
  </w:footnote>
  <w:footnote w:id="62">
    <w:p w14:paraId="4BCDAA3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Bell Lawyers Pty Ltd v Pentelow </w:t>
      </w:r>
      <w:r w:rsidRPr="001C7E7B">
        <w:rPr>
          <w:rFonts w:ascii="Times New Roman" w:hAnsi="Times New Roman"/>
          <w:sz w:val="24"/>
        </w:rPr>
        <w:t xml:space="preserve">(2019) 269 CLR 333 at 368 [96], discussing </w:t>
      </w:r>
      <w:r w:rsidRPr="001C7E7B">
        <w:rPr>
          <w:rFonts w:ascii="Times New Roman" w:hAnsi="Times New Roman"/>
          <w:i/>
          <w:iCs/>
          <w:sz w:val="24"/>
        </w:rPr>
        <w:t xml:space="preserve">Ha v New South Wales </w:t>
      </w:r>
      <w:r w:rsidRPr="001C7E7B">
        <w:rPr>
          <w:rFonts w:ascii="Times New Roman" w:hAnsi="Times New Roman"/>
          <w:sz w:val="24"/>
        </w:rPr>
        <w:t xml:space="preserve">(1997) 189 CLR 465 at 504, 515. </w:t>
      </w:r>
    </w:p>
  </w:footnote>
  <w:footnote w:id="63">
    <w:p w14:paraId="2C08A2D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Nicholas v The Queen </w:t>
      </w:r>
      <w:r w:rsidRPr="001C7E7B">
        <w:rPr>
          <w:rFonts w:ascii="Times New Roman" w:hAnsi="Times New Roman"/>
          <w:sz w:val="24"/>
        </w:rPr>
        <w:t xml:space="preserve">(1998) 193 CLR 173 at 190 [24]; </w:t>
      </w:r>
      <w:r w:rsidRPr="001C7E7B">
        <w:rPr>
          <w:rFonts w:ascii="Times New Roman" w:hAnsi="Times New Roman"/>
          <w:i/>
          <w:iCs/>
          <w:sz w:val="24"/>
        </w:rPr>
        <w:t xml:space="preserve">Silbert v Director of Public Prosecutions (WA) </w:t>
      </w:r>
      <w:r w:rsidRPr="001C7E7B">
        <w:rPr>
          <w:rFonts w:ascii="Times New Roman" w:hAnsi="Times New Roman"/>
          <w:sz w:val="24"/>
        </w:rPr>
        <w:t xml:space="preserve">(2002) 25 WAR 330 at 335 [22], 347 [81]; </w:t>
      </w:r>
      <w:r w:rsidRPr="001C7E7B">
        <w:rPr>
          <w:rFonts w:ascii="Times New Roman" w:hAnsi="Times New Roman"/>
          <w:i/>
          <w:iCs/>
          <w:sz w:val="24"/>
        </w:rPr>
        <w:t xml:space="preserve">Commissioner of Taxation v Price </w:t>
      </w:r>
      <w:r w:rsidRPr="001C7E7B">
        <w:rPr>
          <w:rFonts w:ascii="Times New Roman" w:hAnsi="Times New Roman"/>
          <w:sz w:val="24"/>
        </w:rPr>
        <w:t>[2006] 2 Qd R 316 at 333 [42]. See also</w:t>
      </w:r>
      <w:r w:rsidRPr="001C7E7B">
        <w:rPr>
          <w:rFonts w:ascii="Times New Roman" w:hAnsi="Times New Roman"/>
          <w:i/>
          <w:iCs/>
          <w:sz w:val="24"/>
        </w:rPr>
        <w:t xml:space="preserve"> Police v Dunstall </w:t>
      </w:r>
      <w:r w:rsidRPr="001C7E7B">
        <w:rPr>
          <w:rFonts w:ascii="Times New Roman" w:hAnsi="Times New Roman"/>
          <w:sz w:val="24"/>
        </w:rPr>
        <w:t>(2015) 256 CLR 403 at 420 [36].</w:t>
      </w:r>
    </w:p>
  </w:footnote>
  <w:footnote w:id="64">
    <w:p w14:paraId="625C63F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Williamson v Ah On </w:t>
      </w:r>
      <w:r w:rsidRPr="001C7E7B">
        <w:rPr>
          <w:rFonts w:ascii="Times New Roman" w:hAnsi="Times New Roman"/>
          <w:sz w:val="24"/>
        </w:rPr>
        <w:t xml:space="preserve">(1926) 39 CLR 95 at 108. </w:t>
      </w:r>
    </w:p>
  </w:footnote>
  <w:footnote w:id="65">
    <w:p w14:paraId="0D74656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[1967] 1 AC 259 at 290. </w:t>
      </w:r>
    </w:p>
  </w:footnote>
  <w:footnote w:id="66">
    <w:p w14:paraId="45631CB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Stephens v The Queen </w:t>
      </w:r>
      <w:r w:rsidRPr="001C7E7B">
        <w:rPr>
          <w:rFonts w:ascii="Times New Roman" w:hAnsi="Times New Roman"/>
          <w:sz w:val="24"/>
        </w:rPr>
        <w:t xml:space="preserve">(2022) 273 CLR 635 at 651 [29]. </w:t>
      </w:r>
    </w:p>
  </w:footnote>
  <w:footnote w:id="67">
    <w:p w14:paraId="0651CC2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Polyukhovich v The Commonwealth </w:t>
      </w:r>
      <w:r w:rsidRPr="001C7E7B">
        <w:rPr>
          <w:rFonts w:ascii="Times New Roman" w:hAnsi="Times New Roman"/>
          <w:sz w:val="24"/>
        </w:rPr>
        <w:t>(1991) 172 CLR 501.</w:t>
      </w:r>
    </w:p>
  </w:footnote>
  <w:footnote w:id="68">
    <w:p w14:paraId="0B120A67" w14:textId="77777777" w:rsidR="009A04F1" w:rsidRPr="001C7E7B" w:rsidRDefault="009A04F1" w:rsidP="001C7E7B">
      <w:pPr>
        <w:pStyle w:val="FootnoteText"/>
        <w:spacing w:line="280" w:lineRule="exact"/>
        <w:ind w:right="0"/>
        <w:jc w:val="both"/>
        <w:rPr>
          <w:rFonts w:ascii="Times New Roman" w:hAnsi="Times New Roman"/>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Mineralogy Pty Ltd v Western Australia </w:t>
      </w:r>
      <w:r w:rsidRPr="001C7E7B">
        <w:rPr>
          <w:rFonts w:ascii="Times New Roman" w:hAnsi="Times New Roman"/>
          <w:sz w:val="24"/>
        </w:rPr>
        <w:t xml:space="preserve">(2021) 274 CLR 219 at 281 [159]. See also </w:t>
      </w:r>
      <w:r w:rsidRPr="001C7E7B">
        <w:rPr>
          <w:rFonts w:ascii="Times New Roman" w:hAnsi="Times New Roman"/>
          <w:i/>
          <w:iCs/>
          <w:sz w:val="24"/>
        </w:rPr>
        <w:t xml:space="preserve">United States v Lovett </w:t>
      </w:r>
      <w:r w:rsidRPr="001C7E7B">
        <w:rPr>
          <w:rFonts w:ascii="Times New Roman" w:hAnsi="Times New Roman"/>
          <w:sz w:val="24"/>
        </w:rPr>
        <w:t xml:space="preserve">(1946) 328 US 303 at 315-318; </w:t>
      </w:r>
      <w:r w:rsidRPr="001C7E7B">
        <w:rPr>
          <w:rFonts w:ascii="Times New Roman" w:hAnsi="Times New Roman"/>
          <w:i/>
          <w:iCs/>
          <w:sz w:val="24"/>
        </w:rPr>
        <w:t xml:space="preserve">Bank Markazi v Peterson </w:t>
      </w:r>
      <w:r w:rsidRPr="001C7E7B">
        <w:rPr>
          <w:rFonts w:ascii="Times New Roman" w:hAnsi="Times New Roman"/>
          <w:sz w:val="24"/>
        </w:rPr>
        <w:t>(2016) 578 US 212 at 233-234.</w:t>
      </w:r>
    </w:p>
  </w:footnote>
  <w:footnote w:id="69">
    <w:p w14:paraId="4E25CC2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(1998) 193 CLR 173. </w:t>
      </w:r>
    </w:p>
  </w:footnote>
  <w:footnote w:id="70">
    <w:p w14:paraId="1B162A5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(1995) 184 CLR 19. </w:t>
      </w:r>
    </w:p>
  </w:footnote>
  <w:footnote w:id="71">
    <w:p w14:paraId="3C62551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Crimes Amendment (Controlled Operations) Act 1996 </w:t>
      </w:r>
      <w:r w:rsidRPr="001C7E7B">
        <w:rPr>
          <w:rFonts w:ascii="Times New Roman" w:hAnsi="Times New Roman"/>
          <w:sz w:val="24"/>
        </w:rPr>
        <w:t xml:space="preserve">(Cth), s 3, Sch 1, item 2, inserting s 15X into the </w:t>
      </w:r>
      <w:r w:rsidRPr="001C7E7B">
        <w:rPr>
          <w:rFonts w:ascii="Times New Roman" w:hAnsi="Times New Roman"/>
          <w:i/>
          <w:sz w:val="24"/>
        </w:rPr>
        <w:t xml:space="preserve">Crimes Act 1914 </w:t>
      </w:r>
      <w:r w:rsidRPr="001C7E7B">
        <w:rPr>
          <w:rFonts w:ascii="Times New Roman" w:hAnsi="Times New Roman"/>
          <w:sz w:val="24"/>
        </w:rPr>
        <w:t xml:space="preserve">(Cth). </w:t>
      </w:r>
    </w:p>
  </w:footnote>
  <w:footnote w:id="72">
    <w:p w14:paraId="23665FB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Compare </w:t>
      </w:r>
      <w:r w:rsidRPr="001C7E7B">
        <w:rPr>
          <w:rFonts w:ascii="Times New Roman" w:hAnsi="Times New Roman"/>
          <w:i/>
          <w:sz w:val="24"/>
        </w:rPr>
        <w:t>Nicholas v The Queen</w:t>
      </w:r>
      <w:r w:rsidRPr="001C7E7B">
        <w:rPr>
          <w:rFonts w:ascii="Times New Roman" w:hAnsi="Times New Roman"/>
          <w:sz w:val="24"/>
        </w:rPr>
        <w:t xml:space="preserve"> (1998) 193 CLR 173 at 185 [12], 200 [49].</w:t>
      </w:r>
    </w:p>
  </w:footnote>
  <w:footnote w:id="73">
    <w:p w14:paraId="2973CB7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218 [106].</w:t>
      </w:r>
    </w:p>
  </w:footnote>
  <w:footnote w:id="74">
    <w:p w14:paraId="5A50C2EF"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226 [126].</w:t>
      </w:r>
    </w:p>
  </w:footnote>
  <w:footnote w:id="75">
    <w:p w14:paraId="6753219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265 [213].</w:t>
      </w:r>
    </w:p>
  </w:footnote>
  <w:footnote w:id="76">
    <w:p w14:paraId="7B3C84B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Ridgeway v The Queen</w:t>
      </w:r>
      <w:r w:rsidRPr="001C7E7B">
        <w:rPr>
          <w:rFonts w:ascii="Times New Roman" w:hAnsi="Times New Roman"/>
          <w:i/>
          <w:iCs/>
          <w:sz w:val="24"/>
        </w:rPr>
        <w:t xml:space="preserve"> </w:t>
      </w:r>
      <w:r w:rsidRPr="001C7E7B">
        <w:rPr>
          <w:rFonts w:ascii="Times New Roman" w:hAnsi="Times New Roman"/>
          <w:sz w:val="24"/>
        </w:rPr>
        <w:t>(1995) 184 CLR 19 at 41.</w:t>
      </w:r>
    </w:p>
  </w:footnote>
  <w:footnote w:id="77">
    <w:p w14:paraId="5BBCE2D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189 [23].</w:t>
      </w:r>
    </w:p>
  </w:footnote>
  <w:footnote w:id="78">
    <w:p w14:paraId="7856EA9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192 [28].</w:t>
      </w:r>
    </w:p>
  </w:footnote>
  <w:footnote w:id="79">
    <w:p w14:paraId="3973255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191 [26].</w:t>
      </w:r>
    </w:p>
  </w:footnote>
  <w:footnote w:id="80">
    <w:p w14:paraId="116D076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202 [53], 203 [57].</w:t>
      </w:r>
    </w:p>
  </w:footnote>
  <w:footnote w:id="81">
    <w:p w14:paraId="1EC0B64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210-211 [80].</w:t>
      </w:r>
    </w:p>
  </w:footnote>
  <w:footnote w:id="82">
    <w:p w14:paraId="621CC74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212 [83].</w:t>
      </w:r>
    </w:p>
  </w:footnote>
  <w:footnote w:id="83">
    <w:p w14:paraId="0516160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238 [162].</w:t>
      </w:r>
    </w:p>
  </w:footnote>
  <w:footnote w:id="84">
    <w:p w14:paraId="3B581AE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238-239 [163].</w:t>
      </w:r>
    </w:p>
  </w:footnote>
  <w:footnote w:id="85">
    <w:p w14:paraId="3E0DF72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277 [249]. See also at 278 [250]-[252].</w:t>
      </w:r>
    </w:p>
  </w:footnote>
  <w:footnote w:id="86">
    <w:p w14:paraId="38CE58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Collector of Customs v Agfa-Gevaert Ltd </w:t>
      </w:r>
      <w:r w:rsidRPr="001C7E7B">
        <w:rPr>
          <w:rFonts w:ascii="Times New Roman" w:hAnsi="Times New Roman"/>
          <w:sz w:val="24"/>
        </w:rPr>
        <w:t>(1996) 186 CLR 389</w:t>
      </w:r>
      <w:r w:rsidRPr="001C7E7B">
        <w:rPr>
          <w:rFonts w:ascii="Times New Roman" w:hAnsi="Times New Roman"/>
          <w:i/>
          <w:iCs/>
          <w:sz w:val="24"/>
        </w:rPr>
        <w:t xml:space="preserve"> </w:t>
      </w:r>
      <w:r w:rsidRPr="001C7E7B">
        <w:rPr>
          <w:rFonts w:ascii="Times New Roman" w:hAnsi="Times New Roman"/>
          <w:sz w:val="24"/>
        </w:rPr>
        <w:t>at 396-397.</w:t>
      </w:r>
    </w:p>
  </w:footnote>
  <w:footnote w:id="87">
    <w:p w14:paraId="5F1B552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Bank Markazi v Peterson </w:t>
      </w:r>
      <w:r w:rsidRPr="001C7E7B">
        <w:rPr>
          <w:rFonts w:ascii="Times New Roman" w:hAnsi="Times New Roman"/>
          <w:sz w:val="24"/>
        </w:rPr>
        <w:t xml:space="preserve">(2016) 578 US 212 at 231. See also at 237. </w:t>
      </w:r>
    </w:p>
  </w:footnote>
  <w:footnote w:id="88">
    <w:p w14:paraId="369DA55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Hamilton, </w:t>
      </w:r>
      <w:r w:rsidRPr="001C7E7B">
        <w:rPr>
          <w:rFonts w:ascii="Times New Roman" w:hAnsi="Times New Roman"/>
          <w:i/>
          <w:sz w:val="24"/>
        </w:rPr>
        <w:t xml:space="preserve">The Federalist </w:t>
      </w:r>
      <w:r w:rsidRPr="001C7E7B">
        <w:rPr>
          <w:rFonts w:ascii="Times New Roman" w:hAnsi="Times New Roman"/>
          <w:sz w:val="24"/>
        </w:rPr>
        <w:t xml:space="preserve">No 81, in </w:t>
      </w:r>
      <w:r w:rsidRPr="001C7E7B">
        <w:rPr>
          <w:rFonts w:ascii="Times New Roman" w:hAnsi="Times New Roman"/>
          <w:i/>
          <w:iCs/>
          <w:sz w:val="24"/>
        </w:rPr>
        <w:t>The Federalist</w:t>
      </w:r>
      <w:r w:rsidRPr="001C7E7B">
        <w:rPr>
          <w:rFonts w:ascii="Times New Roman" w:hAnsi="Times New Roman"/>
          <w:i/>
          <w:sz w:val="24"/>
        </w:rPr>
        <w:t>, on the New Constitution</w:t>
      </w:r>
      <w:r w:rsidRPr="001C7E7B">
        <w:rPr>
          <w:rFonts w:ascii="Times New Roman" w:hAnsi="Times New Roman"/>
          <w:sz w:val="24"/>
        </w:rPr>
        <w:t xml:space="preserve"> (1802), vol 2 at 234.  </w:t>
      </w:r>
    </w:p>
  </w:footnote>
  <w:footnote w:id="89">
    <w:p w14:paraId="58DC9F9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sidDel="00257696">
        <w:rPr>
          <w:rFonts w:ascii="Times New Roman" w:hAnsi="Times New Roman"/>
          <w:i/>
          <w:sz w:val="24"/>
        </w:rPr>
        <w:t>Chu Kheng Lim v Minister for Immigration</w:t>
      </w:r>
      <w:r w:rsidRPr="001C7E7B">
        <w:rPr>
          <w:rFonts w:ascii="Times New Roman" w:hAnsi="Times New Roman"/>
          <w:i/>
          <w:sz w:val="24"/>
        </w:rPr>
        <w:t>, Local Government and Ethnic Affairs</w:t>
      </w:r>
      <w:r w:rsidRPr="001C7E7B" w:rsidDel="00257696">
        <w:rPr>
          <w:rFonts w:ascii="Times New Roman" w:hAnsi="Times New Roman"/>
          <w:i/>
          <w:sz w:val="24"/>
        </w:rPr>
        <w:t xml:space="preserve"> </w:t>
      </w:r>
      <w:r w:rsidRPr="001C7E7B" w:rsidDel="00257696">
        <w:rPr>
          <w:rFonts w:ascii="Times New Roman" w:hAnsi="Times New Roman"/>
          <w:sz w:val="24"/>
        </w:rPr>
        <w:t xml:space="preserve">(1992) 176 CLR 1 at 27, 36-37, 68; </w:t>
      </w:r>
      <w:r w:rsidRPr="001C7E7B">
        <w:rPr>
          <w:rFonts w:ascii="Times New Roman" w:hAnsi="Times New Roman"/>
          <w:i/>
          <w:sz w:val="24"/>
        </w:rPr>
        <w:t xml:space="preserve">Polyukhovich v The Commonwealth </w:t>
      </w:r>
      <w:r w:rsidRPr="001C7E7B">
        <w:rPr>
          <w:rFonts w:ascii="Times New Roman" w:hAnsi="Times New Roman"/>
          <w:sz w:val="24"/>
        </w:rPr>
        <w:t xml:space="preserve">(1991) 172 CLR 501 at 607; </w:t>
      </w:r>
      <w:r w:rsidRPr="001C7E7B">
        <w:rPr>
          <w:rFonts w:ascii="Times New Roman" w:hAnsi="Times New Roman"/>
          <w:i/>
          <w:iCs/>
          <w:sz w:val="24"/>
        </w:rPr>
        <w:t xml:space="preserve">Leeth v </w:t>
      </w:r>
      <w:r w:rsidRPr="001C7E7B">
        <w:rPr>
          <w:rFonts w:ascii="Times New Roman" w:hAnsi="Times New Roman"/>
          <w:i/>
          <w:sz w:val="24"/>
        </w:rPr>
        <w:t>The</w:t>
      </w:r>
      <w:r w:rsidRPr="001C7E7B">
        <w:rPr>
          <w:rFonts w:ascii="Times New Roman" w:hAnsi="Times New Roman"/>
          <w:i/>
          <w:iCs/>
          <w:sz w:val="24"/>
        </w:rPr>
        <w:t xml:space="preserve"> Commonwealth </w:t>
      </w:r>
      <w:r w:rsidRPr="001C7E7B">
        <w:rPr>
          <w:rFonts w:ascii="Times New Roman" w:hAnsi="Times New Roman"/>
          <w:sz w:val="24"/>
        </w:rPr>
        <w:t xml:space="preserve">(1992) 174 CLR 455 at 469-470; </w:t>
      </w:r>
      <w:r w:rsidRPr="001C7E7B">
        <w:rPr>
          <w:rFonts w:ascii="Times New Roman" w:hAnsi="Times New Roman"/>
          <w:i/>
          <w:iCs/>
          <w:sz w:val="24"/>
        </w:rPr>
        <w:t xml:space="preserve">Nicholas v The Queen </w:t>
      </w:r>
      <w:r w:rsidRPr="001C7E7B">
        <w:rPr>
          <w:rFonts w:ascii="Times New Roman" w:hAnsi="Times New Roman"/>
          <w:sz w:val="24"/>
        </w:rPr>
        <w:t xml:space="preserve">(1998) 193 CLR 173 at 188 [20].   </w:t>
      </w:r>
    </w:p>
  </w:footnote>
  <w:footnote w:id="90">
    <w:p w14:paraId="22E4664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for instance, </w:t>
      </w:r>
      <w:r w:rsidRPr="001C7E7B">
        <w:rPr>
          <w:rFonts w:ascii="Times New Roman" w:hAnsi="Times New Roman"/>
          <w:i/>
          <w:iCs/>
          <w:sz w:val="24"/>
        </w:rPr>
        <w:t xml:space="preserve">Plaut v Spendthrift Farm Inc </w:t>
      </w:r>
      <w:r w:rsidRPr="001C7E7B">
        <w:rPr>
          <w:rFonts w:ascii="Times New Roman" w:hAnsi="Times New Roman"/>
          <w:sz w:val="24"/>
        </w:rPr>
        <w:t xml:space="preserve">(1995) 514 US 211.  </w:t>
      </w:r>
    </w:p>
  </w:footnote>
  <w:footnote w:id="91">
    <w:p w14:paraId="2F33E77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Condon v Pompano Pty Ltd </w:t>
      </w:r>
      <w:r w:rsidRPr="001C7E7B">
        <w:rPr>
          <w:rFonts w:ascii="Times New Roman" w:hAnsi="Times New Roman"/>
          <w:sz w:val="24"/>
        </w:rPr>
        <w:t>(2013) 252 CLR 38 at 71 [67].</w:t>
      </w:r>
    </w:p>
  </w:footnote>
  <w:footnote w:id="92">
    <w:p w14:paraId="754392E0" w14:textId="77777777" w:rsidR="009A04F1" w:rsidRPr="001C7E7B" w:rsidRDefault="009A04F1" w:rsidP="001C7E7B">
      <w:pPr>
        <w:pStyle w:val="FootnoteText"/>
        <w:spacing w:line="280" w:lineRule="exact"/>
        <w:ind w:right="0"/>
        <w:jc w:val="both"/>
        <w:rPr>
          <w:rFonts w:ascii="Times New Roman" w:hAnsi="Times New Roman"/>
          <w:i/>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SDCV v Director-General of Security </w:t>
      </w:r>
      <w:r w:rsidRPr="001C7E7B">
        <w:rPr>
          <w:rFonts w:ascii="Times New Roman" w:hAnsi="Times New Roman"/>
          <w:sz w:val="24"/>
        </w:rPr>
        <w:t xml:space="preserve">(2022) 277 CLR 241 at 293-294 [138], 307 [176], 326 [231]. See also </w:t>
      </w:r>
      <w:r w:rsidRPr="001C7E7B">
        <w:rPr>
          <w:rFonts w:ascii="Times New Roman" w:hAnsi="Times New Roman"/>
          <w:i/>
          <w:iCs/>
          <w:sz w:val="24"/>
        </w:rPr>
        <w:t xml:space="preserve">Minister for Home Affairs v Benbrika </w:t>
      </w:r>
      <w:r w:rsidRPr="001C7E7B">
        <w:rPr>
          <w:rFonts w:ascii="Times New Roman" w:hAnsi="Times New Roman"/>
          <w:sz w:val="24"/>
        </w:rPr>
        <w:t xml:space="preserve">(2021) 272 CLR 68 at 167-170 [222]-[227]; </w:t>
      </w:r>
      <w:r w:rsidRPr="001C7E7B">
        <w:rPr>
          <w:rFonts w:ascii="Times New Roman" w:hAnsi="Times New Roman"/>
          <w:i/>
          <w:iCs/>
          <w:sz w:val="24"/>
        </w:rPr>
        <w:t xml:space="preserve">MJZP v Director-General of Security </w:t>
      </w:r>
      <w:r w:rsidRPr="001C7E7B">
        <w:rPr>
          <w:rFonts w:ascii="Times New Roman" w:hAnsi="Times New Roman"/>
          <w:sz w:val="24"/>
        </w:rPr>
        <w:t xml:space="preserve">(2025) 99 ALJR 1108 at 1122 [63]; 423 ALR 378 at 395. </w:t>
      </w:r>
    </w:p>
  </w:footnote>
  <w:footnote w:id="93">
    <w:p w14:paraId="3C6682A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(1986) 161 CLR 88. </w:t>
      </w:r>
    </w:p>
  </w:footnote>
  <w:footnote w:id="94">
    <w:p w14:paraId="43AE19A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Australian Building Construction Employees' and Builders Labourers' Federation v The Commonwealth</w:t>
      </w:r>
      <w:r w:rsidRPr="001C7E7B">
        <w:rPr>
          <w:rFonts w:ascii="Times New Roman" w:hAnsi="Times New Roman"/>
          <w:sz w:val="24"/>
        </w:rPr>
        <w:t xml:space="preserve"> (1986) 161 CLR 88 at 96-97.</w:t>
      </w:r>
    </w:p>
  </w:footnote>
  <w:footnote w:id="95">
    <w:p w14:paraId="091AFA3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Australian Building Construction Employees' and Builders Labourers' Federation v The Commonwealth</w:t>
      </w:r>
      <w:r w:rsidRPr="001C7E7B">
        <w:rPr>
          <w:rFonts w:ascii="Times New Roman" w:hAnsi="Times New Roman"/>
          <w:sz w:val="24"/>
        </w:rPr>
        <w:t xml:space="preserve"> (1986) 161 CLR 88 at 96.</w:t>
      </w:r>
    </w:p>
  </w:footnote>
  <w:footnote w:id="96">
    <w:p w14:paraId="6AFE65C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(2015) 256 CLR 83. </w:t>
      </w:r>
    </w:p>
  </w:footnote>
  <w:footnote w:id="97">
    <w:p w14:paraId="3C92590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(2015) 256 CLR 1. </w:t>
      </w:r>
    </w:p>
  </w:footnote>
  <w:footnote w:id="98">
    <w:p w14:paraId="556F53E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 xml:space="preserve">Independent Commission Against Corruption Amendment (Validation) Act 2015 </w:t>
      </w:r>
      <w:r w:rsidRPr="001C7E7B">
        <w:rPr>
          <w:rFonts w:ascii="Times New Roman" w:hAnsi="Times New Roman"/>
          <w:sz w:val="24"/>
        </w:rPr>
        <w:t>(NSW).</w:t>
      </w:r>
    </w:p>
  </w:footnote>
  <w:footnote w:id="99">
    <w:p w14:paraId="2AF30C14"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93 [9].</w:t>
      </w:r>
    </w:p>
  </w:footnote>
  <w:footnote w:id="100">
    <w:p w14:paraId="49232D7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94 [12].</w:t>
      </w:r>
    </w:p>
  </w:footnote>
  <w:footnote w:id="101">
    <w:p w14:paraId="6593EBA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94-95 [13]-[15]. See also </w:t>
      </w:r>
      <w:r w:rsidRPr="001C7E7B">
        <w:rPr>
          <w:rFonts w:ascii="Times New Roman" w:hAnsi="Times New Roman"/>
          <w:i/>
          <w:sz w:val="24"/>
        </w:rPr>
        <w:t xml:space="preserve">Independent Commission Against Corruption Amendment (Validation) Act 2015 </w:t>
      </w:r>
      <w:r w:rsidRPr="001C7E7B">
        <w:rPr>
          <w:rFonts w:ascii="Times New Roman" w:hAnsi="Times New Roman"/>
          <w:sz w:val="24"/>
        </w:rPr>
        <w:t xml:space="preserve">(NSW), Sch 1, inserting Sch 4, Pt 13, cll 34-35 into the </w:t>
      </w:r>
      <w:r w:rsidRPr="001C7E7B">
        <w:rPr>
          <w:rFonts w:ascii="Times New Roman" w:hAnsi="Times New Roman"/>
          <w:i/>
          <w:sz w:val="24"/>
        </w:rPr>
        <w:t xml:space="preserve">Independent Commission Against Corruption Act 1988 </w:t>
      </w:r>
      <w:r w:rsidRPr="001C7E7B">
        <w:rPr>
          <w:rFonts w:ascii="Times New Roman" w:hAnsi="Times New Roman"/>
          <w:sz w:val="24"/>
        </w:rPr>
        <w:t>(NSW).</w:t>
      </w:r>
    </w:p>
  </w:footnote>
  <w:footnote w:id="102">
    <w:p w14:paraId="76C4FD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Stephens v The Queen </w:t>
      </w:r>
      <w:r w:rsidRPr="001C7E7B">
        <w:rPr>
          <w:rFonts w:ascii="Times New Roman" w:hAnsi="Times New Roman"/>
          <w:sz w:val="24"/>
        </w:rPr>
        <w:t xml:space="preserve">(2022) 273 CLR 635 at 651 [29]. </w:t>
      </w:r>
    </w:p>
  </w:footnote>
  <w:footnote w:id="103">
    <w:p w14:paraId="7E33687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Rodway v The Queen </w:t>
      </w:r>
      <w:r w:rsidRPr="001C7E7B">
        <w:rPr>
          <w:rFonts w:ascii="Times New Roman" w:hAnsi="Times New Roman"/>
          <w:sz w:val="24"/>
        </w:rPr>
        <w:t xml:space="preserve">(1990) 169 CLR 515 at 518. </w:t>
      </w:r>
    </w:p>
  </w:footnote>
  <w:footnote w:id="104">
    <w:p w14:paraId="153AB74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Christie </w:t>
      </w:r>
      <w:r w:rsidRPr="001C7E7B">
        <w:rPr>
          <w:rFonts w:ascii="Times New Roman" w:hAnsi="Times New Roman"/>
          <w:sz w:val="24"/>
        </w:rPr>
        <w:t xml:space="preserve">[1914] AC 545; </w:t>
      </w:r>
      <w:r w:rsidRPr="001C7E7B">
        <w:rPr>
          <w:rFonts w:ascii="Times New Roman" w:hAnsi="Times New Roman"/>
          <w:i/>
          <w:iCs/>
          <w:sz w:val="24"/>
        </w:rPr>
        <w:t xml:space="preserve">Driscoll v The Queen </w:t>
      </w:r>
      <w:r w:rsidRPr="001C7E7B">
        <w:rPr>
          <w:rFonts w:ascii="Times New Roman" w:hAnsi="Times New Roman"/>
          <w:sz w:val="24"/>
        </w:rPr>
        <w:t xml:space="preserve">(1977) 137 CLR 517 at 541; </w:t>
      </w:r>
      <w:r w:rsidRPr="001C7E7B">
        <w:rPr>
          <w:rFonts w:ascii="Times New Roman" w:hAnsi="Times New Roman"/>
          <w:i/>
          <w:iCs/>
          <w:sz w:val="24"/>
        </w:rPr>
        <w:t xml:space="preserve">R v Swaffield </w:t>
      </w:r>
      <w:r w:rsidRPr="001C7E7B">
        <w:rPr>
          <w:rFonts w:ascii="Times New Roman" w:hAnsi="Times New Roman"/>
          <w:sz w:val="24"/>
        </w:rPr>
        <w:t>(1998) 192 CLR 159 at 191-193 [62]-[64].</w:t>
      </w:r>
    </w:p>
  </w:footnote>
  <w:footnote w:id="105">
    <w:p w14:paraId="08950A5D" w14:textId="77777777" w:rsidR="009A04F1" w:rsidRPr="001C7E7B" w:rsidRDefault="009A04F1" w:rsidP="001C7E7B">
      <w:pPr>
        <w:pStyle w:val="FootnoteText"/>
        <w:spacing w:line="280" w:lineRule="exact"/>
        <w:ind w:right="0"/>
        <w:jc w:val="both"/>
        <w:rPr>
          <w:rFonts w:ascii="Times New Roman" w:hAnsi="Times New Roman"/>
          <w:i/>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Lee </w:t>
      </w:r>
      <w:r w:rsidRPr="001C7E7B">
        <w:rPr>
          <w:rFonts w:ascii="Times New Roman" w:hAnsi="Times New Roman"/>
          <w:sz w:val="24"/>
        </w:rPr>
        <w:t xml:space="preserve">(1950) 82 CLR 133 at 159; </w:t>
      </w:r>
      <w:r w:rsidRPr="001C7E7B">
        <w:rPr>
          <w:rFonts w:ascii="Times New Roman" w:hAnsi="Times New Roman"/>
          <w:i/>
          <w:iCs/>
          <w:sz w:val="24"/>
        </w:rPr>
        <w:t xml:space="preserve">R v Swaffield </w:t>
      </w:r>
      <w:r w:rsidRPr="001C7E7B">
        <w:rPr>
          <w:rFonts w:ascii="Times New Roman" w:hAnsi="Times New Roman"/>
          <w:sz w:val="24"/>
        </w:rPr>
        <w:t xml:space="preserve">(1998) 192 CLR 159 at 189-190 [53]-[54]; </w:t>
      </w:r>
      <w:r w:rsidRPr="001C7E7B">
        <w:rPr>
          <w:rFonts w:ascii="Times New Roman" w:hAnsi="Times New Roman"/>
          <w:i/>
          <w:iCs/>
          <w:sz w:val="24"/>
        </w:rPr>
        <w:t xml:space="preserve">Police v Dunstall </w:t>
      </w:r>
      <w:r w:rsidRPr="001C7E7B">
        <w:rPr>
          <w:rFonts w:ascii="Times New Roman" w:hAnsi="Times New Roman"/>
          <w:sz w:val="24"/>
        </w:rPr>
        <w:t xml:space="preserve">(2015) 256 CLR 403.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54D8" w14:textId="77777777" w:rsidR="00192A62" w:rsidRPr="005F7663" w:rsidRDefault="00192A62" w:rsidP="005F76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CAE6" w14:textId="77777777" w:rsidR="009A04F1" w:rsidRPr="009A04F1" w:rsidRDefault="009A04F1" w:rsidP="009A0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188D" w14:textId="1658C6A3" w:rsidR="00192A62" w:rsidRPr="005F7663" w:rsidRDefault="005F7663" w:rsidP="005F7663">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85053D">
      <w:rPr>
        <w:rFonts w:ascii="Times New Roman" w:hAnsi="Times New Roman"/>
        <w:noProof/>
        <w:sz w:val="22"/>
      </w:rPr>
      <w:instrText>5</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85053D">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D67" w14:textId="2E4529AB" w:rsidR="00F03B29" w:rsidRPr="005F7663" w:rsidRDefault="00F03B29" w:rsidP="005F7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0710"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Gageler</w:t>
    </w:r>
    <w:r w:rsidRPr="00192A62">
      <w:rPr>
        <w:rFonts w:ascii="Times New Roman" w:hAnsi="Times New Roman"/>
        <w:i/>
        <w:sz w:val="22"/>
      </w:rPr>
      <w:tab/>
      <w:t>CJ</w:t>
    </w:r>
  </w:p>
  <w:p w14:paraId="6E8CDA02"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Gordon</w:t>
    </w:r>
    <w:r w:rsidRPr="00192A62">
      <w:rPr>
        <w:rFonts w:ascii="Times New Roman" w:hAnsi="Times New Roman"/>
        <w:i/>
        <w:sz w:val="22"/>
      </w:rPr>
      <w:tab/>
      <w:t>J</w:t>
    </w:r>
  </w:p>
  <w:p w14:paraId="2C947FD4"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Steward</w:t>
    </w:r>
    <w:r w:rsidRPr="00192A62">
      <w:rPr>
        <w:rFonts w:ascii="Times New Roman" w:hAnsi="Times New Roman"/>
        <w:i/>
        <w:sz w:val="22"/>
      </w:rPr>
      <w:tab/>
      <w:t>J</w:t>
    </w:r>
  </w:p>
  <w:p w14:paraId="57F8C0A8"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Gleeson</w:t>
    </w:r>
    <w:r w:rsidRPr="00192A62">
      <w:rPr>
        <w:rFonts w:ascii="Times New Roman" w:hAnsi="Times New Roman"/>
        <w:i/>
        <w:sz w:val="22"/>
      </w:rPr>
      <w:tab/>
      <w:t>J</w:t>
    </w:r>
  </w:p>
  <w:p w14:paraId="7D03C24C"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Jagot</w:t>
    </w:r>
    <w:r w:rsidRPr="00192A62">
      <w:rPr>
        <w:rFonts w:ascii="Times New Roman" w:hAnsi="Times New Roman"/>
        <w:i/>
        <w:sz w:val="22"/>
      </w:rPr>
      <w:tab/>
      <w:t>J</w:t>
    </w:r>
  </w:p>
  <w:p w14:paraId="1441D293" w14:textId="77777777" w:rsidR="005F7663"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C3819B5" w14:textId="77777777" w:rsidR="005F7663" w:rsidRDefault="005F7663" w:rsidP="00192A62">
    <w:pPr>
      <w:pStyle w:val="Header"/>
      <w:tabs>
        <w:tab w:val="clear" w:pos="4153"/>
        <w:tab w:val="clear" w:pos="8306"/>
        <w:tab w:val="right" w:pos="1304"/>
      </w:tabs>
      <w:spacing w:line="280" w:lineRule="exact"/>
      <w:ind w:firstLine="0"/>
      <w:rPr>
        <w:rFonts w:ascii="Times New Roman" w:hAnsi="Times New Roman"/>
        <w:i/>
        <w:sz w:val="22"/>
      </w:rPr>
    </w:pPr>
  </w:p>
  <w:p w14:paraId="4F3F1975" w14:textId="77777777" w:rsidR="005F7663" w:rsidRDefault="005F7663" w:rsidP="00192A62">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2C07C23" w14:textId="77777777" w:rsidR="005F7663" w:rsidRPr="00192A62" w:rsidRDefault="005F7663" w:rsidP="00192A62">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41D"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Gageler</w:t>
    </w:r>
    <w:r w:rsidRPr="00192A62">
      <w:rPr>
        <w:rFonts w:ascii="Times New Roman" w:hAnsi="Times New Roman"/>
        <w:i/>
        <w:sz w:val="22"/>
      </w:rPr>
      <w:tab/>
      <w:t>CJ</w:t>
    </w:r>
  </w:p>
  <w:p w14:paraId="4974B57A"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Gordon</w:t>
    </w:r>
    <w:r w:rsidRPr="00192A62">
      <w:rPr>
        <w:rFonts w:ascii="Times New Roman" w:hAnsi="Times New Roman"/>
        <w:i/>
        <w:sz w:val="22"/>
      </w:rPr>
      <w:tab/>
      <w:t>J</w:t>
    </w:r>
  </w:p>
  <w:p w14:paraId="1D62D41A"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Steward</w:t>
    </w:r>
    <w:r w:rsidRPr="00192A62">
      <w:rPr>
        <w:rFonts w:ascii="Times New Roman" w:hAnsi="Times New Roman"/>
        <w:i/>
        <w:sz w:val="22"/>
      </w:rPr>
      <w:tab/>
      <w:t>J</w:t>
    </w:r>
  </w:p>
  <w:p w14:paraId="736FA78F"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Gleeson</w:t>
    </w:r>
    <w:r w:rsidRPr="00192A62">
      <w:rPr>
        <w:rFonts w:ascii="Times New Roman" w:hAnsi="Times New Roman"/>
        <w:i/>
        <w:sz w:val="22"/>
      </w:rPr>
      <w:tab/>
      <w:t>J</w:t>
    </w:r>
  </w:p>
  <w:p w14:paraId="1D7C090B"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Jagot</w:t>
    </w:r>
    <w:r w:rsidRPr="00192A62">
      <w:rPr>
        <w:rFonts w:ascii="Times New Roman" w:hAnsi="Times New Roman"/>
        <w:i/>
        <w:sz w:val="22"/>
      </w:rPr>
      <w:tab/>
      <w:t>J</w:t>
    </w:r>
  </w:p>
  <w:p w14:paraId="3A73BAA5" w14:textId="77777777" w:rsidR="005F7663"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4CC2902" w14:textId="77777777" w:rsidR="005F7663"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p>
  <w:p w14:paraId="274DD5C5" w14:textId="77777777" w:rsidR="005F7663" w:rsidRDefault="005F7663" w:rsidP="00192A62">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00EA833" w14:textId="77777777" w:rsidR="005F7663" w:rsidRPr="00192A62" w:rsidRDefault="005F7663" w:rsidP="00192A62">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332E"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F302FE5"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06AA4946"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DC9B72E"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E8534C1"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6745B02B"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77845C93"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2BE07661"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5D2A2E32" w14:textId="77777777" w:rsidR="005F7663" w:rsidRPr="00192A62"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4BC7" w14:textId="77777777" w:rsidR="00233B7D" w:rsidRDefault="00000000" w:rsidP="001C7E7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245701C3" w14:textId="77777777" w:rsidR="00233B7D" w:rsidRDefault="00233B7D" w:rsidP="001C7E7B">
    <w:pPr>
      <w:pStyle w:val="Header"/>
      <w:tabs>
        <w:tab w:val="clear" w:pos="4153"/>
        <w:tab w:val="clear" w:pos="8306"/>
        <w:tab w:val="right" w:pos="1304"/>
      </w:tabs>
      <w:spacing w:line="280" w:lineRule="exact"/>
      <w:ind w:firstLine="0"/>
      <w:rPr>
        <w:rFonts w:ascii="Times New Roman" w:hAnsi="Times New Roman"/>
        <w:i/>
        <w:sz w:val="22"/>
      </w:rPr>
    </w:pPr>
  </w:p>
  <w:p w14:paraId="38EB61F8" w14:textId="77777777" w:rsidR="00233B7D" w:rsidRDefault="00000000" w:rsidP="001C7E7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91A2F8D" w14:textId="77777777" w:rsidR="00233B7D" w:rsidRPr="001C7E7B" w:rsidRDefault="00233B7D" w:rsidP="001C7E7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04E5" w14:textId="77777777" w:rsidR="00233B7D" w:rsidRDefault="00000000" w:rsidP="001C7E7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323F893A" w14:textId="77777777" w:rsidR="00233B7D" w:rsidRDefault="00233B7D" w:rsidP="001C7E7B">
    <w:pPr>
      <w:pStyle w:val="Header"/>
      <w:tabs>
        <w:tab w:val="clear" w:pos="4153"/>
        <w:tab w:val="clear" w:pos="8306"/>
        <w:tab w:val="left" w:pos="7200"/>
        <w:tab w:val="right" w:pos="8504"/>
      </w:tabs>
      <w:spacing w:line="280" w:lineRule="exact"/>
      <w:jc w:val="right"/>
      <w:rPr>
        <w:rFonts w:ascii="Times New Roman" w:hAnsi="Times New Roman"/>
        <w:i/>
        <w:sz w:val="22"/>
      </w:rPr>
    </w:pPr>
  </w:p>
  <w:p w14:paraId="4A804D36" w14:textId="77777777" w:rsidR="00233B7D" w:rsidRDefault="00000000" w:rsidP="001C7E7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71EF3F9" w14:textId="77777777" w:rsidR="00233B7D" w:rsidRPr="001C7E7B" w:rsidRDefault="00233B7D" w:rsidP="001C7E7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8BDA"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6E3E01A2"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5BD1A314"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146A2098" w14:textId="77777777" w:rsidR="00233B7D" w:rsidRPr="001C7E7B"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DE"/>
    <w:rsid w:val="00002063"/>
    <w:rsid w:val="00002069"/>
    <w:rsid w:val="00002CE6"/>
    <w:rsid w:val="0000316A"/>
    <w:rsid w:val="000049B7"/>
    <w:rsid w:val="00010AB8"/>
    <w:rsid w:val="00010DD6"/>
    <w:rsid w:val="00013593"/>
    <w:rsid w:val="000141CA"/>
    <w:rsid w:val="0001498E"/>
    <w:rsid w:val="00014B34"/>
    <w:rsid w:val="000168C9"/>
    <w:rsid w:val="00016C20"/>
    <w:rsid w:val="00016DBB"/>
    <w:rsid w:val="00017144"/>
    <w:rsid w:val="00022A53"/>
    <w:rsid w:val="000250AF"/>
    <w:rsid w:val="00025490"/>
    <w:rsid w:val="0002561E"/>
    <w:rsid w:val="000268E1"/>
    <w:rsid w:val="00026A25"/>
    <w:rsid w:val="00032F64"/>
    <w:rsid w:val="0003504F"/>
    <w:rsid w:val="00035709"/>
    <w:rsid w:val="0003575A"/>
    <w:rsid w:val="000360EB"/>
    <w:rsid w:val="00037459"/>
    <w:rsid w:val="00037A5F"/>
    <w:rsid w:val="00037D87"/>
    <w:rsid w:val="00042EF3"/>
    <w:rsid w:val="00043D2C"/>
    <w:rsid w:val="00043E4B"/>
    <w:rsid w:val="00046170"/>
    <w:rsid w:val="00046812"/>
    <w:rsid w:val="00046BE5"/>
    <w:rsid w:val="00055ACD"/>
    <w:rsid w:val="00056F27"/>
    <w:rsid w:val="000573AF"/>
    <w:rsid w:val="0006169E"/>
    <w:rsid w:val="000626FD"/>
    <w:rsid w:val="0006432B"/>
    <w:rsid w:val="000653D4"/>
    <w:rsid w:val="0006677E"/>
    <w:rsid w:val="00071C35"/>
    <w:rsid w:val="00075F50"/>
    <w:rsid w:val="00080D77"/>
    <w:rsid w:val="000817D3"/>
    <w:rsid w:val="0008435D"/>
    <w:rsid w:val="0008558C"/>
    <w:rsid w:val="00085B98"/>
    <w:rsid w:val="00085F13"/>
    <w:rsid w:val="00086200"/>
    <w:rsid w:val="00090AD2"/>
    <w:rsid w:val="00091D4A"/>
    <w:rsid w:val="00092B2C"/>
    <w:rsid w:val="00093399"/>
    <w:rsid w:val="00095CAB"/>
    <w:rsid w:val="00097589"/>
    <w:rsid w:val="000A28D4"/>
    <w:rsid w:val="000A2EB4"/>
    <w:rsid w:val="000A3AF3"/>
    <w:rsid w:val="000A3DA3"/>
    <w:rsid w:val="000A63C6"/>
    <w:rsid w:val="000B0A66"/>
    <w:rsid w:val="000B1840"/>
    <w:rsid w:val="000B2043"/>
    <w:rsid w:val="000B3F21"/>
    <w:rsid w:val="000B3F3E"/>
    <w:rsid w:val="000B4630"/>
    <w:rsid w:val="000B497F"/>
    <w:rsid w:val="000B710D"/>
    <w:rsid w:val="000B7558"/>
    <w:rsid w:val="000B7637"/>
    <w:rsid w:val="000C04DC"/>
    <w:rsid w:val="000C0D98"/>
    <w:rsid w:val="000C36AA"/>
    <w:rsid w:val="000D25E6"/>
    <w:rsid w:val="000D53C8"/>
    <w:rsid w:val="000D575E"/>
    <w:rsid w:val="000E03B3"/>
    <w:rsid w:val="000E19E4"/>
    <w:rsid w:val="000E2962"/>
    <w:rsid w:val="000E4073"/>
    <w:rsid w:val="000E4150"/>
    <w:rsid w:val="000E5CF5"/>
    <w:rsid w:val="000E65F7"/>
    <w:rsid w:val="000E6F8A"/>
    <w:rsid w:val="000F1345"/>
    <w:rsid w:val="000F3BB3"/>
    <w:rsid w:val="000F4A8D"/>
    <w:rsid w:val="000F4E3D"/>
    <w:rsid w:val="000F5EBB"/>
    <w:rsid w:val="000F649C"/>
    <w:rsid w:val="001001B9"/>
    <w:rsid w:val="00101759"/>
    <w:rsid w:val="00102103"/>
    <w:rsid w:val="00102254"/>
    <w:rsid w:val="001045EF"/>
    <w:rsid w:val="00104C9B"/>
    <w:rsid w:val="00105B24"/>
    <w:rsid w:val="0010702C"/>
    <w:rsid w:val="00107D01"/>
    <w:rsid w:val="00110393"/>
    <w:rsid w:val="00110970"/>
    <w:rsid w:val="00111568"/>
    <w:rsid w:val="001120C0"/>
    <w:rsid w:val="001150BF"/>
    <w:rsid w:val="00115EB0"/>
    <w:rsid w:val="00115FCB"/>
    <w:rsid w:val="001168F2"/>
    <w:rsid w:val="00120207"/>
    <w:rsid w:val="00121396"/>
    <w:rsid w:val="001221C7"/>
    <w:rsid w:val="00123C1B"/>
    <w:rsid w:val="00125C1D"/>
    <w:rsid w:val="00125E3C"/>
    <w:rsid w:val="00126621"/>
    <w:rsid w:val="00126CC5"/>
    <w:rsid w:val="00127D2C"/>
    <w:rsid w:val="00127D43"/>
    <w:rsid w:val="00130260"/>
    <w:rsid w:val="00130484"/>
    <w:rsid w:val="00132693"/>
    <w:rsid w:val="00133224"/>
    <w:rsid w:val="00133E7E"/>
    <w:rsid w:val="00134193"/>
    <w:rsid w:val="0013456F"/>
    <w:rsid w:val="00134D8A"/>
    <w:rsid w:val="00135820"/>
    <w:rsid w:val="00142072"/>
    <w:rsid w:val="00142D86"/>
    <w:rsid w:val="00143FCB"/>
    <w:rsid w:val="00144FEF"/>
    <w:rsid w:val="00145627"/>
    <w:rsid w:val="00146A41"/>
    <w:rsid w:val="0015031C"/>
    <w:rsid w:val="00151679"/>
    <w:rsid w:val="00152508"/>
    <w:rsid w:val="0015318E"/>
    <w:rsid w:val="0015766E"/>
    <w:rsid w:val="00160ECC"/>
    <w:rsid w:val="00163D92"/>
    <w:rsid w:val="00163F73"/>
    <w:rsid w:val="00164144"/>
    <w:rsid w:val="001708DE"/>
    <w:rsid w:val="00170ACE"/>
    <w:rsid w:val="00171CC7"/>
    <w:rsid w:val="001725C4"/>
    <w:rsid w:val="00172ADE"/>
    <w:rsid w:val="00174651"/>
    <w:rsid w:val="00175703"/>
    <w:rsid w:val="001758DE"/>
    <w:rsid w:val="00176D25"/>
    <w:rsid w:val="001810CB"/>
    <w:rsid w:val="00182625"/>
    <w:rsid w:val="00183291"/>
    <w:rsid w:val="0018342E"/>
    <w:rsid w:val="001840C2"/>
    <w:rsid w:val="00184B46"/>
    <w:rsid w:val="00185939"/>
    <w:rsid w:val="001862EF"/>
    <w:rsid w:val="001876F6"/>
    <w:rsid w:val="00187F9D"/>
    <w:rsid w:val="00191967"/>
    <w:rsid w:val="00191E23"/>
    <w:rsid w:val="001922B2"/>
    <w:rsid w:val="00192A62"/>
    <w:rsid w:val="001941A5"/>
    <w:rsid w:val="00194570"/>
    <w:rsid w:val="001953B1"/>
    <w:rsid w:val="00195D73"/>
    <w:rsid w:val="001963C0"/>
    <w:rsid w:val="00197956"/>
    <w:rsid w:val="001A1066"/>
    <w:rsid w:val="001A1177"/>
    <w:rsid w:val="001A13DB"/>
    <w:rsid w:val="001A3952"/>
    <w:rsid w:val="001A409D"/>
    <w:rsid w:val="001A446E"/>
    <w:rsid w:val="001B0451"/>
    <w:rsid w:val="001B0914"/>
    <w:rsid w:val="001B1676"/>
    <w:rsid w:val="001B17A8"/>
    <w:rsid w:val="001B2389"/>
    <w:rsid w:val="001B373A"/>
    <w:rsid w:val="001B3C4E"/>
    <w:rsid w:val="001B440C"/>
    <w:rsid w:val="001B55C8"/>
    <w:rsid w:val="001B63C6"/>
    <w:rsid w:val="001C0BF3"/>
    <w:rsid w:val="001C2605"/>
    <w:rsid w:val="001C3804"/>
    <w:rsid w:val="001C48D4"/>
    <w:rsid w:val="001C5367"/>
    <w:rsid w:val="001C6725"/>
    <w:rsid w:val="001C70A8"/>
    <w:rsid w:val="001C73C3"/>
    <w:rsid w:val="001C7C23"/>
    <w:rsid w:val="001C7C93"/>
    <w:rsid w:val="001D0156"/>
    <w:rsid w:val="001D25D8"/>
    <w:rsid w:val="001D36CD"/>
    <w:rsid w:val="001D420A"/>
    <w:rsid w:val="001D4B81"/>
    <w:rsid w:val="001D4EBE"/>
    <w:rsid w:val="001D4F49"/>
    <w:rsid w:val="001D7982"/>
    <w:rsid w:val="001E1B4E"/>
    <w:rsid w:val="001E1D3D"/>
    <w:rsid w:val="001E2BF1"/>
    <w:rsid w:val="001E47D1"/>
    <w:rsid w:val="001E4BAC"/>
    <w:rsid w:val="001E6A64"/>
    <w:rsid w:val="001E75C5"/>
    <w:rsid w:val="001F1B5F"/>
    <w:rsid w:val="001F3F2A"/>
    <w:rsid w:val="001F43D0"/>
    <w:rsid w:val="001F69C2"/>
    <w:rsid w:val="00201FA3"/>
    <w:rsid w:val="00202305"/>
    <w:rsid w:val="00202C1B"/>
    <w:rsid w:val="002048D1"/>
    <w:rsid w:val="00204EEC"/>
    <w:rsid w:val="00205853"/>
    <w:rsid w:val="002079CB"/>
    <w:rsid w:val="0021096E"/>
    <w:rsid w:val="00210DE8"/>
    <w:rsid w:val="00211407"/>
    <w:rsid w:val="00211D73"/>
    <w:rsid w:val="00212A3E"/>
    <w:rsid w:val="00214BF2"/>
    <w:rsid w:val="00215A7F"/>
    <w:rsid w:val="00216522"/>
    <w:rsid w:val="00216A03"/>
    <w:rsid w:val="002216DD"/>
    <w:rsid w:val="00221CD2"/>
    <w:rsid w:val="00221D19"/>
    <w:rsid w:val="0022666B"/>
    <w:rsid w:val="0022734D"/>
    <w:rsid w:val="00227B55"/>
    <w:rsid w:val="00227BC7"/>
    <w:rsid w:val="00231C06"/>
    <w:rsid w:val="0023270A"/>
    <w:rsid w:val="00232DC8"/>
    <w:rsid w:val="00233B7D"/>
    <w:rsid w:val="002342F2"/>
    <w:rsid w:val="0023447F"/>
    <w:rsid w:val="002350B3"/>
    <w:rsid w:val="0023798E"/>
    <w:rsid w:val="00242EE4"/>
    <w:rsid w:val="00243FEC"/>
    <w:rsid w:val="0024462E"/>
    <w:rsid w:val="00245311"/>
    <w:rsid w:val="002474FA"/>
    <w:rsid w:val="002477AB"/>
    <w:rsid w:val="00253493"/>
    <w:rsid w:val="00253DBF"/>
    <w:rsid w:val="00253DE9"/>
    <w:rsid w:val="00256476"/>
    <w:rsid w:val="00256999"/>
    <w:rsid w:val="00257AFB"/>
    <w:rsid w:val="00260CCB"/>
    <w:rsid w:val="0026293D"/>
    <w:rsid w:val="00262F04"/>
    <w:rsid w:val="00265982"/>
    <w:rsid w:val="002679CB"/>
    <w:rsid w:val="00267C8A"/>
    <w:rsid w:val="00267E6F"/>
    <w:rsid w:val="00270154"/>
    <w:rsid w:val="0027089C"/>
    <w:rsid w:val="00271F70"/>
    <w:rsid w:val="00273109"/>
    <w:rsid w:val="0027408B"/>
    <w:rsid w:val="00275EDD"/>
    <w:rsid w:val="00275FBD"/>
    <w:rsid w:val="00276B56"/>
    <w:rsid w:val="00277E20"/>
    <w:rsid w:val="00280F46"/>
    <w:rsid w:val="002819FD"/>
    <w:rsid w:val="002832EB"/>
    <w:rsid w:val="00284B0C"/>
    <w:rsid w:val="0028583A"/>
    <w:rsid w:val="00285D42"/>
    <w:rsid w:val="00287368"/>
    <w:rsid w:val="002876C2"/>
    <w:rsid w:val="00287873"/>
    <w:rsid w:val="002916CC"/>
    <w:rsid w:val="0029278C"/>
    <w:rsid w:val="00292E65"/>
    <w:rsid w:val="0029697C"/>
    <w:rsid w:val="0029743B"/>
    <w:rsid w:val="002979F1"/>
    <w:rsid w:val="00297BF9"/>
    <w:rsid w:val="002A00E5"/>
    <w:rsid w:val="002A02C8"/>
    <w:rsid w:val="002A111C"/>
    <w:rsid w:val="002A13E1"/>
    <w:rsid w:val="002A1685"/>
    <w:rsid w:val="002A3248"/>
    <w:rsid w:val="002A3F2E"/>
    <w:rsid w:val="002A684F"/>
    <w:rsid w:val="002B0587"/>
    <w:rsid w:val="002B0846"/>
    <w:rsid w:val="002B1304"/>
    <w:rsid w:val="002B2645"/>
    <w:rsid w:val="002B3EE2"/>
    <w:rsid w:val="002B54C2"/>
    <w:rsid w:val="002B5760"/>
    <w:rsid w:val="002C1B60"/>
    <w:rsid w:val="002C1EDE"/>
    <w:rsid w:val="002C3019"/>
    <w:rsid w:val="002C395F"/>
    <w:rsid w:val="002C5981"/>
    <w:rsid w:val="002C63B1"/>
    <w:rsid w:val="002C7307"/>
    <w:rsid w:val="002D0410"/>
    <w:rsid w:val="002D0899"/>
    <w:rsid w:val="002D1707"/>
    <w:rsid w:val="002D17E2"/>
    <w:rsid w:val="002D1F04"/>
    <w:rsid w:val="002D3573"/>
    <w:rsid w:val="002D3F5B"/>
    <w:rsid w:val="002D4DF1"/>
    <w:rsid w:val="002E0EC8"/>
    <w:rsid w:val="002E278F"/>
    <w:rsid w:val="002E29A9"/>
    <w:rsid w:val="002E35C2"/>
    <w:rsid w:val="002E3B4D"/>
    <w:rsid w:val="002E3DF4"/>
    <w:rsid w:val="002E5B92"/>
    <w:rsid w:val="002F0522"/>
    <w:rsid w:val="002F0734"/>
    <w:rsid w:val="002F2ECC"/>
    <w:rsid w:val="002F5B6A"/>
    <w:rsid w:val="0030026A"/>
    <w:rsid w:val="00300BCD"/>
    <w:rsid w:val="00301975"/>
    <w:rsid w:val="003037BD"/>
    <w:rsid w:val="00304F4A"/>
    <w:rsid w:val="0030542C"/>
    <w:rsid w:val="00310418"/>
    <w:rsid w:val="00310CFE"/>
    <w:rsid w:val="00311A66"/>
    <w:rsid w:val="00312365"/>
    <w:rsid w:val="00312FFC"/>
    <w:rsid w:val="003150BF"/>
    <w:rsid w:val="003150CE"/>
    <w:rsid w:val="00315E92"/>
    <w:rsid w:val="00316B16"/>
    <w:rsid w:val="00316F30"/>
    <w:rsid w:val="00317746"/>
    <w:rsid w:val="00320744"/>
    <w:rsid w:val="00322154"/>
    <w:rsid w:val="0032235C"/>
    <w:rsid w:val="00322994"/>
    <w:rsid w:val="00323B9E"/>
    <w:rsid w:val="003245B4"/>
    <w:rsid w:val="00325390"/>
    <w:rsid w:val="00327A7A"/>
    <w:rsid w:val="00330804"/>
    <w:rsid w:val="003318B8"/>
    <w:rsid w:val="00334A6B"/>
    <w:rsid w:val="00335B32"/>
    <w:rsid w:val="003366B2"/>
    <w:rsid w:val="00336DF9"/>
    <w:rsid w:val="003376F7"/>
    <w:rsid w:val="00340066"/>
    <w:rsid w:val="003401C7"/>
    <w:rsid w:val="00340EF4"/>
    <w:rsid w:val="0034122D"/>
    <w:rsid w:val="0034228A"/>
    <w:rsid w:val="0034240C"/>
    <w:rsid w:val="0034288B"/>
    <w:rsid w:val="0034332B"/>
    <w:rsid w:val="00343EF3"/>
    <w:rsid w:val="0034488B"/>
    <w:rsid w:val="0034681C"/>
    <w:rsid w:val="00347EBE"/>
    <w:rsid w:val="00347FD5"/>
    <w:rsid w:val="00354528"/>
    <w:rsid w:val="003600A8"/>
    <w:rsid w:val="0036284D"/>
    <w:rsid w:val="00362F46"/>
    <w:rsid w:val="00363FE4"/>
    <w:rsid w:val="003651EE"/>
    <w:rsid w:val="00365588"/>
    <w:rsid w:val="00366524"/>
    <w:rsid w:val="0036685E"/>
    <w:rsid w:val="00366CBA"/>
    <w:rsid w:val="00372955"/>
    <w:rsid w:val="00373E58"/>
    <w:rsid w:val="00374C19"/>
    <w:rsid w:val="00376073"/>
    <w:rsid w:val="00377452"/>
    <w:rsid w:val="00381223"/>
    <w:rsid w:val="00381849"/>
    <w:rsid w:val="003823A0"/>
    <w:rsid w:val="00383360"/>
    <w:rsid w:val="00384F36"/>
    <w:rsid w:val="00385271"/>
    <w:rsid w:val="00385D1F"/>
    <w:rsid w:val="00387DA2"/>
    <w:rsid w:val="0039226E"/>
    <w:rsid w:val="00392415"/>
    <w:rsid w:val="00392CC8"/>
    <w:rsid w:val="00393C1E"/>
    <w:rsid w:val="00397708"/>
    <w:rsid w:val="003A2017"/>
    <w:rsid w:val="003A2AD6"/>
    <w:rsid w:val="003A3218"/>
    <w:rsid w:val="003A39EE"/>
    <w:rsid w:val="003A410F"/>
    <w:rsid w:val="003A480B"/>
    <w:rsid w:val="003A48CC"/>
    <w:rsid w:val="003A72EF"/>
    <w:rsid w:val="003A7B1D"/>
    <w:rsid w:val="003A7E21"/>
    <w:rsid w:val="003B2C71"/>
    <w:rsid w:val="003B414F"/>
    <w:rsid w:val="003B4EED"/>
    <w:rsid w:val="003B6B2C"/>
    <w:rsid w:val="003C171D"/>
    <w:rsid w:val="003C1E6A"/>
    <w:rsid w:val="003C266A"/>
    <w:rsid w:val="003C298A"/>
    <w:rsid w:val="003C535D"/>
    <w:rsid w:val="003C57CC"/>
    <w:rsid w:val="003C602A"/>
    <w:rsid w:val="003C7A41"/>
    <w:rsid w:val="003D1759"/>
    <w:rsid w:val="003D17F4"/>
    <w:rsid w:val="003D1896"/>
    <w:rsid w:val="003D3B14"/>
    <w:rsid w:val="003D5371"/>
    <w:rsid w:val="003D62F7"/>
    <w:rsid w:val="003D6C95"/>
    <w:rsid w:val="003E0371"/>
    <w:rsid w:val="003E1035"/>
    <w:rsid w:val="003E17F2"/>
    <w:rsid w:val="003E19F7"/>
    <w:rsid w:val="003E1EB2"/>
    <w:rsid w:val="003E233F"/>
    <w:rsid w:val="003E492C"/>
    <w:rsid w:val="003E6F55"/>
    <w:rsid w:val="003E710D"/>
    <w:rsid w:val="003E7A9C"/>
    <w:rsid w:val="003F0420"/>
    <w:rsid w:val="003F1647"/>
    <w:rsid w:val="003F1A49"/>
    <w:rsid w:val="003F328F"/>
    <w:rsid w:val="003F531A"/>
    <w:rsid w:val="003F6DE9"/>
    <w:rsid w:val="003F7C9E"/>
    <w:rsid w:val="00400CF1"/>
    <w:rsid w:val="00401E7F"/>
    <w:rsid w:val="004025E8"/>
    <w:rsid w:val="00402768"/>
    <w:rsid w:val="00404322"/>
    <w:rsid w:val="00404C36"/>
    <w:rsid w:val="00404FB5"/>
    <w:rsid w:val="00405E0C"/>
    <w:rsid w:val="00405E5C"/>
    <w:rsid w:val="00406795"/>
    <w:rsid w:val="00406F38"/>
    <w:rsid w:val="00407109"/>
    <w:rsid w:val="004107CA"/>
    <w:rsid w:val="00410B6F"/>
    <w:rsid w:val="004111BC"/>
    <w:rsid w:val="004114CB"/>
    <w:rsid w:val="00411F1C"/>
    <w:rsid w:val="004125F4"/>
    <w:rsid w:val="004126D4"/>
    <w:rsid w:val="00414703"/>
    <w:rsid w:val="00415D2B"/>
    <w:rsid w:val="00415F8A"/>
    <w:rsid w:val="00416142"/>
    <w:rsid w:val="00416C0A"/>
    <w:rsid w:val="0042172C"/>
    <w:rsid w:val="00421941"/>
    <w:rsid w:val="00421D36"/>
    <w:rsid w:val="00423B10"/>
    <w:rsid w:val="00423E8C"/>
    <w:rsid w:val="00424AA9"/>
    <w:rsid w:val="00424DE2"/>
    <w:rsid w:val="00425426"/>
    <w:rsid w:val="00425ABA"/>
    <w:rsid w:val="00426111"/>
    <w:rsid w:val="00427223"/>
    <w:rsid w:val="004315CF"/>
    <w:rsid w:val="00432528"/>
    <w:rsid w:val="00432836"/>
    <w:rsid w:val="0043293A"/>
    <w:rsid w:val="00434015"/>
    <w:rsid w:val="00434E9E"/>
    <w:rsid w:val="0043700C"/>
    <w:rsid w:val="004373D1"/>
    <w:rsid w:val="0043778D"/>
    <w:rsid w:val="004410CB"/>
    <w:rsid w:val="00441FE0"/>
    <w:rsid w:val="00442177"/>
    <w:rsid w:val="0044228B"/>
    <w:rsid w:val="00442617"/>
    <w:rsid w:val="0044302C"/>
    <w:rsid w:val="00444752"/>
    <w:rsid w:val="004454C2"/>
    <w:rsid w:val="00445BA6"/>
    <w:rsid w:val="00447347"/>
    <w:rsid w:val="004473BF"/>
    <w:rsid w:val="00447F33"/>
    <w:rsid w:val="0045058F"/>
    <w:rsid w:val="00450A27"/>
    <w:rsid w:val="00451EC2"/>
    <w:rsid w:val="00451EFF"/>
    <w:rsid w:val="004578DD"/>
    <w:rsid w:val="00461575"/>
    <w:rsid w:val="004619E6"/>
    <w:rsid w:val="00462F37"/>
    <w:rsid w:val="00463357"/>
    <w:rsid w:val="00463A04"/>
    <w:rsid w:val="00465255"/>
    <w:rsid w:val="00465D65"/>
    <w:rsid w:val="004669AD"/>
    <w:rsid w:val="00466C06"/>
    <w:rsid w:val="00473718"/>
    <w:rsid w:val="00473869"/>
    <w:rsid w:val="0047410E"/>
    <w:rsid w:val="0047618E"/>
    <w:rsid w:val="00476C01"/>
    <w:rsid w:val="0048054A"/>
    <w:rsid w:val="004818E8"/>
    <w:rsid w:val="00481CAF"/>
    <w:rsid w:val="00482D6C"/>
    <w:rsid w:val="00482F67"/>
    <w:rsid w:val="00483006"/>
    <w:rsid w:val="00484915"/>
    <w:rsid w:val="00484C49"/>
    <w:rsid w:val="00485961"/>
    <w:rsid w:val="00487387"/>
    <w:rsid w:val="00490E50"/>
    <w:rsid w:val="0049122B"/>
    <w:rsid w:val="004919FD"/>
    <w:rsid w:val="00492A8F"/>
    <w:rsid w:val="0049424F"/>
    <w:rsid w:val="004966BE"/>
    <w:rsid w:val="004970D2"/>
    <w:rsid w:val="004A06FC"/>
    <w:rsid w:val="004A0A6E"/>
    <w:rsid w:val="004A132C"/>
    <w:rsid w:val="004A26E5"/>
    <w:rsid w:val="004A2B6D"/>
    <w:rsid w:val="004A306E"/>
    <w:rsid w:val="004A4543"/>
    <w:rsid w:val="004B25CA"/>
    <w:rsid w:val="004B26D9"/>
    <w:rsid w:val="004B2C5E"/>
    <w:rsid w:val="004B5DC0"/>
    <w:rsid w:val="004B69EE"/>
    <w:rsid w:val="004B774B"/>
    <w:rsid w:val="004C4629"/>
    <w:rsid w:val="004C47BC"/>
    <w:rsid w:val="004C4B71"/>
    <w:rsid w:val="004C6999"/>
    <w:rsid w:val="004C7695"/>
    <w:rsid w:val="004D0050"/>
    <w:rsid w:val="004D087E"/>
    <w:rsid w:val="004D0AEE"/>
    <w:rsid w:val="004D19DB"/>
    <w:rsid w:val="004D1E88"/>
    <w:rsid w:val="004D3CD7"/>
    <w:rsid w:val="004D58DE"/>
    <w:rsid w:val="004D63E2"/>
    <w:rsid w:val="004E10DD"/>
    <w:rsid w:val="004E3F30"/>
    <w:rsid w:val="004E4671"/>
    <w:rsid w:val="004E46F8"/>
    <w:rsid w:val="004E50C8"/>
    <w:rsid w:val="004E55AB"/>
    <w:rsid w:val="004E653E"/>
    <w:rsid w:val="004E65F5"/>
    <w:rsid w:val="004F0FD9"/>
    <w:rsid w:val="004F1CA3"/>
    <w:rsid w:val="004F293C"/>
    <w:rsid w:val="004F2D77"/>
    <w:rsid w:val="004F3C00"/>
    <w:rsid w:val="004F3E28"/>
    <w:rsid w:val="004F476D"/>
    <w:rsid w:val="004F4AC6"/>
    <w:rsid w:val="004F53D4"/>
    <w:rsid w:val="004F621F"/>
    <w:rsid w:val="00500BCB"/>
    <w:rsid w:val="00502317"/>
    <w:rsid w:val="00502487"/>
    <w:rsid w:val="00502EAE"/>
    <w:rsid w:val="00503A1B"/>
    <w:rsid w:val="0050500F"/>
    <w:rsid w:val="00505279"/>
    <w:rsid w:val="0050585D"/>
    <w:rsid w:val="005063E1"/>
    <w:rsid w:val="00506F6D"/>
    <w:rsid w:val="00507CC5"/>
    <w:rsid w:val="0051239B"/>
    <w:rsid w:val="005137EA"/>
    <w:rsid w:val="00514189"/>
    <w:rsid w:val="00514342"/>
    <w:rsid w:val="005147DE"/>
    <w:rsid w:val="0051539C"/>
    <w:rsid w:val="00516BBB"/>
    <w:rsid w:val="00521FBA"/>
    <w:rsid w:val="00522BC6"/>
    <w:rsid w:val="00523027"/>
    <w:rsid w:val="00523E83"/>
    <w:rsid w:val="005248BB"/>
    <w:rsid w:val="00524A48"/>
    <w:rsid w:val="005308A5"/>
    <w:rsid w:val="00530B9F"/>
    <w:rsid w:val="005314E9"/>
    <w:rsid w:val="00531723"/>
    <w:rsid w:val="0053275E"/>
    <w:rsid w:val="0053324F"/>
    <w:rsid w:val="005348BF"/>
    <w:rsid w:val="00534954"/>
    <w:rsid w:val="00536CC2"/>
    <w:rsid w:val="00541E10"/>
    <w:rsid w:val="00541E88"/>
    <w:rsid w:val="00541EF9"/>
    <w:rsid w:val="005431CF"/>
    <w:rsid w:val="00543650"/>
    <w:rsid w:val="00543D0A"/>
    <w:rsid w:val="005441F8"/>
    <w:rsid w:val="00544EFB"/>
    <w:rsid w:val="005454F3"/>
    <w:rsid w:val="005455E5"/>
    <w:rsid w:val="00545944"/>
    <w:rsid w:val="0054611A"/>
    <w:rsid w:val="0054681B"/>
    <w:rsid w:val="0054779A"/>
    <w:rsid w:val="00547BA1"/>
    <w:rsid w:val="00552A86"/>
    <w:rsid w:val="00555B69"/>
    <w:rsid w:val="00556101"/>
    <w:rsid w:val="00557CB1"/>
    <w:rsid w:val="00560242"/>
    <w:rsid w:val="0056072C"/>
    <w:rsid w:val="0056091E"/>
    <w:rsid w:val="005609BE"/>
    <w:rsid w:val="00561371"/>
    <w:rsid w:val="0056172D"/>
    <w:rsid w:val="005635F3"/>
    <w:rsid w:val="0056411C"/>
    <w:rsid w:val="00565B4C"/>
    <w:rsid w:val="005663FF"/>
    <w:rsid w:val="00567006"/>
    <w:rsid w:val="005677E5"/>
    <w:rsid w:val="00567A75"/>
    <w:rsid w:val="00570D24"/>
    <w:rsid w:val="00572010"/>
    <w:rsid w:val="00572B6C"/>
    <w:rsid w:val="00572DD6"/>
    <w:rsid w:val="00574C1A"/>
    <w:rsid w:val="00577E4E"/>
    <w:rsid w:val="00577F54"/>
    <w:rsid w:val="00580EEB"/>
    <w:rsid w:val="00580FCF"/>
    <w:rsid w:val="00582074"/>
    <w:rsid w:val="00583673"/>
    <w:rsid w:val="005839D6"/>
    <w:rsid w:val="00583D08"/>
    <w:rsid w:val="00584523"/>
    <w:rsid w:val="00584937"/>
    <w:rsid w:val="00584D7D"/>
    <w:rsid w:val="00587BBB"/>
    <w:rsid w:val="00587BE7"/>
    <w:rsid w:val="00587CBC"/>
    <w:rsid w:val="005924AE"/>
    <w:rsid w:val="0059255E"/>
    <w:rsid w:val="005942B2"/>
    <w:rsid w:val="00595DF1"/>
    <w:rsid w:val="0059640A"/>
    <w:rsid w:val="00596524"/>
    <w:rsid w:val="00597282"/>
    <w:rsid w:val="00597D35"/>
    <w:rsid w:val="005A0212"/>
    <w:rsid w:val="005A0295"/>
    <w:rsid w:val="005A4A36"/>
    <w:rsid w:val="005A5587"/>
    <w:rsid w:val="005A6935"/>
    <w:rsid w:val="005A6C58"/>
    <w:rsid w:val="005A6D6D"/>
    <w:rsid w:val="005A7264"/>
    <w:rsid w:val="005B0212"/>
    <w:rsid w:val="005B1601"/>
    <w:rsid w:val="005B1B45"/>
    <w:rsid w:val="005B3EF2"/>
    <w:rsid w:val="005B4CFC"/>
    <w:rsid w:val="005B58B0"/>
    <w:rsid w:val="005B6D1E"/>
    <w:rsid w:val="005B6E0D"/>
    <w:rsid w:val="005B7879"/>
    <w:rsid w:val="005B7986"/>
    <w:rsid w:val="005C0298"/>
    <w:rsid w:val="005C0769"/>
    <w:rsid w:val="005C279C"/>
    <w:rsid w:val="005C360A"/>
    <w:rsid w:val="005C3648"/>
    <w:rsid w:val="005C3B16"/>
    <w:rsid w:val="005C639C"/>
    <w:rsid w:val="005C78AD"/>
    <w:rsid w:val="005C7EE9"/>
    <w:rsid w:val="005D221C"/>
    <w:rsid w:val="005D27D0"/>
    <w:rsid w:val="005D2A43"/>
    <w:rsid w:val="005D6EA0"/>
    <w:rsid w:val="005E310E"/>
    <w:rsid w:val="005E3188"/>
    <w:rsid w:val="005E378C"/>
    <w:rsid w:val="005E76E2"/>
    <w:rsid w:val="005E7B36"/>
    <w:rsid w:val="005F02E6"/>
    <w:rsid w:val="005F10F1"/>
    <w:rsid w:val="005F1911"/>
    <w:rsid w:val="005F2AD6"/>
    <w:rsid w:val="005F2B50"/>
    <w:rsid w:val="005F2CBA"/>
    <w:rsid w:val="005F3216"/>
    <w:rsid w:val="005F3A17"/>
    <w:rsid w:val="005F4DFE"/>
    <w:rsid w:val="005F4EF9"/>
    <w:rsid w:val="005F7663"/>
    <w:rsid w:val="006015AE"/>
    <w:rsid w:val="006017B1"/>
    <w:rsid w:val="00602269"/>
    <w:rsid w:val="0060685F"/>
    <w:rsid w:val="00607066"/>
    <w:rsid w:val="00607197"/>
    <w:rsid w:val="0060738C"/>
    <w:rsid w:val="00607846"/>
    <w:rsid w:val="00607A16"/>
    <w:rsid w:val="006109F8"/>
    <w:rsid w:val="00611A5E"/>
    <w:rsid w:val="006147EA"/>
    <w:rsid w:val="00621090"/>
    <w:rsid w:val="00621CE4"/>
    <w:rsid w:val="00623075"/>
    <w:rsid w:val="00623910"/>
    <w:rsid w:val="00624A27"/>
    <w:rsid w:val="00624D74"/>
    <w:rsid w:val="006257A7"/>
    <w:rsid w:val="0062716D"/>
    <w:rsid w:val="006277C5"/>
    <w:rsid w:val="00627AF2"/>
    <w:rsid w:val="00632F94"/>
    <w:rsid w:val="00633D0B"/>
    <w:rsid w:val="0063632F"/>
    <w:rsid w:val="00640E38"/>
    <w:rsid w:val="0064122A"/>
    <w:rsid w:val="00642C00"/>
    <w:rsid w:val="006441EF"/>
    <w:rsid w:val="00644F7C"/>
    <w:rsid w:val="00650C56"/>
    <w:rsid w:val="00652858"/>
    <w:rsid w:val="006533E0"/>
    <w:rsid w:val="006549AA"/>
    <w:rsid w:val="006558DC"/>
    <w:rsid w:val="00655C70"/>
    <w:rsid w:val="00656B27"/>
    <w:rsid w:val="00657F8B"/>
    <w:rsid w:val="00660258"/>
    <w:rsid w:val="00660401"/>
    <w:rsid w:val="006618FC"/>
    <w:rsid w:val="00663BEA"/>
    <w:rsid w:val="00663D00"/>
    <w:rsid w:val="00663E86"/>
    <w:rsid w:val="0066479B"/>
    <w:rsid w:val="00664C6E"/>
    <w:rsid w:val="00665257"/>
    <w:rsid w:val="00670257"/>
    <w:rsid w:val="00670B7D"/>
    <w:rsid w:val="00671B7E"/>
    <w:rsid w:val="006722DE"/>
    <w:rsid w:val="00674BB3"/>
    <w:rsid w:val="006767BC"/>
    <w:rsid w:val="006773CF"/>
    <w:rsid w:val="00677650"/>
    <w:rsid w:val="0068009F"/>
    <w:rsid w:val="00681D75"/>
    <w:rsid w:val="0068242E"/>
    <w:rsid w:val="00684B42"/>
    <w:rsid w:val="00684BAF"/>
    <w:rsid w:val="00691695"/>
    <w:rsid w:val="00693F1B"/>
    <w:rsid w:val="00694171"/>
    <w:rsid w:val="00694444"/>
    <w:rsid w:val="00694A6E"/>
    <w:rsid w:val="00696A67"/>
    <w:rsid w:val="00696EBB"/>
    <w:rsid w:val="006A0B7D"/>
    <w:rsid w:val="006A1F10"/>
    <w:rsid w:val="006A4D4E"/>
    <w:rsid w:val="006A67A0"/>
    <w:rsid w:val="006B08AC"/>
    <w:rsid w:val="006B417A"/>
    <w:rsid w:val="006B549A"/>
    <w:rsid w:val="006B630A"/>
    <w:rsid w:val="006B64EA"/>
    <w:rsid w:val="006B7397"/>
    <w:rsid w:val="006B7C24"/>
    <w:rsid w:val="006C03ED"/>
    <w:rsid w:val="006C1577"/>
    <w:rsid w:val="006C16D3"/>
    <w:rsid w:val="006C1A37"/>
    <w:rsid w:val="006C1C07"/>
    <w:rsid w:val="006C5ACD"/>
    <w:rsid w:val="006C6300"/>
    <w:rsid w:val="006C7541"/>
    <w:rsid w:val="006D1544"/>
    <w:rsid w:val="006D36B7"/>
    <w:rsid w:val="006D3A49"/>
    <w:rsid w:val="006D3B0F"/>
    <w:rsid w:val="006D4585"/>
    <w:rsid w:val="006D686D"/>
    <w:rsid w:val="006D7920"/>
    <w:rsid w:val="006E0645"/>
    <w:rsid w:val="006E16F1"/>
    <w:rsid w:val="006E359B"/>
    <w:rsid w:val="006E6692"/>
    <w:rsid w:val="006E75BF"/>
    <w:rsid w:val="006E75F1"/>
    <w:rsid w:val="006F09B5"/>
    <w:rsid w:val="006F0BB5"/>
    <w:rsid w:val="006F1349"/>
    <w:rsid w:val="006F201F"/>
    <w:rsid w:val="006F2C03"/>
    <w:rsid w:val="006F48B3"/>
    <w:rsid w:val="006F48B8"/>
    <w:rsid w:val="006F4ACE"/>
    <w:rsid w:val="006F553C"/>
    <w:rsid w:val="006F5585"/>
    <w:rsid w:val="006F5924"/>
    <w:rsid w:val="006F6258"/>
    <w:rsid w:val="006F65E1"/>
    <w:rsid w:val="006F6B3E"/>
    <w:rsid w:val="006F7F8E"/>
    <w:rsid w:val="007014D7"/>
    <w:rsid w:val="00701552"/>
    <w:rsid w:val="0070203B"/>
    <w:rsid w:val="00703C3E"/>
    <w:rsid w:val="00704FDE"/>
    <w:rsid w:val="00705448"/>
    <w:rsid w:val="007063C8"/>
    <w:rsid w:val="00707A01"/>
    <w:rsid w:val="007122EC"/>
    <w:rsid w:val="007136B3"/>
    <w:rsid w:val="00714504"/>
    <w:rsid w:val="00714F98"/>
    <w:rsid w:val="00715EA8"/>
    <w:rsid w:val="0071742A"/>
    <w:rsid w:val="0072200F"/>
    <w:rsid w:val="00724582"/>
    <w:rsid w:val="00730473"/>
    <w:rsid w:val="007307ED"/>
    <w:rsid w:val="00730E8F"/>
    <w:rsid w:val="00731D48"/>
    <w:rsid w:val="00733D9F"/>
    <w:rsid w:val="00734484"/>
    <w:rsid w:val="007353CF"/>
    <w:rsid w:val="00735A3E"/>
    <w:rsid w:val="00741E3E"/>
    <w:rsid w:val="00742076"/>
    <w:rsid w:val="0074267D"/>
    <w:rsid w:val="00743176"/>
    <w:rsid w:val="00745136"/>
    <w:rsid w:val="00745A15"/>
    <w:rsid w:val="00745DD2"/>
    <w:rsid w:val="00751354"/>
    <w:rsid w:val="00756909"/>
    <w:rsid w:val="0076061B"/>
    <w:rsid w:val="00760D10"/>
    <w:rsid w:val="007610E5"/>
    <w:rsid w:val="0076112D"/>
    <w:rsid w:val="00762108"/>
    <w:rsid w:val="00763CBF"/>
    <w:rsid w:val="00763F42"/>
    <w:rsid w:val="00765436"/>
    <w:rsid w:val="007659CF"/>
    <w:rsid w:val="00766473"/>
    <w:rsid w:val="00766793"/>
    <w:rsid w:val="00766EE3"/>
    <w:rsid w:val="00770E38"/>
    <w:rsid w:val="0077151F"/>
    <w:rsid w:val="00773AFB"/>
    <w:rsid w:val="00773E1B"/>
    <w:rsid w:val="007751DE"/>
    <w:rsid w:val="007760CF"/>
    <w:rsid w:val="0077636B"/>
    <w:rsid w:val="00776AF1"/>
    <w:rsid w:val="0078058F"/>
    <w:rsid w:val="00780776"/>
    <w:rsid w:val="00780BC5"/>
    <w:rsid w:val="00780CE9"/>
    <w:rsid w:val="0078133D"/>
    <w:rsid w:val="00781E34"/>
    <w:rsid w:val="00782598"/>
    <w:rsid w:val="00785785"/>
    <w:rsid w:val="007903DC"/>
    <w:rsid w:val="00790A1C"/>
    <w:rsid w:val="00791DED"/>
    <w:rsid w:val="00792AA8"/>
    <w:rsid w:val="00793AAE"/>
    <w:rsid w:val="00794972"/>
    <w:rsid w:val="00796EE7"/>
    <w:rsid w:val="00797022"/>
    <w:rsid w:val="007A09F2"/>
    <w:rsid w:val="007A3ABE"/>
    <w:rsid w:val="007A3B8D"/>
    <w:rsid w:val="007A49C4"/>
    <w:rsid w:val="007A4CB0"/>
    <w:rsid w:val="007A5B52"/>
    <w:rsid w:val="007A60E7"/>
    <w:rsid w:val="007A60F8"/>
    <w:rsid w:val="007A62C3"/>
    <w:rsid w:val="007A7BCB"/>
    <w:rsid w:val="007B1A23"/>
    <w:rsid w:val="007B341B"/>
    <w:rsid w:val="007B4102"/>
    <w:rsid w:val="007B4AD1"/>
    <w:rsid w:val="007B563B"/>
    <w:rsid w:val="007B603C"/>
    <w:rsid w:val="007B61B7"/>
    <w:rsid w:val="007B651A"/>
    <w:rsid w:val="007B6648"/>
    <w:rsid w:val="007B6669"/>
    <w:rsid w:val="007B6815"/>
    <w:rsid w:val="007C22B7"/>
    <w:rsid w:val="007C311B"/>
    <w:rsid w:val="007C3B79"/>
    <w:rsid w:val="007C462E"/>
    <w:rsid w:val="007C506B"/>
    <w:rsid w:val="007C64B4"/>
    <w:rsid w:val="007C6EDE"/>
    <w:rsid w:val="007D0986"/>
    <w:rsid w:val="007D146C"/>
    <w:rsid w:val="007D403C"/>
    <w:rsid w:val="007D4D0C"/>
    <w:rsid w:val="007D59A7"/>
    <w:rsid w:val="007D698B"/>
    <w:rsid w:val="007D7BB6"/>
    <w:rsid w:val="007D7C25"/>
    <w:rsid w:val="007E0EE9"/>
    <w:rsid w:val="007E10D6"/>
    <w:rsid w:val="007E2E32"/>
    <w:rsid w:val="007E30C9"/>
    <w:rsid w:val="007E497A"/>
    <w:rsid w:val="007E5D35"/>
    <w:rsid w:val="007E78F0"/>
    <w:rsid w:val="007E7EA8"/>
    <w:rsid w:val="007F14C3"/>
    <w:rsid w:val="007F2433"/>
    <w:rsid w:val="007F3B91"/>
    <w:rsid w:val="007F52A6"/>
    <w:rsid w:val="007F5789"/>
    <w:rsid w:val="007F68DA"/>
    <w:rsid w:val="008004E7"/>
    <w:rsid w:val="008024D1"/>
    <w:rsid w:val="0080276C"/>
    <w:rsid w:val="00803648"/>
    <w:rsid w:val="00803FED"/>
    <w:rsid w:val="008060C8"/>
    <w:rsid w:val="00810F5C"/>
    <w:rsid w:val="008116EB"/>
    <w:rsid w:val="0081200B"/>
    <w:rsid w:val="00812723"/>
    <w:rsid w:val="00812AB5"/>
    <w:rsid w:val="00814A6A"/>
    <w:rsid w:val="00814ED4"/>
    <w:rsid w:val="008152E3"/>
    <w:rsid w:val="0081557C"/>
    <w:rsid w:val="008159B1"/>
    <w:rsid w:val="00815B80"/>
    <w:rsid w:val="00817355"/>
    <w:rsid w:val="00820282"/>
    <w:rsid w:val="00820651"/>
    <w:rsid w:val="00820EA2"/>
    <w:rsid w:val="0082117F"/>
    <w:rsid w:val="0082383D"/>
    <w:rsid w:val="00823C18"/>
    <w:rsid w:val="00825153"/>
    <w:rsid w:val="008251E8"/>
    <w:rsid w:val="00825BD4"/>
    <w:rsid w:val="0082619C"/>
    <w:rsid w:val="008269A9"/>
    <w:rsid w:val="00826E5C"/>
    <w:rsid w:val="008279CA"/>
    <w:rsid w:val="00830086"/>
    <w:rsid w:val="00831A0D"/>
    <w:rsid w:val="00831AC1"/>
    <w:rsid w:val="00831BFA"/>
    <w:rsid w:val="00834644"/>
    <w:rsid w:val="00836096"/>
    <w:rsid w:val="0083643A"/>
    <w:rsid w:val="00836AD2"/>
    <w:rsid w:val="0083743F"/>
    <w:rsid w:val="008375CC"/>
    <w:rsid w:val="00840915"/>
    <w:rsid w:val="008415CC"/>
    <w:rsid w:val="00842862"/>
    <w:rsid w:val="00843953"/>
    <w:rsid w:val="00844A64"/>
    <w:rsid w:val="00844E5D"/>
    <w:rsid w:val="00845199"/>
    <w:rsid w:val="00846092"/>
    <w:rsid w:val="008478F8"/>
    <w:rsid w:val="00847DFE"/>
    <w:rsid w:val="0085053D"/>
    <w:rsid w:val="00851111"/>
    <w:rsid w:val="008525CF"/>
    <w:rsid w:val="00852A32"/>
    <w:rsid w:val="00852E3D"/>
    <w:rsid w:val="008542CC"/>
    <w:rsid w:val="00855052"/>
    <w:rsid w:val="00856696"/>
    <w:rsid w:val="00860973"/>
    <w:rsid w:val="00860B77"/>
    <w:rsid w:val="0086183E"/>
    <w:rsid w:val="008623A3"/>
    <w:rsid w:val="00862A66"/>
    <w:rsid w:val="008648B5"/>
    <w:rsid w:val="00865A78"/>
    <w:rsid w:val="0086641A"/>
    <w:rsid w:val="00867F68"/>
    <w:rsid w:val="008700D1"/>
    <w:rsid w:val="008737D3"/>
    <w:rsid w:val="00873E0E"/>
    <w:rsid w:val="00873FF2"/>
    <w:rsid w:val="008757D0"/>
    <w:rsid w:val="00875D41"/>
    <w:rsid w:val="00877313"/>
    <w:rsid w:val="0087741C"/>
    <w:rsid w:val="008779CA"/>
    <w:rsid w:val="00877CBF"/>
    <w:rsid w:val="00882112"/>
    <w:rsid w:val="00882D53"/>
    <w:rsid w:val="00882E02"/>
    <w:rsid w:val="00883437"/>
    <w:rsid w:val="008834C5"/>
    <w:rsid w:val="00883C24"/>
    <w:rsid w:val="00884FA5"/>
    <w:rsid w:val="008853F8"/>
    <w:rsid w:val="00885BD6"/>
    <w:rsid w:val="00886171"/>
    <w:rsid w:val="00886D30"/>
    <w:rsid w:val="008879DF"/>
    <w:rsid w:val="00891481"/>
    <w:rsid w:val="00892139"/>
    <w:rsid w:val="00893112"/>
    <w:rsid w:val="00893FFE"/>
    <w:rsid w:val="008953BD"/>
    <w:rsid w:val="0089763B"/>
    <w:rsid w:val="008977E9"/>
    <w:rsid w:val="008A29E3"/>
    <w:rsid w:val="008A3BB0"/>
    <w:rsid w:val="008A4628"/>
    <w:rsid w:val="008B0200"/>
    <w:rsid w:val="008B0427"/>
    <w:rsid w:val="008B35C4"/>
    <w:rsid w:val="008B47CB"/>
    <w:rsid w:val="008B638D"/>
    <w:rsid w:val="008B6A6C"/>
    <w:rsid w:val="008B7C12"/>
    <w:rsid w:val="008C15BB"/>
    <w:rsid w:val="008C1E75"/>
    <w:rsid w:val="008C2791"/>
    <w:rsid w:val="008C28E5"/>
    <w:rsid w:val="008C29C9"/>
    <w:rsid w:val="008C4E5F"/>
    <w:rsid w:val="008C5389"/>
    <w:rsid w:val="008C562D"/>
    <w:rsid w:val="008C6886"/>
    <w:rsid w:val="008C6C82"/>
    <w:rsid w:val="008D027F"/>
    <w:rsid w:val="008D1462"/>
    <w:rsid w:val="008D15F7"/>
    <w:rsid w:val="008D1C14"/>
    <w:rsid w:val="008D1FDE"/>
    <w:rsid w:val="008D351D"/>
    <w:rsid w:val="008E13E4"/>
    <w:rsid w:val="008E17EA"/>
    <w:rsid w:val="008E1844"/>
    <w:rsid w:val="008E1B17"/>
    <w:rsid w:val="008E1C45"/>
    <w:rsid w:val="008E242E"/>
    <w:rsid w:val="008E4EB4"/>
    <w:rsid w:val="008E6122"/>
    <w:rsid w:val="008E647B"/>
    <w:rsid w:val="008E6B80"/>
    <w:rsid w:val="008E7B61"/>
    <w:rsid w:val="008E7E36"/>
    <w:rsid w:val="008F2367"/>
    <w:rsid w:val="008F3AE2"/>
    <w:rsid w:val="008F6221"/>
    <w:rsid w:val="008F7144"/>
    <w:rsid w:val="008F722B"/>
    <w:rsid w:val="008F777B"/>
    <w:rsid w:val="008F7CCE"/>
    <w:rsid w:val="008F7DE6"/>
    <w:rsid w:val="00900507"/>
    <w:rsid w:val="0090086E"/>
    <w:rsid w:val="009064E2"/>
    <w:rsid w:val="009071FE"/>
    <w:rsid w:val="0090759B"/>
    <w:rsid w:val="009077C7"/>
    <w:rsid w:val="00907C28"/>
    <w:rsid w:val="0091220E"/>
    <w:rsid w:val="0091348B"/>
    <w:rsid w:val="0091465A"/>
    <w:rsid w:val="00916527"/>
    <w:rsid w:val="00920216"/>
    <w:rsid w:val="00920463"/>
    <w:rsid w:val="009231E5"/>
    <w:rsid w:val="009238C7"/>
    <w:rsid w:val="00923B19"/>
    <w:rsid w:val="00923D68"/>
    <w:rsid w:val="009245CA"/>
    <w:rsid w:val="00925CCC"/>
    <w:rsid w:val="00926E4D"/>
    <w:rsid w:val="00931A66"/>
    <w:rsid w:val="0093352D"/>
    <w:rsid w:val="0093355C"/>
    <w:rsid w:val="009355E5"/>
    <w:rsid w:val="00935699"/>
    <w:rsid w:val="00935717"/>
    <w:rsid w:val="009376FF"/>
    <w:rsid w:val="00940185"/>
    <w:rsid w:val="0094082B"/>
    <w:rsid w:val="00940BCD"/>
    <w:rsid w:val="00940DF7"/>
    <w:rsid w:val="00941279"/>
    <w:rsid w:val="00943C2B"/>
    <w:rsid w:val="009451F1"/>
    <w:rsid w:val="00945870"/>
    <w:rsid w:val="009462D5"/>
    <w:rsid w:val="00947E53"/>
    <w:rsid w:val="0095131C"/>
    <w:rsid w:val="00953EB6"/>
    <w:rsid w:val="0095456C"/>
    <w:rsid w:val="009547B3"/>
    <w:rsid w:val="0095639C"/>
    <w:rsid w:val="00956905"/>
    <w:rsid w:val="00957D1D"/>
    <w:rsid w:val="009614C6"/>
    <w:rsid w:val="00962BFB"/>
    <w:rsid w:val="00962E1C"/>
    <w:rsid w:val="0096349D"/>
    <w:rsid w:val="009646D3"/>
    <w:rsid w:val="00964954"/>
    <w:rsid w:val="00966DEC"/>
    <w:rsid w:val="00967638"/>
    <w:rsid w:val="009710F6"/>
    <w:rsid w:val="00972A59"/>
    <w:rsid w:val="00972FD9"/>
    <w:rsid w:val="00973185"/>
    <w:rsid w:val="00973E49"/>
    <w:rsid w:val="009753B3"/>
    <w:rsid w:val="0097673B"/>
    <w:rsid w:val="00983870"/>
    <w:rsid w:val="009839AC"/>
    <w:rsid w:val="00983A69"/>
    <w:rsid w:val="00985403"/>
    <w:rsid w:val="00985759"/>
    <w:rsid w:val="00985812"/>
    <w:rsid w:val="00986EE5"/>
    <w:rsid w:val="009876E8"/>
    <w:rsid w:val="00987C7D"/>
    <w:rsid w:val="00990380"/>
    <w:rsid w:val="00990C86"/>
    <w:rsid w:val="0099102F"/>
    <w:rsid w:val="009921DB"/>
    <w:rsid w:val="0099386F"/>
    <w:rsid w:val="009940EF"/>
    <w:rsid w:val="00994A8D"/>
    <w:rsid w:val="00994D06"/>
    <w:rsid w:val="0099673F"/>
    <w:rsid w:val="00997CF0"/>
    <w:rsid w:val="009A04F1"/>
    <w:rsid w:val="009A05A7"/>
    <w:rsid w:val="009A09AB"/>
    <w:rsid w:val="009A0BBC"/>
    <w:rsid w:val="009A10B2"/>
    <w:rsid w:val="009A2F3A"/>
    <w:rsid w:val="009A328A"/>
    <w:rsid w:val="009A4892"/>
    <w:rsid w:val="009A5248"/>
    <w:rsid w:val="009A5AFD"/>
    <w:rsid w:val="009A6ECB"/>
    <w:rsid w:val="009A6EFD"/>
    <w:rsid w:val="009A7D19"/>
    <w:rsid w:val="009B0CF7"/>
    <w:rsid w:val="009B0E4C"/>
    <w:rsid w:val="009B11C7"/>
    <w:rsid w:val="009B39DC"/>
    <w:rsid w:val="009B544D"/>
    <w:rsid w:val="009B61E7"/>
    <w:rsid w:val="009B6B2D"/>
    <w:rsid w:val="009C0087"/>
    <w:rsid w:val="009C061A"/>
    <w:rsid w:val="009C0795"/>
    <w:rsid w:val="009C2172"/>
    <w:rsid w:val="009C4EDB"/>
    <w:rsid w:val="009C6E72"/>
    <w:rsid w:val="009D0A99"/>
    <w:rsid w:val="009D265C"/>
    <w:rsid w:val="009D3C3F"/>
    <w:rsid w:val="009D4D67"/>
    <w:rsid w:val="009D61D0"/>
    <w:rsid w:val="009D635B"/>
    <w:rsid w:val="009D66DC"/>
    <w:rsid w:val="009D7F6F"/>
    <w:rsid w:val="009E0393"/>
    <w:rsid w:val="009E07D3"/>
    <w:rsid w:val="009E1577"/>
    <w:rsid w:val="009E1F70"/>
    <w:rsid w:val="009E2633"/>
    <w:rsid w:val="009E350C"/>
    <w:rsid w:val="009E4E02"/>
    <w:rsid w:val="009E70E5"/>
    <w:rsid w:val="009F06F2"/>
    <w:rsid w:val="009F1587"/>
    <w:rsid w:val="009F2DE5"/>
    <w:rsid w:val="009F3CF5"/>
    <w:rsid w:val="009F4279"/>
    <w:rsid w:val="009F603F"/>
    <w:rsid w:val="009F635E"/>
    <w:rsid w:val="009F66DF"/>
    <w:rsid w:val="00A0053F"/>
    <w:rsid w:val="00A0222A"/>
    <w:rsid w:val="00A02C5D"/>
    <w:rsid w:val="00A07040"/>
    <w:rsid w:val="00A07CBF"/>
    <w:rsid w:val="00A134B9"/>
    <w:rsid w:val="00A140D3"/>
    <w:rsid w:val="00A1446B"/>
    <w:rsid w:val="00A167F2"/>
    <w:rsid w:val="00A17EFE"/>
    <w:rsid w:val="00A20363"/>
    <w:rsid w:val="00A20C78"/>
    <w:rsid w:val="00A2158A"/>
    <w:rsid w:val="00A2268C"/>
    <w:rsid w:val="00A2312E"/>
    <w:rsid w:val="00A24323"/>
    <w:rsid w:val="00A2512C"/>
    <w:rsid w:val="00A2515B"/>
    <w:rsid w:val="00A2588E"/>
    <w:rsid w:val="00A26EDF"/>
    <w:rsid w:val="00A31C6B"/>
    <w:rsid w:val="00A324E9"/>
    <w:rsid w:val="00A34789"/>
    <w:rsid w:val="00A3630E"/>
    <w:rsid w:val="00A375E9"/>
    <w:rsid w:val="00A37BB8"/>
    <w:rsid w:val="00A37D74"/>
    <w:rsid w:val="00A41539"/>
    <w:rsid w:val="00A4154D"/>
    <w:rsid w:val="00A41552"/>
    <w:rsid w:val="00A41A28"/>
    <w:rsid w:val="00A41A51"/>
    <w:rsid w:val="00A41FF8"/>
    <w:rsid w:val="00A42D87"/>
    <w:rsid w:val="00A44BD3"/>
    <w:rsid w:val="00A4521D"/>
    <w:rsid w:val="00A4525C"/>
    <w:rsid w:val="00A465BD"/>
    <w:rsid w:val="00A467A7"/>
    <w:rsid w:val="00A46D6F"/>
    <w:rsid w:val="00A50770"/>
    <w:rsid w:val="00A51F0A"/>
    <w:rsid w:val="00A53650"/>
    <w:rsid w:val="00A53BC2"/>
    <w:rsid w:val="00A549C6"/>
    <w:rsid w:val="00A54EF2"/>
    <w:rsid w:val="00A554B2"/>
    <w:rsid w:val="00A557EF"/>
    <w:rsid w:val="00A55D48"/>
    <w:rsid w:val="00A57428"/>
    <w:rsid w:val="00A57BEB"/>
    <w:rsid w:val="00A601FB"/>
    <w:rsid w:val="00A60848"/>
    <w:rsid w:val="00A61673"/>
    <w:rsid w:val="00A62581"/>
    <w:rsid w:val="00A635E0"/>
    <w:rsid w:val="00A64926"/>
    <w:rsid w:val="00A6625E"/>
    <w:rsid w:val="00A665CF"/>
    <w:rsid w:val="00A66B8D"/>
    <w:rsid w:val="00A67CA7"/>
    <w:rsid w:val="00A71407"/>
    <w:rsid w:val="00A71988"/>
    <w:rsid w:val="00A72084"/>
    <w:rsid w:val="00A72544"/>
    <w:rsid w:val="00A7321F"/>
    <w:rsid w:val="00A733BA"/>
    <w:rsid w:val="00A73989"/>
    <w:rsid w:val="00A74523"/>
    <w:rsid w:val="00A77011"/>
    <w:rsid w:val="00A7752F"/>
    <w:rsid w:val="00A77B26"/>
    <w:rsid w:val="00A85C35"/>
    <w:rsid w:val="00A8780D"/>
    <w:rsid w:val="00A91B08"/>
    <w:rsid w:val="00A92061"/>
    <w:rsid w:val="00A921AD"/>
    <w:rsid w:val="00A93973"/>
    <w:rsid w:val="00A94249"/>
    <w:rsid w:val="00A947FB"/>
    <w:rsid w:val="00A94BC9"/>
    <w:rsid w:val="00A958F8"/>
    <w:rsid w:val="00A959BC"/>
    <w:rsid w:val="00A969DD"/>
    <w:rsid w:val="00A969EC"/>
    <w:rsid w:val="00A97058"/>
    <w:rsid w:val="00A9755B"/>
    <w:rsid w:val="00AA043A"/>
    <w:rsid w:val="00AA05AD"/>
    <w:rsid w:val="00AA05C2"/>
    <w:rsid w:val="00AA0968"/>
    <w:rsid w:val="00AA0A69"/>
    <w:rsid w:val="00AA2562"/>
    <w:rsid w:val="00AA313D"/>
    <w:rsid w:val="00AA3C60"/>
    <w:rsid w:val="00AA3FFC"/>
    <w:rsid w:val="00AA577C"/>
    <w:rsid w:val="00AA663B"/>
    <w:rsid w:val="00AB223B"/>
    <w:rsid w:val="00AB2FF4"/>
    <w:rsid w:val="00AB32BC"/>
    <w:rsid w:val="00AB3D8D"/>
    <w:rsid w:val="00AB5F9C"/>
    <w:rsid w:val="00AB6758"/>
    <w:rsid w:val="00AC0110"/>
    <w:rsid w:val="00AC020F"/>
    <w:rsid w:val="00AC0CF5"/>
    <w:rsid w:val="00AC1AD6"/>
    <w:rsid w:val="00AC712E"/>
    <w:rsid w:val="00AC7C29"/>
    <w:rsid w:val="00AD27B8"/>
    <w:rsid w:val="00AD4481"/>
    <w:rsid w:val="00AD5932"/>
    <w:rsid w:val="00AD5B2B"/>
    <w:rsid w:val="00AD64DF"/>
    <w:rsid w:val="00AE1025"/>
    <w:rsid w:val="00AE3F03"/>
    <w:rsid w:val="00AE64F0"/>
    <w:rsid w:val="00AE6F83"/>
    <w:rsid w:val="00AE7D36"/>
    <w:rsid w:val="00AF23C8"/>
    <w:rsid w:val="00AF2AE2"/>
    <w:rsid w:val="00AF6CAF"/>
    <w:rsid w:val="00AF7E5D"/>
    <w:rsid w:val="00B0377E"/>
    <w:rsid w:val="00B07241"/>
    <w:rsid w:val="00B07BA9"/>
    <w:rsid w:val="00B10055"/>
    <w:rsid w:val="00B10B37"/>
    <w:rsid w:val="00B1141E"/>
    <w:rsid w:val="00B12420"/>
    <w:rsid w:val="00B1278B"/>
    <w:rsid w:val="00B15341"/>
    <w:rsid w:val="00B156A7"/>
    <w:rsid w:val="00B17295"/>
    <w:rsid w:val="00B205BA"/>
    <w:rsid w:val="00B205F1"/>
    <w:rsid w:val="00B20AF8"/>
    <w:rsid w:val="00B20D00"/>
    <w:rsid w:val="00B214B0"/>
    <w:rsid w:val="00B215F5"/>
    <w:rsid w:val="00B26B62"/>
    <w:rsid w:val="00B271CD"/>
    <w:rsid w:val="00B27A54"/>
    <w:rsid w:val="00B30783"/>
    <w:rsid w:val="00B31F9B"/>
    <w:rsid w:val="00B41D01"/>
    <w:rsid w:val="00B41F0F"/>
    <w:rsid w:val="00B42560"/>
    <w:rsid w:val="00B42F44"/>
    <w:rsid w:val="00B43206"/>
    <w:rsid w:val="00B43B5F"/>
    <w:rsid w:val="00B43BBA"/>
    <w:rsid w:val="00B455AA"/>
    <w:rsid w:val="00B45778"/>
    <w:rsid w:val="00B457A1"/>
    <w:rsid w:val="00B4630F"/>
    <w:rsid w:val="00B464B1"/>
    <w:rsid w:val="00B4786F"/>
    <w:rsid w:val="00B47A4A"/>
    <w:rsid w:val="00B47B99"/>
    <w:rsid w:val="00B47F26"/>
    <w:rsid w:val="00B50296"/>
    <w:rsid w:val="00B506F2"/>
    <w:rsid w:val="00B50B00"/>
    <w:rsid w:val="00B510E3"/>
    <w:rsid w:val="00B521AC"/>
    <w:rsid w:val="00B52702"/>
    <w:rsid w:val="00B52872"/>
    <w:rsid w:val="00B534D2"/>
    <w:rsid w:val="00B53BA9"/>
    <w:rsid w:val="00B5439A"/>
    <w:rsid w:val="00B5498D"/>
    <w:rsid w:val="00B5501D"/>
    <w:rsid w:val="00B55595"/>
    <w:rsid w:val="00B57D97"/>
    <w:rsid w:val="00B60386"/>
    <w:rsid w:val="00B6151E"/>
    <w:rsid w:val="00B639DF"/>
    <w:rsid w:val="00B63D78"/>
    <w:rsid w:val="00B64962"/>
    <w:rsid w:val="00B65629"/>
    <w:rsid w:val="00B65736"/>
    <w:rsid w:val="00B6576F"/>
    <w:rsid w:val="00B65F8D"/>
    <w:rsid w:val="00B676EC"/>
    <w:rsid w:val="00B7001A"/>
    <w:rsid w:val="00B7016C"/>
    <w:rsid w:val="00B7039B"/>
    <w:rsid w:val="00B7071A"/>
    <w:rsid w:val="00B72C77"/>
    <w:rsid w:val="00B74D1E"/>
    <w:rsid w:val="00B76A18"/>
    <w:rsid w:val="00B808DE"/>
    <w:rsid w:val="00B81F0C"/>
    <w:rsid w:val="00B8410B"/>
    <w:rsid w:val="00B84C6C"/>
    <w:rsid w:val="00B9031E"/>
    <w:rsid w:val="00B92687"/>
    <w:rsid w:val="00B92F2E"/>
    <w:rsid w:val="00B94248"/>
    <w:rsid w:val="00B942A1"/>
    <w:rsid w:val="00B94B4F"/>
    <w:rsid w:val="00B94E8B"/>
    <w:rsid w:val="00B9559A"/>
    <w:rsid w:val="00B95960"/>
    <w:rsid w:val="00B95D21"/>
    <w:rsid w:val="00B95F4C"/>
    <w:rsid w:val="00B96C0E"/>
    <w:rsid w:val="00B976F6"/>
    <w:rsid w:val="00B97CF5"/>
    <w:rsid w:val="00BA2298"/>
    <w:rsid w:val="00BA457B"/>
    <w:rsid w:val="00BA50BC"/>
    <w:rsid w:val="00BA5F41"/>
    <w:rsid w:val="00BA7385"/>
    <w:rsid w:val="00BB0FC7"/>
    <w:rsid w:val="00BB187C"/>
    <w:rsid w:val="00BB296B"/>
    <w:rsid w:val="00BB2A9C"/>
    <w:rsid w:val="00BB3622"/>
    <w:rsid w:val="00BB3947"/>
    <w:rsid w:val="00BB5495"/>
    <w:rsid w:val="00BB682C"/>
    <w:rsid w:val="00BB7CA9"/>
    <w:rsid w:val="00BC236B"/>
    <w:rsid w:val="00BC2BB4"/>
    <w:rsid w:val="00BC2E3B"/>
    <w:rsid w:val="00BC2E91"/>
    <w:rsid w:val="00BC53D3"/>
    <w:rsid w:val="00BC65D9"/>
    <w:rsid w:val="00BC76BA"/>
    <w:rsid w:val="00BC7C52"/>
    <w:rsid w:val="00BD0079"/>
    <w:rsid w:val="00BD0CF6"/>
    <w:rsid w:val="00BD1471"/>
    <w:rsid w:val="00BD14C5"/>
    <w:rsid w:val="00BD17F2"/>
    <w:rsid w:val="00BD196A"/>
    <w:rsid w:val="00BD2081"/>
    <w:rsid w:val="00BD2311"/>
    <w:rsid w:val="00BD28D6"/>
    <w:rsid w:val="00BD41F2"/>
    <w:rsid w:val="00BD6262"/>
    <w:rsid w:val="00BD6AF7"/>
    <w:rsid w:val="00BD7EED"/>
    <w:rsid w:val="00BE2415"/>
    <w:rsid w:val="00BE4C48"/>
    <w:rsid w:val="00BE610C"/>
    <w:rsid w:val="00BE61C1"/>
    <w:rsid w:val="00BE64AF"/>
    <w:rsid w:val="00BE6717"/>
    <w:rsid w:val="00BF0381"/>
    <w:rsid w:val="00BF0A46"/>
    <w:rsid w:val="00BF446E"/>
    <w:rsid w:val="00BF6E7B"/>
    <w:rsid w:val="00C01021"/>
    <w:rsid w:val="00C0141F"/>
    <w:rsid w:val="00C024C8"/>
    <w:rsid w:val="00C036C4"/>
    <w:rsid w:val="00C03D11"/>
    <w:rsid w:val="00C040F7"/>
    <w:rsid w:val="00C048AF"/>
    <w:rsid w:val="00C077E0"/>
    <w:rsid w:val="00C07DE6"/>
    <w:rsid w:val="00C12B9E"/>
    <w:rsid w:val="00C13CB4"/>
    <w:rsid w:val="00C154B5"/>
    <w:rsid w:val="00C17872"/>
    <w:rsid w:val="00C205E9"/>
    <w:rsid w:val="00C212FC"/>
    <w:rsid w:val="00C23F48"/>
    <w:rsid w:val="00C25913"/>
    <w:rsid w:val="00C2613F"/>
    <w:rsid w:val="00C262BD"/>
    <w:rsid w:val="00C2638B"/>
    <w:rsid w:val="00C30E04"/>
    <w:rsid w:val="00C310C2"/>
    <w:rsid w:val="00C31652"/>
    <w:rsid w:val="00C324F8"/>
    <w:rsid w:val="00C36525"/>
    <w:rsid w:val="00C40EB3"/>
    <w:rsid w:val="00C41BD9"/>
    <w:rsid w:val="00C41D4A"/>
    <w:rsid w:val="00C426A2"/>
    <w:rsid w:val="00C434FD"/>
    <w:rsid w:val="00C4350E"/>
    <w:rsid w:val="00C44F37"/>
    <w:rsid w:val="00C468F7"/>
    <w:rsid w:val="00C47AC7"/>
    <w:rsid w:val="00C5192E"/>
    <w:rsid w:val="00C52DE6"/>
    <w:rsid w:val="00C568A3"/>
    <w:rsid w:val="00C56DC1"/>
    <w:rsid w:val="00C57121"/>
    <w:rsid w:val="00C57A2C"/>
    <w:rsid w:val="00C57A39"/>
    <w:rsid w:val="00C6016B"/>
    <w:rsid w:val="00C62572"/>
    <w:rsid w:val="00C63068"/>
    <w:rsid w:val="00C634A7"/>
    <w:rsid w:val="00C638D7"/>
    <w:rsid w:val="00C638DF"/>
    <w:rsid w:val="00C6445C"/>
    <w:rsid w:val="00C64720"/>
    <w:rsid w:val="00C6517F"/>
    <w:rsid w:val="00C67BA6"/>
    <w:rsid w:val="00C70DA3"/>
    <w:rsid w:val="00C71920"/>
    <w:rsid w:val="00C72A63"/>
    <w:rsid w:val="00C73ECB"/>
    <w:rsid w:val="00C744BD"/>
    <w:rsid w:val="00C74B16"/>
    <w:rsid w:val="00C763FC"/>
    <w:rsid w:val="00C766DC"/>
    <w:rsid w:val="00C77A70"/>
    <w:rsid w:val="00C77DC4"/>
    <w:rsid w:val="00C80AE4"/>
    <w:rsid w:val="00C81EFF"/>
    <w:rsid w:val="00C829D4"/>
    <w:rsid w:val="00C8407F"/>
    <w:rsid w:val="00C84F17"/>
    <w:rsid w:val="00C857F1"/>
    <w:rsid w:val="00C871C4"/>
    <w:rsid w:val="00C877E1"/>
    <w:rsid w:val="00C91B8F"/>
    <w:rsid w:val="00C97301"/>
    <w:rsid w:val="00CA1130"/>
    <w:rsid w:val="00CA1DCC"/>
    <w:rsid w:val="00CA1F60"/>
    <w:rsid w:val="00CA263C"/>
    <w:rsid w:val="00CA31BA"/>
    <w:rsid w:val="00CA3FF5"/>
    <w:rsid w:val="00CA415F"/>
    <w:rsid w:val="00CA529D"/>
    <w:rsid w:val="00CA5EA7"/>
    <w:rsid w:val="00CB026C"/>
    <w:rsid w:val="00CB02B9"/>
    <w:rsid w:val="00CB0704"/>
    <w:rsid w:val="00CB2C14"/>
    <w:rsid w:val="00CB3A4F"/>
    <w:rsid w:val="00CB5A49"/>
    <w:rsid w:val="00CB5C15"/>
    <w:rsid w:val="00CB678B"/>
    <w:rsid w:val="00CB7F90"/>
    <w:rsid w:val="00CC1214"/>
    <w:rsid w:val="00CC1228"/>
    <w:rsid w:val="00CC1366"/>
    <w:rsid w:val="00CC1A21"/>
    <w:rsid w:val="00CC303A"/>
    <w:rsid w:val="00CC3B0C"/>
    <w:rsid w:val="00CC3E36"/>
    <w:rsid w:val="00CC406D"/>
    <w:rsid w:val="00CC5966"/>
    <w:rsid w:val="00CC6258"/>
    <w:rsid w:val="00CC66DE"/>
    <w:rsid w:val="00CC6BA6"/>
    <w:rsid w:val="00CC7135"/>
    <w:rsid w:val="00CC7C0C"/>
    <w:rsid w:val="00CD148B"/>
    <w:rsid w:val="00CD3FD2"/>
    <w:rsid w:val="00CD5694"/>
    <w:rsid w:val="00CD6609"/>
    <w:rsid w:val="00CD75E3"/>
    <w:rsid w:val="00CE2627"/>
    <w:rsid w:val="00CE2EB2"/>
    <w:rsid w:val="00CE3173"/>
    <w:rsid w:val="00CE4FE8"/>
    <w:rsid w:val="00CE525D"/>
    <w:rsid w:val="00CE56D0"/>
    <w:rsid w:val="00CE5C99"/>
    <w:rsid w:val="00CE5DBA"/>
    <w:rsid w:val="00CE7C4A"/>
    <w:rsid w:val="00CF085F"/>
    <w:rsid w:val="00CF23EE"/>
    <w:rsid w:val="00CF2B2A"/>
    <w:rsid w:val="00CF372F"/>
    <w:rsid w:val="00CF41D3"/>
    <w:rsid w:val="00D0063C"/>
    <w:rsid w:val="00D0070F"/>
    <w:rsid w:val="00D01101"/>
    <w:rsid w:val="00D026DE"/>
    <w:rsid w:val="00D0297B"/>
    <w:rsid w:val="00D06625"/>
    <w:rsid w:val="00D0668B"/>
    <w:rsid w:val="00D078F4"/>
    <w:rsid w:val="00D11357"/>
    <w:rsid w:val="00D126F7"/>
    <w:rsid w:val="00D129F5"/>
    <w:rsid w:val="00D12ED9"/>
    <w:rsid w:val="00D141DD"/>
    <w:rsid w:val="00D1494A"/>
    <w:rsid w:val="00D21887"/>
    <w:rsid w:val="00D244CA"/>
    <w:rsid w:val="00D266DE"/>
    <w:rsid w:val="00D315C9"/>
    <w:rsid w:val="00D31689"/>
    <w:rsid w:val="00D322D2"/>
    <w:rsid w:val="00D325D3"/>
    <w:rsid w:val="00D332CD"/>
    <w:rsid w:val="00D353CD"/>
    <w:rsid w:val="00D355E8"/>
    <w:rsid w:val="00D373B8"/>
    <w:rsid w:val="00D40CD3"/>
    <w:rsid w:val="00D40E17"/>
    <w:rsid w:val="00D423E1"/>
    <w:rsid w:val="00D42B1C"/>
    <w:rsid w:val="00D43922"/>
    <w:rsid w:val="00D43DD6"/>
    <w:rsid w:val="00D44FFB"/>
    <w:rsid w:val="00D454EC"/>
    <w:rsid w:val="00D46134"/>
    <w:rsid w:val="00D468E3"/>
    <w:rsid w:val="00D504CE"/>
    <w:rsid w:val="00D51C2C"/>
    <w:rsid w:val="00D535C2"/>
    <w:rsid w:val="00D541A3"/>
    <w:rsid w:val="00D55A36"/>
    <w:rsid w:val="00D5689A"/>
    <w:rsid w:val="00D57072"/>
    <w:rsid w:val="00D5767D"/>
    <w:rsid w:val="00D60165"/>
    <w:rsid w:val="00D61249"/>
    <w:rsid w:val="00D61AE5"/>
    <w:rsid w:val="00D61B08"/>
    <w:rsid w:val="00D62E0D"/>
    <w:rsid w:val="00D64636"/>
    <w:rsid w:val="00D653BD"/>
    <w:rsid w:val="00D668E4"/>
    <w:rsid w:val="00D67466"/>
    <w:rsid w:val="00D7047B"/>
    <w:rsid w:val="00D70735"/>
    <w:rsid w:val="00D729A9"/>
    <w:rsid w:val="00D72CDF"/>
    <w:rsid w:val="00D741F4"/>
    <w:rsid w:val="00D74D7F"/>
    <w:rsid w:val="00D74EF9"/>
    <w:rsid w:val="00D74FEC"/>
    <w:rsid w:val="00D75505"/>
    <w:rsid w:val="00D76695"/>
    <w:rsid w:val="00D77DAB"/>
    <w:rsid w:val="00D80998"/>
    <w:rsid w:val="00D81665"/>
    <w:rsid w:val="00D8228F"/>
    <w:rsid w:val="00D83CB1"/>
    <w:rsid w:val="00D8468B"/>
    <w:rsid w:val="00D85C60"/>
    <w:rsid w:val="00D862DA"/>
    <w:rsid w:val="00D8640C"/>
    <w:rsid w:val="00D86456"/>
    <w:rsid w:val="00D870BD"/>
    <w:rsid w:val="00D87119"/>
    <w:rsid w:val="00D87318"/>
    <w:rsid w:val="00D90ED8"/>
    <w:rsid w:val="00D91E81"/>
    <w:rsid w:val="00D936C9"/>
    <w:rsid w:val="00D957B5"/>
    <w:rsid w:val="00D95B53"/>
    <w:rsid w:val="00D95FCA"/>
    <w:rsid w:val="00DA049C"/>
    <w:rsid w:val="00DA3D7B"/>
    <w:rsid w:val="00DA6668"/>
    <w:rsid w:val="00DA6721"/>
    <w:rsid w:val="00DA7189"/>
    <w:rsid w:val="00DA7370"/>
    <w:rsid w:val="00DB1190"/>
    <w:rsid w:val="00DB3C78"/>
    <w:rsid w:val="00DB4594"/>
    <w:rsid w:val="00DB4AA3"/>
    <w:rsid w:val="00DB68FF"/>
    <w:rsid w:val="00DB7230"/>
    <w:rsid w:val="00DC32BA"/>
    <w:rsid w:val="00DC4F25"/>
    <w:rsid w:val="00DC5FD8"/>
    <w:rsid w:val="00DC7B73"/>
    <w:rsid w:val="00DD040D"/>
    <w:rsid w:val="00DD4CBC"/>
    <w:rsid w:val="00DD6518"/>
    <w:rsid w:val="00DD6537"/>
    <w:rsid w:val="00DD6667"/>
    <w:rsid w:val="00DD6C7C"/>
    <w:rsid w:val="00DD74A2"/>
    <w:rsid w:val="00DE1C95"/>
    <w:rsid w:val="00DE383B"/>
    <w:rsid w:val="00DE49BE"/>
    <w:rsid w:val="00DE514F"/>
    <w:rsid w:val="00DE5AC7"/>
    <w:rsid w:val="00DE6576"/>
    <w:rsid w:val="00DE6AE4"/>
    <w:rsid w:val="00DF3605"/>
    <w:rsid w:val="00DF45B7"/>
    <w:rsid w:val="00DF4614"/>
    <w:rsid w:val="00DF6D10"/>
    <w:rsid w:val="00DF7B25"/>
    <w:rsid w:val="00E00B67"/>
    <w:rsid w:val="00E00BE9"/>
    <w:rsid w:val="00E00E60"/>
    <w:rsid w:val="00E010E9"/>
    <w:rsid w:val="00E03503"/>
    <w:rsid w:val="00E037D5"/>
    <w:rsid w:val="00E03AEC"/>
    <w:rsid w:val="00E04840"/>
    <w:rsid w:val="00E07F0C"/>
    <w:rsid w:val="00E13020"/>
    <w:rsid w:val="00E13595"/>
    <w:rsid w:val="00E135A1"/>
    <w:rsid w:val="00E1496E"/>
    <w:rsid w:val="00E16EF1"/>
    <w:rsid w:val="00E174FB"/>
    <w:rsid w:val="00E177A0"/>
    <w:rsid w:val="00E17F63"/>
    <w:rsid w:val="00E214E9"/>
    <w:rsid w:val="00E23A96"/>
    <w:rsid w:val="00E24E41"/>
    <w:rsid w:val="00E2531F"/>
    <w:rsid w:val="00E30198"/>
    <w:rsid w:val="00E30467"/>
    <w:rsid w:val="00E3052B"/>
    <w:rsid w:val="00E309BC"/>
    <w:rsid w:val="00E31032"/>
    <w:rsid w:val="00E360BB"/>
    <w:rsid w:val="00E368C3"/>
    <w:rsid w:val="00E37125"/>
    <w:rsid w:val="00E3764A"/>
    <w:rsid w:val="00E43C06"/>
    <w:rsid w:val="00E449B1"/>
    <w:rsid w:val="00E44F34"/>
    <w:rsid w:val="00E47B31"/>
    <w:rsid w:val="00E501F7"/>
    <w:rsid w:val="00E5082D"/>
    <w:rsid w:val="00E5747B"/>
    <w:rsid w:val="00E574A9"/>
    <w:rsid w:val="00E61355"/>
    <w:rsid w:val="00E613BC"/>
    <w:rsid w:val="00E61F1E"/>
    <w:rsid w:val="00E6284B"/>
    <w:rsid w:val="00E6480A"/>
    <w:rsid w:val="00E6616A"/>
    <w:rsid w:val="00E66861"/>
    <w:rsid w:val="00E66E21"/>
    <w:rsid w:val="00E67063"/>
    <w:rsid w:val="00E67D32"/>
    <w:rsid w:val="00E70F38"/>
    <w:rsid w:val="00E710FC"/>
    <w:rsid w:val="00E718C5"/>
    <w:rsid w:val="00E71915"/>
    <w:rsid w:val="00E727DE"/>
    <w:rsid w:val="00E7350C"/>
    <w:rsid w:val="00E73E7E"/>
    <w:rsid w:val="00E743AE"/>
    <w:rsid w:val="00E77BC1"/>
    <w:rsid w:val="00E80916"/>
    <w:rsid w:val="00E811C3"/>
    <w:rsid w:val="00E812C2"/>
    <w:rsid w:val="00E823C1"/>
    <w:rsid w:val="00E840DF"/>
    <w:rsid w:val="00E8452A"/>
    <w:rsid w:val="00E849A2"/>
    <w:rsid w:val="00E8554A"/>
    <w:rsid w:val="00E8560F"/>
    <w:rsid w:val="00E85E1A"/>
    <w:rsid w:val="00E8780A"/>
    <w:rsid w:val="00E91083"/>
    <w:rsid w:val="00E9224B"/>
    <w:rsid w:val="00E9417D"/>
    <w:rsid w:val="00E957FC"/>
    <w:rsid w:val="00EA0289"/>
    <w:rsid w:val="00EA1624"/>
    <w:rsid w:val="00EB0BA9"/>
    <w:rsid w:val="00EB11D1"/>
    <w:rsid w:val="00EB181B"/>
    <w:rsid w:val="00EB1CA4"/>
    <w:rsid w:val="00EB2DEA"/>
    <w:rsid w:val="00EB324D"/>
    <w:rsid w:val="00EB7B6E"/>
    <w:rsid w:val="00EC341C"/>
    <w:rsid w:val="00EC3D50"/>
    <w:rsid w:val="00EC5D16"/>
    <w:rsid w:val="00ED09F6"/>
    <w:rsid w:val="00ED1319"/>
    <w:rsid w:val="00ED1657"/>
    <w:rsid w:val="00ED2A59"/>
    <w:rsid w:val="00ED4302"/>
    <w:rsid w:val="00ED4610"/>
    <w:rsid w:val="00ED5637"/>
    <w:rsid w:val="00ED5A69"/>
    <w:rsid w:val="00ED6618"/>
    <w:rsid w:val="00EE0AE4"/>
    <w:rsid w:val="00EE2649"/>
    <w:rsid w:val="00EE4719"/>
    <w:rsid w:val="00EE4D89"/>
    <w:rsid w:val="00EE5AD1"/>
    <w:rsid w:val="00EE686A"/>
    <w:rsid w:val="00EE696F"/>
    <w:rsid w:val="00EE6BE1"/>
    <w:rsid w:val="00EE71C9"/>
    <w:rsid w:val="00EE7EDA"/>
    <w:rsid w:val="00EF352D"/>
    <w:rsid w:val="00EF45AF"/>
    <w:rsid w:val="00EF4AEE"/>
    <w:rsid w:val="00EF60B7"/>
    <w:rsid w:val="00EF6E41"/>
    <w:rsid w:val="00F00402"/>
    <w:rsid w:val="00F00D18"/>
    <w:rsid w:val="00F01A49"/>
    <w:rsid w:val="00F03B29"/>
    <w:rsid w:val="00F03BF4"/>
    <w:rsid w:val="00F03F3B"/>
    <w:rsid w:val="00F05641"/>
    <w:rsid w:val="00F05B11"/>
    <w:rsid w:val="00F07468"/>
    <w:rsid w:val="00F11DDC"/>
    <w:rsid w:val="00F121B9"/>
    <w:rsid w:val="00F12C0C"/>
    <w:rsid w:val="00F1302B"/>
    <w:rsid w:val="00F139C5"/>
    <w:rsid w:val="00F13F76"/>
    <w:rsid w:val="00F14314"/>
    <w:rsid w:val="00F153C1"/>
    <w:rsid w:val="00F17B44"/>
    <w:rsid w:val="00F2176B"/>
    <w:rsid w:val="00F217E8"/>
    <w:rsid w:val="00F22705"/>
    <w:rsid w:val="00F227F5"/>
    <w:rsid w:val="00F22D82"/>
    <w:rsid w:val="00F22FE8"/>
    <w:rsid w:val="00F23A8E"/>
    <w:rsid w:val="00F24937"/>
    <w:rsid w:val="00F250A6"/>
    <w:rsid w:val="00F26D40"/>
    <w:rsid w:val="00F27807"/>
    <w:rsid w:val="00F31DF4"/>
    <w:rsid w:val="00F340B6"/>
    <w:rsid w:val="00F361B7"/>
    <w:rsid w:val="00F40BAE"/>
    <w:rsid w:val="00F43E95"/>
    <w:rsid w:val="00F43EC7"/>
    <w:rsid w:val="00F4753E"/>
    <w:rsid w:val="00F479A0"/>
    <w:rsid w:val="00F52F93"/>
    <w:rsid w:val="00F531ED"/>
    <w:rsid w:val="00F5446B"/>
    <w:rsid w:val="00F54608"/>
    <w:rsid w:val="00F54DA6"/>
    <w:rsid w:val="00F552F2"/>
    <w:rsid w:val="00F55E52"/>
    <w:rsid w:val="00F562D4"/>
    <w:rsid w:val="00F56693"/>
    <w:rsid w:val="00F56945"/>
    <w:rsid w:val="00F577E8"/>
    <w:rsid w:val="00F57ACA"/>
    <w:rsid w:val="00F57EF0"/>
    <w:rsid w:val="00F60B3C"/>
    <w:rsid w:val="00F61E37"/>
    <w:rsid w:val="00F627E2"/>
    <w:rsid w:val="00F64049"/>
    <w:rsid w:val="00F64E49"/>
    <w:rsid w:val="00F66DFC"/>
    <w:rsid w:val="00F6750B"/>
    <w:rsid w:val="00F71520"/>
    <w:rsid w:val="00F7176D"/>
    <w:rsid w:val="00F72A4F"/>
    <w:rsid w:val="00F745F8"/>
    <w:rsid w:val="00F7590F"/>
    <w:rsid w:val="00F75FE2"/>
    <w:rsid w:val="00F76D4E"/>
    <w:rsid w:val="00F772CC"/>
    <w:rsid w:val="00F77604"/>
    <w:rsid w:val="00F81834"/>
    <w:rsid w:val="00F83351"/>
    <w:rsid w:val="00F8569E"/>
    <w:rsid w:val="00F85A14"/>
    <w:rsid w:val="00F90EB0"/>
    <w:rsid w:val="00F913C6"/>
    <w:rsid w:val="00F92E22"/>
    <w:rsid w:val="00F93741"/>
    <w:rsid w:val="00F93896"/>
    <w:rsid w:val="00F94864"/>
    <w:rsid w:val="00F95160"/>
    <w:rsid w:val="00F95BDD"/>
    <w:rsid w:val="00F96658"/>
    <w:rsid w:val="00FA0127"/>
    <w:rsid w:val="00FA02EE"/>
    <w:rsid w:val="00FA03B5"/>
    <w:rsid w:val="00FA0B1E"/>
    <w:rsid w:val="00FA1235"/>
    <w:rsid w:val="00FA1F1E"/>
    <w:rsid w:val="00FA27B6"/>
    <w:rsid w:val="00FA33A6"/>
    <w:rsid w:val="00FA3732"/>
    <w:rsid w:val="00FA4D41"/>
    <w:rsid w:val="00FA7B80"/>
    <w:rsid w:val="00FB0B18"/>
    <w:rsid w:val="00FB18EA"/>
    <w:rsid w:val="00FB1CE0"/>
    <w:rsid w:val="00FB2333"/>
    <w:rsid w:val="00FB2ACA"/>
    <w:rsid w:val="00FB64A6"/>
    <w:rsid w:val="00FB673E"/>
    <w:rsid w:val="00FB6A49"/>
    <w:rsid w:val="00FB753B"/>
    <w:rsid w:val="00FB7A96"/>
    <w:rsid w:val="00FC0199"/>
    <w:rsid w:val="00FC04FF"/>
    <w:rsid w:val="00FC1D7F"/>
    <w:rsid w:val="00FC1ED5"/>
    <w:rsid w:val="00FC2AE4"/>
    <w:rsid w:val="00FC2AF8"/>
    <w:rsid w:val="00FC3D57"/>
    <w:rsid w:val="00FC3EB4"/>
    <w:rsid w:val="00FC51B8"/>
    <w:rsid w:val="00FC5FD1"/>
    <w:rsid w:val="00FC6132"/>
    <w:rsid w:val="00FC6C2D"/>
    <w:rsid w:val="00FD14C9"/>
    <w:rsid w:val="00FD16AB"/>
    <w:rsid w:val="00FD1799"/>
    <w:rsid w:val="00FD2E3A"/>
    <w:rsid w:val="00FD38DC"/>
    <w:rsid w:val="00FD3DCC"/>
    <w:rsid w:val="00FD3E53"/>
    <w:rsid w:val="00FD4B63"/>
    <w:rsid w:val="00FD57A0"/>
    <w:rsid w:val="00FD6457"/>
    <w:rsid w:val="00FD7373"/>
    <w:rsid w:val="00FD755E"/>
    <w:rsid w:val="00FD75CA"/>
    <w:rsid w:val="00FD7CD3"/>
    <w:rsid w:val="00FE0064"/>
    <w:rsid w:val="00FE410C"/>
    <w:rsid w:val="00FE44C5"/>
    <w:rsid w:val="00FE657F"/>
    <w:rsid w:val="00FE76B5"/>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D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EE6BE1"/>
  </w:style>
  <w:style w:type="character" w:styleId="CommentReference">
    <w:name w:val="annotation reference"/>
    <w:basedOn w:val="DefaultParagraphFont"/>
    <w:uiPriority w:val="99"/>
    <w:semiHidden/>
    <w:unhideWhenUsed/>
    <w:locked/>
    <w:rsid w:val="00426111"/>
    <w:rPr>
      <w:sz w:val="16"/>
      <w:szCs w:val="16"/>
    </w:rPr>
  </w:style>
  <w:style w:type="paragraph" w:styleId="CommentText">
    <w:name w:val="annotation text"/>
    <w:basedOn w:val="Normal"/>
    <w:link w:val="CommentTextChar"/>
    <w:uiPriority w:val="99"/>
    <w:unhideWhenUsed/>
    <w:locked/>
    <w:rsid w:val="00426111"/>
    <w:pPr>
      <w:spacing w:line="240" w:lineRule="auto"/>
    </w:pPr>
    <w:rPr>
      <w:sz w:val="20"/>
      <w:szCs w:val="20"/>
    </w:rPr>
  </w:style>
  <w:style w:type="character" w:customStyle="1" w:styleId="CommentTextChar">
    <w:name w:val="Comment Text Char"/>
    <w:basedOn w:val="DefaultParagraphFont"/>
    <w:link w:val="CommentText"/>
    <w:uiPriority w:val="99"/>
    <w:rsid w:val="00426111"/>
    <w:rPr>
      <w:sz w:val="20"/>
      <w:szCs w:val="20"/>
    </w:rPr>
  </w:style>
  <w:style w:type="paragraph" w:styleId="CommentSubject">
    <w:name w:val="annotation subject"/>
    <w:basedOn w:val="CommentText"/>
    <w:next w:val="CommentText"/>
    <w:link w:val="CommentSubjectChar"/>
    <w:uiPriority w:val="99"/>
    <w:semiHidden/>
    <w:unhideWhenUsed/>
    <w:locked/>
    <w:rsid w:val="00426111"/>
    <w:rPr>
      <w:b/>
      <w:bCs/>
    </w:rPr>
  </w:style>
  <w:style w:type="character" w:customStyle="1" w:styleId="CommentSubjectChar">
    <w:name w:val="Comment Subject Char"/>
    <w:basedOn w:val="CommentTextChar"/>
    <w:link w:val="CommentSubject"/>
    <w:uiPriority w:val="99"/>
    <w:semiHidden/>
    <w:rsid w:val="00426111"/>
    <w:rPr>
      <w:b/>
      <w:bCs/>
      <w:sz w:val="20"/>
      <w:szCs w:val="20"/>
    </w:rPr>
  </w:style>
  <w:style w:type="character" w:customStyle="1" w:styleId="FootnoteTextChar">
    <w:name w:val="Footnote Text Char"/>
    <w:basedOn w:val="DefaultParagraphFont"/>
    <w:link w:val="FootnoteText"/>
    <w:uiPriority w:val="53"/>
    <w:rsid w:val="009A04F1"/>
  </w:style>
  <w:style w:type="paragraph" w:customStyle="1" w:styleId="Body">
    <w:name w:val="Body"/>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F7663"/>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F7663"/>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F7663"/>
    <w:pPr>
      <w:jc w:val="center"/>
    </w:pPr>
    <w:rPr>
      <w:rFonts w:ascii="Times New Roman" w:hAnsi="Times New Roman"/>
      <w:bCs/>
      <w:szCs w:val="20"/>
      <w:lang w:val="en-GB"/>
    </w:rPr>
  </w:style>
  <w:style w:type="paragraph" w:customStyle="1" w:styleId="Default">
    <w:name w:val="Default"/>
    <w:rsid w:val="005F7663"/>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52207">
      <w:bodyDiv w:val="1"/>
      <w:marLeft w:val="0"/>
      <w:marRight w:val="0"/>
      <w:marTop w:val="0"/>
      <w:marBottom w:val="0"/>
      <w:divBdr>
        <w:top w:val="none" w:sz="0" w:space="0" w:color="auto"/>
        <w:left w:val="none" w:sz="0" w:space="0" w:color="auto"/>
        <w:bottom w:val="none" w:sz="0" w:space="0" w:color="auto"/>
        <w:right w:val="none" w:sz="0" w:space="0" w:color="auto"/>
      </w:divBdr>
    </w:div>
    <w:div w:id="105604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6817b5b0f4ad56811e88f1126ca314f7">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9793191ccf4d277e35b9234e311fce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Props1.xml><?xml version="1.0" encoding="utf-8"?>
<ds:datastoreItem xmlns:ds="http://schemas.openxmlformats.org/officeDocument/2006/customXml" ds:itemID="{6E88A852-2E4D-48B3-85F5-691C4977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37</Pages>
  <Words>9417</Words>
  <Characters>53677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2025-10-06T22:00:00Z</dcterms:created>
  <dcterms:modified xsi:type="dcterms:W3CDTF">2025-10-16T01:56:00Z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