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66F90" w14:textId="77777777" w:rsidR="00240C68" w:rsidRPr="00704FF8" w:rsidRDefault="00240C68" w:rsidP="00704FF8">
      <w:pPr>
        <w:pStyle w:val="OrdersTopLine"/>
      </w:pPr>
      <w:r w:rsidRPr="00704FF8">
        <w:t>HIGH COURT OF AUSTRALIA</w:t>
      </w:r>
    </w:p>
    <w:p w14:paraId="0182AF66" w14:textId="77777777" w:rsidR="00240C68" w:rsidRPr="00704FF8" w:rsidRDefault="00240C68" w:rsidP="00704FF8">
      <w:pPr>
        <w:pStyle w:val="OrderCentre"/>
      </w:pPr>
    </w:p>
    <w:p w14:paraId="0D8F857E" w14:textId="77777777" w:rsidR="00240C68" w:rsidRPr="00C46004" w:rsidRDefault="00240C68" w:rsidP="00704FF8">
      <w:pPr>
        <w:pStyle w:val="OrderCentre"/>
        <w:rPr>
          <w:spacing w:val="-4"/>
          <w:sz w:val="24"/>
          <w:szCs w:val="24"/>
        </w:rPr>
      </w:pPr>
      <w:r w:rsidRPr="00C46004">
        <w:rPr>
          <w:spacing w:val="-4"/>
          <w:sz w:val="24"/>
          <w:szCs w:val="24"/>
        </w:rPr>
        <w:t>GAGELER CJ,</w:t>
      </w:r>
    </w:p>
    <w:p w14:paraId="5600F768" w14:textId="77777777" w:rsidR="00240C68" w:rsidRPr="00704FF8" w:rsidRDefault="00240C68" w:rsidP="00704FF8">
      <w:pPr>
        <w:pStyle w:val="OrderCentre"/>
      </w:pPr>
      <w:r w:rsidRPr="00C46004">
        <w:rPr>
          <w:spacing w:val="-4"/>
          <w:sz w:val="24"/>
          <w:szCs w:val="24"/>
        </w:rPr>
        <w:t>GORDON, EDELMAN, STEWARD AND GLEESON JJ</w:t>
      </w:r>
    </w:p>
    <w:p w14:paraId="7E2044CE" w14:textId="77777777" w:rsidR="00240C68" w:rsidRPr="00427F3A" w:rsidRDefault="00240C68" w:rsidP="00EE5374">
      <w:pPr>
        <w:pStyle w:val="Centre"/>
        <w:rPr>
          <w:lang w:val="en-AU"/>
        </w:rPr>
      </w:pPr>
    </w:p>
    <w:p w14:paraId="36FC8A46" w14:textId="77777777" w:rsidR="00240C68" w:rsidRPr="00704FF8" w:rsidRDefault="00240C68" w:rsidP="00704FF8">
      <w:pPr>
        <w:pStyle w:val="OrdersCenteredBorder"/>
      </w:pPr>
    </w:p>
    <w:p w14:paraId="11516797" w14:textId="77777777" w:rsidR="00240C68" w:rsidRPr="00704FF8" w:rsidRDefault="00240C68" w:rsidP="0032341F">
      <w:pPr>
        <w:pStyle w:val="OrdersBodyHeading"/>
      </w:pPr>
    </w:p>
    <w:p w14:paraId="7AFFBC42" w14:textId="77777777" w:rsidR="00240C68" w:rsidRPr="00B07B4E" w:rsidRDefault="00240C68" w:rsidP="003C53B2">
      <w:pPr>
        <w:pStyle w:val="OrdersPartyName"/>
        <w:ind w:right="-1"/>
      </w:pPr>
    </w:p>
    <w:p w14:paraId="3FE616DA" w14:textId="77777777" w:rsidR="00240C68" w:rsidRPr="00B07B4E" w:rsidRDefault="00240C68" w:rsidP="003C53B2">
      <w:pPr>
        <w:pStyle w:val="OrdersPartyName"/>
        <w:ind w:right="-1"/>
      </w:pPr>
      <w:r w:rsidRPr="00B53782">
        <w:t>ASHER BADARI &amp; ORS</w:t>
      </w:r>
      <w:r w:rsidRPr="00B07B4E">
        <w:tab/>
      </w:r>
      <w:r w:rsidRPr="00B53782">
        <w:t>APPLICANT</w:t>
      </w:r>
      <w:r>
        <w:t>S</w:t>
      </w:r>
    </w:p>
    <w:p w14:paraId="7907922B" w14:textId="77777777" w:rsidR="00240C68" w:rsidRPr="00B07B4E" w:rsidRDefault="00240C68" w:rsidP="003C53B2">
      <w:pPr>
        <w:pStyle w:val="OrdersPartyName"/>
        <w:ind w:right="-1"/>
      </w:pPr>
    </w:p>
    <w:p w14:paraId="327F67D2" w14:textId="77777777" w:rsidR="00240C68" w:rsidRPr="00B07B4E" w:rsidRDefault="00240C68" w:rsidP="003C53B2">
      <w:pPr>
        <w:pStyle w:val="OrdersPartyName"/>
        <w:ind w:right="-1"/>
      </w:pPr>
      <w:r w:rsidRPr="00B07B4E">
        <w:t>AND</w:t>
      </w:r>
    </w:p>
    <w:p w14:paraId="5CBEA1DA" w14:textId="77777777" w:rsidR="00240C68" w:rsidRPr="00B07B4E" w:rsidRDefault="00240C68" w:rsidP="003C53B2">
      <w:pPr>
        <w:pStyle w:val="OrdersPartyName"/>
        <w:ind w:right="-1"/>
      </w:pPr>
    </w:p>
    <w:p w14:paraId="18541BBD" w14:textId="77777777" w:rsidR="00240C68" w:rsidRDefault="00240C68" w:rsidP="003C53B2">
      <w:pPr>
        <w:pStyle w:val="OrdersPartyName"/>
        <w:ind w:right="-1"/>
      </w:pPr>
      <w:r w:rsidRPr="00B53782">
        <w:t xml:space="preserve">MINISTER FOR HOUSING AND </w:t>
      </w:r>
    </w:p>
    <w:p w14:paraId="6DB8D895" w14:textId="77777777" w:rsidR="00240C68" w:rsidRPr="00B07B4E" w:rsidRDefault="00240C68" w:rsidP="003C53B2">
      <w:pPr>
        <w:pStyle w:val="OrdersPartyName"/>
        <w:ind w:right="-1"/>
      </w:pPr>
      <w:r w:rsidRPr="00B53782">
        <w:t>HOMELANDS &amp; ANOR</w:t>
      </w:r>
      <w:r w:rsidRPr="00B07B4E">
        <w:tab/>
        <w:t>RESPONDENT</w:t>
      </w:r>
      <w:r>
        <w:t>S</w:t>
      </w:r>
    </w:p>
    <w:p w14:paraId="6759AB70" w14:textId="77777777" w:rsidR="00240C68" w:rsidRPr="00427F3A" w:rsidRDefault="00240C68" w:rsidP="00AF0A5E">
      <w:pPr>
        <w:pStyle w:val="BodyHeading"/>
      </w:pPr>
    </w:p>
    <w:p w14:paraId="7612C352" w14:textId="77777777" w:rsidR="00240C68" w:rsidRPr="00427F3A" w:rsidRDefault="00240C68" w:rsidP="00BE0A6C">
      <w:pPr>
        <w:pStyle w:val="BodyHeading"/>
      </w:pPr>
    </w:p>
    <w:p w14:paraId="48DC269C" w14:textId="77777777" w:rsidR="00240C68" w:rsidRPr="00427F3A" w:rsidRDefault="00240C68" w:rsidP="00EE5374">
      <w:pPr>
        <w:pStyle w:val="CentreItalics"/>
      </w:pPr>
      <w:r w:rsidRPr="00B53782">
        <w:t>Badari v Minister for Housing and Homelands</w:t>
      </w:r>
    </w:p>
    <w:p w14:paraId="40C21865" w14:textId="77777777" w:rsidR="00240C68" w:rsidRPr="00427F3A" w:rsidRDefault="00240C68" w:rsidP="00E90E4F">
      <w:pPr>
        <w:pStyle w:val="OrdersCentre"/>
      </w:pPr>
      <w:r>
        <w:t>[2025</w:t>
      </w:r>
      <w:r w:rsidRPr="00427F3A">
        <w:t xml:space="preserve">] HCA </w:t>
      </w:r>
      <w:r>
        <w:t>48</w:t>
      </w:r>
    </w:p>
    <w:p w14:paraId="712EBFD8" w14:textId="77777777" w:rsidR="00240C68" w:rsidRDefault="00240C68" w:rsidP="00E90E4F">
      <w:pPr>
        <w:pStyle w:val="OrdersCentreItalics"/>
      </w:pPr>
      <w:r>
        <w:t xml:space="preserve">Date of Hearing: </w:t>
      </w:r>
      <w:r w:rsidRPr="00B53782">
        <w:t>3 September 2025</w:t>
      </w:r>
    </w:p>
    <w:p w14:paraId="2982A38D" w14:textId="77777777" w:rsidR="00240C68" w:rsidRPr="00427F3A" w:rsidRDefault="00240C68" w:rsidP="00E90E4F">
      <w:pPr>
        <w:pStyle w:val="OrdersCentreItalics"/>
      </w:pPr>
      <w:r>
        <w:t>Date of Judgment: 3 December 2025</w:t>
      </w:r>
    </w:p>
    <w:p w14:paraId="13C92939" w14:textId="77777777" w:rsidR="00240C68" w:rsidRDefault="00240C68" w:rsidP="00E90E4F">
      <w:pPr>
        <w:pStyle w:val="OrdersCentre"/>
      </w:pPr>
      <w:r w:rsidRPr="00B53782">
        <w:t>D1/2025</w:t>
      </w:r>
    </w:p>
    <w:p w14:paraId="273F30BF" w14:textId="77777777" w:rsidR="00240C68" w:rsidRPr="00427F3A" w:rsidRDefault="00240C68" w:rsidP="00E90E4F">
      <w:pPr>
        <w:pStyle w:val="OrdersCentre"/>
      </w:pPr>
    </w:p>
    <w:p w14:paraId="3E3DDC57" w14:textId="77777777" w:rsidR="00240C68" w:rsidRPr="00BE0A6C" w:rsidRDefault="00240C68" w:rsidP="00E90E4F">
      <w:pPr>
        <w:pStyle w:val="OrderCentreBold"/>
      </w:pPr>
      <w:r w:rsidRPr="00BE0A6C">
        <w:t>ORDER</w:t>
      </w:r>
    </w:p>
    <w:p w14:paraId="663ABDFC" w14:textId="77777777" w:rsidR="00240C68" w:rsidRPr="00427F3A" w:rsidRDefault="00240C68" w:rsidP="00736C52">
      <w:pPr>
        <w:pStyle w:val="Centre"/>
        <w:rPr>
          <w:lang w:val="en-AU"/>
        </w:rPr>
      </w:pPr>
    </w:p>
    <w:p w14:paraId="76975837" w14:textId="77777777" w:rsidR="00240C68" w:rsidRPr="006954F0" w:rsidRDefault="00240C68" w:rsidP="00FE545A">
      <w:pPr>
        <w:pStyle w:val="OrdersText"/>
      </w:pPr>
      <w:r>
        <w:t>1.</w:t>
      </w:r>
      <w:r>
        <w:tab/>
      </w:r>
      <w:r w:rsidRPr="006954F0">
        <w:t>Special leave to appeal is granted.</w:t>
      </w:r>
    </w:p>
    <w:p w14:paraId="272036DC" w14:textId="77777777" w:rsidR="00240C68" w:rsidRPr="006954F0" w:rsidRDefault="00240C68" w:rsidP="00FE545A">
      <w:pPr>
        <w:pStyle w:val="OrdersText"/>
      </w:pPr>
    </w:p>
    <w:p w14:paraId="19E55996" w14:textId="77777777" w:rsidR="00240C68" w:rsidRPr="006954F0" w:rsidRDefault="00240C68" w:rsidP="00FE545A">
      <w:pPr>
        <w:pStyle w:val="OrdersText"/>
      </w:pPr>
      <w:r>
        <w:t>2.</w:t>
      </w:r>
      <w:r>
        <w:tab/>
      </w:r>
      <w:r w:rsidRPr="006954F0">
        <w:t>The appeal is allowed.</w:t>
      </w:r>
    </w:p>
    <w:p w14:paraId="0EAA83CC" w14:textId="77777777" w:rsidR="00240C68" w:rsidRPr="006954F0" w:rsidRDefault="00240C68" w:rsidP="00FE545A">
      <w:pPr>
        <w:pStyle w:val="OrdersText"/>
      </w:pPr>
    </w:p>
    <w:p w14:paraId="3E8ED458" w14:textId="77777777" w:rsidR="00240C68" w:rsidRPr="006954F0" w:rsidRDefault="00240C68" w:rsidP="00FE545A">
      <w:pPr>
        <w:pStyle w:val="OrdersText"/>
      </w:pPr>
      <w:r>
        <w:t>3.</w:t>
      </w:r>
      <w:r>
        <w:tab/>
      </w:r>
      <w:r w:rsidRPr="006954F0">
        <w:t>Order 2 made on 24 January 2025 by the Court of Appeal and the Full Court of the Supreme Court of the Northern Territory be set aside.</w:t>
      </w:r>
    </w:p>
    <w:p w14:paraId="08750665" w14:textId="77777777" w:rsidR="00240C68" w:rsidRPr="006954F0" w:rsidRDefault="00240C68" w:rsidP="00FE545A">
      <w:pPr>
        <w:pStyle w:val="OrdersText"/>
      </w:pPr>
    </w:p>
    <w:p w14:paraId="0C82FCAE" w14:textId="77777777" w:rsidR="00240C68" w:rsidRPr="006954F0" w:rsidRDefault="00240C68" w:rsidP="00FE545A">
      <w:pPr>
        <w:pStyle w:val="OrdersText"/>
      </w:pPr>
      <w:r>
        <w:t>4.</w:t>
      </w:r>
      <w:r>
        <w:tab/>
      </w:r>
      <w:r w:rsidRPr="006954F0">
        <w:t>There be no order as to costs of the application for special leave to appeal and resulting appeal.</w:t>
      </w:r>
    </w:p>
    <w:p w14:paraId="1824443A" w14:textId="77777777" w:rsidR="00240C68" w:rsidRDefault="00240C68" w:rsidP="00EE5374">
      <w:pPr>
        <w:pStyle w:val="Body"/>
      </w:pPr>
    </w:p>
    <w:p w14:paraId="425A3492" w14:textId="77777777" w:rsidR="00240C68" w:rsidRPr="00427F3A" w:rsidRDefault="00240C68" w:rsidP="00EE5374">
      <w:pPr>
        <w:pStyle w:val="Body"/>
      </w:pPr>
    </w:p>
    <w:p w14:paraId="199F942A" w14:textId="77777777" w:rsidR="00240C68" w:rsidRPr="00427F3A" w:rsidRDefault="00240C68" w:rsidP="0032341F">
      <w:pPr>
        <w:pStyle w:val="OrdersBody"/>
      </w:pPr>
      <w:r w:rsidRPr="00427F3A">
        <w:t xml:space="preserve">On appeal from the </w:t>
      </w:r>
      <w:r w:rsidRPr="00B53782">
        <w:t>Supreme Court of the Northern Territory</w:t>
      </w:r>
    </w:p>
    <w:p w14:paraId="1A03E1E8" w14:textId="77777777" w:rsidR="00240C68" w:rsidRDefault="00240C68" w:rsidP="00EE5374">
      <w:pPr>
        <w:pStyle w:val="Body"/>
      </w:pPr>
    </w:p>
    <w:p w14:paraId="21FE422C" w14:textId="77777777" w:rsidR="00240C68" w:rsidRPr="00427F3A" w:rsidRDefault="00240C68" w:rsidP="00EE5374">
      <w:pPr>
        <w:pStyle w:val="Body"/>
      </w:pPr>
    </w:p>
    <w:p w14:paraId="323D5100" w14:textId="77777777" w:rsidR="00240C68" w:rsidRPr="000A36A1" w:rsidRDefault="00240C68" w:rsidP="00E90E4F">
      <w:pPr>
        <w:pStyle w:val="OrdersBodyHeading"/>
      </w:pPr>
      <w:r w:rsidRPr="000A36A1">
        <w:t>Representation</w:t>
      </w:r>
    </w:p>
    <w:p w14:paraId="75593D9F" w14:textId="77777777" w:rsidR="00240C68" w:rsidRPr="000A36A1" w:rsidRDefault="00240C68" w:rsidP="00EE5374">
      <w:pPr>
        <w:pStyle w:val="Body"/>
      </w:pPr>
    </w:p>
    <w:p w14:paraId="7B9DE7AE" w14:textId="77777777" w:rsidR="00240C68" w:rsidRPr="000A36A1" w:rsidRDefault="00240C68" w:rsidP="00E90E4F">
      <w:pPr>
        <w:pStyle w:val="OrdersBody"/>
      </w:pPr>
      <w:r w:rsidRPr="000A36A1">
        <w:t xml:space="preserve">M L </w:t>
      </w:r>
      <w:proofErr w:type="spellStart"/>
      <w:r w:rsidRPr="000A36A1">
        <w:t>L</w:t>
      </w:r>
      <w:proofErr w:type="spellEnd"/>
      <w:r w:rsidRPr="000A36A1">
        <w:t xml:space="preserve"> Albert with M </w:t>
      </w:r>
      <w:proofErr w:type="gramStart"/>
      <w:r w:rsidRPr="000A36A1">
        <w:t>A</w:t>
      </w:r>
      <w:proofErr w:type="gramEnd"/>
      <w:r w:rsidRPr="000A36A1">
        <w:t xml:space="preserve"> Benn for the applicants (instructed by Australian Lawyers for Remote Aboriginal Rights)</w:t>
      </w:r>
    </w:p>
    <w:p w14:paraId="73CE0634" w14:textId="5DE6EA7B" w:rsidR="00240C68" w:rsidRDefault="00240C68">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rPr>
      </w:pPr>
      <w:r>
        <w:br w:type="page"/>
      </w:r>
    </w:p>
    <w:p w14:paraId="7EBE6A70" w14:textId="6A065142" w:rsidR="00240C68" w:rsidRDefault="00240C68">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rPr>
      </w:pPr>
      <w:r>
        <w:lastRenderedPageBreak/>
        <w:br w:type="page"/>
      </w:r>
    </w:p>
    <w:p w14:paraId="0F683383" w14:textId="77777777" w:rsidR="00240C68" w:rsidRPr="000A36A1" w:rsidRDefault="00240C68" w:rsidP="001B3C97">
      <w:pPr>
        <w:pStyle w:val="Body"/>
      </w:pPr>
    </w:p>
    <w:p w14:paraId="41D0ECCE" w14:textId="77777777" w:rsidR="00240C68" w:rsidRDefault="00240C68" w:rsidP="00B9361C">
      <w:pPr>
        <w:pStyle w:val="OrdersBody"/>
      </w:pPr>
      <w:r w:rsidRPr="000A36A1">
        <w:t xml:space="preserve">C L Lenehan SC with R S </w:t>
      </w:r>
      <w:proofErr w:type="spellStart"/>
      <w:r w:rsidRPr="000A36A1">
        <w:t>Amamoo</w:t>
      </w:r>
      <w:proofErr w:type="spellEnd"/>
      <w:r w:rsidRPr="000A36A1">
        <w:t xml:space="preserve"> for the respondents (instructed by Solicitor for the Northern Territory)</w:t>
      </w:r>
    </w:p>
    <w:p w14:paraId="071974AE" w14:textId="77777777" w:rsidR="00240C68" w:rsidRDefault="00240C68" w:rsidP="00A01277">
      <w:pPr>
        <w:pStyle w:val="Body"/>
      </w:pPr>
    </w:p>
    <w:p w14:paraId="769DE284" w14:textId="77777777" w:rsidR="00240C68" w:rsidRDefault="00240C68" w:rsidP="00EE5374">
      <w:pPr>
        <w:pStyle w:val="Body"/>
      </w:pPr>
    </w:p>
    <w:p w14:paraId="2207E1B5" w14:textId="77777777" w:rsidR="00240C68" w:rsidRDefault="00240C68" w:rsidP="00EE5374">
      <w:pPr>
        <w:pStyle w:val="Body"/>
      </w:pPr>
    </w:p>
    <w:p w14:paraId="236AAB0E" w14:textId="77777777" w:rsidR="00240C68" w:rsidRDefault="00240C68" w:rsidP="00EE5374">
      <w:pPr>
        <w:pStyle w:val="Body"/>
      </w:pPr>
    </w:p>
    <w:p w14:paraId="4E310ACE" w14:textId="77777777" w:rsidR="00240C68" w:rsidRDefault="00240C68" w:rsidP="00EE5374">
      <w:pPr>
        <w:pStyle w:val="Body"/>
      </w:pPr>
    </w:p>
    <w:p w14:paraId="4A786F0E" w14:textId="77777777" w:rsidR="00240C68" w:rsidRDefault="00240C68" w:rsidP="00EE5374">
      <w:pPr>
        <w:pStyle w:val="Body"/>
      </w:pPr>
    </w:p>
    <w:p w14:paraId="09494D59" w14:textId="77777777" w:rsidR="00240C68" w:rsidRDefault="00240C68" w:rsidP="00EE5374">
      <w:pPr>
        <w:pStyle w:val="Body"/>
      </w:pPr>
    </w:p>
    <w:p w14:paraId="5C28F9F7" w14:textId="77777777" w:rsidR="00240C68" w:rsidRDefault="00240C68" w:rsidP="00EE5374">
      <w:pPr>
        <w:pStyle w:val="Body"/>
      </w:pPr>
    </w:p>
    <w:p w14:paraId="2B0A6022" w14:textId="77777777" w:rsidR="00240C68" w:rsidRDefault="00240C68" w:rsidP="00EE5374">
      <w:pPr>
        <w:pStyle w:val="Body"/>
      </w:pPr>
    </w:p>
    <w:p w14:paraId="4816C54E" w14:textId="77777777" w:rsidR="00240C68" w:rsidRDefault="00240C68" w:rsidP="00EE5374">
      <w:pPr>
        <w:pStyle w:val="Body"/>
      </w:pPr>
    </w:p>
    <w:p w14:paraId="2C9C09B8" w14:textId="77777777" w:rsidR="00240C68" w:rsidRDefault="00240C68" w:rsidP="00EE5374">
      <w:pPr>
        <w:pStyle w:val="Body"/>
      </w:pPr>
    </w:p>
    <w:p w14:paraId="792D9D26" w14:textId="77777777" w:rsidR="00240C68" w:rsidRDefault="00240C68" w:rsidP="00EE5374">
      <w:pPr>
        <w:pStyle w:val="Body"/>
      </w:pPr>
    </w:p>
    <w:p w14:paraId="65F2BBAE" w14:textId="77777777" w:rsidR="00240C68" w:rsidRDefault="00240C68" w:rsidP="00EE5374">
      <w:pPr>
        <w:pStyle w:val="Body"/>
      </w:pPr>
    </w:p>
    <w:p w14:paraId="2C16EC3C" w14:textId="77777777" w:rsidR="00240C68" w:rsidRDefault="00240C68" w:rsidP="00EE5374">
      <w:pPr>
        <w:pStyle w:val="Body"/>
      </w:pPr>
    </w:p>
    <w:p w14:paraId="06719477" w14:textId="77777777" w:rsidR="00240C68" w:rsidRDefault="00240C68" w:rsidP="00EE5374">
      <w:pPr>
        <w:pStyle w:val="Body"/>
      </w:pPr>
    </w:p>
    <w:p w14:paraId="4E594477" w14:textId="77777777" w:rsidR="00240C68" w:rsidRDefault="00240C68" w:rsidP="00EE5374">
      <w:pPr>
        <w:pStyle w:val="Body"/>
      </w:pPr>
    </w:p>
    <w:p w14:paraId="51A45BA7" w14:textId="77777777" w:rsidR="00240C68" w:rsidRDefault="00240C68" w:rsidP="00EE5374">
      <w:pPr>
        <w:pStyle w:val="Body"/>
      </w:pPr>
    </w:p>
    <w:p w14:paraId="295CE804" w14:textId="77777777" w:rsidR="00240C68" w:rsidRDefault="00240C68" w:rsidP="00EE5374">
      <w:pPr>
        <w:pStyle w:val="Body"/>
      </w:pPr>
    </w:p>
    <w:p w14:paraId="6C3DACD4" w14:textId="77777777" w:rsidR="00240C68" w:rsidRDefault="00240C68" w:rsidP="00EE5374">
      <w:pPr>
        <w:pStyle w:val="Body"/>
      </w:pPr>
    </w:p>
    <w:p w14:paraId="151C36E1" w14:textId="77777777" w:rsidR="00240C68" w:rsidRDefault="00240C68" w:rsidP="00EE5374">
      <w:pPr>
        <w:pStyle w:val="Body"/>
      </w:pPr>
    </w:p>
    <w:p w14:paraId="767224EF" w14:textId="77777777" w:rsidR="00240C68" w:rsidRDefault="00240C68" w:rsidP="00EE5374">
      <w:pPr>
        <w:pStyle w:val="Body"/>
      </w:pPr>
    </w:p>
    <w:p w14:paraId="13FFE4CE" w14:textId="77777777" w:rsidR="00240C68" w:rsidRDefault="00240C68" w:rsidP="00EE5374">
      <w:pPr>
        <w:pStyle w:val="Body"/>
      </w:pPr>
    </w:p>
    <w:p w14:paraId="5AF96F9A" w14:textId="77777777" w:rsidR="00240C68" w:rsidRDefault="00240C68" w:rsidP="00EE5374">
      <w:pPr>
        <w:pStyle w:val="Body"/>
      </w:pPr>
    </w:p>
    <w:p w14:paraId="2E3B4CB3" w14:textId="77777777" w:rsidR="00240C68" w:rsidRDefault="00240C68" w:rsidP="00EE5374">
      <w:pPr>
        <w:pStyle w:val="Body"/>
      </w:pPr>
    </w:p>
    <w:p w14:paraId="33FA3C21" w14:textId="77777777" w:rsidR="00240C68" w:rsidRDefault="00240C68" w:rsidP="00EE5374">
      <w:pPr>
        <w:pStyle w:val="Body"/>
      </w:pPr>
    </w:p>
    <w:p w14:paraId="21E1944F" w14:textId="77777777" w:rsidR="00240C68" w:rsidRDefault="00240C68" w:rsidP="00EE5374">
      <w:pPr>
        <w:pStyle w:val="Body"/>
      </w:pPr>
    </w:p>
    <w:p w14:paraId="660357C4" w14:textId="77777777" w:rsidR="00240C68" w:rsidRDefault="00240C68" w:rsidP="00EE5374">
      <w:pPr>
        <w:pStyle w:val="Body"/>
      </w:pPr>
    </w:p>
    <w:p w14:paraId="294AD578" w14:textId="77777777" w:rsidR="00240C68" w:rsidRDefault="00240C68" w:rsidP="00EE5374">
      <w:pPr>
        <w:pStyle w:val="Body"/>
      </w:pPr>
    </w:p>
    <w:p w14:paraId="36EC1936" w14:textId="77777777" w:rsidR="00240C68" w:rsidRDefault="00240C68" w:rsidP="00EE5374">
      <w:pPr>
        <w:pStyle w:val="Body"/>
      </w:pPr>
    </w:p>
    <w:p w14:paraId="1A900470" w14:textId="77777777" w:rsidR="00240C68" w:rsidRDefault="00240C68" w:rsidP="00EE5374">
      <w:pPr>
        <w:pStyle w:val="Body"/>
      </w:pPr>
    </w:p>
    <w:p w14:paraId="2206EBAB" w14:textId="77777777" w:rsidR="00240C68" w:rsidRDefault="00240C68" w:rsidP="00EE5374">
      <w:pPr>
        <w:pStyle w:val="Body"/>
      </w:pPr>
    </w:p>
    <w:p w14:paraId="7E8BD4B0" w14:textId="77777777" w:rsidR="00240C68" w:rsidRDefault="00240C68" w:rsidP="00EE5374">
      <w:pPr>
        <w:pStyle w:val="Body"/>
      </w:pPr>
    </w:p>
    <w:p w14:paraId="556B4E69" w14:textId="77777777" w:rsidR="00240C68" w:rsidRDefault="00240C68" w:rsidP="00EE5374">
      <w:pPr>
        <w:pStyle w:val="Body"/>
      </w:pPr>
    </w:p>
    <w:p w14:paraId="10ABF055" w14:textId="77777777" w:rsidR="00240C68" w:rsidRPr="00427F3A" w:rsidRDefault="00240C68" w:rsidP="00EE5374">
      <w:pPr>
        <w:pStyle w:val="Body"/>
      </w:pPr>
    </w:p>
    <w:p w14:paraId="2F2FACB8" w14:textId="77777777" w:rsidR="00240C68" w:rsidRPr="00427F3A" w:rsidRDefault="00240C68" w:rsidP="00F9713B">
      <w:pPr>
        <w:pStyle w:val="Notice"/>
        <w:rPr>
          <w:lang w:val="en-AU"/>
        </w:rPr>
      </w:pPr>
      <w:r w:rsidRPr="00427F3A">
        <w:rPr>
          <w:lang w:val="en-AU"/>
        </w:rPr>
        <w:t>Notice:  This copy of the Court's Reasons for Judgment is subject to formal revision prior to publication in the Commonwealth Law Reports.</w:t>
      </w:r>
    </w:p>
    <w:p w14:paraId="76E86EEB" w14:textId="19A165A5" w:rsidR="00240C68" w:rsidRDefault="00240C68">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5CF255B4" w14:textId="77777777" w:rsidR="00240C68" w:rsidRDefault="00240C68">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240C68" w:rsidSect="00240C68">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74BCF3FA" w14:textId="77777777" w:rsidR="00240C68" w:rsidRPr="008B39A4" w:rsidRDefault="00240C68" w:rsidP="007A74C0">
      <w:pPr>
        <w:pStyle w:val="CatchwordsBold"/>
        <w:tabs>
          <w:tab w:val="clear" w:pos="3600"/>
          <w:tab w:val="clear" w:pos="6480"/>
          <w:tab w:val="left" w:pos="7560"/>
        </w:tabs>
      </w:pPr>
      <w:r w:rsidRPr="008B39A4">
        <w:lastRenderedPageBreak/>
        <w:t>CATCHWORDS</w:t>
      </w:r>
    </w:p>
    <w:p w14:paraId="0FE8BF3A" w14:textId="77777777" w:rsidR="00240C68" w:rsidRPr="008B39A4" w:rsidRDefault="00240C68" w:rsidP="001649CA">
      <w:pPr>
        <w:pStyle w:val="CatchwordsBold"/>
      </w:pPr>
    </w:p>
    <w:p w14:paraId="6EFCBBDB" w14:textId="77777777" w:rsidR="00240C68" w:rsidRPr="006D08CC" w:rsidRDefault="00240C68" w:rsidP="001500A5">
      <w:pPr>
        <w:pStyle w:val="Default"/>
        <w:rPr>
          <w:rFonts w:eastAsia="Times New Roman"/>
          <w:b/>
          <w:color w:val="auto"/>
          <w:sz w:val="26"/>
          <w:szCs w:val="20"/>
          <w:lang w:eastAsia="en-AU"/>
        </w:rPr>
      </w:pPr>
      <w:r w:rsidRPr="006D08CC">
        <w:rPr>
          <w:rFonts w:eastAsia="Times New Roman"/>
          <w:b/>
          <w:color w:val="auto"/>
          <w:sz w:val="26"/>
          <w:szCs w:val="20"/>
          <w:lang w:eastAsia="en-AU"/>
        </w:rPr>
        <w:t xml:space="preserve">Badari v Minister for Housing and Homelands </w:t>
      </w:r>
    </w:p>
    <w:p w14:paraId="70BFABB4" w14:textId="77777777" w:rsidR="00240C68" w:rsidRPr="006D08CC" w:rsidRDefault="00240C68" w:rsidP="001649CA">
      <w:pPr>
        <w:pStyle w:val="CatchwordsText"/>
      </w:pPr>
    </w:p>
    <w:p w14:paraId="042B0F02" w14:textId="77777777" w:rsidR="00240C68" w:rsidRPr="006D08CC" w:rsidRDefault="00240C68" w:rsidP="001649CA">
      <w:pPr>
        <w:pStyle w:val="CatchwordsText"/>
      </w:pPr>
      <w:r>
        <w:t xml:space="preserve">Practice and Procedure </w:t>
      </w:r>
      <w:r w:rsidRPr="00936402">
        <w:t>–</w:t>
      </w:r>
      <w:r>
        <w:t xml:space="preserve"> Jurisdiction </w:t>
      </w:r>
      <w:r w:rsidRPr="00182471">
        <w:t>–</w:t>
      </w:r>
      <w:r>
        <w:t xml:space="preserve"> Jurisdiction of the Full Court of the Supreme Court of the Northern Territory on referral under ss 15 and 21 of </w:t>
      </w:r>
      <w:r>
        <w:rPr>
          <w:i/>
          <w:iCs/>
        </w:rPr>
        <w:t xml:space="preserve">Supreme Court Act 1979 </w:t>
      </w:r>
      <w:r>
        <w:t xml:space="preserve">(NT) </w:t>
      </w:r>
      <w:r w:rsidRPr="00936402">
        <w:t>–</w:t>
      </w:r>
      <w:r>
        <w:t xml:space="preserve"> Where application for declaration referred for determination by the Full Court </w:t>
      </w:r>
      <w:r w:rsidRPr="00936402">
        <w:t>–</w:t>
      </w:r>
      <w:r>
        <w:t xml:space="preserve"> Where the Full Court declined to accept the referral </w:t>
      </w:r>
      <w:r w:rsidRPr="00936402">
        <w:t>–</w:t>
      </w:r>
      <w:r>
        <w:t xml:space="preserve"> Where parties subsequently made no submissions to the Full Court regarding application for declaration </w:t>
      </w:r>
      <w:r w:rsidRPr="00936402">
        <w:t>–</w:t>
      </w:r>
      <w:r>
        <w:t xml:space="preserve"> Where the Full Court subsequently purported to order that application for declaration be dismissed </w:t>
      </w:r>
      <w:r w:rsidRPr="00936402">
        <w:t>–</w:t>
      </w:r>
      <w:r>
        <w:t xml:space="preserve"> Whether the Full Court had jurisdiction to order dismissal of application </w:t>
      </w:r>
      <w:r w:rsidRPr="00936402">
        <w:t>–</w:t>
      </w:r>
      <w:r>
        <w:t xml:space="preserve"> Whether regard may be had to extrinsic material in interpreting the Court's order.</w:t>
      </w:r>
    </w:p>
    <w:p w14:paraId="02EB6186" w14:textId="77777777" w:rsidR="00240C68" w:rsidRPr="006D08CC" w:rsidRDefault="00240C68" w:rsidP="001649CA">
      <w:pPr>
        <w:pStyle w:val="CatchwordsText"/>
      </w:pPr>
    </w:p>
    <w:p w14:paraId="1B090216" w14:textId="77777777" w:rsidR="00240C68" w:rsidRPr="006D08CC" w:rsidRDefault="00240C68" w:rsidP="001649CA">
      <w:pPr>
        <w:pStyle w:val="CatchwordsText"/>
      </w:pPr>
      <w:r w:rsidRPr="00936402">
        <w:t xml:space="preserve">Words and phrases – "decline to accept referral", "determination", "extrinsic material", "jurisdiction", </w:t>
      </w:r>
      <w:r>
        <w:t xml:space="preserve">"order", </w:t>
      </w:r>
      <w:r w:rsidRPr="00936402">
        <w:t>"public housing",</w:t>
      </w:r>
      <w:r>
        <w:t xml:space="preserve"> </w:t>
      </w:r>
      <w:r w:rsidRPr="00936402">
        <w:t>"referral", "remote communities", "rent", "special leave to appeal", "tenant".</w:t>
      </w:r>
    </w:p>
    <w:p w14:paraId="43A1C682" w14:textId="77777777" w:rsidR="00240C68" w:rsidRDefault="00240C68" w:rsidP="001649CA">
      <w:pPr>
        <w:pStyle w:val="CatchwordsText"/>
      </w:pPr>
    </w:p>
    <w:p w14:paraId="304942C4" w14:textId="77777777" w:rsidR="00240C68" w:rsidRPr="00554C27" w:rsidRDefault="00240C68" w:rsidP="001649CA">
      <w:pPr>
        <w:pStyle w:val="CatchwordsText"/>
      </w:pPr>
      <w:r w:rsidRPr="00554C27">
        <w:rPr>
          <w:i/>
          <w:iCs/>
        </w:rPr>
        <w:t>Housing Act 1982</w:t>
      </w:r>
      <w:r w:rsidRPr="00554C27">
        <w:t xml:space="preserve"> (NT), s 23</w:t>
      </w:r>
      <w:r>
        <w:t>.</w:t>
      </w:r>
    </w:p>
    <w:p w14:paraId="0593355E" w14:textId="77777777" w:rsidR="00240C68" w:rsidRPr="00554C27" w:rsidRDefault="00240C68" w:rsidP="001649CA">
      <w:pPr>
        <w:pStyle w:val="CatchwordsText"/>
      </w:pPr>
      <w:r w:rsidRPr="00554C27">
        <w:rPr>
          <w:i/>
          <w:iCs/>
        </w:rPr>
        <w:t>Housing Regulations 1983</w:t>
      </w:r>
      <w:r w:rsidRPr="00554C27">
        <w:t xml:space="preserve"> (NT)</w:t>
      </w:r>
      <w:r>
        <w:t>.</w:t>
      </w:r>
    </w:p>
    <w:p w14:paraId="7B731AA8" w14:textId="77777777" w:rsidR="00240C68" w:rsidRPr="00554C27" w:rsidRDefault="00240C68" w:rsidP="001649CA">
      <w:pPr>
        <w:pStyle w:val="CatchwordsText"/>
      </w:pPr>
      <w:r w:rsidRPr="00554C27">
        <w:rPr>
          <w:i/>
          <w:iCs/>
        </w:rPr>
        <w:t>Residential Tenancies Act 1999</w:t>
      </w:r>
      <w:r w:rsidRPr="00554C27">
        <w:t xml:space="preserve"> (NT), s 41</w:t>
      </w:r>
      <w:r>
        <w:t>.</w:t>
      </w:r>
    </w:p>
    <w:p w14:paraId="09D29220" w14:textId="77777777" w:rsidR="00240C68" w:rsidRPr="00554C27" w:rsidRDefault="00240C68" w:rsidP="001649CA">
      <w:pPr>
        <w:pStyle w:val="CatchwordsText"/>
      </w:pPr>
      <w:r w:rsidRPr="00554C27">
        <w:rPr>
          <w:i/>
          <w:iCs/>
        </w:rPr>
        <w:t>Residential Tenancies Regulations 2000</w:t>
      </w:r>
      <w:r w:rsidRPr="00554C27">
        <w:t xml:space="preserve"> (NT), </w:t>
      </w:r>
      <w:r>
        <w:t>S</w:t>
      </w:r>
      <w:r w:rsidRPr="00554C27">
        <w:t>ch 2 cl 2</w:t>
      </w:r>
      <w:r>
        <w:t>.</w:t>
      </w:r>
    </w:p>
    <w:p w14:paraId="6E3C8919" w14:textId="77777777" w:rsidR="00240C68" w:rsidRPr="00CB3E10" w:rsidRDefault="00240C68" w:rsidP="001649CA">
      <w:pPr>
        <w:pStyle w:val="CatchwordsText"/>
      </w:pPr>
      <w:r w:rsidRPr="00554C27">
        <w:rPr>
          <w:i/>
          <w:iCs/>
        </w:rPr>
        <w:t>Supreme Court Act 1979</w:t>
      </w:r>
      <w:r w:rsidRPr="00554C27">
        <w:t xml:space="preserve"> (NT), ss 15, 18, 21</w:t>
      </w:r>
      <w:r>
        <w:t>.</w:t>
      </w:r>
    </w:p>
    <w:p w14:paraId="23647C1F" w14:textId="77777777" w:rsidR="00240C68" w:rsidRPr="00F64E24" w:rsidRDefault="00240C68" w:rsidP="001649CA">
      <w:pPr>
        <w:pStyle w:val="CatchwordsText"/>
      </w:pPr>
    </w:p>
    <w:p w14:paraId="5FC518B9" w14:textId="27524A60" w:rsidR="00240C68" w:rsidRDefault="00240C68" w:rsidP="00240C68">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p>
    <w:p w14:paraId="1AFBFE33" w14:textId="702B9A21" w:rsidR="00240C68" w:rsidRDefault="00240C68">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53C4CE50" w14:textId="402BA350" w:rsidR="00240C68" w:rsidRDefault="00240C68">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lastRenderedPageBreak/>
        <w:br w:type="page"/>
      </w:r>
    </w:p>
    <w:p w14:paraId="6524FC24" w14:textId="77777777" w:rsidR="00240C68" w:rsidRDefault="00240C68" w:rsidP="00231A03">
      <w:pPr>
        <w:pStyle w:val="FixListStyle"/>
        <w:tabs>
          <w:tab w:val="clear" w:pos="720"/>
          <w:tab w:val="left" w:pos="0"/>
        </w:tabs>
        <w:spacing w:after="260" w:line="280" w:lineRule="exact"/>
        <w:ind w:right="0"/>
        <w:jc w:val="both"/>
        <w:rPr>
          <w:rFonts w:ascii="Times New Roman" w:hAnsi="Times New Roman"/>
        </w:rPr>
        <w:sectPr w:rsidR="00240C68" w:rsidSect="00240C68">
          <w:pgSz w:w="11907" w:h="16839" w:code="9"/>
          <w:pgMar w:top="1440" w:right="1701" w:bottom="1984" w:left="1701" w:header="720" w:footer="720" w:gutter="0"/>
          <w:pgNumType w:start="1"/>
          <w:cols w:space="720"/>
          <w:titlePg/>
          <w:docGrid w:linePitch="354"/>
        </w:sectPr>
      </w:pPr>
    </w:p>
    <w:p w14:paraId="2CECCEF0" w14:textId="755D2370" w:rsidR="00C939EF" w:rsidRPr="00231A03" w:rsidRDefault="00231A03" w:rsidP="00231A03">
      <w:pPr>
        <w:pStyle w:val="FixListStyle"/>
        <w:tabs>
          <w:tab w:val="clear" w:pos="720"/>
          <w:tab w:val="left" w:pos="0"/>
        </w:tabs>
        <w:spacing w:after="260" w:line="280" w:lineRule="exact"/>
        <w:ind w:right="0"/>
        <w:jc w:val="both"/>
        <w:rPr>
          <w:rFonts w:ascii="Times New Roman" w:hAnsi="Times New Roman"/>
        </w:rPr>
      </w:pPr>
      <w:r w:rsidRPr="00231A03">
        <w:rPr>
          <w:rFonts w:ascii="Times New Roman" w:hAnsi="Times New Roman"/>
        </w:rPr>
        <w:lastRenderedPageBreak/>
        <w:t xml:space="preserve">GAGELER CJ, GORDON, EDELMAN, STEWARD AND GLEESON JJ.   </w:t>
      </w:r>
      <w:r w:rsidR="00D5579D" w:rsidRPr="00231A03">
        <w:rPr>
          <w:rFonts w:ascii="Times New Roman" w:hAnsi="Times New Roman"/>
        </w:rPr>
        <w:t>T</w:t>
      </w:r>
      <w:r w:rsidR="00C74E4F" w:rsidRPr="00231A03">
        <w:rPr>
          <w:rFonts w:ascii="Times New Roman" w:hAnsi="Times New Roman"/>
        </w:rPr>
        <w:t>he app</w:t>
      </w:r>
      <w:r w:rsidR="00AA7050" w:rsidRPr="00231A03">
        <w:rPr>
          <w:rFonts w:ascii="Times New Roman" w:hAnsi="Times New Roman"/>
        </w:rPr>
        <w:t>licants</w:t>
      </w:r>
      <w:r w:rsidR="00C74E4F" w:rsidRPr="00231A03">
        <w:rPr>
          <w:rFonts w:ascii="Times New Roman" w:hAnsi="Times New Roman"/>
        </w:rPr>
        <w:t xml:space="preserve"> seek special leave to appeal </w:t>
      </w:r>
      <w:r w:rsidR="00D12789" w:rsidRPr="00231A03">
        <w:rPr>
          <w:rFonts w:ascii="Times New Roman" w:hAnsi="Times New Roman"/>
        </w:rPr>
        <w:t>from</w:t>
      </w:r>
      <w:r w:rsidR="00C74E4F" w:rsidRPr="00231A03">
        <w:rPr>
          <w:rFonts w:ascii="Times New Roman" w:hAnsi="Times New Roman"/>
        </w:rPr>
        <w:t xml:space="preserve"> </w:t>
      </w:r>
      <w:r w:rsidR="00833AB5" w:rsidRPr="00231A03">
        <w:rPr>
          <w:rFonts w:ascii="Times New Roman" w:hAnsi="Times New Roman"/>
        </w:rPr>
        <w:t>an order of the</w:t>
      </w:r>
      <w:r w:rsidR="00B82157" w:rsidRPr="00231A03">
        <w:rPr>
          <w:rFonts w:ascii="Times New Roman" w:hAnsi="Times New Roman"/>
        </w:rPr>
        <w:t xml:space="preserve"> Court of Appeal and</w:t>
      </w:r>
      <w:r w:rsidR="00833AB5" w:rsidRPr="00231A03">
        <w:rPr>
          <w:rFonts w:ascii="Times New Roman" w:hAnsi="Times New Roman"/>
        </w:rPr>
        <w:t xml:space="preserve"> </w:t>
      </w:r>
      <w:r w:rsidR="00D81803" w:rsidRPr="00231A03">
        <w:rPr>
          <w:rFonts w:ascii="Times New Roman" w:hAnsi="Times New Roman"/>
        </w:rPr>
        <w:t xml:space="preserve">the </w:t>
      </w:r>
      <w:r w:rsidR="00833AB5" w:rsidRPr="00231A03">
        <w:rPr>
          <w:rFonts w:ascii="Times New Roman" w:hAnsi="Times New Roman"/>
        </w:rPr>
        <w:t xml:space="preserve">Full Court of the Supreme Court of the Northern Territory </w:t>
      </w:r>
      <w:r w:rsidR="00703F8C" w:rsidRPr="00231A03">
        <w:rPr>
          <w:rFonts w:ascii="Times New Roman" w:hAnsi="Times New Roman"/>
        </w:rPr>
        <w:t>(</w:t>
      </w:r>
      <w:r w:rsidR="006D02E1" w:rsidRPr="00231A03">
        <w:rPr>
          <w:rFonts w:ascii="Times New Roman" w:hAnsi="Times New Roman"/>
        </w:rPr>
        <w:t xml:space="preserve">hereinafter the "Court of Appeal") </w:t>
      </w:r>
      <w:r w:rsidR="005409B9" w:rsidRPr="00231A03">
        <w:rPr>
          <w:rFonts w:ascii="Times New Roman" w:hAnsi="Times New Roman"/>
        </w:rPr>
        <w:t>given on 24</w:t>
      </w:r>
      <w:r w:rsidR="00FD3AC0" w:rsidRPr="00231A03">
        <w:rPr>
          <w:rFonts w:ascii="Times New Roman" w:hAnsi="Times New Roman"/>
        </w:rPr>
        <w:t> </w:t>
      </w:r>
      <w:r w:rsidR="005409B9" w:rsidRPr="00231A03">
        <w:rPr>
          <w:rFonts w:ascii="Times New Roman" w:hAnsi="Times New Roman"/>
        </w:rPr>
        <w:t>January 2025.</w:t>
      </w:r>
      <w:r w:rsidR="00CB4228" w:rsidRPr="00231A03">
        <w:rPr>
          <w:rFonts w:ascii="Times New Roman" w:hAnsi="Times New Roman"/>
        </w:rPr>
        <w:t xml:space="preserve"> </w:t>
      </w:r>
      <w:r w:rsidR="005034BC" w:rsidRPr="00231A03">
        <w:rPr>
          <w:rFonts w:ascii="Times New Roman" w:hAnsi="Times New Roman"/>
        </w:rPr>
        <w:t xml:space="preserve">On </w:t>
      </w:r>
      <w:r w:rsidR="007C7BEE" w:rsidRPr="00231A03">
        <w:rPr>
          <w:rFonts w:ascii="Times New Roman" w:hAnsi="Times New Roman"/>
        </w:rPr>
        <w:t>9</w:t>
      </w:r>
      <w:r w:rsidR="000664F7" w:rsidRPr="00231A03">
        <w:rPr>
          <w:rFonts w:ascii="Times New Roman" w:hAnsi="Times New Roman"/>
        </w:rPr>
        <w:t> </w:t>
      </w:r>
      <w:r w:rsidR="007C7BEE" w:rsidRPr="00231A03">
        <w:rPr>
          <w:rFonts w:ascii="Times New Roman" w:hAnsi="Times New Roman"/>
        </w:rPr>
        <w:t>May 2025,</w:t>
      </w:r>
      <w:r w:rsidR="005034BC" w:rsidRPr="00231A03">
        <w:rPr>
          <w:rFonts w:ascii="Times New Roman" w:hAnsi="Times New Roman"/>
        </w:rPr>
        <w:t xml:space="preserve"> the application for special leave was referred </w:t>
      </w:r>
      <w:r w:rsidR="007C7BEE" w:rsidRPr="00231A03">
        <w:rPr>
          <w:rFonts w:ascii="Times New Roman" w:hAnsi="Times New Roman"/>
        </w:rPr>
        <w:t xml:space="preserve">to a Full Court to be heard </w:t>
      </w:r>
      <w:r w:rsidR="00AE6465" w:rsidRPr="00231A03">
        <w:rPr>
          <w:rFonts w:ascii="Times New Roman" w:hAnsi="Times New Roman"/>
        </w:rPr>
        <w:t xml:space="preserve">with the related matter </w:t>
      </w:r>
      <w:r w:rsidR="00DF70F4" w:rsidRPr="00231A03">
        <w:rPr>
          <w:rFonts w:ascii="Times New Roman" w:hAnsi="Times New Roman"/>
        </w:rPr>
        <w:t xml:space="preserve">in </w:t>
      </w:r>
      <w:r w:rsidR="00DF70F4" w:rsidRPr="00231A03">
        <w:rPr>
          <w:rFonts w:ascii="Times New Roman" w:hAnsi="Times New Roman"/>
          <w:i/>
          <w:iCs/>
        </w:rPr>
        <w:t>Badari v Minister for</w:t>
      </w:r>
      <w:r w:rsidR="002A2C9F" w:rsidRPr="00231A03">
        <w:rPr>
          <w:rFonts w:ascii="Times New Roman" w:hAnsi="Times New Roman"/>
          <w:i/>
          <w:iCs/>
        </w:rPr>
        <w:t xml:space="preserve"> Territory </w:t>
      </w:r>
      <w:r w:rsidR="00182CC5" w:rsidRPr="00231A03">
        <w:rPr>
          <w:rFonts w:ascii="Times New Roman" w:hAnsi="Times New Roman"/>
          <w:i/>
          <w:iCs/>
        </w:rPr>
        <w:t xml:space="preserve">Families </w:t>
      </w:r>
      <w:r w:rsidR="002A2C9F" w:rsidRPr="00231A03">
        <w:rPr>
          <w:rFonts w:ascii="Times New Roman" w:hAnsi="Times New Roman"/>
          <w:i/>
          <w:iCs/>
        </w:rPr>
        <w:t>and Urban Housing</w:t>
      </w:r>
      <w:r w:rsidR="007325F2" w:rsidRPr="00231A03">
        <w:rPr>
          <w:rFonts w:ascii="Times New Roman" w:hAnsi="Times New Roman"/>
        </w:rPr>
        <w:t xml:space="preserve"> ("</w:t>
      </w:r>
      <w:r w:rsidR="007325F2" w:rsidRPr="00231A03">
        <w:rPr>
          <w:rFonts w:ascii="Times New Roman" w:hAnsi="Times New Roman"/>
          <w:i/>
          <w:iCs/>
        </w:rPr>
        <w:t>Badari (D7/2025)</w:t>
      </w:r>
      <w:r w:rsidR="007325F2" w:rsidRPr="00231A03">
        <w:rPr>
          <w:rFonts w:ascii="Times New Roman" w:hAnsi="Times New Roman"/>
        </w:rPr>
        <w:t>")</w:t>
      </w:r>
      <w:r w:rsidR="00885B0A" w:rsidRPr="00231A03">
        <w:rPr>
          <w:rFonts w:ascii="Times New Roman" w:hAnsi="Times New Roman"/>
        </w:rPr>
        <w:t>,</w:t>
      </w:r>
      <w:r w:rsidR="007D78E6" w:rsidRPr="00231A03">
        <w:rPr>
          <w:rFonts w:ascii="Times New Roman" w:hAnsi="Times New Roman"/>
        </w:rPr>
        <w:t xml:space="preserve"> </w:t>
      </w:r>
      <w:r w:rsidR="00885B0A" w:rsidRPr="00231A03">
        <w:rPr>
          <w:rFonts w:ascii="Times New Roman" w:hAnsi="Times New Roman"/>
        </w:rPr>
        <w:t xml:space="preserve">which concerned the validity of three successive determinations made by the </w:t>
      </w:r>
      <w:r w:rsidR="00FD06B7" w:rsidRPr="00231A03">
        <w:rPr>
          <w:rFonts w:ascii="Times New Roman" w:hAnsi="Times New Roman"/>
        </w:rPr>
        <w:t xml:space="preserve">minister responsible for the </w:t>
      </w:r>
      <w:r w:rsidR="00FD06B7" w:rsidRPr="00231A03">
        <w:rPr>
          <w:rFonts w:ascii="Times New Roman" w:hAnsi="Times New Roman"/>
          <w:i/>
          <w:iCs/>
        </w:rPr>
        <w:t>Housing Act 1982</w:t>
      </w:r>
      <w:r w:rsidR="00FD06B7" w:rsidRPr="00231A03">
        <w:rPr>
          <w:rFonts w:ascii="Times New Roman" w:hAnsi="Times New Roman"/>
        </w:rPr>
        <w:t xml:space="preserve"> (NT) (the</w:t>
      </w:r>
      <w:r w:rsidR="003B4AD8" w:rsidRPr="00231A03">
        <w:rPr>
          <w:rFonts w:ascii="Times New Roman" w:hAnsi="Times New Roman"/>
        </w:rPr>
        <w:t> </w:t>
      </w:r>
      <w:r w:rsidR="00FD06B7" w:rsidRPr="00231A03">
        <w:rPr>
          <w:rFonts w:ascii="Times New Roman" w:hAnsi="Times New Roman"/>
        </w:rPr>
        <w:t>"</w:t>
      </w:r>
      <w:r w:rsidR="00336310" w:rsidRPr="00231A03">
        <w:rPr>
          <w:rFonts w:ascii="Times New Roman" w:hAnsi="Times New Roman"/>
        </w:rPr>
        <w:t xml:space="preserve">Relevant </w:t>
      </w:r>
      <w:r w:rsidR="00885B0A" w:rsidRPr="00231A03">
        <w:rPr>
          <w:rFonts w:ascii="Times New Roman" w:hAnsi="Times New Roman"/>
        </w:rPr>
        <w:t>Minister</w:t>
      </w:r>
      <w:r w:rsidR="00FD06B7" w:rsidRPr="00231A03">
        <w:rPr>
          <w:rFonts w:ascii="Times New Roman" w:hAnsi="Times New Roman"/>
        </w:rPr>
        <w:t>")</w:t>
      </w:r>
      <w:r w:rsidR="00885B0A" w:rsidRPr="00231A03">
        <w:rPr>
          <w:rFonts w:ascii="Times New Roman" w:hAnsi="Times New Roman"/>
        </w:rPr>
        <w:t xml:space="preserve">, pursuant to s 23 of the </w:t>
      </w:r>
      <w:r w:rsidR="00885B0A" w:rsidRPr="00231A03">
        <w:rPr>
          <w:rFonts w:ascii="Times New Roman" w:hAnsi="Times New Roman"/>
          <w:i/>
          <w:iCs/>
        </w:rPr>
        <w:t xml:space="preserve">Housing Act </w:t>
      </w:r>
      <w:r w:rsidR="00885B0A" w:rsidRPr="00231A03">
        <w:rPr>
          <w:rFonts w:ascii="Times New Roman" w:hAnsi="Times New Roman"/>
        </w:rPr>
        <w:t xml:space="preserve">and the </w:t>
      </w:r>
      <w:r w:rsidR="00885B0A" w:rsidRPr="00231A03">
        <w:rPr>
          <w:rFonts w:ascii="Times New Roman" w:hAnsi="Times New Roman"/>
          <w:i/>
          <w:iCs/>
        </w:rPr>
        <w:t>Housing Regulations 1983</w:t>
      </w:r>
      <w:r w:rsidR="00885B0A" w:rsidRPr="00231A03">
        <w:rPr>
          <w:rFonts w:ascii="Times New Roman" w:hAnsi="Times New Roman"/>
        </w:rPr>
        <w:t xml:space="preserve"> (NT), </w:t>
      </w:r>
      <w:r w:rsidR="00A17339" w:rsidRPr="00231A03">
        <w:rPr>
          <w:rFonts w:ascii="Times New Roman" w:hAnsi="Times New Roman"/>
        </w:rPr>
        <w:t>as to</w:t>
      </w:r>
      <w:r w:rsidR="00885B0A" w:rsidRPr="00231A03">
        <w:rPr>
          <w:rFonts w:ascii="Times New Roman" w:hAnsi="Times New Roman"/>
        </w:rPr>
        <w:t xml:space="preserve"> the amount of rent payable by tenants of public housing</w:t>
      </w:r>
      <w:r w:rsidR="002F4BF3" w:rsidRPr="00231A03">
        <w:rPr>
          <w:rFonts w:ascii="Times New Roman" w:hAnsi="Times New Roman"/>
        </w:rPr>
        <w:t>.</w:t>
      </w:r>
      <w:r w:rsidR="00AE6465" w:rsidRPr="00231A03">
        <w:rPr>
          <w:rFonts w:ascii="Times New Roman" w:hAnsi="Times New Roman"/>
        </w:rPr>
        <w:t xml:space="preserve"> </w:t>
      </w:r>
      <w:r w:rsidR="00E03D82" w:rsidRPr="00231A03">
        <w:rPr>
          <w:rFonts w:ascii="Times New Roman" w:hAnsi="Times New Roman"/>
        </w:rPr>
        <w:t xml:space="preserve">Although this application raises distinct and </w:t>
      </w:r>
      <w:r w:rsidR="00274F18" w:rsidRPr="00231A03">
        <w:rPr>
          <w:rFonts w:ascii="Times New Roman" w:hAnsi="Times New Roman"/>
        </w:rPr>
        <w:t>separate issues of jurisdiction, t</w:t>
      </w:r>
      <w:r w:rsidR="00AE6465" w:rsidRPr="00231A03">
        <w:rPr>
          <w:rFonts w:ascii="Times New Roman" w:hAnsi="Times New Roman"/>
        </w:rPr>
        <w:t>hese reasons should be read together with the reasons of this Court in th</w:t>
      </w:r>
      <w:r w:rsidR="00886CBC" w:rsidRPr="00231A03">
        <w:rPr>
          <w:rFonts w:ascii="Times New Roman" w:hAnsi="Times New Roman"/>
        </w:rPr>
        <w:t>at</w:t>
      </w:r>
      <w:r w:rsidR="00AE6465" w:rsidRPr="00231A03">
        <w:rPr>
          <w:rFonts w:ascii="Times New Roman" w:hAnsi="Times New Roman"/>
        </w:rPr>
        <w:t xml:space="preserve"> related appeal</w:t>
      </w:r>
      <w:r w:rsidR="00886CBC" w:rsidRPr="00231A03">
        <w:rPr>
          <w:rFonts w:ascii="Times New Roman" w:hAnsi="Times New Roman"/>
        </w:rPr>
        <w:t>.</w:t>
      </w:r>
      <w:r w:rsidR="009E1B8C" w:rsidRPr="00231A03">
        <w:rPr>
          <w:rStyle w:val="FootnoteReference"/>
          <w:rFonts w:ascii="Times New Roman" w:hAnsi="Times New Roman"/>
          <w:sz w:val="24"/>
        </w:rPr>
        <w:footnoteReference w:id="2"/>
      </w:r>
    </w:p>
    <w:p w14:paraId="51F3E60D" w14:textId="74200F5F" w:rsidR="00103047" w:rsidRPr="00231A03" w:rsidRDefault="00103047" w:rsidP="00231A03">
      <w:pPr>
        <w:pStyle w:val="FixListStyle"/>
        <w:spacing w:after="260" w:line="280" w:lineRule="exact"/>
        <w:ind w:right="0"/>
        <w:jc w:val="both"/>
        <w:rPr>
          <w:rFonts w:ascii="Times New Roman" w:hAnsi="Times New Roman"/>
        </w:rPr>
      </w:pPr>
      <w:r w:rsidRPr="00231A03">
        <w:rPr>
          <w:rFonts w:ascii="Times New Roman" w:hAnsi="Times New Roman"/>
        </w:rPr>
        <w:tab/>
      </w:r>
      <w:r w:rsidR="0019180E" w:rsidRPr="00231A03">
        <w:rPr>
          <w:rFonts w:ascii="Times New Roman" w:hAnsi="Times New Roman"/>
        </w:rPr>
        <w:t>The app</w:t>
      </w:r>
      <w:r w:rsidR="005576BD" w:rsidRPr="00231A03">
        <w:rPr>
          <w:rFonts w:ascii="Times New Roman" w:hAnsi="Times New Roman"/>
        </w:rPr>
        <w:t>licants</w:t>
      </w:r>
      <w:r w:rsidR="0019180E" w:rsidRPr="00231A03">
        <w:rPr>
          <w:rFonts w:ascii="Times New Roman" w:hAnsi="Times New Roman"/>
        </w:rPr>
        <w:t xml:space="preserve"> </w:t>
      </w:r>
      <w:r w:rsidR="001E4B71" w:rsidRPr="00231A03">
        <w:rPr>
          <w:rFonts w:ascii="Times New Roman" w:hAnsi="Times New Roman"/>
        </w:rPr>
        <w:t>are tenants of three houses located in remote communities in the Norther</w:t>
      </w:r>
      <w:r w:rsidR="000F1A86" w:rsidRPr="00231A03">
        <w:rPr>
          <w:rFonts w:ascii="Times New Roman" w:hAnsi="Times New Roman"/>
        </w:rPr>
        <w:t>n</w:t>
      </w:r>
      <w:r w:rsidR="001E4B71" w:rsidRPr="00231A03">
        <w:rPr>
          <w:rFonts w:ascii="Times New Roman" w:hAnsi="Times New Roman"/>
        </w:rPr>
        <w:t xml:space="preserve"> Territory.</w:t>
      </w:r>
      <w:r w:rsidR="002D11C8" w:rsidRPr="00231A03">
        <w:rPr>
          <w:rFonts w:ascii="Times New Roman" w:hAnsi="Times New Roman"/>
        </w:rPr>
        <w:t xml:space="preserve"> </w:t>
      </w:r>
      <w:r w:rsidR="00167E16" w:rsidRPr="00231A03">
        <w:rPr>
          <w:rFonts w:ascii="Times New Roman" w:hAnsi="Times New Roman"/>
        </w:rPr>
        <w:t xml:space="preserve">They </w:t>
      </w:r>
      <w:r w:rsidR="000F1A86" w:rsidRPr="00231A03">
        <w:rPr>
          <w:rFonts w:ascii="Times New Roman" w:hAnsi="Times New Roman"/>
        </w:rPr>
        <w:t>are</w:t>
      </w:r>
      <w:r w:rsidR="00167E16" w:rsidRPr="00231A03">
        <w:rPr>
          <w:rFonts w:ascii="Times New Roman" w:hAnsi="Times New Roman"/>
        </w:rPr>
        <w:t xml:space="preserve"> </w:t>
      </w:r>
      <w:r w:rsidR="006C1B67" w:rsidRPr="00231A03">
        <w:rPr>
          <w:rFonts w:ascii="Times New Roman" w:hAnsi="Times New Roman"/>
        </w:rPr>
        <w:t>also</w:t>
      </w:r>
      <w:r w:rsidR="005576BD" w:rsidRPr="00231A03">
        <w:rPr>
          <w:rFonts w:ascii="Times New Roman" w:hAnsi="Times New Roman"/>
        </w:rPr>
        <w:t xml:space="preserve"> the</w:t>
      </w:r>
      <w:r w:rsidR="00167E16" w:rsidRPr="00231A03">
        <w:rPr>
          <w:rFonts w:ascii="Times New Roman" w:hAnsi="Times New Roman"/>
        </w:rPr>
        <w:t xml:space="preserve"> appellants</w:t>
      </w:r>
      <w:r w:rsidR="001165E1" w:rsidRPr="00231A03">
        <w:rPr>
          <w:rFonts w:ascii="Times New Roman" w:hAnsi="Times New Roman"/>
        </w:rPr>
        <w:t xml:space="preserve"> </w:t>
      </w:r>
      <w:r w:rsidR="00167E16" w:rsidRPr="00231A03">
        <w:rPr>
          <w:rFonts w:ascii="Times New Roman" w:hAnsi="Times New Roman"/>
        </w:rPr>
        <w:t xml:space="preserve">in </w:t>
      </w:r>
      <w:r w:rsidR="0054115E" w:rsidRPr="00231A03">
        <w:rPr>
          <w:rFonts w:ascii="Times New Roman" w:hAnsi="Times New Roman"/>
          <w:i/>
          <w:iCs/>
        </w:rPr>
        <w:t>Badari</w:t>
      </w:r>
      <w:r w:rsidR="000F1A86" w:rsidRPr="00231A03">
        <w:rPr>
          <w:rFonts w:ascii="Times New Roman" w:hAnsi="Times New Roman"/>
          <w:i/>
          <w:iCs/>
        </w:rPr>
        <w:t xml:space="preserve"> (D7/2025)</w:t>
      </w:r>
      <w:r w:rsidR="002470B1" w:rsidRPr="00231A03">
        <w:rPr>
          <w:rFonts w:ascii="Times New Roman" w:hAnsi="Times New Roman"/>
        </w:rPr>
        <w:t>.</w:t>
      </w:r>
    </w:p>
    <w:p w14:paraId="76B7B8A7" w14:textId="5CC9D7A1" w:rsidR="002470B1" w:rsidRPr="00231A03" w:rsidRDefault="002470B1" w:rsidP="00231A03">
      <w:pPr>
        <w:pStyle w:val="FixListStyle"/>
        <w:spacing w:after="260" w:line="280" w:lineRule="exact"/>
        <w:ind w:right="0"/>
        <w:jc w:val="both"/>
        <w:rPr>
          <w:rFonts w:ascii="Times New Roman" w:hAnsi="Times New Roman"/>
        </w:rPr>
      </w:pPr>
      <w:r w:rsidRPr="00231A03">
        <w:rPr>
          <w:rFonts w:ascii="Times New Roman" w:hAnsi="Times New Roman"/>
        </w:rPr>
        <w:tab/>
      </w:r>
      <w:r w:rsidR="001B277C" w:rsidRPr="00231A03">
        <w:rPr>
          <w:rFonts w:ascii="Times New Roman" w:hAnsi="Times New Roman"/>
        </w:rPr>
        <w:t>A</w:t>
      </w:r>
      <w:r w:rsidR="00BE49B9" w:rsidRPr="00231A03">
        <w:rPr>
          <w:rFonts w:ascii="Times New Roman" w:hAnsi="Times New Roman"/>
        </w:rPr>
        <w:t>fter the app</w:t>
      </w:r>
      <w:r w:rsidR="00AA7050" w:rsidRPr="00231A03">
        <w:rPr>
          <w:rFonts w:ascii="Times New Roman" w:hAnsi="Times New Roman"/>
        </w:rPr>
        <w:t>licants</w:t>
      </w:r>
      <w:r w:rsidR="00BE49B9" w:rsidRPr="00231A03">
        <w:rPr>
          <w:rFonts w:ascii="Times New Roman" w:hAnsi="Times New Roman"/>
        </w:rPr>
        <w:t xml:space="preserve"> </w:t>
      </w:r>
      <w:r w:rsidR="00B106F4" w:rsidRPr="00231A03">
        <w:rPr>
          <w:rFonts w:ascii="Times New Roman" w:hAnsi="Times New Roman"/>
        </w:rPr>
        <w:t>had filed their notice of appeal to the Court of Appeal</w:t>
      </w:r>
      <w:r w:rsidR="00307086" w:rsidRPr="00231A03">
        <w:rPr>
          <w:rFonts w:ascii="Times New Roman" w:hAnsi="Times New Roman"/>
        </w:rPr>
        <w:t xml:space="preserve"> on 7 December 2022</w:t>
      </w:r>
      <w:r w:rsidR="00994503" w:rsidRPr="00231A03">
        <w:rPr>
          <w:rFonts w:ascii="Times New Roman" w:hAnsi="Times New Roman"/>
        </w:rPr>
        <w:t xml:space="preserve"> in relation to the first three determinations</w:t>
      </w:r>
      <w:r w:rsidR="0095334E" w:rsidRPr="00231A03">
        <w:rPr>
          <w:rFonts w:ascii="Times New Roman" w:hAnsi="Times New Roman"/>
        </w:rPr>
        <w:t xml:space="preserve"> (the </w:t>
      </w:r>
      <w:r w:rsidR="00F71919" w:rsidRPr="00231A03">
        <w:rPr>
          <w:rFonts w:ascii="Times New Roman" w:hAnsi="Times New Roman"/>
        </w:rPr>
        <w:t>"</w:t>
      </w:r>
      <w:r w:rsidR="0095334E" w:rsidRPr="00231A03">
        <w:rPr>
          <w:rFonts w:ascii="Times New Roman" w:hAnsi="Times New Roman"/>
        </w:rPr>
        <w:t>COA Appeal")</w:t>
      </w:r>
      <w:r w:rsidR="009E779F" w:rsidRPr="00231A03">
        <w:rPr>
          <w:rFonts w:ascii="Times New Roman" w:hAnsi="Times New Roman"/>
        </w:rPr>
        <w:t>,</w:t>
      </w:r>
      <w:r w:rsidR="004918EC" w:rsidRPr="00231A03">
        <w:rPr>
          <w:rFonts w:ascii="Times New Roman" w:hAnsi="Times New Roman"/>
        </w:rPr>
        <w:t xml:space="preserve"> </w:t>
      </w:r>
      <w:r w:rsidR="0087783E" w:rsidRPr="00231A03">
        <w:rPr>
          <w:rFonts w:ascii="Times New Roman" w:hAnsi="Times New Roman"/>
        </w:rPr>
        <w:t xml:space="preserve">the </w:t>
      </w:r>
      <w:r w:rsidR="00BB6922" w:rsidRPr="00231A03">
        <w:rPr>
          <w:rFonts w:ascii="Times New Roman" w:hAnsi="Times New Roman"/>
        </w:rPr>
        <w:t>R</w:t>
      </w:r>
      <w:r w:rsidR="0087783E" w:rsidRPr="00231A03">
        <w:rPr>
          <w:rFonts w:ascii="Times New Roman" w:hAnsi="Times New Roman"/>
        </w:rPr>
        <w:t>elevant Minister made</w:t>
      </w:r>
      <w:r w:rsidR="00506195" w:rsidRPr="00231A03">
        <w:rPr>
          <w:rFonts w:ascii="Times New Roman" w:hAnsi="Times New Roman"/>
        </w:rPr>
        <w:t xml:space="preserve"> </w:t>
      </w:r>
      <w:r w:rsidR="0087783E" w:rsidRPr="00231A03">
        <w:rPr>
          <w:rFonts w:ascii="Times New Roman" w:hAnsi="Times New Roman"/>
        </w:rPr>
        <w:t>a further determination fixing rent payable pursuant to</w:t>
      </w:r>
      <w:r w:rsidR="002D11C8" w:rsidRPr="00231A03">
        <w:rPr>
          <w:rFonts w:ascii="Times New Roman" w:hAnsi="Times New Roman"/>
        </w:rPr>
        <w:t xml:space="preserve"> s </w:t>
      </w:r>
      <w:r w:rsidR="0087783E" w:rsidRPr="00231A03">
        <w:rPr>
          <w:rFonts w:ascii="Times New Roman" w:hAnsi="Times New Roman"/>
        </w:rPr>
        <w:t xml:space="preserve">23 of the </w:t>
      </w:r>
      <w:r w:rsidR="0087783E" w:rsidRPr="00231A03">
        <w:rPr>
          <w:rFonts w:ascii="Times New Roman" w:hAnsi="Times New Roman"/>
          <w:i/>
          <w:iCs/>
        </w:rPr>
        <w:t>Housing Act</w:t>
      </w:r>
      <w:r w:rsidR="001E090D" w:rsidRPr="00231A03">
        <w:rPr>
          <w:rFonts w:ascii="Times New Roman" w:hAnsi="Times New Roman"/>
        </w:rPr>
        <w:t xml:space="preserve"> on 1</w:t>
      </w:r>
      <w:r w:rsidR="00C77072" w:rsidRPr="00231A03">
        <w:rPr>
          <w:rFonts w:ascii="Times New Roman" w:hAnsi="Times New Roman"/>
        </w:rPr>
        <w:t> </w:t>
      </w:r>
      <w:r w:rsidR="001E090D" w:rsidRPr="00231A03">
        <w:rPr>
          <w:rFonts w:ascii="Times New Roman" w:hAnsi="Times New Roman"/>
        </w:rPr>
        <w:t>February 2023</w:t>
      </w:r>
      <w:r w:rsidR="000311A1" w:rsidRPr="00231A03">
        <w:rPr>
          <w:rFonts w:ascii="Times New Roman" w:hAnsi="Times New Roman"/>
        </w:rPr>
        <w:t xml:space="preserve"> (the "Fourth Determination")</w:t>
      </w:r>
      <w:r w:rsidR="006D2EA9" w:rsidRPr="00231A03">
        <w:rPr>
          <w:rFonts w:ascii="Times New Roman" w:hAnsi="Times New Roman"/>
        </w:rPr>
        <w:t>,</w:t>
      </w:r>
      <w:r w:rsidR="00E31736" w:rsidRPr="00231A03">
        <w:rPr>
          <w:rFonts w:ascii="Times New Roman" w:hAnsi="Times New Roman"/>
        </w:rPr>
        <w:t xml:space="preserve"> which </w:t>
      </w:r>
      <w:r w:rsidR="00712C68" w:rsidRPr="00231A03">
        <w:rPr>
          <w:rFonts w:ascii="Times New Roman" w:hAnsi="Times New Roman"/>
        </w:rPr>
        <w:t xml:space="preserve">in substance </w:t>
      </w:r>
      <w:r w:rsidR="00A777F8" w:rsidRPr="00231A03">
        <w:rPr>
          <w:rFonts w:ascii="Times New Roman" w:hAnsi="Times New Roman"/>
        </w:rPr>
        <w:t>excluded a number of communities from the effects of the previous determinations</w:t>
      </w:r>
      <w:r w:rsidR="001E090D" w:rsidRPr="00231A03">
        <w:rPr>
          <w:rFonts w:ascii="Times New Roman" w:hAnsi="Times New Roman"/>
        </w:rPr>
        <w:t xml:space="preserve">. </w:t>
      </w:r>
      <w:r w:rsidR="003068CA" w:rsidRPr="00231A03">
        <w:rPr>
          <w:rFonts w:ascii="Times New Roman" w:hAnsi="Times New Roman"/>
        </w:rPr>
        <w:t>Since the applicants' communities were not ex</w:t>
      </w:r>
      <w:r w:rsidR="00CA55FE" w:rsidRPr="00231A03">
        <w:rPr>
          <w:rFonts w:ascii="Times New Roman" w:hAnsi="Times New Roman"/>
        </w:rPr>
        <w:t>cluded</w:t>
      </w:r>
      <w:r w:rsidR="00BB6922" w:rsidRPr="00231A03">
        <w:rPr>
          <w:rFonts w:ascii="Times New Roman" w:hAnsi="Times New Roman"/>
        </w:rPr>
        <w:t>,</w:t>
      </w:r>
      <w:r w:rsidR="00865871" w:rsidRPr="00231A03">
        <w:rPr>
          <w:rFonts w:ascii="Times New Roman" w:hAnsi="Times New Roman"/>
        </w:rPr>
        <w:t xml:space="preserve"> </w:t>
      </w:r>
      <w:r w:rsidR="00CA55FE" w:rsidRPr="00231A03">
        <w:rPr>
          <w:rFonts w:ascii="Times New Roman" w:hAnsi="Times New Roman"/>
        </w:rPr>
        <w:t>they</w:t>
      </w:r>
      <w:r w:rsidR="0015307B" w:rsidRPr="00231A03">
        <w:rPr>
          <w:rFonts w:ascii="Times New Roman" w:hAnsi="Times New Roman"/>
        </w:rPr>
        <w:t xml:space="preserve"> commenced a new proceeding</w:t>
      </w:r>
      <w:r w:rsidR="00865871" w:rsidRPr="00231A03">
        <w:rPr>
          <w:rFonts w:ascii="Times New Roman" w:hAnsi="Times New Roman"/>
        </w:rPr>
        <w:t xml:space="preserve"> </w:t>
      </w:r>
      <w:r w:rsidR="0015307B" w:rsidRPr="00231A03">
        <w:rPr>
          <w:rFonts w:ascii="Times New Roman" w:hAnsi="Times New Roman"/>
        </w:rPr>
        <w:t xml:space="preserve">in the Supreme Court of the Northern Territory </w:t>
      </w:r>
      <w:r w:rsidR="007F1E99" w:rsidRPr="00231A03">
        <w:rPr>
          <w:rFonts w:ascii="Times New Roman" w:hAnsi="Times New Roman"/>
        </w:rPr>
        <w:t>on 31 March 2023</w:t>
      </w:r>
      <w:r w:rsidR="00436D5B" w:rsidRPr="00231A03">
        <w:rPr>
          <w:rFonts w:ascii="Times New Roman" w:hAnsi="Times New Roman"/>
        </w:rPr>
        <w:t xml:space="preserve">, in </w:t>
      </w:r>
      <w:r w:rsidR="0015307B" w:rsidRPr="00231A03">
        <w:rPr>
          <w:rFonts w:ascii="Times New Roman" w:hAnsi="Times New Roman"/>
        </w:rPr>
        <w:t>which</w:t>
      </w:r>
      <w:r w:rsidR="00436D5B" w:rsidRPr="00231A03">
        <w:rPr>
          <w:rFonts w:ascii="Times New Roman" w:hAnsi="Times New Roman"/>
        </w:rPr>
        <w:t xml:space="preserve"> they</w:t>
      </w:r>
      <w:r w:rsidR="0015307B" w:rsidRPr="00231A03">
        <w:rPr>
          <w:rFonts w:ascii="Times New Roman" w:hAnsi="Times New Roman"/>
        </w:rPr>
        <w:t xml:space="preserve"> challenged the validity of the Fourth Determination</w:t>
      </w:r>
      <w:r w:rsidR="00366709" w:rsidRPr="00231A03">
        <w:rPr>
          <w:rFonts w:ascii="Times New Roman" w:hAnsi="Times New Roman"/>
        </w:rPr>
        <w:t xml:space="preserve"> (the </w:t>
      </w:r>
      <w:r w:rsidR="00C563DC" w:rsidRPr="00231A03">
        <w:rPr>
          <w:rFonts w:ascii="Times New Roman" w:hAnsi="Times New Roman"/>
        </w:rPr>
        <w:t>"</w:t>
      </w:r>
      <w:r w:rsidR="00366709" w:rsidRPr="00231A03">
        <w:rPr>
          <w:rFonts w:ascii="Times New Roman" w:hAnsi="Times New Roman"/>
        </w:rPr>
        <w:t>Fourth Determination Proceeding")</w:t>
      </w:r>
      <w:r w:rsidR="0015307B" w:rsidRPr="00231A03">
        <w:rPr>
          <w:rFonts w:ascii="Times New Roman" w:hAnsi="Times New Roman"/>
        </w:rPr>
        <w:t>.</w:t>
      </w:r>
      <w:r w:rsidR="00865871" w:rsidRPr="00231A03">
        <w:rPr>
          <w:rFonts w:ascii="Times New Roman" w:hAnsi="Times New Roman"/>
        </w:rPr>
        <w:t xml:space="preserve"> </w:t>
      </w:r>
      <w:r w:rsidR="00A14E5D" w:rsidRPr="00231A03">
        <w:rPr>
          <w:rFonts w:ascii="Times New Roman" w:hAnsi="Times New Roman"/>
        </w:rPr>
        <w:t xml:space="preserve">Part of </w:t>
      </w:r>
      <w:r w:rsidR="00F819D1" w:rsidRPr="00231A03">
        <w:rPr>
          <w:rFonts w:ascii="Times New Roman" w:hAnsi="Times New Roman"/>
        </w:rPr>
        <w:t xml:space="preserve">the relief sought was </w:t>
      </w:r>
      <w:r w:rsidR="005B3912" w:rsidRPr="00231A03">
        <w:rPr>
          <w:rFonts w:ascii="Times New Roman" w:hAnsi="Times New Roman"/>
        </w:rPr>
        <w:t xml:space="preserve">the following declaration </w:t>
      </w:r>
      <w:r w:rsidR="00D41775" w:rsidRPr="00231A03">
        <w:rPr>
          <w:rFonts w:ascii="Times New Roman" w:hAnsi="Times New Roman"/>
        </w:rPr>
        <w:t xml:space="preserve">which came to be </w:t>
      </w:r>
      <w:r w:rsidR="00BE5A21" w:rsidRPr="00231A03">
        <w:rPr>
          <w:rFonts w:ascii="Times New Roman" w:hAnsi="Times New Roman"/>
        </w:rPr>
        <w:t>described as</w:t>
      </w:r>
      <w:r w:rsidR="002E4187" w:rsidRPr="00231A03">
        <w:rPr>
          <w:rFonts w:ascii="Times New Roman" w:hAnsi="Times New Roman"/>
        </w:rPr>
        <w:t xml:space="preserve"> </w:t>
      </w:r>
      <w:r w:rsidR="005B3912" w:rsidRPr="00231A03">
        <w:rPr>
          <w:rFonts w:ascii="Times New Roman" w:hAnsi="Times New Roman"/>
        </w:rPr>
        <w:t>"declaration</w:t>
      </w:r>
      <w:r w:rsidR="005D753C" w:rsidRPr="00231A03">
        <w:rPr>
          <w:rFonts w:ascii="Times New Roman" w:hAnsi="Times New Roman"/>
        </w:rPr>
        <w:t xml:space="preserve"> numbered </w:t>
      </w:r>
      <w:r w:rsidR="00BE5A21" w:rsidRPr="00231A03">
        <w:rPr>
          <w:rFonts w:ascii="Times New Roman" w:hAnsi="Times New Roman"/>
        </w:rPr>
        <w:t>1</w:t>
      </w:r>
      <w:r w:rsidR="005B3912" w:rsidRPr="00231A03">
        <w:rPr>
          <w:rFonts w:ascii="Times New Roman" w:hAnsi="Times New Roman"/>
        </w:rPr>
        <w:t>":</w:t>
      </w:r>
    </w:p>
    <w:p w14:paraId="47D4DF51" w14:textId="0FDAC460" w:rsidR="00F819D1" w:rsidRPr="00231A03" w:rsidRDefault="00383F40" w:rsidP="00231A03">
      <w:pPr>
        <w:pStyle w:val="LeftrightafterHC"/>
        <w:spacing w:before="0" w:after="260" w:line="280" w:lineRule="exact"/>
        <w:ind w:right="0"/>
        <w:jc w:val="both"/>
        <w:rPr>
          <w:rFonts w:ascii="Times New Roman" w:hAnsi="Times New Roman"/>
        </w:rPr>
      </w:pPr>
      <w:r w:rsidRPr="00231A03">
        <w:rPr>
          <w:rFonts w:ascii="Times New Roman" w:hAnsi="Times New Roman"/>
        </w:rPr>
        <w:t>"</w:t>
      </w:r>
      <w:r w:rsidR="00F819D1" w:rsidRPr="00231A03">
        <w:rPr>
          <w:rFonts w:ascii="Times New Roman" w:hAnsi="Times New Roman"/>
        </w:rPr>
        <w:t>A declarati</w:t>
      </w:r>
      <w:r w:rsidR="005B3912" w:rsidRPr="00231A03">
        <w:rPr>
          <w:rFonts w:ascii="Times New Roman" w:hAnsi="Times New Roman"/>
        </w:rPr>
        <w:t>o</w:t>
      </w:r>
      <w:r w:rsidR="00F819D1" w:rsidRPr="00231A03">
        <w:rPr>
          <w:rFonts w:ascii="Times New Roman" w:hAnsi="Times New Roman"/>
        </w:rPr>
        <w:t>n of right pursuant to</w:t>
      </w:r>
      <w:r w:rsidR="002D11C8" w:rsidRPr="00231A03">
        <w:rPr>
          <w:rFonts w:ascii="Times New Roman" w:hAnsi="Times New Roman"/>
        </w:rPr>
        <w:t xml:space="preserve"> s </w:t>
      </w:r>
      <w:r w:rsidR="00F819D1" w:rsidRPr="00231A03">
        <w:rPr>
          <w:rFonts w:ascii="Times New Roman" w:hAnsi="Times New Roman"/>
        </w:rPr>
        <w:t xml:space="preserve">18(1) of the </w:t>
      </w:r>
      <w:r w:rsidR="00F819D1" w:rsidRPr="00231A03">
        <w:rPr>
          <w:rFonts w:ascii="Times New Roman" w:hAnsi="Times New Roman"/>
          <w:i/>
          <w:iCs/>
        </w:rPr>
        <w:t xml:space="preserve">Supreme Court Act </w:t>
      </w:r>
      <w:r w:rsidR="00F819D1" w:rsidRPr="00231A03">
        <w:rPr>
          <w:rFonts w:ascii="Times New Roman" w:hAnsi="Times New Roman"/>
        </w:rPr>
        <w:t>1979 (</w:t>
      </w:r>
      <w:r w:rsidR="005B3912" w:rsidRPr="00231A03">
        <w:rPr>
          <w:rFonts w:ascii="Times New Roman" w:hAnsi="Times New Roman"/>
        </w:rPr>
        <w:t xml:space="preserve">NT) </w:t>
      </w:r>
      <w:r w:rsidR="00F819D1" w:rsidRPr="00231A03">
        <w:rPr>
          <w:rFonts w:ascii="Times New Roman" w:hAnsi="Times New Roman"/>
        </w:rPr>
        <w:t>that</w:t>
      </w:r>
      <w:r w:rsidR="005B3912" w:rsidRPr="00231A03">
        <w:rPr>
          <w:rFonts w:ascii="Times New Roman" w:hAnsi="Times New Roman"/>
        </w:rPr>
        <w:t>:</w:t>
      </w:r>
    </w:p>
    <w:p w14:paraId="0CE9F078" w14:textId="1B0E1F8C" w:rsidR="00F819D1" w:rsidRPr="00231A03" w:rsidRDefault="00F819D1" w:rsidP="00231A03">
      <w:pPr>
        <w:pStyle w:val="leftright"/>
        <w:spacing w:before="0" w:after="260" w:line="280" w:lineRule="exact"/>
        <w:ind w:left="1440" w:right="0" w:hanging="720"/>
        <w:jc w:val="both"/>
        <w:rPr>
          <w:rFonts w:ascii="Times New Roman" w:hAnsi="Times New Roman"/>
        </w:rPr>
      </w:pPr>
      <w:r w:rsidRPr="00231A03">
        <w:rPr>
          <w:rFonts w:ascii="Times New Roman" w:hAnsi="Times New Roman"/>
        </w:rPr>
        <w:t>a</w:t>
      </w:r>
      <w:r w:rsidR="005B1F53" w:rsidRPr="00231A03">
        <w:rPr>
          <w:rFonts w:ascii="Times New Roman" w:hAnsi="Times New Roman"/>
        </w:rPr>
        <w:t>.</w:t>
      </w:r>
      <w:r w:rsidR="00517F29" w:rsidRPr="00231A03">
        <w:rPr>
          <w:rFonts w:ascii="Times New Roman" w:hAnsi="Times New Roman"/>
        </w:rPr>
        <w:tab/>
      </w:r>
      <w:r w:rsidRPr="00231A03">
        <w:rPr>
          <w:rFonts w:ascii="Times New Roman" w:hAnsi="Times New Roman"/>
        </w:rPr>
        <w:t>part</w:t>
      </w:r>
      <w:r w:rsidR="00C15E95" w:rsidRPr="00231A03">
        <w:rPr>
          <w:rFonts w:ascii="Times New Roman" w:hAnsi="Times New Roman"/>
        </w:rPr>
        <w:t> </w:t>
      </w:r>
      <w:r w:rsidRPr="00231A03">
        <w:rPr>
          <w:rFonts w:ascii="Times New Roman" w:hAnsi="Times New Roman"/>
        </w:rPr>
        <w:t>(b) of the Determination of Rent Payable for Dwellings dated 1</w:t>
      </w:r>
      <w:r w:rsidR="00C15E95" w:rsidRPr="00231A03">
        <w:rPr>
          <w:rFonts w:ascii="Times New Roman" w:hAnsi="Times New Roman"/>
        </w:rPr>
        <w:t> </w:t>
      </w:r>
      <w:r w:rsidRPr="00231A03">
        <w:rPr>
          <w:rFonts w:ascii="Times New Roman" w:hAnsi="Times New Roman"/>
        </w:rPr>
        <w:t xml:space="preserve">February 2023 made by the first defendant </w:t>
      </w:r>
      <w:r w:rsidR="00C563DC" w:rsidRPr="00231A03">
        <w:rPr>
          <w:rFonts w:ascii="Times New Roman" w:hAnsi="Times New Roman"/>
        </w:rPr>
        <w:t>...</w:t>
      </w:r>
      <w:r w:rsidRPr="00231A03">
        <w:rPr>
          <w:rFonts w:ascii="Times New Roman" w:hAnsi="Times New Roman"/>
        </w:rPr>
        <w:t xml:space="preserve"> purp</w:t>
      </w:r>
      <w:r w:rsidR="005B3912" w:rsidRPr="00231A03">
        <w:rPr>
          <w:rFonts w:ascii="Times New Roman" w:hAnsi="Times New Roman"/>
        </w:rPr>
        <w:t>o</w:t>
      </w:r>
      <w:r w:rsidRPr="00231A03">
        <w:rPr>
          <w:rFonts w:ascii="Times New Roman" w:hAnsi="Times New Roman"/>
        </w:rPr>
        <w:t>rtedl</w:t>
      </w:r>
      <w:r w:rsidR="005B3912" w:rsidRPr="00231A03">
        <w:rPr>
          <w:rFonts w:ascii="Times New Roman" w:hAnsi="Times New Roman"/>
        </w:rPr>
        <w:t>y</w:t>
      </w:r>
      <w:r w:rsidRPr="00231A03">
        <w:rPr>
          <w:rFonts w:ascii="Times New Roman" w:hAnsi="Times New Roman"/>
        </w:rPr>
        <w:t xml:space="preserve"> pursuant to</w:t>
      </w:r>
      <w:r w:rsidR="002D11C8" w:rsidRPr="00231A03">
        <w:rPr>
          <w:rFonts w:ascii="Times New Roman" w:hAnsi="Times New Roman"/>
        </w:rPr>
        <w:t xml:space="preserve"> s </w:t>
      </w:r>
      <w:r w:rsidRPr="00231A03">
        <w:rPr>
          <w:rFonts w:ascii="Times New Roman" w:hAnsi="Times New Roman"/>
        </w:rPr>
        <w:t>2</w:t>
      </w:r>
      <w:r w:rsidR="00C15E95" w:rsidRPr="00231A03">
        <w:rPr>
          <w:rFonts w:ascii="Times New Roman" w:hAnsi="Times New Roman"/>
        </w:rPr>
        <w:t>3</w:t>
      </w:r>
      <w:r w:rsidRPr="00231A03">
        <w:rPr>
          <w:rFonts w:ascii="Times New Roman" w:hAnsi="Times New Roman"/>
        </w:rPr>
        <w:t xml:space="preserve"> of the </w:t>
      </w:r>
      <w:r w:rsidRPr="00231A03">
        <w:rPr>
          <w:rFonts w:ascii="Times New Roman" w:hAnsi="Times New Roman"/>
          <w:i/>
          <w:iCs/>
        </w:rPr>
        <w:t xml:space="preserve">Housing Act </w:t>
      </w:r>
      <w:r w:rsidRPr="00231A03">
        <w:rPr>
          <w:rFonts w:ascii="Times New Roman" w:hAnsi="Times New Roman"/>
        </w:rPr>
        <w:t>1982</w:t>
      </w:r>
      <w:r w:rsidR="00C15E95" w:rsidRPr="00231A03">
        <w:rPr>
          <w:rFonts w:ascii="Times New Roman" w:hAnsi="Times New Roman"/>
        </w:rPr>
        <w:t xml:space="preserve"> (NT)</w:t>
      </w:r>
      <w:r w:rsidRPr="00231A03">
        <w:rPr>
          <w:rFonts w:ascii="Times New Roman" w:hAnsi="Times New Roman"/>
        </w:rPr>
        <w:t xml:space="preserve"> does not give rise to any rent increase; and/or</w:t>
      </w:r>
    </w:p>
    <w:p w14:paraId="6CD8C989" w14:textId="57295AE1" w:rsidR="00F819D1" w:rsidRPr="00231A03" w:rsidRDefault="00F819D1" w:rsidP="00231A03">
      <w:pPr>
        <w:pStyle w:val="leftright"/>
        <w:spacing w:before="0" w:after="260" w:line="280" w:lineRule="exact"/>
        <w:ind w:left="1440" w:right="0" w:hanging="720"/>
        <w:jc w:val="both"/>
        <w:rPr>
          <w:rFonts w:ascii="Times New Roman" w:hAnsi="Times New Roman"/>
        </w:rPr>
      </w:pPr>
      <w:r w:rsidRPr="00231A03">
        <w:rPr>
          <w:rFonts w:ascii="Times New Roman" w:hAnsi="Times New Roman"/>
        </w:rPr>
        <w:t>b.</w:t>
      </w:r>
      <w:r w:rsidR="00517F29" w:rsidRPr="00231A03">
        <w:rPr>
          <w:rFonts w:ascii="Times New Roman" w:hAnsi="Times New Roman"/>
        </w:rPr>
        <w:tab/>
      </w:r>
      <w:r w:rsidRPr="00231A03">
        <w:rPr>
          <w:rFonts w:ascii="Times New Roman" w:hAnsi="Times New Roman"/>
        </w:rPr>
        <w:t>an</w:t>
      </w:r>
      <w:r w:rsidR="005B3912" w:rsidRPr="00231A03">
        <w:rPr>
          <w:rFonts w:ascii="Times New Roman" w:hAnsi="Times New Roman"/>
        </w:rPr>
        <w:t>y</w:t>
      </w:r>
      <w:r w:rsidRPr="00231A03">
        <w:rPr>
          <w:rFonts w:ascii="Times New Roman" w:hAnsi="Times New Roman"/>
        </w:rPr>
        <w:t xml:space="preserve"> rent increase b</w:t>
      </w:r>
      <w:r w:rsidR="005B3912" w:rsidRPr="00231A03">
        <w:rPr>
          <w:rFonts w:ascii="Times New Roman" w:hAnsi="Times New Roman"/>
        </w:rPr>
        <w:t>y</w:t>
      </w:r>
      <w:r w:rsidRPr="00231A03">
        <w:rPr>
          <w:rFonts w:ascii="Times New Roman" w:hAnsi="Times New Roman"/>
        </w:rPr>
        <w:t xml:space="preserve"> way of an in</w:t>
      </w:r>
      <w:r w:rsidR="00224670" w:rsidRPr="00231A03">
        <w:rPr>
          <w:rFonts w:ascii="Times New Roman" w:hAnsi="Times New Roman"/>
        </w:rPr>
        <w:t>c</w:t>
      </w:r>
      <w:r w:rsidRPr="00231A03">
        <w:rPr>
          <w:rFonts w:ascii="Times New Roman" w:hAnsi="Times New Roman"/>
        </w:rPr>
        <w:t>rease in the p</w:t>
      </w:r>
      <w:r w:rsidR="00224670" w:rsidRPr="00231A03">
        <w:rPr>
          <w:rFonts w:ascii="Times New Roman" w:hAnsi="Times New Roman"/>
        </w:rPr>
        <w:t>e</w:t>
      </w:r>
      <w:r w:rsidRPr="00231A03">
        <w:rPr>
          <w:rFonts w:ascii="Times New Roman" w:hAnsi="Times New Roman"/>
        </w:rPr>
        <w:t>r</w:t>
      </w:r>
      <w:r w:rsidR="00224670" w:rsidRPr="00231A03">
        <w:rPr>
          <w:rFonts w:ascii="Times New Roman" w:hAnsi="Times New Roman"/>
        </w:rPr>
        <w:t>c</w:t>
      </w:r>
      <w:r w:rsidRPr="00231A03">
        <w:rPr>
          <w:rFonts w:ascii="Times New Roman" w:hAnsi="Times New Roman"/>
        </w:rPr>
        <w:t xml:space="preserve">entage </w:t>
      </w:r>
      <w:r w:rsidR="00224670" w:rsidRPr="00231A03">
        <w:rPr>
          <w:rFonts w:ascii="Times New Roman" w:hAnsi="Times New Roman"/>
        </w:rPr>
        <w:t>o</w:t>
      </w:r>
      <w:r w:rsidRPr="00231A03">
        <w:rPr>
          <w:rFonts w:ascii="Times New Roman" w:hAnsi="Times New Roman"/>
        </w:rPr>
        <w:t>f income used to set the rent to be paid is and was unlawful</w:t>
      </w:r>
    </w:p>
    <w:p w14:paraId="346E079D" w14:textId="77777777" w:rsidR="00231A03" w:rsidRDefault="00F819D1" w:rsidP="00231A03">
      <w:pPr>
        <w:pStyle w:val="leftright"/>
        <w:spacing w:before="0" w:after="260" w:line="280" w:lineRule="exact"/>
        <w:ind w:right="0"/>
        <w:jc w:val="both"/>
        <w:rPr>
          <w:rFonts w:ascii="Times New Roman" w:hAnsi="Times New Roman"/>
        </w:rPr>
      </w:pPr>
      <w:r w:rsidRPr="00231A03">
        <w:rPr>
          <w:rFonts w:ascii="Times New Roman" w:hAnsi="Times New Roman"/>
        </w:rPr>
        <w:lastRenderedPageBreak/>
        <w:t>ha</w:t>
      </w:r>
      <w:r w:rsidR="00224670" w:rsidRPr="00231A03">
        <w:rPr>
          <w:rFonts w:ascii="Times New Roman" w:hAnsi="Times New Roman"/>
        </w:rPr>
        <w:t>v</w:t>
      </w:r>
      <w:r w:rsidRPr="00231A03">
        <w:rPr>
          <w:rFonts w:ascii="Times New Roman" w:hAnsi="Times New Roman"/>
        </w:rPr>
        <w:t>ing regard to</w:t>
      </w:r>
      <w:r w:rsidR="002D11C8" w:rsidRPr="00231A03">
        <w:rPr>
          <w:rFonts w:ascii="Times New Roman" w:hAnsi="Times New Roman"/>
        </w:rPr>
        <w:t xml:space="preserve"> s </w:t>
      </w:r>
      <w:r w:rsidRPr="00231A03">
        <w:rPr>
          <w:rFonts w:ascii="Times New Roman" w:hAnsi="Times New Roman"/>
        </w:rPr>
        <w:t xml:space="preserve">41 of the </w:t>
      </w:r>
      <w:r w:rsidRPr="00231A03">
        <w:rPr>
          <w:rFonts w:ascii="Times New Roman" w:hAnsi="Times New Roman"/>
          <w:i/>
          <w:iCs/>
        </w:rPr>
        <w:t xml:space="preserve">Residential </w:t>
      </w:r>
      <w:r w:rsidR="00224670" w:rsidRPr="00231A03">
        <w:rPr>
          <w:rFonts w:ascii="Times New Roman" w:hAnsi="Times New Roman"/>
          <w:i/>
          <w:iCs/>
        </w:rPr>
        <w:t>Tenancies</w:t>
      </w:r>
      <w:r w:rsidRPr="00231A03">
        <w:rPr>
          <w:rFonts w:ascii="Times New Roman" w:hAnsi="Times New Roman"/>
          <w:i/>
          <w:iCs/>
        </w:rPr>
        <w:t xml:space="preserve"> A</w:t>
      </w:r>
      <w:r w:rsidR="00224670" w:rsidRPr="00231A03">
        <w:rPr>
          <w:rFonts w:ascii="Times New Roman" w:hAnsi="Times New Roman"/>
          <w:i/>
          <w:iCs/>
        </w:rPr>
        <w:t>c</w:t>
      </w:r>
      <w:r w:rsidRPr="00231A03">
        <w:rPr>
          <w:rFonts w:ascii="Times New Roman" w:hAnsi="Times New Roman"/>
          <w:i/>
          <w:iCs/>
        </w:rPr>
        <w:t xml:space="preserve">t </w:t>
      </w:r>
      <w:r w:rsidRPr="00231A03">
        <w:rPr>
          <w:rFonts w:ascii="Times New Roman" w:hAnsi="Times New Roman"/>
        </w:rPr>
        <w:t xml:space="preserve">1999 </w:t>
      </w:r>
      <w:r w:rsidR="008B3C2E" w:rsidRPr="00231A03">
        <w:rPr>
          <w:rFonts w:ascii="Times New Roman" w:hAnsi="Times New Roman"/>
        </w:rPr>
        <w:t>(NT)</w:t>
      </w:r>
      <w:r w:rsidRPr="00231A03">
        <w:rPr>
          <w:rFonts w:ascii="Times New Roman" w:hAnsi="Times New Roman"/>
        </w:rPr>
        <w:t xml:space="preserve"> for those tenancy agreements in whi</w:t>
      </w:r>
      <w:r w:rsidR="008B3C2E" w:rsidRPr="00231A03">
        <w:rPr>
          <w:rFonts w:ascii="Times New Roman" w:hAnsi="Times New Roman"/>
        </w:rPr>
        <w:t>ch</w:t>
      </w:r>
      <w:r w:rsidRPr="00231A03">
        <w:rPr>
          <w:rFonts w:ascii="Times New Roman" w:hAnsi="Times New Roman"/>
        </w:rPr>
        <w:t xml:space="preserve"> the operative rent quantification term is that, or i</w:t>
      </w:r>
      <w:r w:rsidR="008B3C2E" w:rsidRPr="00231A03">
        <w:rPr>
          <w:rFonts w:ascii="Times New Roman" w:hAnsi="Times New Roman"/>
        </w:rPr>
        <w:t>s</w:t>
      </w:r>
      <w:r w:rsidRPr="00231A03">
        <w:rPr>
          <w:rFonts w:ascii="Times New Roman" w:hAnsi="Times New Roman"/>
        </w:rPr>
        <w:t xml:space="preserve"> the sam</w:t>
      </w:r>
      <w:r w:rsidR="008B3C2E" w:rsidRPr="00231A03">
        <w:rPr>
          <w:rFonts w:ascii="Times New Roman" w:hAnsi="Times New Roman"/>
        </w:rPr>
        <w:t>e as</w:t>
      </w:r>
      <w:r w:rsidRPr="00231A03">
        <w:rPr>
          <w:rFonts w:ascii="Times New Roman" w:hAnsi="Times New Roman"/>
        </w:rPr>
        <w:t xml:space="preserve"> that</w:t>
      </w:r>
      <w:r w:rsidR="008B3C2E" w:rsidRPr="00231A03">
        <w:rPr>
          <w:rFonts w:ascii="Times New Roman" w:hAnsi="Times New Roman"/>
        </w:rPr>
        <w:t>,</w:t>
      </w:r>
      <w:r w:rsidRPr="00231A03">
        <w:rPr>
          <w:rFonts w:ascii="Times New Roman" w:hAnsi="Times New Roman"/>
        </w:rPr>
        <w:t xml:space="preserve"> provided in clause</w:t>
      </w:r>
      <w:r w:rsidR="000F619C" w:rsidRPr="00231A03">
        <w:rPr>
          <w:rFonts w:ascii="Times New Roman" w:hAnsi="Times New Roman"/>
        </w:rPr>
        <w:t> </w:t>
      </w:r>
      <w:r w:rsidRPr="00231A03">
        <w:rPr>
          <w:rFonts w:ascii="Times New Roman" w:hAnsi="Times New Roman"/>
        </w:rPr>
        <w:t xml:space="preserve">2(2) of </w:t>
      </w:r>
      <w:r w:rsidR="008B3C2E" w:rsidRPr="00231A03">
        <w:rPr>
          <w:rFonts w:ascii="Times New Roman" w:hAnsi="Times New Roman"/>
        </w:rPr>
        <w:t>S</w:t>
      </w:r>
      <w:r w:rsidRPr="00231A03">
        <w:rPr>
          <w:rFonts w:ascii="Times New Roman" w:hAnsi="Times New Roman"/>
        </w:rPr>
        <w:t>chedule</w:t>
      </w:r>
      <w:r w:rsidR="000F619C" w:rsidRPr="00231A03">
        <w:rPr>
          <w:rFonts w:ascii="Times New Roman" w:hAnsi="Times New Roman"/>
        </w:rPr>
        <w:t> </w:t>
      </w:r>
      <w:r w:rsidR="008B3C2E" w:rsidRPr="00231A03">
        <w:rPr>
          <w:rFonts w:ascii="Times New Roman" w:hAnsi="Times New Roman"/>
        </w:rPr>
        <w:t xml:space="preserve">2 </w:t>
      </w:r>
      <w:r w:rsidRPr="00231A03">
        <w:rPr>
          <w:rFonts w:ascii="Times New Roman" w:hAnsi="Times New Roman"/>
        </w:rPr>
        <w:t xml:space="preserve">of the </w:t>
      </w:r>
      <w:r w:rsidRPr="00231A03">
        <w:rPr>
          <w:rFonts w:ascii="Times New Roman" w:hAnsi="Times New Roman"/>
          <w:i/>
          <w:iCs/>
        </w:rPr>
        <w:t>Residential</w:t>
      </w:r>
      <w:r w:rsidR="008B3C2E" w:rsidRPr="00231A03">
        <w:rPr>
          <w:rFonts w:ascii="Times New Roman" w:hAnsi="Times New Roman"/>
          <w:i/>
          <w:iCs/>
        </w:rPr>
        <w:t xml:space="preserve"> Tenancies</w:t>
      </w:r>
      <w:r w:rsidRPr="00231A03">
        <w:rPr>
          <w:rFonts w:ascii="Times New Roman" w:hAnsi="Times New Roman"/>
          <w:i/>
          <w:iCs/>
        </w:rPr>
        <w:t xml:space="preserve"> R</w:t>
      </w:r>
      <w:r w:rsidR="008B3C2E" w:rsidRPr="00231A03">
        <w:rPr>
          <w:rFonts w:ascii="Times New Roman" w:hAnsi="Times New Roman"/>
          <w:i/>
          <w:iCs/>
        </w:rPr>
        <w:t>e</w:t>
      </w:r>
      <w:r w:rsidRPr="00231A03">
        <w:rPr>
          <w:rFonts w:ascii="Times New Roman" w:hAnsi="Times New Roman"/>
          <w:i/>
          <w:iCs/>
        </w:rPr>
        <w:t xml:space="preserve">gulations </w:t>
      </w:r>
      <w:r w:rsidRPr="00231A03">
        <w:rPr>
          <w:rFonts w:ascii="Times New Roman" w:hAnsi="Times New Roman"/>
        </w:rPr>
        <w:t>2000</w:t>
      </w:r>
      <w:r w:rsidR="008B3C2E" w:rsidRPr="00231A03">
        <w:rPr>
          <w:rFonts w:ascii="Times New Roman" w:hAnsi="Times New Roman"/>
        </w:rPr>
        <w:t xml:space="preserve"> (NT).</w:t>
      </w:r>
      <w:r w:rsidR="00517F29" w:rsidRPr="00231A03">
        <w:rPr>
          <w:rFonts w:ascii="Times New Roman" w:hAnsi="Times New Roman"/>
        </w:rPr>
        <w:t>"</w:t>
      </w:r>
    </w:p>
    <w:p w14:paraId="77F18244" w14:textId="4A18CC9A" w:rsidR="001F3235" w:rsidRPr="00231A03" w:rsidRDefault="00E136B0" w:rsidP="00231A03">
      <w:pPr>
        <w:pStyle w:val="FixListStyle"/>
        <w:spacing w:after="260" w:line="280" w:lineRule="exact"/>
        <w:ind w:right="0"/>
        <w:jc w:val="both"/>
        <w:rPr>
          <w:rFonts w:ascii="Times New Roman" w:hAnsi="Times New Roman"/>
        </w:rPr>
      </w:pPr>
      <w:r w:rsidRPr="00231A03">
        <w:rPr>
          <w:rFonts w:ascii="Times New Roman" w:hAnsi="Times New Roman"/>
        </w:rPr>
        <w:tab/>
      </w:r>
      <w:r w:rsidR="005F08CB" w:rsidRPr="00231A03">
        <w:rPr>
          <w:rFonts w:ascii="Times New Roman" w:hAnsi="Times New Roman"/>
        </w:rPr>
        <w:t>On 30</w:t>
      </w:r>
      <w:r w:rsidR="00AC1505" w:rsidRPr="00231A03">
        <w:rPr>
          <w:rFonts w:ascii="Times New Roman" w:hAnsi="Times New Roman"/>
        </w:rPr>
        <w:t> </w:t>
      </w:r>
      <w:r w:rsidR="005F08CB" w:rsidRPr="00231A03">
        <w:rPr>
          <w:rFonts w:ascii="Times New Roman" w:hAnsi="Times New Roman"/>
        </w:rPr>
        <w:t>August 2023, Grant</w:t>
      </w:r>
      <w:r w:rsidR="000D0BAF" w:rsidRPr="00231A03">
        <w:rPr>
          <w:rFonts w:ascii="Times New Roman" w:hAnsi="Times New Roman"/>
        </w:rPr>
        <w:t> </w:t>
      </w:r>
      <w:r w:rsidR="005F08CB" w:rsidRPr="00231A03">
        <w:rPr>
          <w:rFonts w:ascii="Times New Roman" w:hAnsi="Times New Roman"/>
        </w:rPr>
        <w:t xml:space="preserve">CJ made an order </w:t>
      </w:r>
      <w:r w:rsidR="00034F89" w:rsidRPr="00231A03">
        <w:rPr>
          <w:rFonts w:ascii="Times New Roman" w:hAnsi="Times New Roman"/>
        </w:rPr>
        <w:t>pursuant to</w:t>
      </w:r>
      <w:r w:rsidR="002D11C8" w:rsidRPr="00231A03">
        <w:rPr>
          <w:rFonts w:ascii="Times New Roman" w:hAnsi="Times New Roman"/>
        </w:rPr>
        <w:t xml:space="preserve"> s </w:t>
      </w:r>
      <w:r w:rsidR="00034F89" w:rsidRPr="00231A03">
        <w:rPr>
          <w:rFonts w:ascii="Times New Roman" w:hAnsi="Times New Roman"/>
        </w:rPr>
        <w:t>21(1)</w:t>
      </w:r>
      <w:r w:rsidR="008A6B53" w:rsidRPr="00231A03">
        <w:rPr>
          <w:rFonts w:ascii="Times New Roman" w:hAnsi="Times New Roman"/>
        </w:rPr>
        <w:t xml:space="preserve"> of the </w:t>
      </w:r>
      <w:r w:rsidR="008A6B53" w:rsidRPr="00231A03">
        <w:rPr>
          <w:rFonts w:ascii="Times New Roman" w:hAnsi="Times New Roman"/>
          <w:i/>
          <w:iCs/>
        </w:rPr>
        <w:t>Supreme Court Act</w:t>
      </w:r>
      <w:r w:rsidR="00034F89" w:rsidRPr="00231A03">
        <w:rPr>
          <w:rFonts w:ascii="Times New Roman" w:hAnsi="Times New Roman"/>
        </w:rPr>
        <w:t xml:space="preserve"> </w:t>
      </w:r>
      <w:r w:rsidR="00B95AD1" w:rsidRPr="00231A03">
        <w:rPr>
          <w:rFonts w:ascii="Times New Roman" w:hAnsi="Times New Roman"/>
          <w:i/>
          <w:iCs/>
        </w:rPr>
        <w:t xml:space="preserve">1979 </w:t>
      </w:r>
      <w:r w:rsidR="00B95AD1" w:rsidRPr="00231A03">
        <w:rPr>
          <w:rFonts w:ascii="Times New Roman" w:hAnsi="Times New Roman"/>
        </w:rPr>
        <w:t xml:space="preserve">(NT) </w:t>
      </w:r>
      <w:r w:rsidR="00034F89" w:rsidRPr="00231A03">
        <w:rPr>
          <w:rFonts w:ascii="Times New Roman" w:hAnsi="Times New Roman"/>
        </w:rPr>
        <w:t xml:space="preserve">that the application for declaration numbered </w:t>
      </w:r>
      <w:r w:rsidR="00BE5A21" w:rsidRPr="00231A03">
        <w:rPr>
          <w:rFonts w:ascii="Times New Roman" w:hAnsi="Times New Roman"/>
        </w:rPr>
        <w:t>1</w:t>
      </w:r>
      <w:r w:rsidR="0095334E" w:rsidRPr="00231A03">
        <w:rPr>
          <w:rFonts w:ascii="Times New Roman" w:hAnsi="Times New Roman"/>
        </w:rPr>
        <w:t xml:space="preserve"> </w:t>
      </w:r>
      <w:r w:rsidR="009F6F3E" w:rsidRPr="00231A03">
        <w:rPr>
          <w:rFonts w:ascii="Times New Roman" w:hAnsi="Times New Roman"/>
        </w:rPr>
        <w:t>be referred for determination by the Full Court (the "Referral").</w:t>
      </w:r>
      <w:r w:rsidR="008A6B53" w:rsidRPr="00231A03">
        <w:rPr>
          <w:rFonts w:ascii="Times New Roman" w:hAnsi="Times New Roman"/>
        </w:rPr>
        <w:t xml:space="preserve"> </w:t>
      </w:r>
      <w:r w:rsidR="009F6F3E" w:rsidRPr="00231A03">
        <w:rPr>
          <w:rFonts w:ascii="Times New Roman" w:hAnsi="Times New Roman"/>
        </w:rPr>
        <w:t xml:space="preserve">On </w:t>
      </w:r>
      <w:r w:rsidR="00BF26DD" w:rsidRPr="00231A03">
        <w:rPr>
          <w:rFonts w:ascii="Times New Roman" w:hAnsi="Times New Roman"/>
        </w:rPr>
        <w:t>15</w:t>
      </w:r>
      <w:r w:rsidR="000D0BAF" w:rsidRPr="00231A03">
        <w:rPr>
          <w:rFonts w:ascii="Times New Roman" w:hAnsi="Times New Roman"/>
        </w:rPr>
        <w:t> </w:t>
      </w:r>
      <w:r w:rsidR="00BF26DD" w:rsidRPr="00231A03">
        <w:rPr>
          <w:rFonts w:ascii="Times New Roman" w:hAnsi="Times New Roman"/>
        </w:rPr>
        <w:t xml:space="preserve">November 2023, both the </w:t>
      </w:r>
      <w:r w:rsidR="00C47CA1" w:rsidRPr="00231A03">
        <w:rPr>
          <w:rFonts w:ascii="Times New Roman" w:hAnsi="Times New Roman"/>
        </w:rPr>
        <w:t>COA A</w:t>
      </w:r>
      <w:r w:rsidR="00BF26DD" w:rsidRPr="00231A03">
        <w:rPr>
          <w:rFonts w:ascii="Times New Roman" w:hAnsi="Times New Roman"/>
        </w:rPr>
        <w:t xml:space="preserve">ppeal and the Referral were called </w:t>
      </w:r>
      <w:r w:rsidR="00442EA6" w:rsidRPr="00231A03">
        <w:rPr>
          <w:rFonts w:ascii="Times New Roman" w:hAnsi="Times New Roman"/>
        </w:rPr>
        <w:t xml:space="preserve">on </w:t>
      </w:r>
      <w:r w:rsidR="00BF26DD" w:rsidRPr="00231A03">
        <w:rPr>
          <w:rFonts w:ascii="Times New Roman" w:hAnsi="Times New Roman"/>
        </w:rPr>
        <w:t xml:space="preserve">for hearing before </w:t>
      </w:r>
      <w:r w:rsidR="00F50437" w:rsidRPr="00231A03">
        <w:rPr>
          <w:rFonts w:ascii="Times New Roman" w:hAnsi="Times New Roman"/>
        </w:rPr>
        <w:t>the</w:t>
      </w:r>
      <w:r w:rsidR="006507F1" w:rsidRPr="00231A03">
        <w:rPr>
          <w:rFonts w:ascii="Times New Roman" w:hAnsi="Times New Roman"/>
        </w:rPr>
        <w:t xml:space="preserve"> Court of Appeal </w:t>
      </w:r>
      <w:r w:rsidR="00BF26DD" w:rsidRPr="00231A03">
        <w:rPr>
          <w:rFonts w:ascii="Times New Roman" w:hAnsi="Times New Roman"/>
        </w:rPr>
        <w:t>comprising Grant</w:t>
      </w:r>
      <w:r w:rsidR="000D0BAF" w:rsidRPr="00231A03">
        <w:rPr>
          <w:rFonts w:ascii="Times New Roman" w:hAnsi="Times New Roman"/>
        </w:rPr>
        <w:t> </w:t>
      </w:r>
      <w:r w:rsidR="00BF26DD" w:rsidRPr="00231A03">
        <w:rPr>
          <w:rFonts w:ascii="Times New Roman" w:hAnsi="Times New Roman"/>
        </w:rPr>
        <w:t>CJ, Barr</w:t>
      </w:r>
      <w:r w:rsidR="006366A1" w:rsidRPr="00231A03">
        <w:rPr>
          <w:rFonts w:ascii="Times New Roman" w:hAnsi="Times New Roman"/>
        </w:rPr>
        <w:t> J</w:t>
      </w:r>
      <w:r w:rsidR="00BF26DD" w:rsidRPr="00231A03">
        <w:rPr>
          <w:rFonts w:ascii="Times New Roman" w:hAnsi="Times New Roman"/>
        </w:rPr>
        <w:t xml:space="preserve"> and </w:t>
      </w:r>
      <w:proofErr w:type="spellStart"/>
      <w:r w:rsidR="00BF26DD" w:rsidRPr="00231A03">
        <w:rPr>
          <w:rFonts w:ascii="Times New Roman" w:hAnsi="Times New Roman"/>
        </w:rPr>
        <w:t>Huntingford</w:t>
      </w:r>
      <w:proofErr w:type="spellEnd"/>
      <w:r w:rsidR="000D0BAF" w:rsidRPr="00231A03">
        <w:rPr>
          <w:rFonts w:ascii="Times New Roman" w:hAnsi="Times New Roman"/>
        </w:rPr>
        <w:t> </w:t>
      </w:r>
      <w:r w:rsidR="006366A1" w:rsidRPr="00231A03">
        <w:rPr>
          <w:rFonts w:ascii="Times New Roman" w:hAnsi="Times New Roman"/>
        </w:rPr>
        <w:t>A</w:t>
      </w:r>
      <w:r w:rsidR="00BF26DD" w:rsidRPr="00231A03">
        <w:rPr>
          <w:rFonts w:ascii="Times New Roman" w:hAnsi="Times New Roman"/>
        </w:rPr>
        <w:t>J.</w:t>
      </w:r>
      <w:r w:rsidR="00304DC2" w:rsidRPr="00231A03">
        <w:rPr>
          <w:rFonts w:ascii="Times New Roman" w:hAnsi="Times New Roman"/>
        </w:rPr>
        <w:t xml:space="preserve"> </w:t>
      </w:r>
      <w:r w:rsidR="003C0122" w:rsidRPr="00231A03">
        <w:rPr>
          <w:rFonts w:ascii="Times New Roman" w:hAnsi="Times New Roman"/>
        </w:rPr>
        <w:t xml:space="preserve">At that hearing, </w:t>
      </w:r>
      <w:r w:rsidR="003A2FB7" w:rsidRPr="00231A03">
        <w:rPr>
          <w:rFonts w:ascii="Times New Roman" w:hAnsi="Times New Roman"/>
        </w:rPr>
        <w:t>b</w:t>
      </w:r>
      <w:r w:rsidR="00A50EAB" w:rsidRPr="00231A03">
        <w:rPr>
          <w:rFonts w:ascii="Times New Roman" w:hAnsi="Times New Roman"/>
        </w:rPr>
        <w:t>oth the app</w:t>
      </w:r>
      <w:r w:rsidR="00AA7050" w:rsidRPr="00231A03">
        <w:rPr>
          <w:rFonts w:ascii="Times New Roman" w:hAnsi="Times New Roman"/>
        </w:rPr>
        <w:t>licants</w:t>
      </w:r>
      <w:r w:rsidR="00A50EAB" w:rsidRPr="00231A03">
        <w:rPr>
          <w:rFonts w:ascii="Times New Roman" w:hAnsi="Times New Roman"/>
        </w:rPr>
        <w:t xml:space="preserve"> and the respondents</w:t>
      </w:r>
      <w:r w:rsidR="002D11D1" w:rsidRPr="00231A03">
        <w:rPr>
          <w:rFonts w:ascii="Times New Roman" w:hAnsi="Times New Roman"/>
        </w:rPr>
        <w:t xml:space="preserve"> submitted that the Court </w:t>
      </w:r>
      <w:r w:rsidR="00442EA6" w:rsidRPr="00231A03">
        <w:rPr>
          <w:rFonts w:ascii="Times New Roman" w:hAnsi="Times New Roman"/>
        </w:rPr>
        <w:t xml:space="preserve">of Appeal </w:t>
      </w:r>
      <w:r w:rsidR="002D11D1" w:rsidRPr="00231A03">
        <w:rPr>
          <w:rFonts w:ascii="Times New Roman" w:hAnsi="Times New Roman"/>
        </w:rPr>
        <w:t>should decline to accept the Referral.</w:t>
      </w:r>
      <w:r w:rsidR="003C0122" w:rsidRPr="00231A03">
        <w:rPr>
          <w:rFonts w:ascii="Times New Roman" w:hAnsi="Times New Roman"/>
        </w:rPr>
        <w:t xml:space="preserve"> </w:t>
      </w:r>
      <w:r w:rsidR="005F2D39" w:rsidRPr="00231A03">
        <w:rPr>
          <w:rFonts w:ascii="Times New Roman" w:hAnsi="Times New Roman"/>
        </w:rPr>
        <w:t>Grant</w:t>
      </w:r>
      <w:r w:rsidR="001F3235" w:rsidRPr="00231A03">
        <w:rPr>
          <w:rFonts w:ascii="Times New Roman" w:hAnsi="Times New Roman"/>
        </w:rPr>
        <w:t> </w:t>
      </w:r>
      <w:r w:rsidR="005F2D39" w:rsidRPr="00231A03">
        <w:rPr>
          <w:rFonts w:ascii="Times New Roman" w:hAnsi="Times New Roman"/>
        </w:rPr>
        <w:t xml:space="preserve">CJ then stated that </w:t>
      </w:r>
      <w:r w:rsidR="00A0166B" w:rsidRPr="00231A03">
        <w:rPr>
          <w:rFonts w:ascii="Times New Roman" w:hAnsi="Times New Roman"/>
        </w:rPr>
        <w:t>he rejected his</w:t>
      </w:r>
      <w:r w:rsidR="009C0EA5" w:rsidRPr="00231A03">
        <w:rPr>
          <w:rFonts w:ascii="Times New Roman" w:hAnsi="Times New Roman"/>
        </w:rPr>
        <w:t xml:space="preserve"> Honour's</w:t>
      </w:r>
      <w:r w:rsidR="00A0166B" w:rsidRPr="00231A03">
        <w:rPr>
          <w:rFonts w:ascii="Times New Roman" w:hAnsi="Times New Roman"/>
        </w:rPr>
        <w:t xml:space="preserve"> own reference.</w:t>
      </w:r>
      <w:r w:rsidR="003C0122" w:rsidRPr="00231A03">
        <w:rPr>
          <w:rFonts w:ascii="Times New Roman" w:hAnsi="Times New Roman"/>
        </w:rPr>
        <w:t xml:space="preserve"> </w:t>
      </w:r>
      <w:r w:rsidR="00A0166B" w:rsidRPr="00231A03">
        <w:rPr>
          <w:rFonts w:ascii="Times New Roman" w:hAnsi="Times New Roman"/>
        </w:rPr>
        <w:t>That evening</w:t>
      </w:r>
      <w:r w:rsidR="00F002F3" w:rsidRPr="00231A03">
        <w:rPr>
          <w:rFonts w:ascii="Times New Roman" w:hAnsi="Times New Roman"/>
        </w:rPr>
        <w:t>,</w:t>
      </w:r>
      <w:r w:rsidR="00A0166B" w:rsidRPr="00231A03">
        <w:rPr>
          <w:rFonts w:ascii="Times New Roman" w:hAnsi="Times New Roman"/>
        </w:rPr>
        <w:t xml:space="preserve"> the lawyers for all parties received an email from the Associate to </w:t>
      </w:r>
      <w:r w:rsidR="00F002F3" w:rsidRPr="00231A03">
        <w:rPr>
          <w:rFonts w:ascii="Times New Roman" w:hAnsi="Times New Roman"/>
        </w:rPr>
        <w:t>Grant CJ,</w:t>
      </w:r>
      <w:r w:rsidR="00A0166B" w:rsidRPr="00231A03">
        <w:rPr>
          <w:rFonts w:ascii="Times New Roman" w:hAnsi="Times New Roman"/>
        </w:rPr>
        <w:t xml:space="preserve"> which amongst other things </w:t>
      </w:r>
      <w:proofErr w:type="gramStart"/>
      <w:r w:rsidR="00A0166B" w:rsidRPr="00231A03">
        <w:rPr>
          <w:rFonts w:ascii="Times New Roman" w:hAnsi="Times New Roman"/>
        </w:rPr>
        <w:t>said</w:t>
      </w:r>
      <w:proofErr w:type="gramEnd"/>
      <w:r w:rsidR="00DA1873" w:rsidRPr="00231A03">
        <w:rPr>
          <w:rFonts w:ascii="Times New Roman" w:hAnsi="Times New Roman"/>
        </w:rPr>
        <w:t xml:space="preserve"> </w:t>
      </w:r>
      <w:r w:rsidR="00BE3D20" w:rsidRPr="00231A03">
        <w:rPr>
          <w:rFonts w:ascii="Times New Roman" w:hAnsi="Times New Roman"/>
        </w:rPr>
        <w:t>"</w:t>
      </w:r>
      <w:r w:rsidR="00457711" w:rsidRPr="00231A03">
        <w:rPr>
          <w:rFonts w:ascii="Times New Roman" w:hAnsi="Times New Roman"/>
        </w:rPr>
        <w:t xml:space="preserve">[t]he </w:t>
      </w:r>
      <w:r w:rsidR="00A06EB3" w:rsidRPr="00231A03">
        <w:rPr>
          <w:rFonts w:ascii="Times New Roman" w:hAnsi="Times New Roman"/>
        </w:rPr>
        <w:t>reference to the Full Court is declined pursuant to</w:t>
      </w:r>
      <w:r w:rsidR="002D11C8" w:rsidRPr="00231A03">
        <w:rPr>
          <w:rFonts w:ascii="Times New Roman" w:hAnsi="Times New Roman"/>
        </w:rPr>
        <w:t xml:space="preserve"> s </w:t>
      </w:r>
      <w:r w:rsidR="00A06EB3" w:rsidRPr="00231A03">
        <w:rPr>
          <w:rFonts w:ascii="Times New Roman" w:hAnsi="Times New Roman"/>
        </w:rPr>
        <w:t xml:space="preserve">21(2) of the </w:t>
      </w:r>
      <w:r w:rsidR="00A06EB3" w:rsidRPr="00231A03">
        <w:rPr>
          <w:rFonts w:ascii="Times New Roman" w:hAnsi="Times New Roman"/>
          <w:i/>
          <w:iCs/>
        </w:rPr>
        <w:t xml:space="preserve">Supreme Court Act </w:t>
      </w:r>
      <w:r w:rsidR="00A06EB3" w:rsidRPr="00231A03">
        <w:rPr>
          <w:rFonts w:ascii="Times New Roman" w:hAnsi="Times New Roman"/>
        </w:rPr>
        <w:t>(NT)</w:t>
      </w:r>
      <w:r w:rsidR="00BE3D20" w:rsidRPr="00231A03">
        <w:rPr>
          <w:rFonts w:ascii="Times New Roman" w:hAnsi="Times New Roman"/>
        </w:rPr>
        <w:t>"</w:t>
      </w:r>
      <w:r w:rsidR="001D1E44" w:rsidRPr="00231A03">
        <w:rPr>
          <w:rFonts w:ascii="Times New Roman" w:hAnsi="Times New Roman"/>
        </w:rPr>
        <w:t xml:space="preserve">. </w:t>
      </w:r>
      <w:r w:rsidR="003E65E3" w:rsidRPr="00231A03">
        <w:rPr>
          <w:rFonts w:ascii="Times New Roman" w:hAnsi="Times New Roman"/>
        </w:rPr>
        <w:t xml:space="preserve">Although no formal order was made declining to accept the </w:t>
      </w:r>
      <w:r w:rsidR="005C4822" w:rsidRPr="00231A03">
        <w:rPr>
          <w:rFonts w:ascii="Times New Roman" w:hAnsi="Times New Roman"/>
        </w:rPr>
        <w:t>R</w:t>
      </w:r>
      <w:r w:rsidR="003E65E3" w:rsidRPr="00231A03">
        <w:rPr>
          <w:rFonts w:ascii="Times New Roman" w:hAnsi="Times New Roman"/>
        </w:rPr>
        <w:t xml:space="preserve">eferral, it was not in dispute that the statement by Grant CJ and the note to the parties was sufficient to decline the Referral under s 21(2) of the </w:t>
      </w:r>
      <w:r w:rsidR="003E65E3" w:rsidRPr="00231A03">
        <w:rPr>
          <w:rFonts w:ascii="Times New Roman" w:hAnsi="Times New Roman"/>
          <w:i/>
          <w:iCs/>
        </w:rPr>
        <w:t>Supreme Court Act</w:t>
      </w:r>
      <w:r w:rsidR="003E65E3" w:rsidRPr="00231A03">
        <w:rPr>
          <w:rFonts w:ascii="Times New Roman" w:hAnsi="Times New Roman"/>
        </w:rPr>
        <w:t>. The parties also proceeded in the Court of Appeal on that basis.</w:t>
      </w:r>
    </w:p>
    <w:p w14:paraId="75DEB88F" w14:textId="0F03DA57" w:rsidR="002B01B7" w:rsidRPr="00231A03" w:rsidRDefault="00BE3D20" w:rsidP="00231A03">
      <w:pPr>
        <w:pStyle w:val="FixListStyle"/>
        <w:spacing w:after="260" w:line="280" w:lineRule="exact"/>
        <w:ind w:right="0"/>
        <w:jc w:val="both"/>
        <w:rPr>
          <w:rFonts w:ascii="Times New Roman" w:hAnsi="Times New Roman"/>
        </w:rPr>
      </w:pPr>
      <w:r w:rsidRPr="00231A03">
        <w:rPr>
          <w:rFonts w:ascii="Times New Roman" w:hAnsi="Times New Roman"/>
        </w:rPr>
        <w:tab/>
      </w:r>
      <w:r w:rsidR="00457711" w:rsidRPr="00231A03">
        <w:rPr>
          <w:rFonts w:ascii="Times New Roman" w:hAnsi="Times New Roman"/>
        </w:rPr>
        <w:t>N</w:t>
      </w:r>
      <w:r w:rsidR="00013BA1" w:rsidRPr="00231A03">
        <w:rPr>
          <w:rFonts w:ascii="Times New Roman" w:hAnsi="Times New Roman"/>
        </w:rPr>
        <w:t xml:space="preserve">o oral submissions were made </w:t>
      </w:r>
      <w:r w:rsidR="00366709" w:rsidRPr="00231A03">
        <w:rPr>
          <w:rFonts w:ascii="Times New Roman" w:hAnsi="Times New Roman"/>
        </w:rPr>
        <w:t xml:space="preserve">to the Court of Appeal </w:t>
      </w:r>
      <w:r w:rsidR="00013BA1" w:rsidRPr="00231A03">
        <w:rPr>
          <w:rFonts w:ascii="Times New Roman" w:hAnsi="Times New Roman"/>
        </w:rPr>
        <w:t>about the Fourth Determination</w:t>
      </w:r>
      <w:r w:rsidR="00366709" w:rsidRPr="00231A03">
        <w:rPr>
          <w:rFonts w:ascii="Times New Roman" w:hAnsi="Times New Roman"/>
        </w:rPr>
        <w:t xml:space="preserve"> Proceeding</w:t>
      </w:r>
      <w:r w:rsidR="00013BA1" w:rsidRPr="00231A03">
        <w:rPr>
          <w:rFonts w:ascii="Times New Roman" w:hAnsi="Times New Roman"/>
        </w:rPr>
        <w:t>.</w:t>
      </w:r>
      <w:r w:rsidR="002D11C8" w:rsidRPr="00231A03">
        <w:rPr>
          <w:rFonts w:ascii="Times New Roman" w:hAnsi="Times New Roman"/>
        </w:rPr>
        <w:t xml:space="preserve"> </w:t>
      </w:r>
      <w:r w:rsidR="008E7EEE" w:rsidRPr="00231A03">
        <w:rPr>
          <w:rFonts w:ascii="Times New Roman" w:hAnsi="Times New Roman"/>
        </w:rPr>
        <w:t>The Court of Appeal delivered its reasons</w:t>
      </w:r>
      <w:r w:rsidR="003A3B74" w:rsidRPr="00231A03">
        <w:rPr>
          <w:rFonts w:ascii="Times New Roman" w:hAnsi="Times New Roman"/>
        </w:rPr>
        <w:t xml:space="preserve"> on 24</w:t>
      </w:r>
      <w:r w:rsidR="00382B43" w:rsidRPr="00231A03">
        <w:rPr>
          <w:rFonts w:ascii="Times New Roman" w:hAnsi="Times New Roman"/>
        </w:rPr>
        <w:t> </w:t>
      </w:r>
      <w:r w:rsidR="003A3B74" w:rsidRPr="00231A03">
        <w:rPr>
          <w:rFonts w:ascii="Times New Roman" w:hAnsi="Times New Roman"/>
        </w:rPr>
        <w:t>January 2025.</w:t>
      </w:r>
      <w:r w:rsidR="00AA0884" w:rsidRPr="00231A03">
        <w:rPr>
          <w:rStyle w:val="FootnoteReference"/>
          <w:rFonts w:ascii="Times New Roman" w:hAnsi="Times New Roman"/>
          <w:sz w:val="24"/>
        </w:rPr>
        <w:footnoteReference w:id="3"/>
      </w:r>
      <w:r w:rsidR="002D11C8" w:rsidRPr="00231A03">
        <w:rPr>
          <w:rFonts w:ascii="Times New Roman" w:hAnsi="Times New Roman"/>
        </w:rPr>
        <w:t xml:space="preserve"> </w:t>
      </w:r>
      <w:r w:rsidR="00F62D91" w:rsidRPr="00231A03">
        <w:rPr>
          <w:rFonts w:ascii="Times New Roman" w:hAnsi="Times New Roman"/>
        </w:rPr>
        <w:t>The Court</w:t>
      </w:r>
      <w:r w:rsidR="003A3B74" w:rsidRPr="00231A03">
        <w:rPr>
          <w:rFonts w:ascii="Times New Roman" w:hAnsi="Times New Roman"/>
        </w:rPr>
        <w:t xml:space="preserve"> </w:t>
      </w:r>
      <w:r w:rsidR="006324CD" w:rsidRPr="00231A03">
        <w:rPr>
          <w:rFonts w:ascii="Times New Roman" w:hAnsi="Times New Roman"/>
        </w:rPr>
        <w:t xml:space="preserve">of Appeal </w:t>
      </w:r>
      <w:r w:rsidR="003A3B74" w:rsidRPr="00231A03">
        <w:rPr>
          <w:rFonts w:ascii="Times New Roman" w:hAnsi="Times New Roman"/>
        </w:rPr>
        <w:t>purported to d</w:t>
      </w:r>
      <w:r w:rsidR="00423EB6" w:rsidRPr="00231A03">
        <w:rPr>
          <w:rFonts w:ascii="Times New Roman" w:hAnsi="Times New Roman"/>
        </w:rPr>
        <w:t>ecide not just the Referral</w:t>
      </w:r>
      <w:r w:rsidR="00013BA1" w:rsidRPr="00231A03">
        <w:rPr>
          <w:rFonts w:ascii="Times New Roman" w:hAnsi="Times New Roman"/>
        </w:rPr>
        <w:t>,</w:t>
      </w:r>
      <w:r w:rsidR="00423EB6" w:rsidRPr="00231A03">
        <w:rPr>
          <w:rFonts w:ascii="Times New Roman" w:hAnsi="Times New Roman"/>
        </w:rPr>
        <w:t xml:space="preserve"> but</w:t>
      </w:r>
      <w:r w:rsidR="0032627C" w:rsidRPr="00231A03">
        <w:rPr>
          <w:rFonts w:ascii="Times New Roman" w:hAnsi="Times New Roman"/>
        </w:rPr>
        <w:t>, on one view,</w:t>
      </w:r>
      <w:r w:rsidR="00423EB6" w:rsidRPr="00231A03">
        <w:rPr>
          <w:rFonts w:ascii="Times New Roman" w:hAnsi="Times New Roman"/>
        </w:rPr>
        <w:t xml:space="preserve"> </w:t>
      </w:r>
      <w:proofErr w:type="gramStart"/>
      <w:r w:rsidR="00423EB6" w:rsidRPr="00231A03">
        <w:rPr>
          <w:rFonts w:ascii="Times New Roman" w:hAnsi="Times New Roman"/>
        </w:rPr>
        <w:t>all of</w:t>
      </w:r>
      <w:proofErr w:type="gramEnd"/>
      <w:r w:rsidR="00423EB6" w:rsidRPr="00231A03">
        <w:rPr>
          <w:rFonts w:ascii="Times New Roman" w:hAnsi="Times New Roman"/>
        </w:rPr>
        <w:t xml:space="preserve"> the relief sought </w:t>
      </w:r>
      <w:r w:rsidR="00506F32" w:rsidRPr="00231A03">
        <w:rPr>
          <w:rFonts w:ascii="Times New Roman" w:hAnsi="Times New Roman"/>
        </w:rPr>
        <w:t>in the Fourth Determination</w:t>
      </w:r>
      <w:r w:rsidR="006324CD" w:rsidRPr="00231A03">
        <w:rPr>
          <w:rFonts w:ascii="Times New Roman" w:hAnsi="Times New Roman"/>
        </w:rPr>
        <w:t xml:space="preserve"> Proceeding</w:t>
      </w:r>
      <w:r w:rsidR="00506F32" w:rsidRPr="00231A03">
        <w:rPr>
          <w:rFonts w:ascii="Times New Roman" w:hAnsi="Times New Roman"/>
        </w:rPr>
        <w:t>.</w:t>
      </w:r>
      <w:r w:rsidR="002D11C8" w:rsidRPr="00231A03">
        <w:rPr>
          <w:rFonts w:ascii="Times New Roman" w:hAnsi="Times New Roman"/>
        </w:rPr>
        <w:t xml:space="preserve"> </w:t>
      </w:r>
      <w:r w:rsidR="00506F32" w:rsidRPr="00231A03">
        <w:rPr>
          <w:rFonts w:ascii="Times New Roman" w:hAnsi="Times New Roman"/>
        </w:rPr>
        <w:t>The reasons state</w:t>
      </w:r>
      <w:r w:rsidR="006324CD" w:rsidRPr="00231A03">
        <w:rPr>
          <w:rFonts w:ascii="Times New Roman" w:hAnsi="Times New Roman"/>
        </w:rPr>
        <w:t>d</w:t>
      </w:r>
      <w:r w:rsidR="00506F32" w:rsidRPr="00231A03">
        <w:rPr>
          <w:rFonts w:ascii="Times New Roman" w:hAnsi="Times New Roman"/>
        </w:rPr>
        <w:t xml:space="preserve"> as follows:</w:t>
      </w:r>
      <w:r w:rsidR="00506F32" w:rsidRPr="00231A03">
        <w:rPr>
          <w:rStyle w:val="FootnoteReference"/>
          <w:rFonts w:ascii="Times New Roman" w:hAnsi="Times New Roman"/>
          <w:sz w:val="24"/>
        </w:rPr>
        <w:footnoteReference w:id="4"/>
      </w:r>
      <w:r w:rsidR="0006532B" w:rsidRPr="00231A03">
        <w:rPr>
          <w:rFonts w:ascii="Times New Roman" w:hAnsi="Times New Roman"/>
        </w:rPr>
        <w:t xml:space="preserve"> </w:t>
      </w:r>
    </w:p>
    <w:p w14:paraId="70E1D227" w14:textId="77777777" w:rsidR="00231A03" w:rsidRDefault="00B351A5" w:rsidP="00231A03">
      <w:pPr>
        <w:pStyle w:val="LRIndentafterHC"/>
        <w:spacing w:before="0" w:after="260" w:line="280" w:lineRule="exact"/>
        <w:ind w:right="0" w:firstLine="0"/>
        <w:jc w:val="both"/>
        <w:rPr>
          <w:rFonts w:ascii="Times New Roman" w:hAnsi="Times New Roman"/>
        </w:rPr>
      </w:pPr>
      <w:r w:rsidRPr="00231A03">
        <w:rPr>
          <w:rFonts w:ascii="Times New Roman" w:hAnsi="Times New Roman"/>
        </w:rPr>
        <w:t>"</w:t>
      </w:r>
      <w:r w:rsidR="00506F32" w:rsidRPr="00231A03">
        <w:rPr>
          <w:rFonts w:ascii="Times New Roman" w:hAnsi="Times New Roman"/>
        </w:rPr>
        <w:t>As stated at the outset, the second matter to be determined is an adjunct to the appeal from the decision of the trial judge. It is an application for judicial review seeking, amongst other relief, a declaration that the fourth Determination of Rent Payable for Dwellings dated 1</w:t>
      </w:r>
      <w:r w:rsidR="0006532B" w:rsidRPr="00231A03">
        <w:rPr>
          <w:rFonts w:ascii="Times New Roman" w:hAnsi="Times New Roman"/>
        </w:rPr>
        <w:t> </w:t>
      </w:r>
      <w:r w:rsidR="00506F32" w:rsidRPr="00231A03">
        <w:rPr>
          <w:rFonts w:ascii="Times New Roman" w:hAnsi="Times New Roman"/>
        </w:rPr>
        <w:t>February 2023 made in purported pursuance of</w:t>
      </w:r>
      <w:r w:rsidR="002D11C8" w:rsidRPr="00231A03">
        <w:rPr>
          <w:rFonts w:ascii="Times New Roman" w:hAnsi="Times New Roman"/>
        </w:rPr>
        <w:t xml:space="preserve"> s </w:t>
      </w:r>
      <w:r w:rsidR="00506F32" w:rsidRPr="00231A03">
        <w:rPr>
          <w:rFonts w:ascii="Times New Roman" w:hAnsi="Times New Roman"/>
        </w:rPr>
        <w:t xml:space="preserve">23 of the </w:t>
      </w:r>
      <w:r w:rsidR="00506F32" w:rsidRPr="00231A03">
        <w:rPr>
          <w:rFonts w:ascii="Times New Roman" w:hAnsi="Times New Roman"/>
          <w:i/>
          <w:iCs/>
        </w:rPr>
        <w:t>Housing Act</w:t>
      </w:r>
      <w:r w:rsidR="00506F32" w:rsidRPr="00231A03">
        <w:rPr>
          <w:rFonts w:ascii="Times New Roman" w:hAnsi="Times New Roman"/>
        </w:rPr>
        <w:t xml:space="preserve"> was </w:t>
      </w:r>
      <w:r w:rsidR="00506F32" w:rsidRPr="00231A03">
        <w:rPr>
          <w:rFonts w:ascii="Times New Roman" w:hAnsi="Times New Roman"/>
          <w:i/>
          <w:iCs/>
        </w:rPr>
        <w:t>ultra vires</w:t>
      </w:r>
      <w:r w:rsidR="00506F32" w:rsidRPr="00231A03">
        <w:rPr>
          <w:rFonts w:ascii="Times New Roman" w:hAnsi="Times New Roman"/>
        </w:rPr>
        <w:t xml:space="preserve"> by operation of</w:t>
      </w:r>
      <w:r w:rsidR="002D11C8" w:rsidRPr="00231A03">
        <w:rPr>
          <w:rFonts w:ascii="Times New Roman" w:hAnsi="Times New Roman"/>
        </w:rPr>
        <w:t xml:space="preserve"> s </w:t>
      </w:r>
      <w:r w:rsidR="00506F32" w:rsidRPr="00231A03">
        <w:rPr>
          <w:rFonts w:ascii="Times New Roman" w:hAnsi="Times New Roman"/>
        </w:rPr>
        <w:t xml:space="preserve">41 of the </w:t>
      </w:r>
      <w:r w:rsidR="00DB079C" w:rsidRPr="00231A03">
        <w:rPr>
          <w:rFonts w:ascii="Times New Roman" w:hAnsi="Times New Roman"/>
        </w:rPr>
        <w:t>[</w:t>
      </w:r>
      <w:r w:rsidR="00DB079C" w:rsidRPr="00231A03">
        <w:rPr>
          <w:rFonts w:ascii="Times New Roman" w:hAnsi="Times New Roman"/>
          <w:i/>
          <w:iCs/>
        </w:rPr>
        <w:t>Residential Tenancies Act 1999</w:t>
      </w:r>
      <w:r w:rsidR="00DB079C" w:rsidRPr="00231A03">
        <w:rPr>
          <w:rFonts w:ascii="Times New Roman" w:hAnsi="Times New Roman"/>
        </w:rPr>
        <w:t xml:space="preserve"> (NT)]</w:t>
      </w:r>
      <w:r w:rsidR="00506F32" w:rsidRPr="00231A03">
        <w:rPr>
          <w:rFonts w:ascii="Times New Roman" w:hAnsi="Times New Roman"/>
        </w:rPr>
        <w:t xml:space="preserve"> and cl</w:t>
      </w:r>
      <w:r w:rsidR="007A74E6" w:rsidRPr="00231A03">
        <w:rPr>
          <w:rFonts w:ascii="Times New Roman" w:hAnsi="Times New Roman"/>
        </w:rPr>
        <w:t> </w:t>
      </w:r>
      <w:r w:rsidR="00506F32" w:rsidRPr="00231A03">
        <w:rPr>
          <w:rFonts w:ascii="Times New Roman" w:hAnsi="Times New Roman"/>
        </w:rPr>
        <w:t>2(2) of Sch</w:t>
      </w:r>
      <w:r w:rsidR="007A74E6" w:rsidRPr="00231A03">
        <w:rPr>
          <w:rFonts w:ascii="Times New Roman" w:hAnsi="Times New Roman"/>
        </w:rPr>
        <w:t> </w:t>
      </w:r>
      <w:r w:rsidR="00506F32" w:rsidRPr="00231A03">
        <w:rPr>
          <w:rFonts w:ascii="Times New Roman" w:hAnsi="Times New Roman"/>
        </w:rPr>
        <w:t xml:space="preserve">2 of the </w:t>
      </w:r>
      <w:r w:rsidR="001B2EF0" w:rsidRPr="00231A03">
        <w:rPr>
          <w:rFonts w:ascii="Times New Roman" w:hAnsi="Times New Roman"/>
        </w:rPr>
        <w:t>[</w:t>
      </w:r>
      <w:r w:rsidR="001B2EF0" w:rsidRPr="00231A03">
        <w:rPr>
          <w:rFonts w:ascii="Times New Roman" w:hAnsi="Times New Roman"/>
          <w:i/>
          <w:iCs/>
        </w:rPr>
        <w:t>Residential T</w:t>
      </w:r>
      <w:r w:rsidR="00B83623" w:rsidRPr="00231A03">
        <w:rPr>
          <w:rFonts w:ascii="Times New Roman" w:hAnsi="Times New Roman"/>
          <w:i/>
          <w:iCs/>
        </w:rPr>
        <w:t>enancies Regulations 2000</w:t>
      </w:r>
      <w:r w:rsidR="00D96551" w:rsidRPr="00231A03">
        <w:rPr>
          <w:rFonts w:ascii="Times New Roman" w:hAnsi="Times New Roman"/>
        </w:rPr>
        <w:t xml:space="preserve"> (NT)</w:t>
      </w:r>
      <w:r w:rsidR="00703562" w:rsidRPr="00231A03">
        <w:rPr>
          <w:rFonts w:ascii="Times New Roman" w:hAnsi="Times New Roman"/>
        </w:rPr>
        <w:t>]</w:t>
      </w:r>
      <w:r w:rsidR="00506F32" w:rsidRPr="00231A03">
        <w:rPr>
          <w:rFonts w:ascii="Times New Roman" w:hAnsi="Times New Roman"/>
        </w:rPr>
        <w:t xml:space="preserve">. It raises the same issues as have been determined above for the purpose of the </w:t>
      </w:r>
      <w:proofErr w:type="gramStart"/>
      <w:r w:rsidR="00506F32" w:rsidRPr="00231A03">
        <w:rPr>
          <w:rFonts w:ascii="Times New Roman" w:hAnsi="Times New Roman"/>
        </w:rPr>
        <w:t>appeal, and</w:t>
      </w:r>
      <w:proofErr w:type="gramEnd"/>
      <w:r w:rsidR="00506F32" w:rsidRPr="00231A03">
        <w:rPr>
          <w:rFonts w:ascii="Times New Roman" w:hAnsi="Times New Roman"/>
        </w:rPr>
        <w:t xml:space="preserve"> attracts the same findings.</w:t>
      </w:r>
      <w:r w:rsidRPr="00231A03">
        <w:rPr>
          <w:rFonts w:ascii="Times New Roman" w:hAnsi="Times New Roman"/>
        </w:rPr>
        <w:t>"</w:t>
      </w:r>
    </w:p>
    <w:p w14:paraId="29871774" w14:textId="3275EBBF" w:rsidR="00860A1F" w:rsidRPr="00231A03" w:rsidRDefault="00782F90" w:rsidP="00231A03">
      <w:pPr>
        <w:pStyle w:val="FixListStyle"/>
        <w:spacing w:after="260" w:line="280" w:lineRule="exact"/>
        <w:ind w:right="0"/>
        <w:jc w:val="both"/>
        <w:rPr>
          <w:rFonts w:ascii="Times New Roman" w:hAnsi="Times New Roman"/>
        </w:rPr>
      </w:pPr>
      <w:r w:rsidRPr="00231A03">
        <w:rPr>
          <w:rFonts w:ascii="Times New Roman" w:hAnsi="Times New Roman"/>
        </w:rPr>
        <w:lastRenderedPageBreak/>
        <w:tab/>
        <w:t>The Court of Appeal</w:t>
      </w:r>
      <w:r w:rsidR="00860A1F" w:rsidRPr="00231A03">
        <w:rPr>
          <w:rFonts w:ascii="Times New Roman" w:hAnsi="Times New Roman"/>
        </w:rPr>
        <w:t xml:space="preserve"> then</w:t>
      </w:r>
      <w:r w:rsidRPr="00231A03">
        <w:rPr>
          <w:rFonts w:ascii="Times New Roman" w:hAnsi="Times New Roman"/>
        </w:rPr>
        <w:t xml:space="preserve"> made </w:t>
      </w:r>
      <w:r w:rsidR="00860A1F" w:rsidRPr="00231A03">
        <w:rPr>
          <w:rFonts w:ascii="Times New Roman" w:hAnsi="Times New Roman"/>
        </w:rPr>
        <w:t xml:space="preserve">the following </w:t>
      </w:r>
      <w:r w:rsidR="00EC78BD" w:rsidRPr="00231A03">
        <w:rPr>
          <w:rFonts w:ascii="Times New Roman" w:hAnsi="Times New Roman"/>
        </w:rPr>
        <w:t xml:space="preserve">order </w:t>
      </w:r>
      <w:r w:rsidRPr="00231A03">
        <w:rPr>
          <w:rFonts w:ascii="Times New Roman" w:hAnsi="Times New Roman"/>
        </w:rPr>
        <w:t xml:space="preserve">dismissing the application </w:t>
      </w:r>
      <w:r w:rsidR="00EC78BD" w:rsidRPr="00231A03">
        <w:rPr>
          <w:rFonts w:ascii="Times New Roman" w:hAnsi="Times New Roman"/>
        </w:rPr>
        <w:t>for</w:t>
      </w:r>
      <w:r w:rsidRPr="00231A03">
        <w:rPr>
          <w:rFonts w:ascii="Times New Roman" w:hAnsi="Times New Roman"/>
        </w:rPr>
        <w:t xml:space="preserve"> judicial review </w:t>
      </w:r>
      <w:r w:rsidR="00791BFD" w:rsidRPr="00231A03">
        <w:rPr>
          <w:rFonts w:ascii="Times New Roman" w:hAnsi="Times New Roman"/>
        </w:rPr>
        <w:t>of</w:t>
      </w:r>
      <w:r w:rsidRPr="00231A03">
        <w:rPr>
          <w:rFonts w:ascii="Times New Roman" w:hAnsi="Times New Roman"/>
        </w:rPr>
        <w:t xml:space="preserve"> the Fourth Determination</w:t>
      </w:r>
      <w:r w:rsidR="00913E1C" w:rsidRPr="00231A03">
        <w:rPr>
          <w:rFonts w:ascii="Times New Roman" w:hAnsi="Times New Roman"/>
        </w:rPr>
        <w:t>:</w:t>
      </w:r>
      <w:r w:rsidR="00791BFD" w:rsidRPr="00231A03">
        <w:rPr>
          <w:rFonts w:ascii="Times New Roman" w:hAnsi="Times New Roman"/>
        </w:rPr>
        <w:t xml:space="preserve"> </w:t>
      </w:r>
    </w:p>
    <w:p w14:paraId="54C250C4" w14:textId="77777777" w:rsidR="00231A03" w:rsidRDefault="00860A1F" w:rsidP="00231A03">
      <w:pPr>
        <w:pStyle w:val="LeftrightafterHC"/>
        <w:spacing w:before="0" w:after="260" w:line="280" w:lineRule="exact"/>
        <w:ind w:right="0"/>
        <w:jc w:val="both"/>
        <w:rPr>
          <w:rFonts w:ascii="Times New Roman" w:hAnsi="Times New Roman"/>
        </w:rPr>
      </w:pPr>
      <w:r w:rsidRPr="00231A03">
        <w:rPr>
          <w:rFonts w:ascii="Times New Roman" w:hAnsi="Times New Roman"/>
        </w:rPr>
        <w:t>"The application for judicial review of the Fourth Determinations in proceedings 2023-01110-SC is dismissed."</w:t>
      </w:r>
    </w:p>
    <w:p w14:paraId="3FAB8698" w14:textId="0598DF7C" w:rsidR="00B351A5" w:rsidRPr="00231A03" w:rsidRDefault="00791BFD" w:rsidP="00231A03">
      <w:pPr>
        <w:pStyle w:val="NormalBody"/>
        <w:spacing w:after="260" w:line="280" w:lineRule="exact"/>
        <w:ind w:right="0"/>
        <w:jc w:val="both"/>
        <w:rPr>
          <w:rFonts w:ascii="Times New Roman" w:hAnsi="Times New Roman"/>
        </w:rPr>
      </w:pPr>
      <w:r w:rsidRPr="00231A03">
        <w:rPr>
          <w:rFonts w:ascii="Times New Roman" w:hAnsi="Times New Roman"/>
        </w:rPr>
        <w:t>It is that order which is the subject of the present application for special leave.</w:t>
      </w:r>
    </w:p>
    <w:p w14:paraId="56EB4455" w14:textId="10586E25" w:rsidR="00EC78BD" w:rsidRPr="00231A03" w:rsidRDefault="00EC78BD" w:rsidP="00231A03">
      <w:pPr>
        <w:pStyle w:val="HeadingL1"/>
        <w:spacing w:after="260" w:line="280" w:lineRule="exact"/>
        <w:ind w:right="0"/>
        <w:jc w:val="both"/>
        <w:rPr>
          <w:rFonts w:ascii="Times New Roman" w:hAnsi="Times New Roman"/>
        </w:rPr>
      </w:pPr>
      <w:r w:rsidRPr="00231A03">
        <w:rPr>
          <w:rFonts w:ascii="Times New Roman" w:hAnsi="Times New Roman"/>
        </w:rPr>
        <w:t>The application for special leave</w:t>
      </w:r>
    </w:p>
    <w:p w14:paraId="20AEA5A3" w14:textId="53661A29" w:rsidR="00EC78BD" w:rsidRPr="00231A03" w:rsidRDefault="00F22BE1" w:rsidP="00231A03">
      <w:pPr>
        <w:pStyle w:val="FixListStyle"/>
        <w:spacing w:after="260" w:line="280" w:lineRule="exact"/>
        <w:ind w:right="0"/>
        <w:jc w:val="both"/>
        <w:rPr>
          <w:rFonts w:ascii="Times New Roman" w:hAnsi="Times New Roman"/>
        </w:rPr>
      </w:pPr>
      <w:r w:rsidRPr="00231A03">
        <w:rPr>
          <w:rFonts w:ascii="Times New Roman" w:hAnsi="Times New Roman"/>
        </w:rPr>
        <w:tab/>
        <w:t>The</w:t>
      </w:r>
      <w:r w:rsidR="00AC6779" w:rsidRPr="00231A03">
        <w:rPr>
          <w:rFonts w:ascii="Times New Roman" w:hAnsi="Times New Roman"/>
        </w:rPr>
        <w:t xml:space="preserve"> </w:t>
      </w:r>
      <w:r w:rsidRPr="00231A03">
        <w:rPr>
          <w:rFonts w:ascii="Times New Roman" w:hAnsi="Times New Roman"/>
        </w:rPr>
        <w:t>application for special leave</w:t>
      </w:r>
      <w:r w:rsidR="00E336D5" w:rsidRPr="00231A03">
        <w:rPr>
          <w:rFonts w:ascii="Times New Roman" w:hAnsi="Times New Roman"/>
        </w:rPr>
        <w:t xml:space="preserve"> contains</w:t>
      </w:r>
      <w:r w:rsidR="000C2B84" w:rsidRPr="00231A03">
        <w:rPr>
          <w:rFonts w:ascii="Times New Roman" w:hAnsi="Times New Roman"/>
        </w:rPr>
        <w:t xml:space="preserve"> </w:t>
      </w:r>
      <w:r w:rsidR="00E336D5" w:rsidRPr="00231A03">
        <w:rPr>
          <w:rFonts w:ascii="Times New Roman" w:hAnsi="Times New Roman"/>
        </w:rPr>
        <w:t>one</w:t>
      </w:r>
      <w:r w:rsidR="000C2B84" w:rsidRPr="00231A03">
        <w:rPr>
          <w:rFonts w:ascii="Times New Roman" w:hAnsi="Times New Roman"/>
        </w:rPr>
        <w:t xml:space="preserve"> proposed</w:t>
      </w:r>
      <w:r w:rsidR="00E336D5" w:rsidRPr="00231A03">
        <w:rPr>
          <w:rFonts w:ascii="Times New Roman" w:hAnsi="Times New Roman"/>
        </w:rPr>
        <w:t xml:space="preserve"> ground of appeal</w:t>
      </w:r>
      <w:r w:rsidR="00FE17C9" w:rsidRPr="00231A03">
        <w:rPr>
          <w:rFonts w:ascii="Times New Roman" w:hAnsi="Times New Roman"/>
        </w:rPr>
        <w:t xml:space="preserve">, </w:t>
      </w:r>
      <w:r w:rsidR="0087555B" w:rsidRPr="00231A03">
        <w:rPr>
          <w:rFonts w:ascii="Times New Roman" w:hAnsi="Times New Roman"/>
        </w:rPr>
        <w:t xml:space="preserve">that the Court of Appeal erred in giving judgment and orders dismissing </w:t>
      </w:r>
      <w:r w:rsidR="00BC6BCD" w:rsidRPr="00231A03">
        <w:rPr>
          <w:rFonts w:ascii="Times New Roman" w:hAnsi="Times New Roman"/>
        </w:rPr>
        <w:t xml:space="preserve">the </w:t>
      </w:r>
      <w:r w:rsidR="004A35C0" w:rsidRPr="00231A03">
        <w:rPr>
          <w:rFonts w:ascii="Times New Roman" w:hAnsi="Times New Roman"/>
        </w:rPr>
        <w:t>Fourth Determination</w:t>
      </w:r>
      <w:r w:rsidR="00FE17C9" w:rsidRPr="00231A03">
        <w:rPr>
          <w:rFonts w:ascii="Times New Roman" w:hAnsi="Times New Roman"/>
        </w:rPr>
        <w:t xml:space="preserve"> Proceeding</w:t>
      </w:r>
      <w:r w:rsidR="006D02E1" w:rsidRPr="00231A03">
        <w:rPr>
          <w:rFonts w:ascii="Times New Roman" w:hAnsi="Times New Roman"/>
        </w:rPr>
        <w:t>,</w:t>
      </w:r>
      <w:r w:rsidR="00BC6BCD" w:rsidRPr="00231A03">
        <w:rPr>
          <w:rFonts w:ascii="Times New Roman" w:hAnsi="Times New Roman"/>
        </w:rPr>
        <w:t xml:space="preserve"> as the Court</w:t>
      </w:r>
      <w:r w:rsidR="0087555B" w:rsidRPr="00231A03">
        <w:rPr>
          <w:rFonts w:ascii="Times New Roman" w:hAnsi="Times New Roman"/>
        </w:rPr>
        <w:t xml:space="preserve"> had earlier </w:t>
      </w:r>
      <w:r w:rsidR="00D0416E" w:rsidRPr="00231A03">
        <w:rPr>
          <w:rFonts w:ascii="Times New Roman" w:hAnsi="Times New Roman"/>
        </w:rPr>
        <w:t>"</w:t>
      </w:r>
      <w:r w:rsidR="0087555B" w:rsidRPr="00231A03">
        <w:rPr>
          <w:rFonts w:ascii="Times New Roman" w:hAnsi="Times New Roman"/>
        </w:rPr>
        <w:t>declined to accept</w:t>
      </w:r>
      <w:r w:rsidR="00D0416E" w:rsidRPr="00231A03">
        <w:rPr>
          <w:rFonts w:ascii="Times New Roman" w:hAnsi="Times New Roman"/>
        </w:rPr>
        <w:t>"</w:t>
      </w:r>
      <w:r w:rsidR="0087555B" w:rsidRPr="00231A03">
        <w:rPr>
          <w:rFonts w:ascii="Times New Roman" w:hAnsi="Times New Roman"/>
        </w:rPr>
        <w:t xml:space="preserve"> the </w:t>
      </w:r>
      <w:r w:rsidR="00F37461" w:rsidRPr="00231A03">
        <w:rPr>
          <w:rFonts w:ascii="Times New Roman" w:hAnsi="Times New Roman"/>
        </w:rPr>
        <w:t>R</w:t>
      </w:r>
      <w:r w:rsidR="0087555B" w:rsidRPr="00231A03">
        <w:rPr>
          <w:rFonts w:ascii="Times New Roman" w:hAnsi="Times New Roman"/>
        </w:rPr>
        <w:t xml:space="preserve">eferral and the parties were not heard on the possibility that </w:t>
      </w:r>
      <w:r w:rsidR="00994C5D" w:rsidRPr="00231A03">
        <w:rPr>
          <w:rFonts w:ascii="Times New Roman" w:hAnsi="Times New Roman"/>
        </w:rPr>
        <w:t xml:space="preserve">that </w:t>
      </w:r>
      <w:r w:rsidR="0087555B" w:rsidRPr="00231A03">
        <w:rPr>
          <w:rFonts w:ascii="Times New Roman" w:hAnsi="Times New Roman"/>
        </w:rPr>
        <w:t>proceeding would be re-accepted and determined.</w:t>
      </w:r>
      <w:r w:rsidR="00265103" w:rsidRPr="00231A03">
        <w:rPr>
          <w:rFonts w:ascii="Times New Roman" w:hAnsi="Times New Roman"/>
        </w:rPr>
        <w:t xml:space="preserve"> </w:t>
      </w:r>
    </w:p>
    <w:p w14:paraId="6BE16C96" w14:textId="0C1333B1" w:rsidR="00D300F6" w:rsidRPr="00231A03" w:rsidRDefault="00D300F6" w:rsidP="00231A03">
      <w:pPr>
        <w:pStyle w:val="HeadingL1"/>
        <w:spacing w:after="260" w:line="280" w:lineRule="exact"/>
        <w:ind w:right="0"/>
        <w:jc w:val="both"/>
        <w:rPr>
          <w:rFonts w:ascii="Times New Roman" w:hAnsi="Times New Roman"/>
        </w:rPr>
      </w:pPr>
      <w:r w:rsidRPr="00231A03">
        <w:rPr>
          <w:rFonts w:ascii="Times New Roman" w:hAnsi="Times New Roman"/>
        </w:rPr>
        <w:t>The Court of Appeal did not have jurisdiction</w:t>
      </w:r>
    </w:p>
    <w:p w14:paraId="74C5A11C" w14:textId="546B7210" w:rsidR="00BB0F24" w:rsidRPr="00231A03" w:rsidRDefault="00D300F6" w:rsidP="00231A03">
      <w:pPr>
        <w:pStyle w:val="FixListStyle"/>
        <w:spacing w:after="260" w:line="280" w:lineRule="exact"/>
        <w:ind w:right="0"/>
        <w:jc w:val="both"/>
        <w:rPr>
          <w:rFonts w:ascii="Times New Roman" w:hAnsi="Times New Roman"/>
        </w:rPr>
      </w:pPr>
      <w:r w:rsidRPr="00231A03">
        <w:rPr>
          <w:rFonts w:ascii="Times New Roman" w:hAnsi="Times New Roman"/>
        </w:rPr>
        <w:tab/>
        <w:t>Section</w:t>
      </w:r>
      <w:r w:rsidR="00D0416E" w:rsidRPr="00231A03">
        <w:rPr>
          <w:rFonts w:ascii="Times New Roman" w:hAnsi="Times New Roman"/>
        </w:rPr>
        <w:t> </w:t>
      </w:r>
      <w:r w:rsidRPr="00231A03">
        <w:rPr>
          <w:rFonts w:ascii="Times New Roman" w:hAnsi="Times New Roman"/>
        </w:rPr>
        <w:t xml:space="preserve">15 of the </w:t>
      </w:r>
      <w:r w:rsidRPr="00231A03">
        <w:rPr>
          <w:rFonts w:ascii="Times New Roman" w:hAnsi="Times New Roman"/>
          <w:i/>
          <w:iCs/>
        </w:rPr>
        <w:t>Supreme Court Act</w:t>
      </w:r>
      <w:r w:rsidRPr="00231A03">
        <w:rPr>
          <w:rFonts w:ascii="Times New Roman" w:hAnsi="Times New Roman"/>
        </w:rPr>
        <w:t xml:space="preserve"> </w:t>
      </w:r>
      <w:r w:rsidR="005646CE" w:rsidRPr="00231A03">
        <w:rPr>
          <w:rFonts w:ascii="Times New Roman" w:hAnsi="Times New Roman"/>
        </w:rPr>
        <w:t xml:space="preserve">relevantly </w:t>
      </w:r>
      <w:r w:rsidRPr="00231A03">
        <w:rPr>
          <w:rFonts w:ascii="Times New Roman" w:hAnsi="Times New Roman"/>
        </w:rPr>
        <w:t>provides</w:t>
      </w:r>
      <w:r w:rsidR="00994C5D" w:rsidRPr="00231A03">
        <w:rPr>
          <w:rFonts w:ascii="Times New Roman" w:hAnsi="Times New Roman"/>
        </w:rPr>
        <w:t xml:space="preserve"> that "[t]he </w:t>
      </w:r>
      <w:r w:rsidR="005646CE" w:rsidRPr="00231A03">
        <w:rPr>
          <w:rFonts w:ascii="Times New Roman" w:hAnsi="Times New Roman"/>
        </w:rPr>
        <w:t>jurisdiction of the Court, other than its appellate jurisdiction, is exercisable</w:t>
      </w:r>
      <w:r w:rsidR="005D5655" w:rsidRPr="00231A03">
        <w:rPr>
          <w:rFonts w:ascii="Times New Roman" w:hAnsi="Times New Roman"/>
        </w:rPr>
        <w:t xml:space="preserve"> </w:t>
      </w:r>
      <w:r w:rsidR="001573F0" w:rsidRPr="00231A03">
        <w:rPr>
          <w:rFonts w:ascii="Times New Roman" w:hAnsi="Times New Roman"/>
        </w:rPr>
        <w:t>...</w:t>
      </w:r>
      <w:r w:rsidR="00994C5D" w:rsidRPr="00231A03">
        <w:rPr>
          <w:rFonts w:ascii="Times New Roman" w:hAnsi="Times New Roman"/>
        </w:rPr>
        <w:t xml:space="preserve"> </w:t>
      </w:r>
      <w:r w:rsidR="005646CE" w:rsidRPr="00231A03">
        <w:rPr>
          <w:rFonts w:ascii="Times New Roman" w:hAnsi="Times New Roman"/>
        </w:rPr>
        <w:t>by the Full Court</w:t>
      </w:r>
      <w:r w:rsidR="004C227E" w:rsidRPr="00231A03">
        <w:rPr>
          <w:rFonts w:ascii="Times New Roman" w:hAnsi="Times New Roman"/>
        </w:rPr>
        <w:t>;</w:t>
      </w:r>
      <w:r w:rsidR="00D17246" w:rsidRPr="00231A03">
        <w:rPr>
          <w:rFonts w:ascii="Times New Roman" w:hAnsi="Times New Roman"/>
        </w:rPr>
        <w:t xml:space="preserve"> </w:t>
      </w:r>
      <w:r w:rsidR="00586DF4" w:rsidRPr="00231A03">
        <w:rPr>
          <w:rFonts w:ascii="Times New Roman" w:hAnsi="Times New Roman"/>
        </w:rPr>
        <w:t xml:space="preserve">[or] where it is not expressly provided that the jurisdiction of the Court shall be exercised by the Full Court, by one </w:t>
      </w:r>
      <w:r w:rsidR="00CE1154" w:rsidRPr="00231A03">
        <w:rPr>
          <w:rFonts w:ascii="Times New Roman" w:hAnsi="Times New Roman"/>
        </w:rPr>
        <w:t>Judge</w:t>
      </w:r>
      <w:r w:rsidR="001573F0" w:rsidRPr="00231A03">
        <w:rPr>
          <w:rFonts w:ascii="Times New Roman" w:hAnsi="Times New Roman"/>
        </w:rPr>
        <w:t xml:space="preserve"> </w:t>
      </w:r>
      <w:r w:rsidR="005646CE" w:rsidRPr="00231A03">
        <w:rPr>
          <w:rFonts w:ascii="Times New Roman" w:hAnsi="Times New Roman"/>
        </w:rPr>
        <w:t>..."</w:t>
      </w:r>
      <w:r w:rsidR="00D17246" w:rsidRPr="00231A03">
        <w:rPr>
          <w:rFonts w:ascii="Times New Roman" w:hAnsi="Times New Roman"/>
        </w:rPr>
        <w:t>.</w:t>
      </w:r>
      <w:r w:rsidR="00CE1154" w:rsidRPr="00231A03">
        <w:rPr>
          <w:rFonts w:ascii="Times New Roman" w:hAnsi="Times New Roman"/>
        </w:rPr>
        <w:t xml:space="preserve"> Section</w:t>
      </w:r>
      <w:r w:rsidR="001573F0" w:rsidRPr="00231A03">
        <w:rPr>
          <w:rFonts w:ascii="Times New Roman" w:hAnsi="Times New Roman"/>
        </w:rPr>
        <w:t> </w:t>
      </w:r>
      <w:r w:rsidR="00CE1154" w:rsidRPr="00231A03">
        <w:rPr>
          <w:rFonts w:ascii="Times New Roman" w:hAnsi="Times New Roman"/>
        </w:rPr>
        <w:t xml:space="preserve">15 is to be read with s 21(1), which permits the Judge hearing a proceeding "not being a proceeding in the Court of Appeal </w:t>
      </w:r>
      <w:r w:rsidR="004C227E" w:rsidRPr="00231A03">
        <w:rPr>
          <w:rFonts w:ascii="Times New Roman" w:hAnsi="Times New Roman"/>
        </w:rPr>
        <w:t xml:space="preserve">... </w:t>
      </w:r>
      <w:r w:rsidR="00CE1154" w:rsidRPr="00231A03">
        <w:rPr>
          <w:rFonts w:ascii="Times New Roman" w:hAnsi="Times New Roman"/>
        </w:rPr>
        <w:t>[to] refer that proceeding or part of that proceeding to the Full Court". The Full Court may accept</w:t>
      </w:r>
      <w:r w:rsidR="002C65BC" w:rsidRPr="00231A03">
        <w:rPr>
          <w:rFonts w:ascii="Times New Roman" w:hAnsi="Times New Roman"/>
        </w:rPr>
        <w:t>,</w:t>
      </w:r>
      <w:r w:rsidR="00CE1154" w:rsidRPr="00231A03">
        <w:rPr>
          <w:rFonts w:ascii="Times New Roman" w:hAnsi="Times New Roman"/>
        </w:rPr>
        <w:t xml:space="preserve"> decline</w:t>
      </w:r>
      <w:r w:rsidR="00277180" w:rsidRPr="00231A03">
        <w:rPr>
          <w:rFonts w:ascii="Times New Roman" w:hAnsi="Times New Roman"/>
        </w:rPr>
        <w:t>,</w:t>
      </w:r>
      <w:r w:rsidR="00CE1154" w:rsidRPr="00231A03">
        <w:rPr>
          <w:rFonts w:ascii="Times New Roman" w:hAnsi="Times New Roman"/>
        </w:rPr>
        <w:t xml:space="preserve"> or accept in part only</w:t>
      </w:r>
      <w:r w:rsidR="00277180" w:rsidRPr="00231A03">
        <w:rPr>
          <w:rFonts w:ascii="Times New Roman" w:hAnsi="Times New Roman"/>
        </w:rPr>
        <w:t>,</w:t>
      </w:r>
      <w:r w:rsidR="00CE1154" w:rsidRPr="00231A03">
        <w:rPr>
          <w:rFonts w:ascii="Times New Roman" w:hAnsi="Times New Roman"/>
        </w:rPr>
        <w:t xml:space="preserve"> a reference made pursuant to s</w:t>
      </w:r>
      <w:r w:rsidR="00875047" w:rsidRPr="00231A03">
        <w:rPr>
          <w:rFonts w:ascii="Times New Roman" w:hAnsi="Times New Roman"/>
        </w:rPr>
        <w:t> </w:t>
      </w:r>
      <w:r w:rsidR="00CE1154" w:rsidRPr="00231A03">
        <w:rPr>
          <w:rFonts w:ascii="Times New Roman" w:hAnsi="Times New Roman"/>
        </w:rPr>
        <w:t>21(1).</w:t>
      </w:r>
      <w:r w:rsidR="00CE1154" w:rsidRPr="00231A03">
        <w:rPr>
          <w:rStyle w:val="FootnoteReference"/>
          <w:rFonts w:ascii="Times New Roman" w:hAnsi="Times New Roman"/>
          <w:sz w:val="24"/>
        </w:rPr>
        <w:footnoteReference w:id="5"/>
      </w:r>
    </w:p>
    <w:p w14:paraId="180614DE" w14:textId="103942DB" w:rsidR="00E56971" w:rsidRPr="00231A03" w:rsidRDefault="005646CE" w:rsidP="00231A03">
      <w:pPr>
        <w:pStyle w:val="FixListStyle"/>
        <w:spacing w:after="260" w:line="280" w:lineRule="exact"/>
        <w:ind w:right="0"/>
        <w:jc w:val="both"/>
        <w:rPr>
          <w:rFonts w:ascii="Times New Roman" w:hAnsi="Times New Roman"/>
        </w:rPr>
      </w:pPr>
      <w:r w:rsidRPr="00231A03">
        <w:rPr>
          <w:rFonts w:ascii="Times New Roman" w:hAnsi="Times New Roman"/>
        </w:rPr>
        <w:tab/>
      </w:r>
      <w:r w:rsidR="004911BC" w:rsidRPr="00231A03">
        <w:rPr>
          <w:rFonts w:ascii="Times New Roman" w:hAnsi="Times New Roman"/>
        </w:rPr>
        <w:t>It was not in dispute that the Court of Appeal was</w:t>
      </w:r>
      <w:r w:rsidR="00951D28" w:rsidRPr="00231A03">
        <w:rPr>
          <w:rFonts w:ascii="Times New Roman" w:hAnsi="Times New Roman"/>
        </w:rPr>
        <w:t xml:space="preserve"> </w:t>
      </w:r>
      <w:r w:rsidR="006E74F4" w:rsidRPr="00231A03">
        <w:rPr>
          <w:rFonts w:ascii="Times New Roman" w:hAnsi="Times New Roman"/>
        </w:rPr>
        <w:t xml:space="preserve">relevantly </w:t>
      </w:r>
      <w:r w:rsidR="00595781" w:rsidRPr="00231A03">
        <w:rPr>
          <w:rFonts w:ascii="Times New Roman" w:hAnsi="Times New Roman"/>
        </w:rPr>
        <w:t xml:space="preserve">the </w:t>
      </w:r>
      <w:r w:rsidR="00951D28" w:rsidRPr="00231A03">
        <w:rPr>
          <w:rFonts w:ascii="Times New Roman" w:hAnsi="Times New Roman"/>
        </w:rPr>
        <w:t xml:space="preserve">Full Court for the purposes of </w:t>
      </w:r>
      <w:r w:rsidR="00595781" w:rsidRPr="00231A03">
        <w:rPr>
          <w:rFonts w:ascii="Times New Roman" w:hAnsi="Times New Roman"/>
        </w:rPr>
        <w:t xml:space="preserve">s 15 of the </w:t>
      </w:r>
      <w:r w:rsidR="00595781" w:rsidRPr="00231A03">
        <w:rPr>
          <w:rFonts w:ascii="Times New Roman" w:hAnsi="Times New Roman"/>
          <w:i/>
          <w:iCs/>
        </w:rPr>
        <w:t>Supreme Court Act</w:t>
      </w:r>
      <w:r w:rsidR="00951D28" w:rsidRPr="00231A03">
        <w:rPr>
          <w:rFonts w:ascii="Times New Roman" w:hAnsi="Times New Roman"/>
        </w:rPr>
        <w:t xml:space="preserve">. </w:t>
      </w:r>
      <w:r w:rsidR="002942FF" w:rsidRPr="00231A03">
        <w:rPr>
          <w:rFonts w:ascii="Times New Roman" w:hAnsi="Times New Roman"/>
        </w:rPr>
        <w:t>If the Court had accepted the Referral made by Grant</w:t>
      </w:r>
      <w:r w:rsidR="00BB0F24" w:rsidRPr="00231A03">
        <w:rPr>
          <w:rFonts w:ascii="Times New Roman" w:hAnsi="Times New Roman"/>
        </w:rPr>
        <w:t> </w:t>
      </w:r>
      <w:r w:rsidR="002942FF" w:rsidRPr="00231A03">
        <w:rPr>
          <w:rFonts w:ascii="Times New Roman" w:hAnsi="Times New Roman"/>
        </w:rPr>
        <w:t>CJ</w:t>
      </w:r>
      <w:r w:rsidR="00161454" w:rsidRPr="00231A03">
        <w:rPr>
          <w:rFonts w:ascii="Times New Roman" w:hAnsi="Times New Roman"/>
        </w:rPr>
        <w:t>,</w:t>
      </w:r>
      <w:r w:rsidR="002942FF" w:rsidRPr="00231A03">
        <w:rPr>
          <w:rFonts w:ascii="Times New Roman" w:hAnsi="Times New Roman"/>
        </w:rPr>
        <w:t xml:space="preserve"> then </w:t>
      </w:r>
      <w:r w:rsidR="003A137B" w:rsidRPr="00231A03">
        <w:rPr>
          <w:rFonts w:ascii="Times New Roman" w:hAnsi="Times New Roman"/>
        </w:rPr>
        <w:t xml:space="preserve">the Court </w:t>
      </w:r>
      <w:r w:rsidR="002942FF" w:rsidRPr="00231A03">
        <w:rPr>
          <w:rFonts w:ascii="Times New Roman" w:hAnsi="Times New Roman"/>
        </w:rPr>
        <w:t xml:space="preserve">would have had jurisdiction to </w:t>
      </w:r>
      <w:r w:rsidR="00241B31" w:rsidRPr="00231A03">
        <w:rPr>
          <w:rFonts w:ascii="Times New Roman" w:hAnsi="Times New Roman"/>
        </w:rPr>
        <w:t xml:space="preserve">hear and determine the </w:t>
      </w:r>
      <w:r w:rsidR="003A137B" w:rsidRPr="00231A03">
        <w:rPr>
          <w:rFonts w:ascii="Times New Roman" w:hAnsi="Times New Roman"/>
        </w:rPr>
        <w:t xml:space="preserve">application for </w:t>
      </w:r>
      <w:r w:rsidR="009B39E4" w:rsidRPr="00231A03">
        <w:rPr>
          <w:rFonts w:ascii="Times New Roman" w:hAnsi="Times New Roman"/>
        </w:rPr>
        <w:t xml:space="preserve">declaration numbered </w:t>
      </w:r>
      <w:r w:rsidR="00BE5A21" w:rsidRPr="00231A03">
        <w:rPr>
          <w:rFonts w:ascii="Times New Roman" w:hAnsi="Times New Roman"/>
        </w:rPr>
        <w:t>1</w:t>
      </w:r>
      <w:r w:rsidR="009B39E4" w:rsidRPr="00231A03">
        <w:rPr>
          <w:rFonts w:ascii="Times New Roman" w:hAnsi="Times New Roman"/>
        </w:rPr>
        <w:t>.</w:t>
      </w:r>
      <w:r w:rsidR="002D11C8" w:rsidRPr="00231A03">
        <w:rPr>
          <w:rFonts w:ascii="Times New Roman" w:hAnsi="Times New Roman"/>
        </w:rPr>
        <w:t xml:space="preserve"> </w:t>
      </w:r>
      <w:r w:rsidR="009B39E4" w:rsidRPr="00231A03">
        <w:rPr>
          <w:rFonts w:ascii="Times New Roman" w:hAnsi="Times New Roman"/>
        </w:rPr>
        <w:t>However, pursuant to</w:t>
      </w:r>
      <w:r w:rsidR="002D11C8" w:rsidRPr="00231A03">
        <w:rPr>
          <w:rFonts w:ascii="Times New Roman" w:hAnsi="Times New Roman"/>
        </w:rPr>
        <w:t xml:space="preserve"> s </w:t>
      </w:r>
      <w:r w:rsidR="009B39E4" w:rsidRPr="00231A03">
        <w:rPr>
          <w:rFonts w:ascii="Times New Roman" w:hAnsi="Times New Roman"/>
        </w:rPr>
        <w:t>21(2)(b)</w:t>
      </w:r>
      <w:r w:rsidR="00C52D6A" w:rsidRPr="00231A03">
        <w:rPr>
          <w:rFonts w:ascii="Times New Roman" w:hAnsi="Times New Roman"/>
        </w:rPr>
        <w:t xml:space="preserve"> of the </w:t>
      </w:r>
      <w:r w:rsidR="00C52D6A" w:rsidRPr="00231A03">
        <w:rPr>
          <w:rFonts w:ascii="Times New Roman" w:hAnsi="Times New Roman"/>
          <w:i/>
          <w:iCs/>
        </w:rPr>
        <w:t>Supreme Court Act</w:t>
      </w:r>
      <w:r w:rsidR="009B39E4" w:rsidRPr="00231A03">
        <w:rPr>
          <w:rFonts w:ascii="Times New Roman" w:hAnsi="Times New Roman"/>
        </w:rPr>
        <w:t xml:space="preserve">, the Court </w:t>
      </w:r>
      <w:r w:rsidR="00A1378D" w:rsidRPr="00231A03">
        <w:rPr>
          <w:rFonts w:ascii="Times New Roman" w:hAnsi="Times New Roman"/>
        </w:rPr>
        <w:t>"</w:t>
      </w:r>
      <w:r w:rsidR="009B39E4" w:rsidRPr="00231A03">
        <w:rPr>
          <w:rFonts w:ascii="Times New Roman" w:hAnsi="Times New Roman"/>
        </w:rPr>
        <w:t>decline</w:t>
      </w:r>
      <w:r w:rsidR="00F02F24" w:rsidRPr="00231A03">
        <w:rPr>
          <w:rFonts w:ascii="Times New Roman" w:hAnsi="Times New Roman"/>
        </w:rPr>
        <w:t>d"</w:t>
      </w:r>
      <w:r w:rsidR="009B39E4" w:rsidRPr="00231A03">
        <w:rPr>
          <w:rFonts w:ascii="Times New Roman" w:hAnsi="Times New Roman"/>
        </w:rPr>
        <w:t xml:space="preserve"> to accept that Referral.</w:t>
      </w:r>
      <w:r w:rsidR="002D11C8" w:rsidRPr="00231A03">
        <w:rPr>
          <w:rFonts w:ascii="Times New Roman" w:hAnsi="Times New Roman"/>
        </w:rPr>
        <w:t xml:space="preserve"> </w:t>
      </w:r>
      <w:r w:rsidR="009B39E4" w:rsidRPr="00231A03">
        <w:rPr>
          <w:rFonts w:ascii="Times New Roman" w:hAnsi="Times New Roman"/>
        </w:rPr>
        <w:t xml:space="preserve">It follows that </w:t>
      </w:r>
      <w:r w:rsidR="00161454" w:rsidRPr="00231A03">
        <w:rPr>
          <w:rFonts w:ascii="Times New Roman" w:hAnsi="Times New Roman"/>
        </w:rPr>
        <w:t>the Court</w:t>
      </w:r>
      <w:r w:rsidR="009B39E4" w:rsidRPr="00231A03">
        <w:rPr>
          <w:rFonts w:ascii="Times New Roman" w:hAnsi="Times New Roman"/>
        </w:rPr>
        <w:t xml:space="preserve"> </w:t>
      </w:r>
      <w:r w:rsidR="00F02F24" w:rsidRPr="00231A03">
        <w:rPr>
          <w:rFonts w:ascii="Times New Roman" w:hAnsi="Times New Roman"/>
        </w:rPr>
        <w:t xml:space="preserve">of Appeal </w:t>
      </w:r>
      <w:r w:rsidR="009B39E4" w:rsidRPr="00231A03">
        <w:rPr>
          <w:rFonts w:ascii="Times New Roman" w:hAnsi="Times New Roman"/>
        </w:rPr>
        <w:t xml:space="preserve">did not have jurisdiction to hear </w:t>
      </w:r>
      <w:r w:rsidR="005D0AA4" w:rsidRPr="00231A03">
        <w:rPr>
          <w:rFonts w:ascii="Times New Roman" w:hAnsi="Times New Roman"/>
        </w:rPr>
        <w:t>and determine the relief sought.</w:t>
      </w:r>
      <w:r w:rsidR="002D11C8" w:rsidRPr="00231A03">
        <w:rPr>
          <w:rFonts w:ascii="Times New Roman" w:hAnsi="Times New Roman"/>
        </w:rPr>
        <w:t xml:space="preserve"> </w:t>
      </w:r>
      <w:r w:rsidR="00F37461" w:rsidRPr="00231A03">
        <w:rPr>
          <w:rFonts w:ascii="Times New Roman" w:hAnsi="Times New Roman"/>
        </w:rPr>
        <w:t xml:space="preserve">Special leave should be </w:t>
      </w:r>
      <w:proofErr w:type="gramStart"/>
      <w:r w:rsidR="00F37461" w:rsidRPr="00231A03">
        <w:rPr>
          <w:rFonts w:ascii="Times New Roman" w:hAnsi="Times New Roman"/>
        </w:rPr>
        <w:t>granted</w:t>
      </w:r>
      <w:proofErr w:type="gramEnd"/>
      <w:r w:rsidR="00F37461" w:rsidRPr="00231A03">
        <w:rPr>
          <w:rFonts w:ascii="Times New Roman" w:hAnsi="Times New Roman"/>
        </w:rPr>
        <w:t xml:space="preserve"> and</w:t>
      </w:r>
      <w:r w:rsidR="00E46CCC" w:rsidRPr="00231A03">
        <w:rPr>
          <w:rFonts w:ascii="Times New Roman" w:hAnsi="Times New Roman"/>
        </w:rPr>
        <w:t xml:space="preserve"> </w:t>
      </w:r>
      <w:r w:rsidR="00F37461" w:rsidRPr="00231A03">
        <w:rPr>
          <w:rFonts w:ascii="Times New Roman" w:hAnsi="Times New Roman"/>
        </w:rPr>
        <w:t>the</w:t>
      </w:r>
      <w:r w:rsidR="00161454" w:rsidRPr="00231A03">
        <w:rPr>
          <w:rFonts w:ascii="Times New Roman" w:hAnsi="Times New Roman"/>
        </w:rPr>
        <w:t xml:space="preserve"> resulting</w:t>
      </w:r>
      <w:r w:rsidR="00F37461" w:rsidRPr="00231A03">
        <w:rPr>
          <w:rFonts w:ascii="Times New Roman" w:hAnsi="Times New Roman"/>
        </w:rPr>
        <w:t xml:space="preserve"> appeal should be allowed</w:t>
      </w:r>
      <w:r w:rsidR="00E46CCC" w:rsidRPr="00231A03">
        <w:rPr>
          <w:rFonts w:ascii="Times New Roman" w:hAnsi="Times New Roman"/>
        </w:rPr>
        <w:t xml:space="preserve">. </w:t>
      </w:r>
      <w:r w:rsidR="00E11DD2" w:rsidRPr="00231A03">
        <w:rPr>
          <w:rFonts w:ascii="Times New Roman" w:hAnsi="Times New Roman"/>
        </w:rPr>
        <w:t>The</w:t>
      </w:r>
      <w:r w:rsidR="00F02F24" w:rsidRPr="00231A03">
        <w:rPr>
          <w:rFonts w:ascii="Times New Roman" w:hAnsi="Times New Roman"/>
        </w:rPr>
        <w:t> </w:t>
      </w:r>
      <w:r w:rsidR="00E11DD2" w:rsidRPr="00231A03">
        <w:rPr>
          <w:rFonts w:ascii="Times New Roman" w:hAnsi="Times New Roman"/>
        </w:rPr>
        <w:t xml:space="preserve">parties agree </w:t>
      </w:r>
      <w:r w:rsidR="00EC50B7" w:rsidRPr="00231A03">
        <w:rPr>
          <w:rFonts w:ascii="Times New Roman" w:hAnsi="Times New Roman"/>
        </w:rPr>
        <w:t>that those orders should be made</w:t>
      </w:r>
      <w:r w:rsidR="00E11DD2" w:rsidRPr="00231A03">
        <w:rPr>
          <w:rFonts w:ascii="Times New Roman" w:hAnsi="Times New Roman"/>
        </w:rPr>
        <w:t>.</w:t>
      </w:r>
      <w:r w:rsidR="00126440" w:rsidRPr="00231A03">
        <w:rPr>
          <w:rFonts w:ascii="Times New Roman" w:hAnsi="Times New Roman"/>
        </w:rPr>
        <w:t xml:space="preserve"> </w:t>
      </w:r>
      <w:r w:rsidR="00F10B78" w:rsidRPr="00231A03">
        <w:rPr>
          <w:rFonts w:ascii="Times New Roman" w:hAnsi="Times New Roman"/>
        </w:rPr>
        <w:t xml:space="preserve">The parties also agree that they should each bear their own costs of the </w:t>
      </w:r>
      <w:r w:rsidR="005267D4" w:rsidRPr="00231A03">
        <w:rPr>
          <w:rFonts w:ascii="Times New Roman" w:hAnsi="Times New Roman"/>
        </w:rPr>
        <w:t xml:space="preserve">special leave application and resulting appeal. </w:t>
      </w:r>
    </w:p>
    <w:p w14:paraId="3F37A393" w14:textId="3AE65F99" w:rsidR="00D300F6" w:rsidRPr="00231A03" w:rsidRDefault="00E56971" w:rsidP="00231A03">
      <w:pPr>
        <w:pStyle w:val="FixListStyle"/>
        <w:spacing w:after="260" w:line="280" w:lineRule="exact"/>
        <w:ind w:right="0"/>
        <w:jc w:val="both"/>
        <w:rPr>
          <w:rFonts w:ascii="Times New Roman" w:hAnsi="Times New Roman"/>
        </w:rPr>
      </w:pPr>
      <w:r w:rsidRPr="00231A03">
        <w:rPr>
          <w:rFonts w:ascii="Times New Roman" w:hAnsi="Times New Roman"/>
        </w:rPr>
        <w:lastRenderedPageBreak/>
        <w:tab/>
      </w:r>
      <w:r w:rsidR="005D0AA4" w:rsidRPr="00231A03">
        <w:rPr>
          <w:rFonts w:ascii="Times New Roman" w:hAnsi="Times New Roman"/>
        </w:rPr>
        <w:t>The Fourth Determination</w:t>
      </w:r>
      <w:r w:rsidR="004B77E5" w:rsidRPr="00231A03">
        <w:rPr>
          <w:rFonts w:ascii="Times New Roman" w:hAnsi="Times New Roman"/>
        </w:rPr>
        <w:t xml:space="preserve"> </w:t>
      </w:r>
      <w:r w:rsidR="009C0925" w:rsidRPr="00231A03">
        <w:rPr>
          <w:rFonts w:ascii="Times New Roman" w:hAnsi="Times New Roman"/>
        </w:rPr>
        <w:t xml:space="preserve">Proceeding </w:t>
      </w:r>
      <w:r w:rsidR="004B77E5" w:rsidRPr="00231A03">
        <w:rPr>
          <w:rFonts w:ascii="Times New Roman" w:hAnsi="Times New Roman"/>
        </w:rPr>
        <w:t>thus</w:t>
      </w:r>
      <w:r w:rsidR="005D0AA4" w:rsidRPr="00231A03">
        <w:rPr>
          <w:rFonts w:ascii="Times New Roman" w:hAnsi="Times New Roman"/>
        </w:rPr>
        <w:t xml:space="preserve"> remain</w:t>
      </w:r>
      <w:r w:rsidR="00527125" w:rsidRPr="00231A03">
        <w:rPr>
          <w:rFonts w:ascii="Times New Roman" w:hAnsi="Times New Roman"/>
        </w:rPr>
        <w:t>s</w:t>
      </w:r>
      <w:r w:rsidR="005D0AA4" w:rsidRPr="00231A03">
        <w:rPr>
          <w:rFonts w:ascii="Times New Roman" w:hAnsi="Times New Roman"/>
        </w:rPr>
        <w:t xml:space="preserve"> extant</w:t>
      </w:r>
      <w:r w:rsidR="004B77E5" w:rsidRPr="00231A03">
        <w:rPr>
          <w:rFonts w:ascii="Times New Roman" w:hAnsi="Times New Roman"/>
        </w:rPr>
        <w:t xml:space="preserve"> and will need to be heard </w:t>
      </w:r>
      <w:r w:rsidR="004E69FA" w:rsidRPr="00231A03">
        <w:rPr>
          <w:rFonts w:ascii="Times New Roman" w:hAnsi="Times New Roman"/>
        </w:rPr>
        <w:t xml:space="preserve">and determined </w:t>
      </w:r>
      <w:r w:rsidR="004B77E5" w:rsidRPr="00231A03">
        <w:rPr>
          <w:rFonts w:ascii="Times New Roman" w:hAnsi="Times New Roman"/>
        </w:rPr>
        <w:t>by the Supreme Court of the Northern Territory</w:t>
      </w:r>
      <w:r w:rsidR="00F13D2B" w:rsidRPr="00231A03">
        <w:rPr>
          <w:rFonts w:ascii="Times New Roman" w:hAnsi="Times New Roman"/>
        </w:rPr>
        <w:t>, unless otherwise resolved</w:t>
      </w:r>
      <w:r w:rsidR="003B7BA1" w:rsidRPr="00231A03">
        <w:rPr>
          <w:rFonts w:ascii="Times New Roman" w:hAnsi="Times New Roman"/>
        </w:rPr>
        <w:t>.</w:t>
      </w:r>
      <w:r w:rsidR="00C12E08" w:rsidRPr="00231A03">
        <w:rPr>
          <w:rFonts w:ascii="Times New Roman" w:hAnsi="Times New Roman"/>
        </w:rPr>
        <w:t xml:space="preserve"> </w:t>
      </w:r>
    </w:p>
    <w:p w14:paraId="0ECFE4D7" w14:textId="75F0E4F7" w:rsidR="006473DD" w:rsidRPr="00231A03" w:rsidRDefault="006473DD" w:rsidP="00231A03">
      <w:pPr>
        <w:pStyle w:val="HeadingL1"/>
        <w:spacing w:after="260" w:line="280" w:lineRule="exact"/>
        <w:ind w:right="0"/>
        <w:jc w:val="both"/>
        <w:rPr>
          <w:rFonts w:ascii="Times New Roman" w:hAnsi="Times New Roman"/>
        </w:rPr>
      </w:pPr>
      <w:r w:rsidRPr="00231A03">
        <w:rPr>
          <w:rFonts w:ascii="Times New Roman" w:hAnsi="Times New Roman"/>
        </w:rPr>
        <w:t>The order made by the Court of Appeal</w:t>
      </w:r>
      <w:r w:rsidR="00E46CCC" w:rsidRPr="00231A03">
        <w:rPr>
          <w:rFonts w:ascii="Times New Roman" w:hAnsi="Times New Roman"/>
        </w:rPr>
        <w:t xml:space="preserve"> </w:t>
      </w:r>
      <w:r w:rsidR="00EF2B39" w:rsidRPr="00231A03">
        <w:rPr>
          <w:rFonts w:ascii="Times New Roman" w:hAnsi="Times New Roman"/>
        </w:rPr>
        <w:t>–</w:t>
      </w:r>
      <w:r w:rsidR="00E46CCC" w:rsidRPr="00231A03">
        <w:rPr>
          <w:rFonts w:ascii="Times New Roman" w:hAnsi="Times New Roman"/>
        </w:rPr>
        <w:t xml:space="preserve"> extrinsic material</w:t>
      </w:r>
    </w:p>
    <w:p w14:paraId="257386A7" w14:textId="5F944122" w:rsidR="00B351A5" w:rsidRPr="00231A03" w:rsidRDefault="008756B5" w:rsidP="00231A03">
      <w:pPr>
        <w:pStyle w:val="FixListStyle"/>
        <w:spacing w:after="260" w:line="280" w:lineRule="exact"/>
        <w:ind w:right="0"/>
        <w:jc w:val="both"/>
        <w:rPr>
          <w:rFonts w:ascii="Times New Roman" w:hAnsi="Times New Roman"/>
        </w:rPr>
      </w:pPr>
      <w:r w:rsidRPr="00231A03">
        <w:rPr>
          <w:rFonts w:ascii="Times New Roman" w:hAnsi="Times New Roman"/>
        </w:rPr>
        <w:tab/>
      </w:r>
      <w:r w:rsidR="008718A5" w:rsidRPr="00231A03">
        <w:rPr>
          <w:rFonts w:ascii="Times New Roman" w:hAnsi="Times New Roman"/>
        </w:rPr>
        <w:t xml:space="preserve">Given </w:t>
      </w:r>
      <w:r w:rsidR="00997E7D" w:rsidRPr="00231A03">
        <w:rPr>
          <w:rFonts w:ascii="Times New Roman" w:hAnsi="Times New Roman"/>
        </w:rPr>
        <w:t xml:space="preserve">that </w:t>
      </w:r>
      <w:r w:rsidR="008718A5" w:rsidRPr="00231A03">
        <w:rPr>
          <w:rFonts w:ascii="Times New Roman" w:hAnsi="Times New Roman"/>
        </w:rPr>
        <w:t xml:space="preserve">what was </w:t>
      </w:r>
      <w:r w:rsidR="00246A84" w:rsidRPr="00231A03">
        <w:rPr>
          <w:rFonts w:ascii="Times New Roman" w:hAnsi="Times New Roman"/>
        </w:rPr>
        <w:t>the subject of the Referral</w:t>
      </w:r>
      <w:r w:rsidR="008718A5" w:rsidRPr="00231A03">
        <w:rPr>
          <w:rFonts w:ascii="Times New Roman" w:hAnsi="Times New Roman"/>
        </w:rPr>
        <w:t xml:space="preserve"> was only one of the grounds of relief in the Fourth Determination</w:t>
      </w:r>
      <w:r w:rsidR="00246A84" w:rsidRPr="00231A03">
        <w:rPr>
          <w:rFonts w:ascii="Times New Roman" w:hAnsi="Times New Roman"/>
        </w:rPr>
        <w:t xml:space="preserve"> Proceeding</w:t>
      </w:r>
      <w:r w:rsidR="008718A5" w:rsidRPr="00231A03">
        <w:rPr>
          <w:rFonts w:ascii="Times New Roman" w:hAnsi="Times New Roman"/>
        </w:rPr>
        <w:t>, it was unclear whether</w:t>
      </w:r>
      <w:r w:rsidR="00A30A4A" w:rsidRPr="00231A03">
        <w:rPr>
          <w:rFonts w:ascii="Times New Roman" w:hAnsi="Times New Roman"/>
        </w:rPr>
        <w:t xml:space="preserve"> the order </w:t>
      </w:r>
      <w:r w:rsidR="00246A84" w:rsidRPr="00231A03">
        <w:rPr>
          <w:rFonts w:ascii="Times New Roman" w:hAnsi="Times New Roman"/>
        </w:rPr>
        <w:t xml:space="preserve">of the Court of Appeal </w:t>
      </w:r>
      <w:r w:rsidR="00A30A4A" w:rsidRPr="00231A03">
        <w:rPr>
          <w:rFonts w:ascii="Times New Roman" w:hAnsi="Times New Roman"/>
        </w:rPr>
        <w:t>was confined to declaration number</w:t>
      </w:r>
      <w:r w:rsidR="0032627C" w:rsidRPr="00231A03">
        <w:rPr>
          <w:rFonts w:ascii="Times New Roman" w:hAnsi="Times New Roman"/>
        </w:rPr>
        <w:t>ed</w:t>
      </w:r>
      <w:r w:rsidR="00A30A4A" w:rsidRPr="00231A03">
        <w:rPr>
          <w:rFonts w:ascii="Times New Roman" w:hAnsi="Times New Roman"/>
        </w:rPr>
        <w:t xml:space="preserve"> </w:t>
      </w:r>
      <w:r w:rsidR="00BE5A21" w:rsidRPr="00231A03">
        <w:rPr>
          <w:rFonts w:ascii="Times New Roman" w:hAnsi="Times New Roman"/>
        </w:rPr>
        <w:t>1</w:t>
      </w:r>
      <w:r w:rsidR="00A30A4A" w:rsidRPr="00231A03">
        <w:rPr>
          <w:rFonts w:ascii="Times New Roman" w:hAnsi="Times New Roman"/>
        </w:rPr>
        <w:t xml:space="preserve"> or whether it </w:t>
      </w:r>
      <w:r w:rsidR="0032627C" w:rsidRPr="00231A03">
        <w:rPr>
          <w:rFonts w:ascii="Times New Roman" w:hAnsi="Times New Roman"/>
        </w:rPr>
        <w:t xml:space="preserve">extended to </w:t>
      </w:r>
      <w:proofErr w:type="gramStart"/>
      <w:r w:rsidR="0032627C" w:rsidRPr="00231A03">
        <w:rPr>
          <w:rFonts w:ascii="Times New Roman" w:hAnsi="Times New Roman"/>
        </w:rPr>
        <w:t>all of</w:t>
      </w:r>
      <w:proofErr w:type="gramEnd"/>
      <w:r w:rsidR="0032627C" w:rsidRPr="00231A03">
        <w:rPr>
          <w:rFonts w:ascii="Times New Roman" w:hAnsi="Times New Roman"/>
        </w:rPr>
        <w:t xml:space="preserve"> the relief sought by the app</w:t>
      </w:r>
      <w:r w:rsidR="00AA7050" w:rsidRPr="00231A03">
        <w:rPr>
          <w:rFonts w:ascii="Times New Roman" w:hAnsi="Times New Roman"/>
        </w:rPr>
        <w:t>licants</w:t>
      </w:r>
      <w:r w:rsidR="0032627C" w:rsidRPr="00231A03">
        <w:rPr>
          <w:rFonts w:ascii="Times New Roman" w:hAnsi="Times New Roman"/>
        </w:rPr>
        <w:t xml:space="preserve"> in </w:t>
      </w:r>
      <w:r w:rsidR="00246A84" w:rsidRPr="00231A03">
        <w:rPr>
          <w:rFonts w:ascii="Times New Roman" w:hAnsi="Times New Roman"/>
        </w:rPr>
        <w:t xml:space="preserve">that </w:t>
      </w:r>
      <w:r w:rsidR="0032627C" w:rsidRPr="00231A03">
        <w:rPr>
          <w:rFonts w:ascii="Times New Roman" w:hAnsi="Times New Roman"/>
        </w:rPr>
        <w:t>proceeding.</w:t>
      </w:r>
    </w:p>
    <w:p w14:paraId="288F18CA" w14:textId="5593A8AA" w:rsidR="006F3A93" w:rsidRPr="00231A03" w:rsidRDefault="00B836FD" w:rsidP="00231A03">
      <w:pPr>
        <w:pStyle w:val="FixListStyle"/>
        <w:spacing w:after="260" w:line="280" w:lineRule="exact"/>
        <w:ind w:right="0"/>
        <w:jc w:val="both"/>
        <w:rPr>
          <w:rFonts w:ascii="Times New Roman" w:hAnsi="Times New Roman"/>
        </w:rPr>
      </w:pPr>
      <w:r w:rsidRPr="00231A03">
        <w:rPr>
          <w:rFonts w:ascii="Times New Roman" w:hAnsi="Times New Roman"/>
        </w:rPr>
        <w:tab/>
        <w:t>It is strictl</w:t>
      </w:r>
      <w:r w:rsidR="00F54FAD" w:rsidRPr="00231A03">
        <w:rPr>
          <w:rFonts w:ascii="Times New Roman" w:hAnsi="Times New Roman"/>
        </w:rPr>
        <w:t>y</w:t>
      </w:r>
      <w:r w:rsidRPr="00231A03">
        <w:rPr>
          <w:rFonts w:ascii="Times New Roman" w:hAnsi="Times New Roman"/>
        </w:rPr>
        <w:t xml:space="preserve"> </w:t>
      </w:r>
      <w:r w:rsidR="00F54FAD" w:rsidRPr="00231A03">
        <w:rPr>
          <w:rFonts w:ascii="Times New Roman" w:hAnsi="Times New Roman"/>
        </w:rPr>
        <w:t>unnecessary</w:t>
      </w:r>
      <w:r w:rsidRPr="00231A03">
        <w:rPr>
          <w:rFonts w:ascii="Times New Roman" w:hAnsi="Times New Roman"/>
        </w:rPr>
        <w:t xml:space="preserve"> to </w:t>
      </w:r>
      <w:r w:rsidR="00F54FAD" w:rsidRPr="00231A03">
        <w:rPr>
          <w:rFonts w:ascii="Times New Roman" w:hAnsi="Times New Roman"/>
        </w:rPr>
        <w:t>resolve this ambiguity.</w:t>
      </w:r>
      <w:r w:rsidR="002D11C8" w:rsidRPr="00231A03">
        <w:rPr>
          <w:rFonts w:ascii="Times New Roman" w:hAnsi="Times New Roman"/>
        </w:rPr>
        <w:t xml:space="preserve"> </w:t>
      </w:r>
      <w:r w:rsidR="00F54FAD" w:rsidRPr="00231A03">
        <w:rPr>
          <w:rFonts w:ascii="Times New Roman" w:hAnsi="Times New Roman"/>
        </w:rPr>
        <w:t>On any view</w:t>
      </w:r>
      <w:r w:rsidR="00886735" w:rsidRPr="00231A03">
        <w:rPr>
          <w:rFonts w:ascii="Times New Roman" w:hAnsi="Times New Roman"/>
        </w:rPr>
        <w:t>, as explained above,</w:t>
      </w:r>
      <w:r w:rsidR="00F54FAD" w:rsidRPr="00231A03">
        <w:rPr>
          <w:rFonts w:ascii="Times New Roman" w:hAnsi="Times New Roman"/>
        </w:rPr>
        <w:t xml:space="preserve"> the Court of Appeal lacked jurisdiction to make the </w:t>
      </w:r>
      <w:r w:rsidR="008B4DC6" w:rsidRPr="00231A03">
        <w:rPr>
          <w:rFonts w:ascii="Times New Roman" w:hAnsi="Times New Roman"/>
        </w:rPr>
        <w:t>order.</w:t>
      </w:r>
      <w:r w:rsidR="002D11C8" w:rsidRPr="00231A03">
        <w:rPr>
          <w:rFonts w:ascii="Times New Roman" w:hAnsi="Times New Roman"/>
        </w:rPr>
        <w:t xml:space="preserve"> </w:t>
      </w:r>
      <w:r w:rsidR="00924899" w:rsidRPr="00231A03">
        <w:rPr>
          <w:rFonts w:ascii="Times New Roman" w:hAnsi="Times New Roman"/>
        </w:rPr>
        <w:t>C</w:t>
      </w:r>
      <w:r w:rsidR="00FA01F4" w:rsidRPr="00231A03">
        <w:rPr>
          <w:rFonts w:ascii="Times New Roman" w:hAnsi="Times New Roman"/>
        </w:rPr>
        <w:t xml:space="preserve">ourt orders should be drafted in clear and </w:t>
      </w:r>
      <w:r w:rsidR="00853131" w:rsidRPr="00231A03">
        <w:rPr>
          <w:rFonts w:ascii="Times New Roman" w:hAnsi="Times New Roman"/>
        </w:rPr>
        <w:t>unambiguous</w:t>
      </w:r>
      <w:r w:rsidR="007F520F" w:rsidRPr="00231A03">
        <w:rPr>
          <w:rFonts w:ascii="Times New Roman" w:hAnsi="Times New Roman"/>
        </w:rPr>
        <w:t xml:space="preserve"> terms, so that they can be complied with, and</w:t>
      </w:r>
      <w:r w:rsidR="00853131" w:rsidRPr="00231A03">
        <w:rPr>
          <w:rFonts w:ascii="Times New Roman" w:hAnsi="Times New Roman"/>
        </w:rPr>
        <w:t>,</w:t>
      </w:r>
      <w:r w:rsidR="007F520F" w:rsidRPr="00231A03">
        <w:rPr>
          <w:rFonts w:ascii="Times New Roman" w:hAnsi="Times New Roman"/>
        </w:rPr>
        <w:t xml:space="preserve"> if necessary</w:t>
      </w:r>
      <w:r w:rsidR="00853131" w:rsidRPr="00231A03">
        <w:rPr>
          <w:rFonts w:ascii="Times New Roman" w:hAnsi="Times New Roman"/>
        </w:rPr>
        <w:t>,</w:t>
      </w:r>
      <w:r w:rsidR="007F520F" w:rsidRPr="00231A03">
        <w:rPr>
          <w:rFonts w:ascii="Times New Roman" w:hAnsi="Times New Roman"/>
        </w:rPr>
        <w:t xml:space="preserve"> enforced</w:t>
      </w:r>
      <w:r w:rsidR="006F3A93" w:rsidRPr="00231A03">
        <w:rPr>
          <w:rFonts w:ascii="Times New Roman" w:hAnsi="Times New Roman"/>
        </w:rPr>
        <w:t>, without the need to consider anything but the text of the order</w:t>
      </w:r>
      <w:r w:rsidR="007F520F" w:rsidRPr="00231A03">
        <w:rPr>
          <w:rFonts w:ascii="Times New Roman" w:hAnsi="Times New Roman"/>
        </w:rPr>
        <w:t>.</w:t>
      </w:r>
      <w:r w:rsidR="007F520F" w:rsidRPr="00231A03">
        <w:rPr>
          <w:rStyle w:val="FootnoteReference"/>
          <w:rFonts w:ascii="Times New Roman" w:hAnsi="Times New Roman"/>
          <w:sz w:val="24"/>
        </w:rPr>
        <w:footnoteReference w:id="6"/>
      </w:r>
      <w:r w:rsidR="002D11C8" w:rsidRPr="00231A03">
        <w:rPr>
          <w:rFonts w:ascii="Times New Roman" w:hAnsi="Times New Roman"/>
        </w:rPr>
        <w:t xml:space="preserve"> </w:t>
      </w:r>
      <w:r w:rsidR="00F401FE" w:rsidRPr="00231A03">
        <w:rPr>
          <w:rFonts w:ascii="Times New Roman" w:hAnsi="Times New Roman"/>
        </w:rPr>
        <w:t>But</w:t>
      </w:r>
      <w:r w:rsidR="00211D50" w:rsidRPr="00231A03">
        <w:rPr>
          <w:rFonts w:ascii="Times New Roman" w:hAnsi="Times New Roman"/>
        </w:rPr>
        <w:t>, as</w:t>
      </w:r>
      <w:r w:rsidR="00E212B3" w:rsidRPr="00231A03">
        <w:rPr>
          <w:rFonts w:ascii="Times New Roman" w:hAnsi="Times New Roman"/>
        </w:rPr>
        <w:t xml:space="preserve"> is generally the case</w:t>
      </w:r>
      <w:r w:rsidR="00211D50" w:rsidRPr="00231A03">
        <w:rPr>
          <w:rFonts w:ascii="Times New Roman" w:hAnsi="Times New Roman"/>
        </w:rPr>
        <w:t xml:space="preserve"> with the interpretation of written instruments,</w:t>
      </w:r>
      <w:r w:rsidR="00F401FE" w:rsidRPr="00231A03">
        <w:rPr>
          <w:rFonts w:ascii="Times New Roman" w:hAnsi="Times New Roman"/>
        </w:rPr>
        <w:t xml:space="preserve"> there is no</w:t>
      </w:r>
      <w:r w:rsidR="00E85748" w:rsidRPr="00231A03">
        <w:rPr>
          <w:rFonts w:ascii="Times New Roman" w:hAnsi="Times New Roman"/>
        </w:rPr>
        <w:t xml:space="preserve"> threshold requirement before </w:t>
      </w:r>
      <w:r w:rsidR="00866997" w:rsidRPr="00231A03">
        <w:rPr>
          <w:rFonts w:ascii="Times New Roman" w:hAnsi="Times New Roman"/>
        </w:rPr>
        <w:t>extrinsic context can be considered. Indeed,</w:t>
      </w:r>
      <w:r w:rsidR="00F401FE" w:rsidRPr="00231A03">
        <w:rPr>
          <w:rFonts w:ascii="Times New Roman" w:hAnsi="Times New Roman"/>
        </w:rPr>
        <w:t xml:space="preserve"> </w:t>
      </w:r>
      <w:r w:rsidR="00866997" w:rsidRPr="00231A03">
        <w:rPr>
          <w:rFonts w:ascii="Times New Roman" w:hAnsi="Times New Roman"/>
        </w:rPr>
        <w:t>w</w:t>
      </w:r>
      <w:r w:rsidR="00D202A2" w:rsidRPr="00231A03">
        <w:rPr>
          <w:rFonts w:ascii="Times New Roman" w:hAnsi="Times New Roman"/>
        </w:rPr>
        <w:t xml:space="preserve">here an order is </w:t>
      </w:r>
      <w:r w:rsidR="008138A2" w:rsidRPr="00231A03">
        <w:rPr>
          <w:rFonts w:ascii="Times New Roman" w:hAnsi="Times New Roman"/>
        </w:rPr>
        <w:t>ambiguous</w:t>
      </w:r>
      <w:r w:rsidR="00131255" w:rsidRPr="00231A03">
        <w:rPr>
          <w:rFonts w:ascii="Times New Roman" w:hAnsi="Times New Roman"/>
        </w:rPr>
        <w:t xml:space="preserve"> it </w:t>
      </w:r>
      <w:r w:rsidR="008138A2" w:rsidRPr="00231A03">
        <w:rPr>
          <w:rFonts w:ascii="Times New Roman" w:hAnsi="Times New Roman"/>
        </w:rPr>
        <w:t>may</w:t>
      </w:r>
      <w:r w:rsidR="00131255" w:rsidRPr="00231A03">
        <w:rPr>
          <w:rFonts w:ascii="Times New Roman" w:hAnsi="Times New Roman"/>
        </w:rPr>
        <w:t xml:space="preserve"> be necessary to consider the reasons </w:t>
      </w:r>
      <w:r w:rsidR="008138A2" w:rsidRPr="00231A03">
        <w:rPr>
          <w:rFonts w:ascii="Times New Roman" w:hAnsi="Times New Roman"/>
        </w:rPr>
        <w:t xml:space="preserve">of the </w:t>
      </w:r>
      <w:r w:rsidR="00383923" w:rsidRPr="00231A03">
        <w:rPr>
          <w:rFonts w:ascii="Times New Roman" w:hAnsi="Times New Roman"/>
        </w:rPr>
        <w:t>c</w:t>
      </w:r>
      <w:r w:rsidR="008138A2" w:rsidRPr="00231A03">
        <w:rPr>
          <w:rFonts w:ascii="Times New Roman" w:hAnsi="Times New Roman"/>
        </w:rPr>
        <w:t xml:space="preserve">ourt </w:t>
      </w:r>
      <w:r w:rsidR="00B13E94" w:rsidRPr="00231A03">
        <w:rPr>
          <w:rFonts w:ascii="Times New Roman" w:hAnsi="Times New Roman"/>
        </w:rPr>
        <w:t xml:space="preserve">so that the court order gives effect to the </w:t>
      </w:r>
      <w:r w:rsidR="00F503CC" w:rsidRPr="00231A03">
        <w:rPr>
          <w:rFonts w:ascii="Times New Roman" w:hAnsi="Times New Roman"/>
        </w:rPr>
        <w:t>judgment,</w:t>
      </w:r>
      <w:r w:rsidR="002B2145" w:rsidRPr="00231A03">
        <w:rPr>
          <w:rFonts w:ascii="Times New Roman" w:hAnsi="Times New Roman"/>
        </w:rPr>
        <w:t xml:space="preserve"> being</w:t>
      </w:r>
      <w:r w:rsidR="00F503CC" w:rsidRPr="00231A03">
        <w:rPr>
          <w:rFonts w:ascii="Times New Roman" w:hAnsi="Times New Roman"/>
        </w:rPr>
        <w:t xml:space="preserve"> the source of the order</w:t>
      </w:r>
      <w:r w:rsidR="004A3C96" w:rsidRPr="00231A03">
        <w:rPr>
          <w:rFonts w:ascii="Times New Roman" w:hAnsi="Times New Roman"/>
        </w:rPr>
        <w:t>.</w:t>
      </w:r>
      <w:r w:rsidR="00C46B9C" w:rsidRPr="00231A03">
        <w:rPr>
          <w:rStyle w:val="FootnoteReference"/>
          <w:rFonts w:ascii="Times New Roman" w:hAnsi="Times New Roman"/>
          <w:sz w:val="24"/>
        </w:rPr>
        <w:footnoteReference w:id="7"/>
      </w:r>
      <w:r w:rsidR="002D11C8" w:rsidRPr="00231A03">
        <w:rPr>
          <w:rFonts w:ascii="Times New Roman" w:hAnsi="Times New Roman"/>
        </w:rPr>
        <w:t xml:space="preserve"> </w:t>
      </w:r>
      <w:r w:rsidR="008B1673" w:rsidRPr="00231A03">
        <w:rPr>
          <w:rFonts w:ascii="Times New Roman" w:hAnsi="Times New Roman"/>
        </w:rPr>
        <w:t>And</w:t>
      </w:r>
      <w:r w:rsidR="00856879" w:rsidRPr="00231A03">
        <w:rPr>
          <w:rFonts w:ascii="Times New Roman" w:hAnsi="Times New Roman"/>
        </w:rPr>
        <w:t>,</w:t>
      </w:r>
      <w:r w:rsidR="008B1673" w:rsidRPr="00231A03">
        <w:rPr>
          <w:rFonts w:ascii="Times New Roman" w:hAnsi="Times New Roman"/>
        </w:rPr>
        <w:t xml:space="preserve"> i</w:t>
      </w:r>
      <w:r w:rsidR="006E2508" w:rsidRPr="00231A03">
        <w:rPr>
          <w:rFonts w:ascii="Times New Roman" w:hAnsi="Times New Roman"/>
        </w:rPr>
        <w:t>n a given case, an examination of a wider set of materials may be neede</w:t>
      </w:r>
      <w:r w:rsidR="00D14A3B" w:rsidRPr="00231A03">
        <w:rPr>
          <w:rFonts w:ascii="Times New Roman" w:hAnsi="Times New Roman"/>
        </w:rPr>
        <w:t xml:space="preserve">d; </w:t>
      </w:r>
      <w:r w:rsidR="000A1B0B" w:rsidRPr="00231A03">
        <w:rPr>
          <w:rFonts w:ascii="Times New Roman" w:hAnsi="Times New Roman"/>
        </w:rPr>
        <w:t xml:space="preserve">this </w:t>
      </w:r>
      <w:r w:rsidR="00D14A3B" w:rsidRPr="00231A03">
        <w:rPr>
          <w:rFonts w:ascii="Times New Roman" w:hAnsi="Times New Roman"/>
        </w:rPr>
        <w:t>might include</w:t>
      </w:r>
      <w:r w:rsidR="00DA725E" w:rsidRPr="00231A03">
        <w:rPr>
          <w:rFonts w:ascii="Times New Roman" w:hAnsi="Times New Roman"/>
        </w:rPr>
        <w:t xml:space="preserve"> looking to</w:t>
      </w:r>
      <w:r w:rsidR="00D14A3B" w:rsidRPr="00231A03">
        <w:rPr>
          <w:rFonts w:ascii="Times New Roman" w:hAnsi="Times New Roman"/>
        </w:rPr>
        <w:t xml:space="preserve"> "the pleadings and, if necessary</w:t>
      </w:r>
      <w:r w:rsidR="00735BED" w:rsidRPr="00231A03">
        <w:rPr>
          <w:rFonts w:ascii="Times New Roman" w:hAnsi="Times New Roman"/>
        </w:rPr>
        <w:t>, the evidence and how the case was conducted"</w:t>
      </w:r>
      <w:r w:rsidR="00856879" w:rsidRPr="00231A03">
        <w:rPr>
          <w:rFonts w:ascii="Times New Roman" w:hAnsi="Times New Roman"/>
        </w:rPr>
        <w:t>.</w:t>
      </w:r>
      <w:r w:rsidR="00735BED" w:rsidRPr="00231A03">
        <w:rPr>
          <w:rStyle w:val="FootnoteReference"/>
          <w:rFonts w:ascii="Times New Roman" w:hAnsi="Times New Roman"/>
          <w:sz w:val="24"/>
        </w:rPr>
        <w:footnoteReference w:id="8"/>
      </w:r>
    </w:p>
    <w:p w14:paraId="6A0FD45D" w14:textId="0FC2993C" w:rsidR="00D4719D" w:rsidRPr="00231A03" w:rsidRDefault="00D4719D" w:rsidP="00231A03">
      <w:pPr>
        <w:pStyle w:val="HeadingL1"/>
        <w:spacing w:after="260" w:line="280" w:lineRule="exact"/>
        <w:ind w:right="0"/>
        <w:jc w:val="both"/>
        <w:rPr>
          <w:rFonts w:ascii="Times New Roman" w:hAnsi="Times New Roman"/>
        </w:rPr>
      </w:pPr>
      <w:r w:rsidRPr="00231A03">
        <w:rPr>
          <w:rFonts w:ascii="Times New Roman" w:hAnsi="Times New Roman"/>
        </w:rPr>
        <w:t>Relief</w:t>
      </w:r>
    </w:p>
    <w:p w14:paraId="3FFDB19C" w14:textId="0E209239" w:rsidR="00F71DF6" w:rsidRPr="00231A03" w:rsidRDefault="00D4719D" w:rsidP="00231A03">
      <w:pPr>
        <w:pStyle w:val="FixListStyle"/>
        <w:spacing w:after="260" w:line="280" w:lineRule="exact"/>
        <w:ind w:right="0"/>
        <w:jc w:val="both"/>
        <w:rPr>
          <w:rFonts w:ascii="Times New Roman" w:hAnsi="Times New Roman"/>
        </w:rPr>
      </w:pPr>
      <w:r w:rsidRPr="00231A03">
        <w:rPr>
          <w:rFonts w:ascii="Times New Roman" w:hAnsi="Times New Roman"/>
        </w:rPr>
        <w:tab/>
        <w:t>The following orders should be made:</w:t>
      </w:r>
    </w:p>
    <w:p w14:paraId="2BDA538C" w14:textId="0A9E7108" w:rsidR="00D4719D" w:rsidRPr="00231A03" w:rsidRDefault="00D4719D" w:rsidP="00231A03">
      <w:pPr>
        <w:pStyle w:val="NormalBody"/>
        <w:spacing w:after="260" w:line="280" w:lineRule="exact"/>
        <w:ind w:right="0"/>
        <w:jc w:val="both"/>
        <w:rPr>
          <w:rFonts w:ascii="Times New Roman" w:hAnsi="Times New Roman"/>
        </w:rPr>
      </w:pPr>
      <w:r w:rsidRPr="00231A03">
        <w:rPr>
          <w:rFonts w:ascii="Times New Roman" w:hAnsi="Times New Roman"/>
        </w:rPr>
        <w:t>a.</w:t>
      </w:r>
      <w:r w:rsidRPr="00231A03">
        <w:rPr>
          <w:rFonts w:ascii="Times New Roman" w:hAnsi="Times New Roman"/>
        </w:rPr>
        <w:tab/>
      </w:r>
      <w:r w:rsidR="00281A88" w:rsidRPr="00231A03">
        <w:rPr>
          <w:rFonts w:ascii="Times New Roman" w:hAnsi="Times New Roman"/>
        </w:rPr>
        <w:t>Special leave to appeal is granted.</w:t>
      </w:r>
    </w:p>
    <w:p w14:paraId="52366D3E" w14:textId="37D7520B" w:rsidR="00281A88" w:rsidRPr="00231A03" w:rsidRDefault="00281A88" w:rsidP="00231A03">
      <w:pPr>
        <w:pStyle w:val="NormalBody"/>
        <w:spacing w:after="260" w:line="280" w:lineRule="exact"/>
        <w:ind w:right="0"/>
        <w:jc w:val="both"/>
        <w:rPr>
          <w:rFonts w:ascii="Times New Roman" w:hAnsi="Times New Roman"/>
        </w:rPr>
      </w:pPr>
      <w:r w:rsidRPr="00231A03">
        <w:rPr>
          <w:rFonts w:ascii="Times New Roman" w:hAnsi="Times New Roman"/>
        </w:rPr>
        <w:t>b.</w:t>
      </w:r>
      <w:r w:rsidRPr="00231A03">
        <w:rPr>
          <w:rFonts w:ascii="Times New Roman" w:hAnsi="Times New Roman"/>
        </w:rPr>
        <w:tab/>
      </w:r>
      <w:r w:rsidR="00DC26EC" w:rsidRPr="00231A03">
        <w:rPr>
          <w:rFonts w:ascii="Times New Roman" w:hAnsi="Times New Roman"/>
        </w:rPr>
        <w:t>The a</w:t>
      </w:r>
      <w:r w:rsidRPr="00231A03">
        <w:rPr>
          <w:rFonts w:ascii="Times New Roman" w:hAnsi="Times New Roman"/>
        </w:rPr>
        <w:t>ppeal</w:t>
      </w:r>
      <w:r w:rsidR="00DC26EC" w:rsidRPr="00231A03">
        <w:rPr>
          <w:rFonts w:ascii="Times New Roman" w:hAnsi="Times New Roman"/>
        </w:rPr>
        <w:t xml:space="preserve"> is</w:t>
      </w:r>
      <w:r w:rsidRPr="00231A03">
        <w:rPr>
          <w:rFonts w:ascii="Times New Roman" w:hAnsi="Times New Roman"/>
        </w:rPr>
        <w:t xml:space="preserve"> allowed.</w:t>
      </w:r>
    </w:p>
    <w:p w14:paraId="1FCC49CC" w14:textId="11AB4206" w:rsidR="00281A88" w:rsidRPr="00231A03" w:rsidRDefault="00281A88" w:rsidP="00231A03">
      <w:pPr>
        <w:pStyle w:val="NormalBody"/>
        <w:spacing w:after="260" w:line="280" w:lineRule="exact"/>
        <w:ind w:left="720" w:right="0" w:hanging="720"/>
        <w:jc w:val="both"/>
        <w:rPr>
          <w:rFonts w:ascii="Times New Roman" w:hAnsi="Times New Roman"/>
        </w:rPr>
      </w:pPr>
      <w:r w:rsidRPr="00231A03">
        <w:rPr>
          <w:rFonts w:ascii="Times New Roman" w:hAnsi="Times New Roman"/>
        </w:rPr>
        <w:lastRenderedPageBreak/>
        <w:t>c.</w:t>
      </w:r>
      <w:r w:rsidRPr="00231A03">
        <w:rPr>
          <w:rFonts w:ascii="Times New Roman" w:hAnsi="Times New Roman"/>
        </w:rPr>
        <w:tab/>
        <w:t>Order</w:t>
      </w:r>
      <w:r w:rsidR="00C549C4" w:rsidRPr="00231A03">
        <w:rPr>
          <w:rFonts w:ascii="Times New Roman" w:hAnsi="Times New Roman"/>
        </w:rPr>
        <w:t> </w:t>
      </w:r>
      <w:r w:rsidRPr="00231A03">
        <w:rPr>
          <w:rFonts w:ascii="Times New Roman" w:hAnsi="Times New Roman"/>
        </w:rPr>
        <w:t>2 made on 24</w:t>
      </w:r>
      <w:r w:rsidR="00C549C4" w:rsidRPr="00231A03">
        <w:rPr>
          <w:rFonts w:ascii="Times New Roman" w:hAnsi="Times New Roman"/>
        </w:rPr>
        <w:t> </w:t>
      </w:r>
      <w:r w:rsidRPr="00231A03">
        <w:rPr>
          <w:rFonts w:ascii="Times New Roman" w:hAnsi="Times New Roman"/>
        </w:rPr>
        <w:t>January 2025 by the Court of Appeal</w:t>
      </w:r>
      <w:r w:rsidR="005A72E8" w:rsidRPr="00231A03">
        <w:rPr>
          <w:rFonts w:ascii="Times New Roman" w:hAnsi="Times New Roman"/>
        </w:rPr>
        <w:t xml:space="preserve"> be set aside.</w:t>
      </w:r>
    </w:p>
    <w:p w14:paraId="1EB036F9" w14:textId="2526D0B6" w:rsidR="005A72E8" w:rsidRPr="00231A03" w:rsidRDefault="005A72E8" w:rsidP="00231A03">
      <w:pPr>
        <w:pStyle w:val="NormalBody"/>
        <w:spacing w:after="260" w:line="280" w:lineRule="exact"/>
        <w:ind w:left="720" w:right="0" w:hanging="720"/>
        <w:jc w:val="both"/>
        <w:rPr>
          <w:rFonts w:ascii="Times New Roman" w:hAnsi="Times New Roman"/>
        </w:rPr>
      </w:pPr>
      <w:r w:rsidRPr="00231A03">
        <w:rPr>
          <w:rFonts w:ascii="Times New Roman" w:hAnsi="Times New Roman"/>
        </w:rPr>
        <w:t>d.</w:t>
      </w:r>
      <w:r w:rsidRPr="00231A03">
        <w:rPr>
          <w:rFonts w:ascii="Times New Roman" w:hAnsi="Times New Roman"/>
        </w:rPr>
        <w:tab/>
        <w:t>There be no order as to costs of the application for special leave to appeal</w:t>
      </w:r>
      <w:r w:rsidR="006847CF" w:rsidRPr="00231A03">
        <w:rPr>
          <w:rFonts w:ascii="Times New Roman" w:hAnsi="Times New Roman"/>
        </w:rPr>
        <w:t xml:space="preserve"> and resulting appeal</w:t>
      </w:r>
      <w:r w:rsidRPr="00231A03">
        <w:rPr>
          <w:rFonts w:ascii="Times New Roman" w:hAnsi="Times New Roman"/>
        </w:rPr>
        <w:t>.</w:t>
      </w:r>
    </w:p>
    <w:sectPr w:rsidR="005A72E8" w:rsidRPr="00231A03" w:rsidSect="00240C68">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68EBD" w14:textId="77777777" w:rsidR="00A51D3D" w:rsidRDefault="00A51D3D">
      <w:pPr>
        <w:spacing w:line="240" w:lineRule="auto"/>
      </w:pPr>
      <w:r>
        <w:separator/>
      </w:r>
    </w:p>
  </w:endnote>
  <w:endnote w:type="continuationSeparator" w:id="0">
    <w:p w14:paraId="2CEFC60E" w14:textId="77777777" w:rsidR="00A51D3D" w:rsidRDefault="00A51D3D">
      <w:pPr>
        <w:spacing w:line="240" w:lineRule="auto"/>
      </w:pPr>
      <w:r>
        <w:continuationSeparator/>
      </w:r>
    </w:p>
  </w:endnote>
  <w:endnote w:type="continuationNotice" w:id="1">
    <w:p w14:paraId="2C2EF5F9" w14:textId="77777777" w:rsidR="00A51D3D" w:rsidRDefault="00A51D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Calibri"/>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8948D" w14:textId="77777777" w:rsidR="00240C68" w:rsidRDefault="00240C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10B6E" w14:textId="77777777" w:rsidR="00240C68" w:rsidRDefault="00240C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6C59" w14:textId="77777777" w:rsidR="00240C68" w:rsidRDefault="00240C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A5A9B" w14:textId="77777777" w:rsidR="00240C68" w:rsidRDefault="00240C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6940" w14:textId="77777777" w:rsidR="00240C68" w:rsidRDefault="00240C6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4F030" w14:textId="77777777" w:rsidR="00240C68" w:rsidRDefault="00240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B5490" w14:textId="77777777" w:rsidR="00A51D3D" w:rsidRPr="00231A03" w:rsidRDefault="00A51D3D" w:rsidP="00231A03">
      <w:pPr>
        <w:pStyle w:val="Footer"/>
        <w:spacing w:before="120" w:after="20"/>
        <w:ind w:right="0"/>
        <w:rPr>
          <w:rFonts w:ascii="Times New Roman" w:hAnsi="Times New Roman"/>
        </w:rPr>
      </w:pPr>
      <w:r>
        <w:continuationSeparator/>
      </w:r>
    </w:p>
  </w:footnote>
  <w:footnote w:type="continuationSeparator" w:id="0">
    <w:p w14:paraId="5C851FED" w14:textId="77777777" w:rsidR="00A51D3D" w:rsidRPr="00231A03" w:rsidRDefault="00A51D3D" w:rsidP="00231A03">
      <w:pPr>
        <w:pStyle w:val="Footer"/>
        <w:spacing w:before="120" w:after="20"/>
        <w:ind w:right="0"/>
        <w:rPr>
          <w:rFonts w:ascii="Times New Roman" w:hAnsi="Times New Roman"/>
        </w:rPr>
      </w:pPr>
      <w:r w:rsidRPr="00231A03">
        <w:rPr>
          <w:rFonts w:ascii="Times New Roman" w:hAnsi="Times New Roman"/>
        </w:rPr>
        <w:continuationSeparator/>
      </w:r>
    </w:p>
  </w:footnote>
  <w:footnote w:type="continuationNotice" w:id="1">
    <w:p w14:paraId="36E4C9C4" w14:textId="77777777" w:rsidR="00A51D3D" w:rsidRPr="00B855B7" w:rsidRDefault="00A51D3D">
      <w:pPr>
        <w:jc w:val="right"/>
        <w:rPr>
          <w:rFonts w:ascii="Times New Roman" w:hAnsi="Times New Roman"/>
          <w:sz w:val="24"/>
        </w:rPr>
      </w:pPr>
    </w:p>
  </w:footnote>
  <w:footnote w:id="2">
    <w:p w14:paraId="5836191B" w14:textId="4D96A017" w:rsidR="009E1B8C" w:rsidRPr="00231A03" w:rsidRDefault="009E1B8C" w:rsidP="00231A03">
      <w:pPr>
        <w:pStyle w:val="FootnoteText"/>
        <w:spacing w:line="280" w:lineRule="exact"/>
        <w:ind w:right="0"/>
        <w:jc w:val="both"/>
        <w:rPr>
          <w:rFonts w:ascii="Times New Roman" w:hAnsi="Times New Roman"/>
          <w:sz w:val="24"/>
        </w:rPr>
      </w:pPr>
      <w:r w:rsidRPr="00231A03">
        <w:rPr>
          <w:rStyle w:val="FootnoteReference"/>
          <w:rFonts w:ascii="Times New Roman" w:hAnsi="Times New Roman"/>
          <w:sz w:val="22"/>
          <w:vertAlign w:val="baseline"/>
        </w:rPr>
        <w:footnoteRef/>
      </w:r>
      <w:r w:rsidRPr="00231A03">
        <w:rPr>
          <w:rFonts w:ascii="Times New Roman" w:hAnsi="Times New Roman"/>
          <w:sz w:val="24"/>
        </w:rPr>
        <w:t xml:space="preserve"> </w:t>
      </w:r>
      <w:r w:rsidRPr="00231A03">
        <w:rPr>
          <w:rFonts w:ascii="Times New Roman" w:hAnsi="Times New Roman"/>
          <w:sz w:val="24"/>
        </w:rPr>
        <w:tab/>
        <w:t xml:space="preserve">[2025] HCA </w:t>
      </w:r>
      <w:r w:rsidR="004D7D6D" w:rsidRPr="00B80E0F">
        <w:rPr>
          <w:rFonts w:ascii="Times New Roman" w:hAnsi="Times New Roman"/>
          <w:sz w:val="24"/>
        </w:rPr>
        <w:t>4</w:t>
      </w:r>
      <w:r w:rsidR="00EC0CDD">
        <w:rPr>
          <w:rFonts w:ascii="Times New Roman" w:hAnsi="Times New Roman"/>
          <w:sz w:val="24"/>
        </w:rPr>
        <w:t>7</w:t>
      </w:r>
      <w:r w:rsidRPr="00231A03">
        <w:rPr>
          <w:rFonts w:ascii="Times New Roman" w:hAnsi="Times New Roman"/>
          <w:sz w:val="24"/>
        </w:rPr>
        <w:t>.</w:t>
      </w:r>
    </w:p>
  </w:footnote>
  <w:footnote w:id="3">
    <w:p w14:paraId="5B11009C" w14:textId="0EB77E45" w:rsidR="00AA0884" w:rsidRPr="00231A03" w:rsidRDefault="00AA0884" w:rsidP="00231A03">
      <w:pPr>
        <w:pStyle w:val="FootnoteText"/>
        <w:spacing w:line="280" w:lineRule="exact"/>
        <w:ind w:right="0"/>
        <w:jc w:val="both"/>
        <w:rPr>
          <w:rFonts w:ascii="Times New Roman" w:hAnsi="Times New Roman"/>
          <w:sz w:val="24"/>
        </w:rPr>
      </w:pPr>
      <w:r w:rsidRPr="00231A03">
        <w:rPr>
          <w:rStyle w:val="FootnoteReference"/>
          <w:rFonts w:ascii="Times New Roman" w:hAnsi="Times New Roman"/>
          <w:sz w:val="22"/>
          <w:vertAlign w:val="baseline"/>
        </w:rPr>
        <w:footnoteRef/>
      </w:r>
      <w:r w:rsidRPr="00231A03">
        <w:rPr>
          <w:rFonts w:ascii="Times New Roman" w:hAnsi="Times New Roman"/>
          <w:sz w:val="24"/>
        </w:rPr>
        <w:t xml:space="preserve"> </w:t>
      </w:r>
      <w:r w:rsidRPr="00231A03">
        <w:rPr>
          <w:rFonts w:ascii="Times New Roman" w:hAnsi="Times New Roman"/>
          <w:sz w:val="24"/>
        </w:rPr>
        <w:tab/>
      </w:r>
      <w:r w:rsidR="00B20327" w:rsidRPr="00231A03">
        <w:rPr>
          <w:rFonts w:ascii="Times New Roman" w:hAnsi="Times New Roman"/>
          <w:i/>
          <w:iCs/>
          <w:sz w:val="24"/>
        </w:rPr>
        <w:t xml:space="preserve">Badari v Minister for Territory Families and Urban Housing </w:t>
      </w:r>
      <w:r w:rsidR="00807D39" w:rsidRPr="00231A03">
        <w:rPr>
          <w:rFonts w:ascii="Times New Roman" w:hAnsi="Times New Roman"/>
          <w:sz w:val="24"/>
        </w:rPr>
        <w:t>(</w:t>
      </w:r>
      <w:r w:rsidR="00B20327" w:rsidRPr="00231A03">
        <w:rPr>
          <w:rFonts w:ascii="Times New Roman" w:hAnsi="Times New Roman"/>
          <w:sz w:val="24"/>
        </w:rPr>
        <w:t>2025</w:t>
      </w:r>
      <w:r w:rsidR="00807D39" w:rsidRPr="00231A03">
        <w:rPr>
          <w:rFonts w:ascii="Times New Roman" w:hAnsi="Times New Roman"/>
          <w:sz w:val="24"/>
        </w:rPr>
        <w:t>)</w:t>
      </w:r>
      <w:r w:rsidR="00B20327" w:rsidRPr="00231A03">
        <w:rPr>
          <w:rFonts w:ascii="Times New Roman" w:hAnsi="Times New Roman"/>
          <w:sz w:val="24"/>
        </w:rPr>
        <w:t xml:space="preserve"> </w:t>
      </w:r>
      <w:r w:rsidR="00315BF5" w:rsidRPr="00231A03">
        <w:rPr>
          <w:rFonts w:ascii="Times New Roman" w:hAnsi="Times New Roman"/>
          <w:sz w:val="24"/>
        </w:rPr>
        <w:t>393 FLR 73</w:t>
      </w:r>
      <w:r w:rsidR="00B20327" w:rsidRPr="00231A03">
        <w:rPr>
          <w:rFonts w:ascii="Times New Roman" w:hAnsi="Times New Roman"/>
          <w:sz w:val="24"/>
        </w:rPr>
        <w:t>.</w:t>
      </w:r>
    </w:p>
  </w:footnote>
  <w:footnote w:id="4">
    <w:p w14:paraId="61877FF9" w14:textId="341D9408" w:rsidR="00506F32" w:rsidRPr="00231A03" w:rsidRDefault="00506F32" w:rsidP="00231A03">
      <w:pPr>
        <w:pStyle w:val="FootnoteText"/>
        <w:spacing w:line="280" w:lineRule="exact"/>
        <w:ind w:right="0"/>
        <w:jc w:val="both"/>
        <w:rPr>
          <w:rFonts w:ascii="Times New Roman" w:hAnsi="Times New Roman"/>
          <w:sz w:val="24"/>
        </w:rPr>
      </w:pPr>
      <w:r w:rsidRPr="00231A03">
        <w:rPr>
          <w:rStyle w:val="FootnoteReference"/>
          <w:rFonts w:ascii="Times New Roman" w:hAnsi="Times New Roman"/>
          <w:sz w:val="22"/>
          <w:vertAlign w:val="baseline"/>
        </w:rPr>
        <w:footnoteRef/>
      </w:r>
      <w:r w:rsidRPr="00231A03">
        <w:rPr>
          <w:rFonts w:ascii="Times New Roman" w:hAnsi="Times New Roman"/>
          <w:sz w:val="24"/>
        </w:rPr>
        <w:t xml:space="preserve"> </w:t>
      </w:r>
      <w:r w:rsidR="00B351A5" w:rsidRPr="00231A03">
        <w:rPr>
          <w:rFonts w:ascii="Times New Roman" w:hAnsi="Times New Roman"/>
          <w:sz w:val="24"/>
        </w:rPr>
        <w:tab/>
      </w:r>
      <w:r w:rsidR="00B351A5" w:rsidRPr="00231A03">
        <w:rPr>
          <w:rFonts w:ascii="Times New Roman" w:hAnsi="Times New Roman"/>
          <w:i/>
          <w:iCs/>
          <w:sz w:val="24"/>
        </w:rPr>
        <w:t xml:space="preserve">Badari v Minister for Territory Families and Urban Housing </w:t>
      </w:r>
      <w:r w:rsidR="00913E1C" w:rsidRPr="00231A03">
        <w:rPr>
          <w:rFonts w:ascii="Times New Roman" w:hAnsi="Times New Roman"/>
          <w:sz w:val="24"/>
        </w:rPr>
        <w:t>(</w:t>
      </w:r>
      <w:r w:rsidR="00B351A5" w:rsidRPr="00231A03">
        <w:rPr>
          <w:rFonts w:ascii="Times New Roman" w:hAnsi="Times New Roman"/>
          <w:sz w:val="24"/>
        </w:rPr>
        <w:t>2025</w:t>
      </w:r>
      <w:r w:rsidR="00913E1C" w:rsidRPr="00231A03">
        <w:rPr>
          <w:rFonts w:ascii="Times New Roman" w:hAnsi="Times New Roman"/>
          <w:sz w:val="24"/>
        </w:rPr>
        <w:t>)</w:t>
      </w:r>
      <w:r w:rsidR="00B351A5" w:rsidRPr="00231A03">
        <w:rPr>
          <w:rFonts w:ascii="Times New Roman" w:hAnsi="Times New Roman"/>
          <w:sz w:val="24"/>
        </w:rPr>
        <w:t xml:space="preserve"> </w:t>
      </w:r>
      <w:r w:rsidR="00913E1C" w:rsidRPr="00231A03">
        <w:rPr>
          <w:rFonts w:ascii="Times New Roman" w:hAnsi="Times New Roman"/>
          <w:sz w:val="24"/>
        </w:rPr>
        <w:t>393 FLR 73</w:t>
      </w:r>
      <w:r w:rsidR="00B20327" w:rsidRPr="00231A03">
        <w:rPr>
          <w:rFonts w:ascii="Times New Roman" w:hAnsi="Times New Roman"/>
          <w:sz w:val="24"/>
        </w:rPr>
        <w:t xml:space="preserve"> </w:t>
      </w:r>
      <w:r w:rsidRPr="00231A03">
        <w:rPr>
          <w:rFonts w:ascii="Times New Roman" w:hAnsi="Times New Roman"/>
          <w:sz w:val="24"/>
        </w:rPr>
        <w:t xml:space="preserve">at </w:t>
      </w:r>
      <w:r w:rsidR="00913E1C" w:rsidRPr="00231A03">
        <w:rPr>
          <w:rFonts w:ascii="Times New Roman" w:hAnsi="Times New Roman"/>
          <w:sz w:val="24"/>
        </w:rPr>
        <w:t xml:space="preserve">124 </w:t>
      </w:r>
      <w:r w:rsidRPr="00231A03">
        <w:rPr>
          <w:rFonts w:ascii="Times New Roman" w:hAnsi="Times New Roman"/>
          <w:sz w:val="24"/>
        </w:rPr>
        <w:t>[160]</w:t>
      </w:r>
      <w:r w:rsidR="00895CAE" w:rsidRPr="00231A03">
        <w:rPr>
          <w:rFonts w:ascii="Times New Roman" w:hAnsi="Times New Roman"/>
          <w:sz w:val="24"/>
        </w:rPr>
        <w:t>.</w:t>
      </w:r>
    </w:p>
  </w:footnote>
  <w:footnote w:id="5">
    <w:p w14:paraId="39B99EBE" w14:textId="603E5DA2" w:rsidR="00CE1154" w:rsidRPr="00231A03" w:rsidRDefault="00CE1154" w:rsidP="00231A03">
      <w:pPr>
        <w:pStyle w:val="FootnoteText"/>
        <w:spacing w:line="280" w:lineRule="exact"/>
        <w:ind w:right="0"/>
        <w:jc w:val="both"/>
        <w:rPr>
          <w:rFonts w:ascii="Times New Roman" w:hAnsi="Times New Roman"/>
          <w:sz w:val="24"/>
        </w:rPr>
      </w:pPr>
      <w:r w:rsidRPr="00231A03">
        <w:rPr>
          <w:rStyle w:val="FootnoteReference"/>
          <w:rFonts w:ascii="Times New Roman" w:hAnsi="Times New Roman"/>
          <w:sz w:val="22"/>
          <w:vertAlign w:val="baseline"/>
        </w:rPr>
        <w:footnoteRef/>
      </w:r>
      <w:r w:rsidRPr="00231A03">
        <w:rPr>
          <w:rFonts w:ascii="Times New Roman" w:hAnsi="Times New Roman"/>
          <w:sz w:val="24"/>
        </w:rPr>
        <w:t xml:space="preserve"> </w:t>
      </w:r>
      <w:r w:rsidRPr="00231A03">
        <w:rPr>
          <w:rFonts w:ascii="Times New Roman" w:hAnsi="Times New Roman"/>
          <w:sz w:val="24"/>
        </w:rPr>
        <w:tab/>
      </w:r>
      <w:r w:rsidRPr="00231A03">
        <w:rPr>
          <w:rFonts w:ascii="Times New Roman" w:hAnsi="Times New Roman"/>
          <w:sz w:val="24"/>
        </w:rPr>
        <w:tab/>
      </w:r>
      <w:r w:rsidRPr="00231A03">
        <w:rPr>
          <w:rFonts w:ascii="Times New Roman" w:hAnsi="Times New Roman"/>
          <w:i/>
          <w:iCs/>
          <w:sz w:val="24"/>
        </w:rPr>
        <w:t>Supreme Court Act</w:t>
      </w:r>
      <w:r w:rsidRPr="00231A03">
        <w:rPr>
          <w:rFonts w:ascii="Times New Roman" w:hAnsi="Times New Roman"/>
          <w:sz w:val="24"/>
        </w:rPr>
        <w:t>, s</w:t>
      </w:r>
      <w:r w:rsidR="003A55E6" w:rsidRPr="00231A03">
        <w:rPr>
          <w:rFonts w:ascii="Times New Roman" w:hAnsi="Times New Roman"/>
          <w:sz w:val="24"/>
        </w:rPr>
        <w:t> </w:t>
      </w:r>
      <w:r w:rsidRPr="00231A03">
        <w:rPr>
          <w:rFonts w:ascii="Times New Roman" w:hAnsi="Times New Roman"/>
          <w:sz w:val="24"/>
        </w:rPr>
        <w:t>21(2).</w:t>
      </w:r>
    </w:p>
  </w:footnote>
  <w:footnote w:id="6">
    <w:p w14:paraId="4AD912F0" w14:textId="4B8F504D" w:rsidR="007F520F" w:rsidRPr="00231A03" w:rsidRDefault="007F520F" w:rsidP="00231A03">
      <w:pPr>
        <w:pStyle w:val="FootnoteText"/>
        <w:spacing w:line="280" w:lineRule="exact"/>
        <w:ind w:right="0"/>
        <w:jc w:val="both"/>
        <w:rPr>
          <w:rFonts w:ascii="Times New Roman" w:hAnsi="Times New Roman"/>
          <w:sz w:val="24"/>
        </w:rPr>
      </w:pPr>
      <w:r w:rsidRPr="00231A03">
        <w:rPr>
          <w:rStyle w:val="FootnoteReference"/>
          <w:rFonts w:ascii="Times New Roman" w:hAnsi="Times New Roman"/>
          <w:sz w:val="22"/>
          <w:vertAlign w:val="baseline"/>
        </w:rPr>
        <w:footnoteRef/>
      </w:r>
      <w:r w:rsidRPr="00231A03">
        <w:rPr>
          <w:rFonts w:ascii="Times New Roman" w:hAnsi="Times New Roman"/>
          <w:sz w:val="24"/>
        </w:rPr>
        <w:t xml:space="preserve"> </w:t>
      </w:r>
      <w:r w:rsidRPr="00231A03">
        <w:rPr>
          <w:rFonts w:ascii="Times New Roman" w:hAnsi="Times New Roman"/>
          <w:sz w:val="24"/>
        </w:rPr>
        <w:tab/>
      </w:r>
      <w:r w:rsidR="00484799" w:rsidRPr="00231A03">
        <w:rPr>
          <w:rFonts w:ascii="Times New Roman" w:hAnsi="Times New Roman"/>
          <w:sz w:val="24"/>
        </w:rPr>
        <w:t>This</w:t>
      </w:r>
      <w:r w:rsidRPr="00231A03">
        <w:rPr>
          <w:rFonts w:ascii="Times New Roman" w:hAnsi="Times New Roman"/>
          <w:sz w:val="24"/>
        </w:rPr>
        <w:t xml:space="preserve"> is especially so with injunctions: </w:t>
      </w:r>
      <w:r w:rsidRPr="00231A03">
        <w:rPr>
          <w:rFonts w:ascii="Times New Roman" w:hAnsi="Times New Roman"/>
          <w:i/>
          <w:iCs/>
          <w:sz w:val="24"/>
        </w:rPr>
        <w:t>Hogan v Hinch</w:t>
      </w:r>
      <w:r w:rsidRPr="00231A03">
        <w:rPr>
          <w:rFonts w:ascii="Times New Roman" w:hAnsi="Times New Roman"/>
          <w:sz w:val="24"/>
        </w:rPr>
        <w:t xml:space="preserve"> </w:t>
      </w:r>
      <w:r w:rsidR="008972FA" w:rsidRPr="00231A03">
        <w:rPr>
          <w:rFonts w:ascii="Times New Roman" w:hAnsi="Times New Roman"/>
          <w:sz w:val="24"/>
        </w:rPr>
        <w:t>(2011) 243 CLR 506 at</w:t>
      </w:r>
      <w:r w:rsidR="00242B7D" w:rsidRPr="00231A03">
        <w:rPr>
          <w:rFonts w:ascii="Times New Roman" w:hAnsi="Times New Roman"/>
          <w:sz w:val="24"/>
        </w:rPr>
        <w:t xml:space="preserve"> 546</w:t>
      </w:r>
      <w:r w:rsidR="008972FA" w:rsidRPr="00231A03">
        <w:rPr>
          <w:rFonts w:ascii="Times New Roman" w:hAnsi="Times New Roman"/>
          <w:sz w:val="24"/>
        </w:rPr>
        <w:t xml:space="preserve"> [58]</w:t>
      </w:r>
      <w:r w:rsidR="00E87947" w:rsidRPr="00231A03">
        <w:rPr>
          <w:rFonts w:ascii="Times New Roman" w:hAnsi="Times New Roman"/>
          <w:sz w:val="24"/>
        </w:rPr>
        <w:t xml:space="preserve">; </w:t>
      </w:r>
      <w:r w:rsidR="00E87947" w:rsidRPr="00231A03">
        <w:rPr>
          <w:rFonts w:ascii="Times New Roman" w:hAnsi="Times New Roman"/>
          <w:i/>
          <w:iCs/>
          <w:sz w:val="24"/>
        </w:rPr>
        <w:t>ICI Australia Operations Pty Ltd v Trade Practices Commission</w:t>
      </w:r>
      <w:r w:rsidR="00E87947" w:rsidRPr="00231A03">
        <w:rPr>
          <w:rFonts w:ascii="Times New Roman" w:hAnsi="Times New Roman"/>
          <w:sz w:val="24"/>
        </w:rPr>
        <w:t xml:space="preserve"> (1992) </w:t>
      </w:r>
      <w:r w:rsidR="00DB6964" w:rsidRPr="00231A03">
        <w:rPr>
          <w:rFonts w:ascii="Times New Roman" w:hAnsi="Times New Roman"/>
          <w:sz w:val="24"/>
        </w:rPr>
        <w:t>38 FCR</w:t>
      </w:r>
      <w:r w:rsidR="002D11C8" w:rsidRPr="00231A03">
        <w:rPr>
          <w:rFonts w:ascii="Times New Roman" w:hAnsi="Times New Roman"/>
          <w:sz w:val="24"/>
        </w:rPr>
        <w:t xml:space="preserve"> </w:t>
      </w:r>
      <w:r w:rsidR="00DB6964" w:rsidRPr="00231A03">
        <w:rPr>
          <w:rFonts w:ascii="Times New Roman" w:hAnsi="Times New Roman"/>
          <w:sz w:val="24"/>
        </w:rPr>
        <w:t>248 at 259-262.</w:t>
      </w:r>
    </w:p>
  </w:footnote>
  <w:footnote w:id="7">
    <w:p w14:paraId="794B9C02" w14:textId="616B9CEB" w:rsidR="00C46B9C" w:rsidRPr="00231A03" w:rsidRDefault="00C46B9C" w:rsidP="00231A03">
      <w:pPr>
        <w:pStyle w:val="FootnoteText"/>
        <w:spacing w:line="280" w:lineRule="exact"/>
        <w:ind w:right="0"/>
        <w:jc w:val="both"/>
        <w:rPr>
          <w:rFonts w:ascii="Times New Roman" w:hAnsi="Times New Roman"/>
          <w:sz w:val="24"/>
        </w:rPr>
      </w:pPr>
      <w:r w:rsidRPr="00231A03">
        <w:rPr>
          <w:rStyle w:val="FootnoteReference"/>
          <w:rFonts w:ascii="Times New Roman" w:hAnsi="Times New Roman"/>
          <w:sz w:val="22"/>
          <w:vertAlign w:val="baseline"/>
        </w:rPr>
        <w:footnoteRef/>
      </w:r>
      <w:r w:rsidRPr="00231A03">
        <w:rPr>
          <w:rFonts w:ascii="Times New Roman" w:hAnsi="Times New Roman"/>
          <w:sz w:val="24"/>
        </w:rPr>
        <w:t xml:space="preserve"> </w:t>
      </w:r>
      <w:r w:rsidRPr="00231A03">
        <w:rPr>
          <w:rFonts w:ascii="Times New Roman" w:hAnsi="Times New Roman"/>
          <w:sz w:val="24"/>
        </w:rPr>
        <w:tab/>
      </w:r>
      <w:bookmarkStart w:id="0" w:name="_Hlk208571930"/>
      <w:r w:rsidR="00F503CC" w:rsidRPr="00231A03">
        <w:rPr>
          <w:rFonts w:ascii="Times New Roman" w:hAnsi="Times New Roman"/>
          <w:i/>
          <w:iCs/>
          <w:sz w:val="24"/>
        </w:rPr>
        <w:t xml:space="preserve">Doyle v Commissioner of Police (NSW) </w:t>
      </w:r>
      <w:r w:rsidR="0036601A">
        <w:rPr>
          <w:rFonts w:ascii="Times New Roman" w:hAnsi="Times New Roman"/>
          <w:i/>
          <w:iCs/>
          <w:sz w:val="24"/>
        </w:rPr>
        <w:t>[</w:t>
      </w:r>
      <w:r w:rsidR="00F503CC" w:rsidRPr="00231A03">
        <w:rPr>
          <w:rFonts w:ascii="Times New Roman" w:hAnsi="Times New Roman"/>
          <w:i/>
          <w:iCs/>
          <w:sz w:val="24"/>
        </w:rPr>
        <w:t>No </w:t>
      </w:r>
      <w:r w:rsidR="00F503CC" w:rsidRPr="00231A03">
        <w:rPr>
          <w:rFonts w:ascii="Times New Roman" w:hAnsi="Times New Roman"/>
          <w:i/>
          <w:iCs/>
          <w:sz w:val="24"/>
        </w:rPr>
        <w:t>2</w:t>
      </w:r>
      <w:r w:rsidR="0036601A">
        <w:rPr>
          <w:rFonts w:ascii="Times New Roman" w:hAnsi="Times New Roman"/>
          <w:i/>
          <w:iCs/>
          <w:sz w:val="24"/>
        </w:rPr>
        <w:t>]</w:t>
      </w:r>
      <w:r w:rsidR="00F503CC" w:rsidRPr="00231A03">
        <w:rPr>
          <w:rFonts w:ascii="Times New Roman" w:hAnsi="Times New Roman"/>
          <w:sz w:val="24"/>
        </w:rPr>
        <w:t xml:space="preserve"> (2020) 281 A Crim R 357 at 371 [58]</w:t>
      </w:r>
      <w:r w:rsidR="00157012" w:rsidRPr="00231A03">
        <w:rPr>
          <w:rFonts w:ascii="Times New Roman" w:hAnsi="Times New Roman"/>
          <w:sz w:val="24"/>
        </w:rPr>
        <w:t xml:space="preserve"> and the authorities cited</w:t>
      </w:r>
      <w:r w:rsidR="00F503CC" w:rsidRPr="00231A03">
        <w:rPr>
          <w:rFonts w:ascii="Times New Roman" w:hAnsi="Times New Roman"/>
          <w:sz w:val="24"/>
        </w:rPr>
        <w:t>.</w:t>
      </w:r>
      <w:bookmarkEnd w:id="0"/>
    </w:p>
  </w:footnote>
  <w:footnote w:id="8">
    <w:p w14:paraId="7D5F49CE" w14:textId="4502546D" w:rsidR="00735BED" w:rsidRPr="00231A03" w:rsidRDefault="00735BED" w:rsidP="00231A03">
      <w:pPr>
        <w:pStyle w:val="FootnoteText"/>
        <w:spacing w:line="280" w:lineRule="exact"/>
        <w:ind w:right="0"/>
        <w:jc w:val="both"/>
        <w:rPr>
          <w:rFonts w:ascii="Times New Roman" w:hAnsi="Times New Roman"/>
          <w:sz w:val="24"/>
        </w:rPr>
      </w:pPr>
      <w:r w:rsidRPr="00231A03">
        <w:rPr>
          <w:rStyle w:val="FootnoteReference"/>
          <w:rFonts w:ascii="Times New Roman" w:hAnsi="Times New Roman"/>
          <w:sz w:val="22"/>
          <w:vertAlign w:val="baseline"/>
        </w:rPr>
        <w:footnoteRef/>
      </w:r>
      <w:r w:rsidRPr="00231A03">
        <w:rPr>
          <w:rFonts w:ascii="Times New Roman" w:hAnsi="Times New Roman"/>
          <w:sz w:val="24"/>
        </w:rPr>
        <w:t xml:space="preserve"> </w:t>
      </w:r>
      <w:r w:rsidRPr="00231A03">
        <w:rPr>
          <w:rFonts w:ascii="Times New Roman" w:hAnsi="Times New Roman"/>
          <w:sz w:val="24"/>
        </w:rPr>
        <w:tab/>
      </w:r>
      <w:r w:rsidRPr="00231A03">
        <w:rPr>
          <w:rFonts w:ascii="Times New Roman" w:hAnsi="Times New Roman"/>
          <w:i/>
          <w:iCs/>
          <w:sz w:val="24"/>
        </w:rPr>
        <w:t xml:space="preserve">Owston Nominees No 2 Pty Ltd v </w:t>
      </w:r>
      <w:proofErr w:type="spellStart"/>
      <w:r w:rsidRPr="00231A03">
        <w:rPr>
          <w:rFonts w:ascii="Times New Roman" w:hAnsi="Times New Roman"/>
          <w:i/>
          <w:iCs/>
          <w:sz w:val="24"/>
        </w:rPr>
        <w:t>Branir</w:t>
      </w:r>
      <w:proofErr w:type="spellEnd"/>
      <w:r w:rsidRPr="00231A03">
        <w:rPr>
          <w:rFonts w:ascii="Times New Roman" w:hAnsi="Times New Roman"/>
          <w:i/>
          <w:iCs/>
          <w:sz w:val="24"/>
        </w:rPr>
        <w:t xml:space="preserve"> Pty Ltd</w:t>
      </w:r>
      <w:r w:rsidR="002D11C8" w:rsidRPr="00231A03">
        <w:rPr>
          <w:rFonts w:ascii="Times New Roman" w:hAnsi="Times New Roman"/>
          <w:sz w:val="24"/>
        </w:rPr>
        <w:t xml:space="preserve"> </w:t>
      </w:r>
      <w:r w:rsidRPr="00231A03">
        <w:rPr>
          <w:rFonts w:ascii="Times New Roman" w:hAnsi="Times New Roman"/>
          <w:sz w:val="24"/>
        </w:rPr>
        <w:t>(2003) 129 FCR 558 at</w:t>
      </w:r>
      <w:r w:rsidR="00951438" w:rsidRPr="00231A03">
        <w:rPr>
          <w:rFonts w:ascii="Times New Roman" w:hAnsi="Times New Roman"/>
          <w:sz w:val="24"/>
        </w:rPr>
        <w:t xml:space="preserve"> 569</w:t>
      </w:r>
      <w:r w:rsidRPr="00231A03">
        <w:rPr>
          <w:rFonts w:ascii="Times New Roman" w:hAnsi="Times New Roman"/>
          <w:sz w:val="24"/>
        </w:rPr>
        <w:t xml:space="preserve"> [27]</w:t>
      </w:r>
      <w:r w:rsidR="00951438" w:rsidRPr="00231A03">
        <w:rPr>
          <w:rFonts w:ascii="Times New Roman" w:hAnsi="Times New Roman"/>
          <w:sz w:val="24"/>
        </w:rPr>
        <w:t xml:space="preserve"> (citations omitted)</w:t>
      </w:r>
      <w:r w:rsidR="007D0368" w:rsidRPr="00231A03">
        <w:rPr>
          <w:rFonts w:ascii="Times New Roman" w:hAnsi="Times New Roman"/>
          <w:sz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1CB2" w14:textId="77777777" w:rsidR="00231A03" w:rsidRPr="00240C68" w:rsidRDefault="00231A03" w:rsidP="00240C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F035" w14:textId="09F5FEFD" w:rsidR="00231A03" w:rsidRPr="00240C68" w:rsidRDefault="00240C68" w:rsidP="00240C68">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separate"/>
    </w:r>
    <w:r w:rsidR="00693D1A">
      <w:rPr>
        <w:rFonts w:ascii="Times New Roman" w:hAnsi="Times New Roman"/>
        <w:noProof/>
        <w:sz w:val="22"/>
      </w:rPr>
      <w:instrText>3</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separate"/>
    </w:r>
    <w:r w:rsidR="00693D1A">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25337" w14:textId="79A75CFC" w:rsidR="00340CA0" w:rsidRPr="00240C68" w:rsidRDefault="00340CA0" w:rsidP="00240C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B45A2" w14:textId="77777777" w:rsidR="00240C68" w:rsidRPr="00231A03" w:rsidRDefault="00240C68" w:rsidP="00231A03">
    <w:pPr>
      <w:pStyle w:val="Header"/>
      <w:tabs>
        <w:tab w:val="clear" w:pos="4153"/>
        <w:tab w:val="clear" w:pos="8306"/>
        <w:tab w:val="right" w:pos="1304"/>
      </w:tabs>
      <w:spacing w:line="280" w:lineRule="exact"/>
      <w:ind w:firstLine="0"/>
      <w:rPr>
        <w:rFonts w:ascii="Times New Roman" w:hAnsi="Times New Roman"/>
        <w:i/>
        <w:sz w:val="22"/>
      </w:rPr>
    </w:pPr>
    <w:proofErr w:type="spellStart"/>
    <w:r w:rsidRPr="00231A03">
      <w:rPr>
        <w:rFonts w:ascii="Times New Roman" w:hAnsi="Times New Roman"/>
        <w:i/>
        <w:sz w:val="22"/>
      </w:rPr>
      <w:t>Gageler</w:t>
    </w:r>
    <w:proofErr w:type="spellEnd"/>
    <w:r w:rsidRPr="00231A03">
      <w:rPr>
        <w:rFonts w:ascii="Times New Roman" w:hAnsi="Times New Roman"/>
        <w:i/>
        <w:sz w:val="22"/>
      </w:rPr>
      <w:tab/>
      <w:t>CJ</w:t>
    </w:r>
  </w:p>
  <w:p w14:paraId="0ACB111A" w14:textId="77777777" w:rsidR="00240C68" w:rsidRPr="00231A03" w:rsidRDefault="00240C68" w:rsidP="00231A03">
    <w:pPr>
      <w:pStyle w:val="Header"/>
      <w:tabs>
        <w:tab w:val="clear" w:pos="4153"/>
        <w:tab w:val="clear" w:pos="8306"/>
        <w:tab w:val="right" w:pos="1304"/>
      </w:tabs>
      <w:spacing w:line="280" w:lineRule="exact"/>
      <w:ind w:firstLine="0"/>
      <w:rPr>
        <w:rFonts w:ascii="Times New Roman" w:hAnsi="Times New Roman"/>
        <w:i/>
        <w:sz w:val="22"/>
      </w:rPr>
    </w:pPr>
    <w:r w:rsidRPr="00231A03">
      <w:rPr>
        <w:rFonts w:ascii="Times New Roman" w:hAnsi="Times New Roman"/>
        <w:i/>
        <w:sz w:val="22"/>
      </w:rPr>
      <w:t>Gordon</w:t>
    </w:r>
    <w:r w:rsidRPr="00231A03">
      <w:rPr>
        <w:rFonts w:ascii="Times New Roman" w:hAnsi="Times New Roman"/>
        <w:i/>
        <w:sz w:val="22"/>
      </w:rPr>
      <w:tab/>
      <w:t>J</w:t>
    </w:r>
  </w:p>
  <w:p w14:paraId="2B5BBD3B" w14:textId="77777777" w:rsidR="00240C68" w:rsidRPr="00231A03" w:rsidRDefault="00240C68" w:rsidP="00231A03">
    <w:pPr>
      <w:pStyle w:val="Header"/>
      <w:tabs>
        <w:tab w:val="clear" w:pos="4153"/>
        <w:tab w:val="clear" w:pos="8306"/>
        <w:tab w:val="right" w:pos="1304"/>
      </w:tabs>
      <w:spacing w:line="280" w:lineRule="exact"/>
      <w:ind w:firstLine="0"/>
      <w:rPr>
        <w:rFonts w:ascii="Times New Roman" w:hAnsi="Times New Roman"/>
        <w:i/>
        <w:sz w:val="22"/>
      </w:rPr>
    </w:pPr>
    <w:r w:rsidRPr="00231A03">
      <w:rPr>
        <w:rFonts w:ascii="Times New Roman" w:hAnsi="Times New Roman"/>
        <w:i/>
        <w:sz w:val="22"/>
      </w:rPr>
      <w:t>Edelman</w:t>
    </w:r>
    <w:r w:rsidRPr="00231A03">
      <w:rPr>
        <w:rFonts w:ascii="Times New Roman" w:hAnsi="Times New Roman"/>
        <w:i/>
        <w:sz w:val="22"/>
      </w:rPr>
      <w:tab/>
      <w:t>J</w:t>
    </w:r>
  </w:p>
  <w:p w14:paraId="79774F68" w14:textId="77777777" w:rsidR="00240C68" w:rsidRPr="00231A03" w:rsidRDefault="00240C68" w:rsidP="00231A03">
    <w:pPr>
      <w:pStyle w:val="Header"/>
      <w:tabs>
        <w:tab w:val="clear" w:pos="4153"/>
        <w:tab w:val="clear" w:pos="8306"/>
        <w:tab w:val="right" w:pos="1304"/>
      </w:tabs>
      <w:spacing w:line="280" w:lineRule="exact"/>
      <w:ind w:firstLine="0"/>
      <w:rPr>
        <w:rFonts w:ascii="Times New Roman" w:hAnsi="Times New Roman"/>
        <w:i/>
        <w:sz w:val="22"/>
      </w:rPr>
    </w:pPr>
    <w:r w:rsidRPr="00231A03">
      <w:rPr>
        <w:rFonts w:ascii="Times New Roman" w:hAnsi="Times New Roman"/>
        <w:i/>
        <w:sz w:val="22"/>
      </w:rPr>
      <w:t>Steward</w:t>
    </w:r>
    <w:r w:rsidRPr="00231A03">
      <w:rPr>
        <w:rFonts w:ascii="Times New Roman" w:hAnsi="Times New Roman"/>
        <w:i/>
        <w:sz w:val="22"/>
      </w:rPr>
      <w:tab/>
      <w:t>J</w:t>
    </w:r>
  </w:p>
  <w:p w14:paraId="712E33DA" w14:textId="77777777" w:rsidR="00240C68" w:rsidRDefault="00240C68" w:rsidP="00231A03">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Gleeson</w:t>
    </w:r>
    <w:r>
      <w:rPr>
        <w:rFonts w:ascii="Times New Roman" w:hAnsi="Times New Roman"/>
        <w:i/>
        <w:sz w:val="22"/>
      </w:rPr>
      <w:tab/>
      <w:t>J</w:t>
    </w:r>
  </w:p>
  <w:p w14:paraId="148821C4" w14:textId="77777777" w:rsidR="00240C68" w:rsidRDefault="00240C68" w:rsidP="00231A03">
    <w:pPr>
      <w:pStyle w:val="Header"/>
      <w:tabs>
        <w:tab w:val="clear" w:pos="4153"/>
        <w:tab w:val="clear" w:pos="8306"/>
        <w:tab w:val="right" w:pos="1304"/>
      </w:tabs>
      <w:spacing w:line="280" w:lineRule="exact"/>
      <w:ind w:firstLine="0"/>
      <w:rPr>
        <w:rFonts w:ascii="Times New Roman" w:hAnsi="Times New Roman"/>
        <w:i/>
        <w:sz w:val="22"/>
      </w:rPr>
    </w:pPr>
  </w:p>
  <w:p w14:paraId="45842183" w14:textId="77777777" w:rsidR="00240C68" w:rsidRDefault="00240C68" w:rsidP="00231A03">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7906791A" w14:textId="77777777" w:rsidR="00240C68" w:rsidRPr="00231A03" w:rsidRDefault="00240C68" w:rsidP="00231A03">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B6A14" w14:textId="77777777" w:rsidR="00240C68" w:rsidRPr="00231A03" w:rsidRDefault="00240C68" w:rsidP="00231A03">
    <w:pPr>
      <w:pStyle w:val="Header"/>
      <w:tabs>
        <w:tab w:val="clear" w:pos="4153"/>
        <w:tab w:val="clear" w:pos="8306"/>
        <w:tab w:val="left" w:pos="7200"/>
        <w:tab w:val="right" w:pos="8504"/>
      </w:tabs>
      <w:spacing w:line="280" w:lineRule="exact"/>
      <w:jc w:val="right"/>
      <w:rPr>
        <w:rFonts w:ascii="Times New Roman" w:hAnsi="Times New Roman"/>
        <w:i/>
        <w:sz w:val="22"/>
      </w:rPr>
    </w:pPr>
    <w:r w:rsidRPr="00231A03">
      <w:rPr>
        <w:rFonts w:ascii="Times New Roman" w:hAnsi="Times New Roman"/>
        <w:i/>
        <w:sz w:val="22"/>
      </w:rPr>
      <w:tab/>
    </w:r>
    <w:proofErr w:type="spellStart"/>
    <w:r w:rsidRPr="00231A03">
      <w:rPr>
        <w:rFonts w:ascii="Times New Roman" w:hAnsi="Times New Roman"/>
        <w:i/>
        <w:sz w:val="22"/>
      </w:rPr>
      <w:t>Gageler</w:t>
    </w:r>
    <w:proofErr w:type="spellEnd"/>
    <w:r w:rsidRPr="00231A03">
      <w:rPr>
        <w:rFonts w:ascii="Times New Roman" w:hAnsi="Times New Roman"/>
        <w:i/>
        <w:sz w:val="22"/>
      </w:rPr>
      <w:tab/>
      <w:t>CJ</w:t>
    </w:r>
  </w:p>
  <w:p w14:paraId="01915C9B" w14:textId="77777777" w:rsidR="00240C68" w:rsidRPr="00231A03" w:rsidRDefault="00240C68" w:rsidP="00231A03">
    <w:pPr>
      <w:pStyle w:val="Header"/>
      <w:tabs>
        <w:tab w:val="clear" w:pos="4153"/>
        <w:tab w:val="clear" w:pos="8306"/>
        <w:tab w:val="left" w:pos="7200"/>
        <w:tab w:val="right" w:pos="8504"/>
      </w:tabs>
      <w:spacing w:line="280" w:lineRule="exact"/>
      <w:jc w:val="right"/>
      <w:rPr>
        <w:rFonts w:ascii="Times New Roman" w:hAnsi="Times New Roman"/>
        <w:i/>
        <w:sz w:val="22"/>
      </w:rPr>
    </w:pPr>
    <w:r w:rsidRPr="00231A03">
      <w:rPr>
        <w:rFonts w:ascii="Times New Roman" w:hAnsi="Times New Roman"/>
        <w:i/>
        <w:sz w:val="22"/>
      </w:rPr>
      <w:tab/>
      <w:t>Gordon</w:t>
    </w:r>
    <w:r w:rsidRPr="00231A03">
      <w:rPr>
        <w:rFonts w:ascii="Times New Roman" w:hAnsi="Times New Roman"/>
        <w:i/>
        <w:sz w:val="22"/>
      </w:rPr>
      <w:tab/>
      <w:t>J</w:t>
    </w:r>
  </w:p>
  <w:p w14:paraId="409A69E5" w14:textId="77777777" w:rsidR="00240C68" w:rsidRPr="00231A03" w:rsidRDefault="00240C68" w:rsidP="00231A03">
    <w:pPr>
      <w:pStyle w:val="Header"/>
      <w:tabs>
        <w:tab w:val="clear" w:pos="4153"/>
        <w:tab w:val="clear" w:pos="8306"/>
        <w:tab w:val="left" w:pos="7200"/>
        <w:tab w:val="right" w:pos="8504"/>
      </w:tabs>
      <w:spacing w:line="280" w:lineRule="exact"/>
      <w:jc w:val="right"/>
      <w:rPr>
        <w:rFonts w:ascii="Times New Roman" w:hAnsi="Times New Roman"/>
        <w:i/>
        <w:sz w:val="22"/>
      </w:rPr>
    </w:pPr>
    <w:r w:rsidRPr="00231A03">
      <w:rPr>
        <w:rFonts w:ascii="Times New Roman" w:hAnsi="Times New Roman"/>
        <w:i/>
        <w:sz w:val="22"/>
      </w:rPr>
      <w:tab/>
      <w:t>Edelman</w:t>
    </w:r>
    <w:r w:rsidRPr="00231A03">
      <w:rPr>
        <w:rFonts w:ascii="Times New Roman" w:hAnsi="Times New Roman"/>
        <w:i/>
        <w:sz w:val="22"/>
      </w:rPr>
      <w:tab/>
      <w:t>J</w:t>
    </w:r>
  </w:p>
  <w:p w14:paraId="7EDD49E2" w14:textId="77777777" w:rsidR="00240C68" w:rsidRPr="00231A03" w:rsidRDefault="00240C68" w:rsidP="00231A03">
    <w:pPr>
      <w:pStyle w:val="Header"/>
      <w:tabs>
        <w:tab w:val="clear" w:pos="4153"/>
        <w:tab w:val="clear" w:pos="8306"/>
        <w:tab w:val="left" w:pos="7200"/>
        <w:tab w:val="right" w:pos="8504"/>
      </w:tabs>
      <w:spacing w:line="280" w:lineRule="exact"/>
      <w:jc w:val="right"/>
      <w:rPr>
        <w:rFonts w:ascii="Times New Roman" w:hAnsi="Times New Roman"/>
        <w:i/>
        <w:sz w:val="22"/>
      </w:rPr>
    </w:pPr>
    <w:r w:rsidRPr="00231A03">
      <w:rPr>
        <w:rFonts w:ascii="Times New Roman" w:hAnsi="Times New Roman"/>
        <w:i/>
        <w:sz w:val="22"/>
      </w:rPr>
      <w:tab/>
      <w:t>Steward</w:t>
    </w:r>
    <w:r w:rsidRPr="00231A03">
      <w:rPr>
        <w:rFonts w:ascii="Times New Roman" w:hAnsi="Times New Roman"/>
        <w:i/>
        <w:sz w:val="22"/>
      </w:rPr>
      <w:tab/>
      <w:t>J</w:t>
    </w:r>
  </w:p>
  <w:p w14:paraId="0A686AA7" w14:textId="77777777" w:rsidR="00240C68" w:rsidRDefault="00240C68" w:rsidP="00231A03">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Gleeson</w:t>
    </w:r>
    <w:r>
      <w:rPr>
        <w:rFonts w:ascii="Times New Roman" w:hAnsi="Times New Roman"/>
        <w:i/>
        <w:sz w:val="22"/>
      </w:rPr>
      <w:tab/>
      <w:t>J</w:t>
    </w:r>
  </w:p>
  <w:p w14:paraId="62D02C68" w14:textId="77777777" w:rsidR="00240C68" w:rsidRDefault="00240C68" w:rsidP="00231A03">
    <w:pPr>
      <w:pStyle w:val="Header"/>
      <w:tabs>
        <w:tab w:val="clear" w:pos="4153"/>
        <w:tab w:val="clear" w:pos="8306"/>
        <w:tab w:val="left" w:pos="7200"/>
        <w:tab w:val="right" w:pos="8504"/>
      </w:tabs>
      <w:spacing w:line="280" w:lineRule="exact"/>
      <w:jc w:val="right"/>
      <w:rPr>
        <w:rFonts w:ascii="Times New Roman" w:hAnsi="Times New Roman"/>
        <w:i/>
        <w:sz w:val="22"/>
      </w:rPr>
    </w:pPr>
  </w:p>
  <w:p w14:paraId="67448445" w14:textId="77777777" w:rsidR="00240C68" w:rsidRDefault="00240C68" w:rsidP="00231A03">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4A9339E3" w14:textId="77777777" w:rsidR="00240C68" w:rsidRPr="00231A03" w:rsidRDefault="00240C68" w:rsidP="00231A03">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EFFB6" w14:textId="77777777" w:rsidR="00240C68" w:rsidRDefault="00240C68" w:rsidP="00231A03">
    <w:pPr>
      <w:pStyle w:val="Header"/>
      <w:tabs>
        <w:tab w:val="clear" w:pos="4153"/>
        <w:tab w:val="clear" w:pos="8306"/>
        <w:tab w:val="center" w:pos="1134"/>
      </w:tabs>
      <w:spacing w:line="280" w:lineRule="exact"/>
      <w:ind w:firstLine="0"/>
      <w:rPr>
        <w:rFonts w:ascii="Times New Roman" w:hAnsi="Times New Roman"/>
        <w:i/>
        <w:sz w:val="22"/>
      </w:rPr>
    </w:pPr>
  </w:p>
  <w:p w14:paraId="2BD4D1B8" w14:textId="77777777" w:rsidR="00240C68" w:rsidRDefault="00240C68" w:rsidP="00231A03">
    <w:pPr>
      <w:pStyle w:val="Header"/>
      <w:tabs>
        <w:tab w:val="clear" w:pos="4153"/>
        <w:tab w:val="clear" w:pos="8306"/>
        <w:tab w:val="center" w:pos="1134"/>
      </w:tabs>
      <w:spacing w:line="280" w:lineRule="exact"/>
      <w:ind w:firstLine="0"/>
      <w:rPr>
        <w:rFonts w:ascii="Times New Roman" w:hAnsi="Times New Roman"/>
        <w:i/>
        <w:sz w:val="22"/>
      </w:rPr>
    </w:pPr>
  </w:p>
  <w:p w14:paraId="1E7E4933" w14:textId="77777777" w:rsidR="00240C68" w:rsidRDefault="00240C68" w:rsidP="00231A03">
    <w:pPr>
      <w:pStyle w:val="Header"/>
      <w:tabs>
        <w:tab w:val="clear" w:pos="4153"/>
        <w:tab w:val="clear" w:pos="8306"/>
        <w:tab w:val="center" w:pos="1134"/>
      </w:tabs>
      <w:spacing w:line="280" w:lineRule="exact"/>
      <w:ind w:firstLine="0"/>
      <w:rPr>
        <w:rFonts w:ascii="Times New Roman" w:hAnsi="Times New Roman"/>
        <w:i/>
        <w:sz w:val="22"/>
      </w:rPr>
    </w:pPr>
  </w:p>
  <w:p w14:paraId="6DCAFCB2" w14:textId="77777777" w:rsidR="00240C68" w:rsidRDefault="00240C68" w:rsidP="00231A03">
    <w:pPr>
      <w:pStyle w:val="Header"/>
      <w:tabs>
        <w:tab w:val="clear" w:pos="4153"/>
        <w:tab w:val="clear" w:pos="8306"/>
        <w:tab w:val="center" w:pos="1134"/>
      </w:tabs>
      <w:spacing w:line="280" w:lineRule="exact"/>
      <w:ind w:firstLine="0"/>
      <w:rPr>
        <w:rFonts w:ascii="Times New Roman" w:hAnsi="Times New Roman"/>
        <w:i/>
        <w:sz w:val="22"/>
      </w:rPr>
    </w:pPr>
  </w:p>
  <w:p w14:paraId="1F4D2A55" w14:textId="77777777" w:rsidR="00240C68" w:rsidRDefault="00240C68" w:rsidP="00231A03">
    <w:pPr>
      <w:pStyle w:val="Header"/>
      <w:tabs>
        <w:tab w:val="clear" w:pos="4153"/>
        <w:tab w:val="clear" w:pos="8306"/>
        <w:tab w:val="center" w:pos="1134"/>
      </w:tabs>
      <w:spacing w:line="280" w:lineRule="exact"/>
      <w:ind w:firstLine="0"/>
      <w:rPr>
        <w:rFonts w:ascii="Times New Roman" w:hAnsi="Times New Roman"/>
        <w:i/>
        <w:sz w:val="22"/>
      </w:rPr>
    </w:pPr>
  </w:p>
  <w:p w14:paraId="6E5DC77B" w14:textId="77777777" w:rsidR="00240C68" w:rsidRDefault="00240C68" w:rsidP="00231A03">
    <w:pPr>
      <w:pStyle w:val="Header"/>
      <w:tabs>
        <w:tab w:val="clear" w:pos="4153"/>
        <w:tab w:val="clear" w:pos="8306"/>
        <w:tab w:val="center" w:pos="1134"/>
      </w:tabs>
      <w:spacing w:line="280" w:lineRule="exact"/>
      <w:ind w:firstLine="0"/>
      <w:rPr>
        <w:rFonts w:ascii="Times New Roman" w:hAnsi="Times New Roman"/>
        <w:i/>
        <w:sz w:val="22"/>
      </w:rPr>
    </w:pPr>
  </w:p>
  <w:p w14:paraId="1EBABA43" w14:textId="77777777" w:rsidR="00240C68" w:rsidRDefault="00240C68" w:rsidP="00231A03">
    <w:pPr>
      <w:pStyle w:val="Header"/>
      <w:tabs>
        <w:tab w:val="clear" w:pos="4153"/>
        <w:tab w:val="clear" w:pos="8306"/>
        <w:tab w:val="center" w:pos="1134"/>
      </w:tabs>
      <w:spacing w:line="280" w:lineRule="exact"/>
      <w:ind w:firstLine="0"/>
      <w:rPr>
        <w:rFonts w:ascii="Times New Roman" w:hAnsi="Times New Roman"/>
        <w:i/>
        <w:sz w:val="22"/>
      </w:rPr>
    </w:pPr>
  </w:p>
  <w:p w14:paraId="7C886A7D" w14:textId="77777777" w:rsidR="00240C68" w:rsidRPr="00231A03" w:rsidRDefault="00240C68" w:rsidP="00231A03">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5"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0"/>
  </w:num>
  <w:num w:numId="2" w16cid:durableId="375815310">
    <w:abstractNumId w:val="14"/>
  </w:num>
  <w:num w:numId="3" w16cid:durableId="1375159326">
    <w:abstractNumId w:val="17"/>
  </w:num>
  <w:num w:numId="4" w16cid:durableId="1020468450">
    <w:abstractNumId w:val="13"/>
  </w:num>
  <w:num w:numId="5" w16cid:durableId="298609604">
    <w:abstractNumId w:val="16"/>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2"/>
  </w:num>
  <w:num w:numId="17" w16cid:durableId="952325839">
    <w:abstractNumId w:val="15"/>
  </w:num>
  <w:num w:numId="18" w16cid:durableId="586305847">
    <w:abstractNumId w:val="11"/>
  </w:num>
  <w:num w:numId="19" w16cid:durableId="6509858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A0"/>
    <w:rsid w:val="00001EF9"/>
    <w:rsid w:val="00002069"/>
    <w:rsid w:val="00002CE6"/>
    <w:rsid w:val="0000316A"/>
    <w:rsid w:val="000049B7"/>
    <w:rsid w:val="000104D6"/>
    <w:rsid w:val="00013BA1"/>
    <w:rsid w:val="000141CA"/>
    <w:rsid w:val="00014B34"/>
    <w:rsid w:val="000168C9"/>
    <w:rsid w:val="00016C20"/>
    <w:rsid w:val="00016DBB"/>
    <w:rsid w:val="00017144"/>
    <w:rsid w:val="00022A53"/>
    <w:rsid w:val="000244ED"/>
    <w:rsid w:val="000250AF"/>
    <w:rsid w:val="00025490"/>
    <w:rsid w:val="0002561E"/>
    <w:rsid w:val="000268E1"/>
    <w:rsid w:val="000311A1"/>
    <w:rsid w:val="0003172A"/>
    <w:rsid w:val="00034F89"/>
    <w:rsid w:val="0003575A"/>
    <w:rsid w:val="00035C2E"/>
    <w:rsid w:val="000360EB"/>
    <w:rsid w:val="00037A5F"/>
    <w:rsid w:val="00037D87"/>
    <w:rsid w:val="00042EF3"/>
    <w:rsid w:val="00043D2C"/>
    <w:rsid w:val="000466FE"/>
    <w:rsid w:val="00046812"/>
    <w:rsid w:val="00055ACD"/>
    <w:rsid w:val="00056F27"/>
    <w:rsid w:val="000573AF"/>
    <w:rsid w:val="0006169E"/>
    <w:rsid w:val="000626FD"/>
    <w:rsid w:val="0006432B"/>
    <w:rsid w:val="0006532B"/>
    <w:rsid w:val="000653D4"/>
    <w:rsid w:val="000664F7"/>
    <w:rsid w:val="00071C35"/>
    <w:rsid w:val="00071C43"/>
    <w:rsid w:val="00075F50"/>
    <w:rsid w:val="000805DB"/>
    <w:rsid w:val="00080D77"/>
    <w:rsid w:val="0008435D"/>
    <w:rsid w:val="0008558C"/>
    <w:rsid w:val="00085F13"/>
    <w:rsid w:val="00090217"/>
    <w:rsid w:val="00095C76"/>
    <w:rsid w:val="000A1B0B"/>
    <w:rsid w:val="000A28D4"/>
    <w:rsid w:val="000A2EB4"/>
    <w:rsid w:val="000A3DA3"/>
    <w:rsid w:val="000A5D66"/>
    <w:rsid w:val="000A6212"/>
    <w:rsid w:val="000A63C6"/>
    <w:rsid w:val="000B1DA5"/>
    <w:rsid w:val="000B2DA8"/>
    <w:rsid w:val="000B4630"/>
    <w:rsid w:val="000B497F"/>
    <w:rsid w:val="000B710D"/>
    <w:rsid w:val="000B7558"/>
    <w:rsid w:val="000C04DC"/>
    <w:rsid w:val="000C0D98"/>
    <w:rsid w:val="000C11EF"/>
    <w:rsid w:val="000C2B84"/>
    <w:rsid w:val="000D0BAF"/>
    <w:rsid w:val="000D25E6"/>
    <w:rsid w:val="000D53C8"/>
    <w:rsid w:val="000E65F7"/>
    <w:rsid w:val="000F1345"/>
    <w:rsid w:val="000F1A86"/>
    <w:rsid w:val="000F2D08"/>
    <w:rsid w:val="000F3BB3"/>
    <w:rsid w:val="000F619C"/>
    <w:rsid w:val="001001B9"/>
    <w:rsid w:val="0010024B"/>
    <w:rsid w:val="00102254"/>
    <w:rsid w:val="00103047"/>
    <w:rsid w:val="0010702C"/>
    <w:rsid w:val="00110970"/>
    <w:rsid w:val="00111568"/>
    <w:rsid w:val="001120C0"/>
    <w:rsid w:val="001150BF"/>
    <w:rsid w:val="0011549C"/>
    <w:rsid w:val="00115B3D"/>
    <w:rsid w:val="00115EB0"/>
    <w:rsid w:val="001165E1"/>
    <w:rsid w:val="001168F2"/>
    <w:rsid w:val="001176CF"/>
    <w:rsid w:val="00120207"/>
    <w:rsid w:val="00120D11"/>
    <w:rsid w:val="00123C1B"/>
    <w:rsid w:val="00125E3C"/>
    <w:rsid w:val="00125EE7"/>
    <w:rsid w:val="00126440"/>
    <w:rsid w:val="00130756"/>
    <w:rsid w:val="00131255"/>
    <w:rsid w:val="00133E7E"/>
    <w:rsid w:val="0013451B"/>
    <w:rsid w:val="0013456F"/>
    <w:rsid w:val="001365F9"/>
    <w:rsid w:val="00137411"/>
    <w:rsid w:val="00137BA8"/>
    <w:rsid w:val="001413FD"/>
    <w:rsid w:val="00142072"/>
    <w:rsid w:val="00143FCB"/>
    <w:rsid w:val="00144FEF"/>
    <w:rsid w:val="001454EA"/>
    <w:rsid w:val="00145627"/>
    <w:rsid w:val="00146A41"/>
    <w:rsid w:val="00147881"/>
    <w:rsid w:val="0015031C"/>
    <w:rsid w:val="00150863"/>
    <w:rsid w:val="00150EBA"/>
    <w:rsid w:val="00151679"/>
    <w:rsid w:val="0015307B"/>
    <w:rsid w:val="0015318E"/>
    <w:rsid w:val="00157012"/>
    <w:rsid w:val="001573F0"/>
    <w:rsid w:val="00161454"/>
    <w:rsid w:val="00163D92"/>
    <w:rsid w:val="00164144"/>
    <w:rsid w:val="00167A4F"/>
    <w:rsid w:val="00167E16"/>
    <w:rsid w:val="00167F01"/>
    <w:rsid w:val="001708DE"/>
    <w:rsid w:val="00172ADE"/>
    <w:rsid w:val="00175703"/>
    <w:rsid w:val="001758DE"/>
    <w:rsid w:val="00175E32"/>
    <w:rsid w:val="0017649B"/>
    <w:rsid w:val="00176D25"/>
    <w:rsid w:val="00180E04"/>
    <w:rsid w:val="00182CC5"/>
    <w:rsid w:val="0018342E"/>
    <w:rsid w:val="001840C2"/>
    <w:rsid w:val="00184B46"/>
    <w:rsid w:val="00185939"/>
    <w:rsid w:val="001876F6"/>
    <w:rsid w:val="0019180E"/>
    <w:rsid w:val="00191E23"/>
    <w:rsid w:val="001953B1"/>
    <w:rsid w:val="001963C0"/>
    <w:rsid w:val="00196A74"/>
    <w:rsid w:val="00197956"/>
    <w:rsid w:val="001A409D"/>
    <w:rsid w:val="001A446E"/>
    <w:rsid w:val="001B1676"/>
    <w:rsid w:val="001B17A8"/>
    <w:rsid w:val="001B277C"/>
    <w:rsid w:val="001B2EF0"/>
    <w:rsid w:val="001B55C8"/>
    <w:rsid w:val="001B63C6"/>
    <w:rsid w:val="001C3218"/>
    <w:rsid w:val="001C48D4"/>
    <w:rsid w:val="001C7C93"/>
    <w:rsid w:val="001D0A57"/>
    <w:rsid w:val="001D1E44"/>
    <w:rsid w:val="001D36CD"/>
    <w:rsid w:val="001D4F49"/>
    <w:rsid w:val="001D7982"/>
    <w:rsid w:val="001E090D"/>
    <w:rsid w:val="001E0D4C"/>
    <w:rsid w:val="001E1D3D"/>
    <w:rsid w:val="001E47D1"/>
    <w:rsid w:val="001E4B71"/>
    <w:rsid w:val="001E6688"/>
    <w:rsid w:val="001E6A64"/>
    <w:rsid w:val="001E75C5"/>
    <w:rsid w:val="001F1B5F"/>
    <w:rsid w:val="001F22EA"/>
    <w:rsid w:val="001F3235"/>
    <w:rsid w:val="001F3F2A"/>
    <w:rsid w:val="001F4189"/>
    <w:rsid w:val="001F4344"/>
    <w:rsid w:val="001F69C2"/>
    <w:rsid w:val="001F79A2"/>
    <w:rsid w:val="00201A9D"/>
    <w:rsid w:val="002048D1"/>
    <w:rsid w:val="00205C22"/>
    <w:rsid w:val="002079CB"/>
    <w:rsid w:val="0021096E"/>
    <w:rsid w:val="00210DE8"/>
    <w:rsid w:val="00211D50"/>
    <w:rsid w:val="00211D73"/>
    <w:rsid w:val="00212A3E"/>
    <w:rsid w:val="00214BF2"/>
    <w:rsid w:val="00215A7F"/>
    <w:rsid w:val="002163FF"/>
    <w:rsid w:val="00216522"/>
    <w:rsid w:val="00220EC0"/>
    <w:rsid w:val="00221546"/>
    <w:rsid w:val="0022183C"/>
    <w:rsid w:val="00221D19"/>
    <w:rsid w:val="00223E54"/>
    <w:rsid w:val="00224670"/>
    <w:rsid w:val="0022666B"/>
    <w:rsid w:val="00226ECA"/>
    <w:rsid w:val="0022734D"/>
    <w:rsid w:val="00231A03"/>
    <w:rsid w:val="0023447F"/>
    <w:rsid w:val="002350B3"/>
    <w:rsid w:val="00235570"/>
    <w:rsid w:val="0023798E"/>
    <w:rsid w:val="00240C68"/>
    <w:rsid w:val="00241B31"/>
    <w:rsid w:val="00242B7D"/>
    <w:rsid w:val="00242EE4"/>
    <w:rsid w:val="0024462E"/>
    <w:rsid w:val="00246A84"/>
    <w:rsid w:val="002470B1"/>
    <w:rsid w:val="002474FA"/>
    <w:rsid w:val="00247F4A"/>
    <w:rsid w:val="00253493"/>
    <w:rsid w:val="00253DE9"/>
    <w:rsid w:val="00257461"/>
    <w:rsid w:val="00257AFB"/>
    <w:rsid w:val="0026293D"/>
    <w:rsid w:val="00264F35"/>
    <w:rsid w:val="00265103"/>
    <w:rsid w:val="00265982"/>
    <w:rsid w:val="00265FB8"/>
    <w:rsid w:val="00266878"/>
    <w:rsid w:val="00270154"/>
    <w:rsid w:val="00271F70"/>
    <w:rsid w:val="0027408B"/>
    <w:rsid w:val="00274F18"/>
    <w:rsid w:val="00276B56"/>
    <w:rsid w:val="00277180"/>
    <w:rsid w:val="00277F87"/>
    <w:rsid w:val="00280E99"/>
    <w:rsid w:val="00280F46"/>
    <w:rsid w:val="002819FD"/>
    <w:rsid w:val="00281A88"/>
    <w:rsid w:val="00283C69"/>
    <w:rsid w:val="0028583A"/>
    <w:rsid w:val="00287368"/>
    <w:rsid w:val="00287873"/>
    <w:rsid w:val="002900B0"/>
    <w:rsid w:val="002916CC"/>
    <w:rsid w:val="0029278C"/>
    <w:rsid w:val="00292E65"/>
    <w:rsid w:val="002937BD"/>
    <w:rsid w:val="002942FF"/>
    <w:rsid w:val="0029697C"/>
    <w:rsid w:val="002979F1"/>
    <w:rsid w:val="00297BF9"/>
    <w:rsid w:val="002A13E1"/>
    <w:rsid w:val="002A240D"/>
    <w:rsid w:val="002A2C9F"/>
    <w:rsid w:val="002A3248"/>
    <w:rsid w:val="002A49A9"/>
    <w:rsid w:val="002A5EF9"/>
    <w:rsid w:val="002A682A"/>
    <w:rsid w:val="002B01B7"/>
    <w:rsid w:val="002B0706"/>
    <w:rsid w:val="002B0846"/>
    <w:rsid w:val="002B1304"/>
    <w:rsid w:val="002B2145"/>
    <w:rsid w:val="002B32E6"/>
    <w:rsid w:val="002B5F40"/>
    <w:rsid w:val="002C0BFD"/>
    <w:rsid w:val="002C1EDE"/>
    <w:rsid w:val="002C5981"/>
    <w:rsid w:val="002C65BC"/>
    <w:rsid w:val="002C7307"/>
    <w:rsid w:val="002D0410"/>
    <w:rsid w:val="002D0899"/>
    <w:rsid w:val="002D11C8"/>
    <w:rsid w:val="002D11D1"/>
    <w:rsid w:val="002D1707"/>
    <w:rsid w:val="002D17E2"/>
    <w:rsid w:val="002D3F5B"/>
    <w:rsid w:val="002E0130"/>
    <w:rsid w:val="002E0EC8"/>
    <w:rsid w:val="002E278F"/>
    <w:rsid w:val="002E2ED3"/>
    <w:rsid w:val="002E3194"/>
    <w:rsid w:val="002E3B4D"/>
    <w:rsid w:val="002E4187"/>
    <w:rsid w:val="002F0522"/>
    <w:rsid w:val="002F0734"/>
    <w:rsid w:val="002F26FC"/>
    <w:rsid w:val="002F48B6"/>
    <w:rsid w:val="002F4BF3"/>
    <w:rsid w:val="002F5272"/>
    <w:rsid w:val="0030026A"/>
    <w:rsid w:val="00301975"/>
    <w:rsid w:val="00304DC2"/>
    <w:rsid w:val="0030542C"/>
    <w:rsid w:val="003068CA"/>
    <w:rsid w:val="00307086"/>
    <w:rsid w:val="00310418"/>
    <w:rsid w:val="00312FFC"/>
    <w:rsid w:val="003150BF"/>
    <w:rsid w:val="003150CE"/>
    <w:rsid w:val="00315BF5"/>
    <w:rsid w:val="00315E92"/>
    <w:rsid w:val="00322F95"/>
    <w:rsid w:val="00323B9E"/>
    <w:rsid w:val="0032533B"/>
    <w:rsid w:val="0032627C"/>
    <w:rsid w:val="00330804"/>
    <w:rsid w:val="00334A6B"/>
    <w:rsid w:val="00336310"/>
    <w:rsid w:val="003366B2"/>
    <w:rsid w:val="00340066"/>
    <w:rsid w:val="00340CA0"/>
    <w:rsid w:val="0034122D"/>
    <w:rsid w:val="0034288B"/>
    <w:rsid w:val="0034332B"/>
    <w:rsid w:val="003455B7"/>
    <w:rsid w:val="0034681C"/>
    <w:rsid w:val="0035747C"/>
    <w:rsid w:val="003600A8"/>
    <w:rsid w:val="0036284D"/>
    <w:rsid w:val="00362C9D"/>
    <w:rsid w:val="0036601A"/>
    <w:rsid w:val="00366524"/>
    <w:rsid w:val="00366709"/>
    <w:rsid w:val="00371B51"/>
    <w:rsid w:val="00373E58"/>
    <w:rsid w:val="00376073"/>
    <w:rsid w:val="00376BD4"/>
    <w:rsid w:val="00377452"/>
    <w:rsid w:val="00381223"/>
    <w:rsid w:val="00381849"/>
    <w:rsid w:val="003823A0"/>
    <w:rsid w:val="00382B43"/>
    <w:rsid w:val="003832E1"/>
    <w:rsid w:val="00383923"/>
    <w:rsid w:val="00383F40"/>
    <w:rsid w:val="00384F36"/>
    <w:rsid w:val="00385271"/>
    <w:rsid w:val="0039226E"/>
    <w:rsid w:val="00392CC8"/>
    <w:rsid w:val="00397708"/>
    <w:rsid w:val="003A137B"/>
    <w:rsid w:val="003A2017"/>
    <w:rsid w:val="003A2FB7"/>
    <w:rsid w:val="003A3B74"/>
    <w:rsid w:val="003A48CC"/>
    <w:rsid w:val="003A55E6"/>
    <w:rsid w:val="003A72EF"/>
    <w:rsid w:val="003A79AD"/>
    <w:rsid w:val="003A7E21"/>
    <w:rsid w:val="003B4AD8"/>
    <w:rsid w:val="003B4EED"/>
    <w:rsid w:val="003B6B2C"/>
    <w:rsid w:val="003B7593"/>
    <w:rsid w:val="003B7BA1"/>
    <w:rsid w:val="003C0122"/>
    <w:rsid w:val="003C266A"/>
    <w:rsid w:val="003C602A"/>
    <w:rsid w:val="003D1759"/>
    <w:rsid w:val="003D1896"/>
    <w:rsid w:val="003D36B3"/>
    <w:rsid w:val="003D3B14"/>
    <w:rsid w:val="003D62F7"/>
    <w:rsid w:val="003E1035"/>
    <w:rsid w:val="003E1641"/>
    <w:rsid w:val="003E17F2"/>
    <w:rsid w:val="003E19F7"/>
    <w:rsid w:val="003E1EB2"/>
    <w:rsid w:val="003E2985"/>
    <w:rsid w:val="003E3E62"/>
    <w:rsid w:val="003E492C"/>
    <w:rsid w:val="003E57D2"/>
    <w:rsid w:val="003E65E3"/>
    <w:rsid w:val="003E710D"/>
    <w:rsid w:val="003E7A9C"/>
    <w:rsid w:val="003F0FDA"/>
    <w:rsid w:val="003F328F"/>
    <w:rsid w:val="003F41FC"/>
    <w:rsid w:val="003F531A"/>
    <w:rsid w:val="003F7C9E"/>
    <w:rsid w:val="004012AD"/>
    <w:rsid w:val="004025E8"/>
    <w:rsid w:val="00402768"/>
    <w:rsid w:val="00404C36"/>
    <w:rsid w:val="00405CDE"/>
    <w:rsid w:val="00406F38"/>
    <w:rsid w:val="004107CA"/>
    <w:rsid w:val="004111BC"/>
    <w:rsid w:val="004114CB"/>
    <w:rsid w:val="004125F4"/>
    <w:rsid w:val="004126D4"/>
    <w:rsid w:val="00414703"/>
    <w:rsid w:val="00415D2B"/>
    <w:rsid w:val="00416C0A"/>
    <w:rsid w:val="00421941"/>
    <w:rsid w:val="00423EB6"/>
    <w:rsid w:val="00424DE2"/>
    <w:rsid w:val="0042650A"/>
    <w:rsid w:val="00432528"/>
    <w:rsid w:val="00432836"/>
    <w:rsid w:val="0043415F"/>
    <w:rsid w:val="00436D5B"/>
    <w:rsid w:val="004373D1"/>
    <w:rsid w:val="0043778D"/>
    <w:rsid w:val="00442848"/>
    <w:rsid w:val="00442EA6"/>
    <w:rsid w:val="004454C2"/>
    <w:rsid w:val="00447347"/>
    <w:rsid w:val="00447F33"/>
    <w:rsid w:val="00450A27"/>
    <w:rsid w:val="00451EC2"/>
    <w:rsid w:val="00453364"/>
    <w:rsid w:val="00457711"/>
    <w:rsid w:val="00457A0D"/>
    <w:rsid w:val="00461A8F"/>
    <w:rsid w:val="00461B9A"/>
    <w:rsid w:val="004632E9"/>
    <w:rsid w:val="00463357"/>
    <w:rsid w:val="00463A04"/>
    <w:rsid w:val="00464CAB"/>
    <w:rsid w:val="00465255"/>
    <w:rsid w:val="00465D55"/>
    <w:rsid w:val="004725C1"/>
    <w:rsid w:val="00473718"/>
    <w:rsid w:val="00473869"/>
    <w:rsid w:val="0047410E"/>
    <w:rsid w:val="00474EE9"/>
    <w:rsid w:val="00475152"/>
    <w:rsid w:val="00475C80"/>
    <w:rsid w:val="00476034"/>
    <w:rsid w:val="00477389"/>
    <w:rsid w:val="0048054A"/>
    <w:rsid w:val="004818E8"/>
    <w:rsid w:val="00481AD2"/>
    <w:rsid w:val="00482F67"/>
    <w:rsid w:val="00483006"/>
    <w:rsid w:val="00484799"/>
    <w:rsid w:val="00484915"/>
    <w:rsid w:val="00485961"/>
    <w:rsid w:val="00487387"/>
    <w:rsid w:val="00490E50"/>
    <w:rsid w:val="004911BC"/>
    <w:rsid w:val="004918EC"/>
    <w:rsid w:val="004919FD"/>
    <w:rsid w:val="0049263B"/>
    <w:rsid w:val="00494867"/>
    <w:rsid w:val="004A06FC"/>
    <w:rsid w:val="004A132C"/>
    <w:rsid w:val="004A3482"/>
    <w:rsid w:val="004A35C0"/>
    <w:rsid w:val="004A3C96"/>
    <w:rsid w:val="004A650F"/>
    <w:rsid w:val="004B26D9"/>
    <w:rsid w:val="004B2C5E"/>
    <w:rsid w:val="004B6B16"/>
    <w:rsid w:val="004B774B"/>
    <w:rsid w:val="004B77E5"/>
    <w:rsid w:val="004C17C8"/>
    <w:rsid w:val="004C227E"/>
    <w:rsid w:val="004C4629"/>
    <w:rsid w:val="004C4B71"/>
    <w:rsid w:val="004D087E"/>
    <w:rsid w:val="004D0EB5"/>
    <w:rsid w:val="004D19DB"/>
    <w:rsid w:val="004D1E88"/>
    <w:rsid w:val="004D3CD7"/>
    <w:rsid w:val="004D43CC"/>
    <w:rsid w:val="004D58DE"/>
    <w:rsid w:val="004D63E2"/>
    <w:rsid w:val="004D6DE3"/>
    <w:rsid w:val="004D7D6D"/>
    <w:rsid w:val="004E0B75"/>
    <w:rsid w:val="004E37B1"/>
    <w:rsid w:val="004E3F30"/>
    <w:rsid w:val="004E46F8"/>
    <w:rsid w:val="004E50C8"/>
    <w:rsid w:val="004E653E"/>
    <w:rsid w:val="004E65F5"/>
    <w:rsid w:val="004E69FA"/>
    <w:rsid w:val="004F1C61"/>
    <w:rsid w:val="004F2D77"/>
    <w:rsid w:val="004F3C00"/>
    <w:rsid w:val="004F3E28"/>
    <w:rsid w:val="004F5450"/>
    <w:rsid w:val="004F621F"/>
    <w:rsid w:val="004F7C15"/>
    <w:rsid w:val="00501967"/>
    <w:rsid w:val="00502EAE"/>
    <w:rsid w:val="005034BC"/>
    <w:rsid w:val="00503A1B"/>
    <w:rsid w:val="0050489A"/>
    <w:rsid w:val="0050500F"/>
    <w:rsid w:val="00505279"/>
    <w:rsid w:val="00506195"/>
    <w:rsid w:val="005063E1"/>
    <w:rsid w:val="00506F32"/>
    <w:rsid w:val="00507BB6"/>
    <w:rsid w:val="00507CC5"/>
    <w:rsid w:val="005111E0"/>
    <w:rsid w:val="0051239B"/>
    <w:rsid w:val="00516161"/>
    <w:rsid w:val="00516BBB"/>
    <w:rsid w:val="00517F29"/>
    <w:rsid w:val="00523E83"/>
    <w:rsid w:val="005248BB"/>
    <w:rsid w:val="005267D4"/>
    <w:rsid w:val="00527125"/>
    <w:rsid w:val="005308A5"/>
    <w:rsid w:val="005314E9"/>
    <w:rsid w:val="00531723"/>
    <w:rsid w:val="0053174C"/>
    <w:rsid w:val="00531D3A"/>
    <w:rsid w:val="0053275E"/>
    <w:rsid w:val="0053324F"/>
    <w:rsid w:val="005348BF"/>
    <w:rsid w:val="005409B9"/>
    <w:rsid w:val="0054115E"/>
    <w:rsid w:val="00541E10"/>
    <w:rsid w:val="00541EF9"/>
    <w:rsid w:val="005431CF"/>
    <w:rsid w:val="00543D0A"/>
    <w:rsid w:val="00544EFB"/>
    <w:rsid w:val="005454F3"/>
    <w:rsid w:val="005455E5"/>
    <w:rsid w:val="0054681B"/>
    <w:rsid w:val="0054779A"/>
    <w:rsid w:val="00547BA1"/>
    <w:rsid w:val="00553574"/>
    <w:rsid w:val="00556101"/>
    <w:rsid w:val="005576BD"/>
    <w:rsid w:val="00557CB1"/>
    <w:rsid w:val="0056072C"/>
    <w:rsid w:val="0056091E"/>
    <w:rsid w:val="00561371"/>
    <w:rsid w:val="0056172D"/>
    <w:rsid w:val="005635F3"/>
    <w:rsid w:val="0056411C"/>
    <w:rsid w:val="005646CE"/>
    <w:rsid w:val="00565757"/>
    <w:rsid w:val="00565B4C"/>
    <w:rsid w:val="005663FF"/>
    <w:rsid w:val="005677E5"/>
    <w:rsid w:val="00570D24"/>
    <w:rsid w:val="00574C1A"/>
    <w:rsid w:val="00577D1B"/>
    <w:rsid w:val="00577E4E"/>
    <w:rsid w:val="00580EEB"/>
    <w:rsid w:val="00580FCF"/>
    <w:rsid w:val="00583673"/>
    <w:rsid w:val="00583D08"/>
    <w:rsid w:val="005856E2"/>
    <w:rsid w:val="00586D22"/>
    <w:rsid w:val="00586DF4"/>
    <w:rsid w:val="00587BE7"/>
    <w:rsid w:val="00587CBC"/>
    <w:rsid w:val="00587EC5"/>
    <w:rsid w:val="00590206"/>
    <w:rsid w:val="00595781"/>
    <w:rsid w:val="00595DF1"/>
    <w:rsid w:val="00596524"/>
    <w:rsid w:val="00597D35"/>
    <w:rsid w:val="005A364A"/>
    <w:rsid w:val="005A4A36"/>
    <w:rsid w:val="005A6221"/>
    <w:rsid w:val="005A6AD5"/>
    <w:rsid w:val="005A6D6D"/>
    <w:rsid w:val="005A7264"/>
    <w:rsid w:val="005A72E8"/>
    <w:rsid w:val="005B1601"/>
    <w:rsid w:val="005B1F53"/>
    <w:rsid w:val="005B3912"/>
    <w:rsid w:val="005B4CFC"/>
    <w:rsid w:val="005B58B0"/>
    <w:rsid w:val="005B6E0D"/>
    <w:rsid w:val="005C0298"/>
    <w:rsid w:val="005C0769"/>
    <w:rsid w:val="005C360A"/>
    <w:rsid w:val="005C4822"/>
    <w:rsid w:val="005C7168"/>
    <w:rsid w:val="005C7EE9"/>
    <w:rsid w:val="005D0AA4"/>
    <w:rsid w:val="005D221C"/>
    <w:rsid w:val="005D2A43"/>
    <w:rsid w:val="005D5655"/>
    <w:rsid w:val="005D6EA0"/>
    <w:rsid w:val="005D753C"/>
    <w:rsid w:val="005E3188"/>
    <w:rsid w:val="005E6949"/>
    <w:rsid w:val="005E76E2"/>
    <w:rsid w:val="005E7B36"/>
    <w:rsid w:val="005F02E6"/>
    <w:rsid w:val="005F08CB"/>
    <w:rsid w:val="005F10F1"/>
    <w:rsid w:val="005F1911"/>
    <w:rsid w:val="005F2CBA"/>
    <w:rsid w:val="005F2D39"/>
    <w:rsid w:val="005F3216"/>
    <w:rsid w:val="005F4DFE"/>
    <w:rsid w:val="005F4EF9"/>
    <w:rsid w:val="005F5C8E"/>
    <w:rsid w:val="005F66FF"/>
    <w:rsid w:val="006015AE"/>
    <w:rsid w:val="006017B1"/>
    <w:rsid w:val="00602BCD"/>
    <w:rsid w:val="00603A70"/>
    <w:rsid w:val="006060AE"/>
    <w:rsid w:val="0060685F"/>
    <w:rsid w:val="00607066"/>
    <w:rsid w:val="00607197"/>
    <w:rsid w:val="00607A16"/>
    <w:rsid w:val="006109F8"/>
    <w:rsid w:val="006147EA"/>
    <w:rsid w:val="00617DBD"/>
    <w:rsid w:val="00623075"/>
    <w:rsid w:val="00623910"/>
    <w:rsid w:val="00624A27"/>
    <w:rsid w:val="00624D74"/>
    <w:rsid w:val="0062716D"/>
    <w:rsid w:val="00627AF2"/>
    <w:rsid w:val="006324CD"/>
    <w:rsid w:val="00632F94"/>
    <w:rsid w:val="0063632F"/>
    <w:rsid w:val="006366A1"/>
    <w:rsid w:val="00640E38"/>
    <w:rsid w:val="00644180"/>
    <w:rsid w:val="0064709E"/>
    <w:rsid w:val="006473DD"/>
    <w:rsid w:val="00647EA2"/>
    <w:rsid w:val="006507F1"/>
    <w:rsid w:val="00650C56"/>
    <w:rsid w:val="00652858"/>
    <w:rsid w:val="00653269"/>
    <w:rsid w:val="00654377"/>
    <w:rsid w:val="006558DC"/>
    <w:rsid w:val="0065614A"/>
    <w:rsid w:val="00656B27"/>
    <w:rsid w:val="00656D1F"/>
    <w:rsid w:val="00657C34"/>
    <w:rsid w:val="00657F8B"/>
    <w:rsid w:val="00660401"/>
    <w:rsid w:val="006618FC"/>
    <w:rsid w:val="0066327E"/>
    <w:rsid w:val="00663D00"/>
    <w:rsid w:val="00663E86"/>
    <w:rsid w:val="006714A9"/>
    <w:rsid w:val="00671B7E"/>
    <w:rsid w:val="0067529B"/>
    <w:rsid w:val="006767BC"/>
    <w:rsid w:val="006774AC"/>
    <w:rsid w:val="00680006"/>
    <w:rsid w:val="00681D75"/>
    <w:rsid w:val="0068242E"/>
    <w:rsid w:val="006847CF"/>
    <w:rsid w:val="00684BAF"/>
    <w:rsid w:val="0069164C"/>
    <w:rsid w:val="0069328B"/>
    <w:rsid w:val="00693D1A"/>
    <w:rsid w:val="00696EBB"/>
    <w:rsid w:val="006A1D08"/>
    <w:rsid w:val="006A1F10"/>
    <w:rsid w:val="006A4D4E"/>
    <w:rsid w:val="006A70F5"/>
    <w:rsid w:val="006A7D35"/>
    <w:rsid w:val="006B46AE"/>
    <w:rsid w:val="006B630A"/>
    <w:rsid w:val="006B7886"/>
    <w:rsid w:val="006B7C24"/>
    <w:rsid w:val="006B7F88"/>
    <w:rsid w:val="006C0057"/>
    <w:rsid w:val="006C1577"/>
    <w:rsid w:val="006C1A37"/>
    <w:rsid w:val="006C1B67"/>
    <w:rsid w:val="006C5ACD"/>
    <w:rsid w:val="006C6300"/>
    <w:rsid w:val="006D014C"/>
    <w:rsid w:val="006D02E1"/>
    <w:rsid w:val="006D1544"/>
    <w:rsid w:val="006D1DB2"/>
    <w:rsid w:val="006D2EA9"/>
    <w:rsid w:val="006D32C9"/>
    <w:rsid w:val="006D36B7"/>
    <w:rsid w:val="006D3A49"/>
    <w:rsid w:val="006D686D"/>
    <w:rsid w:val="006E16F1"/>
    <w:rsid w:val="006E2508"/>
    <w:rsid w:val="006E359B"/>
    <w:rsid w:val="006E74F4"/>
    <w:rsid w:val="006E75BF"/>
    <w:rsid w:val="006F09B5"/>
    <w:rsid w:val="006F1349"/>
    <w:rsid w:val="006F201F"/>
    <w:rsid w:val="006F2C03"/>
    <w:rsid w:val="006F3A93"/>
    <w:rsid w:val="006F48B3"/>
    <w:rsid w:val="006F48B8"/>
    <w:rsid w:val="006F4ACE"/>
    <w:rsid w:val="006F553C"/>
    <w:rsid w:val="006F5924"/>
    <w:rsid w:val="006F6258"/>
    <w:rsid w:val="006F65E1"/>
    <w:rsid w:val="006F7F8E"/>
    <w:rsid w:val="00701552"/>
    <w:rsid w:val="00703562"/>
    <w:rsid w:val="00703F8C"/>
    <w:rsid w:val="00704FDE"/>
    <w:rsid w:val="00705448"/>
    <w:rsid w:val="007122EC"/>
    <w:rsid w:val="00712C68"/>
    <w:rsid w:val="0071385D"/>
    <w:rsid w:val="0071425E"/>
    <w:rsid w:val="00714504"/>
    <w:rsid w:val="00716541"/>
    <w:rsid w:val="007169AB"/>
    <w:rsid w:val="0071742A"/>
    <w:rsid w:val="007261D7"/>
    <w:rsid w:val="00726D9F"/>
    <w:rsid w:val="00727ED6"/>
    <w:rsid w:val="00730E8F"/>
    <w:rsid w:val="00731D48"/>
    <w:rsid w:val="007325F2"/>
    <w:rsid w:val="0073351C"/>
    <w:rsid w:val="00733D9F"/>
    <w:rsid w:val="00734484"/>
    <w:rsid w:val="00735BED"/>
    <w:rsid w:val="00740AFB"/>
    <w:rsid w:val="00742076"/>
    <w:rsid w:val="00745136"/>
    <w:rsid w:val="00745A15"/>
    <w:rsid w:val="00745DD2"/>
    <w:rsid w:val="00750ADB"/>
    <w:rsid w:val="00751354"/>
    <w:rsid w:val="00756909"/>
    <w:rsid w:val="00760D10"/>
    <w:rsid w:val="00762108"/>
    <w:rsid w:val="00762812"/>
    <w:rsid w:val="00770E38"/>
    <w:rsid w:val="00773DF9"/>
    <w:rsid w:val="007751DE"/>
    <w:rsid w:val="00775C81"/>
    <w:rsid w:val="00776AF1"/>
    <w:rsid w:val="00777C7A"/>
    <w:rsid w:val="0078133D"/>
    <w:rsid w:val="00781E34"/>
    <w:rsid w:val="00782F90"/>
    <w:rsid w:val="00785785"/>
    <w:rsid w:val="00791BFD"/>
    <w:rsid w:val="00791DED"/>
    <w:rsid w:val="00792AA8"/>
    <w:rsid w:val="00793AAE"/>
    <w:rsid w:val="00794972"/>
    <w:rsid w:val="00796EE7"/>
    <w:rsid w:val="00797022"/>
    <w:rsid w:val="0079720D"/>
    <w:rsid w:val="00797DE4"/>
    <w:rsid w:val="007A01A2"/>
    <w:rsid w:val="007A376E"/>
    <w:rsid w:val="007A39CE"/>
    <w:rsid w:val="007A3ABE"/>
    <w:rsid w:val="007A4679"/>
    <w:rsid w:val="007A4CB0"/>
    <w:rsid w:val="007A5B52"/>
    <w:rsid w:val="007A60F8"/>
    <w:rsid w:val="007A62C3"/>
    <w:rsid w:val="007A74E6"/>
    <w:rsid w:val="007B341B"/>
    <w:rsid w:val="007B4102"/>
    <w:rsid w:val="007B651A"/>
    <w:rsid w:val="007B6648"/>
    <w:rsid w:val="007B6669"/>
    <w:rsid w:val="007C00CD"/>
    <w:rsid w:val="007C2A87"/>
    <w:rsid w:val="007C3022"/>
    <w:rsid w:val="007C311B"/>
    <w:rsid w:val="007C462E"/>
    <w:rsid w:val="007C506B"/>
    <w:rsid w:val="007C5A18"/>
    <w:rsid w:val="007C7BEE"/>
    <w:rsid w:val="007D0368"/>
    <w:rsid w:val="007D0986"/>
    <w:rsid w:val="007D36C9"/>
    <w:rsid w:val="007D59A7"/>
    <w:rsid w:val="007D698B"/>
    <w:rsid w:val="007D78E6"/>
    <w:rsid w:val="007D7BB6"/>
    <w:rsid w:val="007E26A9"/>
    <w:rsid w:val="007E3E92"/>
    <w:rsid w:val="007E5D35"/>
    <w:rsid w:val="007F1C8C"/>
    <w:rsid w:val="007F1E99"/>
    <w:rsid w:val="007F520F"/>
    <w:rsid w:val="007F52A6"/>
    <w:rsid w:val="007F5789"/>
    <w:rsid w:val="007F68DA"/>
    <w:rsid w:val="008004E7"/>
    <w:rsid w:val="0080276C"/>
    <w:rsid w:val="008060C8"/>
    <w:rsid w:val="00807D39"/>
    <w:rsid w:val="00810F5C"/>
    <w:rsid w:val="008116EB"/>
    <w:rsid w:val="00812723"/>
    <w:rsid w:val="008138A2"/>
    <w:rsid w:val="00814A6A"/>
    <w:rsid w:val="00814ED4"/>
    <w:rsid w:val="008152E3"/>
    <w:rsid w:val="0081557C"/>
    <w:rsid w:val="008159B1"/>
    <w:rsid w:val="00820282"/>
    <w:rsid w:val="00820651"/>
    <w:rsid w:val="0082117F"/>
    <w:rsid w:val="0082619C"/>
    <w:rsid w:val="00826DD0"/>
    <w:rsid w:val="00827D9B"/>
    <w:rsid w:val="00831449"/>
    <w:rsid w:val="00831A0D"/>
    <w:rsid w:val="00833AB5"/>
    <w:rsid w:val="00834A48"/>
    <w:rsid w:val="00836627"/>
    <w:rsid w:val="00836AD2"/>
    <w:rsid w:val="008375CC"/>
    <w:rsid w:val="00837923"/>
    <w:rsid w:val="00840C01"/>
    <w:rsid w:val="00841515"/>
    <w:rsid w:val="008415CC"/>
    <w:rsid w:val="00842862"/>
    <w:rsid w:val="00844A64"/>
    <w:rsid w:val="00845199"/>
    <w:rsid w:val="00847DFE"/>
    <w:rsid w:val="00851111"/>
    <w:rsid w:val="00851ECE"/>
    <w:rsid w:val="008525CF"/>
    <w:rsid w:val="00853131"/>
    <w:rsid w:val="00853543"/>
    <w:rsid w:val="008542CC"/>
    <w:rsid w:val="00854721"/>
    <w:rsid w:val="00855972"/>
    <w:rsid w:val="00856879"/>
    <w:rsid w:val="00860973"/>
    <w:rsid w:val="00860A1F"/>
    <w:rsid w:val="00860B77"/>
    <w:rsid w:val="0086183E"/>
    <w:rsid w:val="00862C06"/>
    <w:rsid w:val="008648B5"/>
    <w:rsid w:val="00864C61"/>
    <w:rsid w:val="00865871"/>
    <w:rsid w:val="00865A78"/>
    <w:rsid w:val="0086641A"/>
    <w:rsid w:val="00866997"/>
    <w:rsid w:val="00866AD4"/>
    <w:rsid w:val="00867F68"/>
    <w:rsid w:val="008718A5"/>
    <w:rsid w:val="008737D3"/>
    <w:rsid w:val="00873E0E"/>
    <w:rsid w:val="00875047"/>
    <w:rsid w:val="0087555B"/>
    <w:rsid w:val="008756B5"/>
    <w:rsid w:val="008757ED"/>
    <w:rsid w:val="00876E22"/>
    <w:rsid w:val="0087783E"/>
    <w:rsid w:val="00877CBF"/>
    <w:rsid w:val="00881BF7"/>
    <w:rsid w:val="00882D52"/>
    <w:rsid w:val="00882D53"/>
    <w:rsid w:val="00883437"/>
    <w:rsid w:val="008834C5"/>
    <w:rsid w:val="00883C24"/>
    <w:rsid w:val="008853F8"/>
    <w:rsid w:val="00885B0A"/>
    <w:rsid w:val="00886735"/>
    <w:rsid w:val="00886CBC"/>
    <w:rsid w:val="008871DD"/>
    <w:rsid w:val="008953BD"/>
    <w:rsid w:val="008956CC"/>
    <w:rsid w:val="00895CAE"/>
    <w:rsid w:val="008970BC"/>
    <w:rsid w:val="008972FA"/>
    <w:rsid w:val="008A157F"/>
    <w:rsid w:val="008A4628"/>
    <w:rsid w:val="008A6B53"/>
    <w:rsid w:val="008A71DB"/>
    <w:rsid w:val="008B1673"/>
    <w:rsid w:val="008B3C2E"/>
    <w:rsid w:val="008B47CB"/>
    <w:rsid w:val="008B4DC6"/>
    <w:rsid w:val="008B5973"/>
    <w:rsid w:val="008B6A6C"/>
    <w:rsid w:val="008C0D95"/>
    <w:rsid w:val="008C15BB"/>
    <w:rsid w:val="008C28E5"/>
    <w:rsid w:val="008C4E5F"/>
    <w:rsid w:val="008C6886"/>
    <w:rsid w:val="008C6C82"/>
    <w:rsid w:val="008D15F7"/>
    <w:rsid w:val="008D1FDE"/>
    <w:rsid w:val="008D351D"/>
    <w:rsid w:val="008E1C45"/>
    <w:rsid w:val="008E242E"/>
    <w:rsid w:val="008E647B"/>
    <w:rsid w:val="008E729C"/>
    <w:rsid w:val="008E7B61"/>
    <w:rsid w:val="008E7EEE"/>
    <w:rsid w:val="008F2DA1"/>
    <w:rsid w:val="008F305D"/>
    <w:rsid w:val="008F3AE2"/>
    <w:rsid w:val="008F6221"/>
    <w:rsid w:val="008F64F9"/>
    <w:rsid w:val="008F722B"/>
    <w:rsid w:val="008F777B"/>
    <w:rsid w:val="008F7CCE"/>
    <w:rsid w:val="00903864"/>
    <w:rsid w:val="009064E2"/>
    <w:rsid w:val="009077C7"/>
    <w:rsid w:val="00911FD1"/>
    <w:rsid w:val="0091220E"/>
    <w:rsid w:val="00913122"/>
    <w:rsid w:val="00913E1C"/>
    <w:rsid w:val="0091465A"/>
    <w:rsid w:val="00920216"/>
    <w:rsid w:val="00920463"/>
    <w:rsid w:val="00921062"/>
    <w:rsid w:val="009231E5"/>
    <w:rsid w:val="009238C7"/>
    <w:rsid w:val="00923D68"/>
    <w:rsid w:val="009245CA"/>
    <w:rsid w:val="00924899"/>
    <w:rsid w:val="00925679"/>
    <w:rsid w:val="00926ACE"/>
    <w:rsid w:val="00926E4D"/>
    <w:rsid w:val="0093024F"/>
    <w:rsid w:val="0093352D"/>
    <w:rsid w:val="009376FF"/>
    <w:rsid w:val="00940185"/>
    <w:rsid w:val="00940BCD"/>
    <w:rsid w:val="00941279"/>
    <w:rsid w:val="009462D5"/>
    <w:rsid w:val="00951438"/>
    <w:rsid w:val="00951D28"/>
    <w:rsid w:val="0095334E"/>
    <w:rsid w:val="00953EB6"/>
    <w:rsid w:val="0095456C"/>
    <w:rsid w:val="009547B3"/>
    <w:rsid w:val="00956905"/>
    <w:rsid w:val="009579D7"/>
    <w:rsid w:val="009614C6"/>
    <w:rsid w:val="00962BFB"/>
    <w:rsid w:val="00962E1C"/>
    <w:rsid w:val="0096349D"/>
    <w:rsid w:val="00963F1D"/>
    <w:rsid w:val="00964759"/>
    <w:rsid w:val="00964954"/>
    <w:rsid w:val="0096606D"/>
    <w:rsid w:val="00966DEC"/>
    <w:rsid w:val="00967D72"/>
    <w:rsid w:val="0097350D"/>
    <w:rsid w:val="00974008"/>
    <w:rsid w:val="0097673B"/>
    <w:rsid w:val="00977EE9"/>
    <w:rsid w:val="00980102"/>
    <w:rsid w:val="00980A9B"/>
    <w:rsid w:val="009812F7"/>
    <w:rsid w:val="0098787B"/>
    <w:rsid w:val="00987C7D"/>
    <w:rsid w:val="00990380"/>
    <w:rsid w:val="00990EDE"/>
    <w:rsid w:val="0099102F"/>
    <w:rsid w:val="009921DB"/>
    <w:rsid w:val="009940EF"/>
    <w:rsid w:val="00994503"/>
    <w:rsid w:val="00994A8D"/>
    <w:rsid w:val="00994C5D"/>
    <w:rsid w:val="00994D06"/>
    <w:rsid w:val="00997CF0"/>
    <w:rsid w:val="00997E7D"/>
    <w:rsid w:val="009A0472"/>
    <w:rsid w:val="009A0BBC"/>
    <w:rsid w:val="009A5AFD"/>
    <w:rsid w:val="009A6EFD"/>
    <w:rsid w:val="009B149E"/>
    <w:rsid w:val="009B169B"/>
    <w:rsid w:val="009B39DC"/>
    <w:rsid w:val="009B39E4"/>
    <w:rsid w:val="009B4B23"/>
    <w:rsid w:val="009B5033"/>
    <w:rsid w:val="009B5652"/>
    <w:rsid w:val="009B61E7"/>
    <w:rsid w:val="009B7F2F"/>
    <w:rsid w:val="009C0087"/>
    <w:rsid w:val="009C0925"/>
    <w:rsid w:val="009C0EA5"/>
    <w:rsid w:val="009C69FC"/>
    <w:rsid w:val="009C6E72"/>
    <w:rsid w:val="009D0991"/>
    <w:rsid w:val="009D3C3F"/>
    <w:rsid w:val="009D4D67"/>
    <w:rsid w:val="009D635B"/>
    <w:rsid w:val="009D66DC"/>
    <w:rsid w:val="009D7F6F"/>
    <w:rsid w:val="009E0393"/>
    <w:rsid w:val="009E07D3"/>
    <w:rsid w:val="009E1B8C"/>
    <w:rsid w:val="009E21CA"/>
    <w:rsid w:val="009E47D5"/>
    <w:rsid w:val="009E779F"/>
    <w:rsid w:val="009F06F2"/>
    <w:rsid w:val="009F1438"/>
    <w:rsid w:val="009F635E"/>
    <w:rsid w:val="009F6F3E"/>
    <w:rsid w:val="00A0166B"/>
    <w:rsid w:val="00A01FA2"/>
    <w:rsid w:val="00A0216D"/>
    <w:rsid w:val="00A02C5D"/>
    <w:rsid w:val="00A03080"/>
    <w:rsid w:val="00A06EB3"/>
    <w:rsid w:val="00A1378D"/>
    <w:rsid w:val="00A140D3"/>
    <w:rsid w:val="00A1446B"/>
    <w:rsid w:val="00A14E5D"/>
    <w:rsid w:val="00A167F2"/>
    <w:rsid w:val="00A17339"/>
    <w:rsid w:val="00A17EFE"/>
    <w:rsid w:val="00A200EB"/>
    <w:rsid w:val="00A20C78"/>
    <w:rsid w:val="00A2312E"/>
    <w:rsid w:val="00A24323"/>
    <w:rsid w:val="00A2512C"/>
    <w:rsid w:val="00A2515B"/>
    <w:rsid w:val="00A2588E"/>
    <w:rsid w:val="00A26EDF"/>
    <w:rsid w:val="00A30A4A"/>
    <w:rsid w:val="00A33689"/>
    <w:rsid w:val="00A34739"/>
    <w:rsid w:val="00A34789"/>
    <w:rsid w:val="00A3630E"/>
    <w:rsid w:val="00A37BB8"/>
    <w:rsid w:val="00A37D74"/>
    <w:rsid w:val="00A41FF8"/>
    <w:rsid w:val="00A42D87"/>
    <w:rsid w:val="00A43564"/>
    <w:rsid w:val="00A44BD3"/>
    <w:rsid w:val="00A4521D"/>
    <w:rsid w:val="00A46D6F"/>
    <w:rsid w:val="00A50EAB"/>
    <w:rsid w:val="00A51D3D"/>
    <w:rsid w:val="00A51F0A"/>
    <w:rsid w:val="00A5273C"/>
    <w:rsid w:val="00A54EF2"/>
    <w:rsid w:val="00A55D48"/>
    <w:rsid w:val="00A57BEB"/>
    <w:rsid w:val="00A61673"/>
    <w:rsid w:val="00A64926"/>
    <w:rsid w:val="00A665CF"/>
    <w:rsid w:val="00A67992"/>
    <w:rsid w:val="00A67CA7"/>
    <w:rsid w:val="00A71A2F"/>
    <w:rsid w:val="00A72084"/>
    <w:rsid w:val="00A73989"/>
    <w:rsid w:val="00A76417"/>
    <w:rsid w:val="00A7752F"/>
    <w:rsid w:val="00A777F8"/>
    <w:rsid w:val="00A8403A"/>
    <w:rsid w:val="00A84210"/>
    <w:rsid w:val="00A84D9A"/>
    <w:rsid w:val="00A85C35"/>
    <w:rsid w:val="00A85EEA"/>
    <w:rsid w:val="00A92061"/>
    <w:rsid w:val="00A940A6"/>
    <w:rsid w:val="00A94249"/>
    <w:rsid w:val="00A94BC9"/>
    <w:rsid w:val="00A959BC"/>
    <w:rsid w:val="00AA0884"/>
    <w:rsid w:val="00AA2562"/>
    <w:rsid w:val="00AA3C60"/>
    <w:rsid w:val="00AA7050"/>
    <w:rsid w:val="00AA7E55"/>
    <w:rsid w:val="00AB2FF4"/>
    <w:rsid w:val="00AB3453"/>
    <w:rsid w:val="00AB5F9C"/>
    <w:rsid w:val="00AC1505"/>
    <w:rsid w:val="00AC1AD6"/>
    <w:rsid w:val="00AC222B"/>
    <w:rsid w:val="00AC2654"/>
    <w:rsid w:val="00AC375D"/>
    <w:rsid w:val="00AC4D55"/>
    <w:rsid w:val="00AC6779"/>
    <w:rsid w:val="00AD3CC0"/>
    <w:rsid w:val="00AD536E"/>
    <w:rsid w:val="00AD5477"/>
    <w:rsid w:val="00AD64DF"/>
    <w:rsid w:val="00AE0A92"/>
    <w:rsid w:val="00AE1025"/>
    <w:rsid w:val="00AE3F03"/>
    <w:rsid w:val="00AE6465"/>
    <w:rsid w:val="00AE64F0"/>
    <w:rsid w:val="00AF23C8"/>
    <w:rsid w:val="00AF2AE2"/>
    <w:rsid w:val="00AF3DB3"/>
    <w:rsid w:val="00B0377E"/>
    <w:rsid w:val="00B07BA9"/>
    <w:rsid w:val="00B10055"/>
    <w:rsid w:val="00B106F4"/>
    <w:rsid w:val="00B1141E"/>
    <w:rsid w:val="00B1255B"/>
    <w:rsid w:val="00B1278B"/>
    <w:rsid w:val="00B13E94"/>
    <w:rsid w:val="00B15A07"/>
    <w:rsid w:val="00B17295"/>
    <w:rsid w:val="00B20327"/>
    <w:rsid w:val="00B215F5"/>
    <w:rsid w:val="00B26B62"/>
    <w:rsid w:val="00B27676"/>
    <w:rsid w:val="00B27A54"/>
    <w:rsid w:val="00B27A94"/>
    <w:rsid w:val="00B304DD"/>
    <w:rsid w:val="00B30783"/>
    <w:rsid w:val="00B351A5"/>
    <w:rsid w:val="00B41F0F"/>
    <w:rsid w:val="00B42560"/>
    <w:rsid w:val="00B43E91"/>
    <w:rsid w:val="00B455AA"/>
    <w:rsid w:val="00B45778"/>
    <w:rsid w:val="00B457A1"/>
    <w:rsid w:val="00B4630F"/>
    <w:rsid w:val="00B464B1"/>
    <w:rsid w:val="00B4784C"/>
    <w:rsid w:val="00B47A4A"/>
    <w:rsid w:val="00B47B99"/>
    <w:rsid w:val="00B47DC4"/>
    <w:rsid w:val="00B506F2"/>
    <w:rsid w:val="00B510E3"/>
    <w:rsid w:val="00B521AC"/>
    <w:rsid w:val="00B52702"/>
    <w:rsid w:val="00B5302E"/>
    <w:rsid w:val="00B5498D"/>
    <w:rsid w:val="00B5501D"/>
    <w:rsid w:val="00B6151E"/>
    <w:rsid w:val="00B64962"/>
    <w:rsid w:val="00B676EC"/>
    <w:rsid w:val="00B7016C"/>
    <w:rsid w:val="00B7039B"/>
    <w:rsid w:val="00B74D1E"/>
    <w:rsid w:val="00B7554C"/>
    <w:rsid w:val="00B76A18"/>
    <w:rsid w:val="00B80532"/>
    <w:rsid w:val="00B80E0F"/>
    <w:rsid w:val="00B82157"/>
    <w:rsid w:val="00B828C1"/>
    <w:rsid w:val="00B83623"/>
    <w:rsid w:val="00B836FD"/>
    <w:rsid w:val="00B8471D"/>
    <w:rsid w:val="00B84C6C"/>
    <w:rsid w:val="00B855B7"/>
    <w:rsid w:val="00B9112A"/>
    <w:rsid w:val="00B92687"/>
    <w:rsid w:val="00B94248"/>
    <w:rsid w:val="00B942A1"/>
    <w:rsid w:val="00B94B4F"/>
    <w:rsid w:val="00B95AD1"/>
    <w:rsid w:val="00B97680"/>
    <w:rsid w:val="00B976F6"/>
    <w:rsid w:val="00BA2B85"/>
    <w:rsid w:val="00BA5F41"/>
    <w:rsid w:val="00BA7385"/>
    <w:rsid w:val="00BB0F24"/>
    <w:rsid w:val="00BB187C"/>
    <w:rsid w:val="00BB296B"/>
    <w:rsid w:val="00BB2A9C"/>
    <w:rsid w:val="00BB3622"/>
    <w:rsid w:val="00BB682C"/>
    <w:rsid w:val="00BB6922"/>
    <w:rsid w:val="00BB726F"/>
    <w:rsid w:val="00BB7CA9"/>
    <w:rsid w:val="00BC236B"/>
    <w:rsid w:val="00BC2BB4"/>
    <w:rsid w:val="00BC65D9"/>
    <w:rsid w:val="00BC6BCD"/>
    <w:rsid w:val="00BC6E42"/>
    <w:rsid w:val="00BC6F99"/>
    <w:rsid w:val="00BC7C52"/>
    <w:rsid w:val="00BD0CF6"/>
    <w:rsid w:val="00BD1471"/>
    <w:rsid w:val="00BD14C5"/>
    <w:rsid w:val="00BD196A"/>
    <w:rsid w:val="00BD2081"/>
    <w:rsid w:val="00BD2311"/>
    <w:rsid w:val="00BD6262"/>
    <w:rsid w:val="00BD7EED"/>
    <w:rsid w:val="00BE0C0C"/>
    <w:rsid w:val="00BE3D20"/>
    <w:rsid w:val="00BE4825"/>
    <w:rsid w:val="00BE49B9"/>
    <w:rsid w:val="00BE4C48"/>
    <w:rsid w:val="00BE5A21"/>
    <w:rsid w:val="00BE61C1"/>
    <w:rsid w:val="00BE64AF"/>
    <w:rsid w:val="00BE6717"/>
    <w:rsid w:val="00BF0381"/>
    <w:rsid w:val="00BF05B9"/>
    <w:rsid w:val="00BF26DD"/>
    <w:rsid w:val="00BF446E"/>
    <w:rsid w:val="00BF6E7B"/>
    <w:rsid w:val="00C01021"/>
    <w:rsid w:val="00C0141F"/>
    <w:rsid w:val="00C048AF"/>
    <w:rsid w:val="00C077E0"/>
    <w:rsid w:val="00C07DE6"/>
    <w:rsid w:val="00C12E08"/>
    <w:rsid w:val="00C154B5"/>
    <w:rsid w:val="00C15E95"/>
    <w:rsid w:val="00C1673F"/>
    <w:rsid w:val="00C16B9A"/>
    <w:rsid w:val="00C17872"/>
    <w:rsid w:val="00C205E9"/>
    <w:rsid w:val="00C212FC"/>
    <w:rsid w:val="00C23E9A"/>
    <w:rsid w:val="00C23F48"/>
    <w:rsid w:val="00C262BD"/>
    <w:rsid w:val="00C263E6"/>
    <w:rsid w:val="00C30E04"/>
    <w:rsid w:val="00C310C2"/>
    <w:rsid w:val="00C32C55"/>
    <w:rsid w:val="00C36525"/>
    <w:rsid w:val="00C37080"/>
    <w:rsid w:val="00C40EB3"/>
    <w:rsid w:val="00C41BD9"/>
    <w:rsid w:val="00C434FD"/>
    <w:rsid w:val="00C4350E"/>
    <w:rsid w:val="00C43D6A"/>
    <w:rsid w:val="00C44D79"/>
    <w:rsid w:val="00C46121"/>
    <w:rsid w:val="00C46B9C"/>
    <w:rsid w:val="00C47AC7"/>
    <w:rsid w:val="00C47CA1"/>
    <w:rsid w:val="00C50169"/>
    <w:rsid w:val="00C516BC"/>
    <w:rsid w:val="00C5192E"/>
    <w:rsid w:val="00C52D6A"/>
    <w:rsid w:val="00C52DE6"/>
    <w:rsid w:val="00C53B9B"/>
    <w:rsid w:val="00C549C4"/>
    <w:rsid w:val="00C553FF"/>
    <w:rsid w:val="00C563DC"/>
    <w:rsid w:val="00C6016B"/>
    <w:rsid w:val="00C62A17"/>
    <w:rsid w:val="00C634A7"/>
    <w:rsid w:val="00C638D7"/>
    <w:rsid w:val="00C638DF"/>
    <w:rsid w:val="00C64720"/>
    <w:rsid w:val="00C6517F"/>
    <w:rsid w:val="00C6529E"/>
    <w:rsid w:val="00C67BA6"/>
    <w:rsid w:val="00C70DA3"/>
    <w:rsid w:val="00C71920"/>
    <w:rsid w:val="00C72A63"/>
    <w:rsid w:val="00C73ECB"/>
    <w:rsid w:val="00C74E4F"/>
    <w:rsid w:val="00C76599"/>
    <w:rsid w:val="00C77072"/>
    <w:rsid w:val="00C77A70"/>
    <w:rsid w:val="00C77CC5"/>
    <w:rsid w:val="00C80AE4"/>
    <w:rsid w:val="00C83E3B"/>
    <w:rsid w:val="00C857F1"/>
    <w:rsid w:val="00C871C4"/>
    <w:rsid w:val="00C939EF"/>
    <w:rsid w:val="00C97301"/>
    <w:rsid w:val="00CA1130"/>
    <w:rsid w:val="00CA202D"/>
    <w:rsid w:val="00CA415F"/>
    <w:rsid w:val="00CA529D"/>
    <w:rsid w:val="00CA55FE"/>
    <w:rsid w:val="00CA5EA7"/>
    <w:rsid w:val="00CB026C"/>
    <w:rsid w:val="00CB2C14"/>
    <w:rsid w:val="00CB4228"/>
    <w:rsid w:val="00CB5A49"/>
    <w:rsid w:val="00CB5C15"/>
    <w:rsid w:val="00CB678B"/>
    <w:rsid w:val="00CC11B4"/>
    <w:rsid w:val="00CC1228"/>
    <w:rsid w:val="00CC1A21"/>
    <w:rsid w:val="00CC372B"/>
    <w:rsid w:val="00CC66DE"/>
    <w:rsid w:val="00CC6C05"/>
    <w:rsid w:val="00CC7C0C"/>
    <w:rsid w:val="00CD45AC"/>
    <w:rsid w:val="00CD5694"/>
    <w:rsid w:val="00CD75E3"/>
    <w:rsid w:val="00CE1154"/>
    <w:rsid w:val="00CE1CCF"/>
    <w:rsid w:val="00CE2627"/>
    <w:rsid w:val="00CE2EB2"/>
    <w:rsid w:val="00CE3CB6"/>
    <w:rsid w:val="00CE525D"/>
    <w:rsid w:val="00CE5C99"/>
    <w:rsid w:val="00CF0973"/>
    <w:rsid w:val="00CF23EE"/>
    <w:rsid w:val="00CF41D3"/>
    <w:rsid w:val="00D02581"/>
    <w:rsid w:val="00D0416E"/>
    <w:rsid w:val="00D11357"/>
    <w:rsid w:val="00D126F7"/>
    <w:rsid w:val="00D12789"/>
    <w:rsid w:val="00D129F5"/>
    <w:rsid w:val="00D12ED9"/>
    <w:rsid w:val="00D141DD"/>
    <w:rsid w:val="00D1494A"/>
    <w:rsid w:val="00D14A3B"/>
    <w:rsid w:val="00D17246"/>
    <w:rsid w:val="00D202A2"/>
    <w:rsid w:val="00D205D1"/>
    <w:rsid w:val="00D21887"/>
    <w:rsid w:val="00D266DE"/>
    <w:rsid w:val="00D300F6"/>
    <w:rsid w:val="00D31689"/>
    <w:rsid w:val="00D325D3"/>
    <w:rsid w:val="00D355E8"/>
    <w:rsid w:val="00D41775"/>
    <w:rsid w:val="00D43DD6"/>
    <w:rsid w:val="00D454EC"/>
    <w:rsid w:val="00D46111"/>
    <w:rsid w:val="00D4719D"/>
    <w:rsid w:val="00D50185"/>
    <w:rsid w:val="00D51C2C"/>
    <w:rsid w:val="00D5579D"/>
    <w:rsid w:val="00D55A36"/>
    <w:rsid w:val="00D5689A"/>
    <w:rsid w:val="00D57072"/>
    <w:rsid w:val="00D61249"/>
    <w:rsid w:val="00D61AE5"/>
    <w:rsid w:val="00D64636"/>
    <w:rsid w:val="00D668E4"/>
    <w:rsid w:val="00D67466"/>
    <w:rsid w:val="00D7047B"/>
    <w:rsid w:val="00D70735"/>
    <w:rsid w:val="00D729A9"/>
    <w:rsid w:val="00D741F4"/>
    <w:rsid w:val="00D749B5"/>
    <w:rsid w:val="00D74FEC"/>
    <w:rsid w:val="00D75505"/>
    <w:rsid w:val="00D76695"/>
    <w:rsid w:val="00D77DAB"/>
    <w:rsid w:val="00D808FB"/>
    <w:rsid w:val="00D80998"/>
    <w:rsid w:val="00D81803"/>
    <w:rsid w:val="00D8228F"/>
    <w:rsid w:val="00D82E7B"/>
    <w:rsid w:val="00D83CB1"/>
    <w:rsid w:val="00D862DA"/>
    <w:rsid w:val="00D8640C"/>
    <w:rsid w:val="00D86456"/>
    <w:rsid w:val="00D870BD"/>
    <w:rsid w:val="00D90ED8"/>
    <w:rsid w:val="00D936C9"/>
    <w:rsid w:val="00D95457"/>
    <w:rsid w:val="00D96551"/>
    <w:rsid w:val="00D97B6B"/>
    <w:rsid w:val="00DA1873"/>
    <w:rsid w:val="00DA336D"/>
    <w:rsid w:val="00DA3D7B"/>
    <w:rsid w:val="00DA6721"/>
    <w:rsid w:val="00DA7189"/>
    <w:rsid w:val="00DA725E"/>
    <w:rsid w:val="00DA7370"/>
    <w:rsid w:val="00DB066E"/>
    <w:rsid w:val="00DB079C"/>
    <w:rsid w:val="00DB1190"/>
    <w:rsid w:val="00DB4594"/>
    <w:rsid w:val="00DB4AA3"/>
    <w:rsid w:val="00DB68FF"/>
    <w:rsid w:val="00DB6964"/>
    <w:rsid w:val="00DB7230"/>
    <w:rsid w:val="00DC26EC"/>
    <w:rsid w:val="00DC32BA"/>
    <w:rsid w:val="00DC4E97"/>
    <w:rsid w:val="00DC54BD"/>
    <w:rsid w:val="00DC5FD8"/>
    <w:rsid w:val="00DD454D"/>
    <w:rsid w:val="00DD6518"/>
    <w:rsid w:val="00DD6537"/>
    <w:rsid w:val="00DD6667"/>
    <w:rsid w:val="00DD74A2"/>
    <w:rsid w:val="00DE03EE"/>
    <w:rsid w:val="00DE2331"/>
    <w:rsid w:val="00DE383B"/>
    <w:rsid w:val="00DE49BE"/>
    <w:rsid w:val="00DE6576"/>
    <w:rsid w:val="00DF4614"/>
    <w:rsid w:val="00DF6D10"/>
    <w:rsid w:val="00DF70F4"/>
    <w:rsid w:val="00DF7B25"/>
    <w:rsid w:val="00E00B67"/>
    <w:rsid w:val="00E03D82"/>
    <w:rsid w:val="00E04840"/>
    <w:rsid w:val="00E10F35"/>
    <w:rsid w:val="00E11DD2"/>
    <w:rsid w:val="00E135A1"/>
    <w:rsid w:val="00E136B0"/>
    <w:rsid w:val="00E14407"/>
    <w:rsid w:val="00E1496E"/>
    <w:rsid w:val="00E16EF1"/>
    <w:rsid w:val="00E177A0"/>
    <w:rsid w:val="00E17F63"/>
    <w:rsid w:val="00E212B3"/>
    <w:rsid w:val="00E232B1"/>
    <w:rsid w:val="00E31736"/>
    <w:rsid w:val="00E336D5"/>
    <w:rsid w:val="00E368C3"/>
    <w:rsid w:val="00E3764A"/>
    <w:rsid w:val="00E40E42"/>
    <w:rsid w:val="00E43C06"/>
    <w:rsid w:val="00E449B1"/>
    <w:rsid w:val="00E46CCC"/>
    <w:rsid w:val="00E47975"/>
    <w:rsid w:val="00E47A98"/>
    <w:rsid w:val="00E47B31"/>
    <w:rsid w:val="00E501F7"/>
    <w:rsid w:val="00E5082D"/>
    <w:rsid w:val="00E516B1"/>
    <w:rsid w:val="00E534D5"/>
    <w:rsid w:val="00E56971"/>
    <w:rsid w:val="00E570D2"/>
    <w:rsid w:val="00E574A9"/>
    <w:rsid w:val="00E61355"/>
    <w:rsid w:val="00E613BC"/>
    <w:rsid w:val="00E61F1E"/>
    <w:rsid w:val="00E62877"/>
    <w:rsid w:val="00E64FA2"/>
    <w:rsid w:val="00E66861"/>
    <w:rsid w:val="00E66E21"/>
    <w:rsid w:val="00E67063"/>
    <w:rsid w:val="00E70D56"/>
    <w:rsid w:val="00E70F38"/>
    <w:rsid w:val="00E710FC"/>
    <w:rsid w:val="00E71915"/>
    <w:rsid w:val="00E742E7"/>
    <w:rsid w:val="00E7689D"/>
    <w:rsid w:val="00E80916"/>
    <w:rsid w:val="00E81D8D"/>
    <w:rsid w:val="00E82068"/>
    <w:rsid w:val="00E82BB4"/>
    <w:rsid w:val="00E83B8B"/>
    <w:rsid w:val="00E840DF"/>
    <w:rsid w:val="00E8452A"/>
    <w:rsid w:val="00E8560F"/>
    <w:rsid w:val="00E85748"/>
    <w:rsid w:val="00E8780A"/>
    <w:rsid w:val="00E87947"/>
    <w:rsid w:val="00E957FC"/>
    <w:rsid w:val="00E961D1"/>
    <w:rsid w:val="00EA0289"/>
    <w:rsid w:val="00EA279E"/>
    <w:rsid w:val="00EA5E89"/>
    <w:rsid w:val="00EA6221"/>
    <w:rsid w:val="00EB11D1"/>
    <w:rsid w:val="00EB181B"/>
    <w:rsid w:val="00EB1CA4"/>
    <w:rsid w:val="00EB2DEA"/>
    <w:rsid w:val="00EB6EF8"/>
    <w:rsid w:val="00EC0CDD"/>
    <w:rsid w:val="00EC341C"/>
    <w:rsid w:val="00EC50B7"/>
    <w:rsid w:val="00EC78BD"/>
    <w:rsid w:val="00ED1657"/>
    <w:rsid w:val="00ED29A5"/>
    <w:rsid w:val="00ED5637"/>
    <w:rsid w:val="00ED5F5C"/>
    <w:rsid w:val="00ED6618"/>
    <w:rsid w:val="00EE2F37"/>
    <w:rsid w:val="00EE4A79"/>
    <w:rsid w:val="00EE5345"/>
    <w:rsid w:val="00EE71C9"/>
    <w:rsid w:val="00EF2B39"/>
    <w:rsid w:val="00EF352D"/>
    <w:rsid w:val="00EF3A15"/>
    <w:rsid w:val="00EF4AEE"/>
    <w:rsid w:val="00EF4E0D"/>
    <w:rsid w:val="00EF6AAE"/>
    <w:rsid w:val="00EF6E41"/>
    <w:rsid w:val="00F002F3"/>
    <w:rsid w:val="00F02F24"/>
    <w:rsid w:val="00F03BF4"/>
    <w:rsid w:val="00F03F3B"/>
    <w:rsid w:val="00F07419"/>
    <w:rsid w:val="00F07468"/>
    <w:rsid w:val="00F10B78"/>
    <w:rsid w:val="00F11DDC"/>
    <w:rsid w:val="00F1302B"/>
    <w:rsid w:val="00F13D2B"/>
    <w:rsid w:val="00F13F76"/>
    <w:rsid w:val="00F153C1"/>
    <w:rsid w:val="00F2176B"/>
    <w:rsid w:val="00F217E8"/>
    <w:rsid w:val="00F22BE1"/>
    <w:rsid w:val="00F22D82"/>
    <w:rsid w:val="00F22FE8"/>
    <w:rsid w:val="00F23A8E"/>
    <w:rsid w:val="00F25DCE"/>
    <w:rsid w:val="00F26D40"/>
    <w:rsid w:val="00F340B6"/>
    <w:rsid w:val="00F361B7"/>
    <w:rsid w:val="00F36C7F"/>
    <w:rsid w:val="00F37461"/>
    <w:rsid w:val="00F401FE"/>
    <w:rsid w:val="00F40BAE"/>
    <w:rsid w:val="00F503CC"/>
    <w:rsid w:val="00F50437"/>
    <w:rsid w:val="00F52F93"/>
    <w:rsid w:val="00F531ED"/>
    <w:rsid w:val="00F54608"/>
    <w:rsid w:val="00F54FAD"/>
    <w:rsid w:val="00F552F2"/>
    <w:rsid w:val="00F55D20"/>
    <w:rsid w:val="00F55E52"/>
    <w:rsid w:val="00F577CC"/>
    <w:rsid w:val="00F57EF0"/>
    <w:rsid w:val="00F627E2"/>
    <w:rsid w:val="00F62D91"/>
    <w:rsid w:val="00F6334D"/>
    <w:rsid w:val="00F63FBE"/>
    <w:rsid w:val="00F66DFC"/>
    <w:rsid w:val="00F71520"/>
    <w:rsid w:val="00F71919"/>
    <w:rsid w:val="00F71DF6"/>
    <w:rsid w:val="00F7590F"/>
    <w:rsid w:val="00F75FE2"/>
    <w:rsid w:val="00F772CC"/>
    <w:rsid w:val="00F819D1"/>
    <w:rsid w:val="00F83E82"/>
    <w:rsid w:val="00F8569E"/>
    <w:rsid w:val="00F85A14"/>
    <w:rsid w:val="00F90EB0"/>
    <w:rsid w:val="00F913C6"/>
    <w:rsid w:val="00F94864"/>
    <w:rsid w:val="00F94F8F"/>
    <w:rsid w:val="00F95BDD"/>
    <w:rsid w:val="00FA01F4"/>
    <w:rsid w:val="00FA02EE"/>
    <w:rsid w:val="00FA33A6"/>
    <w:rsid w:val="00FA7B80"/>
    <w:rsid w:val="00FB0B18"/>
    <w:rsid w:val="00FB144B"/>
    <w:rsid w:val="00FB18EA"/>
    <w:rsid w:val="00FB2ACA"/>
    <w:rsid w:val="00FB4782"/>
    <w:rsid w:val="00FB673E"/>
    <w:rsid w:val="00FB753B"/>
    <w:rsid w:val="00FC28B7"/>
    <w:rsid w:val="00FC2D6B"/>
    <w:rsid w:val="00FC3D57"/>
    <w:rsid w:val="00FC3EB4"/>
    <w:rsid w:val="00FC51B8"/>
    <w:rsid w:val="00FC5FD1"/>
    <w:rsid w:val="00FC6C2D"/>
    <w:rsid w:val="00FD06B7"/>
    <w:rsid w:val="00FD16AB"/>
    <w:rsid w:val="00FD19FD"/>
    <w:rsid w:val="00FD2E3A"/>
    <w:rsid w:val="00FD3808"/>
    <w:rsid w:val="00FD38DC"/>
    <w:rsid w:val="00FD3AC0"/>
    <w:rsid w:val="00FD6457"/>
    <w:rsid w:val="00FD755E"/>
    <w:rsid w:val="00FD7CD3"/>
    <w:rsid w:val="00FE16BE"/>
    <w:rsid w:val="00FE17C9"/>
    <w:rsid w:val="00FE23DA"/>
    <w:rsid w:val="00FE410C"/>
    <w:rsid w:val="00FE44C5"/>
    <w:rsid w:val="00FF02A3"/>
    <w:rsid w:val="00FF0B67"/>
    <w:rsid w:val="00FF1021"/>
    <w:rsid w:val="00FF141F"/>
    <w:rsid w:val="00FF406D"/>
    <w:rsid w:val="00FF5CE3"/>
    <w:rsid w:val="00FF74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9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1E47D1"/>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F75FE2"/>
    <w:pPr>
      <w:keepNext/>
      <w:numPr>
        <w:numId w:val="5"/>
      </w:numPr>
      <w:ind w:right="1296"/>
      <w:outlineLvl w:val="0"/>
    </w:pPr>
    <w:rPr>
      <w:u w:val="single"/>
    </w:rPr>
  </w:style>
  <w:style w:type="paragraph" w:styleId="Heading2">
    <w:name w:val="heading 2"/>
    <w:basedOn w:val="Normal"/>
    <w:next w:val="Normal"/>
    <w:uiPriority w:val="99"/>
    <w:semiHidden/>
    <w:qFormat/>
    <w:locked/>
    <w:rsid w:val="00F75FE2"/>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F75FE2"/>
    <w:pPr>
      <w:keepNext/>
      <w:numPr>
        <w:ilvl w:val="2"/>
        <w:numId w:val="5"/>
      </w:numPr>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43"/>
    <w:locked/>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B976F6"/>
    <w:pPr>
      <w:spacing w:before="240" w:line="240" w:lineRule="exact"/>
      <w:ind w:left="720" w:right="794" w:firstLine="0"/>
    </w:pPr>
  </w:style>
  <w:style w:type="paragraph" w:styleId="FootnoteText">
    <w:name w:val="footnote text"/>
    <w:basedOn w:val="Normal"/>
    <w:uiPriority w:val="53"/>
    <w:locked/>
    <w:pPr>
      <w:spacing w:after="240" w:line="240" w:lineRule="exact"/>
      <w:ind w:left="510" w:hanging="510"/>
    </w:pPr>
  </w:style>
  <w:style w:type="character" w:styleId="FootnoteReference">
    <w:name w:val="footnote reference"/>
    <w:uiPriority w:val="51"/>
    <w:locked/>
    <w:rsid w:val="00C40EB3"/>
    <w:rPr>
      <w:b/>
      <w:sz w:val="28"/>
      <w:vertAlign w:val="superscript"/>
    </w:rPr>
  </w:style>
  <w:style w:type="paragraph" w:customStyle="1" w:styleId="FootIndAgain">
    <w:name w:val="FootIndAgain"/>
    <w:basedOn w:val="FootnoteText"/>
    <w:uiPriority w:val="47"/>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570D24"/>
    <w:pPr>
      <w:ind w:firstLine="0"/>
    </w:pPr>
  </w:style>
  <w:style w:type="character" w:customStyle="1" w:styleId="Heading1Char">
    <w:name w:val="Heading 1 Char"/>
    <w:uiPriority w:val="99"/>
    <w:semiHidden/>
    <w:locked/>
    <w:rPr>
      <w:rFonts w:ascii="Univers" w:hAnsi="Univers"/>
      <w:sz w:val="26"/>
      <w:u w:val="single"/>
      <w:lang w:val="en-AU"/>
    </w:rPr>
  </w:style>
  <w:style w:type="character" w:customStyle="1" w:styleId="Heading2Char">
    <w:name w:val="Heading 2 Char"/>
    <w:uiPriority w:val="99"/>
    <w:semiHidden/>
    <w:locked/>
    <w:rPr>
      <w:rFonts w:ascii="Arial" w:hAnsi="Arial"/>
      <w:b/>
      <w:i/>
      <w:sz w:val="24"/>
      <w:lang w:val="en-AU"/>
    </w:rPr>
  </w:style>
  <w:style w:type="character" w:customStyle="1" w:styleId="Heading3Char">
    <w:name w:val="Heading 3 Char"/>
    <w:uiPriority w:val="99"/>
    <w:semiHidden/>
    <w:locked/>
    <w:rPr>
      <w:rFonts w:ascii="Arial" w:hAnsi="Arial"/>
      <w:sz w:val="24"/>
      <w:lang w:val="en-AU"/>
    </w:rPr>
  </w:style>
  <w:style w:type="paragraph" w:customStyle="1" w:styleId="NormalHC">
    <w:name w:val="Normal HC"/>
    <w:basedOn w:val="Normal"/>
    <w:uiPriority w:val="27"/>
    <w:qFormat/>
    <w:locked/>
    <w:rsid w:val="006E359B"/>
    <w:pPr>
      <w:numPr>
        <w:numId w:val="16"/>
      </w:numPr>
      <w:spacing w:after="480"/>
      <w:ind w:left="0" w:hanging="720"/>
    </w:pPr>
  </w:style>
  <w:style w:type="paragraph" w:customStyle="1" w:styleId="HeadingFirst">
    <w:name w:val="Heading First"/>
    <w:basedOn w:val="NormalHC"/>
    <w:next w:val="HeadingV"/>
    <w:uiPriority w:val="15"/>
    <w:qFormat/>
    <w:locked/>
    <w:rsid w:val="005F3216"/>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5F3216"/>
    <w:pPr>
      <w:keepNext/>
      <w:numPr>
        <w:numId w:val="0"/>
      </w:numPr>
      <w:outlineLvl w:val="2"/>
    </w:pPr>
    <w:rPr>
      <w:b/>
      <w:szCs w:val="20"/>
    </w:rPr>
  </w:style>
  <w:style w:type="paragraph" w:customStyle="1" w:styleId="HeadingL2">
    <w:name w:val="Heading L2"/>
    <w:basedOn w:val="HeadingL1"/>
    <w:next w:val="NormalHC"/>
    <w:uiPriority w:val="23"/>
    <w:qFormat/>
    <w:locked/>
    <w:rsid w:val="00745DD2"/>
    <w:pPr>
      <w:outlineLvl w:val="3"/>
    </w:pPr>
    <w:rPr>
      <w:b w:val="0"/>
      <w:i/>
    </w:rPr>
  </w:style>
  <w:style w:type="paragraph" w:customStyle="1" w:styleId="HeadingMatter">
    <w:name w:val="Heading Matter"/>
    <w:basedOn w:val="NormalHC"/>
    <w:next w:val="HeadingFirst"/>
    <w:uiPriority w:val="13"/>
    <w:qFormat/>
    <w:locked/>
    <w:rsid w:val="005F3216"/>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0E65F7"/>
    <w:pPr>
      <w:keepNext w:val="0"/>
    </w:pPr>
  </w:style>
  <w:style w:type="paragraph" w:customStyle="1" w:styleId="HeadingV">
    <w:name w:val="Heading V"/>
    <w:basedOn w:val="HeadingFirst"/>
    <w:next w:val="HeadingSecond"/>
    <w:uiPriority w:val="17"/>
    <w:qFormat/>
    <w:locked/>
    <w:rsid w:val="000E65F7"/>
    <w:rPr>
      <w:caps w:val="0"/>
      <w:u w:val="none"/>
    </w:rPr>
  </w:style>
  <w:style w:type="paragraph" w:customStyle="1" w:styleId="LeftrightafterHC">
    <w:name w:val="Leftright after HC"/>
    <w:basedOn w:val="Normal"/>
    <w:next w:val="leftright"/>
    <w:uiPriority w:val="31"/>
    <w:qFormat/>
    <w:locked/>
    <w:rsid w:val="00B976F6"/>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E66E21"/>
    <w:pPr>
      <w:ind w:firstLine="720"/>
    </w:pPr>
  </w:style>
  <w:style w:type="paragraph" w:customStyle="1" w:styleId="LeftrightHanging">
    <w:name w:val="LeftrightHanging"/>
    <w:basedOn w:val="NormalHC"/>
    <w:uiPriority w:val="35"/>
    <w:qFormat/>
    <w:locked/>
    <w:rsid w:val="00E66E21"/>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E66E21"/>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E66E21"/>
    <w:pPr>
      <w:spacing w:before="200"/>
      <w:ind w:left="2160"/>
    </w:pPr>
  </w:style>
  <w:style w:type="paragraph" w:customStyle="1" w:styleId="NormalafterHd2nd">
    <w:name w:val="Normal after Hd2nd"/>
    <w:basedOn w:val="NormalHC"/>
    <w:next w:val="NormalHC"/>
    <w:uiPriority w:val="29"/>
    <w:locked/>
    <w:rsid w:val="005F3216"/>
    <w:pPr>
      <w:numPr>
        <w:numId w:val="0"/>
      </w:numPr>
      <w:spacing w:before="1000"/>
    </w:pPr>
  </w:style>
  <w:style w:type="character" w:customStyle="1" w:styleId="NormalHCChar">
    <w:name w:val="Normal HC Char"/>
    <w:uiPriority w:val="99"/>
    <w:semiHidden/>
    <w:locked/>
    <w:rPr>
      <w:rFonts w:ascii="Univers" w:hAnsi="Univers"/>
      <w:sz w:val="26"/>
      <w:szCs w:val="26"/>
    </w:rPr>
  </w:style>
  <w:style w:type="character" w:customStyle="1" w:styleId="StyleFootnoteReferenceChar">
    <w:name w:val="Style Footnote Reference Char"/>
    <w:uiPriority w:val="99"/>
    <w:semiHidden/>
    <w:locked/>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663E86"/>
  </w:style>
  <w:style w:type="paragraph" w:customStyle="1" w:styleId="HeadingJudgment">
    <w:name w:val="Heading Judgment"/>
    <w:basedOn w:val="Normal"/>
    <w:uiPriority w:val="59"/>
    <w:qFormat/>
    <w:locked/>
    <w:rsid w:val="00F90EB0"/>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F75FE2"/>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CE2EB2"/>
    <w:pPr>
      <w:outlineLvl w:val="4"/>
    </w:pPr>
    <w:rPr>
      <w:b w:val="0"/>
    </w:rPr>
  </w:style>
  <w:style w:type="character" w:styleId="PageNumber">
    <w:name w:val="page number"/>
    <w:basedOn w:val="DefaultParagraphFont"/>
    <w:uiPriority w:val="57"/>
    <w:locked/>
    <w:rsid w:val="00A2312E"/>
  </w:style>
  <w:style w:type="paragraph" w:styleId="BalloonText">
    <w:name w:val="Balloon Text"/>
    <w:basedOn w:val="Normal"/>
    <w:link w:val="BalloonTextChar"/>
    <w:semiHidden/>
    <w:locked/>
    <w:rsid w:val="005F4DFE"/>
    <w:rPr>
      <w:rFonts w:ascii="Tahoma" w:hAnsi="Tahoma" w:cs="Tahoma"/>
      <w:sz w:val="16"/>
      <w:szCs w:val="16"/>
      <w:lang w:eastAsia="en-US"/>
    </w:rPr>
  </w:style>
  <w:style w:type="character" w:customStyle="1" w:styleId="BalloonTextChar">
    <w:name w:val="Balloon Text Char"/>
    <w:basedOn w:val="DefaultParagraphFont"/>
    <w:link w:val="BalloonText"/>
    <w:semiHidden/>
    <w:rsid w:val="005F4DFE"/>
    <w:rPr>
      <w:rFonts w:ascii="Tahoma" w:hAnsi="Tahoma" w:cs="Tahoma"/>
      <w:sz w:val="16"/>
      <w:szCs w:val="16"/>
      <w:lang w:eastAsia="en-US"/>
    </w:rPr>
  </w:style>
  <w:style w:type="paragraph" w:customStyle="1" w:styleId="ClosingText">
    <w:name w:val="Closing Text"/>
    <w:basedOn w:val="Normal"/>
    <w:uiPriority w:val="98"/>
    <w:semiHidden/>
    <w:qFormat/>
    <w:locked/>
    <w:rsid w:val="005F4DFE"/>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5F4DFE"/>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5F4DFE"/>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5F4DFE"/>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037A5F"/>
    <w:rPr>
      <w:szCs w:val="20"/>
      <w:lang w:eastAsia="en-US"/>
    </w:rPr>
  </w:style>
  <w:style w:type="paragraph" w:customStyle="1" w:styleId="NormalBody">
    <w:name w:val="Normal Body"/>
    <w:basedOn w:val="NormalHC"/>
    <w:uiPriority w:val="28"/>
    <w:qFormat/>
    <w:locked/>
    <w:rsid w:val="005F3216"/>
    <w:pPr>
      <w:numPr>
        <w:numId w:val="0"/>
      </w:numPr>
    </w:pPr>
    <w:rPr>
      <w:lang w:eastAsia="en-US"/>
    </w:rPr>
  </w:style>
  <w:style w:type="paragraph" w:customStyle="1" w:styleId="StyleFootnoteReference">
    <w:name w:val="Style Footnote Reference"/>
    <w:basedOn w:val="Normal"/>
    <w:next w:val="Normal"/>
    <w:semiHidden/>
    <w:rsid w:val="005F4DFE"/>
    <w:rPr>
      <w:vertAlign w:val="superscript"/>
      <w:lang w:eastAsia="en-US"/>
    </w:rPr>
  </w:style>
  <w:style w:type="paragraph" w:styleId="ListNumber">
    <w:name w:val="List Number"/>
    <w:basedOn w:val="Normal"/>
    <w:uiPriority w:val="56"/>
    <w:locked/>
    <w:rsid w:val="00473869"/>
    <w:pPr>
      <w:numPr>
        <w:numId w:val="11"/>
      </w:numPr>
      <w:contextualSpacing/>
    </w:pPr>
  </w:style>
  <w:style w:type="paragraph" w:customStyle="1" w:styleId="FixListStyle">
    <w:name w:val="FixListStyle"/>
    <w:basedOn w:val="Normal"/>
    <w:uiPriority w:val="99"/>
    <w:qFormat/>
    <w:rsid w:val="00583673"/>
    <w:pPr>
      <w:numPr>
        <w:numId w:val="19"/>
      </w:numPr>
      <w:spacing w:after="480"/>
      <w:ind w:left="0" w:hanging="720"/>
    </w:pPr>
  </w:style>
  <w:style w:type="paragraph" w:customStyle="1" w:styleId="CatchwordsBold">
    <w:name w:val="Catchwords Bold"/>
    <w:basedOn w:val="Normal"/>
    <w:link w:val="CatchwordsBoldChar"/>
    <w:qFormat/>
    <w:rsid w:val="0095456C"/>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95456C"/>
    <w:rPr>
      <w:rFonts w:ascii="Times New Roman" w:hAnsi="Times New Roman"/>
      <w:b/>
      <w:szCs w:val="20"/>
    </w:rPr>
  </w:style>
  <w:style w:type="paragraph" w:customStyle="1" w:styleId="CatchwordsRight">
    <w:name w:val="Catchwords Right"/>
    <w:basedOn w:val="Normal"/>
    <w:link w:val="CatchwordsRightChar"/>
    <w:qFormat/>
    <w:rsid w:val="0095456C"/>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95456C"/>
    <w:rPr>
      <w:rFonts w:ascii="Times New Roman" w:hAnsi="Times New Roman"/>
      <w:szCs w:val="20"/>
    </w:rPr>
  </w:style>
  <w:style w:type="paragraph" w:customStyle="1" w:styleId="CatchwordsText">
    <w:name w:val="Catchwords Text"/>
    <w:basedOn w:val="Normal"/>
    <w:link w:val="CatchwordsTextChar"/>
    <w:qFormat/>
    <w:rsid w:val="0095456C"/>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95456C"/>
    <w:rPr>
      <w:rFonts w:ascii="Times New Roman" w:hAnsi="Times New Roman"/>
      <w:szCs w:val="20"/>
    </w:rPr>
  </w:style>
  <w:style w:type="paragraph" w:customStyle="1" w:styleId="CenteredBorder">
    <w:name w:val="Centered Border"/>
    <w:qFormat/>
    <w:rsid w:val="0095456C"/>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95456C"/>
    <w:pPr>
      <w:jc w:val="center"/>
    </w:pPr>
    <w:rPr>
      <w:rFonts w:ascii="Times New Roman" w:hAnsi="Times New Roman"/>
      <w:b/>
      <w:bCs/>
      <w:szCs w:val="20"/>
      <w:lang w:val="en-GB"/>
    </w:rPr>
  </w:style>
  <w:style w:type="character" w:customStyle="1" w:styleId="OrderCentred">
    <w:name w:val="Order Centred"/>
    <w:semiHidden/>
    <w:rsid w:val="0095456C"/>
    <w:rPr>
      <w:b/>
      <w:bCs/>
      <w:sz w:val="26"/>
    </w:rPr>
  </w:style>
  <w:style w:type="paragraph" w:customStyle="1" w:styleId="OrdersTopLine">
    <w:name w:val="Orders TopLine"/>
    <w:qFormat/>
    <w:rsid w:val="0095456C"/>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95456C"/>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95456C"/>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95456C"/>
    <w:rPr>
      <w:rFonts w:ascii="Times New Roman" w:hAnsi="Times New Roman"/>
      <w:i/>
      <w:lang w:eastAsia="en-US"/>
    </w:rPr>
  </w:style>
  <w:style w:type="paragraph" w:customStyle="1" w:styleId="OrdersIndentLevel2i">
    <w:name w:val="Orders Indent Level 2 (i)"/>
    <w:basedOn w:val="Normal"/>
    <w:link w:val="OrdersIndentLevel2iChar"/>
    <w:qFormat/>
    <w:rsid w:val="0095456C"/>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95456C"/>
    <w:rPr>
      <w:rFonts w:ascii="Times New Roman" w:hAnsi="Times New Roman"/>
      <w:i/>
      <w:lang w:eastAsia="en-US"/>
    </w:rPr>
  </w:style>
  <w:style w:type="paragraph" w:customStyle="1" w:styleId="OrdersMatter">
    <w:name w:val="Orders Matter"/>
    <w:basedOn w:val="OrderCentreBold"/>
    <w:link w:val="OrdersMatterChar"/>
    <w:qFormat/>
    <w:rsid w:val="0095456C"/>
  </w:style>
  <w:style w:type="character" w:customStyle="1" w:styleId="OrdersMatterChar">
    <w:name w:val="Orders Matter Char"/>
    <w:link w:val="OrdersMatter"/>
    <w:rsid w:val="0095456C"/>
    <w:rPr>
      <w:rFonts w:ascii="Times New Roman" w:hAnsi="Times New Roman"/>
      <w:b/>
      <w:bCs/>
      <w:szCs w:val="20"/>
      <w:lang w:val="en-GB"/>
    </w:rPr>
  </w:style>
  <w:style w:type="paragraph" w:customStyle="1" w:styleId="OrdersNotice">
    <w:name w:val="Orders Notice"/>
    <w:rsid w:val="0095456C"/>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95456C"/>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95456C"/>
    <w:rPr>
      <w:rFonts w:ascii="Times New Roman" w:hAnsi="Times New Roman"/>
      <w:szCs w:val="20"/>
      <w:lang w:eastAsia="en-US"/>
    </w:rPr>
  </w:style>
  <w:style w:type="paragraph" w:customStyle="1" w:styleId="OrdersText">
    <w:name w:val="Orders Text"/>
    <w:basedOn w:val="Normal"/>
    <w:link w:val="OrdersTextChar"/>
    <w:qFormat/>
    <w:rsid w:val="0095456C"/>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95456C"/>
    <w:rPr>
      <w:rFonts w:ascii="Times New Roman" w:hAnsi="Times New Roman"/>
      <w:i/>
      <w:lang w:eastAsia="en-US"/>
    </w:rPr>
  </w:style>
  <w:style w:type="paragraph" w:customStyle="1" w:styleId="OrdersCenteredBorder">
    <w:name w:val="Orders Centered Border"/>
    <w:qFormat/>
    <w:rsid w:val="004B26D9"/>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B94B4F"/>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B94B4F"/>
    <w:rPr>
      <w:rFonts w:ascii="Times New Roman" w:hAnsi="Times New Roman"/>
      <w:szCs w:val="20"/>
    </w:rPr>
  </w:style>
  <w:style w:type="paragraph" w:customStyle="1" w:styleId="LRHangingafterHC">
    <w:name w:val="LR Hanging after HC"/>
    <w:basedOn w:val="Normal"/>
    <w:next w:val="LeftrightHanging"/>
    <w:uiPriority w:val="99"/>
    <w:qFormat/>
    <w:rsid w:val="0053324F"/>
    <w:pPr>
      <w:spacing w:before="720" w:line="240" w:lineRule="exact"/>
      <w:ind w:left="1440" w:right="794" w:hanging="720"/>
    </w:pPr>
  </w:style>
  <w:style w:type="paragraph" w:styleId="NormalWeb">
    <w:name w:val="Normal (Web)"/>
    <w:basedOn w:val="Normal"/>
    <w:uiPriority w:val="99"/>
    <w:semiHidden/>
    <w:unhideWhenUsed/>
    <w:locked/>
    <w:rsid w:val="0022183C"/>
    <w:rPr>
      <w:rFonts w:ascii="Times New Roman" w:hAnsi="Times New Roman"/>
      <w:sz w:val="24"/>
      <w:szCs w:val="24"/>
    </w:rPr>
  </w:style>
  <w:style w:type="paragraph" w:styleId="Revision">
    <w:name w:val="Revision"/>
    <w:hidden/>
    <w:uiPriority w:val="99"/>
    <w:semiHidden/>
    <w:rsid w:val="00115B3D"/>
  </w:style>
  <w:style w:type="character" w:styleId="CommentReference">
    <w:name w:val="annotation reference"/>
    <w:basedOn w:val="DefaultParagraphFont"/>
    <w:uiPriority w:val="99"/>
    <w:semiHidden/>
    <w:unhideWhenUsed/>
    <w:locked/>
    <w:rsid w:val="00EA6221"/>
    <w:rPr>
      <w:sz w:val="16"/>
      <w:szCs w:val="16"/>
    </w:rPr>
  </w:style>
  <w:style w:type="paragraph" w:styleId="CommentText">
    <w:name w:val="annotation text"/>
    <w:basedOn w:val="Normal"/>
    <w:link w:val="CommentTextChar"/>
    <w:uiPriority w:val="99"/>
    <w:unhideWhenUsed/>
    <w:locked/>
    <w:rsid w:val="00EA6221"/>
    <w:pPr>
      <w:spacing w:line="240" w:lineRule="auto"/>
    </w:pPr>
    <w:rPr>
      <w:sz w:val="20"/>
      <w:szCs w:val="20"/>
    </w:rPr>
  </w:style>
  <w:style w:type="character" w:customStyle="1" w:styleId="CommentTextChar">
    <w:name w:val="Comment Text Char"/>
    <w:basedOn w:val="DefaultParagraphFont"/>
    <w:link w:val="CommentText"/>
    <w:uiPriority w:val="99"/>
    <w:rsid w:val="00EA6221"/>
    <w:rPr>
      <w:sz w:val="20"/>
      <w:szCs w:val="20"/>
    </w:rPr>
  </w:style>
  <w:style w:type="paragraph" w:styleId="CommentSubject">
    <w:name w:val="annotation subject"/>
    <w:basedOn w:val="CommentText"/>
    <w:next w:val="CommentText"/>
    <w:link w:val="CommentSubjectChar"/>
    <w:uiPriority w:val="99"/>
    <w:semiHidden/>
    <w:unhideWhenUsed/>
    <w:locked/>
    <w:rsid w:val="00EA6221"/>
    <w:rPr>
      <w:b/>
      <w:bCs/>
    </w:rPr>
  </w:style>
  <w:style w:type="character" w:customStyle="1" w:styleId="CommentSubjectChar">
    <w:name w:val="Comment Subject Char"/>
    <w:basedOn w:val="CommentTextChar"/>
    <w:link w:val="CommentSubject"/>
    <w:uiPriority w:val="99"/>
    <w:semiHidden/>
    <w:rsid w:val="00EA6221"/>
    <w:rPr>
      <w:b/>
      <w:bCs/>
      <w:sz w:val="20"/>
      <w:szCs w:val="20"/>
    </w:rPr>
  </w:style>
  <w:style w:type="character" w:styleId="Hyperlink">
    <w:name w:val="Hyperlink"/>
    <w:basedOn w:val="DefaultParagraphFont"/>
    <w:uiPriority w:val="99"/>
    <w:unhideWhenUsed/>
    <w:locked/>
    <w:rsid w:val="00476034"/>
    <w:rPr>
      <w:color w:val="0000FF" w:themeColor="hyperlink"/>
      <w:u w:val="single"/>
    </w:rPr>
  </w:style>
  <w:style w:type="character" w:styleId="UnresolvedMention">
    <w:name w:val="Unresolved Mention"/>
    <w:basedOn w:val="DefaultParagraphFont"/>
    <w:uiPriority w:val="99"/>
    <w:semiHidden/>
    <w:unhideWhenUsed/>
    <w:rsid w:val="00476034"/>
    <w:rPr>
      <w:color w:val="605E5C"/>
      <w:shd w:val="clear" w:color="auto" w:fill="E1DFDD"/>
    </w:rPr>
  </w:style>
  <w:style w:type="paragraph" w:customStyle="1" w:styleId="Body">
    <w:name w:val="Body"/>
    <w:basedOn w:val="Normal"/>
    <w:qFormat/>
    <w:rsid w:val="00240C68"/>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240C68"/>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240C68"/>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240C68"/>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240C68"/>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240C68"/>
    <w:pPr>
      <w:jc w:val="center"/>
    </w:pPr>
    <w:rPr>
      <w:rFonts w:ascii="Times New Roman" w:hAnsi="Times New Roman"/>
      <w:bCs/>
      <w:szCs w:val="20"/>
      <w:lang w:val="en-GB"/>
    </w:rPr>
  </w:style>
  <w:style w:type="paragraph" w:customStyle="1" w:styleId="Default">
    <w:name w:val="Default"/>
    <w:rsid w:val="00240C68"/>
    <w:pPr>
      <w:autoSpaceDE w:val="0"/>
      <w:autoSpaceDN w:val="0"/>
      <w:adjustRightInd w:val="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66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c5b7fd-636f-49ec-b8cc-eb8a3f2ba19e" xsi:nil="true"/>
    <lcf76f155ced4ddcb4097134ff3c332f xmlns="3cc3f26d-d9cc-46f3-89c7-f1482de8c8f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55e577b2349a8dadf7ec6871422a6c62">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af87ad96cab44ce31babe1767aa92500"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customXml/itemProps2.xml><?xml version="1.0" encoding="utf-8"?>
<ds:datastoreItem xmlns:ds="http://schemas.openxmlformats.org/officeDocument/2006/customXml" ds:itemID="{4CF51E2A-5120-49B8-B8A9-580B46FA2AC5}">
  <ds:schemaRefs>
    <ds:schemaRef ds:uri="http://schemas.microsoft.com/sharepoint/v3/contenttype/forms"/>
  </ds:schemaRefs>
</ds:datastoreItem>
</file>

<file path=customXml/itemProps3.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f63ed390-b236-4707-8d68-be30f09f3c76"/>
    <ds:schemaRef ds:uri="d1657e0f-20c3-42e8-b7e4-9e90bec0ddbc"/>
    <ds:schemaRef ds:uri="cbc5b7fd-636f-49ec-b8cc-eb8a3f2ba19e"/>
    <ds:schemaRef ds:uri="3cc3f26d-d9cc-46f3-89c7-f1482de8c8f1"/>
  </ds:schemaRefs>
</ds:datastoreItem>
</file>

<file path=customXml/itemProps4.xml><?xml version="1.0" encoding="utf-8"?>
<ds:datastoreItem xmlns:ds="http://schemas.openxmlformats.org/officeDocument/2006/customXml" ds:itemID="{76173BC3-A94F-4001-8655-1AB4C8493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11</Pages>
  <Words>1790</Words>
  <Characters>8902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2025-12-01T07:14:00Z</dcterms:created>
  <dcterms:modified xsi:type="dcterms:W3CDTF">2025-12-01T23:06:00Z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0x0101001F32D2EC4F8DE44A8C0C478B82839881</vt:lpwstr>
  </property>
  <property fmtid="{D5CDD505-2E9C-101B-9397-08002B2CF9AE}" pid="3" name="MediaServiceImageTags">
    <vt:lpwstr/>
  </property>
</Properties>
</file>