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03AA" w14:textId="77777777" w:rsidR="005979AE" w:rsidRPr="00704FF8" w:rsidRDefault="005979AE" w:rsidP="00704FF8">
      <w:pPr>
        <w:pStyle w:val="OrdersTopLine"/>
      </w:pPr>
      <w:r w:rsidRPr="00704FF8">
        <w:t>HIGH COURT OF AUSTRALIA</w:t>
      </w:r>
    </w:p>
    <w:p w14:paraId="5803851F" w14:textId="77777777" w:rsidR="005979AE" w:rsidRPr="00704FF8" w:rsidRDefault="005979AE" w:rsidP="00704FF8">
      <w:pPr>
        <w:pStyle w:val="OrderCentre"/>
      </w:pPr>
    </w:p>
    <w:p w14:paraId="1A16D37A" w14:textId="77777777" w:rsidR="005979AE" w:rsidRPr="00C46004" w:rsidRDefault="005979AE" w:rsidP="00704FF8">
      <w:pPr>
        <w:pStyle w:val="OrderCentre"/>
        <w:rPr>
          <w:spacing w:val="-4"/>
          <w:sz w:val="24"/>
          <w:szCs w:val="24"/>
        </w:rPr>
      </w:pPr>
      <w:r w:rsidRPr="00C46004">
        <w:rPr>
          <w:spacing w:val="-4"/>
          <w:sz w:val="24"/>
          <w:szCs w:val="24"/>
        </w:rPr>
        <w:t>GAGELER CJ,</w:t>
      </w:r>
    </w:p>
    <w:p w14:paraId="78BBA14B" w14:textId="77777777" w:rsidR="005979AE" w:rsidRPr="00704FF8" w:rsidRDefault="005979AE" w:rsidP="00704FF8">
      <w:pPr>
        <w:pStyle w:val="OrderCentre"/>
      </w:pPr>
      <w:r w:rsidRPr="00C46004">
        <w:rPr>
          <w:spacing w:val="-4"/>
          <w:sz w:val="24"/>
          <w:szCs w:val="24"/>
        </w:rPr>
        <w:t>GORDON, EDELMAN, STEWARD AND GLEESON JJ</w:t>
      </w:r>
    </w:p>
    <w:p w14:paraId="5127C05E" w14:textId="77777777" w:rsidR="005979AE" w:rsidRPr="00427F3A" w:rsidRDefault="005979AE" w:rsidP="00EE5374">
      <w:pPr>
        <w:pStyle w:val="Centre"/>
        <w:rPr>
          <w:lang w:val="en-AU"/>
        </w:rPr>
      </w:pPr>
    </w:p>
    <w:p w14:paraId="7D0BB561" w14:textId="77777777" w:rsidR="005979AE" w:rsidRPr="00704FF8" w:rsidRDefault="005979AE" w:rsidP="00704FF8">
      <w:pPr>
        <w:pStyle w:val="OrdersCenteredBorder"/>
      </w:pPr>
    </w:p>
    <w:p w14:paraId="453A4545" w14:textId="77777777" w:rsidR="005979AE" w:rsidRPr="00704FF8" w:rsidRDefault="005979AE" w:rsidP="0032341F">
      <w:pPr>
        <w:pStyle w:val="OrdersBodyHeading"/>
      </w:pPr>
    </w:p>
    <w:p w14:paraId="67804BCB" w14:textId="77777777" w:rsidR="005979AE" w:rsidRPr="00B07B4E" w:rsidRDefault="005979AE" w:rsidP="003C53B2">
      <w:pPr>
        <w:pStyle w:val="OrdersPartyName"/>
        <w:ind w:right="-1"/>
      </w:pPr>
    </w:p>
    <w:p w14:paraId="3FE8A1E2" w14:textId="77777777" w:rsidR="005979AE" w:rsidRPr="00B07B4E" w:rsidRDefault="005979AE" w:rsidP="003C53B2">
      <w:pPr>
        <w:pStyle w:val="OrdersPartyName"/>
        <w:ind w:right="-1"/>
      </w:pPr>
      <w:r w:rsidRPr="00B53782">
        <w:t>ASHER BADARI &amp; ORS</w:t>
      </w:r>
      <w:r w:rsidRPr="00B07B4E">
        <w:tab/>
        <w:t>APPELLANT</w:t>
      </w:r>
      <w:r>
        <w:t>S</w:t>
      </w:r>
    </w:p>
    <w:p w14:paraId="5A972D99" w14:textId="77777777" w:rsidR="005979AE" w:rsidRPr="00B07B4E" w:rsidRDefault="005979AE" w:rsidP="003C53B2">
      <w:pPr>
        <w:pStyle w:val="OrdersPartyName"/>
        <w:ind w:right="-1"/>
      </w:pPr>
    </w:p>
    <w:p w14:paraId="74BD1FE5" w14:textId="77777777" w:rsidR="005979AE" w:rsidRPr="00B07B4E" w:rsidRDefault="005979AE" w:rsidP="003C53B2">
      <w:pPr>
        <w:pStyle w:val="OrdersPartyName"/>
        <w:ind w:right="-1"/>
      </w:pPr>
      <w:r w:rsidRPr="00B07B4E">
        <w:t>AND</w:t>
      </w:r>
    </w:p>
    <w:p w14:paraId="167D81D0" w14:textId="77777777" w:rsidR="005979AE" w:rsidRPr="00B07B4E" w:rsidRDefault="005979AE" w:rsidP="003C53B2">
      <w:pPr>
        <w:pStyle w:val="OrdersPartyName"/>
        <w:ind w:right="-1"/>
      </w:pPr>
    </w:p>
    <w:p w14:paraId="67E9D882" w14:textId="77777777" w:rsidR="005979AE" w:rsidRDefault="005979AE" w:rsidP="003C53B2">
      <w:pPr>
        <w:pStyle w:val="OrdersPartyName"/>
        <w:ind w:right="-1"/>
      </w:pPr>
      <w:r w:rsidRPr="00B53782">
        <w:t xml:space="preserve">MINISTER FOR TERRITORY FAMILIES AND </w:t>
      </w:r>
    </w:p>
    <w:p w14:paraId="1123EC2A" w14:textId="77777777" w:rsidR="005979AE" w:rsidRPr="00B07B4E" w:rsidRDefault="005979AE" w:rsidP="003C53B2">
      <w:pPr>
        <w:pStyle w:val="OrdersPartyName"/>
        <w:ind w:right="-1"/>
      </w:pPr>
      <w:r w:rsidRPr="00B53782">
        <w:t>URBAN HOUSING &amp;</w:t>
      </w:r>
      <w:r>
        <w:t> </w:t>
      </w:r>
      <w:r w:rsidRPr="00B53782">
        <w:t>ANOR</w:t>
      </w:r>
      <w:r w:rsidRPr="00B07B4E">
        <w:tab/>
        <w:t>RESPONDENT</w:t>
      </w:r>
      <w:r>
        <w:t>S</w:t>
      </w:r>
    </w:p>
    <w:p w14:paraId="2A27C12E" w14:textId="77777777" w:rsidR="005979AE" w:rsidRPr="00427F3A" w:rsidRDefault="005979AE" w:rsidP="00AF0A5E">
      <w:pPr>
        <w:pStyle w:val="BodyHeading"/>
      </w:pPr>
    </w:p>
    <w:p w14:paraId="522AC4D9" w14:textId="77777777" w:rsidR="005979AE" w:rsidRPr="00427F3A" w:rsidRDefault="005979AE" w:rsidP="00BE0A6C">
      <w:pPr>
        <w:pStyle w:val="BodyHeading"/>
      </w:pPr>
    </w:p>
    <w:p w14:paraId="4DCE8914" w14:textId="77777777" w:rsidR="005979AE" w:rsidRPr="00427F3A" w:rsidRDefault="005979AE" w:rsidP="00EE5374">
      <w:pPr>
        <w:pStyle w:val="CentreItalics"/>
      </w:pPr>
      <w:r w:rsidRPr="00B53782">
        <w:t>Badari v Minister for Territory Families and Urban Housing</w:t>
      </w:r>
    </w:p>
    <w:p w14:paraId="076DB2B7" w14:textId="77777777" w:rsidR="005979AE" w:rsidRPr="00427F3A" w:rsidRDefault="005979AE" w:rsidP="00E90E4F">
      <w:pPr>
        <w:pStyle w:val="OrdersCentre"/>
      </w:pPr>
      <w:r>
        <w:t>[2025</w:t>
      </w:r>
      <w:r w:rsidRPr="00427F3A">
        <w:t xml:space="preserve">] HCA </w:t>
      </w:r>
      <w:r>
        <w:t>47</w:t>
      </w:r>
    </w:p>
    <w:p w14:paraId="166DBFEB" w14:textId="77777777" w:rsidR="005979AE" w:rsidRDefault="005979AE" w:rsidP="00E90E4F">
      <w:pPr>
        <w:pStyle w:val="OrdersCentreItalics"/>
      </w:pPr>
      <w:r>
        <w:t xml:space="preserve">Date of Hearing: </w:t>
      </w:r>
      <w:r w:rsidRPr="00B53782">
        <w:t>3 September 2025</w:t>
      </w:r>
    </w:p>
    <w:p w14:paraId="0B685F02" w14:textId="77777777" w:rsidR="005979AE" w:rsidRPr="00427F3A" w:rsidRDefault="005979AE" w:rsidP="00E90E4F">
      <w:pPr>
        <w:pStyle w:val="OrdersCentreItalics"/>
      </w:pPr>
      <w:r>
        <w:t>Date of Judgment: 3 December 2025</w:t>
      </w:r>
    </w:p>
    <w:p w14:paraId="3E1191E4" w14:textId="77777777" w:rsidR="005979AE" w:rsidRDefault="005979AE" w:rsidP="00E90E4F">
      <w:pPr>
        <w:pStyle w:val="OrdersCentre"/>
      </w:pPr>
      <w:r w:rsidRPr="00B53782">
        <w:t>D7/2025</w:t>
      </w:r>
    </w:p>
    <w:p w14:paraId="43169A37" w14:textId="77777777" w:rsidR="005979AE" w:rsidRPr="00427F3A" w:rsidRDefault="005979AE" w:rsidP="00E90E4F">
      <w:pPr>
        <w:pStyle w:val="OrdersCentre"/>
      </w:pPr>
    </w:p>
    <w:p w14:paraId="55270745" w14:textId="77777777" w:rsidR="005979AE" w:rsidRPr="00BE0A6C" w:rsidRDefault="005979AE" w:rsidP="00E90E4F">
      <w:pPr>
        <w:pStyle w:val="OrderCentreBold"/>
      </w:pPr>
      <w:r w:rsidRPr="00BE0A6C">
        <w:t>ORDER</w:t>
      </w:r>
    </w:p>
    <w:p w14:paraId="554ED35B" w14:textId="77777777" w:rsidR="005979AE" w:rsidRPr="00427F3A" w:rsidRDefault="005979AE" w:rsidP="00736C52">
      <w:pPr>
        <w:pStyle w:val="Centre"/>
        <w:rPr>
          <w:lang w:val="en-AU"/>
        </w:rPr>
      </w:pPr>
    </w:p>
    <w:p w14:paraId="4C0F3C79" w14:textId="77777777" w:rsidR="005979AE" w:rsidRPr="008C686E" w:rsidRDefault="005979AE" w:rsidP="00CF1DEA">
      <w:pPr>
        <w:pStyle w:val="OrdersText"/>
      </w:pPr>
      <w:r>
        <w:t>1.</w:t>
      </w:r>
      <w:r>
        <w:tab/>
      </w:r>
      <w:r w:rsidRPr="008C686E">
        <w:t>Appeal allowed.</w:t>
      </w:r>
    </w:p>
    <w:p w14:paraId="7F8FD5CE" w14:textId="77777777" w:rsidR="005979AE" w:rsidRPr="008C686E" w:rsidRDefault="005979AE" w:rsidP="00CF1DEA">
      <w:pPr>
        <w:pStyle w:val="OrdersText"/>
      </w:pPr>
    </w:p>
    <w:p w14:paraId="4C0A3699" w14:textId="77777777" w:rsidR="005979AE" w:rsidRPr="008C686E" w:rsidRDefault="005979AE" w:rsidP="00CF1DEA">
      <w:pPr>
        <w:pStyle w:val="OrdersText"/>
      </w:pPr>
      <w:r>
        <w:t>2.</w:t>
      </w:r>
      <w:r>
        <w:tab/>
      </w:r>
      <w:r w:rsidRPr="008C686E">
        <w:t>Order 1 of the Court of Appeal and the Full Court of the Supreme Court of the Northern Territory on 24 January 2025 be set aside and in lieu thereof it be ordered that:</w:t>
      </w:r>
    </w:p>
    <w:p w14:paraId="3EDD61AD" w14:textId="77777777" w:rsidR="005979AE" w:rsidRPr="008C686E" w:rsidRDefault="005979AE" w:rsidP="00CF1DEA">
      <w:pPr>
        <w:pStyle w:val="OrdersText"/>
      </w:pPr>
    </w:p>
    <w:p w14:paraId="4DF8F85F" w14:textId="77777777" w:rsidR="005979AE" w:rsidRPr="008C686E" w:rsidRDefault="005979AE" w:rsidP="00CF1DEA">
      <w:pPr>
        <w:pStyle w:val="OrdersText"/>
        <w:ind w:left="1418"/>
      </w:pPr>
      <w:r>
        <w:t>(a)</w:t>
      </w:r>
      <w:r>
        <w:tab/>
      </w:r>
      <w:r w:rsidRPr="008C686E">
        <w:t>the appeal in proceeding AP 13/22 (2237775) is allowed; and</w:t>
      </w:r>
    </w:p>
    <w:p w14:paraId="635D3C23" w14:textId="77777777" w:rsidR="005979AE" w:rsidRPr="008C686E" w:rsidRDefault="005979AE" w:rsidP="00CF1DEA">
      <w:pPr>
        <w:pStyle w:val="OrdersText"/>
        <w:ind w:left="1418"/>
      </w:pPr>
    </w:p>
    <w:p w14:paraId="0AD8EC93" w14:textId="77777777" w:rsidR="005979AE" w:rsidRPr="008C686E" w:rsidRDefault="005979AE" w:rsidP="00CF1DEA">
      <w:pPr>
        <w:pStyle w:val="OrdersText"/>
        <w:ind w:left="1418"/>
      </w:pPr>
      <w:r>
        <w:t>(b)</w:t>
      </w:r>
      <w:r>
        <w:tab/>
      </w:r>
      <w:r w:rsidRPr="008C686E">
        <w:t xml:space="preserve">the determinations made on 23 December 2021, 27 April 2022 and 2 September 2022 pursuant to s 23 of the </w:t>
      </w:r>
      <w:r w:rsidRPr="00F975F9">
        <w:rPr>
          <w:i w:val="0"/>
        </w:rPr>
        <w:t>Housing Act 1982</w:t>
      </w:r>
      <w:r w:rsidRPr="008C686E">
        <w:t xml:space="preserve"> (NT) are quashed.</w:t>
      </w:r>
    </w:p>
    <w:p w14:paraId="3EF87F6C" w14:textId="77777777" w:rsidR="005979AE" w:rsidRPr="008C686E" w:rsidRDefault="005979AE" w:rsidP="00CF1DEA">
      <w:pPr>
        <w:pStyle w:val="OrdersText"/>
      </w:pPr>
    </w:p>
    <w:p w14:paraId="5E3D18AA" w14:textId="77777777" w:rsidR="005979AE" w:rsidRPr="008C686E" w:rsidRDefault="005979AE" w:rsidP="00CF1DEA">
      <w:pPr>
        <w:pStyle w:val="OrdersText"/>
      </w:pPr>
      <w:r>
        <w:t>3.</w:t>
      </w:r>
      <w:r>
        <w:tab/>
      </w:r>
      <w:r w:rsidRPr="008C686E">
        <w:t>The respondents pay the appellants' costs in this Court, and below in the Court of Appeal and the Full Court of the Supreme Court of the Northern Territory and at first instance in the Supreme Court of the Northern Territory.</w:t>
      </w:r>
    </w:p>
    <w:p w14:paraId="68E82811" w14:textId="77777777" w:rsidR="005979AE" w:rsidRDefault="005979AE" w:rsidP="00EE5374">
      <w:pPr>
        <w:pStyle w:val="Body"/>
      </w:pPr>
    </w:p>
    <w:p w14:paraId="2D560D1D" w14:textId="77777777" w:rsidR="005979AE" w:rsidRPr="00427F3A" w:rsidRDefault="005979AE" w:rsidP="00EE5374">
      <w:pPr>
        <w:pStyle w:val="Body"/>
      </w:pPr>
    </w:p>
    <w:p w14:paraId="5941CB74" w14:textId="77777777" w:rsidR="005979AE" w:rsidRPr="00427F3A" w:rsidRDefault="005979AE" w:rsidP="0032341F">
      <w:pPr>
        <w:pStyle w:val="OrdersBody"/>
      </w:pPr>
      <w:r w:rsidRPr="00427F3A">
        <w:t xml:space="preserve">On appeal from the </w:t>
      </w:r>
      <w:r w:rsidRPr="00B53782">
        <w:t>Supreme Court of the Northern Territory</w:t>
      </w:r>
    </w:p>
    <w:p w14:paraId="4C270AA4" w14:textId="0BE73542" w:rsidR="005979AE" w:rsidRDefault="005979A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3FF2DD9F" w14:textId="632D02E3" w:rsidR="005979AE" w:rsidRDefault="005979A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50D4AE68" w14:textId="77777777" w:rsidR="005979AE" w:rsidRDefault="005979AE" w:rsidP="00EE5374">
      <w:pPr>
        <w:pStyle w:val="Body"/>
      </w:pPr>
    </w:p>
    <w:p w14:paraId="10D005D4" w14:textId="77777777" w:rsidR="005979AE" w:rsidRPr="00427F3A" w:rsidRDefault="005979AE" w:rsidP="00EE5374">
      <w:pPr>
        <w:pStyle w:val="Body"/>
      </w:pPr>
    </w:p>
    <w:p w14:paraId="177C5E19" w14:textId="77777777" w:rsidR="005979AE" w:rsidRPr="00CE0958" w:rsidRDefault="005979AE" w:rsidP="00E90E4F">
      <w:pPr>
        <w:pStyle w:val="OrdersBodyHeading"/>
      </w:pPr>
      <w:r w:rsidRPr="00CE0958">
        <w:t>Representation</w:t>
      </w:r>
    </w:p>
    <w:p w14:paraId="1932B4E2" w14:textId="77777777" w:rsidR="005979AE" w:rsidRPr="00CE0958" w:rsidRDefault="005979AE" w:rsidP="00EE5374">
      <w:pPr>
        <w:pStyle w:val="Body"/>
      </w:pPr>
    </w:p>
    <w:p w14:paraId="495206BC" w14:textId="77777777" w:rsidR="005979AE" w:rsidRPr="00CE0958" w:rsidRDefault="005979AE" w:rsidP="00E90E4F">
      <w:pPr>
        <w:pStyle w:val="OrdersBody"/>
      </w:pPr>
      <w:r w:rsidRPr="00CE0958">
        <w:t xml:space="preserve">M L </w:t>
      </w:r>
      <w:proofErr w:type="spellStart"/>
      <w:r w:rsidRPr="00CE0958">
        <w:t>L</w:t>
      </w:r>
      <w:proofErr w:type="spellEnd"/>
      <w:r w:rsidRPr="00CE0958">
        <w:t xml:space="preserve"> Albert with M </w:t>
      </w:r>
      <w:proofErr w:type="gramStart"/>
      <w:r w:rsidRPr="00CE0958">
        <w:t>A</w:t>
      </w:r>
      <w:proofErr w:type="gramEnd"/>
      <w:r w:rsidRPr="00CE0958">
        <w:t xml:space="preserve"> Benn for the appellants (instructed by Australian Lawyers for Remote Aboriginal Rights)</w:t>
      </w:r>
    </w:p>
    <w:p w14:paraId="6AD942D2" w14:textId="77777777" w:rsidR="005979AE" w:rsidRPr="00CE0958" w:rsidRDefault="005979AE" w:rsidP="001B3C97">
      <w:pPr>
        <w:pStyle w:val="Body"/>
      </w:pPr>
    </w:p>
    <w:p w14:paraId="2BE55B0A" w14:textId="77777777" w:rsidR="005979AE" w:rsidRDefault="005979AE" w:rsidP="00B9361C">
      <w:pPr>
        <w:pStyle w:val="OrdersBody"/>
      </w:pPr>
      <w:r w:rsidRPr="00CE0958">
        <w:t xml:space="preserve">C L Lenehan SC with R S </w:t>
      </w:r>
      <w:proofErr w:type="spellStart"/>
      <w:r w:rsidRPr="00CE0958">
        <w:t>Amamoo</w:t>
      </w:r>
      <w:proofErr w:type="spellEnd"/>
      <w:r w:rsidRPr="00CE0958">
        <w:t xml:space="preserve"> for the respondents (instructed by Solicitor for the Northern Territory)</w:t>
      </w:r>
    </w:p>
    <w:p w14:paraId="18E26614" w14:textId="77777777" w:rsidR="005979AE" w:rsidRDefault="005979AE" w:rsidP="00A01277">
      <w:pPr>
        <w:pStyle w:val="Body"/>
      </w:pPr>
    </w:p>
    <w:p w14:paraId="4072BFC5" w14:textId="77777777" w:rsidR="005979AE" w:rsidRDefault="005979AE" w:rsidP="00EE5374">
      <w:pPr>
        <w:pStyle w:val="Body"/>
      </w:pPr>
    </w:p>
    <w:p w14:paraId="0D33AC61" w14:textId="77777777" w:rsidR="005979AE" w:rsidRDefault="005979AE" w:rsidP="00EE5374">
      <w:pPr>
        <w:pStyle w:val="Body"/>
      </w:pPr>
    </w:p>
    <w:p w14:paraId="1268C77A" w14:textId="77777777" w:rsidR="005979AE" w:rsidRDefault="005979AE" w:rsidP="00EE5374">
      <w:pPr>
        <w:pStyle w:val="Body"/>
      </w:pPr>
    </w:p>
    <w:p w14:paraId="58B95CAD" w14:textId="77777777" w:rsidR="005979AE" w:rsidRDefault="005979AE" w:rsidP="00EE5374">
      <w:pPr>
        <w:pStyle w:val="Body"/>
      </w:pPr>
    </w:p>
    <w:p w14:paraId="5A252C04" w14:textId="77777777" w:rsidR="005979AE" w:rsidRDefault="005979AE" w:rsidP="00EE5374">
      <w:pPr>
        <w:pStyle w:val="Body"/>
      </w:pPr>
    </w:p>
    <w:p w14:paraId="5F16871E" w14:textId="77777777" w:rsidR="005979AE" w:rsidRDefault="005979AE" w:rsidP="00EE5374">
      <w:pPr>
        <w:pStyle w:val="Body"/>
      </w:pPr>
    </w:p>
    <w:p w14:paraId="7E4A78CA" w14:textId="77777777" w:rsidR="005979AE" w:rsidRDefault="005979AE" w:rsidP="00EE5374">
      <w:pPr>
        <w:pStyle w:val="Body"/>
      </w:pPr>
    </w:p>
    <w:p w14:paraId="0A08D6FF" w14:textId="77777777" w:rsidR="005979AE" w:rsidRDefault="005979AE" w:rsidP="00EE5374">
      <w:pPr>
        <w:pStyle w:val="Body"/>
      </w:pPr>
    </w:p>
    <w:p w14:paraId="102CA09F" w14:textId="77777777" w:rsidR="005979AE" w:rsidRDefault="005979AE" w:rsidP="00EE5374">
      <w:pPr>
        <w:pStyle w:val="Body"/>
      </w:pPr>
    </w:p>
    <w:p w14:paraId="1B1ABF24" w14:textId="77777777" w:rsidR="005979AE" w:rsidRDefault="005979AE" w:rsidP="00EE5374">
      <w:pPr>
        <w:pStyle w:val="Body"/>
      </w:pPr>
    </w:p>
    <w:p w14:paraId="6C239793" w14:textId="77777777" w:rsidR="005979AE" w:rsidRDefault="005979AE" w:rsidP="00EE5374">
      <w:pPr>
        <w:pStyle w:val="Body"/>
      </w:pPr>
    </w:p>
    <w:p w14:paraId="2C7AD7E4" w14:textId="77777777" w:rsidR="005979AE" w:rsidRDefault="005979AE" w:rsidP="00EE5374">
      <w:pPr>
        <w:pStyle w:val="Body"/>
      </w:pPr>
    </w:p>
    <w:p w14:paraId="7FB91878" w14:textId="77777777" w:rsidR="005979AE" w:rsidRDefault="005979AE" w:rsidP="00EE5374">
      <w:pPr>
        <w:pStyle w:val="Body"/>
      </w:pPr>
    </w:p>
    <w:p w14:paraId="7AECC134" w14:textId="77777777" w:rsidR="005979AE" w:rsidRDefault="005979AE" w:rsidP="00EE5374">
      <w:pPr>
        <w:pStyle w:val="Body"/>
      </w:pPr>
    </w:p>
    <w:p w14:paraId="67BCF3C8" w14:textId="77777777" w:rsidR="005979AE" w:rsidRDefault="005979AE" w:rsidP="00EE5374">
      <w:pPr>
        <w:pStyle w:val="Body"/>
      </w:pPr>
    </w:p>
    <w:p w14:paraId="56E11E4A" w14:textId="77777777" w:rsidR="005979AE" w:rsidRDefault="005979AE" w:rsidP="00EE5374">
      <w:pPr>
        <w:pStyle w:val="Body"/>
      </w:pPr>
    </w:p>
    <w:p w14:paraId="1553E689" w14:textId="77777777" w:rsidR="005979AE" w:rsidRDefault="005979AE" w:rsidP="00EE5374">
      <w:pPr>
        <w:pStyle w:val="Body"/>
      </w:pPr>
    </w:p>
    <w:p w14:paraId="4EBFCD97" w14:textId="77777777" w:rsidR="005979AE" w:rsidRDefault="005979AE" w:rsidP="00EE5374">
      <w:pPr>
        <w:pStyle w:val="Body"/>
      </w:pPr>
    </w:p>
    <w:p w14:paraId="2F3F000F" w14:textId="77777777" w:rsidR="005979AE" w:rsidRDefault="005979AE" w:rsidP="00EE5374">
      <w:pPr>
        <w:pStyle w:val="Body"/>
      </w:pPr>
    </w:p>
    <w:p w14:paraId="1EF21000" w14:textId="77777777" w:rsidR="005979AE" w:rsidRDefault="005979AE" w:rsidP="00EE5374">
      <w:pPr>
        <w:pStyle w:val="Body"/>
      </w:pPr>
    </w:p>
    <w:p w14:paraId="475C8D97" w14:textId="77777777" w:rsidR="005979AE" w:rsidRDefault="005979AE" w:rsidP="00EE5374">
      <w:pPr>
        <w:pStyle w:val="Body"/>
      </w:pPr>
    </w:p>
    <w:p w14:paraId="44B0BF88" w14:textId="77777777" w:rsidR="005979AE" w:rsidRDefault="005979AE" w:rsidP="00EE5374">
      <w:pPr>
        <w:pStyle w:val="Body"/>
      </w:pPr>
    </w:p>
    <w:p w14:paraId="4BB0B0E7" w14:textId="77777777" w:rsidR="005979AE" w:rsidRDefault="005979AE" w:rsidP="00EE5374">
      <w:pPr>
        <w:pStyle w:val="Body"/>
      </w:pPr>
    </w:p>
    <w:p w14:paraId="547F685B" w14:textId="77777777" w:rsidR="005979AE" w:rsidRDefault="005979AE" w:rsidP="00EE5374">
      <w:pPr>
        <w:pStyle w:val="Body"/>
      </w:pPr>
    </w:p>
    <w:p w14:paraId="36D34E1D" w14:textId="77777777" w:rsidR="005979AE" w:rsidRDefault="005979AE" w:rsidP="00EE5374">
      <w:pPr>
        <w:pStyle w:val="Body"/>
      </w:pPr>
    </w:p>
    <w:p w14:paraId="63688D51" w14:textId="77777777" w:rsidR="005979AE" w:rsidRDefault="005979AE" w:rsidP="00EE5374">
      <w:pPr>
        <w:pStyle w:val="Body"/>
      </w:pPr>
    </w:p>
    <w:p w14:paraId="3D025403" w14:textId="77777777" w:rsidR="005979AE" w:rsidRPr="00427F3A" w:rsidRDefault="005979AE" w:rsidP="00F9713B">
      <w:pPr>
        <w:pStyle w:val="Notice"/>
        <w:rPr>
          <w:lang w:val="en-AU"/>
        </w:rPr>
      </w:pPr>
      <w:r w:rsidRPr="00427F3A">
        <w:rPr>
          <w:lang w:val="en-AU"/>
        </w:rPr>
        <w:t>Notice:  This copy of the Court's Reasons for Judgment is subject to formal revision prior to publication in the Commonwealth Law Reports.</w:t>
      </w:r>
    </w:p>
    <w:p w14:paraId="522C498F" w14:textId="12E43690" w:rsidR="005979AE" w:rsidRDefault="005979A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1C5FF81E" w14:textId="77777777" w:rsidR="005979AE" w:rsidRDefault="005979A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5979AE" w:rsidSect="005979AE">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1AC9CA72" w14:textId="77777777" w:rsidR="005979AE" w:rsidRPr="008B39A4" w:rsidRDefault="005979AE" w:rsidP="007A74C0">
      <w:pPr>
        <w:pStyle w:val="CatchwordsBold"/>
        <w:tabs>
          <w:tab w:val="clear" w:pos="3600"/>
          <w:tab w:val="clear" w:pos="6480"/>
          <w:tab w:val="left" w:pos="7560"/>
        </w:tabs>
      </w:pPr>
      <w:r w:rsidRPr="008B39A4">
        <w:lastRenderedPageBreak/>
        <w:t>CATCHWORDS</w:t>
      </w:r>
    </w:p>
    <w:p w14:paraId="4A684377" w14:textId="77777777" w:rsidR="005979AE" w:rsidRPr="008B39A4" w:rsidRDefault="005979AE" w:rsidP="001649CA">
      <w:pPr>
        <w:pStyle w:val="CatchwordsBold"/>
      </w:pPr>
    </w:p>
    <w:p w14:paraId="1CF11415" w14:textId="77777777" w:rsidR="005979AE" w:rsidRPr="00F64E24" w:rsidRDefault="005979AE" w:rsidP="001500A5">
      <w:pPr>
        <w:pStyle w:val="Default"/>
        <w:rPr>
          <w:rFonts w:eastAsia="Times New Roman"/>
          <w:b/>
          <w:color w:val="auto"/>
          <w:sz w:val="26"/>
          <w:szCs w:val="20"/>
          <w:lang w:eastAsia="en-AU"/>
        </w:rPr>
      </w:pPr>
      <w:r w:rsidRPr="00F64E24">
        <w:rPr>
          <w:rFonts w:eastAsia="Times New Roman"/>
          <w:b/>
          <w:color w:val="auto"/>
          <w:sz w:val="26"/>
          <w:szCs w:val="20"/>
          <w:lang w:eastAsia="en-AU"/>
        </w:rPr>
        <w:t>Badari v Minister for Territory Families and Urban Housing</w:t>
      </w:r>
    </w:p>
    <w:p w14:paraId="679C3A06" w14:textId="77777777" w:rsidR="005979AE" w:rsidRPr="006015BC" w:rsidRDefault="005979AE" w:rsidP="001649CA">
      <w:pPr>
        <w:pStyle w:val="CatchwordsText"/>
        <w:rPr>
          <w:highlight w:val="yellow"/>
        </w:rPr>
      </w:pPr>
    </w:p>
    <w:p w14:paraId="6F6AF48F" w14:textId="77777777" w:rsidR="005979AE" w:rsidRPr="00F64E24" w:rsidRDefault="005979AE" w:rsidP="001649CA">
      <w:pPr>
        <w:pStyle w:val="CatchwordsText"/>
      </w:pPr>
      <w:r>
        <w:t xml:space="preserve">Statutes </w:t>
      </w:r>
      <w:r w:rsidRPr="00992457">
        <w:t>–</w:t>
      </w:r>
      <w:r>
        <w:t xml:space="preserve"> Construction </w:t>
      </w:r>
      <w:r w:rsidRPr="00992457">
        <w:t>–</w:t>
      </w:r>
      <w:r>
        <w:t xml:space="preserve"> </w:t>
      </w:r>
      <w:r>
        <w:rPr>
          <w:i/>
          <w:iCs/>
        </w:rPr>
        <w:t>Housing Act 1982</w:t>
      </w:r>
      <w:r>
        <w:t xml:space="preserve"> (NT), s 23 </w:t>
      </w:r>
      <w:r w:rsidRPr="00992457">
        <w:t>–</w:t>
      </w:r>
      <w:r>
        <w:t xml:space="preserve"> Power of Minister to make determinations regarding rent to be paid for dwelling or class of dwelling </w:t>
      </w:r>
      <w:r w:rsidRPr="00992457">
        <w:t>–</w:t>
      </w:r>
      <w:r>
        <w:t xml:space="preserve"> Where rent determined by Minister is to be paid despite anything to the contrary in existing tenancy agreement </w:t>
      </w:r>
      <w:r w:rsidRPr="00992457">
        <w:t>–</w:t>
      </w:r>
      <w:r>
        <w:t xml:space="preserve"> Where Minister made determinations without giving notice to any tenant or inviting any tenant to make submissions on the proposed change in rent </w:t>
      </w:r>
      <w:r w:rsidRPr="00992457">
        <w:t>–</w:t>
      </w:r>
      <w:r>
        <w:t xml:space="preserve"> Whether Minister owed duty to afford procedural fairness </w:t>
      </w:r>
      <w:r w:rsidRPr="00992457">
        <w:t>–</w:t>
      </w:r>
      <w:r>
        <w:t xml:space="preserve"> Whether content of duty to afford procedural fairness included obligation to give hearing </w:t>
      </w:r>
      <w:r w:rsidRPr="00992457">
        <w:t>–</w:t>
      </w:r>
      <w:r>
        <w:t xml:space="preserve"> Whether failure to afford procedural fairness was material </w:t>
      </w:r>
      <w:r w:rsidRPr="00992457">
        <w:t>–</w:t>
      </w:r>
      <w:r>
        <w:t xml:space="preserve"> Whether determinations were legally unreasonable.</w:t>
      </w:r>
    </w:p>
    <w:p w14:paraId="7534FFDE" w14:textId="77777777" w:rsidR="005979AE" w:rsidRPr="00F64E24" w:rsidRDefault="005979AE" w:rsidP="001649CA">
      <w:pPr>
        <w:pStyle w:val="CatchwordsText"/>
      </w:pPr>
    </w:p>
    <w:p w14:paraId="0D48D379" w14:textId="77777777" w:rsidR="005979AE" w:rsidRPr="00F64E24" w:rsidRDefault="005979AE" w:rsidP="001649CA">
      <w:pPr>
        <w:pStyle w:val="CatchwordsText"/>
      </w:pPr>
      <w:r>
        <w:t xml:space="preserve">Words and phrases </w:t>
      </w:r>
      <w:r w:rsidRPr="00F64E24">
        <w:t>–</w:t>
      </w:r>
      <w:r>
        <w:t xml:space="preserve"> "content", "determination", "duty of procedural fairness", "eligible person", "fair rent", "general policy", "individual rights and interests", "judicial review", "landlord", "lease", "legal unreasonableness", "let a dwelling", "materiality", "natural justice", "not adequately housed", "prior notice", "procedural fairness", "public housing", "rebate", "remote communities", "rent", "residential accommodation", "safety net", "statutory power", "submissions", "tenancy agreement", "tenant".</w:t>
      </w:r>
    </w:p>
    <w:p w14:paraId="3DE58B1F" w14:textId="77777777" w:rsidR="005979AE" w:rsidRPr="00F64E24" w:rsidRDefault="005979AE" w:rsidP="001649CA">
      <w:pPr>
        <w:pStyle w:val="CatchwordsText"/>
      </w:pPr>
    </w:p>
    <w:p w14:paraId="2A16E6A6" w14:textId="77777777" w:rsidR="005979AE" w:rsidRPr="00F30962" w:rsidRDefault="005979AE" w:rsidP="001649CA">
      <w:pPr>
        <w:pStyle w:val="CatchwordsText"/>
      </w:pPr>
      <w:r w:rsidRPr="00F30962">
        <w:rPr>
          <w:i/>
          <w:iCs/>
        </w:rPr>
        <w:t>Housing Act 1982</w:t>
      </w:r>
      <w:r w:rsidRPr="00F30962">
        <w:t xml:space="preserve"> (NT), ss 6, 14, 15, 16, 17, 23, 34, 37</w:t>
      </w:r>
      <w:r>
        <w:t>.</w:t>
      </w:r>
    </w:p>
    <w:p w14:paraId="4B9B4599" w14:textId="77777777" w:rsidR="005979AE" w:rsidRPr="00F64E24" w:rsidRDefault="005979AE" w:rsidP="001649CA">
      <w:pPr>
        <w:pStyle w:val="CatchwordsText"/>
      </w:pPr>
      <w:r w:rsidRPr="009B64FD">
        <w:rPr>
          <w:i/>
          <w:iCs/>
        </w:rPr>
        <w:t>Housing Regulations 1983</w:t>
      </w:r>
      <w:r w:rsidRPr="009B64FD">
        <w:t xml:space="preserve"> (NT), regs 3, 4, 5</w:t>
      </w:r>
      <w:r>
        <w:t>.</w:t>
      </w:r>
    </w:p>
    <w:p w14:paraId="1EC9C983" w14:textId="77777777" w:rsidR="005979AE" w:rsidRPr="00220590" w:rsidRDefault="005979AE" w:rsidP="001649CA">
      <w:pPr>
        <w:pStyle w:val="CatchwordsText"/>
      </w:pPr>
      <w:r>
        <w:rPr>
          <w:i/>
          <w:iCs/>
        </w:rPr>
        <w:t>Residential Tenancies Act 1999</w:t>
      </w:r>
      <w:r>
        <w:t xml:space="preserve"> (NT), ss 3, 41, 42, 46.</w:t>
      </w:r>
    </w:p>
    <w:p w14:paraId="3E4472A4" w14:textId="77777777" w:rsidR="005979AE" w:rsidRPr="00F64E24" w:rsidRDefault="005979AE" w:rsidP="001649CA">
      <w:pPr>
        <w:pStyle w:val="CatchwordsText"/>
      </w:pPr>
    </w:p>
    <w:p w14:paraId="580DFF30" w14:textId="2C03BC37" w:rsidR="005979AE" w:rsidRDefault="005979AE" w:rsidP="005979A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26585369" w14:textId="6B7CB54B" w:rsidR="005979AE" w:rsidRDefault="005979A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2A43DF81" w14:textId="08E22904" w:rsidR="005979AE" w:rsidRDefault="005979A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674C2710" w14:textId="77777777" w:rsidR="005979AE" w:rsidRDefault="005979AE" w:rsidP="004963EE">
      <w:pPr>
        <w:pStyle w:val="FixListStyle"/>
        <w:tabs>
          <w:tab w:val="clear" w:pos="720"/>
          <w:tab w:val="left" w:pos="0"/>
        </w:tabs>
        <w:spacing w:after="260" w:line="280" w:lineRule="exact"/>
        <w:ind w:right="0"/>
        <w:jc w:val="both"/>
        <w:rPr>
          <w:rFonts w:ascii="Times New Roman" w:hAnsi="Times New Roman"/>
        </w:rPr>
        <w:sectPr w:rsidR="005979AE" w:rsidSect="005979AE">
          <w:pgSz w:w="11907" w:h="16839" w:code="9"/>
          <w:pgMar w:top="1440" w:right="1701" w:bottom="1984" w:left="1701" w:header="720" w:footer="720" w:gutter="0"/>
          <w:pgNumType w:start="1"/>
          <w:cols w:space="720"/>
          <w:titlePg/>
          <w:docGrid w:linePitch="354"/>
        </w:sectPr>
      </w:pPr>
    </w:p>
    <w:p w14:paraId="63970394" w14:textId="05E47B45" w:rsidR="00A73989" w:rsidRPr="004963EE" w:rsidRDefault="004963EE" w:rsidP="004963EE">
      <w:pPr>
        <w:pStyle w:val="FixListStyle"/>
        <w:tabs>
          <w:tab w:val="clear" w:pos="720"/>
          <w:tab w:val="left" w:pos="0"/>
        </w:tabs>
        <w:spacing w:after="260" w:line="280" w:lineRule="exact"/>
        <w:ind w:right="0"/>
        <w:jc w:val="both"/>
        <w:rPr>
          <w:rFonts w:ascii="Times New Roman" w:hAnsi="Times New Roman"/>
        </w:rPr>
      </w:pPr>
      <w:r w:rsidRPr="004963EE">
        <w:rPr>
          <w:rFonts w:ascii="Times New Roman" w:hAnsi="Times New Roman"/>
        </w:rPr>
        <w:lastRenderedPageBreak/>
        <w:t xml:space="preserve">GAGELER CJ, GORDON, EDELMAN, STEWARD AND GLEESON JJ.   </w:t>
      </w:r>
      <w:r w:rsidR="00146DAF" w:rsidRPr="004963EE">
        <w:rPr>
          <w:rFonts w:ascii="Times New Roman" w:hAnsi="Times New Roman"/>
        </w:rPr>
        <w:t>The</w:t>
      </w:r>
      <w:r w:rsidR="0035618F" w:rsidRPr="004963EE">
        <w:rPr>
          <w:rFonts w:ascii="Times New Roman" w:hAnsi="Times New Roman"/>
        </w:rPr>
        <w:t xml:space="preserve"> </w:t>
      </w:r>
      <w:r w:rsidR="00146DAF" w:rsidRPr="004963EE">
        <w:rPr>
          <w:rFonts w:ascii="Times New Roman" w:hAnsi="Times New Roman"/>
        </w:rPr>
        <w:t>four appellants</w:t>
      </w:r>
      <w:r w:rsidR="00BB495E" w:rsidRPr="004963EE">
        <w:rPr>
          <w:rFonts w:ascii="Times New Roman" w:hAnsi="Times New Roman"/>
        </w:rPr>
        <w:t xml:space="preserve">, </w:t>
      </w:r>
      <w:r w:rsidR="006A2557" w:rsidRPr="004963EE">
        <w:rPr>
          <w:rFonts w:ascii="Times New Roman" w:hAnsi="Times New Roman"/>
        </w:rPr>
        <w:t xml:space="preserve">who live in </w:t>
      </w:r>
      <w:r w:rsidR="002D2693" w:rsidRPr="004963EE">
        <w:rPr>
          <w:rFonts w:ascii="Times New Roman" w:hAnsi="Times New Roman"/>
        </w:rPr>
        <w:t xml:space="preserve">remote communities in the Northern </w:t>
      </w:r>
      <w:r w:rsidR="00F86A7D" w:rsidRPr="004963EE">
        <w:rPr>
          <w:rFonts w:ascii="Times New Roman" w:hAnsi="Times New Roman"/>
        </w:rPr>
        <w:t>Territory</w:t>
      </w:r>
      <w:r w:rsidR="002D2693" w:rsidRPr="004963EE">
        <w:rPr>
          <w:rFonts w:ascii="Times New Roman" w:hAnsi="Times New Roman"/>
        </w:rPr>
        <w:t>,</w:t>
      </w:r>
      <w:r w:rsidR="00BB495E" w:rsidRPr="004963EE">
        <w:rPr>
          <w:rFonts w:ascii="Times New Roman" w:hAnsi="Times New Roman"/>
        </w:rPr>
        <w:t xml:space="preserve"> lease dwelling</w:t>
      </w:r>
      <w:r w:rsidR="00F86A7D" w:rsidRPr="004963EE">
        <w:rPr>
          <w:rFonts w:ascii="Times New Roman" w:hAnsi="Times New Roman"/>
        </w:rPr>
        <w:t>s</w:t>
      </w:r>
      <w:r w:rsidR="006F6B74" w:rsidRPr="004963EE">
        <w:rPr>
          <w:rFonts w:ascii="Times New Roman" w:hAnsi="Times New Roman"/>
        </w:rPr>
        <w:t xml:space="preserve"> from the Chief Executive Officer (Housing) (</w:t>
      </w:r>
      <w:r w:rsidR="00D24BA2" w:rsidRPr="004963EE">
        <w:rPr>
          <w:rFonts w:ascii="Times New Roman" w:hAnsi="Times New Roman"/>
        </w:rPr>
        <w:t xml:space="preserve">the </w:t>
      </w:r>
      <w:r w:rsidR="006F6B74" w:rsidRPr="004963EE">
        <w:rPr>
          <w:rFonts w:ascii="Times New Roman" w:hAnsi="Times New Roman"/>
        </w:rPr>
        <w:t>"</w:t>
      </w:r>
      <w:r w:rsidR="000D3595" w:rsidRPr="004963EE">
        <w:rPr>
          <w:rFonts w:ascii="Times New Roman" w:hAnsi="Times New Roman"/>
        </w:rPr>
        <w:t>CEOH")</w:t>
      </w:r>
      <w:r w:rsidR="006D7AA3" w:rsidRPr="004963EE">
        <w:rPr>
          <w:rFonts w:ascii="Times New Roman" w:hAnsi="Times New Roman"/>
        </w:rPr>
        <w:t xml:space="preserve"> pursuant to the </w:t>
      </w:r>
      <w:r w:rsidR="006D7AA3" w:rsidRPr="004963EE">
        <w:rPr>
          <w:rFonts w:ascii="Times New Roman" w:hAnsi="Times New Roman"/>
          <w:i/>
          <w:iCs/>
        </w:rPr>
        <w:t>Housing Act 1982</w:t>
      </w:r>
      <w:r w:rsidR="006D7AA3" w:rsidRPr="004963EE">
        <w:rPr>
          <w:rFonts w:ascii="Times New Roman" w:hAnsi="Times New Roman"/>
        </w:rPr>
        <w:t xml:space="preserve"> (NT) and </w:t>
      </w:r>
      <w:r w:rsidR="002264B6" w:rsidRPr="004963EE">
        <w:rPr>
          <w:rFonts w:ascii="Times New Roman" w:hAnsi="Times New Roman"/>
        </w:rPr>
        <w:t xml:space="preserve">the </w:t>
      </w:r>
      <w:r w:rsidR="002264B6" w:rsidRPr="004963EE">
        <w:rPr>
          <w:rFonts w:ascii="Times New Roman" w:hAnsi="Times New Roman"/>
          <w:i/>
          <w:iCs/>
        </w:rPr>
        <w:t>Housing Regulations 1983</w:t>
      </w:r>
      <w:r w:rsidR="002264B6" w:rsidRPr="004963EE">
        <w:rPr>
          <w:rFonts w:ascii="Times New Roman" w:hAnsi="Times New Roman"/>
        </w:rPr>
        <w:t xml:space="preserve"> (NT).</w:t>
      </w:r>
      <w:r w:rsidR="00AE122E" w:rsidRPr="004963EE">
        <w:rPr>
          <w:rFonts w:ascii="Times New Roman" w:hAnsi="Times New Roman"/>
        </w:rPr>
        <w:t xml:space="preserve"> </w:t>
      </w:r>
      <w:r w:rsidR="00B5095B" w:rsidRPr="004963EE">
        <w:rPr>
          <w:rFonts w:ascii="Times New Roman" w:hAnsi="Times New Roman"/>
        </w:rPr>
        <w:t>The</w:t>
      </w:r>
      <w:r w:rsidR="00087D86" w:rsidRPr="004963EE">
        <w:rPr>
          <w:rFonts w:ascii="Times New Roman" w:hAnsi="Times New Roman"/>
        </w:rPr>
        <w:t xml:space="preserve"> Minister for Territory Families and Urban Housing </w:t>
      </w:r>
      <w:r w:rsidR="002069D9" w:rsidRPr="004963EE">
        <w:rPr>
          <w:rFonts w:ascii="Times New Roman" w:hAnsi="Times New Roman"/>
        </w:rPr>
        <w:t xml:space="preserve">and the Minister for Housing and Homelands </w:t>
      </w:r>
      <w:r w:rsidR="00B5095B" w:rsidRPr="004963EE">
        <w:rPr>
          <w:rFonts w:ascii="Times New Roman" w:hAnsi="Times New Roman"/>
        </w:rPr>
        <w:t>are the respondents to this appeal.</w:t>
      </w:r>
      <w:r w:rsidR="00087D86" w:rsidRPr="004963EE">
        <w:rPr>
          <w:rFonts w:ascii="Times New Roman" w:hAnsi="Times New Roman"/>
        </w:rPr>
        <w:t xml:space="preserve"> </w:t>
      </w:r>
      <w:proofErr w:type="gramStart"/>
      <w:r w:rsidR="00BF2F12" w:rsidRPr="004963EE">
        <w:rPr>
          <w:rFonts w:ascii="Times New Roman" w:hAnsi="Times New Roman"/>
        </w:rPr>
        <w:t>All of</w:t>
      </w:r>
      <w:proofErr w:type="gramEnd"/>
      <w:r w:rsidR="00BF2F12" w:rsidRPr="004963EE">
        <w:rPr>
          <w:rFonts w:ascii="Times New Roman" w:hAnsi="Times New Roman"/>
        </w:rPr>
        <w:t xml:space="preserve"> the appellants were parties to </w:t>
      </w:r>
      <w:r w:rsidR="00C20EEE" w:rsidRPr="004963EE">
        <w:rPr>
          <w:rFonts w:ascii="Times New Roman" w:hAnsi="Times New Roman"/>
        </w:rPr>
        <w:t xml:space="preserve">tenancy </w:t>
      </w:r>
      <w:r w:rsidR="00BF2F12" w:rsidRPr="004963EE">
        <w:rPr>
          <w:rFonts w:ascii="Times New Roman" w:hAnsi="Times New Roman"/>
        </w:rPr>
        <w:t>agreements with the CEOH</w:t>
      </w:r>
      <w:r w:rsidR="00B3508C" w:rsidRPr="004963EE">
        <w:rPr>
          <w:rFonts w:ascii="Times New Roman" w:hAnsi="Times New Roman"/>
        </w:rPr>
        <w:t>.</w:t>
      </w:r>
      <w:r w:rsidR="00C81101" w:rsidRPr="004963EE">
        <w:rPr>
          <w:rFonts w:ascii="Times New Roman" w:hAnsi="Times New Roman"/>
        </w:rPr>
        <w:t xml:space="preserve"> </w:t>
      </w:r>
      <w:r w:rsidR="002821B5" w:rsidRPr="004963EE">
        <w:rPr>
          <w:rFonts w:ascii="Times New Roman" w:hAnsi="Times New Roman"/>
        </w:rPr>
        <w:t xml:space="preserve">By a determination made by </w:t>
      </w:r>
      <w:r w:rsidR="00956893" w:rsidRPr="004963EE">
        <w:rPr>
          <w:rFonts w:ascii="Times New Roman" w:hAnsi="Times New Roman"/>
        </w:rPr>
        <w:t xml:space="preserve">the first respondent </w:t>
      </w:r>
      <w:r w:rsidR="00AC13C2" w:rsidRPr="004963EE">
        <w:rPr>
          <w:rFonts w:ascii="Times New Roman" w:hAnsi="Times New Roman"/>
        </w:rPr>
        <w:t>(</w:t>
      </w:r>
      <w:r w:rsidR="00117F2F" w:rsidRPr="004963EE">
        <w:rPr>
          <w:rFonts w:ascii="Times New Roman" w:hAnsi="Times New Roman"/>
        </w:rPr>
        <w:t>who was</w:t>
      </w:r>
      <w:r w:rsidR="00D0164F" w:rsidRPr="004963EE">
        <w:rPr>
          <w:rFonts w:ascii="Times New Roman" w:hAnsi="Times New Roman"/>
        </w:rPr>
        <w:t>, at the time,</w:t>
      </w:r>
      <w:r w:rsidR="00117F2F" w:rsidRPr="004963EE">
        <w:rPr>
          <w:rFonts w:ascii="Times New Roman" w:hAnsi="Times New Roman"/>
        </w:rPr>
        <w:t xml:space="preserve"> the minister responsible for the </w:t>
      </w:r>
      <w:r w:rsidR="00117F2F" w:rsidRPr="004963EE">
        <w:rPr>
          <w:rFonts w:ascii="Times New Roman" w:hAnsi="Times New Roman"/>
          <w:i/>
          <w:iCs/>
        </w:rPr>
        <w:t>Housing Act</w:t>
      </w:r>
      <w:r w:rsidR="00117F2F" w:rsidRPr="004963EE">
        <w:rPr>
          <w:rFonts w:ascii="Times New Roman" w:hAnsi="Times New Roman"/>
        </w:rPr>
        <w:t xml:space="preserve"> </w:t>
      </w:r>
      <w:r w:rsidR="008E57AE" w:rsidRPr="004963EE">
        <w:rPr>
          <w:rFonts w:ascii="Times New Roman" w:hAnsi="Times New Roman"/>
        </w:rPr>
        <w:t>(the "Relevant Minister")</w:t>
      </w:r>
      <w:r w:rsidR="00117F2F" w:rsidRPr="004963EE">
        <w:rPr>
          <w:rFonts w:ascii="Times New Roman" w:hAnsi="Times New Roman"/>
        </w:rPr>
        <w:t>)</w:t>
      </w:r>
      <w:r w:rsidR="00573A15" w:rsidRPr="004963EE">
        <w:rPr>
          <w:rFonts w:ascii="Times New Roman" w:hAnsi="Times New Roman"/>
        </w:rPr>
        <w:t xml:space="preserve"> on 23 December 2021</w:t>
      </w:r>
      <w:r w:rsidR="00B0051B" w:rsidRPr="004963EE">
        <w:rPr>
          <w:rFonts w:ascii="Times New Roman" w:hAnsi="Times New Roman"/>
        </w:rPr>
        <w:t xml:space="preserve"> </w:t>
      </w:r>
      <w:r w:rsidR="00EB5660" w:rsidRPr="004963EE">
        <w:rPr>
          <w:rFonts w:ascii="Times New Roman" w:hAnsi="Times New Roman"/>
        </w:rPr>
        <w:t>pursuant to</w:t>
      </w:r>
      <w:r w:rsidR="00C81101" w:rsidRPr="004963EE">
        <w:rPr>
          <w:rFonts w:ascii="Times New Roman" w:hAnsi="Times New Roman"/>
        </w:rPr>
        <w:t xml:space="preserve"> s </w:t>
      </w:r>
      <w:r w:rsidR="00EB5660" w:rsidRPr="004963EE">
        <w:rPr>
          <w:rFonts w:ascii="Times New Roman" w:hAnsi="Times New Roman"/>
        </w:rPr>
        <w:t xml:space="preserve">23 of the </w:t>
      </w:r>
      <w:r w:rsidR="00EB5660" w:rsidRPr="004963EE">
        <w:rPr>
          <w:rFonts w:ascii="Times New Roman" w:hAnsi="Times New Roman"/>
          <w:i/>
          <w:iCs/>
        </w:rPr>
        <w:t>Housing Act</w:t>
      </w:r>
      <w:r w:rsidR="00CA3FE2" w:rsidRPr="004963EE">
        <w:rPr>
          <w:rFonts w:ascii="Times New Roman" w:hAnsi="Times New Roman"/>
        </w:rPr>
        <w:t xml:space="preserve">, the method for calculating the </w:t>
      </w:r>
      <w:r w:rsidR="00171B9D" w:rsidRPr="004963EE">
        <w:rPr>
          <w:rFonts w:ascii="Times New Roman" w:hAnsi="Times New Roman"/>
        </w:rPr>
        <w:t xml:space="preserve">rent payable </w:t>
      </w:r>
      <w:r w:rsidR="00D61D17" w:rsidRPr="004963EE">
        <w:rPr>
          <w:rFonts w:ascii="Times New Roman" w:hAnsi="Times New Roman"/>
        </w:rPr>
        <w:t>for dwellings in various remote communities, including the dwellings leased by the appellants</w:t>
      </w:r>
      <w:r w:rsidR="000A2D21" w:rsidRPr="004963EE">
        <w:rPr>
          <w:rFonts w:ascii="Times New Roman" w:hAnsi="Times New Roman"/>
        </w:rPr>
        <w:t xml:space="preserve"> from the CEOH</w:t>
      </w:r>
      <w:r w:rsidR="00E33AB0" w:rsidRPr="004963EE">
        <w:rPr>
          <w:rFonts w:ascii="Times New Roman" w:hAnsi="Times New Roman"/>
        </w:rPr>
        <w:t>,</w:t>
      </w:r>
      <w:r w:rsidR="00AB6E34" w:rsidRPr="004963EE">
        <w:rPr>
          <w:rFonts w:ascii="Times New Roman" w:hAnsi="Times New Roman"/>
        </w:rPr>
        <w:t xml:space="preserve"> changed</w:t>
      </w:r>
      <w:r w:rsidR="00777E18" w:rsidRPr="004963EE">
        <w:rPr>
          <w:rFonts w:ascii="Times New Roman" w:hAnsi="Times New Roman"/>
        </w:rPr>
        <w:t xml:space="preserve"> (the "First Determination")</w:t>
      </w:r>
      <w:r w:rsidR="00A95A81" w:rsidRPr="004963EE">
        <w:rPr>
          <w:rFonts w:ascii="Times New Roman" w:hAnsi="Times New Roman"/>
        </w:rPr>
        <w:t>.</w:t>
      </w:r>
      <w:r w:rsidR="001063A5" w:rsidRPr="004963EE">
        <w:rPr>
          <w:rFonts w:ascii="Times New Roman" w:hAnsi="Times New Roman"/>
        </w:rPr>
        <w:t xml:space="preserve"> </w:t>
      </w:r>
      <w:r w:rsidR="004C1D80" w:rsidRPr="004963EE">
        <w:rPr>
          <w:rFonts w:ascii="Times New Roman" w:hAnsi="Times New Roman"/>
        </w:rPr>
        <w:t xml:space="preserve">The First Determination was successively replaced by three further </w:t>
      </w:r>
      <w:r w:rsidR="00573A15" w:rsidRPr="004963EE">
        <w:rPr>
          <w:rFonts w:ascii="Times New Roman" w:hAnsi="Times New Roman"/>
        </w:rPr>
        <w:t>d</w:t>
      </w:r>
      <w:r w:rsidR="004C1D80" w:rsidRPr="004963EE">
        <w:rPr>
          <w:rFonts w:ascii="Times New Roman" w:hAnsi="Times New Roman"/>
        </w:rPr>
        <w:t>eterminations.</w:t>
      </w:r>
      <w:r w:rsidR="00C81101" w:rsidRPr="004963EE">
        <w:rPr>
          <w:rFonts w:ascii="Times New Roman" w:hAnsi="Times New Roman"/>
        </w:rPr>
        <w:t xml:space="preserve"> </w:t>
      </w:r>
      <w:r w:rsidR="00B93200" w:rsidRPr="004963EE">
        <w:rPr>
          <w:rFonts w:ascii="Times New Roman" w:hAnsi="Times New Roman"/>
        </w:rPr>
        <w:t>These are described below.</w:t>
      </w:r>
      <w:r w:rsidR="00C81101" w:rsidRPr="004963EE">
        <w:rPr>
          <w:rFonts w:ascii="Times New Roman" w:hAnsi="Times New Roman"/>
        </w:rPr>
        <w:t xml:space="preserve"> </w:t>
      </w:r>
      <w:r w:rsidR="00B93200" w:rsidRPr="004963EE">
        <w:rPr>
          <w:rFonts w:ascii="Times New Roman" w:hAnsi="Times New Roman"/>
        </w:rPr>
        <w:t>This appeal</w:t>
      </w:r>
      <w:r w:rsidR="00FB7549" w:rsidRPr="004963EE">
        <w:rPr>
          <w:rFonts w:ascii="Times New Roman" w:hAnsi="Times New Roman"/>
        </w:rPr>
        <w:t xml:space="preserve"> (in D7/2025)</w:t>
      </w:r>
      <w:r w:rsidR="00B93200" w:rsidRPr="004963EE">
        <w:rPr>
          <w:rFonts w:ascii="Times New Roman" w:hAnsi="Times New Roman"/>
        </w:rPr>
        <w:t xml:space="preserve"> is concerned only with the first three </w:t>
      </w:r>
      <w:r w:rsidR="005E1D96" w:rsidRPr="004963EE">
        <w:rPr>
          <w:rFonts w:ascii="Times New Roman" w:hAnsi="Times New Roman"/>
        </w:rPr>
        <w:t xml:space="preserve">(of four) </w:t>
      </w:r>
      <w:r w:rsidR="000962F1" w:rsidRPr="004963EE">
        <w:rPr>
          <w:rFonts w:ascii="Times New Roman" w:hAnsi="Times New Roman"/>
        </w:rPr>
        <w:t>d</w:t>
      </w:r>
      <w:r w:rsidR="00B93200" w:rsidRPr="004963EE">
        <w:rPr>
          <w:rFonts w:ascii="Times New Roman" w:hAnsi="Times New Roman"/>
        </w:rPr>
        <w:t>eterminations</w:t>
      </w:r>
      <w:r w:rsidR="00294D78" w:rsidRPr="004963EE">
        <w:rPr>
          <w:rFonts w:ascii="Times New Roman" w:hAnsi="Times New Roman"/>
        </w:rPr>
        <w:t xml:space="preserve"> (</w:t>
      </w:r>
      <w:r w:rsidR="00DD29A8" w:rsidRPr="004963EE">
        <w:rPr>
          <w:rFonts w:ascii="Times New Roman" w:hAnsi="Times New Roman"/>
        </w:rPr>
        <w:t xml:space="preserve">the </w:t>
      </w:r>
      <w:r w:rsidR="00294D78" w:rsidRPr="004963EE">
        <w:rPr>
          <w:rFonts w:ascii="Times New Roman" w:hAnsi="Times New Roman"/>
        </w:rPr>
        <w:t>"Determinations")</w:t>
      </w:r>
      <w:r w:rsidR="00B93200" w:rsidRPr="004963EE">
        <w:rPr>
          <w:rFonts w:ascii="Times New Roman" w:hAnsi="Times New Roman"/>
        </w:rPr>
        <w:t>.</w:t>
      </w:r>
      <w:r w:rsidR="00FB7549" w:rsidRPr="004963EE">
        <w:rPr>
          <w:rStyle w:val="FootnoteReference"/>
          <w:rFonts w:ascii="Times New Roman" w:hAnsi="Times New Roman"/>
          <w:sz w:val="24"/>
        </w:rPr>
        <w:footnoteReference w:id="2"/>
      </w:r>
    </w:p>
    <w:p w14:paraId="089940E6" w14:textId="66DAE248" w:rsidR="00464635" w:rsidRPr="004963EE" w:rsidRDefault="00464635"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FE74AB" w:rsidRPr="004963EE">
        <w:rPr>
          <w:rFonts w:ascii="Times New Roman" w:hAnsi="Times New Roman"/>
        </w:rPr>
        <w:t>The</w:t>
      </w:r>
      <w:r w:rsidR="00087677" w:rsidRPr="004963EE">
        <w:rPr>
          <w:rFonts w:ascii="Times New Roman" w:hAnsi="Times New Roman"/>
        </w:rPr>
        <w:t xml:space="preserve"> </w:t>
      </w:r>
      <w:r w:rsidR="00A415FC" w:rsidRPr="004963EE">
        <w:rPr>
          <w:rFonts w:ascii="Times New Roman" w:hAnsi="Times New Roman"/>
        </w:rPr>
        <w:t>Relevant</w:t>
      </w:r>
      <w:r w:rsidR="00EC6743" w:rsidRPr="004963EE">
        <w:rPr>
          <w:rFonts w:ascii="Times New Roman" w:hAnsi="Times New Roman"/>
        </w:rPr>
        <w:t xml:space="preserve"> </w:t>
      </w:r>
      <w:r w:rsidR="00087677" w:rsidRPr="004963EE">
        <w:rPr>
          <w:rFonts w:ascii="Times New Roman" w:hAnsi="Times New Roman"/>
        </w:rPr>
        <w:t>Minister did not give notice to any tenant, including the appellants</w:t>
      </w:r>
      <w:r w:rsidR="00FE74AB" w:rsidRPr="004963EE">
        <w:rPr>
          <w:rFonts w:ascii="Times New Roman" w:hAnsi="Times New Roman"/>
        </w:rPr>
        <w:t xml:space="preserve">, before issuing each of </w:t>
      </w:r>
      <w:r w:rsidR="00B11176" w:rsidRPr="004963EE">
        <w:rPr>
          <w:rFonts w:ascii="Times New Roman" w:hAnsi="Times New Roman"/>
        </w:rPr>
        <w:t xml:space="preserve">the </w:t>
      </w:r>
      <w:r w:rsidR="005F3B26" w:rsidRPr="004963EE">
        <w:rPr>
          <w:rFonts w:ascii="Times New Roman" w:hAnsi="Times New Roman"/>
        </w:rPr>
        <w:t>D</w:t>
      </w:r>
      <w:r w:rsidR="00FE74AB" w:rsidRPr="004963EE">
        <w:rPr>
          <w:rFonts w:ascii="Times New Roman" w:hAnsi="Times New Roman"/>
        </w:rPr>
        <w:t>eterminations</w:t>
      </w:r>
      <w:r w:rsidR="004C469C" w:rsidRPr="004963EE">
        <w:rPr>
          <w:rFonts w:ascii="Times New Roman" w:hAnsi="Times New Roman"/>
        </w:rPr>
        <w:t>.</w:t>
      </w:r>
      <w:r w:rsidR="00C81101" w:rsidRPr="004963EE">
        <w:rPr>
          <w:rFonts w:ascii="Times New Roman" w:hAnsi="Times New Roman"/>
        </w:rPr>
        <w:t xml:space="preserve"> </w:t>
      </w:r>
      <w:r w:rsidR="004C469C" w:rsidRPr="004963EE">
        <w:rPr>
          <w:rFonts w:ascii="Times New Roman" w:hAnsi="Times New Roman"/>
        </w:rPr>
        <w:t xml:space="preserve">Nor did </w:t>
      </w:r>
      <w:r w:rsidR="00C51A40" w:rsidRPr="004963EE">
        <w:rPr>
          <w:rFonts w:ascii="Times New Roman" w:hAnsi="Times New Roman"/>
        </w:rPr>
        <w:t>the</w:t>
      </w:r>
      <w:r w:rsidR="00E752CF" w:rsidRPr="004963EE">
        <w:rPr>
          <w:rFonts w:ascii="Times New Roman" w:hAnsi="Times New Roman"/>
        </w:rPr>
        <w:t xml:space="preserve">y </w:t>
      </w:r>
      <w:r w:rsidR="004C469C" w:rsidRPr="004963EE">
        <w:rPr>
          <w:rFonts w:ascii="Times New Roman" w:hAnsi="Times New Roman"/>
        </w:rPr>
        <w:t xml:space="preserve">invite any tenant to furnish submissions on the proposed change to the method of calculating </w:t>
      </w:r>
      <w:r w:rsidR="000474E0" w:rsidRPr="004963EE">
        <w:rPr>
          <w:rFonts w:ascii="Times New Roman" w:hAnsi="Times New Roman"/>
        </w:rPr>
        <w:t>rent.</w:t>
      </w:r>
      <w:r w:rsidR="00C81101" w:rsidRPr="004963EE">
        <w:rPr>
          <w:rFonts w:ascii="Times New Roman" w:hAnsi="Times New Roman"/>
        </w:rPr>
        <w:t xml:space="preserve"> </w:t>
      </w:r>
      <w:r w:rsidR="000474E0" w:rsidRPr="004963EE">
        <w:rPr>
          <w:rFonts w:ascii="Times New Roman" w:hAnsi="Times New Roman"/>
        </w:rPr>
        <w:t xml:space="preserve">The appellants sought judicial review of the </w:t>
      </w:r>
      <w:r w:rsidR="00D312D3" w:rsidRPr="004963EE">
        <w:rPr>
          <w:rFonts w:ascii="Times New Roman" w:hAnsi="Times New Roman"/>
        </w:rPr>
        <w:t>D</w:t>
      </w:r>
      <w:r w:rsidR="000474E0" w:rsidRPr="004963EE">
        <w:rPr>
          <w:rFonts w:ascii="Times New Roman" w:hAnsi="Times New Roman"/>
        </w:rPr>
        <w:t>eterminations</w:t>
      </w:r>
      <w:r w:rsidR="00864B01" w:rsidRPr="004963EE">
        <w:rPr>
          <w:rFonts w:ascii="Times New Roman" w:hAnsi="Times New Roman"/>
        </w:rPr>
        <w:t xml:space="preserve"> in the Supreme Court of the Northern Territory</w:t>
      </w:r>
      <w:r w:rsidR="002F30D3" w:rsidRPr="004963EE">
        <w:rPr>
          <w:rFonts w:ascii="Times New Roman" w:hAnsi="Times New Roman"/>
        </w:rPr>
        <w:t>, on two grounds:</w:t>
      </w:r>
      <w:r w:rsidR="005E146C" w:rsidRPr="004963EE">
        <w:rPr>
          <w:rFonts w:ascii="Times New Roman" w:hAnsi="Times New Roman"/>
        </w:rPr>
        <w:t xml:space="preserve"> </w:t>
      </w:r>
      <w:r w:rsidR="00FE1A62" w:rsidRPr="004963EE">
        <w:rPr>
          <w:rFonts w:ascii="Times New Roman" w:hAnsi="Times New Roman"/>
        </w:rPr>
        <w:t xml:space="preserve">that </w:t>
      </w:r>
      <w:r w:rsidR="002F30D3" w:rsidRPr="004963EE">
        <w:rPr>
          <w:rFonts w:ascii="Times New Roman" w:hAnsi="Times New Roman"/>
        </w:rPr>
        <w:t xml:space="preserve">the </w:t>
      </w:r>
      <w:r w:rsidR="00D51EF2" w:rsidRPr="004963EE">
        <w:rPr>
          <w:rFonts w:ascii="Times New Roman" w:hAnsi="Times New Roman"/>
        </w:rPr>
        <w:t>appellants were not afforded procedural fairness</w:t>
      </w:r>
      <w:r w:rsidR="0007085B" w:rsidRPr="004963EE">
        <w:rPr>
          <w:rFonts w:ascii="Times New Roman" w:hAnsi="Times New Roman"/>
        </w:rPr>
        <w:t>;</w:t>
      </w:r>
      <w:r w:rsidR="00383A3D" w:rsidRPr="004963EE">
        <w:rPr>
          <w:rFonts w:ascii="Times New Roman" w:hAnsi="Times New Roman"/>
        </w:rPr>
        <w:t xml:space="preserve"> </w:t>
      </w:r>
      <w:r w:rsidR="0007085B" w:rsidRPr="004963EE">
        <w:rPr>
          <w:rFonts w:ascii="Times New Roman" w:hAnsi="Times New Roman"/>
        </w:rPr>
        <w:t>and</w:t>
      </w:r>
      <w:r w:rsidR="00D51EF2" w:rsidRPr="004963EE">
        <w:rPr>
          <w:rFonts w:ascii="Times New Roman" w:hAnsi="Times New Roman"/>
        </w:rPr>
        <w:t xml:space="preserve"> that each </w:t>
      </w:r>
      <w:r w:rsidR="00F023DD" w:rsidRPr="004963EE">
        <w:rPr>
          <w:rFonts w:ascii="Times New Roman" w:hAnsi="Times New Roman"/>
        </w:rPr>
        <w:t>D</w:t>
      </w:r>
      <w:r w:rsidR="00D51EF2" w:rsidRPr="004963EE">
        <w:rPr>
          <w:rFonts w:ascii="Times New Roman" w:hAnsi="Times New Roman"/>
        </w:rPr>
        <w:t>etermination</w:t>
      </w:r>
      <w:r w:rsidR="00C04CF5" w:rsidRPr="004963EE">
        <w:rPr>
          <w:rFonts w:ascii="Times New Roman" w:hAnsi="Times New Roman"/>
        </w:rPr>
        <w:t xml:space="preserve"> was legally unreasonable.</w:t>
      </w:r>
      <w:r w:rsidR="006E27E3" w:rsidRPr="004963EE">
        <w:rPr>
          <w:rFonts w:ascii="Times New Roman" w:hAnsi="Times New Roman"/>
        </w:rPr>
        <w:t xml:space="preserve"> </w:t>
      </w:r>
    </w:p>
    <w:p w14:paraId="487D8DC0" w14:textId="7A1DAEB9" w:rsidR="00486C8E" w:rsidRPr="004963EE" w:rsidRDefault="00C04CF5"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FD228E" w:rsidRPr="004963EE">
        <w:rPr>
          <w:rFonts w:ascii="Times New Roman" w:hAnsi="Times New Roman"/>
        </w:rPr>
        <w:t>The application for judicial review was dismissed by the Supreme Court</w:t>
      </w:r>
      <w:r w:rsidR="00664B78" w:rsidRPr="004963EE">
        <w:rPr>
          <w:rFonts w:ascii="Times New Roman" w:hAnsi="Times New Roman"/>
        </w:rPr>
        <w:t>.</w:t>
      </w:r>
      <w:r w:rsidR="00877B2B" w:rsidRPr="004963EE">
        <w:rPr>
          <w:rStyle w:val="FootnoteReference"/>
          <w:rFonts w:ascii="Times New Roman" w:hAnsi="Times New Roman"/>
          <w:sz w:val="24"/>
        </w:rPr>
        <w:footnoteReference w:id="3"/>
      </w:r>
      <w:r w:rsidR="00FD228E" w:rsidRPr="004963EE">
        <w:rPr>
          <w:rFonts w:ascii="Times New Roman" w:hAnsi="Times New Roman"/>
        </w:rPr>
        <w:t xml:space="preserve"> </w:t>
      </w:r>
      <w:r w:rsidR="00664B78" w:rsidRPr="004963EE">
        <w:rPr>
          <w:rFonts w:ascii="Times New Roman" w:hAnsi="Times New Roman"/>
        </w:rPr>
        <w:t>An</w:t>
      </w:r>
      <w:r w:rsidR="00FD228E" w:rsidRPr="004963EE">
        <w:rPr>
          <w:rFonts w:ascii="Times New Roman" w:hAnsi="Times New Roman"/>
        </w:rPr>
        <w:t xml:space="preserve"> appeal</w:t>
      </w:r>
      <w:r w:rsidR="00AB60BB" w:rsidRPr="004963EE">
        <w:rPr>
          <w:rFonts w:ascii="Times New Roman" w:hAnsi="Times New Roman"/>
        </w:rPr>
        <w:t xml:space="preserve"> from that judgment was dismissed</w:t>
      </w:r>
      <w:r w:rsidR="00FD228E" w:rsidRPr="004963EE">
        <w:rPr>
          <w:rFonts w:ascii="Times New Roman" w:hAnsi="Times New Roman"/>
        </w:rPr>
        <w:t xml:space="preserve"> by the Court of Appeal</w:t>
      </w:r>
      <w:r w:rsidR="00361663" w:rsidRPr="004963EE">
        <w:rPr>
          <w:rFonts w:ascii="Times New Roman" w:hAnsi="Times New Roman"/>
        </w:rPr>
        <w:t xml:space="preserve"> </w:t>
      </w:r>
      <w:r w:rsidR="00C8216F" w:rsidRPr="004963EE">
        <w:rPr>
          <w:rFonts w:ascii="Times New Roman" w:hAnsi="Times New Roman"/>
        </w:rPr>
        <w:t>and the Full Court</w:t>
      </w:r>
      <w:r w:rsidR="007D122F" w:rsidRPr="004963EE">
        <w:rPr>
          <w:rFonts w:ascii="Times New Roman" w:hAnsi="Times New Roman"/>
        </w:rPr>
        <w:t xml:space="preserve"> of the Supreme Court of the Northern Territory</w:t>
      </w:r>
      <w:r w:rsidR="00742968" w:rsidRPr="004963EE">
        <w:rPr>
          <w:rFonts w:ascii="Times New Roman" w:hAnsi="Times New Roman"/>
        </w:rPr>
        <w:t xml:space="preserve"> (hereinafter the "Court of Appeal")</w:t>
      </w:r>
      <w:r w:rsidR="007D122F" w:rsidRPr="004963EE">
        <w:rPr>
          <w:rFonts w:ascii="Times New Roman" w:hAnsi="Times New Roman"/>
        </w:rPr>
        <w:t>.</w:t>
      </w:r>
      <w:r w:rsidR="00877B2B" w:rsidRPr="004963EE">
        <w:rPr>
          <w:rStyle w:val="FootnoteReference"/>
          <w:rFonts w:ascii="Times New Roman" w:hAnsi="Times New Roman"/>
          <w:sz w:val="24"/>
        </w:rPr>
        <w:footnoteReference w:id="4"/>
      </w:r>
      <w:r w:rsidR="00853BF8" w:rsidRPr="004963EE">
        <w:rPr>
          <w:rFonts w:ascii="Times New Roman" w:hAnsi="Times New Roman"/>
        </w:rPr>
        <w:t xml:space="preserve"> The appellants now appeal from that judgment to this Court. </w:t>
      </w:r>
      <w:r w:rsidR="00486C8E" w:rsidRPr="004963EE">
        <w:rPr>
          <w:rFonts w:ascii="Times New Roman" w:hAnsi="Times New Roman"/>
        </w:rPr>
        <w:t xml:space="preserve">The grounds of the appeal are as follows: </w:t>
      </w:r>
    </w:p>
    <w:p w14:paraId="13B3EA6D" w14:textId="77777777" w:rsidR="00486C8E" w:rsidRPr="004963EE" w:rsidRDefault="00486C8E" w:rsidP="004963EE">
      <w:pPr>
        <w:pStyle w:val="LeftrightafterHC"/>
        <w:spacing w:before="0" w:after="260" w:line="280" w:lineRule="exact"/>
        <w:ind w:right="0"/>
        <w:jc w:val="both"/>
        <w:rPr>
          <w:rFonts w:ascii="Times New Roman" w:hAnsi="Times New Roman"/>
        </w:rPr>
      </w:pPr>
      <w:r w:rsidRPr="004963EE">
        <w:rPr>
          <w:rFonts w:ascii="Times New Roman" w:hAnsi="Times New Roman"/>
        </w:rPr>
        <w:lastRenderedPageBreak/>
        <w:t xml:space="preserve">"The Court of Appeal erred in concluding that the power of a Minister to determine rents for public housing under s 23 of the </w:t>
      </w:r>
      <w:r w:rsidRPr="004963EE">
        <w:rPr>
          <w:rFonts w:ascii="Times New Roman" w:hAnsi="Times New Roman"/>
          <w:i/>
          <w:iCs/>
        </w:rPr>
        <w:t xml:space="preserve">Housing Act </w:t>
      </w:r>
      <w:r w:rsidRPr="004963EE">
        <w:rPr>
          <w:rFonts w:ascii="Times New Roman" w:hAnsi="Times New Roman"/>
        </w:rPr>
        <w:t>1982</w:t>
      </w:r>
      <w:r w:rsidRPr="004963EE">
        <w:rPr>
          <w:rFonts w:ascii="Times New Roman" w:hAnsi="Times New Roman"/>
          <w:i/>
          <w:iCs/>
        </w:rPr>
        <w:t xml:space="preserve"> </w:t>
      </w:r>
      <w:r w:rsidRPr="004963EE">
        <w:rPr>
          <w:rFonts w:ascii="Times New Roman" w:hAnsi="Times New Roman"/>
        </w:rPr>
        <w:t>(NT) was not conditioned by a requirement to afford procedural fairness.</w:t>
      </w:r>
    </w:p>
    <w:p w14:paraId="78350BBF" w14:textId="2D25A894" w:rsidR="00486C8E" w:rsidRPr="004963EE" w:rsidRDefault="00486C8E" w:rsidP="004963EE">
      <w:pPr>
        <w:pStyle w:val="leftright"/>
        <w:spacing w:before="0" w:after="260" w:line="280" w:lineRule="exact"/>
        <w:ind w:right="0"/>
        <w:jc w:val="both"/>
        <w:rPr>
          <w:rFonts w:ascii="Times New Roman" w:hAnsi="Times New Roman"/>
        </w:rPr>
      </w:pPr>
      <w:r w:rsidRPr="004963EE">
        <w:rPr>
          <w:rFonts w:ascii="Times New Roman" w:hAnsi="Times New Roman"/>
        </w:rPr>
        <w:t xml:space="preserve">The Court of Appeal erred in concluding that it was not legally unreasonable to exercise s 23 of the </w:t>
      </w:r>
      <w:r w:rsidRPr="004963EE">
        <w:rPr>
          <w:rFonts w:ascii="Times New Roman" w:hAnsi="Times New Roman"/>
          <w:i/>
          <w:iCs/>
        </w:rPr>
        <w:t xml:space="preserve">Housing Act </w:t>
      </w:r>
      <w:r w:rsidRPr="004963EE">
        <w:rPr>
          <w:rFonts w:ascii="Times New Roman" w:hAnsi="Times New Roman"/>
        </w:rPr>
        <w:t>1982 (NT) in respect of each of the determinations made on 23 December 2021, 27 April 2022, and 2 September 2022 including when each:</w:t>
      </w:r>
    </w:p>
    <w:p w14:paraId="2610886A" w14:textId="5E408397" w:rsidR="00486C8E" w:rsidRPr="004963EE" w:rsidRDefault="00486C8E" w:rsidP="004963EE">
      <w:pPr>
        <w:pStyle w:val="leftright"/>
        <w:spacing w:before="0" w:after="260" w:line="280" w:lineRule="exact"/>
        <w:ind w:left="1440" w:right="0" w:hanging="720"/>
        <w:jc w:val="both"/>
        <w:rPr>
          <w:rFonts w:ascii="Times New Roman" w:hAnsi="Times New Roman"/>
        </w:rPr>
      </w:pPr>
      <w:r w:rsidRPr="004963EE">
        <w:rPr>
          <w:rFonts w:ascii="Times New Roman" w:hAnsi="Times New Roman"/>
        </w:rPr>
        <w:t>a.</w:t>
      </w:r>
      <w:r w:rsidRPr="004963EE">
        <w:rPr>
          <w:rFonts w:ascii="Times New Roman" w:hAnsi="Times New Roman"/>
        </w:rPr>
        <w:tab/>
        <w:t>took no account of the proximity of each affected premises to government, health and education services, especially when compared to determinations made in relation to urban premises; and/or</w:t>
      </w:r>
    </w:p>
    <w:p w14:paraId="6CED8142" w14:textId="77777777" w:rsidR="004963EE" w:rsidRDefault="00486C8E" w:rsidP="004963EE">
      <w:pPr>
        <w:pStyle w:val="leftright"/>
        <w:spacing w:before="0" w:after="260" w:line="280" w:lineRule="exact"/>
        <w:ind w:left="1440" w:right="0" w:hanging="720"/>
        <w:jc w:val="both"/>
        <w:rPr>
          <w:rFonts w:ascii="Times New Roman" w:hAnsi="Times New Roman"/>
        </w:rPr>
      </w:pPr>
      <w:r w:rsidRPr="004963EE">
        <w:rPr>
          <w:rFonts w:ascii="Times New Roman" w:hAnsi="Times New Roman"/>
        </w:rPr>
        <w:t>b.</w:t>
      </w:r>
      <w:r w:rsidRPr="004963EE">
        <w:rPr>
          <w:rFonts w:ascii="Times New Roman" w:hAnsi="Times New Roman"/>
        </w:rPr>
        <w:tab/>
        <w:t>departed, without explanation or justification, from the model endorsed by the stake-holder advisory group, upon which the determinations were purportedly based."</w:t>
      </w:r>
    </w:p>
    <w:p w14:paraId="0F9CD672" w14:textId="1CB1D2B7" w:rsidR="00C04CF5" w:rsidRPr="004963EE" w:rsidRDefault="00776AFA"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7D122F" w:rsidRPr="004963EE">
        <w:rPr>
          <w:rFonts w:ascii="Times New Roman" w:hAnsi="Times New Roman"/>
        </w:rPr>
        <w:t>For the reasons given below</w:t>
      </w:r>
      <w:r w:rsidR="00A42DB7" w:rsidRPr="004963EE">
        <w:rPr>
          <w:rFonts w:ascii="Times New Roman" w:hAnsi="Times New Roman"/>
        </w:rPr>
        <w:t>,</w:t>
      </w:r>
      <w:r w:rsidR="007D122F" w:rsidRPr="004963EE">
        <w:rPr>
          <w:rFonts w:ascii="Times New Roman" w:hAnsi="Times New Roman"/>
        </w:rPr>
        <w:t xml:space="preserve"> the </w:t>
      </w:r>
      <w:r w:rsidR="00CA6329" w:rsidRPr="004963EE">
        <w:rPr>
          <w:rFonts w:ascii="Times New Roman" w:hAnsi="Times New Roman"/>
        </w:rPr>
        <w:t xml:space="preserve">appeal to this Court should be allowed </w:t>
      </w:r>
      <w:proofErr w:type="gramStart"/>
      <w:r w:rsidR="00CA6329" w:rsidRPr="004963EE">
        <w:rPr>
          <w:rFonts w:ascii="Times New Roman" w:hAnsi="Times New Roman"/>
        </w:rPr>
        <w:t>on the basis of</w:t>
      </w:r>
      <w:proofErr w:type="gramEnd"/>
      <w:r w:rsidR="00CA6329" w:rsidRPr="004963EE">
        <w:rPr>
          <w:rFonts w:ascii="Times New Roman" w:hAnsi="Times New Roman"/>
        </w:rPr>
        <w:t xml:space="preserve"> the failure by the </w:t>
      </w:r>
      <w:r w:rsidR="00A415FC" w:rsidRPr="004963EE">
        <w:rPr>
          <w:rFonts w:ascii="Times New Roman" w:hAnsi="Times New Roman"/>
        </w:rPr>
        <w:t>Relevant</w:t>
      </w:r>
      <w:r w:rsidR="00EC6743" w:rsidRPr="004963EE">
        <w:rPr>
          <w:rFonts w:ascii="Times New Roman" w:hAnsi="Times New Roman"/>
        </w:rPr>
        <w:t xml:space="preserve"> </w:t>
      </w:r>
      <w:r w:rsidR="00CA6329" w:rsidRPr="004963EE">
        <w:rPr>
          <w:rFonts w:ascii="Times New Roman" w:hAnsi="Times New Roman"/>
        </w:rPr>
        <w:t>Minister to afford procedural fairness</w:t>
      </w:r>
      <w:r w:rsidR="00964A93" w:rsidRPr="004963EE">
        <w:rPr>
          <w:rFonts w:ascii="Times New Roman" w:hAnsi="Times New Roman"/>
        </w:rPr>
        <w:t xml:space="preserve"> to the appellants</w:t>
      </w:r>
      <w:r w:rsidR="00CA6329" w:rsidRPr="004963EE">
        <w:rPr>
          <w:rFonts w:ascii="Times New Roman" w:hAnsi="Times New Roman"/>
        </w:rPr>
        <w:t>.</w:t>
      </w:r>
      <w:r w:rsidRPr="004963EE">
        <w:rPr>
          <w:rFonts w:ascii="Times New Roman" w:hAnsi="Times New Roman"/>
        </w:rPr>
        <w:t xml:space="preserve"> Given th</w:t>
      </w:r>
      <w:r w:rsidR="00486C8E" w:rsidRPr="004963EE">
        <w:rPr>
          <w:rFonts w:ascii="Times New Roman" w:hAnsi="Times New Roman"/>
        </w:rPr>
        <w:t>at</w:t>
      </w:r>
      <w:r w:rsidRPr="004963EE">
        <w:rPr>
          <w:rFonts w:ascii="Times New Roman" w:hAnsi="Times New Roman"/>
        </w:rPr>
        <w:t xml:space="preserve"> conclusion, it is unnecessary to address the ground of appeal concerning legal unreasonableness.</w:t>
      </w:r>
    </w:p>
    <w:p w14:paraId="3FDC9E26" w14:textId="2745F956" w:rsidR="00CA6329" w:rsidRPr="004963EE" w:rsidRDefault="00B16ADC" w:rsidP="004963EE">
      <w:pPr>
        <w:pStyle w:val="HeadingL1"/>
        <w:spacing w:after="260" w:line="280" w:lineRule="exact"/>
        <w:ind w:right="0"/>
        <w:jc w:val="both"/>
        <w:rPr>
          <w:rFonts w:ascii="Times New Roman" w:hAnsi="Times New Roman"/>
        </w:rPr>
      </w:pPr>
      <w:r w:rsidRPr="004963EE">
        <w:rPr>
          <w:rFonts w:ascii="Times New Roman" w:hAnsi="Times New Roman"/>
        </w:rPr>
        <w:t xml:space="preserve">The </w:t>
      </w:r>
      <w:r w:rsidR="00964A93" w:rsidRPr="004963EE">
        <w:rPr>
          <w:rFonts w:ascii="Times New Roman" w:hAnsi="Times New Roman"/>
        </w:rPr>
        <w:t>legislative framework</w:t>
      </w:r>
    </w:p>
    <w:p w14:paraId="6F9AD120" w14:textId="1B36CEAF" w:rsidR="00B16ADC" w:rsidRPr="004963EE" w:rsidRDefault="003C4966"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964A93" w:rsidRPr="004963EE">
        <w:rPr>
          <w:rFonts w:ascii="Times New Roman" w:hAnsi="Times New Roman"/>
        </w:rPr>
        <w:t xml:space="preserve">The </w:t>
      </w:r>
      <w:r w:rsidR="006A3D0A" w:rsidRPr="004963EE">
        <w:rPr>
          <w:rFonts w:ascii="Times New Roman" w:hAnsi="Times New Roman"/>
        </w:rPr>
        <w:t>entity by the name of the CEOH</w:t>
      </w:r>
      <w:r w:rsidR="00964A93" w:rsidRPr="004963EE">
        <w:rPr>
          <w:rFonts w:ascii="Times New Roman" w:hAnsi="Times New Roman"/>
        </w:rPr>
        <w:t xml:space="preserve"> was established by the </w:t>
      </w:r>
      <w:r w:rsidR="00964A93" w:rsidRPr="004963EE">
        <w:rPr>
          <w:rFonts w:ascii="Times New Roman" w:hAnsi="Times New Roman"/>
          <w:i/>
          <w:iCs/>
        </w:rPr>
        <w:t>Housing Act</w:t>
      </w:r>
      <w:r w:rsidR="006A3D0A" w:rsidRPr="004963EE">
        <w:rPr>
          <w:rFonts w:ascii="Times New Roman" w:hAnsi="Times New Roman"/>
        </w:rPr>
        <w:t>.</w:t>
      </w:r>
      <w:r w:rsidR="00964A93" w:rsidRPr="004963EE">
        <w:rPr>
          <w:rStyle w:val="FootnoteReference"/>
          <w:rFonts w:ascii="Times New Roman" w:hAnsi="Times New Roman"/>
          <w:sz w:val="24"/>
        </w:rPr>
        <w:footnoteReference w:id="5"/>
      </w:r>
      <w:r w:rsidR="00C81101" w:rsidRPr="004963EE">
        <w:rPr>
          <w:rFonts w:ascii="Times New Roman" w:hAnsi="Times New Roman"/>
        </w:rPr>
        <w:t xml:space="preserve"> </w:t>
      </w:r>
      <w:r w:rsidR="005E305F" w:rsidRPr="004963EE">
        <w:rPr>
          <w:rFonts w:ascii="Times New Roman" w:hAnsi="Times New Roman"/>
        </w:rPr>
        <w:t>T</w:t>
      </w:r>
      <w:r w:rsidR="00502F0B" w:rsidRPr="004963EE">
        <w:rPr>
          <w:rFonts w:ascii="Times New Roman" w:hAnsi="Times New Roman"/>
        </w:rPr>
        <w:t xml:space="preserve">he functions of the CEOH </w:t>
      </w:r>
      <w:r w:rsidR="006E6E49" w:rsidRPr="004963EE">
        <w:rPr>
          <w:rFonts w:ascii="Times New Roman" w:hAnsi="Times New Roman"/>
        </w:rPr>
        <w:t>include</w:t>
      </w:r>
      <w:r w:rsidR="00502F0B" w:rsidRPr="004963EE">
        <w:rPr>
          <w:rFonts w:ascii="Times New Roman" w:hAnsi="Times New Roman"/>
        </w:rPr>
        <w:t xml:space="preserve"> provid</w:t>
      </w:r>
      <w:r w:rsidR="00E62D72" w:rsidRPr="004963EE">
        <w:rPr>
          <w:rFonts w:ascii="Times New Roman" w:hAnsi="Times New Roman"/>
        </w:rPr>
        <w:t>ing</w:t>
      </w:r>
      <w:r w:rsidR="00394EF0" w:rsidRPr="004963EE">
        <w:rPr>
          <w:rFonts w:ascii="Times New Roman" w:hAnsi="Times New Roman"/>
        </w:rPr>
        <w:t>,</w:t>
      </w:r>
      <w:r w:rsidR="00502F0B" w:rsidRPr="004963EE">
        <w:rPr>
          <w:rFonts w:ascii="Times New Roman" w:hAnsi="Times New Roman"/>
        </w:rPr>
        <w:t xml:space="preserve"> and assist</w:t>
      </w:r>
      <w:r w:rsidR="00E62D72" w:rsidRPr="004963EE">
        <w:rPr>
          <w:rFonts w:ascii="Times New Roman" w:hAnsi="Times New Roman"/>
        </w:rPr>
        <w:t>ing</w:t>
      </w:r>
      <w:r w:rsidR="00502F0B" w:rsidRPr="004963EE">
        <w:rPr>
          <w:rFonts w:ascii="Times New Roman" w:hAnsi="Times New Roman"/>
        </w:rPr>
        <w:t xml:space="preserve"> in the provision of</w:t>
      </w:r>
      <w:r w:rsidR="00394EF0" w:rsidRPr="004963EE">
        <w:rPr>
          <w:rFonts w:ascii="Times New Roman" w:hAnsi="Times New Roman"/>
        </w:rPr>
        <w:t>,</w:t>
      </w:r>
      <w:r w:rsidR="00502F0B" w:rsidRPr="004963EE">
        <w:rPr>
          <w:rFonts w:ascii="Times New Roman" w:hAnsi="Times New Roman"/>
        </w:rPr>
        <w:t xml:space="preserve"> residential </w:t>
      </w:r>
      <w:r w:rsidR="00D44183" w:rsidRPr="004963EE">
        <w:rPr>
          <w:rFonts w:ascii="Times New Roman" w:hAnsi="Times New Roman"/>
        </w:rPr>
        <w:t>accommodation</w:t>
      </w:r>
      <w:r w:rsidR="00502F0B" w:rsidRPr="004963EE">
        <w:rPr>
          <w:rFonts w:ascii="Times New Roman" w:hAnsi="Times New Roman"/>
        </w:rPr>
        <w:t>.</w:t>
      </w:r>
      <w:r w:rsidR="005E305F" w:rsidRPr="004963EE">
        <w:rPr>
          <w:rStyle w:val="FootnoteReference"/>
          <w:rFonts w:ascii="Times New Roman" w:hAnsi="Times New Roman"/>
          <w:sz w:val="24"/>
        </w:rPr>
        <w:footnoteReference w:id="6"/>
      </w:r>
      <w:r w:rsidR="00C81101" w:rsidRPr="004963EE">
        <w:rPr>
          <w:rFonts w:ascii="Times New Roman" w:hAnsi="Times New Roman"/>
        </w:rPr>
        <w:t xml:space="preserve"> </w:t>
      </w:r>
      <w:r w:rsidR="00E45EF8" w:rsidRPr="004963EE">
        <w:rPr>
          <w:rFonts w:ascii="Times New Roman" w:hAnsi="Times New Roman"/>
        </w:rPr>
        <w:t>For that purpose, the CEOH has the power to "let premises"</w:t>
      </w:r>
      <w:r w:rsidR="00C01D3E" w:rsidRPr="004963EE">
        <w:rPr>
          <w:rFonts w:ascii="Times New Roman" w:hAnsi="Times New Roman"/>
        </w:rPr>
        <w:t>.</w:t>
      </w:r>
      <w:r w:rsidR="00E45EF8" w:rsidRPr="004963EE">
        <w:rPr>
          <w:rStyle w:val="FootnoteReference"/>
          <w:rFonts w:ascii="Times New Roman" w:hAnsi="Times New Roman"/>
          <w:sz w:val="24"/>
        </w:rPr>
        <w:footnoteReference w:id="7"/>
      </w:r>
      <w:r w:rsidR="00C81101" w:rsidRPr="004963EE">
        <w:rPr>
          <w:rFonts w:ascii="Times New Roman" w:hAnsi="Times New Roman"/>
        </w:rPr>
        <w:t xml:space="preserve"> </w:t>
      </w:r>
    </w:p>
    <w:p w14:paraId="67DC9E33" w14:textId="1C6A49F9" w:rsidR="00CA6329" w:rsidRPr="004963EE" w:rsidRDefault="00F06EAE" w:rsidP="004963EE">
      <w:pPr>
        <w:pStyle w:val="FixListStyle"/>
        <w:spacing w:after="260" w:line="280" w:lineRule="exact"/>
        <w:ind w:right="0"/>
        <w:jc w:val="both"/>
        <w:rPr>
          <w:rFonts w:ascii="Times New Roman" w:hAnsi="Times New Roman"/>
        </w:rPr>
      </w:pPr>
      <w:r w:rsidRPr="004963EE">
        <w:rPr>
          <w:rFonts w:ascii="Times New Roman" w:hAnsi="Times New Roman"/>
        </w:rPr>
        <w:tab/>
        <w:t>Pursuant to</w:t>
      </w:r>
      <w:r w:rsidR="00C81101" w:rsidRPr="004963EE">
        <w:rPr>
          <w:rFonts w:ascii="Times New Roman" w:hAnsi="Times New Roman"/>
        </w:rPr>
        <w:t xml:space="preserve"> s </w:t>
      </w:r>
      <w:r w:rsidRPr="004963EE">
        <w:rPr>
          <w:rFonts w:ascii="Times New Roman" w:hAnsi="Times New Roman"/>
        </w:rPr>
        <w:t xml:space="preserve">23 of the </w:t>
      </w:r>
      <w:r w:rsidRPr="004963EE">
        <w:rPr>
          <w:rFonts w:ascii="Times New Roman" w:hAnsi="Times New Roman"/>
          <w:i/>
          <w:iCs/>
        </w:rPr>
        <w:t>Housing Act</w:t>
      </w:r>
      <w:r w:rsidRPr="004963EE">
        <w:rPr>
          <w:rFonts w:ascii="Times New Roman" w:hAnsi="Times New Roman"/>
        </w:rPr>
        <w:t xml:space="preserve">, the </w:t>
      </w:r>
      <w:r w:rsidR="00A415FC" w:rsidRPr="004963EE">
        <w:rPr>
          <w:rFonts w:ascii="Times New Roman" w:hAnsi="Times New Roman"/>
        </w:rPr>
        <w:t xml:space="preserve">Relevant </w:t>
      </w:r>
      <w:r w:rsidR="00FD181B" w:rsidRPr="004963EE">
        <w:rPr>
          <w:rFonts w:ascii="Times New Roman" w:hAnsi="Times New Roman"/>
        </w:rPr>
        <w:t>Minister may determine the rent to be paid for a dwelling</w:t>
      </w:r>
      <w:r w:rsidR="00F4209B" w:rsidRPr="004963EE">
        <w:rPr>
          <w:rFonts w:ascii="Times New Roman" w:hAnsi="Times New Roman"/>
        </w:rPr>
        <w:t xml:space="preserve"> or a class of dwelling</w:t>
      </w:r>
      <w:r w:rsidR="00FD181B" w:rsidRPr="004963EE">
        <w:rPr>
          <w:rFonts w:ascii="Times New Roman" w:hAnsi="Times New Roman"/>
        </w:rPr>
        <w:t>.</w:t>
      </w:r>
      <w:r w:rsidR="00C81101" w:rsidRPr="004963EE">
        <w:rPr>
          <w:rFonts w:ascii="Times New Roman" w:hAnsi="Times New Roman"/>
        </w:rPr>
        <w:t xml:space="preserve"> </w:t>
      </w:r>
      <w:r w:rsidR="00FD181B" w:rsidRPr="004963EE">
        <w:rPr>
          <w:rFonts w:ascii="Times New Roman" w:hAnsi="Times New Roman"/>
        </w:rPr>
        <w:t>Section</w:t>
      </w:r>
      <w:r w:rsidR="00751F53" w:rsidRPr="004963EE">
        <w:rPr>
          <w:rFonts w:ascii="Times New Roman" w:hAnsi="Times New Roman"/>
        </w:rPr>
        <w:t> </w:t>
      </w:r>
      <w:r w:rsidR="00FD181B" w:rsidRPr="004963EE">
        <w:rPr>
          <w:rFonts w:ascii="Times New Roman" w:hAnsi="Times New Roman"/>
        </w:rPr>
        <w:t xml:space="preserve">23 </w:t>
      </w:r>
      <w:r w:rsidR="005452D2" w:rsidRPr="004963EE">
        <w:rPr>
          <w:rFonts w:ascii="Times New Roman" w:hAnsi="Times New Roman"/>
        </w:rPr>
        <w:t>was</w:t>
      </w:r>
      <w:r w:rsidR="00FD181B" w:rsidRPr="004963EE">
        <w:rPr>
          <w:rFonts w:ascii="Times New Roman" w:hAnsi="Times New Roman"/>
        </w:rPr>
        <w:t xml:space="preserve"> the source of the power </w:t>
      </w:r>
      <w:r w:rsidR="00AE26A1" w:rsidRPr="004963EE">
        <w:rPr>
          <w:rFonts w:ascii="Times New Roman" w:hAnsi="Times New Roman"/>
        </w:rPr>
        <w:t xml:space="preserve">to make each of </w:t>
      </w:r>
      <w:r w:rsidR="00153945" w:rsidRPr="004963EE">
        <w:rPr>
          <w:rFonts w:ascii="Times New Roman" w:hAnsi="Times New Roman"/>
        </w:rPr>
        <w:t xml:space="preserve">the </w:t>
      </w:r>
      <w:r w:rsidR="00C9573B" w:rsidRPr="004963EE">
        <w:rPr>
          <w:rFonts w:ascii="Times New Roman" w:hAnsi="Times New Roman"/>
        </w:rPr>
        <w:t>D</w:t>
      </w:r>
      <w:r w:rsidR="00AE26A1" w:rsidRPr="004963EE">
        <w:rPr>
          <w:rFonts w:ascii="Times New Roman" w:hAnsi="Times New Roman"/>
        </w:rPr>
        <w:t>eterminations.</w:t>
      </w:r>
      <w:r w:rsidR="00C81101" w:rsidRPr="004963EE">
        <w:rPr>
          <w:rFonts w:ascii="Times New Roman" w:hAnsi="Times New Roman"/>
        </w:rPr>
        <w:t xml:space="preserve"> </w:t>
      </w:r>
      <w:r w:rsidR="00AE26A1" w:rsidRPr="004963EE">
        <w:rPr>
          <w:rFonts w:ascii="Times New Roman" w:hAnsi="Times New Roman"/>
        </w:rPr>
        <w:t xml:space="preserve">It </w:t>
      </w:r>
      <w:proofErr w:type="gramStart"/>
      <w:r w:rsidR="00AE26A1" w:rsidRPr="004963EE">
        <w:rPr>
          <w:rFonts w:ascii="Times New Roman" w:hAnsi="Times New Roman"/>
        </w:rPr>
        <w:t>provide</w:t>
      </w:r>
      <w:r w:rsidR="00041F1C" w:rsidRPr="004963EE">
        <w:rPr>
          <w:rFonts w:ascii="Times New Roman" w:hAnsi="Times New Roman"/>
        </w:rPr>
        <w:t>d</w:t>
      </w:r>
      <w:r w:rsidR="00372134" w:rsidRPr="004963EE">
        <w:rPr>
          <w:rFonts w:ascii="Times New Roman" w:hAnsi="Times New Roman"/>
        </w:rPr>
        <w:t>,</w:t>
      </w:r>
      <w:proofErr w:type="gramEnd"/>
      <w:r w:rsidR="00041F1C" w:rsidRPr="004963EE">
        <w:rPr>
          <w:rFonts w:ascii="Times New Roman" w:hAnsi="Times New Roman"/>
        </w:rPr>
        <w:t xml:space="preserve"> </w:t>
      </w:r>
      <w:r w:rsidR="007479F0" w:rsidRPr="004963EE">
        <w:rPr>
          <w:rFonts w:ascii="Times New Roman" w:hAnsi="Times New Roman"/>
        </w:rPr>
        <w:t xml:space="preserve">at the time </w:t>
      </w:r>
      <w:r w:rsidR="00041F1C" w:rsidRPr="004963EE">
        <w:rPr>
          <w:rFonts w:ascii="Times New Roman" w:hAnsi="Times New Roman"/>
        </w:rPr>
        <w:t xml:space="preserve">the </w:t>
      </w:r>
      <w:r w:rsidR="004711DD" w:rsidRPr="004963EE">
        <w:rPr>
          <w:rFonts w:ascii="Times New Roman" w:hAnsi="Times New Roman"/>
        </w:rPr>
        <w:t>D</w:t>
      </w:r>
      <w:r w:rsidR="00041F1C" w:rsidRPr="004963EE">
        <w:rPr>
          <w:rFonts w:ascii="Times New Roman" w:hAnsi="Times New Roman"/>
        </w:rPr>
        <w:t>eterminations were made</w:t>
      </w:r>
      <w:r w:rsidR="00AE26A1" w:rsidRPr="004963EE">
        <w:rPr>
          <w:rFonts w:ascii="Times New Roman" w:hAnsi="Times New Roman"/>
        </w:rPr>
        <w:t>:</w:t>
      </w:r>
    </w:p>
    <w:p w14:paraId="04153D64" w14:textId="3BA8DC16" w:rsidR="005C2D97" w:rsidRPr="004963EE" w:rsidRDefault="006E0B6F" w:rsidP="004963EE">
      <w:pPr>
        <w:pStyle w:val="LeftrightafterHC"/>
        <w:spacing w:before="0" w:after="260" w:line="280" w:lineRule="exact"/>
        <w:ind w:left="1440" w:right="0" w:hanging="720"/>
        <w:jc w:val="both"/>
        <w:rPr>
          <w:rFonts w:ascii="Times New Roman" w:hAnsi="Times New Roman"/>
        </w:rPr>
      </w:pPr>
      <w:r w:rsidRPr="004963EE">
        <w:rPr>
          <w:rFonts w:ascii="Times New Roman" w:hAnsi="Times New Roman"/>
        </w:rPr>
        <w:lastRenderedPageBreak/>
        <w:t>"</w:t>
      </w:r>
      <w:r w:rsidR="005C2D97" w:rsidRPr="004963EE">
        <w:rPr>
          <w:rFonts w:ascii="Times New Roman" w:hAnsi="Times New Roman"/>
        </w:rPr>
        <w:t>(1)</w:t>
      </w:r>
      <w:r w:rsidR="00751F53" w:rsidRPr="004963EE">
        <w:rPr>
          <w:rFonts w:ascii="Times New Roman" w:hAnsi="Times New Roman"/>
        </w:rPr>
        <w:tab/>
      </w:r>
      <w:r w:rsidR="005C2D97" w:rsidRPr="004963EE">
        <w:rPr>
          <w:rFonts w:ascii="Times New Roman" w:hAnsi="Times New Roman"/>
        </w:rPr>
        <w:t xml:space="preserve">The Minister may, from time to time, by </w:t>
      </w:r>
      <w:r w:rsidR="005C2D97" w:rsidRPr="004963EE">
        <w:rPr>
          <w:rFonts w:ascii="Times New Roman" w:hAnsi="Times New Roman"/>
          <w:i/>
          <w:iCs/>
        </w:rPr>
        <w:t>Gazette</w:t>
      </w:r>
      <w:r w:rsidR="005C2D97" w:rsidRPr="004963EE">
        <w:rPr>
          <w:rFonts w:ascii="Times New Roman" w:hAnsi="Times New Roman"/>
        </w:rPr>
        <w:t xml:space="preserve"> notice determine the rent to be paid for</w:t>
      </w:r>
      <w:r w:rsidR="00F47D42" w:rsidRPr="004963EE">
        <w:rPr>
          <w:rFonts w:ascii="Times New Roman" w:hAnsi="Times New Roman"/>
        </w:rPr>
        <w:t xml:space="preserve"> a dwelling or a class of dwelling.</w:t>
      </w:r>
    </w:p>
    <w:p w14:paraId="6FBB23F1" w14:textId="17E59A86" w:rsidR="005C2D97" w:rsidRPr="004963EE" w:rsidRDefault="005C2D97" w:rsidP="004963EE">
      <w:pPr>
        <w:pStyle w:val="leftright"/>
        <w:spacing w:before="0" w:after="260" w:line="280" w:lineRule="exact"/>
        <w:ind w:left="1440" w:right="0" w:hanging="720"/>
        <w:jc w:val="both"/>
        <w:rPr>
          <w:rFonts w:ascii="Times New Roman" w:hAnsi="Times New Roman"/>
        </w:rPr>
      </w:pPr>
      <w:r w:rsidRPr="004963EE">
        <w:rPr>
          <w:rFonts w:ascii="Times New Roman" w:hAnsi="Times New Roman"/>
        </w:rPr>
        <w:t>(2)</w:t>
      </w:r>
      <w:r w:rsidR="00751F53" w:rsidRPr="004963EE">
        <w:rPr>
          <w:rFonts w:ascii="Times New Roman" w:hAnsi="Times New Roman"/>
        </w:rPr>
        <w:tab/>
      </w:r>
      <w:r w:rsidRPr="004963EE">
        <w:rPr>
          <w:rFonts w:ascii="Times New Roman" w:hAnsi="Times New Roman"/>
        </w:rPr>
        <w:t>A determination under this section may be subject to conditions that the Minister thinks fit.</w:t>
      </w:r>
    </w:p>
    <w:p w14:paraId="43E9FAE5" w14:textId="020D6667" w:rsidR="005C2D97" w:rsidRPr="004963EE" w:rsidRDefault="005C2D97" w:rsidP="004963EE">
      <w:pPr>
        <w:pStyle w:val="leftright"/>
        <w:spacing w:before="0" w:after="260" w:line="280" w:lineRule="exact"/>
        <w:ind w:left="1440" w:right="0" w:hanging="720"/>
        <w:jc w:val="both"/>
        <w:rPr>
          <w:rFonts w:ascii="Times New Roman" w:hAnsi="Times New Roman"/>
        </w:rPr>
      </w:pPr>
      <w:r w:rsidRPr="004963EE">
        <w:rPr>
          <w:rFonts w:ascii="Times New Roman" w:hAnsi="Times New Roman"/>
        </w:rPr>
        <w:t>(3)</w:t>
      </w:r>
      <w:r w:rsidR="00751F53" w:rsidRPr="004963EE">
        <w:rPr>
          <w:rFonts w:ascii="Times New Roman" w:hAnsi="Times New Roman"/>
        </w:rPr>
        <w:tab/>
      </w:r>
      <w:r w:rsidRPr="004963EE">
        <w:rPr>
          <w:rFonts w:ascii="Times New Roman" w:hAnsi="Times New Roman"/>
        </w:rPr>
        <w:t>A determination under this section is to specify the date on which the rent will become payable for the dwelling or the class of dwelling.</w:t>
      </w:r>
    </w:p>
    <w:p w14:paraId="7BCB72AB" w14:textId="77777777" w:rsidR="004963EE" w:rsidRDefault="005C2D97" w:rsidP="004963EE">
      <w:pPr>
        <w:pStyle w:val="leftright"/>
        <w:spacing w:before="0" w:after="260" w:line="280" w:lineRule="exact"/>
        <w:ind w:left="1440" w:right="0" w:hanging="720"/>
        <w:jc w:val="both"/>
        <w:rPr>
          <w:rFonts w:ascii="Times New Roman" w:hAnsi="Times New Roman"/>
        </w:rPr>
      </w:pPr>
      <w:r w:rsidRPr="004963EE">
        <w:rPr>
          <w:rFonts w:ascii="Times New Roman" w:hAnsi="Times New Roman"/>
        </w:rPr>
        <w:t>(4)</w:t>
      </w:r>
      <w:r w:rsidR="00751F53" w:rsidRPr="004963EE">
        <w:rPr>
          <w:rFonts w:ascii="Times New Roman" w:hAnsi="Times New Roman"/>
        </w:rPr>
        <w:tab/>
      </w:r>
      <w:r w:rsidRPr="004963EE">
        <w:rPr>
          <w:rFonts w:ascii="Times New Roman" w:hAnsi="Times New Roman"/>
        </w:rPr>
        <w:t>The rent to be paid for a dwelling is the rent determined from time to time under subsection</w:t>
      </w:r>
      <w:r w:rsidR="00B84E6E" w:rsidRPr="004963EE">
        <w:rPr>
          <w:rFonts w:ascii="Times New Roman" w:hAnsi="Times New Roman"/>
        </w:rPr>
        <w:t> </w:t>
      </w:r>
      <w:r w:rsidRPr="004963EE">
        <w:rPr>
          <w:rFonts w:ascii="Times New Roman" w:hAnsi="Times New Roman"/>
        </w:rPr>
        <w:t>(1) and the rent is to be paid despite anything to the contrary contained in the tenancy agreement entered into in respect of the dwelling or in any arrangement or agreement, or alleged arrangement or agreement, between the tenant of the dwelling and any other person (including the Chief Executive Officer (Housing), the former Commission, the Territory or their employees or agents).</w:t>
      </w:r>
      <w:r w:rsidR="006E0B6F" w:rsidRPr="004963EE">
        <w:rPr>
          <w:rFonts w:ascii="Times New Roman" w:hAnsi="Times New Roman"/>
        </w:rPr>
        <w:t>"</w:t>
      </w:r>
    </w:p>
    <w:p w14:paraId="52373B6E" w14:textId="2E4DDAB1" w:rsidR="00115408" w:rsidRPr="004963EE" w:rsidRDefault="00377B98"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115408" w:rsidRPr="004963EE">
        <w:rPr>
          <w:rFonts w:ascii="Times New Roman" w:hAnsi="Times New Roman"/>
        </w:rPr>
        <w:t>Pursuant to s 37</w:t>
      </w:r>
      <w:r w:rsidR="00471EBB" w:rsidRPr="004963EE">
        <w:rPr>
          <w:rFonts w:ascii="Times New Roman" w:hAnsi="Times New Roman"/>
        </w:rPr>
        <w:t xml:space="preserve">(1) and </w:t>
      </w:r>
      <w:r w:rsidR="00115408" w:rsidRPr="004963EE">
        <w:rPr>
          <w:rFonts w:ascii="Times New Roman" w:hAnsi="Times New Roman"/>
        </w:rPr>
        <w:t xml:space="preserve">(2)(e) of the </w:t>
      </w:r>
      <w:r w:rsidR="00115408" w:rsidRPr="004963EE">
        <w:rPr>
          <w:rFonts w:ascii="Times New Roman" w:hAnsi="Times New Roman"/>
          <w:i/>
          <w:iCs/>
        </w:rPr>
        <w:t>Housing Act</w:t>
      </w:r>
      <w:r w:rsidR="00115408" w:rsidRPr="004963EE">
        <w:rPr>
          <w:rFonts w:ascii="Times New Roman" w:hAnsi="Times New Roman"/>
        </w:rPr>
        <w:t>, the Administrator of the Northern Territory may make regulations to "make provision for and in relation to the letting of dwellings by the [CEOH] to certain classes of persons and their employees".</w:t>
      </w:r>
      <w:r w:rsidR="0096297E" w:rsidRPr="004963EE">
        <w:rPr>
          <w:rFonts w:ascii="Times New Roman" w:hAnsi="Times New Roman"/>
        </w:rPr>
        <w:t xml:space="preserve"> The </w:t>
      </w:r>
      <w:r w:rsidR="0096297E" w:rsidRPr="004963EE">
        <w:rPr>
          <w:rFonts w:ascii="Times New Roman" w:hAnsi="Times New Roman"/>
          <w:i/>
          <w:iCs/>
        </w:rPr>
        <w:t>Housing Regulations</w:t>
      </w:r>
      <w:r w:rsidR="0096297E" w:rsidRPr="004963EE">
        <w:rPr>
          <w:rFonts w:ascii="Times New Roman" w:hAnsi="Times New Roman"/>
        </w:rPr>
        <w:t xml:space="preserve"> are made under th</w:t>
      </w:r>
      <w:r w:rsidR="00642700" w:rsidRPr="004963EE">
        <w:rPr>
          <w:rFonts w:ascii="Times New Roman" w:hAnsi="Times New Roman"/>
        </w:rPr>
        <w:t>e</w:t>
      </w:r>
      <w:r w:rsidR="0096297E" w:rsidRPr="004963EE">
        <w:rPr>
          <w:rFonts w:ascii="Times New Roman" w:hAnsi="Times New Roman"/>
        </w:rPr>
        <w:t xml:space="preserve"> power</w:t>
      </w:r>
      <w:r w:rsidR="00642700" w:rsidRPr="004963EE">
        <w:rPr>
          <w:rFonts w:ascii="Times New Roman" w:hAnsi="Times New Roman"/>
        </w:rPr>
        <w:t xml:space="preserve"> in s 37</w:t>
      </w:r>
      <w:r w:rsidR="0096297E" w:rsidRPr="004963EE">
        <w:rPr>
          <w:rFonts w:ascii="Times New Roman" w:hAnsi="Times New Roman"/>
        </w:rPr>
        <w:t>.</w:t>
      </w:r>
    </w:p>
    <w:p w14:paraId="471B342E" w14:textId="47EF6C38" w:rsidR="00AE26A1" w:rsidRPr="004963EE" w:rsidRDefault="006D4AD9"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315F2A" w:rsidRPr="004963EE">
        <w:rPr>
          <w:rFonts w:ascii="Times New Roman" w:hAnsi="Times New Roman"/>
        </w:rPr>
        <w:t>Pursuant to</w:t>
      </w:r>
      <w:r w:rsidR="00DC0F7A" w:rsidRPr="004963EE">
        <w:rPr>
          <w:rFonts w:ascii="Times New Roman" w:hAnsi="Times New Roman"/>
        </w:rPr>
        <w:t xml:space="preserve"> r</w:t>
      </w:r>
      <w:r w:rsidR="00193F43" w:rsidRPr="004963EE">
        <w:rPr>
          <w:rFonts w:ascii="Times New Roman" w:hAnsi="Times New Roman"/>
        </w:rPr>
        <w:t>eg</w:t>
      </w:r>
      <w:r w:rsidR="00DC0F7A" w:rsidRPr="004963EE">
        <w:rPr>
          <w:rFonts w:ascii="Times New Roman" w:hAnsi="Times New Roman"/>
        </w:rPr>
        <w:t> </w:t>
      </w:r>
      <w:r w:rsidR="00542A14" w:rsidRPr="004963EE">
        <w:rPr>
          <w:rFonts w:ascii="Times New Roman" w:hAnsi="Times New Roman"/>
        </w:rPr>
        <w:t xml:space="preserve">4(1) of the </w:t>
      </w:r>
      <w:r w:rsidR="00542A14" w:rsidRPr="004963EE">
        <w:rPr>
          <w:rFonts w:ascii="Times New Roman" w:hAnsi="Times New Roman"/>
          <w:i/>
          <w:iCs/>
        </w:rPr>
        <w:t>Housing Regulations</w:t>
      </w:r>
      <w:r w:rsidR="00E00311" w:rsidRPr="004963EE">
        <w:rPr>
          <w:rFonts w:ascii="Times New Roman" w:hAnsi="Times New Roman"/>
        </w:rPr>
        <w:t>,</w:t>
      </w:r>
      <w:r w:rsidR="00542A14" w:rsidRPr="004963EE">
        <w:rPr>
          <w:rFonts w:ascii="Times New Roman" w:hAnsi="Times New Roman"/>
        </w:rPr>
        <w:t xml:space="preserve"> the CEOH </w:t>
      </w:r>
      <w:r w:rsidR="008518FF" w:rsidRPr="004963EE">
        <w:rPr>
          <w:rFonts w:ascii="Times New Roman" w:hAnsi="Times New Roman"/>
        </w:rPr>
        <w:t>"</w:t>
      </w:r>
      <w:r w:rsidR="00542A14" w:rsidRPr="004963EE">
        <w:rPr>
          <w:rFonts w:ascii="Times New Roman" w:hAnsi="Times New Roman"/>
        </w:rPr>
        <w:t>may let a dwelling to an eligible person".</w:t>
      </w:r>
      <w:r w:rsidR="00C81101" w:rsidRPr="004963EE">
        <w:rPr>
          <w:rFonts w:ascii="Times New Roman" w:hAnsi="Times New Roman"/>
        </w:rPr>
        <w:t xml:space="preserve"> </w:t>
      </w:r>
      <w:r w:rsidR="00B2192F" w:rsidRPr="004963EE">
        <w:rPr>
          <w:rFonts w:ascii="Times New Roman" w:hAnsi="Times New Roman"/>
        </w:rPr>
        <w:t>An "eligible person"</w:t>
      </w:r>
      <w:r w:rsidR="00542A14" w:rsidRPr="004963EE">
        <w:rPr>
          <w:rFonts w:ascii="Times New Roman" w:hAnsi="Times New Roman"/>
        </w:rPr>
        <w:t xml:space="preserve"> is defined to mean a person</w:t>
      </w:r>
      <w:r w:rsidR="005F17EC" w:rsidRPr="004963EE">
        <w:rPr>
          <w:rFonts w:ascii="Times New Roman" w:hAnsi="Times New Roman"/>
        </w:rPr>
        <w:t xml:space="preserve"> who is, in the opinion of the CEOH, "of limited means" and "not adequately housed"</w:t>
      </w:r>
      <w:r w:rsidR="00613D5A" w:rsidRPr="004963EE">
        <w:rPr>
          <w:rFonts w:ascii="Times New Roman" w:hAnsi="Times New Roman"/>
        </w:rPr>
        <w:t>.</w:t>
      </w:r>
      <w:r w:rsidR="005F17EC" w:rsidRPr="004963EE">
        <w:rPr>
          <w:rStyle w:val="FootnoteReference"/>
          <w:rFonts w:ascii="Times New Roman" w:hAnsi="Times New Roman"/>
          <w:sz w:val="24"/>
        </w:rPr>
        <w:footnoteReference w:id="8"/>
      </w:r>
      <w:r w:rsidR="00C81101" w:rsidRPr="004963EE">
        <w:rPr>
          <w:rFonts w:ascii="Times New Roman" w:hAnsi="Times New Roman"/>
        </w:rPr>
        <w:t xml:space="preserve"> </w:t>
      </w:r>
      <w:r w:rsidR="001D39C4" w:rsidRPr="004963EE">
        <w:rPr>
          <w:rFonts w:ascii="Times New Roman" w:hAnsi="Times New Roman"/>
        </w:rPr>
        <w:t xml:space="preserve">It was not in dispute that the appellants </w:t>
      </w:r>
      <w:r w:rsidR="00927DA2" w:rsidRPr="004963EE">
        <w:rPr>
          <w:rFonts w:ascii="Times New Roman" w:hAnsi="Times New Roman"/>
        </w:rPr>
        <w:t>were each an "eligible person"</w:t>
      </w:r>
      <w:r w:rsidR="00613D5A" w:rsidRPr="004963EE">
        <w:rPr>
          <w:rFonts w:ascii="Times New Roman" w:hAnsi="Times New Roman"/>
        </w:rPr>
        <w:t>.</w:t>
      </w:r>
      <w:r w:rsidR="00C81101" w:rsidRPr="004963EE">
        <w:rPr>
          <w:rFonts w:ascii="Times New Roman" w:hAnsi="Times New Roman"/>
        </w:rPr>
        <w:t xml:space="preserve"> </w:t>
      </w:r>
      <w:r w:rsidR="00372134" w:rsidRPr="004963EE">
        <w:rPr>
          <w:rFonts w:ascii="Times New Roman" w:hAnsi="Times New Roman"/>
        </w:rPr>
        <w:t>Pursuant to</w:t>
      </w:r>
      <w:r w:rsidR="00DC0F7A" w:rsidRPr="004963EE">
        <w:rPr>
          <w:rFonts w:ascii="Times New Roman" w:hAnsi="Times New Roman"/>
        </w:rPr>
        <w:t xml:space="preserve"> r</w:t>
      </w:r>
      <w:r w:rsidR="00193F43" w:rsidRPr="004963EE">
        <w:rPr>
          <w:rFonts w:ascii="Times New Roman" w:hAnsi="Times New Roman"/>
        </w:rPr>
        <w:t>eg</w:t>
      </w:r>
      <w:r w:rsidR="00DC0F7A" w:rsidRPr="004963EE">
        <w:rPr>
          <w:rFonts w:ascii="Times New Roman" w:hAnsi="Times New Roman"/>
        </w:rPr>
        <w:t> </w:t>
      </w:r>
      <w:r w:rsidR="00372134" w:rsidRPr="004963EE">
        <w:rPr>
          <w:rFonts w:ascii="Times New Roman" w:hAnsi="Times New Roman"/>
        </w:rPr>
        <w:t>4(2)(a), and s</w:t>
      </w:r>
      <w:r w:rsidR="00424747" w:rsidRPr="004963EE">
        <w:rPr>
          <w:rFonts w:ascii="Times New Roman" w:hAnsi="Times New Roman"/>
        </w:rPr>
        <w:t>ubject to</w:t>
      </w:r>
      <w:r w:rsidR="00DC0F7A" w:rsidRPr="004963EE">
        <w:rPr>
          <w:rFonts w:ascii="Times New Roman" w:hAnsi="Times New Roman"/>
        </w:rPr>
        <w:t xml:space="preserve"> r</w:t>
      </w:r>
      <w:r w:rsidR="00193F43" w:rsidRPr="004963EE">
        <w:rPr>
          <w:rFonts w:ascii="Times New Roman" w:hAnsi="Times New Roman"/>
        </w:rPr>
        <w:t>eg</w:t>
      </w:r>
      <w:r w:rsidR="00DC0F7A" w:rsidRPr="004963EE">
        <w:rPr>
          <w:rFonts w:ascii="Times New Roman" w:hAnsi="Times New Roman"/>
        </w:rPr>
        <w:t> </w:t>
      </w:r>
      <w:r w:rsidR="00424747" w:rsidRPr="004963EE">
        <w:rPr>
          <w:rFonts w:ascii="Times New Roman" w:hAnsi="Times New Roman"/>
        </w:rPr>
        <w:t>5,</w:t>
      </w:r>
      <w:r w:rsidR="00C81101" w:rsidRPr="004963EE">
        <w:rPr>
          <w:rFonts w:ascii="Times New Roman" w:hAnsi="Times New Roman"/>
        </w:rPr>
        <w:t xml:space="preserve"> </w:t>
      </w:r>
      <w:r w:rsidR="00424747" w:rsidRPr="004963EE">
        <w:rPr>
          <w:rFonts w:ascii="Times New Roman" w:hAnsi="Times New Roman"/>
        </w:rPr>
        <w:t xml:space="preserve">the rent of a dwelling </w:t>
      </w:r>
      <w:r w:rsidR="00C93C3A" w:rsidRPr="004963EE">
        <w:rPr>
          <w:rFonts w:ascii="Times New Roman" w:hAnsi="Times New Roman"/>
        </w:rPr>
        <w:t xml:space="preserve">to an eligible person </w:t>
      </w:r>
      <w:r w:rsidR="00424747" w:rsidRPr="004963EE">
        <w:rPr>
          <w:rFonts w:ascii="Times New Roman" w:hAnsi="Times New Roman"/>
        </w:rPr>
        <w:t xml:space="preserve">is to be determined </w:t>
      </w:r>
      <w:r w:rsidR="00EC2A09" w:rsidRPr="004963EE">
        <w:rPr>
          <w:rFonts w:ascii="Times New Roman" w:hAnsi="Times New Roman"/>
        </w:rPr>
        <w:t>under</w:t>
      </w:r>
      <w:r w:rsidR="00C81101" w:rsidRPr="004963EE">
        <w:rPr>
          <w:rFonts w:ascii="Times New Roman" w:hAnsi="Times New Roman"/>
        </w:rPr>
        <w:t xml:space="preserve"> s </w:t>
      </w:r>
      <w:r w:rsidR="00EC2A09" w:rsidRPr="004963EE">
        <w:rPr>
          <w:rFonts w:ascii="Times New Roman" w:hAnsi="Times New Roman"/>
        </w:rPr>
        <w:t>23</w:t>
      </w:r>
      <w:r w:rsidR="002D06AB" w:rsidRPr="004963EE">
        <w:rPr>
          <w:rFonts w:ascii="Times New Roman" w:hAnsi="Times New Roman"/>
        </w:rPr>
        <w:t xml:space="preserve"> of the </w:t>
      </w:r>
      <w:r w:rsidR="002D06AB" w:rsidRPr="004963EE">
        <w:rPr>
          <w:rFonts w:ascii="Times New Roman" w:hAnsi="Times New Roman"/>
          <w:i/>
          <w:iCs/>
        </w:rPr>
        <w:t>Housing Act</w:t>
      </w:r>
      <w:r w:rsidR="00EC2A09" w:rsidRPr="004963EE">
        <w:rPr>
          <w:rFonts w:ascii="Times New Roman" w:hAnsi="Times New Roman"/>
        </w:rPr>
        <w:t>.</w:t>
      </w:r>
      <w:r w:rsidR="00C81101" w:rsidRPr="004963EE">
        <w:rPr>
          <w:rFonts w:ascii="Times New Roman" w:hAnsi="Times New Roman"/>
        </w:rPr>
        <w:t xml:space="preserve"> </w:t>
      </w:r>
      <w:r w:rsidR="00EC2A09" w:rsidRPr="004963EE">
        <w:rPr>
          <w:rFonts w:ascii="Times New Roman" w:hAnsi="Times New Roman"/>
        </w:rPr>
        <w:t>Regulation</w:t>
      </w:r>
      <w:r w:rsidR="00DC0F7A" w:rsidRPr="004963EE">
        <w:rPr>
          <w:rFonts w:ascii="Times New Roman" w:hAnsi="Times New Roman"/>
        </w:rPr>
        <w:t> </w:t>
      </w:r>
      <w:r w:rsidR="00EC2A09" w:rsidRPr="004963EE">
        <w:rPr>
          <w:rFonts w:ascii="Times New Roman" w:hAnsi="Times New Roman"/>
        </w:rPr>
        <w:t xml:space="preserve">5 </w:t>
      </w:r>
      <w:r w:rsidR="00ED016A" w:rsidRPr="004963EE">
        <w:rPr>
          <w:rFonts w:ascii="Times New Roman" w:hAnsi="Times New Roman"/>
        </w:rPr>
        <w:t>permits the grant of rebates</w:t>
      </w:r>
      <w:r w:rsidR="00C72118" w:rsidRPr="004963EE">
        <w:rPr>
          <w:rFonts w:ascii="Times New Roman" w:hAnsi="Times New Roman"/>
        </w:rPr>
        <w:t xml:space="preserve"> to a</w:t>
      </w:r>
      <w:r w:rsidR="002C599B" w:rsidRPr="004963EE">
        <w:rPr>
          <w:rFonts w:ascii="Times New Roman" w:hAnsi="Times New Roman"/>
        </w:rPr>
        <w:t>n eligible person</w:t>
      </w:r>
      <w:r w:rsidR="00ED016A" w:rsidRPr="004963EE">
        <w:rPr>
          <w:rFonts w:ascii="Times New Roman" w:hAnsi="Times New Roman"/>
        </w:rPr>
        <w:t xml:space="preserve"> by the CEOH.</w:t>
      </w:r>
      <w:r w:rsidR="00C81101" w:rsidRPr="004963EE">
        <w:rPr>
          <w:rFonts w:ascii="Times New Roman" w:hAnsi="Times New Roman"/>
        </w:rPr>
        <w:t xml:space="preserve"> </w:t>
      </w:r>
      <w:r w:rsidR="00ED016A" w:rsidRPr="004963EE">
        <w:rPr>
          <w:rFonts w:ascii="Times New Roman" w:hAnsi="Times New Roman"/>
        </w:rPr>
        <w:t>It provides</w:t>
      </w:r>
      <w:r w:rsidR="00EC2A09" w:rsidRPr="004963EE">
        <w:rPr>
          <w:rFonts w:ascii="Times New Roman" w:hAnsi="Times New Roman"/>
        </w:rPr>
        <w:t>:</w:t>
      </w:r>
    </w:p>
    <w:p w14:paraId="655BFBA0" w14:textId="77777777" w:rsidR="004963EE" w:rsidRDefault="006E0B6F" w:rsidP="004963EE">
      <w:pPr>
        <w:pStyle w:val="LeftrightafterHC"/>
        <w:spacing w:before="0" w:after="260" w:line="280" w:lineRule="exact"/>
        <w:ind w:right="0"/>
        <w:jc w:val="both"/>
        <w:rPr>
          <w:rFonts w:ascii="Times New Roman" w:hAnsi="Times New Roman"/>
        </w:rPr>
      </w:pPr>
      <w:r w:rsidRPr="004963EE">
        <w:rPr>
          <w:rFonts w:ascii="Times New Roman" w:hAnsi="Times New Roman"/>
        </w:rPr>
        <w:t>"The Chief Executive Officer (Housing) may, in its discretion, grant a rebate of the whole of the rent payable in respect of a dwelling by an eligible person, or of such portion of that rent as it thinks fit, and for such period as it thinks fit."</w:t>
      </w:r>
    </w:p>
    <w:p w14:paraId="7670D445" w14:textId="2F6F8C09" w:rsidR="006E0B6F" w:rsidRPr="004963EE" w:rsidRDefault="003F7E51" w:rsidP="004963EE">
      <w:pPr>
        <w:pStyle w:val="FixListStyle"/>
        <w:spacing w:after="260" w:line="280" w:lineRule="exact"/>
        <w:ind w:right="0"/>
        <w:jc w:val="both"/>
        <w:rPr>
          <w:rFonts w:ascii="Times New Roman" w:hAnsi="Times New Roman"/>
        </w:rPr>
      </w:pPr>
      <w:r w:rsidRPr="004963EE">
        <w:rPr>
          <w:rFonts w:ascii="Times New Roman" w:hAnsi="Times New Roman"/>
        </w:rPr>
        <w:lastRenderedPageBreak/>
        <w:tab/>
      </w:r>
      <w:r w:rsidR="009D1DB6" w:rsidRPr="004963EE">
        <w:rPr>
          <w:rFonts w:ascii="Times New Roman" w:hAnsi="Times New Roman"/>
        </w:rPr>
        <w:t>T</w:t>
      </w:r>
      <w:r w:rsidR="00B118F1" w:rsidRPr="004963EE" w:rsidDel="006A1E20">
        <w:rPr>
          <w:rFonts w:ascii="Times New Roman" w:hAnsi="Times New Roman"/>
        </w:rPr>
        <w:t xml:space="preserve">he </w:t>
      </w:r>
      <w:r w:rsidR="00B118F1" w:rsidRPr="004963EE" w:rsidDel="006A1E20">
        <w:rPr>
          <w:rFonts w:ascii="Times New Roman" w:hAnsi="Times New Roman"/>
          <w:i/>
          <w:iCs/>
        </w:rPr>
        <w:t>Residential Tenancies Act 1999</w:t>
      </w:r>
      <w:r w:rsidR="00B118F1" w:rsidRPr="004963EE" w:rsidDel="006A1E20">
        <w:rPr>
          <w:rFonts w:ascii="Times New Roman" w:hAnsi="Times New Roman"/>
        </w:rPr>
        <w:t xml:space="preserve"> (NT) (the "</w:t>
      </w:r>
      <w:r w:rsidR="00B118F1" w:rsidRPr="004963EE" w:rsidDel="006A1E20">
        <w:rPr>
          <w:rFonts w:ascii="Times New Roman" w:hAnsi="Times New Roman"/>
          <w:i/>
          <w:iCs/>
        </w:rPr>
        <w:t>RT</w:t>
      </w:r>
      <w:r w:rsidR="00934720" w:rsidRPr="004963EE">
        <w:rPr>
          <w:rFonts w:ascii="Times New Roman" w:hAnsi="Times New Roman"/>
          <w:i/>
          <w:iCs/>
        </w:rPr>
        <w:t> </w:t>
      </w:r>
      <w:r w:rsidR="00B118F1" w:rsidRPr="004963EE" w:rsidDel="006A1E20">
        <w:rPr>
          <w:rFonts w:ascii="Times New Roman" w:hAnsi="Times New Roman"/>
          <w:i/>
          <w:iCs/>
        </w:rPr>
        <w:t>Act</w:t>
      </w:r>
      <w:r w:rsidR="00B118F1" w:rsidRPr="004963EE" w:rsidDel="006A1E20">
        <w:rPr>
          <w:rFonts w:ascii="Times New Roman" w:hAnsi="Times New Roman"/>
        </w:rPr>
        <w:t xml:space="preserve">") applies in relation to premises let under the </w:t>
      </w:r>
      <w:r w:rsidR="00B118F1" w:rsidRPr="004963EE" w:rsidDel="006A1E20">
        <w:rPr>
          <w:rFonts w:ascii="Times New Roman" w:hAnsi="Times New Roman"/>
          <w:i/>
          <w:iCs/>
        </w:rPr>
        <w:t>Housing Act</w:t>
      </w:r>
      <w:r w:rsidR="00B118F1" w:rsidRPr="004963EE" w:rsidDel="006A1E20">
        <w:rPr>
          <w:rFonts w:ascii="Times New Roman" w:hAnsi="Times New Roman"/>
        </w:rPr>
        <w:t>.</w:t>
      </w:r>
      <w:r w:rsidR="009D1DB6" w:rsidRPr="004963EE">
        <w:rPr>
          <w:rStyle w:val="FootnoteReference"/>
          <w:rFonts w:ascii="Times New Roman" w:hAnsi="Times New Roman"/>
          <w:sz w:val="24"/>
        </w:rPr>
        <w:footnoteReference w:id="9"/>
      </w:r>
      <w:r w:rsidR="00B118F1" w:rsidRPr="004963EE" w:rsidDel="006A1E20">
        <w:rPr>
          <w:rFonts w:ascii="Times New Roman" w:hAnsi="Times New Roman"/>
        </w:rPr>
        <w:t xml:space="preserve"> </w:t>
      </w:r>
      <w:r w:rsidRPr="004963EE">
        <w:rPr>
          <w:rFonts w:ascii="Times New Roman" w:hAnsi="Times New Roman"/>
        </w:rPr>
        <w:t xml:space="preserve">The objects of the </w:t>
      </w:r>
      <w:r w:rsidRPr="004963EE">
        <w:rPr>
          <w:rFonts w:ascii="Times New Roman" w:hAnsi="Times New Roman"/>
          <w:i/>
          <w:iCs/>
        </w:rPr>
        <w:t>RT</w:t>
      </w:r>
      <w:r w:rsidR="00934720" w:rsidRPr="004963EE">
        <w:rPr>
          <w:rFonts w:ascii="Times New Roman" w:hAnsi="Times New Roman"/>
          <w:i/>
          <w:iCs/>
        </w:rPr>
        <w:t> </w:t>
      </w:r>
      <w:r w:rsidRPr="004963EE">
        <w:rPr>
          <w:rFonts w:ascii="Times New Roman" w:hAnsi="Times New Roman"/>
          <w:i/>
          <w:iCs/>
        </w:rPr>
        <w:t>Act</w:t>
      </w:r>
      <w:r w:rsidRPr="004963EE">
        <w:rPr>
          <w:rFonts w:ascii="Times New Roman" w:hAnsi="Times New Roman"/>
        </w:rPr>
        <w:t xml:space="preserve"> in</w:t>
      </w:r>
      <w:r w:rsidR="00F708DD" w:rsidRPr="004963EE">
        <w:rPr>
          <w:rFonts w:ascii="Times New Roman" w:hAnsi="Times New Roman"/>
        </w:rPr>
        <w:t>clude ensuring that tenants are provided with safe and habitable premises under tenancy agreements and enjoy appropriate security of tenure</w:t>
      </w:r>
      <w:r w:rsidR="00130612" w:rsidRPr="004963EE">
        <w:rPr>
          <w:rFonts w:ascii="Times New Roman" w:hAnsi="Times New Roman"/>
        </w:rPr>
        <w:t>,</w:t>
      </w:r>
      <w:r w:rsidR="00F708DD" w:rsidRPr="004963EE">
        <w:rPr>
          <w:rFonts w:ascii="Times New Roman" w:hAnsi="Times New Roman"/>
        </w:rPr>
        <w:t xml:space="preserve"> </w:t>
      </w:r>
      <w:r w:rsidR="00372134" w:rsidRPr="004963EE">
        <w:rPr>
          <w:rFonts w:ascii="Times New Roman" w:hAnsi="Times New Roman"/>
        </w:rPr>
        <w:t>as well as</w:t>
      </w:r>
      <w:r w:rsidR="00F708DD" w:rsidRPr="004963EE">
        <w:rPr>
          <w:rFonts w:ascii="Times New Roman" w:hAnsi="Times New Roman"/>
        </w:rPr>
        <w:t xml:space="preserve"> </w:t>
      </w:r>
      <w:r w:rsidR="00153945" w:rsidRPr="004963EE">
        <w:rPr>
          <w:rFonts w:ascii="Times New Roman" w:hAnsi="Times New Roman"/>
        </w:rPr>
        <w:t xml:space="preserve">facilitating </w:t>
      </w:r>
      <w:r w:rsidR="00C01AB4" w:rsidRPr="004963EE">
        <w:rPr>
          <w:rFonts w:ascii="Times New Roman" w:hAnsi="Times New Roman"/>
        </w:rPr>
        <w:t xml:space="preserve">landlords receiving a </w:t>
      </w:r>
      <w:r w:rsidR="009E300B" w:rsidRPr="004963EE">
        <w:rPr>
          <w:rFonts w:ascii="Times New Roman" w:hAnsi="Times New Roman"/>
        </w:rPr>
        <w:t>"</w:t>
      </w:r>
      <w:r w:rsidR="00C01AB4" w:rsidRPr="004963EE">
        <w:rPr>
          <w:rFonts w:ascii="Times New Roman" w:hAnsi="Times New Roman"/>
        </w:rPr>
        <w:t>fair rent</w:t>
      </w:r>
      <w:r w:rsidR="009E300B" w:rsidRPr="004963EE">
        <w:rPr>
          <w:rFonts w:ascii="Times New Roman" w:hAnsi="Times New Roman"/>
        </w:rPr>
        <w:t>"</w:t>
      </w:r>
      <w:r w:rsidR="00C01AB4" w:rsidRPr="004963EE">
        <w:rPr>
          <w:rFonts w:ascii="Times New Roman" w:hAnsi="Times New Roman"/>
        </w:rPr>
        <w:t xml:space="preserve"> in return for providing safe and habitable accommodation to tenants.</w:t>
      </w:r>
      <w:r w:rsidR="00C01AB4" w:rsidRPr="004963EE">
        <w:rPr>
          <w:rStyle w:val="FootnoteReference"/>
          <w:rFonts w:ascii="Times New Roman" w:hAnsi="Times New Roman"/>
          <w:sz w:val="24"/>
        </w:rPr>
        <w:footnoteReference w:id="10"/>
      </w:r>
    </w:p>
    <w:p w14:paraId="6B3A31B1" w14:textId="34DCDCE3" w:rsidR="009B0909" w:rsidRPr="004963EE" w:rsidRDefault="000F5C86"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The appellants relied upon </w:t>
      </w:r>
      <w:r w:rsidR="009C62F0" w:rsidRPr="004963EE">
        <w:rPr>
          <w:rFonts w:ascii="Times New Roman" w:hAnsi="Times New Roman"/>
        </w:rPr>
        <w:t>several</w:t>
      </w:r>
      <w:r w:rsidRPr="004963EE">
        <w:rPr>
          <w:rFonts w:ascii="Times New Roman" w:hAnsi="Times New Roman"/>
        </w:rPr>
        <w:t xml:space="preserve"> provisions of the </w:t>
      </w:r>
      <w:r w:rsidRPr="004963EE">
        <w:rPr>
          <w:rFonts w:ascii="Times New Roman" w:hAnsi="Times New Roman"/>
          <w:i/>
          <w:iCs/>
        </w:rPr>
        <w:t>RT</w:t>
      </w:r>
      <w:r w:rsidR="00193F43" w:rsidRPr="004963EE">
        <w:rPr>
          <w:rFonts w:ascii="Times New Roman" w:hAnsi="Times New Roman"/>
          <w:i/>
          <w:iCs/>
        </w:rPr>
        <w:t> </w:t>
      </w:r>
      <w:r w:rsidRPr="004963EE">
        <w:rPr>
          <w:rFonts w:ascii="Times New Roman" w:hAnsi="Times New Roman"/>
          <w:i/>
          <w:iCs/>
        </w:rPr>
        <w:t>Act</w:t>
      </w:r>
      <w:r w:rsidRPr="004963EE">
        <w:rPr>
          <w:rFonts w:ascii="Times New Roman" w:hAnsi="Times New Roman"/>
        </w:rPr>
        <w:t>.</w:t>
      </w:r>
      <w:r w:rsidR="00C81101" w:rsidRPr="004963EE">
        <w:rPr>
          <w:rFonts w:ascii="Times New Roman" w:hAnsi="Times New Roman"/>
        </w:rPr>
        <w:t xml:space="preserve"> </w:t>
      </w:r>
      <w:r w:rsidR="00B37D8E" w:rsidRPr="004963EE">
        <w:rPr>
          <w:rFonts w:ascii="Times New Roman" w:hAnsi="Times New Roman"/>
        </w:rPr>
        <w:t>The first is</w:t>
      </w:r>
      <w:r w:rsidR="00C81101" w:rsidRPr="004963EE">
        <w:rPr>
          <w:rFonts w:ascii="Times New Roman" w:hAnsi="Times New Roman"/>
        </w:rPr>
        <w:t xml:space="preserve"> s </w:t>
      </w:r>
      <w:r w:rsidR="00B37D8E" w:rsidRPr="004963EE">
        <w:rPr>
          <w:rFonts w:ascii="Times New Roman" w:hAnsi="Times New Roman"/>
        </w:rPr>
        <w:t>41.</w:t>
      </w:r>
      <w:r w:rsidR="00AD595F" w:rsidRPr="004963EE">
        <w:rPr>
          <w:rFonts w:ascii="Times New Roman" w:hAnsi="Times New Roman"/>
        </w:rPr>
        <w:t xml:space="preserve"> </w:t>
      </w:r>
      <w:r w:rsidR="00744CB0" w:rsidRPr="004963EE">
        <w:rPr>
          <w:rFonts w:ascii="Times New Roman" w:hAnsi="Times New Roman"/>
        </w:rPr>
        <w:t>It provides that a landlord may increase the rent payable</w:t>
      </w:r>
      <w:r w:rsidR="006E41AE" w:rsidRPr="004963EE">
        <w:rPr>
          <w:rFonts w:ascii="Times New Roman" w:hAnsi="Times New Roman"/>
        </w:rPr>
        <w:t xml:space="preserve"> under a tenancy agreement</w:t>
      </w:r>
      <w:r w:rsidR="00744CB0" w:rsidRPr="004963EE">
        <w:rPr>
          <w:rFonts w:ascii="Times New Roman" w:hAnsi="Times New Roman"/>
        </w:rPr>
        <w:t xml:space="preserve"> only if the right to increase the rent </w:t>
      </w:r>
      <w:r w:rsidR="00BA4B9A" w:rsidRPr="004963EE">
        <w:rPr>
          <w:rFonts w:ascii="Times New Roman" w:hAnsi="Times New Roman"/>
        </w:rPr>
        <w:t>and the amount of the increase, or the method of its calculation, are specified in the agreement.</w:t>
      </w:r>
      <w:r w:rsidR="00C81101" w:rsidRPr="004963EE">
        <w:rPr>
          <w:rFonts w:ascii="Times New Roman" w:hAnsi="Times New Roman"/>
        </w:rPr>
        <w:t xml:space="preserve"> </w:t>
      </w:r>
      <w:r w:rsidR="00F86343" w:rsidRPr="004963EE">
        <w:rPr>
          <w:rFonts w:ascii="Times New Roman" w:hAnsi="Times New Roman"/>
        </w:rPr>
        <w:t>The second is</w:t>
      </w:r>
      <w:r w:rsidR="00C81101" w:rsidRPr="004963EE">
        <w:rPr>
          <w:rFonts w:ascii="Times New Roman" w:hAnsi="Times New Roman"/>
        </w:rPr>
        <w:t xml:space="preserve"> s </w:t>
      </w:r>
      <w:r w:rsidR="00F86343" w:rsidRPr="004963EE">
        <w:rPr>
          <w:rFonts w:ascii="Times New Roman" w:hAnsi="Times New Roman"/>
        </w:rPr>
        <w:t>42.</w:t>
      </w:r>
      <w:r w:rsidR="005633FC" w:rsidRPr="004963EE">
        <w:rPr>
          <w:rFonts w:ascii="Times New Roman" w:hAnsi="Times New Roman"/>
        </w:rPr>
        <w:t xml:space="preserve"> </w:t>
      </w:r>
      <w:r w:rsidR="00F86343" w:rsidRPr="004963EE">
        <w:rPr>
          <w:rFonts w:ascii="Times New Roman" w:hAnsi="Times New Roman"/>
        </w:rPr>
        <w:t xml:space="preserve">It provides that on the application of a tenant, </w:t>
      </w:r>
      <w:r w:rsidR="00392704" w:rsidRPr="004963EE">
        <w:rPr>
          <w:rFonts w:ascii="Times New Roman" w:hAnsi="Times New Roman"/>
        </w:rPr>
        <w:t xml:space="preserve">the </w:t>
      </w:r>
      <w:r w:rsidR="0020175D" w:rsidRPr="004963EE">
        <w:rPr>
          <w:rFonts w:ascii="Times New Roman" w:hAnsi="Times New Roman"/>
        </w:rPr>
        <w:t xml:space="preserve">Northern Territory </w:t>
      </w:r>
      <w:r w:rsidR="00392704" w:rsidRPr="004963EE">
        <w:rPr>
          <w:rFonts w:ascii="Times New Roman" w:hAnsi="Times New Roman"/>
        </w:rPr>
        <w:t xml:space="preserve">Civil and </w:t>
      </w:r>
      <w:r w:rsidR="006A34DE" w:rsidRPr="004963EE">
        <w:rPr>
          <w:rFonts w:ascii="Times New Roman" w:hAnsi="Times New Roman"/>
        </w:rPr>
        <w:t>Administrative</w:t>
      </w:r>
      <w:r w:rsidR="00392704" w:rsidRPr="004963EE">
        <w:rPr>
          <w:rFonts w:ascii="Times New Roman" w:hAnsi="Times New Roman"/>
        </w:rPr>
        <w:t xml:space="preserve"> Tribunal may declare that the rent payable</w:t>
      </w:r>
      <w:r w:rsidR="006E41AE" w:rsidRPr="004963EE">
        <w:rPr>
          <w:rFonts w:ascii="Times New Roman" w:hAnsi="Times New Roman"/>
        </w:rPr>
        <w:t xml:space="preserve"> under a tenancy agreement</w:t>
      </w:r>
      <w:r w:rsidR="00392704" w:rsidRPr="004963EE">
        <w:rPr>
          <w:rFonts w:ascii="Times New Roman" w:hAnsi="Times New Roman"/>
        </w:rPr>
        <w:t xml:space="preserve"> </w:t>
      </w:r>
      <w:r w:rsidR="006A34DE" w:rsidRPr="004963EE">
        <w:rPr>
          <w:rFonts w:ascii="Times New Roman" w:hAnsi="Times New Roman"/>
        </w:rPr>
        <w:t>is "excessive"</w:t>
      </w:r>
      <w:r w:rsidR="006E41AE" w:rsidRPr="004963EE">
        <w:rPr>
          <w:rFonts w:ascii="Times New Roman" w:hAnsi="Times New Roman"/>
        </w:rPr>
        <w:t>.</w:t>
      </w:r>
      <w:r w:rsidR="00C81101" w:rsidRPr="004963EE">
        <w:rPr>
          <w:rFonts w:ascii="Times New Roman" w:hAnsi="Times New Roman"/>
        </w:rPr>
        <w:t xml:space="preserve"> </w:t>
      </w:r>
      <w:r w:rsidR="006A34DE" w:rsidRPr="004963EE">
        <w:rPr>
          <w:rFonts w:ascii="Times New Roman" w:hAnsi="Times New Roman"/>
        </w:rPr>
        <w:t>Upon making such a declaration</w:t>
      </w:r>
      <w:r w:rsidR="00305B0E" w:rsidRPr="004963EE">
        <w:rPr>
          <w:rFonts w:ascii="Times New Roman" w:hAnsi="Times New Roman"/>
        </w:rPr>
        <w:t>,</w:t>
      </w:r>
      <w:r w:rsidR="006A34DE" w:rsidRPr="004963EE">
        <w:rPr>
          <w:rFonts w:ascii="Times New Roman" w:hAnsi="Times New Roman"/>
        </w:rPr>
        <w:t xml:space="preserve"> the Tribunal may specify the rent payable and vary the </w:t>
      </w:r>
      <w:r w:rsidR="00305B0E" w:rsidRPr="004963EE">
        <w:rPr>
          <w:rFonts w:ascii="Times New Roman" w:hAnsi="Times New Roman"/>
        </w:rPr>
        <w:t>tenancy</w:t>
      </w:r>
      <w:r w:rsidR="006A34DE" w:rsidRPr="004963EE">
        <w:rPr>
          <w:rFonts w:ascii="Times New Roman" w:hAnsi="Times New Roman"/>
        </w:rPr>
        <w:t xml:space="preserve"> agreement by reducing the rent.</w:t>
      </w:r>
      <w:r w:rsidR="006A34DE" w:rsidRPr="004963EE">
        <w:rPr>
          <w:rStyle w:val="FootnoteReference"/>
          <w:rFonts w:ascii="Times New Roman" w:hAnsi="Times New Roman"/>
          <w:sz w:val="24"/>
        </w:rPr>
        <w:footnoteReference w:id="11"/>
      </w:r>
      <w:r w:rsidR="00C81101" w:rsidRPr="004963EE">
        <w:rPr>
          <w:rFonts w:ascii="Times New Roman" w:hAnsi="Times New Roman"/>
        </w:rPr>
        <w:t xml:space="preserve"> </w:t>
      </w:r>
      <w:r w:rsidR="007E0168" w:rsidRPr="004963EE">
        <w:rPr>
          <w:rFonts w:ascii="Times New Roman" w:hAnsi="Times New Roman"/>
        </w:rPr>
        <w:t>Reference was also made to</w:t>
      </w:r>
      <w:r w:rsidR="00C81101" w:rsidRPr="004963EE">
        <w:rPr>
          <w:rFonts w:ascii="Times New Roman" w:hAnsi="Times New Roman"/>
        </w:rPr>
        <w:t xml:space="preserve"> s </w:t>
      </w:r>
      <w:r w:rsidR="007E0168" w:rsidRPr="004963EE">
        <w:rPr>
          <w:rFonts w:ascii="Times New Roman" w:hAnsi="Times New Roman"/>
        </w:rPr>
        <w:t>46</w:t>
      </w:r>
      <w:r w:rsidR="00C65641" w:rsidRPr="004963EE">
        <w:rPr>
          <w:rFonts w:ascii="Times New Roman" w:hAnsi="Times New Roman"/>
        </w:rPr>
        <w:t>(1)(b)</w:t>
      </w:r>
      <w:r w:rsidR="00217E5E" w:rsidRPr="004963EE">
        <w:rPr>
          <w:rFonts w:ascii="Times New Roman" w:hAnsi="Times New Roman"/>
        </w:rPr>
        <w:t>,</w:t>
      </w:r>
      <w:r w:rsidR="007E0168" w:rsidRPr="004963EE">
        <w:rPr>
          <w:rFonts w:ascii="Times New Roman" w:hAnsi="Times New Roman"/>
        </w:rPr>
        <w:t xml:space="preserve"> which provides </w:t>
      </w:r>
      <w:r w:rsidR="00CE193F" w:rsidRPr="004963EE">
        <w:rPr>
          <w:rFonts w:ascii="Times New Roman" w:hAnsi="Times New Roman"/>
        </w:rPr>
        <w:t xml:space="preserve">that the rent </w:t>
      </w:r>
      <w:r w:rsidR="008B49FB" w:rsidRPr="004963EE">
        <w:rPr>
          <w:rFonts w:ascii="Times New Roman" w:hAnsi="Times New Roman"/>
        </w:rPr>
        <w:t xml:space="preserve">payable under a tenancy agreement </w:t>
      </w:r>
      <w:r w:rsidR="007E0168" w:rsidRPr="004963EE">
        <w:rPr>
          <w:rFonts w:ascii="Times New Roman" w:hAnsi="Times New Roman"/>
        </w:rPr>
        <w:t>may be reduced</w:t>
      </w:r>
      <w:r w:rsidR="00217E5E" w:rsidRPr="004963EE">
        <w:rPr>
          <w:rFonts w:ascii="Times New Roman" w:hAnsi="Times New Roman"/>
        </w:rPr>
        <w:t xml:space="preserve"> by </w:t>
      </w:r>
      <w:r w:rsidR="00956E06" w:rsidRPr="004963EE">
        <w:rPr>
          <w:rFonts w:ascii="Times New Roman" w:hAnsi="Times New Roman"/>
        </w:rPr>
        <w:t xml:space="preserve">mutual </w:t>
      </w:r>
      <w:r w:rsidR="00217E5E" w:rsidRPr="004963EE">
        <w:rPr>
          <w:rFonts w:ascii="Times New Roman" w:hAnsi="Times New Roman"/>
        </w:rPr>
        <w:t>agreement</w:t>
      </w:r>
      <w:r w:rsidR="00956E06" w:rsidRPr="004963EE">
        <w:rPr>
          <w:rFonts w:ascii="Times New Roman" w:hAnsi="Times New Roman"/>
        </w:rPr>
        <w:t xml:space="preserve"> between the tenant and the landlord</w:t>
      </w:r>
      <w:r w:rsidR="007E0168" w:rsidRPr="004963EE">
        <w:rPr>
          <w:rFonts w:ascii="Times New Roman" w:hAnsi="Times New Roman"/>
        </w:rPr>
        <w:t>.</w:t>
      </w:r>
      <w:r w:rsidR="00C4345B" w:rsidRPr="004963EE">
        <w:rPr>
          <w:rFonts w:ascii="Times New Roman" w:hAnsi="Times New Roman"/>
        </w:rPr>
        <w:t xml:space="preserve"> </w:t>
      </w:r>
    </w:p>
    <w:p w14:paraId="3C506CB8" w14:textId="570A4AF8" w:rsidR="00646961" w:rsidRPr="004963EE" w:rsidRDefault="00646961" w:rsidP="004963EE">
      <w:pPr>
        <w:pStyle w:val="HeadingL1"/>
        <w:spacing w:after="260" w:line="280" w:lineRule="exact"/>
        <w:ind w:right="0"/>
        <w:jc w:val="both"/>
        <w:rPr>
          <w:rFonts w:ascii="Times New Roman" w:hAnsi="Times New Roman"/>
        </w:rPr>
      </w:pPr>
      <w:r w:rsidRPr="004963EE">
        <w:rPr>
          <w:rFonts w:ascii="Times New Roman" w:hAnsi="Times New Roman"/>
        </w:rPr>
        <w:t>Facts</w:t>
      </w:r>
    </w:p>
    <w:p w14:paraId="6E539964" w14:textId="1B8016F5" w:rsidR="0082448A" w:rsidRPr="004963EE" w:rsidRDefault="00975F35" w:rsidP="004963EE">
      <w:pPr>
        <w:pStyle w:val="FixListStyle"/>
        <w:spacing w:after="260" w:line="280" w:lineRule="exact"/>
        <w:ind w:right="0"/>
        <w:jc w:val="both"/>
        <w:rPr>
          <w:rFonts w:ascii="Times New Roman" w:hAnsi="Times New Roman"/>
        </w:rPr>
      </w:pPr>
      <w:r w:rsidRPr="004963EE">
        <w:rPr>
          <w:rFonts w:ascii="Times New Roman" w:hAnsi="Times New Roman"/>
        </w:rPr>
        <w:tab/>
        <w:t>The facts were largely not in dispute.</w:t>
      </w:r>
      <w:r w:rsidR="00C81101" w:rsidRPr="004963EE">
        <w:rPr>
          <w:rFonts w:ascii="Times New Roman" w:hAnsi="Times New Roman"/>
        </w:rPr>
        <w:t xml:space="preserve"> </w:t>
      </w:r>
      <w:r w:rsidR="006270B0" w:rsidRPr="004963EE">
        <w:rPr>
          <w:rFonts w:ascii="Times New Roman" w:hAnsi="Times New Roman"/>
        </w:rPr>
        <w:t xml:space="preserve">Over 5,000 dwellings were affected by the </w:t>
      </w:r>
      <w:r w:rsidR="005F4F98" w:rsidRPr="004963EE">
        <w:rPr>
          <w:rFonts w:ascii="Times New Roman" w:hAnsi="Times New Roman"/>
        </w:rPr>
        <w:t>D</w:t>
      </w:r>
      <w:r w:rsidR="006270B0" w:rsidRPr="004963EE">
        <w:rPr>
          <w:rFonts w:ascii="Times New Roman" w:hAnsi="Times New Roman"/>
        </w:rPr>
        <w:t>eterminations.</w:t>
      </w:r>
      <w:r w:rsidR="00CA6718" w:rsidRPr="004963EE">
        <w:rPr>
          <w:rFonts w:ascii="Times New Roman" w:hAnsi="Times New Roman"/>
        </w:rPr>
        <w:t xml:space="preserve"> </w:t>
      </w:r>
      <w:r w:rsidR="003F7422" w:rsidRPr="004963EE">
        <w:rPr>
          <w:rFonts w:ascii="Times New Roman" w:hAnsi="Times New Roman"/>
        </w:rPr>
        <w:t>Mr </w:t>
      </w:r>
      <w:r w:rsidR="005C42C0" w:rsidRPr="004963EE">
        <w:rPr>
          <w:rFonts w:ascii="Times New Roman" w:hAnsi="Times New Roman"/>
        </w:rPr>
        <w:t>Asher Badari</w:t>
      </w:r>
      <w:r w:rsidR="00505BE7" w:rsidRPr="004963EE">
        <w:rPr>
          <w:rFonts w:ascii="Times New Roman" w:hAnsi="Times New Roman"/>
        </w:rPr>
        <w:t xml:space="preserve"> (the first appellant)</w:t>
      </w:r>
      <w:r w:rsidR="005C42C0" w:rsidRPr="004963EE">
        <w:rPr>
          <w:rFonts w:ascii="Times New Roman" w:hAnsi="Times New Roman"/>
        </w:rPr>
        <w:t xml:space="preserve"> and</w:t>
      </w:r>
      <w:r w:rsidR="003F7422" w:rsidRPr="004963EE">
        <w:rPr>
          <w:rFonts w:ascii="Times New Roman" w:hAnsi="Times New Roman"/>
        </w:rPr>
        <w:t xml:space="preserve"> Ms </w:t>
      </w:r>
      <w:proofErr w:type="spellStart"/>
      <w:r w:rsidR="005C42C0" w:rsidRPr="004963EE">
        <w:rPr>
          <w:rFonts w:ascii="Times New Roman" w:hAnsi="Times New Roman"/>
        </w:rPr>
        <w:t>Ricane</w:t>
      </w:r>
      <w:proofErr w:type="spellEnd"/>
      <w:r w:rsidR="00087B8C" w:rsidRPr="004963EE">
        <w:rPr>
          <w:rFonts w:ascii="Times New Roman" w:hAnsi="Times New Roman"/>
        </w:rPr>
        <w:t xml:space="preserve"> </w:t>
      </w:r>
      <w:proofErr w:type="spellStart"/>
      <w:r w:rsidR="00087B8C" w:rsidRPr="004963EE">
        <w:rPr>
          <w:rFonts w:ascii="Times New Roman" w:hAnsi="Times New Roman"/>
        </w:rPr>
        <w:t>Gal</w:t>
      </w:r>
      <w:r w:rsidR="00376610" w:rsidRPr="004963EE">
        <w:rPr>
          <w:rFonts w:ascii="Times New Roman" w:hAnsi="Times New Roman"/>
        </w:rPr>
        <w:t>aminda</w:t>
      </w:r>
      <w:proofErr w:type="spellEnd"/>
      <w:r w:rsidR="00505BE7" w:rsidRPr="004963EE">
        <w:rPr>
          <w:rFonts w:ascii="Times New Roman" w:hAnsi="Times New Roman"/>
        </w:rPr>
        <w:t xml:space="preserve"> (the second appellant)</w:t>
      </w:r>
      <w:r w:rsidR="00CF0FA5" w:rsidRPr="004963EE">
        <w:rPr>
          <w:rFonts w:ascii="Times New Roman" w:hAnsi="Times New Roman"/>
        </w:rPr>
        <w:t xml:space="preserve"> were parties to a </w:t>
      </w:r>
      <w:r w:rsidR="00AC384A" w:rsidRPr="004963EE">
        <w:rPr>
          <w:rFonts w:ascii="Times New Roman" w:hAnsi="Times New Roman"/>
        </w:rPr>
        <w:t xml:space="preserve">tenancy </w:t>
      </w:r>
      <w:r w:rsidR="00CF0FA5" w:rsidRPr="004963EE">
        <w:rPr>
          <w:rFonts w:ascii="Times New Roman" w:hAnsi="Times New Roman"/>
        </w:rPr>
        <w:t>agreement</w:t>
      </w:r>
      <w:r w:rsidR="00DD77DC" w:rsidRPr="004963EE">
        <w:rPr>
          <w:rFonts w:ascii="Times New Roman" w:hAnsi="Times New Roman"/>
        </w:rPr>
        <w:t xml:space="preserve"> dated 2</w:t>
      </w:r>
      <w:r w:rsidR="00CC650E" w:rsidRPr="004963EE">
        <w:rPr>
          <w:rFonts w:ascii="Times New Roman" w:hAnsi="Times New Roman"/>
        </w:rPr>
        <w:t> </w:t>
      </w:r>
      <w:r w:rsidR="00DD77DC" w:rsidRPr="004963EE">
        <w:rPr>
          <w:rFonts w:ascii="Times New Roman" w:hAnsi="Times New Roman"/>
        </w:rPr>
        <w:t>November 2011</w:t>
      </w:r>
      <w:r w:rsidR="00CF0FA5" w:rsidRPr="004963EE">
        <w:rPr>
          <w:rFonts w:ascii="Times New Roman" w:hAnsi="Times New Roman"/>
        </w:rPr>
        <w:t xml:space="preserve"> </w:t>
      </w:r>
      <w:r w:rsidR="00A82242" w:rsidRPr="004963EE">
        <w:rPr>
          <w:rFonts w:ascii="Times New Roman" w:hAnsi="Times New Roman"/>
        </w:rPr>
        <w:t>in respect of</w:t>
      </w:r>
      <w:r w:rsidR="00CF0FA5" w:rsidRPr="004963EE">
        <w:rPr>
          <w:rFonts w:ascii="Times New Roman" w:hAnsi="Times New Roman"/>
        </w:rPr>
        <w:t xml:space="preserve"> a </w:t>
      </w:r>
      <w:r w:rsidR="008D00C4" w:rsidRPr="004963EE">
        <w:rPr>
          <w:rFonts w:ascii="Times New Roman" w:hAnsi="Times New Roman"/>
        </w:rPr>
        <w:t>four</w:t>
      </w:r>
      <w:r w:rsidR="003F7422" w:rsidRPr="004963EE">
        <w:rPr>
          <w:rFonts w:ascii="Times New Roman" w:hAnsi="Times New Roman"/>
        </w:rPr>
        <w:t>-</w:t>
      </w:r>
      <w:r w:rsidR="008D00C4" w:rsidRPr="004963EE">
        <w:rPr>
          <w:rFonts w:ascii="Times New Roman" w:hAnsi="Times New Roman"/>
        </w:rPr>
        <w:t xml:space="preserve">bedroom </w:t>
      </w:r>
      <w:r w:rsidR="00A82242" w:rsidRPr="004963EE">
        <w:rPr>
          <w:rFonts w:ascii="Times New Roman" w:hAnsi="Times New Roman"/>
        </w:rPr>
        <w:t>house</w:t>
      </w:r>
      <w:r w:rsidR="00CF0FA5" w:rsidRPr="004963EE">
        <w:rPr>
          <w:rFonts w:ascii="Times New Roman" w:hAnsi="Times New Roman"/>
        </w:rPr>
        <w:t xml:space="preserve">, </w:t>
      </w:r>
      <w:r w:rsidR="0012562E" w:rsidRPr="004963EE">
        <w:rPr>
          <w:rFonts w:ascii="Times New Roman" w:hAnsi="Times New Roman"/>
        </w:rPr>
        <w:t>in which</w:t>
      </w:r>
      <w:r w:rsidR="00CF0FA5" w:rsidRPr="004963EE">
        <w:rPr>
          <w:rFonts w:ascii="Times New Roman" w:hAnsi="Times New Roman"/>
        </w:rPr>
        <w:t xml:space="preserve"> they live, in </w:t>
      </w:r>
      <w:proofErr w:type="spellStart"/>
      <w:r w:rsidR="00CF0FA5" w:rsidRPr="004963EE">
        <w:rPr>
          <w:rFonts w:ascii="Times New Roman" w:hAnsi="Times New Roman"/>
        </w:rPr>
        <w:t>Gunbalanya</w:t>
      </w:r>
      <w:proofErr w:type="spellEnd"/>
      <w:r w:rsidR="00045947" w:rsidRPr="004963EE">
        <w:rPr>
          <w:rFonts w:ascii="Times New Roman" w:hAnsi="Times New Roman"/>
        </w:rPr>
        <w:t xml:space="preserve"> in Arnhem </w:t>
      </w:r>
      <w:r w:rsidR="00387167" w:rsidRPr="004963EE">
        <w:rPr>
          <w:rFonts w:ascii="Times New Roman" w:hAnsi="Times New Roman"/>
        </w:rPr>
        <w:t>L</w:t>
      </w:r>
      <w:r w:rsidR="00045947" w:rsidRPr="004963EE">
        <w:rPr>
          <w:rFonts w:ascii="Times New Roman" w:hAnsi="Times New Roman"/>
        </w:rPr>
        <w:t>and</w:t>
      </w:r>
      <w:r w:rsidR="00CF0FA5" w:rsidRPr="004963EE">
        <w:rPr>
          <w:rFonts w:ascii="Times New Roman" w:hAnsi="Times New Roman"/>
        </w:rPr>
        <w:t>.</w:t>
      </w:r>
      <w:r w:rsidR="002014D5" w:rsidRPr="004963EE">
        <w:rPr>
          <w:rFonts w:ascii="Times New Roman" w:hAnsi="Times New Roman"/>
        </w:rPr>
        <w:t xml:space="preserve"> </w:t>
      </w:r>
      <w:r w:rsidR="003F7422" w:rsidRPr="004963EE">
        <w:rPr>
          <w:rFonts w:ascii="Times New Roman" w:hAnsi="Times New Roman"/>
        </w:rPr>
        <w:t>Mr </w:t>
      </w:r>
      <w:r w:rsidR="000B01EF" w:rsidRPr="004963EE">
        <w:rPr>
          <w:rFonts w:ascii="Times New Roman" w:hAnsi="Times New Roman"/>
        </w:rPr>
        <w:t xml:space="preserve">Lofty </w:t>
      </w:r>
      <w:proofErr w:type="spellStart"/>
      <w:r w:rsidR="000B01EF" w:rsidRPr="004963EE">
        <w:rPr>
          <w:rFonts w:ascii="Times New Roman" w:hAnsi="Times New Roman"/>
        </w:rPr>
        <w:t>Nadjamerrek</w:t>
      </w:r>
      <w:proofErr w:type="spellEnd"/>
      <w:r w:rsidR="00505BE7" w:rsidRPr="004963EE">
        <w:rPr>
          <w:rFonts w:ascii="Times New Roman" w:hAnsi="Times New Roman"/>
        </w:rPr>
        <w:t xml:space="preserve"> (the third appellant)</w:t>
      </w:r>
      <w:r w:rsidR="00222E9D" w:rsidRPr="004963EE">
        <w:rPr>
          <w:rFonts w:ascii="Times New Roman" w:hAnsi="Times New Roman"/>
        </w:rPr>
        <w:t xml:space="preserve"> was a party to a </w:t>
      </w:r>
      <w:r w:rsidR="00F55633" w:rsidRPr="004963EE">
        <w:rPr>
          <w:rFonts w:ascii="Times New Roman" w:hAnsi="Times New Roman"/>
        </w:rPr>
        <w:t xml:space="preserve">tenancy </w:t>
      </w:r>
      <w:r w:rsidR="00222E9D" w:rsidRPr="004963EE">
        <w:rPr>
          <w:rFonts w:ascii="Times New Roman" w:hAnsi="Times New Roman"/>
        </w:rPr>
        <w:t xml:space="preserve">agreement dated </w:t>
      </w:r>
      <w:r w:rsidR="00536330" w:rsidRPr="004963EE">
        <w:rPr>
          <w:rFonts w:ascii="Times New Roman" w:hAnsi="Times New Roman"/>
        </w:rPr>
        <w:t>14</w:t>
      </w:r>
      <w:r w:rsidR="00787BB5" w:rsidRPr="004963EE">
        <w:rPr>
          <w:rFonts w:ascii="Times New Roman" w:hAnsi="Times New Roman"/>
        </w:rPr>
        <w:t> </w:t>
      </w:r>
      <w:r w:rsidR="00536330" w:rsidRPr="004963EE">
        <w:rPr>
          <w:rFonts w:ascii="Times New Roman" w:hAnsi="Times New Roman"/>
        </w:rPr>
        <w:t xml:space="preserve">December 2022 </w:t>
      </w:r>
      <w:r w:rsidR="00222E9D" w:rsidRPr="004963EE">
        <w:rPr>
          <w:rFonts w:ascii="Times New Roman" w:hAnsi="Times New Roman"/>
        </w:rPr>
        <w:t xml:space="preserve">in respect of </w:t>
      </w:r>
      <w:r w:rsidR="0012562E" w:rsidRPr="004963EE">
        <w:rPr>
          <w:rFonts w:ascii="Times New Roman" w:hAnsi="Times New Roman"/>
        </w:rPr>
        <w:t>a two</w:t>
      </w:r>
      <w:r w:rsidR="003F7422" w:rsidRPr="004963EE">
        <w:rPr>
          <w:rFonts w:ascii="Times New Roman" w:hAnsi="Times New Roman"/>
        </w:rPr>
        <w:t>-</w:t>
      </w:r>
      <w:r w:rsidR="0012562E" w:rsidRPr="004963EE">
        <w:rPr>
          <w:rFonts w:ascii="Times New Roman" w:hAnsi="Times New Roman"/>
        </w:rPr>
        <w:t>bedroom</w:t>
      </w:r>
      <w:r w:rsidR="00222E9D" w:rsidRPr="004963EE">
        <w:rPr>
          <w:rFonts w:ascii="Times New Roman" w:hAnsi="Times New Roman"/>
        </w:rPr>
        <w:t xml:space="preserve"> house </w:t>
      </w:r>
      <w:r w:rsidR="0012562E" w:rsidRPr="004963EE">
        <w:rPr>
          <w:rFonts w:ascii="Times New Roman" w:hAnsi="Times New Roman"/>
        </w:rPr>
        <w:t xml:space="preserve">also </w:t>
      </w:r>
      <w:r w:rsidR="00222E9D" w:rsidRPr="004963EE">
        <w:rPr>
          <w:rFonts w:ascii="Times New Roman" w:hAnsi="Times New Roman"/>
        </w:rPr>
        <w:t xml:space="preserve">located in </w:t>
      </w:r>
      <w:proofErr w:type="spellStart"/>
      <w:r w:rsidR="00222E9D" w:rsidRPr="004963EE">
        <w:rPr>
          <w:rFonts w:ascii="Times New Roman" w:hAnsi="Times New Roman"/>
        </w:rPr>
        <w:t>Gunbalanya</w:t>
      </w:r>
      <w:proofErr w:type="spellEnd"/>
      <w:r w:rsidR="00222E9D" w:rsidRPr="004963EE">
        <w:rPr>
          <w:rFonts w:ascii="Times New Roman" w:hAnsi="Times New Roman"/>
        </w:rPr>
        <w:t>.</w:t>
      </w:r>
      <w:r w:rsidR="002F463F" w:rsidRPr="004963EE">
        <w:rPr>
          <w:rFonts w:ascii="Times New Roman" w:hAnsi="Times New Roman"/>
        </w:rPr>
        <w:t xml:space="preserve"> </w:t>
      </w:r>
      <w:r w:rsidR="003F7422" w:rsidRPr="004963EE">
        <w:rPr>
          <w:rFonts w:ascii="Times New Roman" w:hAnsi="Times New Roman"/>
        </w:rPr>
        <w:t>Ms </w:t>
      </w:r>
      <w:proofErr w:type="spellStart"/>
      <w:r w:rsidR="00FE3A4D" w:rsidRPr="004963EE">
        <w:rPr>
          <w:rFonts w:ascii="Times New Roman" w:hAnsi="Times New Roman"/>
        </w:rPr>
        <w:t>Carmelena</w:t>
      </w:r>
      <w:proofErr w:type="spellEnd"/>
      <w:r w:rsidR="00FE3A4D" w:rsidRPr="004963EE">
        <w:rPr>
          <w:rFonts w:ascii="Times New Roman" w:hAnsi="Times New Roman"/>
        </w:rPr>
        <w:t xml:space="preserve"> </w:t>
      </w:r>
      <w:proofErr w:type="spellStart"/>
      <w:r w:rsidR="00FE3A4D" w:rsidRPr="004963EE">
        <w:rPr>
          <w:rFonts w:ascii="Times New Roman" w:hAnsi="Times New Roman"/>
        </w:rPr>
        <w:t>Tilmouth</w:t>
      </w:r>
      <w:proofErr w:type="spellEnd"/>
      <w:r w:rsidR="00505BE7" w:rsidRPr="004963EE">
        <w:rPr>
          <w:rFonts w:ascii="Times New Roman" w:hAnsi="Times New Roman"/>
        </w:rPr>
        <w:t xml:space="preserve"> (the fourth appellant)</w:t>
      </w:r>
      <w:r w:rsidR="00FE3A4D" w:rsidRPr="004963EE">
        <w:rPr>
          <w:rFonts w:ascii="Times New Roman" w:hAnsi="Times New Roman"/>
        </w:rPr>
        <w:t xml:space="preserve"> was a party to a </w:t>
      </w:r>
      <w:r w:rsidR="009B3CAC" w:rsidRPr="004963EE">
        <w:rPr>
          <w:rFonts w:ascii="Times New Roman" w:hAnsi="Times New Roman"/>
        </w:rPr>
        <w:t xml:space="preserve">tenancy </w:t>
      </w:r>
      <w:r w:rsidR="00FE3A4D" w:rsidRPr="004963EE">
        <w:rPr>
          <w:rFonts w:ascii="Times New Roman" w:hAnsi="Times New Roman"/>
        </w:rPr>
        <w:t>agreement dated 20</w:t>
      </w:r>
      <w:r w:rsidR="003F7422" w:rsidRPr="004963EE">
        <w:rPr>
          <w:rFonts w:ascii="Times New Roman" w:hAnsi="Times New Roman"/>
        </w:rPr>
        <w:t> </w:t>
      </w:r>
      <w:r w:rsidR="00FE3A4D" w:rsidRPr="004963EE">
        <w:rPr>
          <w:rFonts w:ascii="Times New Roman" w:hAnsi="Times New Roman"/>
        </w:rPr>
        <w:t>October 2020</w:t>
      </w:r>
      <w:r w:rsidR="00045947" w:rsidRPr="004963EE">
        <w:rPr>
          <w:rFonts w:ascii="Times New Roman" w:hAnsi="Times New Roman"/>
        </w:rPr>
        <w:t xml:space="preserve"> in respect of a three</w:t>
      </w:r>
      <w:r w:rsidR="003F7422" w:rsidRPr="004963EE">
        <w:rPr>
          <w:rFonts w:ascii="Times New Roman" w:hAnsi="Times New Roman"/>
        </w:rPr>
        <w:t>-</w:t>
      </w:r>
      <w:r w:rsidR="00045947" w:rsidRPr="004963EE">
        <w:rPr>
          <w:rFonts w:ascii="Times New Roman" w:hAnsi="Times New Roman"/>
        </w:rPr>
        <w:t xml:space="preserve">bedroom house located in </w:t>
      </w:r>
      <w:proofErr w:type="spellStart"/>
      <w:r w:rsidR="00045947" w:rsidRPr="004963EE">
        <w:rPr>
          <w:rFonts w:ascii="Times New Roman" w:hAnsi="Times New Roman"/>
        </w:rPr>
        <w:t>Laramba</w:t>
      </w:r>
      <w:proofErr w:type="spellEnd"/>
      <w:r w:rsidR="00045947" w:rsidRPr="004963EE">
        <w:rPr>
          <w:rFonts w:ascii="Times New Roman" w:hAnsi="Times New Roman"/>
        </w:rPr>
        <w:t xml:space="preserve"> in the Central Desert.</w:t>
      </w:r>
      <w:r w:rsidR="00C81101" w:rsidRPr="004963EE">
        <w:rPr>
          <w:rFonts w:ascii="Times New Roman" w:hAnsi="Times New Roman"/>
        </w:rPr>
        <w:t xml:space="preserve"> </w:t>
      </w:r>
    </w:p>
    <w:p w14:paraId="3C901967" w14:textId="3F6EEE3D" w:rsidR="00646961" w:rsidRPr="004963EE" w:rsidRDefault="0082448A"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832648" w:rsidRPr="004963EE">
        <w:rPr>
          <w:rFonts w:ascii="Times New Roman" w:hAnsi="Times New Roman"/>
        </w:rPr>
        <w:t xml:space="preserve">The exact amount of rent </w:t>
      </w:r>
      <w:r w:rsidRPr="004963EE">
        <w:rPr>
          <w:rFonts w:ascii="Times New Roman" w:hAnsi="Times New Roman"/>
        </w:rPr>
        <w:t xml:space="preserve">that had been </w:t>
      </w:r>
      <w:r w:rsidR="00832648" w:rsidRPr="004963EE">
        <w:rPr>
          <w:rFonts w:ascii="Times New Roman" w:hAnsi="Times New Roman"/>
        </w:rPr>
        <w:t xml:space="preserve">payable </w:t>
      </w:r>
      <w:r w:rsidR="00D96BEB" w:rsidRPr="004963EE">
        <w:rPr>
          <w:rFonts w:ascii="Times New Roman" w:hAnsi="Times New Roman"/>
        </w:rPr>
        <w:t xml:space="preserve">prior to the </w:t>
      </w:r>
      <w:r w:rsidR="00660DAF" w:rsidRPr="004963EE">
        <w:rPr>
          <w:rFonts w:ascii="Times New Roman" w:hAnsi="Times New Roman"/>
        </w:rPr>
        <w:t>D</w:t>
      </w:r>
      <w:r w:rsidR="00D96BEB" w:rsidRPr="004963EE">
        <w:rPr>
          <w:rFonts w:ascii="Times New Roman" w:hAnsi="Times New Roman"/>
        </w:rPr>
        <w:t xml:space="preserve">eterminations </w:t>
      </w:r>
      <w:r w:rsidR="00832648" w:rsidRPr="004963EE">
        <w:rPr>
          <w:rFonts w:ascii="Times New Roman" w:hAnsi="Times New Roman"/>
        </w:rPr>
        <w:t xml:space="preserve">under these </w:t>
      </w:r>
      <w:r w:rsidR="00A15B69" w:rsidRPr="004963EE">
        <w:rPr>
          <w:rFonts w:ascii="Times New Roman" w:hAnsi="Times New Roman"/>
        </w:rPr>
        <w:t xml:space="preserve">tenancy agreements </w:t>
      </w:r>
      <w:r w:rsidR="00832648" w:rsidRPr="004963EE">
        <w:rPr>
          <w:rFonts w:ascii="Times New Roman" w:hAnsi="Times New Roman"/>
        </w:rPr>
        <w:t>was disputed.</w:t>
      </w:r>
      <w:r w:rsidR="00207015" w:rsidRPr="004963EE">
        <w:rPr>
          <w:rFonts w:ascii="Times New Roman" w:hAnsi="Times New Roman"/>
        </w:rPr>
        <w:t xml:space="preserve"> </w:t>
      </w:r>
      <w:r w:rsidR="00BC2DA5" w:rsidRPr="004963EE">
        <w:rPr>
          <w:rFonts w:ascii="Times New Roman" w:hAnsi="Times New Roman"/>
        </w:rPr>
        <w:t>It differed from tenant to tenant.</w:t>
      </w:r>
      <w:r w:rsidR="00CA4F30" w:rsidRPr="004963EE">
        <w:rPr>
          <w:rFonts w:ascii="Times New Roman" w:hAnsi="Times New Roman"/>
        </w:rPr>
        <w:t xml:space="preserve"> </w:t>
      </w:r>
      <w:r w:rsidR="00510E22" w:rsidRPr="004963EE">
        <w:rPr>
          <w:rFonts w:ascii="Times New Roman" w:hAnsi="Times New Roman"/>
        </w:rPr>
        <w:t xml:space="preserve">In the </w:t>
      </w:r>
      <w:r w:rsidR="00727C7A" w:rsidRPr="004963EE">
        <w:rPr>
          <w:rFonts w:ascii="Times New Roman" w:hAnsi="Times New Roman"/>
        </w:rPr>
        <w:t>tenancy</w:t>
      </w:r>
      <w:r w:rsidR="00510E22" w:rsidRPr="004963EE">
        <w:rPr>
          <w:rFonts w:ascii="Times New Roman" w:hAnsi="Times New Roman"/>
        </w:rPr>
        <w:t xml:space="preserve"> agreement for</w:t>
      </w:r>
      <w:r w:rsidR="003F7422" w:rsidRPr="004963EE">
        <w:rPr>
          <w:rFonts w:ascii="Times New Roman" w:hAnsi="Times New Roman"/>
        </w:rPr>
        <w:t xml:space="preserve"> Mr </w:t>
      </w:r>
      <w:r w:rsidR="00510E22" w:rsidRPr="004963EE">
        <w:rPr>
          <w:rFonts w:ascii="Times New Roman" w:hAnsi="Times New Roman"/>
        </w:rPr>
        <w:t>Badari and</w:t>
      </w:r>
      <w:r w:rsidR="003F7422" w:rsidRPr="004963EE">
        <w:rPr>
          <w:rFonts w:ascii="Times New Roman" w:hAnsi="Times New Roman"/>
        </w:rPr>
        <w:t xml:space="preserve"> Ms </w:t>
      </w:r>
      <w:proofErr w:type="spellStart"/>
      <w:r w:rsidR="00510E22" w:rsidRPr="004963EE">
        <w:rPr>
          <w:rFonts w:ascii="Times New Roman" w:hAnsi="Times New Roman"/>
        </w:rPr>
        <w:t>Galaminda</w:t>
      </w:r>
      <w:proofErr w:type="spellEnd"/>
      <w:r w:rsidR="00510E22" w:rsidRPr="004963EE">
        <w:rPr>
          <w:rFonts w:ascii="Times New Roman" w:hAnsi="Times New Roman"/>
        </w:rPr>
        <w:t xml:space="preserve">, </w:t>
      </w:r>
      <w:r w:rsidR="005B1B58" w:rsidRPr="004963EE">
        <w:rPr>
          <w:rFonts w:ascii="Times New Roman" w:hAnsi="Times New Roman"/>
        </w:rPr>
        <w:t xml:space="preserve">and </w:t>
      </w:r>
      <w:r w:rsidR="008544E5" w:rsidRPr="004963EE">
        <w:rPr>
          <w:rFonts w:ascii="Times New Roman" w:hAnsi="Times New Roman"/>
        </w:rPr>
        <w:t>the tenancy agreement for</w:t>
      </w:r>
      <w:r w:rsidR="00297AD6" w:rsidRPr="004963EE">
        <w:rPr>
          <w:rFonts w:ascii="Times New Roman" w:hAnsi="Times New Roman"/>
        </w:rPr>
        <w:t xml:space="preserve"> </w:t>
      </w:r>
      <w:r w:rsidR="003F7422" w:rsidRPr="004963EE">
        <w:rPr>
          <w:rFonts w:ascii="Times New Roman" w:hAnsi="Times New Roman"/>
        </w:rPr>
        <w:t>Mr </w:t>
      </w:r>
      <w:proofErr w:type="spellStart"/>
      <w:r w:rsidR="005B1B58" w:rsidRPr="004963EE">
        <w:rPr>
          <w:rFonts w:ascii="Times New Roman" w:hAnsi="Times New Roman"/>
        </w:rPr>
        <w:t>Nadjamerrek</w:t>
      </w:r>
      <w:proofErr w:type="spellEnd"/>
      <w:r w:rsidR="005B1B58" w:rsidRPr="004963EE">
        <w:rPr>
          <w:rFonts w:ascii="Times New Roman" w:hAnsi="Times New Roman"/>
        </w:rPr>
        <w:t xml:space="preserve">, </w:t>
      </w:r>
      <w:r w:rsidR="00510E22" w:rsidRPr="004963EE">
        <w:rPr>
          <w:rFonts w:ascii="Times New Roman" w:hAnsi="Times New Roman"/>
        </w:rPr>
        <w:t>the rental amount was left blank</w:t>
      </w:r>
      <w:r w:rsidR="005B1B58" w:rsidRPr="004963EE">
        <w:rPr>
          <w:rFonts w:ascii="Times New Roman" w:hAnsi="Times New Roman"/>
        </w:rPr>
        <w:t>.</w:t>
      </w:r>
      <w:r w:rsidR="00727C7A" w:rsidRPr="004963EE">
        <w:rPr>
          <w:rFonts w:ascii="Times New Roman" w:hAnsi="Times New Roman"/>
        </w:rPr>
        <w:t xml:space="preserve"> </w:t>
      </w:r>
      <w:r w:rsidR="005B1B58" w:rsidRPr="004963EE">
        <w:rPr>
          <w:rFonts w:ascii="Times New Roman" w:hAnsi="Times New Roman"/>
        </w:rPr>
        <w:t>The appellants submitted nonethel</w:t>
      </w:r>
      <w:r w:rsidR="003F7422" w:rsidRPr="004963EE">
        <w:rPr>
          <w:rFonts w:ascii="Times New Roman" w:hAnsi="Times New Roman"/>
        </w:rPr>
        <w:t>e</w:t>
      </w:r>
      <w:r w:rsidR="005B1B58" w:rsidRPr="004963EE">
        <w:rPr>
          <w:rFonts w:ascii="Times New Roman" w:hAnsi="Times New Roman"/>
        </w:rPr>
        <w:t>ss that</w:t>
      </w:r>
      <w:r w:rsidR="003F7422" w:rsidRPr="004963EE">
        <w:rPr>
          <w:rFonts w:ascii="Times New Roman" w:hAnsi="Times New Roman"/>
        </w:rPr>
        <w:t xml:space="preserve"> Mr </w:t>
      </w:r>
      <w:r w:rsidR="005B1B58" w:rsidRPr="004963EE">
        <w:rPr>
          <w:rFonts w:ascii="Times New Roman" w:hAnsi="Times New Roman"/>
        </w:rPr>
        <w:t>Badari and</w:t>
      </w:r>
      <w:r w:rsidR="003F7422" w:rsidRPr="004963EE">
        <w:rPr>
          <w:rFonts w:ascii="Times New Roman" w:hAnsi="Times New Roman"/>
        </w:rPr>
        <w:t xml:space="preserve"> Ms </w:t>
      </w:r>
      <w:proofErr w:type="spellStart"/>
      <w:r w:rsidR="005B1B58" w:rsidRPr="004963EE">
        <w:rPr>
          <w:rFonts w:ascii="Times New Roman" w:hAnsi="Times New Roman"/>
        </w:rPr>
        <w:t>Galaminda</w:t>
      </w:r>
      <w:proofErr w:type="spellEnd"/>
      <w:r w:rsidR="0052576B" w:rsidRPr="004963EE">
        <w:rPr>
          <w:rFonts w:ascii="Times New Roman" w:hAnsi="Times New Roman"/>
        </w:rPr>
        <w:t xml:space="preserve"> prior to the issue of the </w:t>
      </w:r>
      <w:r w:rsidR="00660DAF" w:rsidRPr="004963EE">
        <w:rPr>
          <w:rFonts w:ascii="Times New Roman" w:hAnsi="Times New Roman"/>
        </w:rPr>
        <w:lastRenderedPageBreak/>
        <w:t>D</w:t>
      </w:r>
      <w:r w:rsidR="0052576B" w:rsidRPr="004963EE">
        <w:rPr>
          <w:rFonts w:ascii="Times New Roman" w:hAnsi="Times New Roman"/>
        </w:rPr>
        <w:t xml:space="preserve">eterminations paid </w:t>
      </w:r>
      <w:r w:rsidR="009A4D53" w:rsidRPr="004963EE">
        <w:rPr>
          <w:rFonts w:ascii="Times New Roman" w:hAnsi="Times New Roman"/>
        </w:rPr>
        <w:t xml:space="preserve">joint </w:t>
      </w:r>
      <w:r w:rsidR="00610079" w:rsidRPr="004963EE">
        <w:rPr>
          <w:rFonts w:ascii="Times New Roman" w:hAnsi="Times New Roman"/>
        </w:rPr>
        <w:t xml:space="preserve">rent of </w:t>
      </w:r>
      <w:r w:rsidR="0052576B" w:rsidRPr="004963EE">
        <w:rPr>
          <w:rFonts w:ascii="Times New Roman" w:hAnsi="Times New Roman"/>
        </w:rPr>
        <w:t>$81 per week;</w:t>
      </w:r>
      <w:r w:rsidR="003F7422" w:rsidRPr="004963EE">
        <w:rPr>
          <w:rFonts w:ascii="Times New Roman" w:hAnsi="Times New Roman"/>
        </w:rPr>
        <w:t xml:space="preserve"> Mr </w:t>
      </w:r>
      <w:proofErr w:type="spellStart"/>
      <w:r w:rsidR="0052576B" w:rsidRPr="004963EE">
        <w:rPr>
          <w:rFonts w:ascii="Times New Roman" w:hAnsi="Times New Roman"/>
        </w:rPr>
        <w:t>Na</w:t>
      </w:r>
      <w:r w:rsidR="00ED044D" w:rsidRPr="004963EE">
        <w:rPr>
          <w:rFonts w:ascii="Times New Roman" w:hAnsi="Times New Roman"/>
        </w:rPr>
        <w:t>djamerrek's</w:t>
      </w:r>
      <w:proofErr w:type="spellEnd"/>
      <w:r w:rsidR="00ED044D" w:rsidRPr="004963EE">
        <w:rPr>
          <w:rFonts w:ascii="Times New Roman" w:hAnsi="Times New Roman"/>
        </w:rPr>
        <w:t xml:space="preserve"> rent was</w:t>
      </w:r>
      <w:r w:rsidR="0088077B" w:rsidRPr="004963EE">
        <w:rPr>
          <w:rFonts w:ascii="Times New Roman" w:hAnsi="Times New Roman"/>
        </w:rPr>
        <w:t xml:space="preserve"> submitted to have been</w:t>
      </w:r>
      <w:r w:rsidR="00ED044D" w:rsidRPr="004963EE">
        <w:rPr>
          <w:rFonts w:ascii="Times New Roman" w:hAnsi="Times New Roman"/>
        </w:rPr>
        <w:t xml:space="preserve"> $99 per week.</w:t>
      </w:r>
      <w:r w:rsidR="00D64FA5" w:rsidRPr="004963EE">
        <w:rPr>
          <w:rFonts w:ascii="Times New Roman" w:hAnsi="Times New Roman"/>
        </w:rPr>
        <w:t xml:space="preserve"> </w:t>
      </w:r>
      <w:r w:rsidR="003F7422" w:rsidRPr="004963EE">
        <w:rPr>
          <w:rFonts w:ascii="Times New Roman" w:hAnsi="Times New Roman"/>
        </w:rPr>
        <w:t>Ms </w:t>
      </w:r>
      <w:proofErr w:type="spellStart"/>
      <w:r w:rsidR="00ED044D" w:rsidRPr="004963EE">
        <w:rPr>
          <w:rFonts w:ascii="Times New Roman" w:hAnsi="Times New Roman"/>
        </w:rPr>
        <w:t>Tilmouth's</w:t>
      </w:r>
      <w:proofErr w:type="spellEnd"/>
      <w:r w:rsidR="00ED044D" w:rsidRPr="004963EE">
        <w:rPr>
          <w:rFonts w:ascii="Times New Roman" w:hAnsi="Times New Roman"/>
        </w:rPr>
        <w:t xml:space="preserve"> </w:t>
      </w:r>
      <w:r w:rsidR="0088077B" w:rsidRPr="004963EE">
        <w:rPr>
          <w:rFonts w:ascii="Times New Roman" w:hAnsi="Times New Roman"/>
        </w:rPr>
        <w:t xml:space="preserve">tenancy agreement </w:t>
      </w:r>
      <w:r w:rsidR="00ED044D" w:rsidRPr="004963EE">
        <w:rPr>
          <w:rFonts w:ascii="Times New Roman" w:hAnsi="Times New Roman"/>
        </w:rPr>
        <w:t>stipu</w:t>
      </w:r>
      <w:r w:rsidR="00BC2DA5" w:rsidRPr="004963EE">
        <w:rPr>
          <w:rFonts w:ascii="Times New Roman" w:hAnsi="Times New Roman"/>
        </w:rPr>
        <w:t>lated that the rent payable was $140 per week.</w:t>
      </w:r>
      <w:r w:rsidR="00060F1C" w:rsidRPr="004963EE">
        <w:rPr>
          <w:rFonts w:ascii="Times New Roman" w:hAnsi="Times New Roman"/>
        </w:rPr>
        <w:t xml:space="preserve"> </w:t>
      </w:r>
      <w:r w:rsidR="004B4EA8" w:rsidRPr="004963EE">
        <w:rPr>
          <w:rFonts w:ascii="Times New Roman" w:hAnsi="Times New Roman"/>
        </w:rPr>
        <w:t xml:space="preserve">The </w:t>
      </w:r>
      <w:r w:rsidR="00B5095B" w:rsidRPr="004963EE">
        <w:rPr>
          <w:rFonts w:ascii="Times New Roman" w:hAnsi="Times New Roman"/>
        </w:rPr>
        <w:t>respondents</w:t>
      </w:r>
      <w:r w:rsidR="004B4EA8" w:rsidRPr="004963EE">
        <w:rPr>
          <w:rFonts w:ascii="Times New Roman" w:hAnsi="Times New Roman"/>
        </w:rPr>
        <w:t xml:space="preserve"> disputed these figures.</w:t>
      </w:r>
      <w:r w:rsidR="00A417D9" w:rsidRPr="004963EE">
        <w:rPr>
          <w:rFonts w:ascii="Times New Roman" w:hAnsi="Times New Roman"/>
        </w:rPr>
        <w:t xml:space="preserve"> </w:t>
      </w:r>
      <w:r w:rsidR="00380252" w:rsidRPr="004963EE">
        <w:rPr>
          <w:rFonts w:ascii="Times New Roman" w:hAnsi="Times New Roman"/>
        </w:rPr>
        <w:t>It was also disputed whet</w:t>
      </w:r>
      <w:r w:rsidR="001D56BA" w:rsidRPr="004963EE">
        <w:rPr>
          <w:rFonts w:ascii="Times New Roman" w:hAnsi="Times New Roman"/>
        </w:rPr>
        <w:t xml:space="preserve">her the three appellants </w:t>
      </w:r>
      <w:r w:rsidR="00CD2F8D" w:rsidRPr="004963EE">
        <w:rPr>
          <w:rFonts w:ascii="Times New Roman" w:hAnsi="Times New Roman"/>
        </w:rPr>
        <w:t xml:space="preserve">living </w:t>
      </w:r>
      <w:r w:rsidR="001D56BA" w:rsidRPr="004963EE">
        <w:rPr>
          <w:rFonts w:ascii="Times New Roman" w:hAnsi="Times New Roman"/>
        </w:rPr>
        <w:t xml:space="preserve">in </w:t>
      </w:r>
      <w:proofErr w:type="spellStart"/>
      <w:r w:rsidR="001D56BA" w:rsidRPr="004963EE">
        <w:rPr>
          <w:rFonts w:ascii="Times New Roman" w:hAnsi="Times New Roman"/>
        </w:rPr>
        <w:t>Gunbalanya</w:t>
      </w:r>
      <w:proofErr w:type="spellEnd"/>
      <w:r w:rsidR="001D56BA" w:rsidRPr="004963EE">
        <w:rPr>
          <w:rFonts w:ascii="Times New Roman" w:hAnsi="Times New Roman"/>
        </w:rPr>
        <w:t xml:space="preserve"> had been granted re</w:t>
      </w:r>
      <w:r w:rsidR="00F00474" w:rsidRPr="004963EE">
        <w:rPr>
          <w:rFonts w:ascii="Times New Roman" w:hAnsi="Times New Roman"/>
        </w:rPr>
        <w:t>b</w:t>
      </w:r>
      <w:r w:rsidR="001D56BA" w:rsidRPr="004963EE">
        <w:rPr>
          <w:rFonts w:ascii="Times New Roman" w:hAnsi="Times New Roman"/>
        </w:rPr>
        <w:t xml:space="preserve">ates in accordance with reg 5 of the </w:t>
      </w:r>
      <w:r w:rsidR="001D56BA" w:rsidRPr="004963EE">
        <w:rPr>
          <w:rFonts w:ascii="Times New Roman" w:hAnsi="Times New Roman"/>
          <w:i/>
          <w:iCs/>
        </w:rPr>
        <w:t>Housing Regulations</w:t>
      </w:r>
      <w:r w:rsidR="001D56BA" w:rsidRPr="004963EE">
        <w:rPr>
          <w:rFonts w:ascii="Times New Roman" w:hAnsi="Times New Roman"/>
        </w:rPr>
        <w:t xml:space="preserve">, or whether </w:t>
      </w:r>
      <w:r w:rsidR="00110A8E" w:rsidRPr="004963EE">
        <w:rPr>
          <w:rFonts w:ascii="Times New Roman" w:hAnsi="Times New Roman"/>
        </w:rPr>
        <w:t xml:space="preserve">they had received rent reductions under s 46(1)(b) of the </w:t>
      </w:r>
      <w:r w:rsidR="00B778EC" w:rsidRPr="004963EE">
        <w:rPr>
          <w:rFonts w:ascii="Times New Roman" w:hAnsi="Times New Roman"/>
          <w:i/>
          <w:iCs/>
        </w:rPr>
        <w:t>RT</w:t>
      </w:r>
      <w:r w:rsidR="00934720" w:rsidRPr="004963EE">
        <w:rPr>
          <w:rFonts w:ascii="Times New Roman" w:hAnsi="Times New Roman"/>
          <w:i/>
          <w:iCs/>
        </w:rPr>
        <w:t> </w:t>
      </w:r>
      <w:r w:rsidR="00B778EC" w:rsidRPr="004963EE">
        <w:rPr>
          <w:rFonts w:ascii="Times New Roman" w:hAnsi="Times New Roman"/>
          <w:i/>
          <w:iCs/>
        </w:rPr>
        <w:t>Act</w:t>
      </w:r>
      <w:r w:rsidR="00B778EC" w:rsidRPr="004963EE">
        <w:rPr>
          <w:rFonts w:ascii="Times New Roman" w:hAnsi="Times New Roman"/>
        </w:rPr>
        <w:t xml:space="preserve">. </w:t>
      </w:r>
      <w:r w:rsidR="00207015" w:rsidRPr="004963EE">
        <w:rPr>
          <w:rFonts w:ascii="Times New Roman" w:hAnsi="Times New Roman"/>
        </w:rPr>
        <w:t xml:space="preserve">However, it </w:t>
      </w:r>
      <w:r w:rsidR="003F1177" w:rsidRPr="004963EE">
        <w:rPr>
          <w:rFonts w:ascii="Times New Roman" w:hAnsi="Times New Roman"/>
        </w:rPr>
        <w:t>was not in dispute</w:t>
      </w:r>
      <w:r w:rsidR="00207015" w:rsidRPr="004963EE">
        <w:rPr>
          <w:rFonts w:ascii="Times New Roman" w:hAnsi="Times New Roman"/>
        </w:rPr>
        <w:t xml:space="preserve"> that the </w:t>
      </w:r>
      <w:r w:rsidR="00D71731" w:rsidRPr="004963EE">
        <w:rPr>
          <w:rFonts w:ascii="Times New Roman" w:hAnsi="Times New Roman"/>
        </w:rPr>
        <w:t xml:space="preserve">three </w:t>
      </w:r>
      <w:r w:rsidR="00207015" w:rsidRPr="004963EE">
        <w:rPr>
          <w:rFonts w:ascii="Times New Roman" w:hAnsi="Times New Roman"/>
        </w:rPr>
        <w:t xml:space="preserve">appellants </w:t>
      </w:r>
      <w:r w:rsidR="001105FC" w:rsidRPr="004963EE">
        <w:rPr>
          <w:rFonts w:ascii="Times New Roman" w:hAnsi="Times New Roman"/>
        </w:rPr>
        <w:t xml:space="preserve">living </w:t>
      </w:r>
      <w:r w:rsidR="00207015" w:rsidRPr="004963EE">
        <w:rPr>
          <w:rFonts w:ascii="Times New Roman" w:hAnsi="Times New Roman"/>
        </w:rPr>
        <w:t xml:space="preserve">in </w:t>
      </w:r>
      <w:proofErr w:type="spellStart"/>
      <w:r w:rsidR="00207015" w:rsidRPr="004963EE">
        <w:rPr>
          <w:rFonts w:ascii="Times New Roman" w:hAnsi="Times New Roman"/>
        </w:rPr>
        <w:t>Gunbalanya</w:t>
      </w:r>
      <w:proofErr w:type="spellEnd"/>
      <w:r w:rsidR="00207015" w:rsidRPr="004963EE">
        <w:rPr>
          <w:rFonts w:ascii="Times New Roman" w:hAnsi="Times New Roman"/>
        </w:rPr>
        <w:t xml:space="preserve"> </w:t>
      </w:r>
      <w:r w:rsidR="009F017E" w:rsidRPr="004963EE">
        <w:rPr>
          <w:rFonts w:ascii="Times New Roman" w:hAnsi="Times New Roman"/>
        </w:rPr>
        <w:t xml:space="preserve">had </w:t>
      </w:r>
      <w:r w:rsidR="00B778EC" w:rsidRPr="004963EE">
        <w:rPr>
          <w:rFonts w:ascii="Times New Roman" w:hAnsi="Times New Roman"/>
        </w:rPr>
        <w:t>received some form of rental assistance</w:t>
      </w:r>
      <w:r w:rsidR="00D71731" w:rsidRPr="004963EE">
        <w:rPr>
          <w:rFonts w:ascii="Times New Roman" w:hAnsi="Times New Roman"/>
        </w:rPr>
        <w:t>.</w:t>
      </w:r>
      <w:r w:rsidR="00C81101" w:rsidRPr="004963EE">
        <w:rPr>
          <w:rFonts w:ascii="Times New Roman" w:hAnsi="Times New Roman"/>
        </w:rPr>
        <w:t xml:space="preserve"> </w:t>
      </w:r>
      <w:r w:rsidR="003F1177" w:rsidRPr="004963EE">
        <w:rPr>
          <w:rFonts w:ascii="Times New Roman" w:hAnsi="Times New Roman"/>
        </w:rPr>
        <w:t xml:space="preserve">It was </w:t>
      </w:r>
      <w:r w:rsidR="005159AD" w:rsidRPr="004963EE">
        <w:rPr>
          <w:rFonts w:ascii="Times New Roman" w:hAnsi="Times New Roman"/>
        </w:rPr>
        <w:t xml:space="preserve">otherwise </w:t>
      </w:r>
      <w:r w:rsidR="003F1177" w:rsidRPr="004963EE">
        <w:rPr>
          <w:rFonts w:ascii="Times New Roman" w:hAnsi="Times New Roman"/>
        </w:rPr>
        <w:t>not known whether</w:t>
      </w:r>
      <w:r w:rsidR="003F7422" w:rsidRPr="004963EE">
        <w:rPr>
          <w:rFonts w:ascii="Times New Roman" w:hAnsi="Times New Roman"/>
        </w:rPr>
        <w:t xml:space="preserve"> Ms </w:t>
      </w:r>
      <w:proofErr w:type="spellStart"/>
      <w:r w:rsidR="00907A13" w:rsidRPr="004963EE">
        <w:rPr>
          <w:rFonts w:ascii="Times New Roman" w:hAnsi="Times New Roman"/>
        </w:rPr>
        <w:t>Tilmouth</w:t>
      </w:r>
      <w:proofErr w:type="spellEnd"/>
      <w:r w:rsidR="00907A13" w:rsidRPr="004963EE">
        <w:rPr>
          <w:rFonts w:ascii="Times New Roman" w:hAnsi="Times New Roman"/>
        </w:rPr>
        <w:t xml:space="preserve"> </w:t>
      </w:r>
      <w:r w:rsidR="00240CB4" w:rsidRPr="004963EE">
        <w:rPr>
          <w:rFonts w:ascii="Times New Roman" w:hAnsi="Times New Roman"/>
        </w:rPr>
        <w:t>had been</w:t>
      </w:r>
      <w:r w:rsidR="005159AD" w:rsidRPr="004963EE">
        <w:rPr>
          <w:rFonts w:ascii="Times New Roman" w:hAnsi="Times New Roman"/>
        </w:rPr>
        <w:t xml:space="preserve"> the recipient of any </w:t>
      </w:r>
      <w:r w:rsidR="00BD59E5" w:rsidRPr="004963EE">
        <w:rPr>
          <w:rFonts w:ascii="Times New Roman" w:hAnsi="Times New Roman"/>
        </w:rPr>
        <w:t>rental assistance, including a</w:t>
      </w:r>
      <w:r w:rsidR="005159AD" w:rsidRPr="004963EE">
        <w:rPr>
          <w:rFonts w:ascii="Times New Roman" w:hAnsi="Times New Roman"/>
        </w:rPr>
        <w:t xml:space="preserve"> rebate.</w:t>
      </w:r>
      <w:r w:rsidR="003156B9" w:rsidRPr="004963EE">
        <w:rPr>
          <w:rFonts w:ascii="Times New Roman" w:hAnsi="Times New Roman"/>
        </w:rPr>
        <w:t xml:space="preserve"> </w:t>
      </w:r>
    </w:p>
    <w:p w14:paraId="3D996CAF" w14:textId="49A080B1" w:rsidR="00BA03AD" w:rsidRPr="004963EE" w:rsidRDefault="00BA03AD"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CD4DFD" w:rsidRPr="004963EE">
        <w:rPr>
          <w:rFonts w:ascii="Times New Roman" w:hAnsi="Times New Roman"/>
        </w:rPr>
        <w:t>The primary judge found that the old system</w:t>
      </w:r>
      <w:r w:rsidR="000C7667" w:rsidRPr="004963EE">
        <w:rPr>
          <w:rFonts w:ascii="Times New Roman" w:hAnsi="Times New Roman"/>
        </w:rPr>
        <w:t xml:space="preserve"> (prior to the First Determination)</w:t>
      </w:r>
      <w:r w:rsidR="00CD4DFD" w:rsidRPr="004963EE">
        <w:rPr>
          <w:rFonts w:ascii="Times New Roman" w:hAnsi="Times New Roman"/>
        </w:rPr>
        <w:t xml:space="preserve"> of determining the amount of rent payable </w:t>
      </w:r>
      <w:proofErr w:type="gramStart"/>
      <w:r w:rsidR="00CD4DFD" w:rsidRPr="004963EE">
        <w:rPr>
          <w:rFonts w:ascii="Times New Roman" w:hAnsi="Times New Roman"/>
        </w:rPr>
        <w:t xml:space="preserve">was </w:t>
      </w:r>
      <w:r w:rsidR="005A35C7" w:rsidRPr="004963EE">
        <w:rPr>
          <w:rFonts w:ascii="Times New Roman" w:hAnsi="Times New Roman"/>
        </w:rPr>
        <w:t>considered to be</w:t>
      </w:r>
      <w:proofErr w:type="gramEnd"/>
      <w:r w:rsidR="005A35C7" w:rsidRPr="004963EE">
        <w:rPr>
          <w:rFonts w:ascii="Times New Roman" w:hAnsi="Times New Roman"/>
        </w:rPr>
        <w:t xml:space="preserve"> </w:t>
      </w:r>
      <w:r w:rsidR="00CD4DFD" w:rsidRPr="004963EE">
        <w:rPr>
          <w:rFonts w:ascii="Times New Roman" w:hAnsi="Times New Roman"/>
        </w:rPr>
        <w:t>inefficient, complex and difficult to administer.</w:t>
      </w:r>
      <w:r w:rsidR="00C81101" w:rsidRPr="004963EE">
        <w:rPr>
          <w:rFonts w:ascii="Times New Roman" w:hAnsi="Times New Roman"/>
        </w:rPr>
        <w:t xml:space="preserve"> </w:t>
      </w:r>
      <w:r w:rsidR="00C2082B" w:rsidRPr="004963EE">
        <w:rPr>
          <w:rFonts w:ascii="Times New Roman" w:hAnsi="Times New Roman"/>
        </w:rPr>
        <w:t>Due to fluctuations in household income</w:t>
      </w:r>
      <w:r w:rsidR="00D66358" w:rsidRPr="004963EE">
        <w:rPr>
          <w:rFonts w:ascii="Times New Roman" w:hAnsi="Times New Roman"/>
        </w:rPr>
        <w:t xml:space="preserve">, the </w:t>
      </w:r>
      <w:r w:rsidR="008C5102" w:rsidRPr="004963EE">
        <w:rPr>
          <w:rFonts w:ascii="Times New Roman" w:hAnsi="Times New Roman"/>
        </w:rPr>
        <w:t xml:space="preserve">amount of </w:t>
      </w:r>
      <w:r w:rsidR="00D66358" w:rsidRPr="004963EE">
        <w:rPr>
          <w:rFonts w:ascii="Times New Roman" w:hAnsi="Times New Roman"/>
        </w:rPr>
        <w:t>rent required frequent reassessment.</w:t>
      </w:r>
      <w:r w:rsidR="00C81101" w:rsidRPr="004963EE">
        <w:rPr>
          <w:rFonts w:ascii="Times New Roman" w:hAnsi="Times New Roman"/>
        </w:rPr>
        <w:t xml:space="preserve"> </w:t>
      </w:r>
      <w:r w:rsidR="00EA725C" w:rsidRPr="004963EE">
        <w:rPr>
          <w:rFonts w:ascii="Times New Roman" w:hAnsi="Times New Roman"/>
        </w:rPr>
        <w:t xml:space="preserve">In 2018, the </w:t>
      </w:r>
      <w:r w:rsidR="00E85879" w:rsidRPr="004963EE">
        <w:rPr>
          <w:rFonts w:ascii="Times New Roman" w:hAnsi="Times New Roman"/>
        </w:rPr>
        <w:t>G</w:t>
      </w:r>
      <w:r w:rsidR="00EA725C" w:rsidRPr="004963EE">
        <w:rPr>
          <w:rFonts w:ascii="Times New Roman" w:hAnsi="Times New Roman"/>
        </w:rPr>
        <w:t>overnment of the Northern Territory resolved to implement</w:t>
      </w:r>
      <w:r w:rsidR="00610079" w:rsidRPr="004963EE">
        <w:rPr>
          <w:rFonts w:ascii="Times New Roman" w:hAnsi="Times New Roman"/>
        </w:rPr>
        <w:t xml:space="preserve"> what was thought to be</w:t>
      </w:r>
      <w:r w:rsidR="00EA725C" w:rsidRPr="004963EE">
        <w:rPr>
          <w:rFonts w:ascii="Times New Roman" w:hAnsi="Times New Roman"/>
        </w:rPr>
        <w:t xml:space="preserve"> a </w:t>
      </w:r>
      <w:r w:rsidR="00F91DA0" w:rsidRPr="004963EE">
        <w:rPr>
          <w:rFonts w:ascii="Times New Roman" w:hAnsi="Times New Roman"/>
        </w:rPr>
        <w:t>simplified and more consistent scheme</w:t>
      </w:r>
      <w:r w:rsidR="00352917" w:rsidRPr="004963EE">
        <w:rPr>
          <w:rFonts w:ascii="Times New Roman" w:hAnsi="Times New Roman"/>
        </w:rPr>
        <w:t xml:space="preserve"> for </w:t>
      </w:r>
      <w:r w:rsidR="00F91DA0" w:rsidRPr="004963EE">
        <w:rPr>
          <w:rFonts w:ascii="Times New Roman" w:hAnsi="Times New Roman"/>
        </w:rPr>
        <w:t>determining</w:t>
      </w:r>
      <w:r w:rsidR="00352917" w:rsidRPr="004963EE">
        <w:rPr>
          <w:rFonts w:ascii="Times New Roman" w:hAnsi="Times New Roman"/>
        </w:rPr>
        <w:t xml:space="preserve"> the rent payable by tenants in public housing</w:t>
      </w:r>
      <w:r w:rsidR="000A1172" w:rsidRPr="004963EE">
        <w:rPr>
          <w:rFonts w:ascii="Times New Roman" w:hAnsi="Times New Roman"/>
        </w:rPr>
        <w:t xml:space="preserve"> in remote communities</w:t>
      </w:r>
      <w:r w:rsidR="00352917" w:rsidRPr="004963EE">
        <w:rPr>
          <w:rFonts w:ascii="Times New Roman" w:hAnsi="Times New Roman"/>
        </w:rPr>
        <w:t>.</w:t>
      </w:r>
      <w:r w:rsidR="00C81101" w:rsidRPr="004963EE">
        <w:rPr>
          <w:rFonts w:ascii="Times New Roman" w:hAnsi="Times New Roman"/>
        </w:rPr>
        <w:t xml:space="preserve"> </w:t>
      </w:r>
      <w:r w:rsidR="00F91DA0" w:rsidRPr="004963EE">
        <w:rPr>
          <w:rFonts w:ascii="Times New Roman" w:hAnsi="Times New Roman"/>
        </w:rPr>
        <w:t xml:space="preserve">To that end, </w:t>
      </w:r>
      <w:r w:rsidR="00ED4E89" w:rsidRPr="004963EE">
        <w:rPr>
          <w:rFonts w:ascii="Times New Roman" w:hAnsi="Times New Roman"/>
        </w:rPr>
        <w:t>the</w:t>
      </w:r>
      <w:r w:rsidR="000F50F2" w:rsidRPr="004963EE">
        <w:rPr>
          <w:rFonts w:ascii="Times New Roman" w:hAnsi="Times New Roman"/>
        </w:rPr>
        <w:t xml:space="preserve"> Stakeholder Advisory </w:t>
      </w:r>
      <w:r w:rsidR="008C5102" w:rsidRPr="004963EE">
        <w:rPr>
          <w:rFonts w:ascii="Times New Roman" w:hAnsi="Times New Roman"/>
        </w:rPr>
        <w:t xml:space="preserve">Group </w:t>
      </w:r>
      <w:r w:rsidR="00761E02" w:rsidRPr="004963EE">
        <w:rPr>
          <w:rFonts w:ascii="Times New Roman" w:hAnsi="Times New Roman"/>
        </w:rPr>
        <w:t>(</w:t>
      </w:r>
      <w:r w:rsidR="002B13F5" w:rsidRPr="004963EE">
        <w:rPr>
          <w:rFonts w:ascii="Times New Roman" w:hAnsi="Times New Roman"/>
        </w:rPr>
        <w:t xml:space="preserve">the </w:t>
      </w:r>
      <w:r w:rsidR="00761E02" w:rsidRPr="004963EE">
        <w:rPr>
          <w:rFonts w:ascii="Times New Roman" w:hAnsi="Times New Roman"/>
        </w:rPr>
        <w:t xml:space="preserve">"SAG") </w:t>
      </w:r>
      <w:r w:rsidR="008C5102" w:rsidRPr="004963EE">
        <w:rPr>
          <w:rFonts w:ascii="Times New Roman" w:hAnsi="Times New Roman"/>
        </w:rPr>
        <w:t xml:space="preserve">was formed </w:t>
      </w:r>
      <w:r w:rsidR="00167660" w:rsidRPr="004963EE">
        <w:rPr>
          <w:rFonts w:ascii="Times New Roman" w:hAnsi="Times New Roman"/>
        </w:rPr>
        <w:t xml:space="preserve">with representatives from </w:t>
      </w:r>
      <w:proofErr w:type="gramStart"/>
      <w:r w:rsidR="00167660" w:rsidRPr="004963EE">
        <w:rPr>
          <w:rFonts w:ascii="Times New Roman" w:hAnsi="Times New Roman"/>
        </w:rPr>
        <w:t>a number of</w:t>
      </w:r>
      <w:proofErr w:type="gramEnd"/>
      <w:r w:rsidR="00167660" w:rsidRPr="004963EE">
        <w:rPr>
          <w:rFonts w:ascii="Times New Roman" w:hAnsi="Times New Roman"/>
        </w:rPr>
        <w:t xml:space="preserve"> </w:t>
      </w:r>
      <w:r w:rsidR="00421500" w:rsidRPr="004963EE">
        <w:rPr>
          <w:rFonts w:ascii="Times New Roman" w:hAnsi="Times New Roman"/>
        </w:rPr>
        <w:t>bodies, such as the North Australian Aboriginal Justice Agency.</w:t>
      </w:r>
      <w:r w:rsidR="00C81101" w:rsidRPr="004963EE">
        <w:rPr>
          <w:rFonts w:ascii="Times New Roman" w:hAnsi="Times New Roman"/>
        </w:rPr>
        <w:t xml:space="preserve"> </w:t>
      </w:r>
      <w:r w:rsidR="00D71A39" w:rsidRPr="004963EE">
        <w:rPr>
          <w:rFonts w:ascii="Times New Roman" w:hAnsi="Times New Roman"/>
        </w:rPr>
        <w:t>The SAG</w:t>
      </w:r>
      <w:r w:rsidR="00421500" w:rsidRPr="004963EE">
        <w:rPr>
          <w:rFonts w:ascii="Times New Roman" w:hAnsi="Times New Roman"/>
        </w:rPr>
        <w:t xml:space="preserve"> considered </w:t>
      </w:r>
      <w:proofErr w:type="gramStart"/>
      <w:r w:rsidR="00421500" w:rsidRPr="004963EE">
        <w:rPr>
          <w:rFonts w:ascii="Times New Roman" w:hAnsi="Times New Roman"/>
        </w:rPr>
        <w:t>a number of</w:t>
      </w:r>
      <w:proofErr w:type="gramEnd"/>
      <w:r w:rsidR="00421500" w:rsidRPr="004963EE">
        <w:rPr>
          <w:rFonts w:ascii="Times New Roman" w:hAnsi="Times New Roman"/>
        </w:rPr>
        <w:t xml:space="preserve"> methodologies for determining the base rent </w:t>
      </w:r>
      <w:r w:rsidR="00517A01" w:rsidRPr="004963EE">
        <w:rPr>
          <w:rFonts w:ascii="Times New Roman" w:hAnsi="Times New Roman"/>
        </w:rPr>
        <w:t>payable.</w:t>
      </w:r>
      <w:r w:rsidR="00C81101" w:rsidRPr="004963EE">
        <w:rPr>
          <w:rFonts w:ascii="Times New Roman" w:hAnsi="Times New Roman"/>
        </w:rPr>
        <w:t xml:space="preserve"> </w:t>
      </w:r>
      <w:r w:rsidR="00524DCB" w:rsidRPr="004963EE">
        <w:rPr>
          <w:rFonts w:ascii="Times New Roman" w:hAnsi="Times New Roman"/>
        </w:rPr>
        <w:t xml:space="preserve">It ultimately decided that a model </w:t>
      </w:r>
      <w:r w:rsidR="00B42CBB" w:rsidRPr="004963EE">
        <w:rPr>
          <w:rFonts w:ascii="Times New Roman" w:hAnsi="Times New Roman"/>
        </w:rPr>
        <w:t xml:space="preserve">which applied a fixed amount </w:t>
      </w:r>
      <w:r w:rsidR="00D921A5" w:rsidRPr="004963EE">
        <w:rPr>
          <w:rFonts w:ascii="Times New Roman" w:hAnsi="Times New Roman"/>
        </w:rPr>
        <w:t xml:space="preserve">per the number of bedrooms </w:t>
      </w:r>
      <w:proofErr w:type="gramStart"/>
      <w:r w:rsidR="00C1345D" w:rsidRPr="004963EE">
        <w:rPr>
          <w:rFonts w:ascii="Times New Roman" w:hAnsi="Times New Roman"/>
        </w:rPr>
        <w:t>in a given</w:t>
      </w:r>
      <w:proofErr w:type="gramEnd"/>
      <w:r w:rsidR="00C1345D" w:rsidRPr="004963EE">
        <w:rPr>
          <w:rFonts w:ascii="Times New Roman" w:hAnsi="Times New Roman"/>
        </w:rPr>
        <w:t xml:space="preserve"> dwelling </w:t>
      </w:r>
      <w:r w:rsidR="002E459D" w:rsidRPr="004963EE">
        <w:rPr>
          <w:rFonts w:ascii="Times New Roman" w:hAnsi="Times New Roman"/>
        </w:rPr>
        <w:t>should be adopted.</w:t>
      </w:r>
      <w:r w:rsidR="00085945" w:rsidRPr="004963EE">
        <w:rPr>
          <w:rFonts w:ascii="Times New Roman" w:hAnsi="Times New Roman"/>
        </w:rPr>
        <w:t xml:space="preserve"> The Northern Territory</w:t>
      </w:r>
      <w:r w:rsidR="00C81101" w:rsidRPr="004963EE">
        <w:rPr>
          <w:rFonts w:ascii="Times New Roman" w:hAnsi="Times New Roman"/>
        </w:rPr>
        <w:t xml:space="preserve"> </w:t>
      </w:r>
      <w:r w:rsidR="002E459D" w:rsidRPr="004963EE">
        <w:rPr>
          <w:rFonts w:ascii="Times New Roman" w:hAnsi="Times New Roman"/>
        </w:rPr>
        <w:t xml:space="preserve">Cabinet approved </w:t>
      </w:r>
      <w:r w:rsidR="00FF32E3" w:rsidRPr="004963EE">
        <w:rPr>
          <w:rFonts w:ascii="Times New Roman" w:hAnsi="Times New Roman"/>
        </w:rPr>
        <w:t xml:space="preserve">"the new </w:t>
      </w:r>
      <w:r w:rsidR="002E459D" w:rsidRPr="004963EE">
        <w:rPr>
          <w:rFonts w:ascii="Times New Roman" w:hAnsi="Times New Roman"/>
        </w:rPr>
        <w:t>model</w:t>
      </w:r>
      <w:r w:rsidR="00FF32E3" w:rsidRPr="004963EE">
        <w:rPr>
          <w:rFonts w:ascii="Times New Roman" w:hAnsi="Times New Roman"/>
        </w:rPr>
        <w:t>"</w:t>
      </w:r>
      <w:r w:rsidR="002E459D" w:rsidRPr="004963EE">
        <w:rPr>
          <w:rFonts w:ascii="Times New Roman" w:hAnsi="Times New Roman"/>
        </w:rPr>
        <w:t xml:space="preserve"> in December 2021.</w:t>
      </w:r>
      <w:r w:rsidR="00C81101" w:rsidRPr="004963EE">
        <w:rPr>
          <w:rFonts w:ascii="Times New Roman" w:hAnsi="Times New Roman"/>
        </w:rPr>
        <w:t xml:space="preserve"> </w:t>
      </w:r>
      <w:r w:rsidR="00B35714" w:rsidRPr="004963EE">
        <w:rPr>
          <w:rFonts w:ascii="Times New Roman" w:hAnsi="Times New Roman"/>
        </w:rPr>
        <w:t xml:space="preserve">An important feature of </w:t>
      </w:r>
      <w:r w:rsidR="007C5A22" w:rsidRPr="004963EE">
        <w:rPr>
          <w:rFonts w:ascii="Times New Roman" w:hAnsi="Times New Roman"/>
        </w:rPr>
        <w:t xml:space="preserve">the new model </w:t>
      </w:r>
      <w:r w:rsidR="00BC6D15" w:rsidRPr="004963EE">
        <w:rPr>
          <w:rFonts w:ascii="Times New Roman" w:hAnsi="Times New Roman"/>
        </w:rPr>
        <w:t>was</w:t>
      </w:r>
      <w:r w:rsidR="007C5A22" w:rsidRPr="004963EE">
        <w:rPr>
          <w:rFonts w:ascii="Times New Roman" w:hAnsi="Times New Roman"/>
        </w:rPr>
        <w:t xml:space="preserve"> a safety net</w:t>
      </w:r>
      <w:r w:rsidR="0009013F" w:rsidRPr="004963EE">
        <w:rPr>
          <w:rFonts w:ascii="Times New Roman" w:hAnsi="Times New Roman"/>
        </w:rPr>
        <w:t>,</w:t>
      </w:r>
      <w:r w:rsidR="00725089" w:rsidRPr="004963EE">
        <w:rPr>
          <w:rFonts w:ascii="Times New Roman" w:hAnsi="Times New Roman"/>
        </w:rPr>
        <w:t xml:space="preserve"> </w:t>
      </w:r>
      <w:r w:rsidR="00012FB4" w:rsidRPr="004963EE">
        <w:rPr>
          <w:rFonts w:ascii="Times New Roman" w:hAnsi="Times New Roman"/>
        </w:rPr>
        <w:t>under which</w:t>
      </w:r>
      <w:r w:rsidR="00725089" w:rsidRPr="004963EE">
        <w:rPr>
          <w:rFonts w:ascii="Times New Roman" w:hAnsi="Times New Roman"/>
        </w:rPr>
        <w:t xml:space="preserve"> </w:t>
      </w:r>
      <w:r w:rsidR="000F48D6" w:rsidRPr="004963EE">
        <w:rPr>
          <w:rFonts w:ascii="Times New Roman" w:hAnsi="Times New Roman"/>
        </w:rPr>
        <w:t xml:space="preserve">the </w:t>
      </w:r>
      <w:r w:rsidR="00725089" w:rsidRPr="004963EE">
        <w:rPr>
          <w:rFonts w:ascii="Times New Roman" w:hAnsi="Times New Roman"/>
        </w:rPr>
        <w:t>rent</w:t>
      </w:r>
      <w:r w:rsidR="000F48D6" w:rsidRPr="004963EE">
        <w:rPr>
          <w:rFonts w:ascii="Times New Roman" w:hAnsi="Times New Roman"/>
        </w:rPr>
        <w:t xml:space="preserve"> payable</w:t>
      </w:r>
      <w:r w:rsidR="00184D8B" w:rsidRPr="004963EE">
        <w:rPr>
          <w:rFonts w:ascii="Times New Roman" w:hAnsi="Times New Roman"/>
        </w:rPr>
        <w:t xml:space="preserve"> would </w:t>
      </w:r>
      <w:r w:rsidR="000F48D6" w:rsidRPr="004963EE">
        <w:rPr>
          <w:rFonts w:ascii="Times New Roman" w:hAnsi="Times New Roman"/>
        </w:rPr>
        <w:t>n</w:t>
      </w:r>
      <w:r w:rsidR="00F67773" w:rsidRPr="004963EE">
        <w:rPr>
          <w:rFonts w:ascii="Times New Roman" w:hAnsi="Times New Roman"/>
        </w:rPr>
        <w:t>ot</w:t>
      </w:r>
      <w:r w:rsidR="00184D8B" w:rsidRPr="004963EE">
        <w:rPr>
          <w:rFonts w:ascii="Times New Roman" w:hAnsi="Times New Roman"/>
        </w:rPr>
        <w:t xml:space="preserve"> exceed 25</w:t>
      </w:r>
      <w:r w:rsidR="00EC4919" w:rsidRPr="004963EE">
        <w:rPr>
          <w:rFonts w:ascii="Times New Roman" w:hAnsi="Times New Roman"/>
        </w:rPr>
        <w:t xml:space="preserve"> per cent</w:t>
      </w:r>
      <w:r w:rsidR="00184D8B" w:rsidRPr="004963EE">
        <w:rPr>
          <w:rFonts w:ascii="Times New Roman" w:hAnsi="Times New Roman"/>
        </w:rPr>
        <w:t xml:space="preserve"> of</w:t>
      </w:r>
      <w:r w:rsidR="0009013F" w:rsidRPr="004963EE">
        <w:rPr>
          <w:rFonts w:ascii="Times New Roman" w:hAnsi="Times New Roman"/>
        </w:rPr>
        <w:t xml:space="preserve"> total</w:t>
      </w:r>
      <w:r w:rsidR="00184D8B" w:rsidRPr="004963EE">
        <w:rPr>
          <w:rFonts w:ascii="Times New Roman" w:hAnsi="Times New Roman"/>
        </w:rPr>
        <w:t xml:space="preserve"> household income "</w:t>
      </w:r>
      <w:r w:rsidR="00012FB4" w:rsidRPr="004963EE">
        <w:rPr>
          <w:rFonts w:ascii="Times New Roman" w:hAnsi="Times New Roman"/>
        </w:rPr>
        <w:t>to ensure tenants are not placed under rental stress"</w:t>
      </w:r>
      <w:r w:rsidR="00F67773" w:rsidRPr="004963EE">
        <w:rPr>
          <w:rFonts w:ascii="Times New Roman" w:hAnsi="Times New Roman"/>
        </w:rPr>
        <w:t xml:space="preserve"> (the "Safety Net").</w:t>
      </w:r>
      <w:r w:rsidR="00012FB4" w:rsidRPr="004963EE">
        <w:rPr>
          <w:rFonts w:ascii="Times New Roman" w:hAnsi="Times New Roman"/>
        </w:rPr>
        <w:t xml:space="preserve"> </w:t>
      </w:r>
      <w:r w:rsidR="0084622D" w:rsidRPr="004963EE">
        <w:rPr>
          <w:rFonts w:ascii="Times New Roman" w:hAnsi="Times New Roman"/>
        </w:rPr>
        <w:t xml:space="preserve">The </w:t>
      </w:r>
      <w:r w:rsidR="00610079" w:rsidRPr="004963EE">
        <w:rPr>
          <w:rFonts w:ascii="Times New Roman" w:hAnsi="Times New Roman"/>
        </w:rPr>
        <w:t>S</w:t>
      </w:r>
      <w:r w:rsidR="0084622D" w:rsidRPr="004963EE">
        <w:rPr>
          <w:rFonts w:ascii="Times New Roman" w:hAnsi="Times New Roman"/>
        </w:rPr>
        <w:t xml:space="preserve">afety </w:t>
      </w:r>
      <w:r w:rsidR="00610079" w:rsidRPr="004963EE">
        <w:rPr>
          <w:rFonts w:ascii="Times New Roman" w:hAnsi="Times New Roman"/>
        </w:rPr>
        <w:t>N</w:t>
      </w:r>
      <w:r w:rsidR="0084622D" w:rsidRPr="004963EE">
        <w:rPr>
          <w:rFonts w:ascii="Times New Roman" w:hAnsi="Times New Roman"/>
        </w:rPr>
        <w:t xml:space="preserve">et reflected </w:t>
      </w:r>
      <w:r w:rsidR="00B96A25" w:rsidRPr="004963EE">
        <w:rPr>
          <w:rFonts w:ascii="Times New Roman" w:hAnsi="Times New Roman"/>
        </w:rPr>
        <w:t xml:space="preserve">the Government's intention that </w:t>
      </w:r>
      <w:r w:rsidR="00FD7F22" w:rsidRPr="004963EE">
        <w:rPr>
          <w:rFonts w:ascii="Times New Roman" w:hAnsi="Times New Roman"/>
        </w:rPr>
        <w:t xml:space="preserve">the </w:t>
      </w:r>
      <w:r w:rsidR="00B96A25" w:rsidRPr="004963EE">
        <w:rPr>
          <w:rFonts w:ascii="Times New Roman" w:hAnsi="Times New Roman"/>
        </w:rPr>
        <w:t>rent be "affordable"</w:t>
      </w:r>
      <w:r w:rsidR="00801824" w:rsidRPr="004963EE">
        <w:rPr>
          <w:rFonts w:ascii="Times New Roman" w:hAnsi="Times New Roman"/>
        </w:rPr>
        <w:t xml:space="preserve"> for tenants</w:t>
      </w:r>
      <w:r w:rsidR="00B96A25" w:rsidRPr="004963EE">
        <w:rPr>
          <w:rFonts w:ascii="Times New Roman" w:hAnsi="Times New Roman"/>
        </w:rPr>
        <w:t xml:space="preserve">. </w:t>
      </w:r>
    </w:p>
    <w:p w14:paraId="51453AAE" w14:textId="6BA3AE92" w:rsidR="00FD7F22" w:rsidRPr="004963EE" w:rsidRDefault="00FD7F22"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827164" w:rsidRPr="004963EE">
        <w:rPr>
          <w:rFonts w:ascii="Times New Roman" w:hAnsi="Times New Roman"/>
        </w:rPr>
        <w:t xml:space="preserve">The First Determination </w:t>
      </w:r>
      <w:r w:rsidR="00FB1063" w:rsidRPr="004963EE">
        <w:rPr>
          <w:rFonts w:ascii="Times New Roman" w:hAnsi="Times New Roman"/>
        </w:rPr>
        <w:t>determined</w:t>
      </w:r>
      <w:r w:rsidR="00827164" w:rsidRPr="004963EE">
        <w:rPr>
          <w:rFonts w:ascii="Times New Roman" w:hAnsi="Times New Roman"/>
        </w:rPr>
        <w:t xml:space="preserve"> the weekly rent payable</w:t>
      </w:r>
      <w:r w:rsidR="000E33BE" w:rsidRPr="004963EE">
        <w:rPr>
          <w:rFonts w:ascii="Times New Roman" w:hAnsi="Times New Roman"/>
        </w:rPr>
        <w:t xml:space="preserve"> for dwellings </w:t>
      </w:r>
      <w:r w:rsidR="00CE5A06" w:rsidRPr="004963EE">
        <w:rPr>
          <w:rFonts w:ascii="Times New Roman" w:hAnsi="Times New Roman"/>
        </w:rPr>
        <w:t xml:space="preserve">in </w:t>
      </w:r>
      <w:r w:rsidR="00BD4BFE" w:rsidRPr="004963EE">
        <w:rPr>
          <w:rFonts w:ascii="Times New Roman" w:hAnsi="Times New Roman"/>
        </w:rPr>
        <w:t xml:space="preserve">communities </w:t>
      </w:r>
      <w:r w:rsidR="000E33BE" w:rsidRPr="004963EE">
        <w:rPr>
          <w:rFonts w:ascii="Times New Roman" w:hAnsi="Times New Roman"/>
        </w:rPr>
        <w:t>listed in Sch</w:t>
      </w:r>
      <w:r w:rsidR="00181103" w:rsidRPr="004963EE">
        <w:rPr>
          <w:rFonts w:ascii="Times New Roman" w:hAnsi="Times New Roman"/>
        </w:rPr>
        <w:t> </w:t>
      </w:r>
      <w:r w:rsidR="00DA562A" w:rsidRPr="004963EE">
        <w:rPr>
          <w:rFonts w:ascii="Times New Roman" w:hAnsi="Times New Roman"/>
        </w:rPr>
        <w:t>1</w:t>
      </w:r>
      <w:r w:rsidR="00AD167C" w:rsidRPr="004963EE">
        <w:rPr>
          <w:rFonts w:ascii="Times New Roman" w:hAnsi="Times New Roman"/>
        </w:rPr>
        <w:t xml:space="preserve"> of that Determination</w:t>
      </w:r>
      <w:r w:rsidR="00BA439A" w:rsidRPr="004963EE">
        <w:rPr>
          <w:rFonts w:ascii="Times New Roman" w:hAnsi="Times New Roman"/>
        </w:rPr>
        <w:t>,</w:t>
      </w:r>
      <w:r w:rsidR="00DA562A" w:rsidRPr="004963EE">
        <w:rPr>
          <w:rFonts w:ascii="Times New Roman" w:hAnsi="Times New Roman"/>
        </w:rPr>
        <w:t xml:space="preserve"> </w:t>
      </w:r>
      <w:r w:rsidR="00601C63" w:rsidRPr="004963EE">
        <w:rPr>
          <w:rFonts w:ascii="Times New Roman" w:hAnsi="Times New Roman"/>
        </w:rPr>
        <w:t>which</w:t>
      </w:r>
      <w:r w:rsidR="00DA562A" w:rsidRPr="004963EE">
        <w:rPr>
          <w:rFonts w:ascii="Times New Roman" w:hAnsi="Times New Roman"/>
        </w:rPr>
        <w:t xml:space="preserve"> were</w:t>
      </w:r>
      <w:r w:rsidR="00BA439A" w:rsidRPr="004963EE">
        <w:rPr>
          <w:rFonts w:ascii="Times New Roman" w:hAnsi="Times New Roman"/>
        </w:rPr>
        <w:t xml:space="preserve"> also</w:t>
      </w:r>
      <w:r w:rsidR="00DA562A" w:rsidRPr="004963EE">
        <w:rPr>
          <w:rFonts w:ascii="Times New Roman" w:hAnsi="Times New Roman"/>
        </w:rPr>
        <w:t xml:space="preserve"> of a class specified in </w:t>
      </w:r>
      <w:r w:rsidR="006F2AFD" w:rsidRPr="004963EE">
        <w:rPr>
          <w:rFonts w:ascii="Times New Roman" w:hAnsi="Times New Roman"/>
        </w:rPr>
        <w:t>col</w:t>
      </w:r>
      <w:r w:rsidR="0044220A" w:rsidRPr="004963EE">
        <w:rPr>
          <w:rFonts w:ascii="Times New Roman" w:hAnsi="Times New Roman"/>
        </w:rPr>
        <w:t> </w:t>
      </w:r>
      <w:r w:rsidR="00551CD8" w:rsidRPr="004963EE">
        <w:rPr>
          <w:rFonts w:ascii="Times New Roman" w:hAnsi="Times New Roman"/>
        </w:rPr>
        <w:t>1 of Sch</w:t>
      </w:r>
      <w:r w:rsidR="00181103" w:rsidRPr="004963EE">
        <w:rPr>
          <w:rFonts w:ascii="Times New Roman" w:hAnsi="Times New Roman"/>
        </w:rPr>
        <w:t> </w:t>
      </w:r>
      <w:r w:rsidR="00551CD8" w:rsidRPr="004963EE">
        <w:rPr>
          <w:rFonts w:ascii="Times New Roman" w:hAnsi="Times New Roman"/>
        </w:rPr>
        <w:t>2</w:t>
      </w:r>
      <w:r w:rsidR="00601C63" w:rsidRPr="004963EE">
        <w:rPr>
          <w:rFonts w:ascii="Times New Roman" w:hAnsi="Times New Roman"/>
        </w:rPr>
        <w:t xml:space="preserve"> of that Determination</w:t>
      </w:r>
      <w:r w:rsidR="00551CD8" w:rsidRPr="004963EE">
        <w:rPr>
          <w:rFonts w:ascii="Times New Roman" w:hAnsi="Times New Roman"/>
        </w:rPr>
        <w:t>.</w:t>
      </w:r>
      <w:r w:rsidR="00C81101" w:rsidRPr="004963EE">
        <w:rPr>
          <w:rFonts w:ascii="Times New Roman" w:hAnsi="Times New Roman"/>
        </w:rPr>
        <w:t xml:space="preserve"> </w:t>
      </w:r>
      <w:r w:rsidR="00551CD8" w:rsidRPr="004963EE">
        <w:rPr>
          <w:rFonts w:ascii="Times New Roman" w:hAnsi="Times New Roman"/>
        </w:rPr>
        <w:t>Schedule</w:t>
      </w:r>
      <w:r w:rsidR="00B92AEC" w:rsidRPr="004963EE">
        <w:rPr>
          <w:rFonts w:ascii="Times New Roman" w:hAnsi="Times New Roman"/>
        </w:rPr>
        <w:t> </w:t>
      </w:r>
      <w:r w:rsidR="00551CD8" w:rsidRPr="004963EE">
        <w:rPr>
          <w:rFonts w:ascii="Times New Roman" w:hAnsi="Times New Roman"/>
        </w:rPr>
        <w:t xml:space="preserve">1 was intended to list </w:t>
      </w:r>
      <w:proofErr w:type="gramStart"/>
      <w:r w:rsidR="00551CD8" w:rsidRPr="004963EE">
        <w:rPr>
          <w:rFonts w:ascii="Times New Roman" w:hAnsi="Times New Roman"/>
        </w:rPr>
        <w:t>all of</w:t>
      </w:r>
      <w:proofErr w:type="gramEnd"/>
      <w:r w:rsidR="00551CD8" w:rsidRPr="004963EE">
        <w:rPr>
          <w:rFonts w:ascii="Times New Roman" w:hAnsi="Times New Roman"/>
        </w:rPr>
        <w:t xml:space="preserve"> the remote communities</w:t>
      </w:r>
      <w:r w:rsidR="00ED7731" w:rsidRPr="004963EE">
        <w:rPr>
          <w:rFonts w:ascii="Times New Roman" w:hAnsi="Times New Roman"/>
        </w:rPr>
        <w:t xml:space="preserve"> in the Northern Territory</w:t>
      </w:r>
      <w:r w:rsidR="00551CD8" w:rsidRPr="004963EE">
        <w:rPr>
          <w:rFonts w:ascii="Times New Roman" w:hAnsi="Times New Roman"/>
        </w:rPr>
        <w:t xml:space="preserve"> </w:t>
      </w:r>
      <w:r w:rsidR="004430F6" w:rsidRPr="004963EE">
        <w:rPr>
          <w:rFonts w:ascii="Times New Roman" w:hAnsi="Times New Roman"/>
        </w:rPr>
        <w:t xml:space="preserve">containing dwellings leased pursuant to the </w:t>
      </w:r>
      <w:r w:rsidR="004430F6" w:rsidRPr="004963EE">
        <w:rPr>
          <w:rFonts w:ascii="Times New Roman" w:hAnsi="Times New Roman"/>
          <w:i/>
          <w:iCs/>
        </w:rPr>
        <w:t>Housing Regulations</w:t>
      </w:r>
      <w:r w:rsidR="004430F6" w:rsidRPr="004963EE">
        <w:rPr>
          <w:rFonts w:ascii="Times New Roman" w:hAnsi="Times New Roman"/>
        </w:rPr>
        <w:t>.</w:t>
      </w:r>
      <w:r w:rsidR="001B5677" w:rsidRPr="004963EE">
        <w:rPr>
          <w:rFonts w:ascii="Times New Roman" w:hAnsi="Times New Roman"/>
        </w:rPr>
        <w:t xml:space="preserve"> </w:t>
      </w:r>
      <w:r w:rsidR="004430F6" w:rsidRPr="004963EE">
        <w:rPr>
          <w:rFonts w:ascii="Times New Roman" w:hAnsi="Times New Roman"/>
        </w:rPr>
        <w:t xml:space="preserve">It included both </w:t>
      </w:r>
      <w:proofErr w:type="spellStart"/>
      <w:r w:rsidR="004430F6" w:rsidRPr="004963EE">
        <w:rPr>
          <w:rFonts w:ascii="Times New Roman" w:hAnsi="Times New Roman"/>
        </w:rPr>
        <w:t>Gun</w:t>
      </w:r>
      <w:r w:rsidR="0076747C" w:rsidRPr="004963EE">
        <w:rPr>
          <w:rFonts w:ascii="Times New Roman" w:hAnsi="Times New Roman"/>
        </w:rPr>
        <w:t>balanya</w:t>
      </w:r>
      <w:proofErr w:type="spellEnd"/>
      <w:r w:rsidR="0076747C" w:rsidRPr="004963EE">
        <w:rPr>
          <w:rFonts w:ascii="Times New Roman" w:hAnsi="Times New Roman"/>
        </w:rPr>
        <w:t xml:space="preserve"> and </w:t>
      </w:r>
      <w:proofErr w:type="spellStart"/>
      <w:r w:rsidR="0076747C" w:rsidRPr="004963EE">
        <w:rPr>
          <w:rFonts w:ascii="Times New Roman" w:hAnsi="Times New Roman"/>
        </w:rPr>
        <w:t>Laramba</w:t>
      </w:r>
      <w:proofErr w:type="spellEnd"/>
      <w:r w:rsidR="0076747C" w:rsidRPr="004963EE">
        <w:rPr>
          <w:rFonts w:ascii="Times New Roman" w:hAnsi="Times New Roman"/>
        </w:rPr>
        <w:t>.</w:t>
      </w:r>
      <w:r w:rsidR="00C81101" w:rsidRPr="004963EE">
        <w:rPr>
          <w:rFonts w:ascii="Times New Roman" w:hAnsi="Times New Roman"/>
        </w:rPr>
        <w:t xml:space="preserve"> </w:t>
      </w:r>
      <w:r w:rsidR="007F522F" w:rsidRPr="004963EE">
        <w:rPr>
          <w:rFonts w:ascii="Times New Roman" w:hAnsi="Times New Roman"/>
        </w:rPr>
        <w:t>It mistakenly failed to include some remote communities.</w:t>
      </w:r>
      <w:r w:rsidR="0050025D" w:rsidRPr="004963EE">
        <w:rPr>
          <w:rFonts w:ascii="Times New Roman" w:hAnsi="Times New Roman"/>
        </w:rPr>
        <w:t xml:space="preserve"> </w:t>
      </w:r>
      <w:r w:rsidR="000D16BF" w:rsidRPr="004963EE">
        <w:rPr>
          <w:rFonts w:ascii="Times New Roman" w:hAnsi="Times New Roman"/>
        </w:rPr>
        <w:t>Schedule</w:t>
      </w:r>
      <w:r w:rsidR="00DB042E" w:rsidRPr="004963EE">
        <w:rPr>
          <w:rFonts w:ascii="Times New Roman" w:hAnsi="Times New Roman"/>
        </w:rPr>
        <w:t> </w:t>
      </w:r>
      <w:r w:rsidR="000D16BF" w:rsidRPr="004963EE">
        <w:rPr>
          <w:rFonts w:ascii="Times New Roman" w:hAnsi="Times New Roman"/>
        </w:rPr>
        <w:t>2 specified four classes of dwellings</w:t>
      </w:r>
      <w:r w:rsidR="00C913C9" w:rsidRPr="004963EE">
        <w:rPr>
          <w:rFonts w:ascii="Times New Roman" w:hAnsi="Times New Roman"/>
        </w:rPr>
        <w:t>: a one</w:t>
      </w:r>
      <w:r w:rsidR="003132BE" w:rsidRPr="004963EE">
        <w:rPr>
          <w:rFonts w:ascii="Times New Roman" w:hAnsi="Times New Roman"/>
        </w:rPr>
        <w:noBreakHyphen/>
      </w:r>
      <w:r w:rsidR="00C913C9" w:rsidRPr="004963EE">
        <w:rPr>
          <w:rFonts w:ascii="Times New Roman" w:hAnsi="Times New Roman"/>
        </w:rPr>
        <w:t>bedroom dwelling</w:t>
      </w:r>
      <w:r w:rsidR="00A01E3E" w:rsidRPr="004963EE">
        <w:rPr>
          <w:rFonts w:ascii="Times New Roman" w:hAnsi="Times New Roman"/>
        </w:rPr>
        <w:t>; a two</w:t>
      </w:r>
      <w:r w:rsidR="003132BE" w:rsidRPr="004963EE">
        <w:rPr>
          <w:rFonts w:ascii="Times New Roman" w:hAnsi="Times New Roman"/>
        </w:rPr>
        <w:noBreakHyphen/>
      </w:r>
      <w:r w:rsidR="00A01E3E" w:rsidRPr="004963EE">
        <w:rPr>
          <w:rFonts w:ascii="Times New Roman" w:hAnsi="Times New Roman"/>
        </w:rPr>
        <w:t>bedroom dwelling; a three</w:t>
      </w:r>
      <w:r w:rsidR="003132BE" w:rsidRPr="004963EE">
        <w:rPr>
          <w:rFonts w:ascii="Times New Roman" w:hAnsi="Times New Roman"/>
        </w:rPr>
        <w:noBreakHyphen/>
      </w:r>
      <w:r w:rsidR="00A01E3E" w:rsidRPr="004963EE">
        <w:rPr>
          <w:rFonts w:ascii="Times New Roman" w:hAnsi="Times New Roman"/>
        </w:rPr>
        <w:t xml:space="preserve">bedroom dwelling; and </w:t>
      </w:r>
      <w:r w:rsidR="002D3D24" w:rsidRPr="004963EE">
        <w:rPr>
          <w:rFonts w:ascii="Times New Roman" w:hAnsi="Times New Roman"/>
        </w:rPr>
        <w:t>a dwelling with four or more bedrooms.</w:t>
      </w:r>
      <w:r w:rsidR="00C81101" w:rsidRPr="004963EE">
        <w:rPr>
          <w:rFonts w:ascii="Times New Roman" w:hAnsi="Times New Roman"/>
        </w:rPr>
        <w:t xml:space="preserve"> </w:t>
      </w:r>
      <w:r w:rsidR="008E616E" w:rsidRPr="004963EE">
        <w:rPr>
          <w:rFonts w:ascii="Times New Roman" w:hAnsi="Times New Roman"/>
        </w:rPr>
        <w:t xml:space="preserve">It also specified </w:t>
      </w:r>
      <w:r w:rsidR="005E40F1" w:rsidRPr="004963EE">
        <w:rPr>
          <w:rFonts w:ascii="Times New Roman" w:hAnsi="Times New Roman"/>
        </w:rPr>
        <w:t>t</w:t>
      </w:r>
      <w:r w:rsidR="007B0F8F" w:rsidRPr="004963EE">
        <w:rPr>
          <w:rFonts w:ascii="Times New Roman" w:hAnsi="Times New Roman"/>
        </w:rPr>
        <w:t>w</w:t>
      </w:r>
      <w:r w:rsidR="005E40F1" w:rsidRPr="004963EE">
        <w:rPr>
          <w:rFonts w:ascii="Times New Roman" w:hAnsi="Times New Roman"/>
        </w:rPr>
        <w:t>o</w:t>
      </w:r>
      <w:r w:rsidR="00F511BF" w:rsidRPr="004963EE">
        <w:rPr>
          <w:rFonts w:ascii="Times New Roman" w:hAnsi="Times New Roman"/>
        </w:rPr>
        <w:t xml:space="preserve"> fixed</w:t>
      </w:r>
      <w:r w:rsidR="005E40F1" w:rsidRPr="004963EE">
        <w:rPr>
          <w:rFonts w:ascii="Times New Roman" w:hAnsi="Times New Roman"/>
        </w:rPr>
        <w:t xml:space="preserve"> rates of rent</w:t>
      </w:r>
      <w:r w:rsidR="00E51FED" w:rsidRPr="004963EE">
        <w:rPr>
          <w:rFonts w:ascii="Times New Roman" w:hAnsi="Times New Roman"/>
        </w:rPr>
        <w:t xml:space="preserve"> for each class of dwelling</w:t>
      </w:r>
      <w:r w:rsidR="00A1397D" w:rsidRPr="004963EE">
        <w:rPr>
          <w:rFonts w:ascii="Times New Roman" w:hAnsi="Times New Roman"/>
        </w:rPr>
        <w:t>,</w:t>
      </w:r>
      <w:r w:rsidR="005E40F1" w:rsidRPr="004963EE">
        <w:rPr>
          <w:rFonts w:ascii="Times New Roman" w:hAnsi="Times New Roman"/>
        </w:rPr>
        <w:t xml:space="preserve"> with the first </w:t>
      </w:r>
      <w:r w:rsidR="009665E9" w:rsidRPr="004963EE">
        <w:rPr>
          <w:rFonts w:ascii="Times New Roman" w:hAnsi="Times New Roman"/>
        </w:rPr>
        <w:t xml:space="preserve">rate </w:t>
      </w:r>
      <w:r w:rsidR="005E40F1" w:rsidRPr="004963EE">
        <w:rPr>
          <w:rFonts w:ascii="Times New Roman" w:hAnsi="Times New Roman"/>
        </w:rPr>
        <w:t xml:space="preserve">payable until </w:t>
      </w:r>
      <w:r w:rsidR="007B0F8F" w:rsidRPr="004963EE">
        <w:rPr>
          <w:rFonts w:ascii="Times New Roman" w:hAnsi="Times New Roman"/>
        </w:rPr>
        <w:t>1</w:t>
      </w:r>
      <w:r w:rsidR="003132BE" w:rsidRPr="004963EE">
        <w:rPr>
          <w:rFonts w:ascii="Times New Roman" w:hAnsi="Times New Roman"/>
        </w:rPr>
        <w:t> </w:t>
      </w:r>
      <w:r w:rsidR="007B0F8F" w:rsidRPr="004963EE">
        <w:rPr>
          <w:rFonts w:ascii="Times New Roman" w:hAnsi="Times New Roman"/>
        </w:rPr>
        <w:t xml:space="preserve">May 2022 (known as the </w:t>
      </w:r>
      <w:r w:rsidR="0027305A" w:rsidRPr="004963EE">
        <w:rPr>
          <w:rFonts w:ascii="Times New Roman" w:hAnsi="Times New Roman"/>
        </w:rPr>
        <w:t>"</w:t>
      </w:r>
      <w:r w:rsidR="007B0F8F" w:rsidRPr="004963EE">
        <w:rPr>
          <w:rFonts w:ascii="Times New Roman" w:hAnsi="Times New Roman"/>
        </w:rPr>
        <w:t>interim period</w:t>
      </w:r>
      <w:r w:rsidR="0027305A" w:rsidRPr="004963EE">
        <w:rPr>
          <w:rFonts w:ascii="Times New Roman" w:hAnsi="Times New Roman"/>
        </w:rPr>
        <w:t>"</w:t>
      </w:r>
      <w:r w:rsidR="007B0F8F" w:rsidRPr="004963EE">
        <w:rPr>
          <w:rFonts w:ascii="Times New Roman" w:hAnsi="Times New Roman"/>
        </w:rPr>
        <w:t xml:space="preserve">) and the </w:t>
      </w:r>
      <w:r w:rsidR="003211FB" w:rsidRPr="004963EE">
        <w:rPr>
          <w:rFonts w:ascii="Times New Roman" w:hAnsi="Times New Roman"/>
        </w:rPr>
        <w:t xml:space="preserve">second </w:t>
      </w:r>
      <w:r w:rsidR="009665E9" w:rsidRPr="004963EE">
        <w:rPr>
          <w:rFonts w:ascii="Times New Roman" w:hAnsi="Times New Roman"/>
        </w:rPr>
        <w:t xml:space="preserve">rate </w:t>
      </w:r>
      <w:r w:rsidR="007B0F8F" w:rsidRPr="004963EE">
        <w:rPr>
          <w:rFonts w:ascii="Times New Roman" w:hAnsi="Times New Roman"/>
        </w:rPr>
        <w:t>payable thereafter.</w:t>
      </w:r>
      <w:r w:rsidR="00C81101" w:rsidRPr="004963EE">
        <w:rPr>
          <w:rFonts w:ascii="Times New Roman" w:hAnsi="Times New Roman"/>
        </w:rPr>
        <w:t xml:space="preserve"> </w:t>
      </w:r>
      <w:r w:rsidR="0054507F" w:rsidRPr="004963EE">
        <w:rPr>
          <w:rFonts w:ascii="Times New Roman" w:hAnsi="Times New Roman"/>
        </w:rPr>
        <w:t>For the interim period</w:t>
      </w:r>
      <w:r w:rsidR="00E03507" w:rsidRPr="004963EE">
        <w:rPr>
          <w:rFonts w:ascii="Times New Roman" w:hAnsi="Times New Roman"/>
        </w:rPr>
        <w:t>,</w:t>
      </w:r>
      <w:r w:rsidR="0054507F" w:rsidRPr="004963EE">
        <w:rPr>
          <w:rFonts w:ascii="Times New Roman" w:hAnsi="Times New Roman"/>
        </w:rPr>
        <w:t xml:space="preserve"> the </w:t>
      </w:r>
      <w:r w:rsidR="0094382B" w:rsidRPr="004963EE">
        <w:rPr>
          <w:rFonts w:ascii="Times New Roman" w:hAnsi="Times New Roman"/>
        </w:rPr>
        <w:t xml:space="preserve">amount payable was equal to the maximum "full rent" payable for new or rebuilt buildings </w:t>
      </w:r>
      <w:r w:rsidR="00A9298D" w:rsidRPr="004963EE">
        <w:rPr>
          <w:rFonts w:ascii="Times New Roman" w:hAnsi="Times New Roman"/>
        </w:rPr>
        <w:t>under the previous regime.</w:t>
      </w:r>
      <w:r w:rsidR="00956F3A" w:rsidRPr="004963EE">
        <w:rPr>
          <w:rFonts w:ascii="Times New Roman" w:hAnsi="Times New Roman"/>
        </w:rPr>
        <w:t xml:space="preserve"> </w:t>
      </w:r>
      <w:r w:rsidR="00461947" w:rsidRPr="004963EE">
        <w:rPr>
          <w:rFonts w:ascii="Times New Roman" w:hAnsi="Times New Roman"/>
        </w:rPr>
        <w:t xml:space="preserve">Each appellant </w:t>
      </w:r>
      <w:r w:rsidR="00A9298D" w:rsidRPr="004963EE">
        <w:rPr>
          <w:rFonts w:ascii="Times New Roman" w:hAnsi="Times New Roman"/>
        </w:rPr>
        <w:t xml:space="preserve">nonetheless </w:t>
      </w:r>
      <w:r w:rsidR="00461947" w:rsidRPr="004963EE">
        <w:rPr>
          <w:rFonts w:ascii="Times New Roman" w:hAnsi="Times New Roman"/>
        </w:rPr>
        <w:t xml:space="preserve">contended that under this new </w:t>
      </w:r>
      <w:r w:rsidR="00730288" w:rsidRPr="004963EE">
        <w:rPr>
          <w:rFonts w:ascii="Times New Roman" w:hAnsi="Times New Roman"/>
        </w:rPr>
        <w:t xml:space="preserve">model </w:t>
      </w:r>
      <w:r w:rsidR="00461947" w:rsidRPr="004963EE">
        <w:rPr>
          <w:rFonts w:ascii="Times New Roman" w:hAnsi="Times New Roman"/>
        </w:rPr>
        <w:t>their rent increased.</w:t>
      </w:r>
      <w:r w:rsidR="00C81101" w:rsidRPr="004963EE">
        <w:rPr>
          <w:rFonts w:ascii="Times New Roman" w:hAnsi="Times New Roman"/>
        </w:rPr>
        <w:t xml:space="preserve"> </w:t>
      </w:r>
      <w:r w:rsidR="003211FB" w:rsidRPr="004963EE">
        <w:rPr>
          <w:rFonts w:ascii="Times New Roman" w:hAnsi="Times New Roman"/>
        </w:rPr>
        <w:t xml:space="preserve">The respondents did not appear to dispute that the "full rents", either in </w:t>
      </w:r>
      <w:r w:rsidR="003211FB" w:rsidRPr="004963EE">
        <w:rPr>
          <w:rFonts w:ascii="Times New Roman" w:hAnsi="Times New Roman"/>
        </w:rPr>
        <w:lastRenderedPageBreak/>
        <w:t xml:space="preserve">the interim period or </w:t>
      </w:r>
      <w:r w:rsidR="00805B16" w:rsidRPr="004963EE">
        <w:rPr>
          <w:rFonts w:ascii="Times New Roman" w:hAnsi="Times New Roman"/>
        </w:rPr>
        <w:t xml:space="preserve">afterwards, were greater than the </w:t>
      </w:r>
      <w:r w:rsidR="00445D53" w:rsidRPr="004963EE">
        <w:rPr>
          <w:rFonts w:ascii="Times New Roman" w:hAnsi="Times New Roman"/>
        </w:rPr>
        <w:t>amounts the appellants contended they were paying</w:t>
      </w:r>
      <w:r w:rsidR="00567119" w:rsidRPr="004963EE">
        <w:rPr>
          <w:rFonts w:ascii="Times New Roman" w:hAnsi="Times New Roman"/>
        </w:rPr>
        <w:t xml:space="preserve"> under the previous regime</w:t>
      </w:r>
      <w:r w:rsidR="00A9298D" w:rsidRPr="004963EE">
        <w:rPr>
          <w:rFonts w:ascii="Times New Roman" w:hAnsi="Times New Roman"/>
        </w:rPr>
        <w:t>.</w:t>
      </w:r>
      <w:r w:rsidR="00C81101" w:rsidRPr="004963EE">
        <w:rPr>
          <w:rFonts w:ascii="Times New Roman" w:hAnsi="Times New Roman"/>
        </w:rPr>
        <w:t xml:space="preserve"> </w:t>
      </w:r>
      <w:r w:rsidR="00953813" w:rsidRPr="004963EE">
        <w:rPr>
          <w:rFonts w:ascii="Times New Roman" w:hAnsi="Times New Roman"/>
        </w:rPr>
        <w:t>But the exact figures</w:t>
      </w:r>
      <w:r w:rsidR="00071596" w:rsidRPr="004963EE">
        <w:rPr>
          <w:rFonts w:ascii="Times New Roman" w:hAnsi="Times New Roman"/>
        </w:rPr>
        <w:t xml:space="preserve"> remained unclear.</w:t>
      </w:r>
      <w:r w:rsidR="00C81101" w:rsidRPr="004963EE">
        <w:rPr>
          <w:rFonts w:ascii="Times New Roman" w:hAnsi="Times New Roman"/>
        </w:rPr>
        <w:t xml:space="preserve"> </w:t>
      </w:r>
      <w:r w:rsidR="009A750C" w:rsidRPr="004963EE">
        <w:rPr>
          <w:rFonts w:ascii="Times New Roman" w:hAnsi="Times New Roman"/>
        </w:rPr>
        <w:t>That lack of precision is of no moment.</w:t>
      </w:r>
      <w:r w:rsidR="00FA2556" w:rsidRPr="004963EE">
        <w:rPr>
          <w:rFonts w:ascii="Times New Roman" w:hAnsi="Times New Roman"/>
        </w:rPr>
        <w:t xml:space="preserve"> </w:t>
      </w:r>
      <w:r w:rsidR="00CC799C" w:rsidRPr="004963EE">
        <w:rPr>
          <w:rFonts w:ascii="Times New Roman" w:hAnsi="Times New Roman"/>
        </w:rPr>
        <w:t xml:space="preserve">All tenants were </w:t>
      </w:r>
      <w:r w:rsidR="00BE4820" w:rsidRPr="004963EE">
        <w:rPr>
          <w:rFonts w:ascii="Times New Roman" w:hAnsi="Times New Roman"/>
        </w:rPr>
        <w:t>a</w:t>
      </w:r>
      <w:r w:rsidR="00CC799C" w:rsidRPr="004963EE">
        <w:rPr>
          <w:rFonts w:ascii="Times New Roman" w:hAnsi="Times New Roman"/>
        </w:rPr>
        <w:t>ffected in their own particular ways.</w:t>
      </w:r>
      <w:r w:rsidR="00FA2556" w:rsidRPr="004963EE">
        <w:rPr>
          <w:rFonts w:ascii="Times New Roman" w:hAnsi="Times New Roman"/>
        </w:rPr>
        <w:t xml:space="preserve"> It was</w:t>
      </w:r>
      <w:r w:rsidR="00263F69" w:rsidRPr="004963EE">
        <w:rPr>
          <w:rFonts w:ascii="Times New Roman" w:hAnsi="Times New Roman"/>
        </w:rPr>
        <w:t>, however,</w:t>
      </w:r>
      <w:r w:rsidR="00FA2556" w:rsidRPr="004963EE">
        <w:rPr>
          <w:rFonts w:ascii="Times New Roman" w:hAnsi="Times New Roman"/>
        </w:rPr>
        <w:t xml:space="preserve"> estimated that</w:t>
      </w:r>
      <w:r w:rsidR="00076183" w:rsidRPr="004963EE">
        <w:rPr>
          <w:rFonts w:ascii="Times New Roman" w:hAnsi="Times New Roman"/>
        </w:rPr>
        <w:t>,</w:t>
      </w:r>
      <w:r w:rsidR="00FA2556" w:rsidRPr="004963EE">
        <w:rPr>
          <w:rFonts w:ascii="Times New Roman" w:hAnsi="Times New Roman"/>
        </w:rPr>
        <w:t xml:space="preserve"> under the new model</w:t>
      </w:r>
      <w:r w:rsidR="00076183" w:rsidRPr="004963EE">
        <w:rPr>
          <w:rFonts w:ascii="Times New Roman" w:hAnsi="Times New Roman"/>
        </w:rPr>
        <w:t xml:space="preserve">, </w:t>
      </w:r>
      <w:r w:rsidR="00E05796" w:rsidRPr="004963EE">
        <w:rPr>
          <w:rFonts w:ascii="Times New Roman" w:hAnsi="Times New Roman"/>
        </w:rPr>
        <w:t>revenue from rent would increase</w:t>
      </w:r>
      <w:r w:rsidR="009326CA" w:rsidRPr="004963EE">
        <w:rPr>
          <w:rFonts w:ascii="Times New Roman" w:hAnsi="Times New Roman"/>
        </w:rPr>
        <w:t xml:space="preserve"> by</w:t>
      </w:r>
      <w:r w:rsidR="00E05796" w:rsidRPr="004963EE">
        <w:rPr>
          <w:rFonts w:ascii="Times New Roman" w:hAnsi="Times New Roman"/>
        </w:rPr>
        <w:t xml:space="preserve"> $9.7</w:t>
      </w:r>
      <w:r w:rsidR="009326CA" w:rsidRPr="004963EE">
        <w:rPr>
          <w:rFonts w:ascii="Times New Roman" w:hAnsi="Times New Roman"/>
        </w:rPr>
        <w:t> </w:t>
      </w:r>
      <w:r w:rsidR="00E05796" w:rsidRPr="004963EE">
        <w:rPr>
          <w:rFonts w:ascii="Times New Roman" w:hAnsi="Times New Roman"/>
        </w:rPr>
        <w:t>million per annum.</w:t>
      </w:r>
      <w:r w:rsidR="009326CA" w:rsidRPr="004963EE">
        <w:rPr>
          <w:rFonts w:ascii="Times New Roman" w:hAnsi="Times New Roman"/>
        </w:rPr>
        <w:t xml:space="preserve"> </w:t>
      </w:r>
    </w:p>
    <w:p w14:paraId="354E0AC8" w14:textId="34A17D1C" w:rsidR="00572CE8" w:rsidRPr="004963EE" w:rsidRDefault="00461947"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AE6C61" w:rsidRPr="004963EE">
        <w:rPr>
          <w:rFonts w:ascii="Times New Roman" w:hAnsi="Times New Roman"/>
        </w:rPr>
        <w:t>On 27</w:t>
      </w:r>
      <w:r w:rsidR="009326CA" w:rsidRPr="004963EE">
        <w:rPr>
          <w:rFonts w:ascii="Times New Roman" w:hAnsi="Times New Roman"/>
        </w:rPr>
        <w:t> </w:t>
      </w:r>
      <w:r w:rsidR="00AE6C61" w:rsidRPr="004963EE">
        <w:rPr>
          <w:rFonts w:ascii="Times New Roman" w:hAnsi="Times New Roman"/>
        </w:rPr>
        <w:t xml:space="preserve">April 2022, </w:t>
      </w:r>
      <w:r w:rsidR="00A9298D" w:rsidRPr="004963EE">
        <w:rPr>
          <w:rFonts w:ascii="Times New Roman" w:hAnsi="Times New Roman"/>
        </w:rPr>
        <w:t xml:space="preserve">the </w:t>
      </w:r>
      <w:r w:rsidR="00A415FC" w:rsidRPr="004963EE">
        <w:rPr>
          <w:rFonts w:ascii="Times New Roman" w:hAnsi="Times New Roman"/>
        </w:rPr>
        <w:t xml:space="preserve">Relevant </w:t>
      </w:r>
      <w:r w:rsidR="00A9298D" w:rsidRPr="004963EE">
        <w:rPr>
          <w:rFonts w:ascii="Times New Roman" w:hAnsi="Times New Roman"/>
        </w:rPr>
        <w:t xml:space="preserve">Minister </w:t>
      </w:r>
      <w:r w:rsidR="00172206" w:rsidRPr="004963EE">
        <w:rPr>
          <w:rFonts w:ascii="Times New Roman" w:hAnsi="Times New Roman"/>
        </w:rPr>
        <w:t xml:space="preserve">made a new </w:t>
      </w:r>
      <w:r w:rsidR="00550DE6" w:rsidRPr="004963EE">
        <w:rPr>
          <w:rFonts w:ascii="Times New Roman" w:hAnsi="Times New Roman"/>
        </w:rPr>
        <w:t>d</w:t>
      </w:r>
      <w:r w:rsidR="00172206" w:rsidRPr="004963EE">
        <w:rPr>
          <w:rFonts w:ascii="Times New Roman" w:hAnsi="Times New Roman"/>
        </w:rPr>
        <w:t>etermination</w:t>
      </w:r>
      <w:r w:rsidR="00CC799C" w:rsidRPr="004963EE">
        <w:rPr>
          <w:rFonts w:ascii="Times New Roman" w:hAnsi="Times New Roman"/>
        </w:rPr>
        <w:t xml:space="preserve"> (the "Second Determination")</w:t>
      </w:r>
      <w:r w:rsidR="00172206" w:rsidRPr="004963EE">
        <w:rPr>
          <w:rFonts w:ascii="Times New Roman" w:hAnsi="Times New Roman"/>
        </w:rPr>
        <w:t>.</w:t>
      </w:r>
      <w:r w:rsidR="00C81101" w:rsidRPr="004963EE">
        <w:rPr>
          <w:rFonts w:ascii="Times New Roman" w:hAnsi="Times New Roman"/>
        </w:rPr>
        <w:t xml:space="preserve"> </w:t>
      </w:r>
      <w:r w:rsidR="00172206" w:rsidRPr="004963EE">
        <w:rPr>
          <w:rFonts w:ascii="Times New Roman" w:hAnsi="Times New Roman"/>
        </w:rPr>
        <w:t>It revoked the First Determination</w:t>
      </w:r>
      <w:r w:rsidR="00DE2991" w:rsidRPr="004963EE">
        <w:rPr>
          <w:rFonts w:ascii="Times New Roman" w:hAnsi="Times New Roman"/>
        </w:rPr>
        <w:t xml:space="preserve"> and delayed the </w:t>
      </w:r>
      <w:r w:rsidR="004A6744" w:rsidRPr="004963EE">
        <w:rPr>
          <w:rFonts w:ascii="Times New Roman" w:hAnsi="Times New Roman"/>
        </w:rPr>
        <w:t>expiration</w:t>
      </w:r>
      <w:r w:rsidR="00DE2991" w:rsidRPr="004963EE">
        <w:rPr>
          <w:rFonts w:ascii="Times New Roman" w:hAnsi="Times New Roman"/>
        </w:rPr>
        <w:t xml:space="preserve"> of the interim period until </w:t>
      </w:r>
      <w:r w:rsidR="00F0469B" w:rsidRPr="004963EE">
        <w:rPr>
          <w:rFonts w:ascii="Times New Roman" w:hAnsi="Times New Roman"/>
        </w:rPr>
        <w:t>4</w:t>
      </w:r>
      <w:r w:rsidR="00BE4820" w:rsidRPr="004963EE">
        <w:rPr>
          <w:rFonts w:ascii="Times New Roman" w:hAnsi="Times New Roman"/>
        </w:rPr>
        <w:t> </w:t>
      </w:r>
      <w:r w:rsidR="00DE2991" w:rsidRPr="004963EE">
        <w:rPr>
          <w:rFonts w:ascii="Times New Roman" w:hAnsi="Times New Roman"/>
        </w:rPr>
        <w:t>September 2022.</w:t>
      </w:r>
      <w:r w:rsidR="00C81101" w:rsidRPr="004963EE">
        <w:rPr>
          <w:rFonts w:ascii="Times New Roman" w:hAnsi="Times New Roman"/>
        </w:rPr>
        <w:t xml:space="preserve"> </w:t>
      </w:r>
      <w:r w:rsidR="00C559DF" w:rsidRPr="004963EE">
        <w:rPr>
          <w:rFonts w:ascii="Times New Roman" w:hAnsi="Times New Roman"/>
        </w:rPr>
        <w:t>It included six additional communities.</w:t>
      </w:r>
      <w:r w:rsidR="00C81101" w:rsidRPr="004963EE">
        <w:rPr>
          <w:rFonts w:ascii="Times New Roman" w:hAnsi="Times New Roman"/>
        </w:rPr>
        <w:t xml:space="preserve"> </w:t>
      </w:r>
      <w:r w:rsidR="00C559DF" w:rsidRPr="004963EE">
        <w:rPr>
          <w:rFonts w:ascii="Times New Roman" w:hAnsi="Times New Roman"/>
        </w:rPr>
        <w:t>It otherwise followed the model of the First Determination.</w:t>
      </w:r>
      <w:r w:rsidR="003E17E1" w:rsidRPr="004963EE">
        <w:rPr>
          <w:rFonts w:ascii="Times New Roman" w:hAnsi="Times New Roman"/>
        </w:rPr>
        <w:t xml:space="preserve"> </w:t>
      </w:r>
      <w:r w:rsidR="005E3AC5" w:rsidRPr="004963EE">
        <w:rPr>
          <w:rFonts w:ascii="Times New Roman" w:hAnsi="Times New Roman"/>
        </w:rPr>
        <w:t>O</w:t>
      </w:r>
      <w:r w:rsidR="00CA02DA" w:rsidRPr="004963EE">
        <w:rPr>
          <w:rFonts w:ascii="Times New Roman" w:hAnsi="Times New Roman"/>
        </w:rPr>
        <w:t xml:space="preserve">n </w:t>
      </w:r>
      <w:r w:rsidR="00CC014E" w:rsidRPr="004963EE">
        <w:rPr>
          <w:rFonts w:ascii="Times New Roman" w:hAnsi="Times New Roman"/>
        </w:rPr>
        <w:t>2</w:t>
      </w:r>
      <w:r w:rsidR="00BE4820" w:rsidRPr="004963EE">
        <w:rPr>
          <w:rFonts w:ascii="Times New Roman" w:hAnsi="Times New Roman"/>
        </w:rPr>
        <w:t> </w:t>
      </w:r>
      <w:r w:rsidR="00CA02DA" w:rsidRPr="004963EE">
        <w:rPr>
          <w:rFonts w:ascii="Times New Roman" w:hAnsi="Times New Roman"/>
        </w:rPr>
        <w:t>September 2022</w:t>
      </w:r>
      <w:r w:rsidR="00A46463" w:rsidRPr="004963EE">
        <w:rPr>
          <w:rFonts w:ascii="Times New Roman" w:hAnsi="Times New Roman"/>
        </w:rPr>
        <w:t>,</w:t>
      </w:r>
      <w:r w:rsidR="00CA02DA" w:rsidRPr="004963EE">
        <w:rPr>
          <w:rFonts w:ascii="Times New Roman" w:hAnsi="Times New Roman"/>
        </w:rPr>
        <w:t xml:space="preserve"> </w:t>
      </w:r>
      <w:r w:rsidR="00D44959" w:rsidRPr="004963EE">
        <w:rPr>
          <w:rFonts w:ascii="Times New Roman" w:hAnsi="Times New Roman"/>
        </w:rPr>
        <w:t xml:space="preserve">the </w:t>
      </w:r>
      <w:r w:rsidR="00A415FC" w:rsidRPr="004963EE">
        <w:rPr>
          <w:rFonts w:ascii="Times New Roman" w:hAnsi="Times New Roman"/>
        </w:rPr>
        <w:t xml:space="preserve">Relevant </w:t>
      </w:r>
      <w:r w:rsidR="00D44959" w:rsidRPr="004963EE">
        <w:rPr>
          <w:rFonts w:ascii="Times New Roman" w:hAnsi="Times New Roman"/>
        </w:rPr>
        <w:t xml:space="preserve">Minister made a further </w:t>
      </w:r>
      <w:r w:rsidR="00D950A6" w:rsidRPr="004963EE">
        <w:rPr>
          <w:rFonts w:ascii="Times New Roman" w:hAnsi="Times New Roman"/>
        </w:rPr>
        <w:t>d</w:t>
      </w:r>
      <w:r w:rsidR="00D44959" w:rsidRPr="004963EE">
        <w:rPr>
          <w:rFonts w:ascii="Times New Roman" w:hAnsi="Times New Roman"/>
        </w:rPr>
        <w:t>etermination</w:t>
      </w:r>
      <w:r w:rsidR="004C0F75" w:rsidRPr="004963EE">
        <w:rPr>
          <w:rFonts w:ascii="Times New Roman" w:hAnsi="Times New Roman"/>
        </w:rPr>
        <w:t xml:space="preserve"> (the "Third Determination")</w:t>
      </w:r>
      <w:r w:rsidR="00D44959" w:rsidRPr="004963EE">
        <w:rPr>
          <w:rFonts w:ascii="Times New Roman" w:hAnsi="Times New Roman"/>
        </w:rPr>
        <w:t>.</w:t>
      </w:r>
      <w:r w:rsidR="00C81101" w:rsidRPr="004963EE">
        <w:rPr>
          <w:rFonts w:ascii="Times New Roman" w:hAnsi="Times New Roman"/>
        </w:rPr>
        <w:t xml:space="preserve"> </w:t>
      </w:r>
      <w:r w:rsidR="00B07087" w:rsidRPr="004963EE">
        <w:rPr>
          <w:rFonts w:ascii="Times New Roman" w:hAnsi="Times New Roman"/>
        </w:rPr>
        <w:t xml:space="preserve">It revoked the Second Determination and delayed the </w:t>
      </w:r>
      <w:r w:rsidR="004A6744" w:rsidRPr="004963EE">
        <w:rPr>
          <w:rFonts w:ascii="Times New Roman" w:hAnsi="Times New Roman"/>
        </w:rPr>
        <w:t>expiration</w:t>
      </w:r>
      <w:r w:rsidR="00B07087" w:rsidRPr="004963EE">
        <w:rPr>
          <w:rFonts w:ascii="Times New Roman" w:hAnsi="Times New Roman"/>
        </w:rPr>
        <w:t xml:space="preserve"> of the interim period until </w:t>
      </w:r>
      <w:r w:rsidR="006B25EC" w:rsidRPr="004963EE">
        <w:rPr>
          <w:rFonts w:ascii="Times New Roman" w:hAnsi="Times New Roman"/>
        </w:rPr>
        <w:t>5</w:t>
      </w:r>
      <w:r w:rsidR="00D679D2" w:rsidRPr="004963EE">
        <w:rPr>
          <w:rFonts w:ascii="Times New Roman" w:hAnsi="Times New Roman"/>
        </w:rPr>
        <w:t> </w:t>
      </w:r>
      <w:r w:rsidR="00B613C3" w:rsidRPr="004963EE">
        <w:rPr>
          <w:rFonts w:ascii="Times New Roman" w:hAnsi="Times New Roman"/>
        </w:rPr>
        <w:t>February 2023.</w:t>
      </w:r>
      <w:r w:rsidR="00152917" w:rsidRPr="004963EE">
        <w:rPr>
          <w:rFonts w:ascii="Times New Roman" w:hAnsi="Times New Roman"/>
        </w:rPr>
        <w:t xml:space="preserve"> </w:t>
      </w:r>
      <w:r w:rsidR="005741CC" w:rsidRPr="004963EE">
        <w:rPr>
          <w:rFonts w:ascii="Times New Roman" w:hAnsi="Times New Roman"/>
        </w:rPr>
        <w:t>The respondents submitted that d</w:t>
      </w:r>
      <w:r w:rsidR="00B613C3" w:rsidRPr="004963EE">
        <w:rPr>
          <w:rFonts w:ascii="Times New Roman" w:hAnsi="Times New Roman"/>
        </w:rPr>
        <w:t xml:space="preserve">uring </w:t>
      </w:r>
      <w:r w:rsidR="00521561" w:rsidRPr="004963EE">
        <w:rPr>
          <w:rFonts w:ascii="Times New Roman" w:hAnsi="Times New Roman"/>
        </w:rPr>
        <w:t>the</w:t>
      </w:r>
      <w:r w:rsidR="00B613C3" w:rsidRPr="004963EE">
        <w:rPr>
          <w:rFonts w:ascii="Times New Roman" w:hAnsi="Times New Roman"/>
        </w:rPr>
        <w:t xml:space="preserve"> interim period </w:t>
      </w:r>
      <w:r w:rsidR="00B106C6" w:rsidRPr="004963EE">
        <w:rPr>
          <w:rFonts w:ascii="Times New Roman" w:hAnsi="Times New Roman"/>
        </w:rPr>
        <w:t>the previous policy concerning</w:t>
      </w:r>
      <w:r w:rsidR="00B613C3" w:rsidRPr="004963EE">
        <w:rPr>
          <w:rFonts w:ascii="Times New Roman" w:hAnsi="Times New Roman"/>
        </w:rPr>
        <w:t xml:space="preserve"> rebates </w:t>
      </w:r>
      <w:r w:rsidR="00B106C6" w:rsidRPr="004963EE">
        <w:rPr>
          <w:rFonts w:ascii="Times New Roman" w:hAnsi="Times New Roman"/>
        </w:rPr>
        <w:t>continued to apply</w:t>
      </w:r>
      <w:r w:rsidR="005809D8" w:rsidRPr="004963EE">
        <w:rPr>
          <w:rFonts w:ascii="Times New Roman" w:hAnsi="Times New Roman"/>
        </w:rPr>
        <w:t xml:space="preserve"> to the appellants and the other tenants</w:t>
      </w:r>
      <w:r w:rsidR="002B0952" w:rsidRPr="004963EE">
        <w:rPr>
          <w:rFonts w:ascii="Times New Roman" w:hAnsi="Times New Roman"/>
        </w:rPr>
        <w:t xml:space="preserve">, which meant the appellants </w:t>
      </w:r>
      <w:r w:rsidR="009B65E4" w:rsidRPr="004963EE">
        <w:rPr>
          <w:rFonts w:ascii="Times New Roman" w:hAnsi="Times New Roman"/>
        </w:rPr>
        <w:t>(</w:t>
      </w:r>
      <w:r w:rsidR="00EF06F7" w:rsidRPr="004963EE">
        <w:rPr>
          <w:rFonts w:ascii="Times New Roman" w:hAnsi="Times New Roman"/>
        </w:rPr>
        <w:t xml:space="preserve">potentially </w:t>
      </w:r>
      <w:proofErr w:type="gramStart"/>
      <w:r w:rsidR="00EF06F7" w:rsidRPr="004963EE">
        <w:rPr>
          <w:rFonts w:ascii="Times New Roman" w:hAnsi="Times New Roman"/>
        </w:rPr>
        <w:t>with the exception of</w:t>
      </w:r>
      <w:proofErr w:type="gramEnd"/>
      <w:r w:rsidR="00EF06F7" w:rsidRPr="004963EE">
        <w:rPr>
          <w:rFonts w:ascii="Times New Roman" w:hAnsi="Times New Roman"/>
        </w:rPr>
        <w:t xml:space="preserve"> Ms </w:t>
      </w:r>
      <w:proofErr w:type="spellStart"/>
      <w:r w:rsidR="00EF06F7" w:rsidRPr="004963EE">
        <w:rPr>
          <w:rFonts w:ascii="Times New Roman" w:hAnsi="Times New Roman"/>
        </w:rPr>
        <w:t>Tilmouth</w:t>
      </w:r>
      <w:proofErr w:type="spellEnd"/>
      <w:r w:rsidR="00CB6BE3" w:rsidRPr="004963EE">
        <w:rPr>
          <w:rFonts w:ascii="Times New Roman" w:hAnsi="Times New Roman"/>
        </w:rPr>
        <w:t xml:space="preserve"> </w:t>
      </w:r>
      <w:r w:rsidR="00F33FA7" w:rsidRPr="004963EE">
        <w:rPr>
          <w:rFonts w:ascii="Times New Roman" w:hAnsi="Times New Roman"/>
        </w:rPr>
        <w:t>where</w:t>
      </w:r>
      <w:r w:rsidR="00CB6BE3" w:rsidRPr="004963EE">
        <w:rPr>
          <w:rFonts w:ascii="Times New Roman" w:hAnsi="Times New Roman"/>
        </w:rPr>
        <w:t xml:space="preserve"> the evidence was unclear</w:t>
      </w:r>
      <w:r w:rsidR="00EF06F7" w:rsidRPr="004963EE">
        <w:rPr>
          <w:rFonts w:ascii="Times New Roman" w:hAnsi="Times New Roman"/>
        </w:rPr>
        <w:t xml:space="preserve">) </w:t>
      </w:r>
      <w:r w:rsidR="002B0952" w:rsidRPr="004963EE">
        <w:rPr>
          <w:rFonts w:ascii="Times New Roman" w:hAnsi="Times New Roman"/>
        </w:rPr>
        <w:t xml:space="preserve">were in the same position they had been in prior to the </w:t>
      </w:r>
      <w:r w:rsidR="00354146" w:rsidRPr="004963EE">
        <w:rPr>
          <w:rFonts w:ascii="Times New Roman" w:hAnsi="Times New Roman"/>
        </w:rPr>
        <w:t>D</w:t>
      </w:r>
      <w:r w:rsidR="002B0952" w:rsidRPr="004963EE">
        <w:rPr>
          <w:rFonts w:ascii="Times New Roman" w:hAnsi="Times New Roman"/>
        </w:rPr>
        <w:t>eterminations</w:t>
      </w:r>
      <w:r w:rsidR="00B106C6" w:rsidRPr="004963EE">
        <w:rPr>
          <w:rFonts w:ascii="Times New Roman" w:hAnsi="Times New Roman"/>
        </w:rPr>
        <w:t>.</w:t>
      </w:r>
      <w:r w:rsidR="006C617F" w:rsidRPr="004963EE">
        <w:rPr>
          <w:rFonts w:ascii="Times New Roman" w:hAnsi="Times New Roman"/>
        </w:rPr>
        <w:t xml:space="preserve"> </w:t>
      </w:r>
      <w:r w:rsidR="008E37AC" w:rsidRPr="004963EE">
        <w:rPr>
          <w:rFonts w:ascii="Times New Roman" w:hAnsi="Times New Roman"/>
        </w:rPr>
        <w:t xml:space="preserve">A further </w:t>
      </w:r>
      <w:r w:rsidR="000526EA" w:rsidRPr="004963EE">
        <w:rPr>
          <w:rFonts w:ascii="Times New Roman" w:hAnsi="Times New Roman"/>
        </w:rPr>
        <w:t>f</w:t>
      </w:r>
      <w:r w:rsidR="008E37AC" w:rsidRPr="004963EE">
        <w:rPr>
          <w:rFonts w:ascii="Times New Roman" w:hAnsi="Times New Roman"/>
        </w:rPr>
        <w:t xml:space="preserve">ourth </w:t>
      </w:r>
      <w:r w:rsidR="000526EA" w:rsidRPr="004963EE">
        <w:rPr>
          <w:rFonts w:ascii="Times New Roman" w:hAnsi="Times New Roman"/>
        </w:rPr>
        <w:t>d</w:t>
      </w:r>
      <w:r w:rsidR="008E37AC" w:rsidRPr="004963EE">
        <w:rPr>
          <w:rFonts w:ascii="Times New Roman" w:hAnsi="Times New Roman"/>
        </w:rPr>
        <w:t xml:space="preserve">etermination was made on </w:t>
      </w:r>
      <w:r w:rsidR="008731B4" w:rsidRPr="004963EE">
        <w:rPr>
          <w:rFonts w:ascii="Times New Roman" w:hAnsi="Times New Roman"/>
        </w:rPr>
        <w:t>1</w:t>
      </w:r>
      <w:r w:rsidR="00D679D2" w:rsidRPr="004963EE">
        <w:rPr>
          <w:rFonts w:ascii="Times New Roman" w:hAnsi="Times New Roman"/>
        </w:rPr>
        <w:t> </w:t>
      </w:r>
      <w:r w:rsidR="008E37AC" w:rsidRPr="004963EE">
        <w:rPr>
          <w:rFonts w:ascii="Times New Roman" w:hAnsi="Times New Roman"/>
        </w:rPr>
        <w:t>February 2023</w:t>
      </w:r>
      <w:r w:rsidR="00071596" w:rsidRPr="004963EE">
        <w:rPr>
          <w:rFonts w:ascii="Times New Roman" w:hAnsi="Times New Roman"/>
        </w:rPr>
        <w:t xml:space="preserve"> after the delivery of judgment by the primary judge</w:t>
      </w:r>
      <w:r w:rsidR="00AC18A1" w:rsidRPr="004963EE">
        <w:rPr>
          <w:rFonts w:ascii="Times New Roman" w:hAnsi="Times New Roman"/>
        </w:rPr>
        <w:t>,</w:t>
      </w:r>
      <w:r w:rsidR="00C81101" w:rsidRPr="004963EE">
        <w:rPr>
          <w:rFonts w:ascii="Times New Roman" w:hAnsi="Times New Roman"/>
        </w:rPr>
        <w:t xml:space="preserve"> </w:t>
      </w:r>
      <w:r w:rsidR="00D56168" w:rsidRPr="004963EE">
        <w:rPr>
          <w:rFonts w:ascii="Times New Roman" w:hAnsi="Times New Roman"/>
        </w:rPr>
        <w:t>which</w:t>
      </w:r>
      <w:r w:rsidR="00071596" w:rsidRPr="004963EE">
        <w:rPr>
          <w:rFonts w:ascii="Times New Roman" w:hAnsi="Times New Roman"/>
        </w:rPr>
        <w:t xml:space="preserve"> </w:t>
      </w:r>
      <w:r w:rsidR="002277E2" w:rsidRPr="004963EE">
        <w:rPr>
          <w:rFonts w:ascii="Times New Roman" w:hAnsi="Times New Roman"/>
        </w:rPr>
        <w:t>removed some communities from Sch</w:t>
      </w:r>
      <w:r w:rsidR="00572CE8" w:rsidRPr="004963EE">
        <w:rPr>
          <w:rFonts w:ascii="Times New Roman" w:hAnsi="Times New Roman"/>
        </w:rPr>
        <w:t> </w:t>
      </w:r>
      <w:r w:rsidR="002277E2" w:rsidRPr="004963EE">
        <w:rPr>
          <w:rFonts w:ascii="Times New Roman" w:hAnsi="Times New Roman"/>
        </w:rPr>
        <w:t>1</w:t>
      </w:r>
      <w:r w:rsidR="00E44AD0" w:rsidRPr="004963EE">
        <w:rPr>
          <w:rFonts w:ascii="Times New Roman" w:hAnsi="Times New Roman"/>
        </w:rPr>
        <w:t xml:space="preserve"> (the "Fourth Determination")</w:t>
      </w:r>
      <w:r w:rsidR="002277E2" w:rsidRPr="004963EE">
        <w:rPr>
          <w:rFonts w:ascii="Times New Roman" w:hAnsi="Times New Roman"/>
        </w:rPr>
        <w:t>.</w:t>
      </w:r>
      <w:r w:rsidR="00D56168" w:rsidRPr="004963EE">
        <w:rPr>
          <w:rFonts w:ascii="Times New Roman" w:hAnsi="Times New Roman"/>
        </w:rPr>
        <w:t xml:space="preserve"> </w:t>
      </w:r>
    </w:p>
    <w:p w14:paraId="11D3BD2C" w14:textId="6152D888" w:rsidR="0021096A" w:rsidRPr="004963EE" w:rsidRDefault="007B0FB2" w:rsidP="004963EE">
      <w:pPr>
        <w:pStyle w:val="HeadingL1"/>
        <w:spacing w:after="260" w:line="280" w:lineRule="exact"/>
        <w:ind w:right="0"/>
        <w:jc w:val="both"/>
        <w:rPr>
          <w:rFonts w:ascii="Times New Roman" w:hAnsi="Times New Roman"/>
        </w:rPr>
      </w:pPr>
      <w:r w:rsidRPr="004963EE">
        <w:rPr>
          <w:rFonts w:ascii="Times New Roman" w:hAnsi="Times New Roman"/>
        </w:rPr>
        <w:t xml:space="preserve">The </w:t>
      </w:r>
      <w:r w:rsidR="00D62EE8" w:rsidRPr="004963EE">
        <w:rPr>
          <w:rFonts w:ascii="Times New Roman" w:hAnsi="Times New Roman"/>
        </w:rPr>
        <w:t>d</w:t>
      </w:r>
      <w:r w:rsidRPr="004963EE">
        <w:rPr>
          <w:rFonts w:ascii="Times New Roman" w:hAnsi="Times New Roman"/>
        </w:rPr>
        <w:t xml:space="preserve">uty to </w:t>
      </w:r>
      <w:r w:rsidR="00D62EE8" w:rsidRPr="004963EE">
        <w:rPr>
          <w:rFonts w:ascii="Times New Roman" w:hAnsi="Times New Roman"/>
        </w:rPr>
        <w:t>a</w:t>
      </w:r>
      <w:r w:rsidRPr="004963EE">
        <w:rPr>
          <w:rFonts w:ascii="Times New Roman" w:hAnsi="Times New Roman"/>
        </w:rPr>
        <w:t xml:space="preserve">fford </w:t>
      </w:r>
      <w:r w:rsidR="00D62EE8" w:rsidRPr="004963EE">
        <w:rPr>
          <w:rFonts w:ascii="Times New Roman" w:hAnsi="Times New Roman"/>
        </w:rPr>
        <w:t>p</w:t>
      </w:r>
      <w:r w:rsidRPr="004963EE">
        <w:rPr>
          <w:rFonts w:ascii="Times New Roman" w:hAnsi="Times New Roman"/>
        </w:rPr>
        <w:t xml:space="preserve">rocedural </w:t>
      </w:r>
      <w:r w:rsidR="00D62EE8" w:rsidRPr="004963EE">
        <w:rPr>
          <w:rFonts w:ascii="Times New Roman" w:hAnsi="Times New Roman"/>
        </w:rPr>
        <w:t>f</w:t>
      </w:r>
      <w:r w:rsidRPr="004963EE">
        <w:rPr>
          <w:rFonts w:ascii="Times New Roman" w:hAnsi="Times New Roman"/>
        </w:rPr>
        <w:t>airness</w:t>
      </w:r>
      <w:r w:rsidR="00D62EE8" w:rsidRPr="004963EE">
        <w:rPr>
          <w:rFonts w:ascii="Times New Roman" w:hAnsi="Times New Roman"/>
        </w:rPr>
        <w:t xml:space="preserve"> (</w:t>
      </w:r>
      <w:r w:rsidR="001473D9" w:rsidRPr="004963EE">
        <w:rPr>
          <w:rFonts w:ascii="Times New Roman" w:hAnsi="Times New Roman"/>
        </w:rPr>
        <w:t>first ground of appeal)</w:t>
      </w:r>
    </w:p>
    <w:p w14:paraId="45DA88B2" w14:textId="5BC146F9" w:rsidR="007B0FB2" w:rsidRPr="004963EE" w:rsidRDefault="00C07F67" w:rsidP="004963EE">
      <w:pPr>
        <w:pStyle w:val="HeadingL2"/>
        <w:spacing w:after="260" w:line="280" w:lineRule="exact"/>
        <w:ind w:right="0"/>
        <w:jc w:val="both"/>
        <w:rPr>
          <w:rFonts w:ascii="Times New Roman" w:hAnsi="Times New Roman"/>
        </w:rPr>
      </w:pPr>
      <w:r w:rsidRPr="004963EE">
        <w:rPr>
          <w:rFonts w:ascii="Times New Roman" w:hAnsi="Times New Roman"/>
        </w:rPr>
        <w:t xml:space="preserve">The </w:t>
      </w:r>
      <w:r w:rsidR="00B5095B" w:rsidRPr="004963EE">
        <w:rPr>
          <w:rFonts w:ascii="Times New Roman" w:hAnsi="Times New Roman"/>
        </w:rPr>
        <w:t>respondents</w:t>
      </w:r>
      <w:r w:rsidRPr="004963EE">
        <w:rPr>
          <w:rFonts w:ascii="Times New Roman" w:hAnsi="Times New Roman"/>
        </w:rPr>
        <w:t xml:space="preserve">' </w:t>
      </w:r>
      <w:r w:rsidR="0077745A" w:rsidRPr="004963EE">
        <w:rPr>
          <w:rFonts w:ascii="Times New Roman" w:hAnsi="Times New Roman"/>
        </w:rPr>
        <w:t>c</w:t>
      </w:r>
      <w:r w:rsidRPr="004963EE">
        <w:rPr>
          <w:rFonts w:ascii="Times New Roman" w:hAnsi="Times New Roman"/>
        </w:rPr>
        <w:t>oncession</w:t>
      </w:r>
    </w:p>
    <w:p w14:paraId="72D9CA9F" w14:textId="74E5C15C" w:rsidR="00C07F67" w:rsidRPr="004963EE" w:rsidRDefault="00C9135D"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The </w:t>
      </w:r>
      <w:r w:rsidR="00B5095B" w:rsidRPr="004963EE">
        <w:rPr>
          <w:rFonts w:ascii="Times New Roman" w:hAnsi="Times New Roman"/>
        </w:rPr>
        <w:t>respondents</w:t>
      </w:r>
      <w:r w:rsidRPr="004963EE">
        <w:rPr>
          <w:rFonts w:ascii="Times New Roman" w:hAnsi="Times New Roman"/>
        </w:rPr>
        <w:t xml:space="preserve"> correctly drew a distinction between whether the exercise of a power is conditioned </w:t>
      </w:r>
      <w:r w:rsidR="00E67BDE" w:rsidRPr="004963EE">
        <w:rPr>
          <w:rFonts w:ascii="Times New Roman" w:hAnsi="Times New Roman"/>
        </w:rPr>
        <w:t xml:space="preserve">upon </w:t>
      </w:r>
      <w:r w:rsidR="000A0924" w:rsidRPr="004963EE">
        <w:rPr>
          <w:rFonts w:ascii="Times New Roman" w:hAnsi="Times New Roman"/>
        </w:rPr>
        <w:t>observance of the principles of natural justice</w:t>
      </w:r>
      <w:r w:rsidR="00DD544D" w:rsidRPr="004963EE">
        <w:rPr>
          <w:rFonts w:ascii="Times New Roman" w:hAnsi="Times New Roman"/>
        </w:rPr>
        <w:t xml:space="preserve"> and, if so, what </w:t>
      </w:r>
      <w:r w:rsidR="007713AA" w:rsidRPr="004963EE">
        <w:rPr>
          <w:rFonts w:ascii="Times New Roman" w:hAnsi="Times New Roman"/>
        </w:rPr>
        <w:t>the principles of natural justice require in the particular circumstances</w:t>
      </w:r>
      <w:r w:rsidR="00333301" w:rsidRPr="004963EE">
        <w:rPr>
          <w:rFonts w:ascii="Times New Roman" w:hAnsi="Times New Roman"/>
        </w:rPr>
        <w:t>.</w:t>
      </w:r>
      <w:r w:rsidR="005154A4" w:rsidRPr="004963EE">
        <w:rPr>
          <w:rStyle w:val="FootnoteReference"/>
          <w:rFonts w:ascii="Times New Roman" w:hAnsi="Times New Roman"/>
          <w:sz w:val="24"/>
        </w:rPr>
        <w:footnoteReference w:id="12"/>
      </w:r>
      <w:r w:rsidR="00C81101" w:rsidRPr="004963EE">
        <w:rPr>
          <w:rFonts w:ascii="Times New Roman" w:hAnsi="Times New Roman"/>
        </w:rPr>
        <w:t xml:space="preserve"> </w:t>
      </w:r>
      <w:r w:rsidR="0043686C" w:rsidRPr="004963EE">
        <w:rPr>
          <w:rFonts w:ascii="Times New Roman" w:hAnsi="Times New Roman"/>
        </w:rPr>
        <w:t>T</w:t>
      </w:r>
      <w:r w:rsidR="00F83A05" w:rsidRPr="004963EE">
        <w:rPr>
          <w:rFonts w:ascii="Times New Roman" w:hAnsi="Times New Roman"/>
        </w:rPr>
        <w:t xml:space="preserve">he </w:t>
      </w:r>
      <w:r w:rsidR="00B5095B" w:rsidRPr="004963EE">
        <w:rPr>
          <w:rFonts w:ascii="Times New Roman" w:hAnsi="Times New Roman"/>
        </w:rPr>
        <w:t>respondents</w:t>
      </w:r>
      <w:r w:rsidR="00F83A05" w:rsidRPr="004963EE">
        <w:rPr>
          <w:rFonts w:ascii="Times New Roman" w:hAnsi="Times New Roman"/>
        </w:rPr>
        <w:t xml:space="preserve"> conceded that the exercise of the power conferred by</w:t>
      </w:r>
      <w:r w:rsidR="00C81101" w:rsidRPr="004963EE">
        <w:rPr>
          <w:rFonts w:ascii="Times New Roman" w:hAnsi="Times New Roman"/>
        </w:rPr>
        <w:t xml:space="preserve"> s </w:t>
      </w:r>
      <w:r w:rsidR="00F83A05" w:rsidRPr="004963EE">
        <w:rPr>
          <w:rFonts w:ascii="Times New Roman" w:hAnsi="Times New Roman"/>
        </w:rPr>
        <w:t xml:space="preserve">23 </w:t>
      </w:r>
      <w:r w:rsidR="002203A4" w:rsidRPr="004963EE">
        <w:rPr>
          <w:rFonts w:ascii="Times New Roman" w:hAnsi="Times New Roman"/>
        </w:rPr>
        <w:t xml:space="preserve">of the </w:t>
      </w:r>
      <w:r w:rsidR="002203A4" w:rsidRPr="004963EE">
        <w:rPr>
          <w:rFonts w:ascii="Times New Roman" w:hAnsi="Times New Roman"/>
          <w:i/>
          <w:iCs/>
        </w:rPr>
        <w:t>Housing Act</w:t>
      </w:r>
      <w:r w:rsidR="002203A4" w:rsidRPr="004963EE">
        <w:rPr>
          <w:rFonts w:ascii="Times New Roman" w:hAnsi="Times New Roman"/>
        </w:rPr>
        <w:t xml:space="preserve"> </w:t>
      </w:r>
      <w:r w:rsidR="00F83A05" w:rsidRPr="004963EE">
        <w:rPr>
          <w:rFonts w:ascii="Times New Roman" w:hAnsi="Times New Roman"/>
        </w:rPr>
        <w:t xml:space="preserve">was indeed conditioned on the </w:t>
      </w:r>
      <w:r w:rsidR="0027544B" w:rsidRPr="004963EE">
        <w:rPr>
          <w:rFonts w:ascii="Times New Roman" w:hAnsi="Times New Roman"/>
        </w:rPr>
        <w:t>obligation</w:t>
      </w:r>
      <w:r w:rsidR="00F83A05" w:rsidRPr="004963EE">
        <w:rPr>
          <w:rFonts w:ascii="Times New Roman" w:hAnsi="Times New Roman"/>
        </w:rPr>
        <w:t xml:space="preserve"> to </w:t>
      </w:r>
      <w:r w:rsidR="001541D7" w:rsidRPr="004963EE">
        <w:rPr>
          <w:rFonts w:ascii="Times New Roman" w:hAnsi="Times New Roman"/>
        </w:rPr>
        <w:t>observe procedural fairness.</w:t>
      </w:r>
      <w:r w:rsidR="0055371E" w:rsidRPr="004963EE">
        <w:rPr>
          <w:rFonts w:ascii="Times New Roman" w:hAnsi="Times New Roman"/>
        </w:rPr>
        <w:t xml:space="preserve"> </w:t>
      </w:r>
    </w:p>
    <w:p w14:paraId="45B0C9B4" w14:textId="23738780" w:rsidR="001541D7" w:rsidRPr="004963EE" w:rsidRDefault="001541D7"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The </w:t>
      </w:r>
      <w:r w:rsidR="00B5095B" w:rsidRPr="004963EE">
        <w:rPr>
          <w:rFonts w:ascii="Times New Roman" w:hAnsi="Times New Roman"/>
        </w:rPr>
        <w:t>respondents</w:t>
      </w:r>
      <w:r w:rsidRPr="004963EE">
        <w:rPr>
          <w:rFonts w:ascii="Times New Roman" w:hAnsi="Times New Roman"/>
        </w:rPr>
        <w:t>' concession was correctly made.</w:t>
      </w:r>
      <w:r w:rsidR="00D47965" w:rsidRPr="004963EE">
        <w:rPr>
          <w:rFonts w:ascii="Times New Roman" w:hAnsi="Times New Roman"/>
        </w:rPr>
        <w:t xml:space="preserve"> </w:t>
      </w:r>
      <w:r w:rsidR="00A25DA9" w:rsidRPr="004963EE">
        <w:rPr>
          <w:rFonts w:ascii="Times New Roman" w:hAnsi="Times New Roman"/>
        </w:rPr>
        <w:t xml:space="preserve">Whether a statutory </w:t>
      </w:r>
      <w:r w:rsidR="00B5014A" w:rsidRPr="004963EE">
        <w:rPr>
          <w:rFonts w:ascii="Times New Roman" w:hAnsi="Times New Roman"/>
        </w:rPr>
        <w:t xml:space="preserve">power </w:t>
      </w:r>
      <w:r w:rsidR="00A25DA9" w:rsidRPr="004963EE">
        <w:rPr>
          <w:rFonts w:ascii="Times New Roman" w:hAnsi="Times New Roman"/>
        </w:rPr>
        <w:t xml:space="preserve">is conditioned by a need to afford procedural fairness is a </w:t>
      </w:r>
      <w:r w:rsidR="006B0125" w:rsidRPr="004963EE">
        <w:rPr>
          <w:rFonts w:ascii="Times New Roman" w:hAnsi="Times New Roman"/>
        </w:rPr>
        <w:t>question of statutory construction.</w:t>
      </w:r>
      <w:r w:rsidR="00C81101" w:rsidRPr="004963EE">
        <w:rPr>
          <w:rFonts w:ascii="Times New Roman" w:hAnsi="Times New Roman"/>
        </w:rPr>
        <w:t xml:space="preserve"> </w:t>
      </w:r>
      <w:r w:rsidR="00B64792" w:rsidRPr="004963EE">
        <w:rPr>
          <w:rFonts w:ascii="Times New Roman" w:hAnsi="Times New Roman"/>
        </w:rPr>
        <w:t xml:space="preserve">There is a strong </w:t>
      </w:r>
      <w:r w:rsidR="00B5014A" w:rsidRPr="004963EE">
        <w:rPr>
          <w:rFonts w:ascii="Times New Roman" w:hAnsi="Times New Roman"/>
        </w:rPr>
        <w:t xml:space="preserve">common law </w:t>
      </w:r>
      <w:r w:rsidR="00C13835" w:rsidRPr="004963EE">
        <w:rPr>
          <w:rFonts w:ascii="Times New Roman" w:hAnsi="Times New Roman"/>
        </w:rPr>
        <w:t xml:space="preserve">presumption </w:t>
      </w:r>
      <w:r w:rsidR="00B5014A" w:rsidRPr="004963EE">
        <w:rPr>
          <w:rFonts w:ascii="Times New Roman" w:hAnsi="Times New Roman"/>
        </w:rPr>
        <w:t xml:space="preserve">that a statutory power which </w:t>
      </w:r>
      <w:proofErr w:type="gramStart"/>
      <w:r w:rsidR="00B5014A" w:rsidRPr="004963EE">
        <w:rPr>
          <w:rFonts w:ascii="Times New Roman" w:hAnsi="Times New Roman"/>
        </w:rPr>
        <w:t>is capable of having</w:t>
      </w:r>
      <w:proofErr w:type="gramEnd"/>
      <w:r w:rsidR="00B5014A" w:rsidRPr="004963EE">
        <w:rPr>
          <w:rFonts w:ascii="Times New Roman" w:hAnsi="Times New Roman"/>
        </w:rPr>
        <w:t xml:space="preserve"> an adverse </w:t>
      </w:r>
      <w:r w:rsidR="007F6BC0" w:rsidRPr="004963EE">
        <w:rPr>
          <w:rFonts w:ascii="Times New Roman" w:hAnsi="Times New Roman"/>
        </w:rPr>
        <w:t xml:space="preserve">effect on </w:t>
      </w:r>
      <w:r w:rsidR="007B32DD" w:rsidRPr="004963EE">
        <w:rPr>
          <w:rFonts w:ascii="Times New Roman" w:hAnsi="Times New Roman"/>
        </w:rPr>
        <w:t xml:space="preserve">legally recognised </w:t>
      </w:r>
      <w:r w:rsidR="007F6BC0" w:rsidRPr="004963EE">
        <w:rPr>
          <w:rFonts w:ascii="Times New Roman" w:hAnsi="Times New Roman"/>
        </w:rPr>
        <w:t>rights or interests of individuals is</w:t>
      </w:r>
      <w:r w:rsidR="007B32DD" w:rsidRPr="004963EE">
        <w:rPr>
          <w:rFonts w:ascii="Times New Roman" w:hAnsi="Times New Roman"/>
        </w:rPr>
        <w:t xml:space="preserve"> impliedly</w:t>
      </w:r>
      <w:r w:rsidR="007F6BC0" w:rsidRPr="004963EE">
        <w:rPr>
          <w:rFonts w:ascii="Times New Roman" w:hAnsi="Times New Roman"/>
        </w:rPr>
        <w:t xml:space="preserve"> conditioned </w:t>
      </w:r>
      <w:r w:rsidR="002136BE" w:rsidRPr="004963EE">
        <w:rPr>
          <w:rFonts w:ascii="Times New Roman" w:hAnsi="Times New Roman"/>
        </w:rPr>
        <w:t xml:space="preserve">on the observance of </w:t>
      </w:r>
      <w:r w:rsidR="00523815" w:rsidRPr="004963EE">
        <w:rPr>
          <w:rFonts w:ascii="Times New Roman" w:hAnsi="Times New Roman"/>
        </w:rPr>
        <w:t xml:space="preserve">procedural </w:t>
      </w:r>
      <w:r w:rsidR="00523815" w:rsidRPr="004963EE">
        <w:rPr>
          <w:rFonts w:ascii="Times New Roman" w:hAnsi="Times New Roman"/>
        </w:rPr>
        <w:lastRenderedPageBreak/>
        <w:t>fairness.</w:t>
      </w:r>
      <w:r w:rsidR="00523815" w:rsidRPr="004963EE">
        <w:rPr>
          <w:rStyle w:val="FootnoteReference"/>
          <w:rFonts w:ascii="Times New Roman" w:hAnsi="Times New Roman"/>
          <w:sz w:val="24"/>
        </w:rPr>
        <w:footnoteReference w:id="13"/>
      </w:r>
      <w:r w:rsidR="00C81101" w:rsidRPr="004963EE">
        <w:rPr>
          <w:rFonts w:ascii="Times New Roman" w:hAnsi="Times New Roman"/>
        </w:rPr>
        <w:t xml:space="preserve"> </w:t>
      </w:r>
      <w:r w:rsidR="00D47965" w:rsidRPr="004963EE">
        <w:rPr>
          <w:rFonts w:ascii="Times New Roman" w:hAnsi="Times New Roman"/>
        </w:rPr>
        <w:t xml:space="preserve">As </w:t>
      </w:r>
      <w:r w:rsidR="002057E3" w:rsidRPr="004963EE">
        <w:rPr>
          <w:rFonts w:ascii="Times New Roman" w:hAnsi="Times New Roman"/>
        </w:rPr>
        <w:t>Kiefel</w:t>
      </w:r>
      <w:r w:rsidR="001C4F54" w:rsidRPr="004963EE">
        <w:rPr>
          <w:rFonts w:ascii="Times New Roman" w:hAnsi="Times New Roman"/>
        </w:rPr>
        <w:t> </w:t>
      </w:r>
      <w:r w:rsidR="002057E3" w:rsidRPr="004963EE">
        <w:rPr>
          <w:rFonts w:ascii="Times New Roman" w:hAnsi="Times New Roman"/>
        </w:rPr>
        <w:t xml:space="preserve">CJ, </w:t>
      </w:r>
      <w:proofErr w:type="spellStart"/>
      <w:r w:rsidR="002057E3" w:rsidRPr="004963EE">
        <w:rPr>
          <w:rFonts w:ascii="Times New Roman" w:hAnsi="Times New Roman"/>
        </w:rPr>
        <w:t>Gageler</w:t>
      </w:r>
      <w:proofErr w:type="spellEnd"/>
      <w:r w:rsidR="002057E3" w:rsidRPr="004963EE">
        <w:rPr>
          <w:rFonts w:ascii="Times New Roman" w:hAnsi="Times New Roman"/>
        </w:rPr>
        <w:t>, Gleeson and Jagot</w:t>
      </w:r>
      <w:r w:rsidR="001C4F54" w:rsidRPr="004963EE">
        <w:rPr>
          <w:rFonts w:ascii="Times New Roman" w:hAnsi="Times New Roman"/>
        </w:rPr>
        <w:t> </w:t>
      </w:r>
      <w:r w:rsidR="002057E3" w:rsidRPr="004963EE">
        <w:rPr>
          <w:rFonts w:ascii="Times New Roman" w:hAnsi="Times New Roman"/>
        </w:rPr>
        <w:t xml:space="preserve">JJ observed in </w:t>
      </w:r>
      <w:r w:rsidR="002057E3" w:rsidRPr="004963EE">
        <w:rPr>
          <w:rFonts w:ascii="Times New Roman" w:hAnsi="Times New Roman"/>
          <w:i/>
          <w:iCs/>
        </w:rPr>
        <w:t>Disorganized Developments Pty Ltd v South Australia</w:t>
      </w:r>
      <w:r w:rsidR="002057E3" w:rsidRPr="004963EE">
        <w:rPr>
          <w:rFonts w:ascii="Times New Roman" w:hAnsi="Times New Roman"/>
        </w:rPr>
        <w:t>:</w:t>
      </w:r>
      <w:r w:rsidR="00D868FB" w:rsidRPr="004963EE">
        <w:rPr>
          <w:rStyle w:val="FootnoteReference"/>
          <w:rFonts w:ascii="Times New Roman" w:hAnsi="Times New Roman"/>
          <w:sz w:val="24"/>
        </w:rPr>
        <w:footnoteReference w:id="14"/>
      </w:r>
    </w:p>
    <w:p w14:paraId="069019D3" w14:textId="77777777" w:rsidR="004963EE" w:rsidRDefault="00623E0B" w:rsidP="004963EE">
      <w:pPr>
        <w:pStyle w:val="leftright"/>
        <w:spacing w:before="0" w:after="260" w:line="280" w:lineRule="exact"/>
        <w:ind w:right="0"/>
        <w:jc w:val="both"/>
        <w:rPr>
          <w:rFonts w:ascii="Times New Roman" w:hAnsi="Times New Roman"/>
        </w:rPr>
      </w:pPr>
      <w:r w:rsidRPr="004963EE">
        <w:rPr>
          <w:rFonts w:ascii="Times New Roman" w:hAnsi="Times New Roman"/>
        </w:rPr>
        <w:t xml:space="preserve">"Decisions made in the exercise of statutory powers that affect the rights of individuals with respect to property are a category of cases that has a long history of attracting a duty of procedural fairness as a matter of </w:t>
      </w:r>
      <w:r w:rsidR="00DC2361" w:rsidRPr="004963EE">
        <w:rPr>
          <w:rFonts w:ascii="Times New Roman" w:hAnsi="Times New Roman"/>
        </w:rPr>
        <w:t>'</w:t>
      </w:r>
      <w:r w:rsidRPr="004963EE">
        <w:rPr>
          <w:rFonts w:ascii="Times New Roman" w:hAnsi="Times New Roman"/>
        </w:rPr>
        <w:t>fundamental justice</w:t>
      </w:r>
      <w:r w:rsidR="00DC2361" w:rsidRPr="004963EE">
        <w:rPr>
          <w:rFonts w:ascii="Times New Roman" w:hAnsi="Times New Roman"/>
        </w:rPr>
        <w:t>'</w:t>
      </w:r>
      <w:r w:rsidR="00D868FB" w:rsidRPr="004963EE">
        <w:rPr>
          <w:rFonts w:ascii="Times New Roman" w:hAnsi="Times New Roman"/>
        </w:rPr>
        <w:t>,</w:t>
      </w:r>
      <w:r w:rsidRPr="004963EE">
        <w:rPr>
          <w:rFonts w:ascii="Times New Roman" w:hAnsi="Times New Roman"/>
        </w:rPr>
        <w:t xml:space="preserve"> </w:t>
      </w:r>
      <w:r w:rsidR="00DC2361" w:rsidRPr="004963EE">
        <w:rPr>
          <w:rFonts w:ascii="Times New Roman" w:hAnsi="Times New Roman"/>
        </w:rPr>
        <w:t>'</w:t>
      </w:r>
      <w:r w:rsidRPr="004963EE">
        <w:rPr>
          <w:rFonts w:ascii="Times New Roman" w:hAnsi="Times New Roman"/>
        </w:rPr>
        <w:t>long-established doctrine</w:t>
      </w:r>
      <w:r w:rsidR="00DC2361" w:rsidRPr="004963EE">
        <w:rPr>
          <w:rFonts w:ascii="Times New Roman" w:hAnsi="Times New Roman"/>
        </w:rPr>
        <w:t>'</w:t>
      </w:r>
      <w:r w:rsidRPr="004963EE">
        <w:rPr>
          <w:rFonts w:ascii="Times New Roman" w:hAnsi="Times New Roman"/>
        </w:rPr>
        <w:t xml:space="preserve"> and a </w:t>
      </w:r>
      <w:r w:rsidR="00DC2361" w:rsidRPr="004963EE">
        <w:rPr>
          <w:rFonts w:ascii="Times New Roman" w:hAnsi="Times New Roman"/>
        </w:rPr>
        <w:t>'</w:t>
      </w:r>
      <w:r w:rsidRPr="004963EE">
        <w:rPr>
          <w:rFonts w:ascii="Times New Roman" w:hAnsi="Times New Roman"/>
        </w:rPr>
        <w:t>deep-rooted principle of the law</w:t>
      </w:r>
      <w:r w:rsidR="00DC2361" w:rsidRPr="004963EE">
        <w:rPr>
          <w:rFonts w:ascii="Times New Roman" w:hAnsi="Times New Roman"/>
        </w:rPr>
        <w:t>'</w:t>
      </w:r>
      <w:r w:rsidRPr="004963EE">
        <w:rPr>
          <w:rFonts w:ascii="Times New Roman" w:hAnsi="Times New Roman"/>
        </w:rPr>
        <w:t>, subject to displacement by Parliament through express words or necessary implication in the relevant statute</w:t>
      </w:r>
      <w:r w:rsidR="00D868FB" w:rsidRPr="004963EE">
        <w:rPr>
          <w:rFonts w:ascii="Times New Roman" w:hAnsi="Times New Roman"/>
        </w:rPr>
        <w:t>."</w:t>
      </w:r>
    </w:p>
    <w:p w14:paraId="7AD6B321" w14:textId="27DA8E41" w:rsidR="00923191" w:rsidRPr="004963EE" w:rsidRDefault="00B2761B" w:rsidP="004963EE">
      <w:pPr>
        <w:pStyle w:val="FixListStyle"/>
        <w:spacing w:after="260" w:line="280" w:lineRule="exact"/>
        <w:ind w:right="0"/>
        <w:jc w:val="both"/>
        <w:rPr>
          <w:rFonts w:ascii="Times New Roman" w:hAnsi="Times New Roman"/>
        </w:rPr>
      </w:pPr>
      <w:r w:rsidRPr="004963EE">
        <w:rPr>
          <w:rFonts w:ascii="Times New Roman" w:hAnsi="Times New Roman"/>
        </w:rPr>
        <w:tab/>
        <w:t>The power exercised here by the</w:t>
      </w:r>
      <w:r w:rsidR="00AB08FE" w:rsidRPr="004963EE">
        <w:rPr>
          <w:rFonts w:ascii="Times New Roman" w:hAnsi="Times New Roman"/>
        </w:rPr>
        <w:t xml:space="preserve"> </w:t>
      </w:r>
      <w:r w:rsidR="00A415FC" w:rsidRPr="004963EE">
        <w:rPr>
          <w:rFonts w:ascii="Times New Roman" w:hAnsi="Times New Roman"/>
        </w:rPr>
        <w:t>Relevant</w:t>
      </w:r>
      <w:r w:rsidRPr="004963EE">
        <w:rPr>
          <w:rFonts w:ascii="Times New Roman" w:hAnsi="Times New Roman"/>
        </w:rPr>
        <w:t xml:space="preserve"> Minister </w:t>
      </w:r>
      <w:r w:rsidR="000E5D0F" w:rsidRPr="004963EE">
        <w:rPr>
          <w:rFonts w:ascii="Times New Roman" w:hAnsi="Times New Roman"/>
        </w:rPr>
        <w:t xml:space="preserve">in the making of each of the </w:t>
      </w:r>
      <w:r w:rsidR="00AB0A93" w:rsidRPr="004963EE">
        <w:rPr>
          <w:rFonts w:ascii="Times New Roman" w:hAnsi="Times New Roman"/>
        </w:rPr>
        <w:t xml:space="preserve">Determinations </w:t>
      </w:r>
      <w:r w:rsidRPr="004963EE">
        <w:rPr>
          <w:rFonts w:ascii="Times New Roman" w:hAnsi="Times New Roman"/>
        </w:rPr>
        <w:t>directly and personally affected each of the appellants, as well as all other tenants</w:t>
      </w:r>
      <w:r w:rsidR="00222F53" w:rsidRPr="004963EE">
        <w:rPr>
          <w:rFonts w:ascii="Times New Roman" w:hAnsi="Times New Roman"/>
        </w:rPr>
        <w:t xml:space="preserve"> the subject of each </w:t>
      </w:r>
      <w:r w:rsidR="00354146" w:rsidRPr="004963EE">
        <w:rPr>
          <w:rFonts w:ascii="Times New Roman" w:hAnsi="Times New Roman"/>
        </w:rPr>
        <w:t>D</w:t>
      </w:r>
      <w:r w:rsidR="00222F53" w:rsidRPr="004963EE">
        <w:rPr>
          <w:rFonts w:ascii="Times New Roman" w:hAnsi="Times New Roman"/>
        </w:rPr>
        <w:t>etermination.</w:t>
      </w:r>
      <w:r w:rsidR="00C81101" w:rsidRPr="004963EE">
        <w:rPr>
          <w:rFonts w:ascii="Times New Roman" w:hAnsi="Times New Roman"/>
        </w:rPr>
        <w:t xml:space="preserve"> </w:t>
      </w:r>
      <w:r w:rsidR="00AB0A93" w:rsidRPr="004963EE">
        <w:rPr>
          <w:rFonts w:ascii="Times New Roman" w:hAnsi="Times New Roman"/>
        </w:rPr>
        <w:t xml:space="preserve">Each </w:t>
      </w:r>
      <w:r w:rsidR="00354146" w:rsidRPr="004963EE">
        <w:rPr>
          <w:rFonts w:ascii="Times New Roman" w:hAnsi="Times New Roman"/>
        </w:rPr>
        <w:t>D</w:t>
      </w:r>
      <w:r w:rsidR="00AB0A93" w:rsidRPr="004963EE">
        <w:rPr>
          <w:rFonts w:ascii="Times New Roman" w:hAnsi="Times New Roman"/>
        </w:rPr>
        <w:t>etermination</w:t>
      </w:r>
      <w:r w:rsidR="00A8284E" w:rsidRPr="004963EE">
        <w:rPr>
          <w:rFonts w:ascii="Times New Roman" w:hAnsi="Times New Roman"/>
        </w:rPr>
        <w:t xml:space="preserve"> changed, without prior notice, the very basis upon which rent would be paid </w:t>
      </w:r>
      <w:r w:rsidR="00F97795" w:rsidRPr="004963EE">
        <w:rPr>
          <w:rFonts w:ascii="Times New Roman" w:hAnsi="Times New Roman"/>
        </w:rPr>
        <w:t>for</w:t>
      </w:r>
      <w:r w:rsidR="00E148AE" w:rsidRPr="004963EE">
        <w:rPr>
          <w:rFonts w:ascii="Times New Roman" w:hAnsi="Times New Roman"/>
        </w:rPr>
        <w:t xml:space="preserve"> </w:t>
      </w:r>
      <w:r w:rsidR="00BA75FC" w:rsidRPr="004963EE">
        <w:rPr>
          <w:rFonts w:ascii="Times New Roman" w:hAnsi="Times New Roman"/>
        </w:rPr>
        <w:t xml:space="preserve">the </w:t>
      </w:r>
      <w:r w:rsidR="00E148AE" w:rsidRPr="004963EE">
        <w:rPr>
          <w:rFonts w:ascii="Times New Roman" w:hAnsi="Times New Roman"/>
        </w:rPr>
        <w:t xml:space="preserve">homes </w:t>
      </w:r>
      <w:r w:rsidR="00BA75FC" w:rsidRPr="004963EE">
        <w:rPr>
          <w:rFonts w:ascii="Times New Roman" w:hAnsi="Times New Roman"/>
        </w:rPr>
        <w:t xml:space="preserve">of individuals who have </w:t>
      </w:r>
      <w:r w:rsidR="005154A4" w:rsidRPr="004963EE">
        <w:rPr>
          <w:rFonts w:ascii="Times New Roman" w:hAnsi="Times New Roman"/>
        </w:rPr>
        <w:t xml:space="preserve">limited means. </w:t>
      </w:r>
      <w:r w:rsidR="00093E3D" w:rsidRPr="004963EE">
        <w:rPr>
          <w:rFonts w:ascii="Times New Roman" w:hAnsi="Times New Roman"/>
        </w:rPr>
        <w:t xml:space="preserve">It impacted upon each tenant as </w:t>
      </w:r>
      <w:r w:rsidR="008F69D3" w:rsidRPr="004963EE">
        <w:rPr>
          <w:rFonts w:ascii="Times New Roman" w:hAnsi="Times New Roman"/>
        </w:rPr>
        <w:t>an individual.</w:t>
      </w:r>
      <w:r w:rsidR="008F69D3" w:rsidRPr="004963EE">
        <w:rPr>
          <w:rStyle w:val="FootnoteReference"/>
          <w:rFonts w:ascii="Times New Roman" w:hAnsi="Times New Roman"/>
          <w:sz w:val="24"/>
        </w:rPr>
        <w:footnoteReference w:id="15"/>
      </w:r>
      <w:r w:rsidR="00C81101" w:rsidRPr="004963EE">
        <w:rPr>
          <w:rFonts w:ascii="Times New Roman" w:hAnsi="Times New Roman"/>
        </w:rPr>
        <w:t xml:space="preserve"> </w:t>
      </w:r>
      <w:r w:rsidR="00074B2D" w:rsidRPr="004963EE">
        <w:rPr>
          <w:rFonts w:ascii="Times New Roman" w:hAnsi="Times New Roman"/>
        </w:rPr>
        <w:t xml:space="preserve">That is because the application of </w:t>
      </w:r>
      <w:r w:rsidR="002D2C65" w:rsidRPr="004963EE">
        <w:rPr>
          <w:rFonts w:ascii="Times New Roman" w:hAnsi="Times New Roman"/>
        </w:rPr>
        <w:t xml:space="preserve">each </w:t>
      </w:r>
      <w:r w:rsidR="00272551" w:rsidRPr="004963EE">
        <w:rPr>
          <w:rFonts w:ascii="Times New Roman" w:hAnsi="Times New Roman"/>
        </w:rPr>
        <w:t>D</w:t>
      </w:r>
      <w:r w:rsidR="00074B2D" w:rsidRPr="004963EE">
        <w:rPr>
          <w:rFonts w:ascii="Times New Roman" w:hAnsi="Times New Roman"/>
        </w:rPr>
        <w:t xml:space="preserve">etermination to </w:t>
      </w:r>
      <w:proofErr w:type="gramStart"/>
      <w:r w:rsidR="00074B2D" w:rsidRPr="004963EE">
        <w:rPr>
          <w:rFonts w:ascii="Times New Roman" w:hAnsi="Times New Roman"/>
        </w:rPr>
        <w:t>each individual</w:t>
      </w:r>
      <w:proofErr w:type="gramEnd"/>
      <w:r w:rsidR="00074B2D" w:rsidRPr="004963EE">
        <w:rPr>
          <w:rFonts w:ascii="Times New Roman" w:hAnsi="Times New Roman"/>
        </w:rPr>
        <w:t xml:space="preserve"> was particular to them: it turned on the number of bedrooms in their leased home</w:t>
      </w:r>
      <w:r w:rsidR="00A23FA7" w:rsidRPr="004963EE">
        <w:rPr>
          <w:rFonts w:ascii="Times New Roman" w:hAnsi="Times New Roman"/>
        </w:rPr>
        <w:t xml:space="preserve"> and </w:t>
      </w:r>
      <w:r w:rsidR="00074B2D" w:rsidRPr="004963EE">
        <w:rPr>
          <w:rFonts w:ascii="Times New Roman" w:hAnsi="Times New Roman"/>
        </w:rPr>
        <w:t>altered the particular terms and conditions of their individual tenancy agreement</w:t>
      </w:r>
      <w:r w:rsidR="00A23FA7" w:rsidRPr="004963EE">
        <w:rPr>
          <w:rFonts w:ascii="Times New Roman" w:hAnsi="Times New Roman"/>
        </w:rPr>
        <w:t>.</w:t>
      </w:r>
      <w:r w:rsidR="00AC5A7A" w:rsidRPr="004963EE">
        <w:rPr>
          <w:rFonts w:ascii="Times New Roman" w:hAnsi="Times New Roman"/>
        </w:rPr>
        <w:t xml:space="preserve"> </w:t>
      </w:r>
      <w:r w:rsidR="00AC46B0" w:rsidRPr="004963EE">
        <w:rPr>
          <w:rFonts w:ascii="Times New Roman" w:hAnsi="Times New Roman"/>
        </w:rPr>
        <w:t>The Safety Net might then apply to reduce an individual tenant's rent.</w:t>
      </w:r>
      <w:r w:rsidR="00074B2D" w:rsidRPr="004963EE">
        <w:rPr>
          <w:rFonts w:ascii="Times New Roman" w:hAnsi="Times New Roman"/>
        </w:rPr>
        <w:t xml:space="preserve"> </w:t>
      </w:r>
    </w:p>
    <w:p w14:paraId="4321CE25" w14:textId="522A57C0" w:rsidR="002057E3" w:rsidRPr="004963EE" w:rsidRDefault="00923191"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586873" w:rsidRPr="004963EE">
        <w:rPr>
          <w:rFonts w:ascii="Times New Roman" w:hAnsi="Times New Roman"/>
        </w:rPr>
        <w:t>Consequently, the power in s</w:t>
      </w:r>
      <w:r w:rsidR="000639C6" w:rsidRPr="004963EE">
        <w:rPr>
          <w:rFonts w:ascii="Times New Roman" w:hAnsi="Times New Roman"/>
        </w:rPr>
        <w:t> </w:t>
      </w:r>
      <w:r w:rsidR="00586873" w:rsidRPr="004963EE">
        <w:rPr>
          <w:rFonts w:ascii="Times New Roman" w:hAnsi="Times New Roman"/>
        </w:rPr>
        <w:t xml:space="preserve">23 of the </w:t>
      </w:r>
      <w:r w:rsidR="00586873" w:rsidRPr="004963EE">
        <w:rPr>
          <w:rFonts w:ascii="Times New Roman" w:hAnsi="Times New Roman"/>
          <w:i/>
          <w:iCs/>
        </w:rPr>
        <w:t>Housing Act</w:t>
      </w:r>
      <w:r w:rsidR="00586873" w:rsidRPr="004963EE">
        <w:rPr>
          <w:rFonts w:ascii="Times New Roman" w:hAnsi="Times New Roman"/>
        </w:rPr>
        <w:t xml:space="preserve"> attracts the common law presumption. </w:t>
      </w:r>
      <w:r w:rsidR="00E30070" w:rsidRPr="004963EE">
        <w:rPr>
          <w:rFonts w:ascii="Times New Roman" w:hAnsi="Times New Roman"/>
        </w:rPr>
        <w:t>T</w:t>
      </w:r>
      <w:r w:rsidR="00586873" w:rsidRPr="004963EE">
        <w:rPr>
          <w:rFonts w:ascii="Times New Roman" w:hAnsi="Times New Roman"/>
        </w:rPr>
        <w:t xml:space="preserve">he presumption was </w:t>
      </w:r>
      <w:r w:rsidR="00E30070" w:rsidRPr="004963EE">
        <w:rPr>
          <w:rFonts w:ascii="Times New Roman" w:hAnsi="Times New Roman"/>
        </w:rPr>
        <w:t xml:space="preserve">not </w:t>
      </w:r>
      <w:r w:rsidR="00586873" w:rsidRPr="004963EE">
        <w:rPr>
          <w:rFonts w:ascii="Times New Roman" w:hAnsi="Times New Roman"/>
        </w:rPr>
        <w:t xml:space="preserve">displaced. </w:t>
      </w:r>
      <w:r w:rsidR="0019210D" w:rsidRPr="004963EE">
        <w:rPr>
          <w:rFonts w:ascii="Times New Roman" w:hAnsi="Times New Roman"/>
        </w:rPr>
        <w:t xml:space="preserve">It follows that the </w:t>
      </w:r>
      <w:r w:rsidR="00182810" w:rsidRPr="004963EE">
        <w:rPr>
          <w:rFonts w:ascii="Times New Roman" w:hAnsi="Times New Roman"/>
        </w:rPr>
        <w:t xml:space="preserve">exercise of the </w:t>
      </w:r>
      <w:r w:rsidR="0019210D" w:rsidRPr="004963EE">
        <w:rPr>
          <w:rFonts w:ascii="Times New Roman" w:hAnsi="Times New Roman"/>
        </w:rPr>
        <w:t xml:space="preserve">power was conditioned on the need to afford </w:t>
      </w:r>
      <w:r w:rsidR="00714CA2" w:rsidRPr="004963EE">
        <w:rPr>
          <w:rFonts w:ascii="Times New Roman" w:hAnsi="Times New Roman"/>
        </w:rPr>
        <w:t>procedural</w:t>
      </w:r>
      <w:r w:rsidR="0019210D" w:rsidRPr="004963EE">
        <w:rPr>
          <w:rFonts w:ascii="Times New Roman" w:hAnsi="Times New Roman"/>
        </w:rPr>
        <w:t xml:space="preserve"> fairness.</w:t>
      </w:r>
    </w:p>
    <w:p w14:paraId="786DE96F" w14:textId="0F470736" w:rsidR="005154A4" w:rsidRPr="004963EE" w:rsidRDefault="005154A4"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A638A8" w:rsidRPr="004963EE">
        <w:rPr>
          <w:rFonts w:ascii="Times New Roman" w:hAnsi="Times New Roman"/>
        </w:rPr>
        <w:t>T</w:t>
      </w:r>
      <w:r w:rsidRPr="004963EE">
        <w:rPr>
          <w:rFonts w:ascii="Times New Roman" w:hAnsi="Times New Roman"/>
        </w:rPr>
        <w:t xml:space="preserve">he real issue </w:t>
      </w:r>
      <w:r w:rsidR="001957E7" w:rsidRPr="004963EE">
        <w:rPr>
          <w:rFonts w:ascii="Times New Roman" w:hAnsi="Times New Roman"/>
        </w:rPr>
        <w:t xml:space="preserve">was </w:t>
      </w:r>
      <w:r w:rsidR="005A3C14" w:rsidRPr="004963EE">
        <w:rPr>
          <w:rFonts w:ascii="Times New Roman" w:hAnsi="Times New Roman"/>
        </w:rPr>
        <w:t xml:space="preserve">what </w:t>
      </w:r>
      <w:r w:rsidR="000454FB" w:rsidRPr="004963EE">
        <w:rPr>
          <w:rFonts w:ascii="Times New Roman" w:hAnsi="Times New Roman"/>
        </w:rPr>
        <w:t xml:space="preserve">the obligation to provide procedural fairness required the </w:t>
      </w:r>
      <w:r w:rsidR="00A415FC" w:rsidRPr="004963EE">
        <w:rPr>
          <w:rFonts w:ascii="Times New Roman" w:hAnsi="Times New Roman"/>
        </w:rPr>
        <w:t>Relevant</w:t>
      </w:r>
      <w:r w:rsidR="00712257" w:rsidRPr="004963EE">
        <w:rPr>
          <w:rFonts w:ascii="Times New Roman" w:hAnsi="Times New Roman"/>
        </w:rPr>
        <w:t xml:space="preserve"> </w:t>
      </w:r>
      <w:r w:rsidR="000454FB" w:rsidRPr="004963EE">
        <w:rPr>
          <w:rFonts w:ascii="Times New Roman" w:hAnsi="Times New Roman"/>
        </w:rPr>
        <w:t>Minister to do</w:t>
      </w:r>
      <w:r w:rsidR="002938FD" w:rsidRPr="004963EE">
        <w:rPr>
          <w:rFonts w:ascii="Times New Roman" w:hAnsi="Times New Roman"/>
        </w:rPr>
        <w:t xml:space="preserve"> in the circumstances</w:t>
      </w:r>
      <w:r w:rsidR="000454FB" w:rsidRPr="004963EE">
        <w:rPr>
          <w:rFonts w:ascii="Times New Roman" w:hAnsi="Times New Roman"/>
        </w:rPr>
        <w:t>.</w:t>
      </w:r>
    </w:p>
    <w:p w14:paraId="7698D758" w14:textId="79DCD070" w:rsidR="00E72595" w:rsidRPr="004963EE" w:rsidRDefault="00E72595" w:rsidP="004963EE">
      <w:pPr>
        <w:pStyle w:val="HeadingL2"/>
        <w:spacing w:after="260" w:line="280" w:lineRule="exact"/>
        <w:ind w:right="0"/>
        <w:jc w:val="both"/>
        <w:rPr>
          <w:rFonts w:ascii="Times New Roman" w:hAnsi="Times New Roman"/>
        </w:rPr>
      </w:pPr>
      <w:r w:rsidRPr="004963EE">
        <w:rPr>
          <w:rFonts w:ascii="Times New Roman" w:hAnsi="Times New Roman"/>
        </w:rPr>
        <w:lastRenderedPageBreak/>
        <w:t xml:space="preserve">The </w:t>
      </w:r>
      <w:r w:rsidR="007D47F9" w:rsidRPr="004963EE">
        <w:rPr>
          <w:rFonts w:ascii="Times New Roman" w:hAnsi="Times New Roman"/>
        </w:rPr>
        <w:t>appellants' case</w:t>
      </w:r>
    </w:p>
    <w:p w14:paraId="3D9975FD" w14:textId="0354E6FC" w:rsidR="00E72595" w:rsidRPr="004963EE" w:rsidRDefault="00B855C3"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The appellants contended that the minimum </w:t>
      </w:r>
      <w:r w:rsidR="00B400B7" w:rsidRPr="004963EE">
        <w:rPr>
          <w:rFonts w:ascii="Times New Roman" w:hAnsi="Times New Roman"/>
        </w:rPr>
        <w:t>requirement mandated by the duty to afford procedural fairness</w:t>
      </w:r>
      <w:r w:rsidR="00F3043E" w:rsidRPr="004963EE">
        <w:rPr>
          <w:rFonts w:ascii="Times New Roman" w:hAnsi="Times New Roman"/>
        </w:rPr>
        <w:t xml:space="preserve"> was the giving of effective and reasonable notice </w:t>
      </w:r>
      <w:r w:rsidR="00E347D6" w:rsidRPr="004963EE">
        <w:rPr>
          <w:rFonts w:ascii="Times New Roman" w:hAnsi="Times New Roman"/>
        </w:rPr>
        <w:t xml:space="preserve">of the content of each proposed </w:t>
      </w:r>
      <w:r w:rsidR="00852022" w:rsidRPr="004963EE">
        <w:rPr>
          <w:rFonts w:ascii="Times New Roman" w:hAnsi="Times New Roman"/>
        </w:rPr>
        <w:t>d</w:t>
      </w:r>
      <w:r w:rsidR="00E347D6" w:rsidRPr="004963EE">
        <w:rPr>
          <w:rFonts w:ascii="Times New Roman" w:hAnsi="Times New Roman"/>
        </w:rPr>
        <w:t xml:space="preserve">etermination </w:t>
      </w:r>
      <w:r w:rsidR="00D40A2A" w:rsidRPr="004963EE">
        <w:rPr>
          <w:rFonts w:ascii="Times New Roman" w:hAnsi="Times New Roman"/>
        </w:rPr>
        <w:t>to all tenants</w:t>
      </w:r>
      <w:r w:rsidR="00D12A3E" w:rsidRPr="004963EE">
        <w:rPr>
          <w:rFonts w:ascii="Times New Roman" w:hAnsi="Times New Roman"/>
        </w:rPr>
        <w:t>,</w:t>
      </w:r>
      <w:r w:rsidR="00D40A2A" w:rsidRPr="004963EE">
        <w:rPr>
          <w:rFonts w:ascii="Times New Roman" w:hAnsi="Times New Roman"/>
        </w:rPr>
        <w:t xml:space="preserve"> </w:t>
      </w:r>
      <w:r w:rsidR="00E347D6" w:rsidRPr="004963EE">
        <w:rPr>
          <w:rFonts w:ascii="Times New Roman" w:hAnsi="Times New Roman"/>
        </w:rPr>
        <w:t>and to each tenant a reasonable opportunity to be heard.</w:t>
      </w:r>
      <w:r w:rsidR="00C81101" w:rsidRPr="004963EE">
        <w:rPr>
          <w:rFonts w:ascii="Times New Roman" w:hAnsi="Times New Roman"/>
        </w:rPr>
        <w:t xml:space="preserve"> </w:t>
      </w:r>
      <w:r w:rsidR="006600DE" w:rsidRPr="004963EE">
        <w:rPr>
          <w:rFonts w:ascii="Times New Roman" w:hAnsi="Times New Roman"/>
        </w:rPr>
        <w:t xml:space="preserve">It was </w:t>
      </w:r>
      <w:r w:rsidR="00986E59" w:rsidRPr="004963EE">
        <w:rPr>
          <w:rFonts w:ascii="Times New Roman" w:hAnsi="Times New Roman"/>
        </w:rPr>
        <w:t>unnecessary</w:t>
      </w:r>
      <w:r w:rsidR="006600DE" w:rsidRPr="004963EE">
        <w:rPr>
          <w:rFonts w:ascii="Times New Roman" w:hAnsi="Times New Roman"/>
        </w:rPr>
        <w:t xml:space="preserve"> for the appellants to spell out what might </w:t>
      </w:r>
      <w:r w:rsidR="00D15582" w:rsidRPr="004963EE">
        <w:rPr>
          <w:rFonts w:ascii="Times New Roman" w:hAnsi="Times New Roman"/>
        </w:rPr>
        <w:t xml:space="preserve">or might not </w:t>
      </w:r>
      <w:r w:rsidR="00986E59" w:rsidRPr="004963EE">
        <w:rPr>
          <w:rFonts w:ascii="Times New Roman" w:hAnsi="Times New Roman"/>
        </w:rPr>
        <w:t>constitute</w:t>
      </w:r>
      <w:r w:rsidR="006600DE" w:rsidRPr="004963EE">
        <w:rPr>
          <w:rFonts w:ascii="Times New Roman" w:hAnsi="Times New Roman"/>
        </w:rPr>
        <w:t xml:space="preserve"> reasonable notice </w:t>
      </w:r>
      <w:r w:rsidR="00986E59" w:rsidRPr="004963EE">
        <w:rPr>
          <w:rFonts w:ascii="Times New Roman" w:hAnsi="Times New Roman"/>
        </w:rPr>
        <w:t>or a reasonable opportunity.</w:t>
      </w:r>
      <w:r w:rsidR="00C81101" w:rsidRPr="004963EE">
        <w:rPr>
          <w:rFonts w:ascii="Times New Roman" w:hAnsi="Times New Roman"/>
        </w:rPr>
        <w:t xml:space="preserve"> </w:t>
      </w:r>
      <w:r w:rsidR="00986E59" w:rsidRPr="004963EE">
        <w:rPr>
          <w:rFonts w:ascii="Times New Roman" w:hAnsi="Times New Roman"/>
        </w:rPr>
        <w:t>That would</w:t>
      </w:r>
      <w:r w:rsidR="00477ABF" w:rsidRPr="004963EE">
        <w:rPr>
          <w:rFonts w:ascii="Times New Roman" w:hAnsi="Times New Roman"/>
        </w:rPr>
        <w:t>, of course,</w:t>
      </w:r>
      <w:r w:rsidR="00986E59" w:rsidRPr="004963EE">
        <w:rPr>
          <w:rFonts w:ascii="Times New Roman" w:hAnsi="Times New Roman"/>
        </w:rPr>
        <w:t xml:space="preserve"> all depend on the </w:t>
      </w:r>
      <w:proofErr w:type="gramStart"/>
      <w:r w:rsidR="00986E59" w:rsidRPr="004963EE">
        <w:rPr>
          <w:rFonts w:ascii="Times New Roman" w:hAnsi="Times New Roman"/>
        </w:rPr>
        <w:t>particular circumstances</w:t>
      </w:r>
      <w:proofErr w:type="gramEnd"/>
      <w:r w:rsidR="00986E59" w:rsidRPr="004963EE">
        <w:rPr>
          <w:rFonts w:ascii="Times New Roman" w:hAnsi="Times New Roman"/>
        </w:rPr>
        <w:t>.</w:t>
      </w:r>
      <w:r w:rsidR="006D11B7" w:rsidRPr="004963EE">
        <w:rPr>
          <w:rFonts w:ascii="Times New Roman" w:hAnsi="Times New Roman"/>
        </w:rPr>
        <w:t xml:space="preserve"> </w:t>
      </w:r>
      <w:r w:rsidR="00986E59" w:rsidRPr="004963EE">
        <w:rPr>
          <w:rFonts w:ascii="Times New Roman" w:hAnsi="Times New Roman"/>
        </w:rPr>
        <w:t xml:space="preserve">It was </w:t>
      </w:r>
      <w:r w:rsidR="00D15582" w:rsidRPr="004963EE">
        <w:rPr>
          <w:rFonts w:ascii="Times New Roman" w:hAnsi="Times New Roman"/>
        </w:rPr>
        <w:t xml:space="preserve">nonetheless </w:t>
      </w:r>
      <w:r w:rsidR="00986E59" w:rsidRPr="004963EE">
        <w:rPr>
          <w:rFonts w:ascii="Times New Roman" w:hAnsi="Times New Roman"/>
        </w:rPr>
        <w:t>sufficient</w:t>
      </w:r>
      <w:r w:rsidR="00FC76F8" w:rsidRPr="004963EE">
        <w:rPr>
          <w:rFonts w:ascii="Times New Roman" w:hAnsi="Times New Roman"/>
        </w:rPr>
        <w:t>, it was said,</w:t>
      </w:r>
      <w:r w:rsidR="00986E59" w:rsidRPr="004963EE">
        <w:rPr>
          <w:rFonts w:ascii="Times New Roman" w:hAnsi="Times New Roman"/>
        </w:rPr>
        <w:t xml:space="preserve"> for the appellants to observe that the </w:t>
      </w:r>
      <w:r w:rsidR="00A415FC" w:rsidRPr="004963EE">
        <w:rPr>
          <w:rFonts w:ascii="Times New Roman" w:hAnsi="Times New Roman"/>
        </w:rPr>
        <w:t>Relevant</w:t>
      </w:r>
      <w:r w:rsidR="00351369" w:rsidRPr="004963EE">
        <w:rPr>
          <w:rFonts w:ascii="Times New Roman" w:hAnsi="Times New Roman"/>
        </w:rPr>
        <w:t xml:space="preserve"> </w:t>
      </w:r>
      <w:r w:rsidR="00986E59" w:rsidRPr="004963EE">
        <w:rPr>
          <w:rFonts w:ascii="Times New Roman" w:hAnsi="Times New Roman"/>
        </w:rPr>
        <w:t xml:space="preserve">Minister had not complied with this minimal content and the </w:t>
      </w:r>
      <w:r w:rsidR="00B5095B" w:rsidRPr="004963EE">
        <w:rPr>
          <w:rFonts w:ascii="Times New Roman" w:hAnsi="Times New Roman"/>
        </w:rPr>
        <w:t>respondents</w:t>
      </w:r>
      <w:r w:rsidR="00986E59" w:rsidRPr="004963EE">
        <w:rPr>
          <w:rFonts w:ascii="Times New Roman" w:hAnsi="Times New Roman"/>
        </w:rPr>
        <w:t xml:space="preserve"> did not otherwise suggest </w:t>
      </w:r>
      <w:r w:rsidR="00477ABF" w:rsidRPr="004963EE">
        <w:rPr>
          <w:rFonts w:ascii="Times New Roman" w:hAnsi="Times New Roman"/>
        </w:rPr>
        <w:t xml:space="preserve">that the </w:t>
      </w:r>
      <w:r w:rsidR="00A415FC" w:rsidRPr="004963EE">
        <w:rPr>
          <w:rFonts w:ascii="Times New Roman" w:hAnsi="Times New Roman"/>
        </w:rPr>
        <w:t>Relevant</w:t>
      </w:r>
      <w:r w:rsidR="00351369" w:rsidRPr="004963EE">
        <w:rPr>
          <w:rFonts w:ascii="Times New Roman" w:hAnsi="Times New Roman"/>
        </w:rPr>
        <w:t xml:space="preserve"> </w:t>
      </w:r>
      <w:r w:rsidR="00477ABF" w:rsidRPr="004963EE">
        <w:rPr>
          <w:rFonts w:ascii="Times New Roman" w:hAnsi="Times New Roman"/>
        </w:rPr>
        <w:t>Minister had</w:t>
      </w:r>
      <w:r w:rsidR="008575E1" w:rsidRPr="004963EE">
        <w:rPr>
          <w:rFonts w:ascii="Times New Roman" w:hAnsi="Times New Roman"/>
        </w:rPr>
        <w:t xml:space="preserve"> so complied</w:t>
      </w:r>
      <w:r w:rsidR="00477ABF" w:rsidRPr="004963EE">
        <w:rPr>
          <w:rFonts w:ascii="Times New Roman" w:hAnsi="Times New Roman"/>
        </w:rPr>
        <w:t>.</w:t>
      </w:r>
    </w:p>
    <w:p w14:paraId="2706B7EF" w14:textId="688E9C0A" w:rsidR="00477ABF" w:rsidRPr="004963EE" w:rsidRDefault="00477ABF"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92241D" w:rsidRPr="004963EE">
        <w:rPr>
          <w:rFonts w:ascii="Times New Roman" w:hAnsi="Times New Roman"/>
        </w:rPr>
        <w:t xml:space="preserve">The appellants emphasised six features of the </w:t>
      </w:r>
      <w:r w:rsidR="00205899" w:rsidRPr="004963EE">
        <w:rPr>
          <w:rFonts w:ascii="Times New Roman" w:hAnsi="Times New Roman"/>
        </w:rPr>
        <w:t>power conferred by</w:t>
      </w:r>
      <w:r w:rsidR="00C81101" w:rsidRPr="004963EE">
        <w:rPr>
          <w:rFonts w:ascii="Times New Roman" w:hAnsi="Times New Roman"/>
        </w:rPr>
        <w:t xml:space="preserve"> s </w:t>
      </w:r>
      <w:r w:rsidR="00205899" w:rsidRPr="004963EE">
        <w:rPr>
          <w:rFonts w:ascii="Times New Roman" w:hAnsi="Times New Roman"/>
        </w:rPr>
        <w:t>23</w:t>
      </w:r>
      <w:r w:rsidR="00251C9B" w:rsidRPr="004963EE">
        <w:rPr>
          <w:rFonts w:ascii="Times New Roman" w:hAnsi="Times New Roman"/>
        </w:rPr>
        <w:t xml:space="preserve"> of the </w:t>
      </w:r>
      <w:r w:rsidR="00251C9B" w:rsidRPr="004963EE">
        <w:rPr>
          <w:rFonts w:ascii="Times New Roman" w:hAnsi="Times New Roman"/>
          <w:i/>
          <w:iCs/>
        </w:rPr>
        <w:t>Housing Act</w:t>
      </w:r>
      <w:r w:rsidR="00205899" w:rsidRPr="004963EE">
        <w:rPr>
          <w:rFonts w:ascii="Times New Roman" w:hAnsi="Times New Roman"/>
        </w:rPr>
        <w:t>.</w:t>
      </w:r>
      <w:r w:rsidR="00C81101" w:rsidRPr="004963EE">
        <w:rPr>
          <w:rFonts w:ascii="Times New Roman" w:hAnsi="Times New Roman"/>
        </w:rPr>
        <w:t xml:space="preserve"> </w:t>
      </w:r>
      <w:r w:rsidR="00205899" w:rsidRPr="004963EE">
        <w:rPr>
          <w:rFonts w:ascii="Times New Roman" w:hAnsi="Times New Roman"/>
        </w:rPr>
        <w:t>First, the power is not expressly qualified or conditioned.</w:t>
      </w:r>
      <w:r w:rsidR="00E008A6" w:rsidRPr="004963EE">
        <w:rPr>
          <w:rFonts w:ascii="Times New Roman" w:hAnsi="Times New Roman"/>
        </w:rPr>
        <w:t xml:space="preserve"> In that respect, in </w:t>
      </w:r>
      <w:r w:rsidR="00E008A6" w:rsidRPr="004963EE">
        <w:rPr>
          <w:rFonts w:ascii="Times New Roman" w:hAnsi="Times New Roman"/>
          <w:i/>
          <w:iCs/>
        </w:rPr>
        <w:t>Disorganized Developments</w:t>
      </w:r>
      <w:r w:rsidR="00E008A6" w:rsidRPr="004963EE">
        <w:rPr>
          <w:rFonts w:ascii="Times New Roman" w:hAnsi="Times New Roman"/>
        </w:rPr>
        <w:t>, the majority</w:t>
      </w:r>
      <w:r w:rsidR="005F2ECE" w:rsidRPr="004963EE">
        <w:rPr>
          <w:rFonts w:ascii="Times New Roman" w:hAnsi="Times New Roman"/>
        </w:rPr>
        <w:t xml:space="preserve"> </w:t>
      </w:r>
      <w:r w:rsidR="00611B00" w:rsidRPr="004963EE">
        <w:rPr>
          <w:rFonts w:ascii="Times New Roman" w:hAnsi="Times New Roman"/>
        </w:rPr>
        <w:t xml:space="preserve">observed that </w:t>
      </w:r>
      <w:bookmarkStart w:id="0" w:name="_Hlk208233077"/>
      <w:r w:rsidR="00611B00" w:rsidRPr="004963EE">
        <w:rPr>
          <w:rFonts w:ascii="Times New Roman" w:hAnsi="Times New Roman"/>
        </w:rPr>
        <w:t xml:space="preserve">it was now commonplace for </w:t>
      </w:r>
      <w:r w:rsidR="00FE1167" w:rsidRPr="004963EE">
        <w:rPr>
          <w:rFonts w:ascii="Times New Roman" w:hAnsi="Times New Roman"/>
        </w:rPr>
        <w:t>the requirements of procedural fairness to condition the exercise of unfettered statutory powers</w:t>
      </w:r>
      <w:bookmarkEnd w:id="0"/>
      <w:r w:rsidR="00FE1167" w:rsidRPr="004963EE">
        <w:rPr>
          <w:rFonts w:ascii="Times New Roman" w:hAnsi="Times New Roman"/>
        </w:rPr>
        <w:t>.</w:t>
      </w:r>
      <w:r w:rsidR="00D44D02" w:rsidRPr="004963EE">
        <w:rPr>
          <w:rStyle w:val="FootnoteReference"/>
          <w:rFonts w:ascii="Times New Roman" w:hAnsi="Times New Roman"/>
          <w:sz w:val="24"/>
        </w:rPr>
        <w:footnoteReference w:id="16"/>
      </w:r>
      <w:r w:rsidR="00C81101" w:rsidRPr="004963EE">
        <w:rPr>
          <w:rFonts w:ascii="Times New Roman" w:hAnsi="Times New Roman"/>
        </w:rPr>
        <w:t xml:space="preserve"> </w:t>
      </w:r>
      <w:r w:rsidR="005F2ECE" w:rsidRPr="004963EE">
        <w:rPr>
          <w:rFonts w:ascii="Times New Roman" w:hAnsi="Times New Roman"/>
        </w:rPr>
        <w:t xml:space="preserve">Second, the power operates </w:t>
      </w:r>
      <w:r w:rsidR="003D20B0" w:rsidRPr="004963EE">
        <w:rPr>
          <w:rFonts w:ascii="Times New Roman" w:hAnsi="Times New Roman"/>
        </w:rPr>
        <w:t xml:space="preserve">upon a person by reference to their </w:t>
      </w:r>
      <w:r w:rsidR="003D20B0" w:rsidRPr="004963EE" w:rsidDel="00802DFA">
        <w:rPr>
          <w:rFonts w:ascii="Times New Roman" w:hAnsi="Times New Roman"/>
        </w:rPr>
        <w:t>home</w:t>
      </w:r>
      <w:r w:rsidR="003D20B0" w:rsidRPr="004963EE">
        <w:rPr>
          <w:rFonts w:ascii="Times New Roman" w:hAnsi="Times New Roman"/>
        </w:rPr>
        <w:t>.</w:t>
      </w:r>
      <w:r w:rsidR="00C81101" w:rsidRPr="004963EE">
        <w:rPr>
          <w:rFonts w:ascii="Times New Roman" w:hAnsi="Times New Roman"/>
        </w:rPr>
        <w:t xml:space="preserve"> </w:t>
      </w:r>
      <w:r w:rsidR="003D20B0" w:rsidRPr="004963EE">
        <w:rPr>
          <w:rFonts w:ascii="Times New Roman" w:hAnsi="Times New Roman"/>
        </w:rPr>
        <w:t>Third, the power can be exercised in respect of a singl</w:t>
      </w:r>
      <w:r w:rsidR="00F9311D" w:rsidRPr="004963EE">
        <w:rPr>
          <w:rFonts w:ascii="Times New Roman" w:hAnsi="Times New Roman"/>
        </w:rPr>
        <w:t>e</w:t>
      </w:r>
      <w:r w:rsidR="003D20B0" w:rsidRPr="004963EE">
        <w:rPr>
          <w:rFonts w:ascii="Times New Roman" w:hAnsi="Times New Roman"/>
        </w:rPr>
        <w:t xml:space="preserve"> dwelling</w:t>
      </w:r>
      <w:r w:rsidR="00802DFA" w:rsidRPr="004963EE">
        <w:rPr>
          <w:rFonts w:ascii="Times New Roman" w:hAnsi="Times New Roman"/>
        </w:rPr>
        <w:t xml:space="preserve"> or class of dwelling</w:t>
      </w:r>
      <w:r w:rsidR="003D20B0" w:rsidRPr="004963EE">
        <w:rPr>
          <w:rFonts w:ascii="Times New Roman" w:hAnsi="Times New Roman"/>
        </w:rPr>
        <w:t>.</w:t>
      </w:r>
      <w:r w:rsidR="00C81101" w:rsidRPr="004963EE">
        <w:rPr>
          <w:rFonts w:ascii="Times New Roman" w:hAnsi="Times New Roman"/>
        </w:rPr>
        <w:t xml:space="preserve"> </w:t>
      </w:r>
      <w:r w:rsidR="003D20B0" w:rsidRPr="004963EE">
        <w:rPr>
          <w:rFonts w:ascii="Times New Roman" w:hAnsi="Times New Roman"/>
        </w:rPr>
        <w:t>Fourth,</w:t>
      </w:r>
      <w:r w:rsidR="00CE0939" w:rsidRPr="004963EE">
        <w:rPr>
          <w:rFonts w:ascii="Times New Roman" w:hAnsi="Times New Roman"/>
        </w:rPr>
        <w:t xml:space="preserve"> the </w:t>
      </w:r>
      <w:r w:rsidR="00A415FC" w:rsidRPr="004963EE">
        <w:rPr>
          <w:rFonts w:ascii="Times New Roman" w:hAnsi="Times New Roman"/>
        </w:rPr>
        <w:t>Relevant</w:t>
      </w:r>
      <w:r w:rsidR="00981161" w:rsidRPr="004963EE">
        <w:rPr>
          <w:rFonts w:ascii="Times New Roman" w:hAnsi="Times New Roman"/>
        </w:rPr>
        <w:t xml:space="preserve"> </w:t>
      </w:r>
      <w:r w:rsidR="00CE0939" w:rsidRPr="004963EE">
        <w:rPr>
          <w:rFonts w:ascii="Times New Roman" w:hAnsi="Times New Roman"/>
        </w:rPr>
        <w:t xml:space="preserve">Minister can ameliorate </w:t>
      </w:r>
      <w:r w:rsidR="00A06673" w:rsidRPr="004963EE">
        <w:rPr>
          <w:rFonts w:ascii="Times New Roman" w:hAnsi="Times New Roman"/>
        </w:rPr>
        <w:t>the blunt effect of a determination by adding protective conditions.</w:t>
      </w:r>
      <w:r w:rsidR="00C81101" w:rsidRPr="004963EE">
        <w:rPr>
          <w:rFonts w:ascii="Times New Roman" w:hAnsi="Times New Roman"/>
        </w:rPr>
        <w:t xml:space="preserve"> </w:t>
      </w:r>
      <w:r w:rsidR="00A06673" w:rsidRPr="004963EE">
        <w:rPr>
          <w:rFonts w:ascii="Times New Roman" w:hAnsi="Times New Roman"/>
        </w:rPr>
        <w:t xml:space="preserve">Fifth, it is for </w:t>
      </w:r>
      <w:r w:rsidR="00981161" w:rsidRPr="004963EE">
        <w:rPr>
          <w:rFonts w:ascii="Times New Roman" w:hAnsi="Times New Roman"/>
        </w:rPr>
        <w:t xml:space="preserve">that </w:t>
      </w:r>
      <w:r w:rsidR="00A06673" w:rsidRPr="004963EE">
        <w:rPr>
          <w:rFonts w:ascii="Times New Roman" w:hAnsi="Times New Roman"/>
        </w:rPr>
        <w:t xml:space="preserve">Minister to </w:t>
      </w:r>
      <w:r w:rsidR="007F78CC" w:rsidRPr="004963EE">
        <w:rPr>
          <w:rFonts w:ascii="Times New Roman" w:hAnsi="Times New Roman"/>
        </w:rPr>
        <w:t>determine the nature of any "class of dwelling"</w:t>
      </w:r>
      <w:r w:rsidR="00CB2B75" w:rsidRPr="004963EE">
        <w:rPr>
          <w:rFonts w:ascii="Times New Roman" w:hAnsi="Times New Roman"/>
        </w:rPr>
        <w:t xml:space="preserve"> that is the subject of the adjusted rent</w:t>
      </w:r>
      <w:r w:rsidR="007F78CC" w:rsidRPr="004963EE">
        <w:rPr>
          <w:rFonts w:ascii="Times New Roman" w:hAnsi="Times New Roman"/>
        </w:rPr>
        <w:t xml:space="preserve">. And </w:t>
      </w:r>
      <w:r w:rsidR="00136687" w:rsidRPr="004963EE">
        <w:rPr>
          <w:rFonts w:ascii="Times New Roman" w:hAnsi="Times New Roman"/>
        </w:rPr>
        <w:t>sixth</w:t>
      </w:r>
      <w:r w:rsidR="007F78CC" w:rsidRPr="004963EE">
        <w:rPr>
          <w:rFonts w:ascii="Times New Roman" w:hAnsi="Times New Roman"/>
        </w:rPr>
        <w:t>, the power</w:t>
      </w:r>
      <w:r w:rsidR="0021438F" w:rsidRPr="004963EE">
        <w:rPr>
          <w:rFonts w:ascii="Times New Roman" w:hAnsi="Times New Roman"/>
        </w:rPr>
        <w:t xml:space="preserve"> may be delegated and the Minister had control over </w:t>
      </w:r>
      <w:r w:rsidR="004B52C2" w:rsidRPr="004963EE">
        <w:rPr>
          <w:rFonts w:ascii="Times New Roman" w:hAnsi="Times New Roman"/>
        </w:rPr>
        <w:t xml:space="preserve">the </w:t>
      </w:r>
      <w:r w:rsidR="0021438F" w:rsidRPr="004963EE">
        <w:rPr>
          <w:rFonts w:ascii="Times New Roman" w:hAnsi="Times New Roman"/>
        </w:rPr>
        <w:t>CEOH as the affected tenants' landlord,</w:t>
      </w:r>
      <w:r w:rsidR="00DD7AB4" w:rsidRPr="004963EE">
        <w:rPr>
          <w:rStyle w:val="FootnoteReference"/>
          <w:rFonts w:ascii="Times New Roman" w:hAnsi="Times New Roman"/>
          <w:sz w:val="24"/>
        </w:rPr>
        <w:footnoteReference w:id="17"/>
      </w:r>
      <w:r w:rsidR="0021438F" w:rsidRPr="004963EE">
        <w:rPr>
          <w:rFonts w:ascii="Times New Roman" w:hAnsi="Times New Roman"/>
        </w:rPr>
        <w:t xml:space="preserve"> permitting the power to be exercised flexibly and allowing the Minister access</w:t>
      </w:r>
      <w:r w:rsidR="007F78CC" w:rsidRPr="004963EE">
        <w:rPr>
          <w:rFonts w:ascii="Times New Roman" w:hAnsi="Times New Roman"/>
        </w:rPr>
        <w:t xml:space="preserve"> </w:t>
      </w:r>
      <w:r w:rsidR="00B905C5" w:rsidRPr="004963EE">
        <w:rPr>
          <w:rFonts w:ascii="Times New Roman" w:hAnsi="Times New Roman"/>
        </w:rPr>
        <w:t xml:space="preserve">to details about each </w:t>
      </w:r>
      <w:r w:rsidR="00CB2B75" w:rsidRPr="004963EE">
        <w:rPr>
          <w:rFonts w:ascii="Times New Roman" w:hAnsi="Times New Roman"/>
        </w:rPr>
        <w:t>tenancy agreement</w:t>
      </w:r>
      <w:r w:rsidR="00B905C5" w:rsidRPr="004963EE">
        <w:rPr>
          <w:rFonts w:ascii="Times New Roman" w:hAnsi="Times New Roman"/>
        </w:rPr>
        <w:t>.</w:t>
      </w:r>
      <w:r w:rsidR="00E76E8E" w:rsidRPr="004963EE">
        <w:rPr>
          <w:rFonts w:ascii="Times New Roman" w:hAnsi="Times New Roman"/>
        </w:rPr>
        <w:t xml:space="preserve"> </w:t>
      </w:r>
    </w:p>
    <w:p w14:paraId="4B0034AA" w14:textId="0E360EDB" w:rsidR="00C81DB2" w:rsidRPr="004963EE" w:rsidRDefault="00C81DB2"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D41C9D" w:rsidRPr="004963EE">
        <w:rPr>
          <w:rFonts w:ascii="Times New Roman" w:hAnsi="Times New Roman"/>
        </w:rPr>
        <w:t>G</w:t>
      </w:r>
      <w:r w:rsidR="00570C3D" w:rsidRPr="004963EE">
        <w:rPr>
          <w:rFonts w:ascii="Times New Roman" w:hAnsi="Times New Roman"/>
        </w:rPr>
        <w:t>iven</w:t>
      </w:r>
      <w:r w:rsidR="000872C2" w:rsidRPr="004963EE">
        <w:rPr>
          <w:rFonts w:ascii="Times New Roman" w:hAnsi="Times New Roman"/>
        </w:rPr>
        <w:t xml:space="preserve"> the relationship between the </w:t>
      </w:r>
      <w:r w:rsidR="000872C2" w:rsidRPr="004963EE">
        <w:rPr>
          <w:rFonts w:ascii="Times New Roman" w:hAnsi="Times New Roman"/>
          <w:i/>
          <w:iCs/>
        </w:rPr>
        <w:t xml:space="preserve">Housing Act </w:t>
      </w:r>
      <w:r w:rsidR="000872C2" w:rsidRPr="004963EE">
        <w:rPr>
          <w:rFonts w:ascii="Times New Roman" w:hAnsi="Times New Roman"/>
        </w:rPr>
        <w:t xml:space="preserve">and the </w:t>
      </w:r>
      <w:r w:rsidR="000872C2" w:rsidRPr="004963EE">
        <w:rPr>
          <w:rFonts w:ascii="Times New Roman" w:hAnsi="Times New Roman"/>
          <w:i/>
          <w:iCs/>
        </w:rPr>
        <w:t>RT</w:t>
      </w:r>
      <w:r w:rsidR="00934720" w:rsidRPr="004963EE">
        <w:rPr>
          <w:rFonts w:ascii="Times New Roman" w:hAnsi="Times New Roman"/>
          <w:i/>
          <w:iCs/>
        </w:rPr>
        <w:t> </w:t>
      </w:r>
      <w:r w:rsidR="000872C2" w:rsidRPr="004963EE">
        <w:rPr>
          <w:rFonts w:ascii="Times New Roman" w:hAnsi="Times New Roman"/>
          <w:i/>
          <w:iCs/>
        </w:rPr>
        <w:t>Act</w:t>
      </w:r>
      <w:r w:rsidR="000872C2" w:rsidRPr="004963EE">
        <w:rPr>
          <w:rFonts w:ascii="Times New Roman" w:hAnsi="Times New Roman"/>
        </w:rPr>
        <w:t>,</w:t>
      </w:r>
      <w:r w:rsidR="00C849DA" w:rsidRPr="004963EE">
        <w:rPr>
          <w:rStyle w:val="FootnoteReference"/>
          <w:rFonts w:ascii="Times New Roman" w:hAnsi="Times New Roman"/>
          <w:sz w:val="24"/>
        </w:rPr>
        <w:footnoteReference w:id="18"/>
      </w:r>
      <w:r w:rsidR="000872C2" w:rsidRPr="004963EE">
        <w:rPr>
          <w:rFonts w:ascii="Times New Roman" w:hAnsi="Times New Roman"/>
        </w:rPr>
        <w:t xml:space="preserve"> </w:t>
      </w:r>
      <w:r w:rsidR="002E45DB" w:rsidRPr="004963EE">
        <w:rPr>
          <w:rFonts w:ascii="Times New Roman" w:hAnsi="Times New Roman"/>
        </w:rPr>
        <w:t>t</w:t>
      </w:r>
      <w:r w:rsidR="005D0D84" w:rsidRPr="004963EE">
        <w:rPr>
          <w:rFonts w:ascii="Times New Roman" w:hAnsi="Times New Roman"/>
        </w:rPr>
        <w:t xml:space="preserve">he </w:t>
      </w:r>
      <w:r w:rsidRPr="004963EE">
        <w:rPr>
          <w:rFonts w:ascii="Times New Roman" w:hAnsi="Times New Roman"/>
        </w:rPr>
        <w:t xml:space="preserve">appellants also emphasised </w:t>
      </w:r>
      <w:r w:rsidR="0085194C" w:rsidRPr="004963EE">
        <w:rPr>
          <w:rFonts w:ascii="Times New Roman" w:hAnsi="Times New Roman"/>
        </w:rPr>
        <w:t xml:space="preserve">that </w:t>
      </w:r>
      <w:r w:rsidRPr="004963EE">
        <w:rPr>
          <w:rFonts w:ascii="Times New Roman" w:hAnsi="Times New Roman"/>
        </w:rPr>
        <w:t>th</w:t>
      </w:r>
      <w:r w:rsidR="0085194C" w:rsidRPr="004963EE">
        <w:rPr>
          <w:rFonts w:ascii="Times New Roman" w:hAnsi="Times New Roman"/>
        </w:rPr>
        <w:t xml:space="preserve">e </w:t>
      </w:r>
      <w:r w:rsidR="00570C3D" w:rsidRPr="004963EE">
        <w:rPr>
          <w:rFonts w:ascii="Times New Roman" w:hAnsi="Times New Roman"/>
        </w:rPr>
        <w:t xml:space="preserve">purpose of securing "fair rent" necessarily informed both the exercise of power in determining rent under s 23 of the </w:t>
      </w:r>
      <w:r w:rsidR="00570C3D" w:rsidRPr="004963EE">
        <w:rPr>
          <w:rFonts w:ascii="Times New Roman" w:hAnsi="Times New Roman"/>
          <w:i/>
          <w:iCs/>
        </w:rPr>
        <w:t>Housing Act</w:t>
      </w:r>
      <w:r w:rsidR="00570C3D" w:rsidRPr="004963EE">
        <w:rPr>
          <w:rFonts w:ascii="Times New Roman" w:hAnsi="Times New Roman"/>
        </w:rPr>
        <w:t xml:space="preserve">, and in determining any rebate under reg 5 of the </w:t>
      </w:r>
      <w:r w:rsidR="00570C3D" w:rsidRPr="004963EE">
        <w:rPr>
          <w:rFonts w:ascii="Times New Roman" w:hAnsi="Times New Roman"/>
          <w:i/>
          <w:iCs/>
        </w:rPr>
        <w:t>Housing Regulations</w:t>
      </w:r>
      <w:r w:rsidR="00570C3D" w:rsidRPr="004963EE">
        <w:rPr>
          <w:rFonts w:ascii="Times New Roman" w:hAnsi="Times New Roman"/>
        </w:rPr>
        <w:t>.</w:t>
      </w:r>
      <w:r w:rsidR="002F62AF" w:rsidRPr="004963EE">
        <w:rPr>
          <w:rFonts w:ascii="Times New Roman" w:hAnsi="Times New Roman"/>
        </w:rPr>
        <w:t xml:space="preserve"> </w:t>
      </w:r>
      <w:r w:rsidR="001B3147" w:rsidRPr="004963EE">
        <w:rPr>
          <w:rFonts w:ascii="Times New Roman" w:hAnsi="Times New Roman"/>
        </w:rPr>
        <w:t xml:space="preserve">They argued that whilst the </w:t>
      </w:r>
      <w:r w:rsidR="00C16A12" w:rsidRPr="004963EE">
        <w:rPr>
          <w:rFonts w:ascii="Times New Roman" w:hAnsi="Times New Roman"/>
        </w:rPr>
        <w:t>D</w:t>
      </w:r>
      <w:r w:rsidR="001B3147" w:rsidRPr="004963EE">
        <w:rPr>
          <w:rFonts w:ascii="Times New Roman" w:hAnsi="Times New Roman"/>
        </w:rPr>
        <w:t>eterminations</w:t>
      </w:r>
      <w:r w:rsidR="0091441A" w:rsidRPr="004963EE">
        <w:rPr>
          <w:rFonts w:ascii="Times New Roman" w:hAnsi="Times New Roman"/>
        </w:rPr>
        <w:t xml:space="preserve"> apply a model which was </w:t>
      </w:r>
      <w:r w:rsidR="00AB161B" w:rsidRPr="004963EE">
        <w:rPr>
          <w:rFonts w:ascii="Times New Roman" w:hAnsi="Times New Roman"/>
        </w:rPr>
        <w:t>–</w:t>
      </w:r>
      <w:r w:rsidR="0091441A" w:rsidRPr="004963EE">
        <w:rPr>
          <w:rFonts w:ascii="Times New Roman" w:hAnsi="Times New Roman"/>
        </w:rPr>
        <w:t xml:space="preserve"> at least in part </w:t>
      </w:r>
      <w:r w:rsidR="00AB161B" w:rsidRPr="004963EE">
        <w:rPr>
          <w:rFonts w:ascii="Times New Roman" w:hAnsi="Times New Roman"/>
        </w:rPr>
        <w:t>–</w:t>
      </w:r>
      <w:r w:rsidR="0091441A" w:rsidRPr="004963EE">
        <w:rPr>
          <w:rFonts w:ascii="Times New Roman" w:hAnsi="Times New Roman"/>
        </w:rPr>
        <w:t xml:space="preserve"> intended to be applied without differentiation to the </w:t>
      </w:r>
      <w:proofErr w:type="gramStart"/>
      <w:r w:rsidR="0091441A" w:rsidRPr="004963EE">
        <w:rPr>
          <w:rFonts w:ascii="Times New Roman" w:hAnsi="Times New Roman"/>
        </w:rPr>
        <w:t>particular circumstances</w:t>
      </w:r>
      <w:proofErr w:type="gramEnd"/>
      <w:r w:rsidR="0091441A" w:rsidRPr="004963EE">
        <w:rPr>
          <w:rFonts w:ascii="Times New Roman" w:hAnsi="Times New Roman"/>
        </w:rPr>
        <w:t xml:space="preserve"> of a given tenant, there were some aspects of the model about which tenants might have made meaningful submissions to </w:t>
      </w:r>
      <w:r w:rsidR="002B26DD" w:rsidRPr="004963EE">
        <w:rPr>
          <w:rFonts w:ascii="Times New Roman" w:hAnsi="Times New Roman"/>
        </w:rPr>
        <w:t>the G</w:t>
      </w:r>
      <w:r w:rsidR="0091441A" w:rsidRPr="004963EE">
        <w:rPr>
          <w:rFonts w:ascii="Times New Roman" w:hAnsi="Times New Roman"/>
        </w:rPr>
        <w:t>overnment.</w:t>
      </w:r>
      <w:r w:rsidR="00C81101" w:rsidRPr="004963EE">
        <w:rPr>
          <w:rFonts w:ascii="Times New Roman" w:hAnsi="Times New Roman"/>
        </w:rPr>
        <w:t xml:space="preserve"> </w:t>
      </w:r>
      <w:r w:rsidR="0091441A" w:rsidRPr="004963EE">
        <w:rPr>
          <w:rFonts w:ascii="Times New Roman" w:hAnsi="Times New Roman"/>
        </w:rPr>
        <w:t xml:space="preserve">The first was the </w:t>
      </w:r>
      <w:r w:rsidR="004667A0" w:rsidRPr="004963EE">
        <w:rPr>
          <w:rFonts w:ascii="Times New Roman" w:hAnsi="Times New Roman"/>
        </w:rPr>
        <w:t xml:space="preserve">dollar amount </w:t>
      </w:r>
      <w:r w:rsidR="004667A0" w:rsidRPr="004963EE">
        <w:rPr>
          <w:rFonts w:ascii="Times New Roman" w:hAnsi="Times New Roman"/>
        </w:rPr>
        <w:lastRenderedPageBreak/>
        <w:t>of rent specified for each class of dwelling.</w:t>
      </w:r>
      <w:r w:rsidR="00E3451B" w:rsidRPr="004963EE">
        <w:rPr>
          <w:rFonts w:ascii="Times New Roman" w:hAnsi="Times New Roman"/>
        </w:rPr>
        <w:t xml:space="preserve"> </w:t>
      </w:r>
      <w:r w:rsidR="004667A0" w:rsidRPr="004963EE">
        <w:rPr>
          <w:rFonts w:ascii="Times New Roman" w:hAnsi="Times New Roman"/>
        </w:rPr>
        <w:t>Tenants might have been able to demonstrate that the amounts were too high, given general market conditions, or given their specific needs.</w:t>
      </w:r>
      <w:r w:rsidR="00C81101" w:rsidRPr="004963EE">
        <w:rPr>
          <w:rFonts w:ascii="Times New Roman" w:hAnsi="Times New Roman"/>
        </w:rPr>
        <w:t xml:space="preserve"> </w:t>
      </w:r>
      <w:r w:rsidR="00D054F6" w:rsidRPr="004963EE">
        <w:rPr>
          <w:rFonts w:ascii="Times New Roman" w:hAnsi="Times New Roman"/>
        </w:rPr>
        <w:t>The second was the timing of the interim period.</w:t>
      </w:r>
      <w:r w:rsidR="00C81101" w:rsidRPr="004963EE">
        <w:rPr>
          <w:rFonts w:ascii="Times New Roman" w:hAnsi="Times New Roman"/>
        </w:rPr>
        <w:t xml:space="preserve"> </w:t>
      </w:r>
      <w:r w:rsidR="00D054F6" w:rsidRPr="004963EE">
        <w:rPr>
          <w:rFonts w:ascii="Times New Roman" w:hAnsi="Times New Roman"/>
        </w:rPr>
        <w:t xml:space="preserve">Tenants again might have </w:t>
      </w:r>
      <w:r w:rsidR="00822AD3" w:rsidRPr="004963EE">
        <w:rPr>
          <w:rFonts w:ascii="Times New Roman" w:hAnsi="Times New Roman"/>
        </w:rPr>
        <w:t>been able to make useful submissions about the length of the period.</w:t>
      </w:r>
      <w:r w:rsidR="00E3451B" w:rsidRPr="004963EE">
        <w:rPr>
          <w:rFonts w:ascii="Times New Roman" w:hAnsi="Times New Roman"/>
        </w:rPr>
        <w:t xml:space="preserve"> </w:t>
      </w:r>
      <w:r w:rsidR="00402682" w:rsidRPr="004963EE">
        <w:rPr>
          <w:rFonts w:ascii="Times New Roman" w:hAnsi="Times New Roman"/>
        </w:rPr>
        <w:t>T</w:t>
      </w:r>
      <w:r w:rsidR="00DF2F42" w:rsidRPr="004963EE">
        <w:rPr>
          <w:rFonts w:ascii="Times New Roman" w:hAnsi="Times New Roman"/>
        </w:rPr>
        <w:t>he t</w:t>
      </w:r>
      <w:r w:rsidR="00822AD3" w:rsidRPr="004963EE">
        <w:rPr>
          <w:rFonts w:ascii="Times New Roman" w:hAnsi="Times New Roman"/>
        </w:rPr>
        <w:t xml:space="preserve">hird </w:t>
      </w:r>
      <w:r w:rsidR="00DF2F42" w:rsidRPr="004963EE">
        <w:rPr>
          <w:rFonts w:ascii="Times New Roman" w:hAnsi="Times New Roman"/>
        </w:rPr>
        <w:t>concerned</w:t>
      </w:r>
      <w:r w:rsidR="00B048B7" w:rsidRPr="004963EE">
        <w:rPr>
          <w:rFonts w:ascii="Times New Roman" w:hAnsi="Times New Roman"/>
        </w:rPr>
        <w:t xml:space="preserve"> the list of affected communities.</w:t>
      </w:r>
      <w:r w:rsidR="00C81101" w:rsidRPr="004963EE">
        <w:rPr>
          <w:rFonts w:ascii="Times New Roman" w:hAnsi="Times New Roman"/>
        </w:rPr>
        <w:t xml:space="preserve"> </w:t>
      </w:r>
      <w:r w:rsidR="00B048B7" w:rsidRPr="004963EE">
        <w:rPr>
          <w:rFonts w:ascii="Times New Roman" w:hAnsi="Times New Roman"/>
        </w:rPr>
        <w:t>Whilst there was, at one point</w:t>
      </w:r>
      <w:r w:rsidR="00C7131D" w:rsidRPr="004963EE">
        <w:rPr>
          <w:rFonts w:ascii="Times New Roman" w:hAnsi="Times New Roman"/>
        </w:rPr>
        <w:t xml:space="preserve"> in time</w:t>
      </w:r>
      <w:r w:rsidR="00B048B7" w:rsidRPr="004963EE">
        <w:rPr>
          <w:rFonts w:ascii="Times New Roman" w:hAnsi="Times New Roman"/>
        </w:rPr>
        <w:t xml:space="preserve"> at least, an intention that the</w:t>
      </w:r>
      <w:r w:rsidR="006B6B4A" w:rsidRPr="004963EE">
        <w:rPr>
          <w:rFonts w:ascii="Times New Roman" w:hAnsi="Times New Roman"/>
        </w:rPr>
        <w:t xml:space="preserve"> </w:t>
      </w:r>
      <w:r w:rsidR="0061669D" w:rsidRPr="004963EE">
        <w:rPr>
          <w:rFonts w:ascii="Times New Roman" w:hAnsi="Times New Roman"/>
        </w:rPr>
        <w:t>D</w:t>
      </w:r>
      <w:r w:rsidR="00B048B7" w:rsidRPr="004963EE">
        <w:rPr>
          <w:rFonts w:ascii="Times New Roman" w:hAnsi="Times New Roman"/>
        </w:rPr>
        <w:t>etermination</w:t>
      </w:r>
      <w:r w:rsidR="00E479CF" w:rsidRPr="004963EE">
        <w:rPr>
          <w:rFonts w:ascii="Times New Roman" w:hAnsi="Times New Roman"/>
        </w:rPr>
        <w:t>s</w:t>
      </w:r>
      <w:r w:rsidR="00B048B7" w:rsidRPr="004963EE">
        <w:rPr>
          <w:rFonts w:ascii="Times New Roman" w:hAnsi="Times New Roman"/>
        </w:rPr>
        <w:t xml:space="preserve"> apply to all relevant remote communit</w:t>
      </w:r>
      <w:r w:rsidR="001E66F7" w:rsidRPr="004963EE">
        <w:rPr>
          <w:rFonts w:ascii="Times New Roman" w:hAnsi="Times New Roman"/>
        </w:rPr>
        <w:t>i</w:t>
      </w:r>
      <w:r w:rsidR="00B048B7" w:rsidRPr="004963EE">
        <w:rPr>
          <w:rFonts w:ascii="Times New Roman" w:hAnsi="Times New Roman"/>
        </w:rPr>
        <w:t>es</w:t>
      </w:r>
      <w:r w:rsidR="001E66F7" w:rsidRPr="004963EE">
        <w:rPr>
          <w:rFonts w:ascii="Times New Roman" w:hAnsi="Times New Roman"/>
        </w:rPr>
        <w:t>, the First Determination failed to do so (by error), and the Fourth</w:t>
      </w:r>
      <w:r w:rsidR="00FC0C4F" w:rsidRPr="004963EE">
        <w:rPr>
          <w:rFonts w:ascii="Times New Roman" w:hAnsi="Times New Roman"/>
        </w:rPr>
        <w:t xml:space="preserve"> Determination</w:t>
      </w:r>
      <w:r w:rsidR="001E66F7" w:rsidRPr="004963EE">
        <w:rPr>
          <w:rFonts w:ascii="Times New Roman" w:hAnsi="Times New Roman"/>
        </w:rPr>
        <w:t xml:space="preserve"> </w:t>
      </w:r>
      <w:r w:rsidR="00B7450A" w:rsidRPr="004963EE">
        <w:rPr>
          <w:rFonts w:ascii="Times New Roman" w:hAnsi="Times New Roman"/>
        </w:rPr>
        <w:t>excluded 17</w:t>
      </w:r>
      <w:r w:rsidR="004B38C1" w:rsidRPr="004963EE">
        <w:rPr>
          <w:rFonts w:ascii="Times New Roman" w:hAnsi="Times New Roman"/>
        </w:rPr>
        <w:t> </w:t>
      </w:r>
      <w:r w:rsidR="00B7450A" w:rsidRPr="004963EE">
        <w:rPr>
          <w:rFonts w:ascii="Times New Roman" w:hAnsi="Times New Roman"/>
        </w:rPr>
        <w:t>communities.</w:t>
      </w:r>
      <w:r w:rsidR="00C81101" w:rsidRPr="004963EE">
        <w:rPr>
          <w:rFonts w:ascii="Times New Roman" w:hAnsi="Times New Roman"/>
        </w:rPr>
        <w:t xml:space="preserve"> </w:t>
      </w:r>
      <w:r w:rsidR="00B7450A" w:rsidRPr="004963EE">
        <w:rPr>
          <w:rFonts w:ascii="Times New Roman" w:hAnsi="Times New Roman"/>
        </w:rPr>
        <w:t>Again, submissions might have been made concerning whether a given community or communities should or should not have been excluded.</w:t>
      </w:r>
      <w:r w:rsidR="00E3451B" w:rsidRPr="004963EE">
        <w:rPr>
          <w:rFonts w:ascii="Times New Roman" w:hAnsi="Times New Roman"/>
        </w:rPr>
        <w:t xml:space="preserve"> </w:t>
      </w:r>
    </w:p>
    <w:p w14:paraId="219C3B44" w14:textId="3ECD9B27" w:rsidR="00E96C77" w:rsidRPr="004963EE" w:rsidRDefault="00E96C77"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The appellants also submitted that the </w:t>
      </w:r>
      <w:r w:rsidR="00BA1B29" w:rsidRPr="004963EE">
        <w:rPr>
          <w:rFonts w:ascii="Times New Roman" w:hAnsi="Times New Roman"/>
        </w:rPr>
        <w:t>D</w:t>
      </w:r>
      <w:r w:rsidRPr="004963EE">
        <w:rPr>
          <w:rFonts w:ascii="Times New Roman" w:hAnsi="Times New Roman"/>
        </w:rPr>
        <w:t xml:space="preserve">eterminations affected </w:t>
      </w:r>
      <w:r w:rsidR="0016525E" w:rsidRPr="004963EE">
        <w:rPr>
          <w:rFonts w:ascii="Times New Roman" w:hAnsi="Times New Roman"/>
        </w:rPr>
        <w:t>their legal rights</w:t>
      </w:r>
      <w:r w:rsidR="00DD77E5" w:rsidRPr="004963EE">
        <w:rPr>
          <w:rFonts w:ascii="Times New Roman" w:hAnsi="Times New Roman"/>
        </w:rPr>
        <w:t>.</w:t>
      </w:r>
      <w:r w:rsidR="00C81101" w:rsidRPr="004963EE">
        <w:rPr>
          <w:rFonts w:ascii="Times New Roman" w:hAnsi="Times New Roman"/>
        </w:rPr>
        <w:t xml:space="preserve"> </w:t>
      </w:r>
      <w:r w:rsidR="00DD77E5" w:rsidRPr="004963EE">
        <w:rPr>
          <w:rFonts w:ascii="Times New Roman" w:hAnsi="Times New Roman"/>
        </w:rPr>
        <w:t xml:space="preserve">It was argued that each </w:t>
      </w:r>
      <w:r w:rsidR="00BA1B29" w:rsidRPr="004963EE">
        <w:rPr>
          <w:rFonts w:ascii="Times New Roman" w:hAnsi="Times New Roman"/>
        </w:rPr>
        <w:t>D</w:t>
      </w:r>
      <w:r w:rsidR="00DD77E5" w:rsidRPr="004963EE">
        <w:rPr>
          <w:rFonts w:ascii="Times New Roman" w:hAnsi="Times New Roman"/>
        </w:rPr>
        <w:t>etermination denied to each tenant the protections afforded by ss</w:t>
      </w:r>
      <w:r w:rsidR="00CB1127" w:rsidRPr="004963EE">
        <w:rPr>
          <w:rFonts w:ascii="Times New Roman" w:hAnsi="Times New Roman"/>
        </w:rPr>
        <w:t> </w:t>
      </w:r>
      <w:r w:rsidR="00DD77E5" w:rsidRPr="004963EE">
        <w:rPr>
          <w:rFonts w:ascii="Times New Roman" w:hAnsi="Times New Roman"/>
        </w:rPr>
        <w:t xml:space="preserve">41 </w:t>
      </w:r>
      <w:r w:rsidR="00A90C8D" w:rsidRPr="004963EE">
        <w:rPr>
          <w:rFonts w:ascii="Times New Roman" w:hAnsi="Times New Roman"/>
        </w:rPr>
        <w:t xml:space="preserve">and 42 of the </w:t>
      </w:r>
      <w:r w:rsidR="00A90C8D" w:rsidRPr="004963EE">
        <w:rPr>
          <w:rFonts w:ascii="Times New Roman" w:hAnsi="Times New Roman"/>
          <w:i/>
          <w:iCs/>
        </w:rPr>
        <w:t>RT</w:t>
      </w:r>
      <w:r w:rsidR="00934720" w:rsidRPr="004963EE">
        <w:rPr>
          <w:rFonts w:ascii="Times New Roman" w:hAnsi="Times New Roman"/>
          <w:i/>
          <w:iCs/>
        </w:rPr>
        <w:t> </w:t>
      </w:r>
      <w:r w:rsidR="00A90C8D" w:rsidRPr="004963EE">
        <w:rPr>
          <w:rFonts w:ascii="Times New Roman" w:hAnsi="Times New Roman"/>
          <w:i/>
          <w:iCs/>
        </w:rPr>
        <w:t>Act</w:t>
      </w:r>
      <w:r w:rsidR="00A90C8D" w:rsidRPr="004963EE">
        <w:rPr>
          <w:rFonts w:ascii="Times New Roman" w:hAnsi="Times New Roman"/>
        </w:rPr>
        <w:t>.</w:t>
      </w:r>
      <w:r w:rsidR="00D532C3" w:rsidRPr="004963EE">
        <w:rPr>
          <w:rFonts w:ascii="Times New Roman" w:hAnsi="Times New Roman"/>
        </w:rPr>
        <w:t xml:space="preserve"> </w:t>
      </w:r>
    </w:p>
    <w:p w14:paraId="1350C515" w14:textId="3F3DB751" w:rsidR="007D47F9" w:rsidRPr="004963EE" w:rsidRDefault="007D47F9" w:rsidP="004963EE">
      <w:pPr>
        <w:pStyle w:val="HeadingL2"/>
        <w:spacing w:after="260" w:line="280" w:lineRule="exact"/>
        <w:ind w:right="0"/>
        <w:jc w:val="both"/>
        <w:rPr>
          <w:rFonts w:ascii="Times New Roman" w:hAnsi="Times New Roman"/>
        </w:rPr>
      </w:pPr>
      <w:r w:rsidRPr="004963EE">
        <w:rPr>
          <w:rFonts w:ascii="Times New Roman" w:hAnsi="Times New Roman"/>
        </w:rPr>
        <w:t xml:space="preserve">The </w:t>
      </w:r>
      <w:r w:rsidR="00B5095B" w:rsidRPr="004963EE">
        <w:rPr>
          <w:rFonts w:ascii="Times New Roman" w:hAnsi="Times New Roman"/>
        </w:rPr>
        <w:t>respondents</w:t>
      </w:r>
      <w:r w:rsidRPr="004963EE">
        <w:rPr>
          <w:rFonts w:ascii="Times New Roman" w:hAnsi="Times New Roman"/>
        </w:rPr>
        <w:t>' case</w:t>
      </w:r>
    </w:p>
    <w:p w14:paraId="300E2398" w14:textId="45C8D94A" w:rsidR="00C7131D" w:rsidRPr="004963EE" w:rsidRDefault="00C7131D"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3822C2" w:rsidRPr="004963EE">
        <w:rPr>
          <w:rFonts w:ascii="Times New Roman" w:hAnsi="Times New Roman"/>
        </w:rPr>
        <w:t xml:space="preserve">In contrast, the </w:t>
      </w:r>
      <w:r w:rsidR="00B5095B" w:rsidRPr="004963EE">
        <w:rPr>
          <w:rFonts w:ascii="Times New Roman" w:hAnsi="Times New Roman"/>
        </w:rPr>
        <w:t>respondents</w:t>
      </w:r>
      <w:r w:rsidR="003822C2" w:rsidRPr="004963EE">
        <w:rPr>
          <w:rFonts w:ascii="Times New Roman" w:hAnsi="Times New Roman"/>
        </w:rPr>
        <w:t xml:space="preserve"> submitted that the </w:t>
      </w:r>
      <w:r w:rsidR="003941F6" w:rsidRPr="004963EE">
        <w:rPr>
          <w:rFonts w:ascii="Times New Roman" w:hAnsi="Times New Roman"/>
        </w:rPr>
        <w:t xml:space="preserve">minimum content of the obligation to provide procedural fairness did not include </w:t>
      </w:r>
      <w:r w:rsidR="00CE2D26" w:rsidRPr="004963EE">
        <w:rPr>
          <w:rFonts w:ascii="Times New Roman" w:hAnsi="Times New Roman"/>
        </w:rPr>
        <w:t>any need to give prior notice to the tenants or to give them an opportunity to make submissions.</w:t>
      </w:r>
      <w:r w:rsidR="00C81101" w:rsidRPr="004963EE">
        <w:rPr>
          <w:rFonts w:ascii="Times New Roman" w:hAnsi="Times New Roman"/>
        </w:rPr>
        <w:t xml:space="preserve"> </w:t>
      </w:r>
      <w:r w:rsidR="00CE2D26" w:rsidRPr="004963EE">
        <w:rPr>
          <w:rFonts w:ascii="Times New Roman" w:hAnsi="Times New Roman"/>
        </w:rPr>
        <w:t>That is because</w:t>
      </w:r>
      <w:r w:rsidR="00AE5246" w:rsidRPr="004963EE">
        <w:rPr>
          <w:rFonts w:ascii="Times New Roman" w:hAnsi="Times New Roman"/>
        </w:rPr>
        <w:t>, it was contended,</w:t>
      </w:r>
      <w:r w:rsidR="00CE2D26" w:rsidRPr="004963EE">
        <w:rPr>
          <w:rFonts w:ascii="Times New Roman" w:hAnsi="Times New Roman"/>
        </w:rPr>
        <w:t xml:space="preserve"> </w:t>
      </w:r>
      <w:r w:rsidR="0050467A" w:rsidRPr="004963EE">
        <w:rPr>
          <w:rFonts w:ascii="Times New Roman" w:hAnsi="Times New Roman"/>
        </w:rPr>
        <w:t xml:space="preserve">the </w:t>
      </w:r>
      <w:r w:rsidR="00D16C57" w:rsidRPr="004963EE">
        <w:rPr>
          <w:rFonts w:ascii="Times New Roman" w:hAnsi="Times New Roman"/>
        </w:rPr>
        <w:t>D</w:t>
      </w:r>
      <w:r w:rsidR="0050467A" w:rsidRPr="004963EE">
        <w:rPr>
          <w:rFonts w:ascii="Times New Roman" w:hAnsi="Times New Roman"/>
        </w:rPr>
        <w:t>eterminations were an expression of a policy decision</w:t>
      </w:r>
      <w:r w:rsidR="00C55C13" w:rsidRPr="004963EE">
        <w:rPr>
          <w:rFonts w:ascii="Times New Roman" w:hAnsi="Times New Roman"/>
        </w:rPr>
        <w:t xml:space="preserve"> (approved by Cabinet)</w:t>
      </w:r>
      <w:r w:rsidR="0050467A" w:rsidRPr="004963EE">
        <w:rPr>
          <w:rFonts w:ascii="Times New Roman" w:hAnsi="Times New Roman"/>
        </w:rPr>
        <w:t xml:space="preserve"> that did not turn </w:t>
      </w:r>
      <w:r w:rsidR="00B61EDA" w:rsidRPr="004963EE">
        <w:rPr>
          <w:rFonts w:ascii="Times New Roman" w:hAnsi="Times New Roman"/>
        </w:rPr>
        <w:t>–</w:t>
      </w:r>
      <w:r w:rsidR="0050467A" w:rsidRPr="004963EE">
        <w:rPr>
          <w:rFonts w:ascii="Times New Roman" w:hAnsi="Times New Roman"/>
        </w:rPr>
        <w:t xml:space="preserve"> to any extent </w:t>
      </w:r>
      <w:r w:rsidR="00B61EDA" w:rsidRPr="004963EE">
        <w:rPr>
          <w:rFonts w:ascii="Times New Roman" w:hAnsi="Times New Roman"/>
        </w:rPr>
        <w:t>–</w:t>
      </w:r>
      <w:r w:rsidR="0050467A" w:rsidRPr="004963EE">
        <w:rPr>
          <w:rFonts w:ascii="Times New Roman" w:hAnsi="Times New Roman"/>
        </w:rPr>
        <w:t xml:space="preserve"> </w:t>
      </w:r>
      <w:r w:rsidR="007B6D12" w:rsidRPr="004963EE">
        <w:rPr>
          <w:rFonts w:ascii="Times New Roman" w:hAnsi="Times New Roman"/>
        </w:rPr>
        <w:t>up</w:t>
      </w:r>
      <w:r w:rsidR="0050467A" w:rsidRPr="004963EE">
        <w:rPr>
          <w:rFonts w:ascii="Times New Roman" w:hAnsi="Times New Roman"/>
        </w:rPr>
        <w:t>on the individual circ</w:t>
      </w:r>
      <w:r w:rsidR="007B6D12" w:rsidRPr="004963EE">
        <w:rPr>
          <w:rFonts w:ascii="Times New Roman" w:hAnsi="Times New Roman"/>
        </w:rPr>
        <w:t>u</w:t>
      </w:r>
      <w:r w:rsidR="0050467A" w:rsidRPr="004963EE">
        <w:rPr>
          <w:rFonts w:ascii="Times New Roman" w:hAnsi="Times New Roman"/>
        </w:rPr>
        <w:t xml:space="preserve">mstances </w:t>
      </w:r>
      <w:r w:rsidR="007B6D12" w:rsidRPr="004963EE">
        <w:rPr>
          <w:rFonts w:ascii="Times New Roman" w:hAnsi="Times New Roman"/>
        </w:rPr>
        <w:t>of any given tenant.</w:t>
      </w:r>
      <w:r w:rsidR="00C81101" w:rsidRPr="004963EE">
        <w:rPr>
          <w:rFonts w:ascii="Times New Roman" w:hAnsi="Times New Roman"/>
        </w:rPr>
        <w:t xml:space="preserve"> </w:t>
      </w:r>
      <w:r w:rsidR="007B6D12" w:rsidRPr="004963EE">
        <w:rPr>
          <w:rFonts w:ascii="Times New Roman" w:hAnsi="Times New Roman"/>
        </w:rPr>
        <w:t>Rather, the policy decision was to adopt a</w:t>
      </w:r>
      <w:r w:rsidR="00FA4D82" w:rsidRPr="004963EE">
        <w:rPr>
          <w:rFonts w:ascii="Times New Roman" w:hAnsi="Times New Roman"/>
        </w:rPr>
        <w:t xml:space="preserve"> </w:t>
      </w:r>
      <w:r w:rsidR="007B6D12" w:rsidRPr="004963EE">
        <w:rPr>
          <w:rFonts w:ascii="Times New Roman" w:hAnsi="Times New Roman"/>
        </w:rPr>
        <w:t>methodology for determining rent that rendered those individual circumstances irrelevant.</w:t>
      </w:r>
      <w:r w:rsidR="00C81101" w:rsidRPr="004963EE">
        <w:rPr>
          <w:rFonts w:ascii="Times New Roman" w:hAnsi="Times New Roman"/>
        </w:rPr>
        <w:t xml:space="preserve"> </w:t>
      </w:r>
      <w:r w:rsidR="0064564A" w:rsidRPr="004963EE">
        <w:rPr>
          <w:rFonts w:ascii="Times New Roman" w:hAnsi="Times New Roman"/>
        </w:rPr>
        <w:t>That calculation</w:t>
      </w:r>
      <w:r w:rsidR="00621A7C" w:rsidRPr="004963EE">
        <w:rPr>
          <w:rFonts w:ascii="Times New Roman" w:hAnsi="Times New Roman"/>
        </w:rPr>
        <w:t>, it was said,</w:t>
      </w:r>
      <w:r w:rsidR="0064564A" w:rsidRPr="004963EE">
        <w:rPr>
          <w:rFonts w:ascii="Times New Roman" w:hAnsi="Times New Roman"/>
        </w:rPr>
        <w:t xml:space="preserve"> turned upon a simple </w:t>
      </w:r>
      <w:r w:rsidR="007D19B4" w:rsidRPr="004963EE">
        <w:rPr>
          <w:rFonts w:ascii="Times New Roman" w:hAnsi="Times New Roman"/>
        </w:rPr>
        <w:t xml:space="preserve">formula based on </w:t>
      </w:r>
      <w:r w:rsidR="0064564A" w:rsidRPr="004963EE">
        <w:rPr>
          <w:rFonts w:ascii="Times New Roman" w:hAnsi="Times New Roman"/>
        </w:rPr>
        <w:t>the number of bedrooms per dwelling in a listed community and nothing else.</w:t>
      </w:r>
      <w:r w:rsidR="00C81101" w:rsidRPr="004963EE">
        <w:rPr>
          <w:rFonts w:ascii="Times New Roman" w:hAnsi="Times New Roman"/>
        </w:rPr>
        <w:t xml:space="preserve"> </w:t>
      </w:r>
      <w:r w:rsidR="000F65C5" w:rsidRPr="004963EE">
        <w:rPr>
          <w:rFonts w:ascii="Times New Roman" w:hAnsi="Times New Roman"/>
        </w:rPr>
        <w:t>It was not suggested that</w:t>
      </w:r>
      <w:r w:rsidR="00C81101" w:rsidRPr="004963EE">
        <w:rPr>
          <w:rFonts w:ascii="Times New Roman" w:hAnsi="Times New Roman"/>
        </w:rPr>
        <w:t xml:space="preserve"> s </w:t>
      </w:r>
      <w:r w:rsidR="000F65C5" w:rsidRPr="004963EE">
        <w:rPr>
          <w:rFonts w:ascii="Times New Roman" w:hAnsi="Times New Roman"/>
        </w:rPr>
        <w:t xml:space="preserve">23 of the </w:t>
      </w:r>
      <w:r w:rsidR="000F65C5" w:rsidRPr="004963EE">
        <w:rPr>
          <w:rFonts w:ascii="Times New Roman" w:hAnsi="Times New Roman"/>
          <w:i/>
          <w:iCs/>
        </w:rPr>
        <w:t>Housing Act</w:t>
      </w:r>
      <w:r w:rsidR="000F65C5" w:rsidRPr="004963EE">
        <w:rPr>
          <w:rFonts w:ascii="Times New Roman" w:hAnsi="Times New Roman"/>
        </w:rPr>
        <w:t xml:space="preserve"> did not authorise a policy decision of this kind.</w:t>
      </w:r>
      <w:r w:rsidR="0043253C" w:rsidRPr="004963EE">
        <w:rPr>
          <w:rFonts w:ascii="Times New Roman" w:hAnsi="Times New Roman"/>
        </w:rPr>
        <w:t xml:space="preserve"> </w:t>
      </w:r>
    </w:p>
    <w:p w14:paraId="479D3817" w14:textId="0C24CEF9" w:rsidR="0064564A" w:rsidRPr="004963EE" w:rsidRDefault="0064564A"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A90FFF" w:rsidRPr="004963EE">
        <w:rPr>
          <w:rFonts w:ascii="Times New Roman" w:hAnsi="Times New Roman"/>
        </w:rPr>
        <w:t xml:space="preserve">That a decision maker may </w:t>
      </w:r>
      <w:r w:rsidR="00CB459D" w:rsidRPr="004963EE">
        <w:rPr>
          <w:rFonts w:ascii="Times New Roman" w:hAnsi="Times New Roman"/>
        </w:rPr>
        <w:t xml:space="preserve">validly </w:t>
      </w:r>
      <w:r w:rsidR="00A90FFF" w:rsidRPr="004963EE">
        <w:rPr>
          <w:rFonts w:ascii="Times New Roman" w:hAnsi="Times New Roman"/>
        </w:rPr>
        <w:t>adopt a pol</w:t>
      </w:r>
      <w:r w:rsidR="000F65C5" w:rsidRPr="004963EE">
        <w:rPr>
          <w:rFonts w:ascii="Times New Roman" w:hAnsi="Times New Roman"/>
        </w:rPr>
        <w:t xml:space="preserve">icy </w:t>
      </w:r>
      <w:r w:rsidR="00CB459D" w:rsidRPr="004963EE">
        <w:rPr>
          <w:rFonts w:ascii="Times New Roman" w:hAnsi="Times New Roman"/>
        </w:rPr>
        <w:t xml:space="preserve">which necessarily excludes any obligation to consult with affected parties was said to be supported by </w:t>
      </w:r>
      <w:r w:rsidR="00FA3D6D" w:rsidRPr="004963EE">
        <w:rPr>
          <w:rFonts w:ascii="Times New Roman" w:hAnsi="Times New Roman"/>
        </w:rPr>
        <w:t>certain passages in the judgment of Brennan</w:t>
      </w:r>
      <w:r w:rsidR="00472551" w:rsidRPr="004963EE">
        <w:rPr>
          <w:rFonts w:ascii="Times New Roman" w:hAnsi="Times New Roman"/>
        </w:rPr>
        <w:t> </w:t>
      </w:r>
      <w:r w:rsidR="00F241F6" w:rsidRPr="004963EE">
        <w:rPr>
          <w:rFonts w:ascii="Times New Roman" w:hAnsi="Times New Roman"/>
        </w:rPr>
        <w:t xml:space="preserve">J </w:t>
      </w:r>
      <w:r w:rsidR="00FA3D6D" w:rsidRPr="004963EE">
        <w:rPr>
          <w:rFonts w:ascii="Times New Roman" w:hAnsi="Times New Roman"/>
        </w:rPr>
        <w:t xml:space="preserve">in </w:t>
      </w:r>
      <w:r w:rsidR="00FA3D6D" w:rsidRPr="004963EE">
        <w:rPr>
          <w:rFonts w:ascii="Times New Roman" w:hAnsi="Times New Roman"/>
          <w:i/>
          <w:iCs/>
        </w:rPr>
        <w:t>Kioa v West</w:t>
      </w:r>
      <w:r w:rsidR="00FA3D6D" w:rsidRPr="004963EE">
        <w:rPr>
          <w:rFonts w:ascii="Times New Roman" w:hAnsi="Times New Roman"/>
        </w:rPr>
        <w:t>.</w:t>
      </w:r>
      <w:r w:rsidR="00E27A44" w:rsidRPr="004963EE">
        <w:rPr>
          <w:rStyle w:val="FootnoteReference"/>
          <w:rFonts w:ascii="Times New Roman" w:hAnsi="Times New Roman"/>
          <w:sz w:val="24"/>
        </w:rPr>
        <w:footnoteReference w:id="19"/>
      </w:r>
      <w:r w:rsidR="00C81101" w:rsidRPr="004963EE">
        <w:rPr>
          <w:rFonts w:ascii="Times New Roman" w:hAnsi="Times New Roman"/>
        </w:rPr>
        <w:t xml:space="preserve"> </w:t>
      </w:r>
      <w:r w:rsidR="00745DB3" w:rsidRPr="004963EE">
        <w:rPr>
          <w:rFonts w:ascii="Times New Roman" w:hAnsi="Times New Roman"/>
        </w:rPr>
        <w:t xml:space="preserve">These were said to </w:t>
      </w:r>
      <w:r w:rsidR="00AE5246" w:rsidRPr="004963EE">
        <w:rPr>
          <w:rFonts w:ascii="Times New Roman" w:hAnsi="Times New Roman"/>
        </w:rPr>
        <w:t>affirm</w:t>
      </w:r>
      <w:r w:rsidR="00745DB3" w:rsidRPr="004963EE">
        <w:rPr>
          <w:rFonts w:ascii="Times New Roman" w:hAnsi="Times New Roman"/>
        </w:rPr>
        <w:t xml:space="preserve"> the conclusion that the content of the </w:t>
      </w:r>
      <w:r w:rsidR="0055312F" w:rsidRPr="004963EE">
        <w:rPr>
          <w:rFonts w:ascii="Times New Roman" w:hAnsi="Times New Roman"/>
        </w:rPr>
        <w:t xml:space="preserve">duty to afford procedural fairness </w:t>
      </w:r>
      <w:r w:rsidR="006D385F" w:rsidRPr="004963EE">
        <w:rPr>
          <w:rFonts w:ascii="Times New Roman" w:hAnsi="Times New Roman"/>
        </w:rPr>
        <w:t>may be reduced to "nothingness" in particular c</w:t>
      </w:r>
      <w:r w:rsidR="000706F3" w:rsidRPr="004963EE">
        <w:rPr>
          <w:rFonts w:ascii="Times New Roman" w:hAnsi="Times New Roman"/>
        </w:rPr>
        <w:t>ircumstances.</w:t>
      </w:r>
      <w:r w:rsidR="00C81101" w:rsidRPr="004963EE">
        <w:rPr>
          <w:rFonts w:ascii="Times New Roman" w:hAnsi="Times New Roman"/>
        </w:rPr>
        <w:t xml:space="preserve"> </w:t>
      </w:r>
      <w:r w:rsidR="00490D5A" w:rsidRPr="004963EE">
        <w:rPr>
          <w:rFonts w:ascii="Times New Roman" w:hAnsi="Times New Roman"/>
        </w:rPr>
        <w:t>In one of the passages, Brennan</w:t>
      </w:r>
      <w:r w:rsidR="00F241F6" w:rsidRPr="004963EE">
        <w:rPr>
          <w:rFonts w:ascii="Times New Roman" w:hAnsi="Times New Roman"/>
        </w:rPr>
        <w:t xml:space="preserve"> J </w:t>
      </w:r>
      <w:r w:rsidR="00490D5A" w:rsidRPr="004963EE">
        <w:rPr>
          <w:rFonts w:ascii="Times New Roman" w:hAnsi="Times New Roman"/>
        </w:rPr>
        <w:t>observed</w:t>
      </w:r>
      <w:r w:rsidR="001F44CB" w:rsidRPr="004963EE">
        <w:rPr>
          <w:rFonts w:ascii="Times New Roman" w:hAnsi="Times New Roman"/>
        </w:rPr>
        <w:t>:</w:t>
      </w:r>
      <w:r w:rsidR="00C24D41" w:rsidRPr="004963EE">
        <w:rPr>
          <w:rStyle w:val="FootnoteReference"/>
          <w:rFonts w:ascii="Times New Roman" w:hAnsi="Times New Roman"/>
          <w:sz w:val="24"/>
        </w:rPr>
        <w:footnoteReference w:id="20"/>
      </w:r>
      <w:r w:rsidR="00443E43" w:rsidRPr="004963EE">
        <w:rPr>
          <w:rFonts w:ascii="Times New Roman" w:hAnsi="Times New Roman"/>
        </w:rPr>
        <w:t xml:space="preserve"> </w:t>
      </w:r>
    </w:p>
    <w:p w14:paraId="0ADD101C" w14:textId="77777777" w:rsidR="004963EE" w:rsidRDefault="00001FD6" w:rsidP="004963EE">
      <w:pPr>
        <w:pStyle w:val="LeftrightafterHC"/>
        <w:spacing w:before="0" w:after="260" w:line="280" w:lineRule="exact"/>
        <w:ind w:right="0"/>
        <w:jc w:val="both"/>
        <w:rPr>
          <w:rFonts w:ascii="Times New Roman" w:hAnsi="Times New Roman"/>
        </w:rPr>
      </w:pPr>
      <w:r w:rsidRPr="004963EE">
        <w:rPr>
          <w:rFonts w:ascii="Times New Roman" w:hAnsi="Times New Roman"/>
        </w:rPr>
        <w:lastRenderedPageBreak/>
        <w:t>"...</w:t>
      </w:r>
      <w:r w:rsidR="00EE11FE" w:rsidRPr="004963EE">
        <w:rPr>
          <w:rFonts w:ascii="Times New Roman" w:hAnsi="Times New Roman"/>
        </w:rPr>
        <w:t xml:space="preserve"> </w:t>
      </w:r>
      <w:r w:rsidRPr="004963EE">
        <w:rPr>
          <w:rFonts w:ascii="Times New Roman" w:hAnsi="Times New Roman"/>
        </w:rPr>
        <w:t>the intention to be implied when the statute is silent is that observance of the principles of natural justice conditions the exercise of the power although in some circumstances the content of those principles may be diminished (even to nothingness) to avoid frustrating the purpose for which the power was conferred. Accepting that the content of the principles of natural justice can be reduced to nothingness by the circumstances in which a power is exercised, a presumption that observance of those principles conditions the exercise of the power is not necessarily excluded at least where, in the generality of cases in which the power is to be exercised, those principles would have a substantial content.</w:t>
      </w:r>
      <w:r w:rsidR="00C24D41" w:rsidRPr="004963EE">
        <w:rPr>
          <w:rFonts w:ascii="Times New Roman" w:hAnsi="Times New Roman"/>
        </w:rPr>
        <w:t>"</w:t>
      </w:r>
    </w:p>
    <w:p w14:paraId="0C286DEC" w14:textId="1266BFE9" w:rsidR="001F44CB" w:rsidRPr="004963EE" w:rsidRDefault="008D5B1D" w:rsidP="004963EE">
      <w:pPr>
        <w:pStyle w:val="FixListStyle"/>
        <w:spacing w:after="260" w:line="280" w:lineRule="exact"/>
        <w:ind w:right="0"/>
        <w:jc w:val="both"/>
        <w:rPr>
          <w:rFonts w:ascii="Times New Roman" w:hAnsi="Times New Roman"/>
        </w:rPr>
      </w:pPr>
      <w:r w:rsidRPr="004963EE">
        <w:rPr>
          <w:rFonts w:ascii="Times New Roman" w:hAnsi="Times New Roman"/>
        </w:rPr>
        <w:tab/>
        <w:t>In another passage</w:t>
      </w:r>
      <w:r w:rsidR="003713E2" w:rsidRPr="004963EE">
        <w:rPr>
          <w:rFonts w:ascii="Times New Roman" w:hAnsi="Times New Roman"/>
        </w:rPr>
        <w:t xml:space="preserve"> of </w:t>
      </w:r>
      <w:r w:rsidR="003713E2" w:rsidRPr="004963EE">
        <w:rPr>
          <w:rFonts w:ascii="Times New Roman" w:hAnsi="Times New Roman"/>
          <w:i/>
          <w:iCs/>
        </w:rPr>
        <w:t>Kioa</w:t>
      </w:r>
      <w:r w:rsidRPr="004963EE">
        <w:rPr>
          <w:rFonts w:ascii="Times New Roman" w:hAnsi="Times New Roman"/>
        </w:rPr>
        <w:t xml:space="preserve">, relied upon by the </w:t>
      </w:r>
      <w:r w:rsidR="00B5095B" w:rsidRPr="004963EE">
        <w:rPr>
          <w:rFonts w:ascii="Times New Roman" w:hAnsi="Times New Roman"/>
        </w:rPr>
        <w:t>respondents</w:t>
      </w:r>
      <w:r w:rsidRPr="004963EE">
        <w:rPr>
          <w:rFonts w:ascii="Times New Roman" w:hAnsi="Times New Roman"/>
        </w:rPr>
        <w:t>, Brennan</w:t>
      </w:r>
      <w:r w:rsidR="00F241F6" w:rsidRPr="004963EE">
        <w:rPr>
          <w:rFonts w:ascii="Times New Roman" w:hAnsi="Times New Roman"/>
        </w:rPr>
        <w:t xml:space="preserve"> J </w:t>
      </w:r>
      <w:r w:rsidR="002774BD" w:rsidRPr="004963EE">
        <w:rPr>
          <w:rFonts w:ascii="Times New Roman" w:hAnsi="Times New Roman"/>
        </w:rPr>
        <w:t xml:space="preserve">reasoned that an ascertainment of what a "fair procedure" may demand will depend upon what a decision maker is bound to </w:t>
      </w:r>
      <w:proofErr w:type="gramStart"/>
      <w:r w:rsidR="002774BD" w:rsidRPr="004963EE">
        <w:rPr>
          <w:rFonts w:ascii="Times New Roman" w:hAnsi="Times New Roman"/>
        </w:rPr>
        <w:t>take into account</w:t>
      </w:r>
      <w:proofErr w:type="gramEnd"/>
      <w:r w:rsidR="002774BD" w:rsidRPr="004963EE">
        <w:rPr>
          <w:rFonts w:ascii="Times New Roman" w:hAnsi="Times New Roman"/>
        </w:rPr>
        <w:t xml:space="preserve"> </w:t>
      </w:r>
      <w:r w:rsidR="004D3D0B" w:rsidRPr="004963EE">
        <w:rPr>
          <w:rFonts w:ascii="Times New Roman" w:hAnsi="Times New Roman"/>
        </w:rPr>
        <w:t>and "the matters he proposes to take into account"</w:t>
      </w:r>
      <w:r w:rsidR="00814454" w:rsidRPr="004963EE">
        <w:rPr>
          <w:rFonts w:ascii="Times New Roman" w:hAnsi="Times New Roman"/>
        </w:rPr>
        <w:t>.</w:t>
      </w:r>
      <w:r w:rsidR="004D3D0B" w:rsidRPr="004963EE">
        <w:rPr>
          <w:rStyle w:val="FootnoteReference"/>
          <w:rFonts w:ascii="Times New Roman" w:hAnsi="Times New Roman"/>
          <w:sz w:val="24"/>
        </w:rPr>
        <w:footnoteReference w:id="21"/>
      </w:r>
      <w:r w:rsidR="00C81101" w:rsidRPr="004963EE">
        <w:rPr>
          <w:rFonts w:ascii="Times New Roman" w:hAnsi="Times New Roman"/>
        </w:rPr>
        <w:t xml:space="preserve"> </w:t>
      </w:r>
      <w:r w:rsidR="00BB6BD2" w:rsidRPr="004963EE">
        <w:rPr>
          <w:rFonts w:ascii="Times New Roman" w:hAnsi="Times New Roman"/>
        </w:rPr>
        <w:t>Brennan</w:t>
      </w:r>
      <w:r w:rsidR="00F241F6" w:rsidRPr="004963EE">
        <w:rPr>
          <w:rFonts w:ascii="Times New Roman" w:hAnsi="Times New Roman"/>
        </w:rPr>
        <w:t xml:space="preserve"> J </w:t>
      </w:r>
      <w:r w:rsidR="00BB6BD2" w:rsidRPr="004963EE">
        <w:rPr>
          <w:rFonts w:ascii="Times New Roman" w:hAnsi="Times New Roman"/>
        </w:rPr>
        <w:t>wrote:</w:t>
      </w:r>
      <w:r w:rsidR="00DA360C" w:rsidRPr="004963EE">
        <w:rPr>
          <w:rStyle w:val="FootnoteReference"/>
          <w:rFonts w:ascii="Times New Roman" w:hAnsi="Times New Roman"/>
          <w:sz w:val="24"/>
        </w:rPr>
        <w:footnoteReference w:id="22"/>
      </w:r>
      <w:r w:rsidR="0005383E" w:rsidRPr="004963EE">
        <w:rPr>
          <w:rFonts w:ascii="Times New Roman" w:hAnsi="Times New Roman"/>
        </w:rPr>
        <w:t xml:space="preserve"> </w:t>
      </w:r>
    </w:p>
    <w:p w14:paraId="3DA2732A" w14:textId="77777777" w:rsidR="004963EE" w:rsidRDefault="00DA360C" w:rsidP="004963EE">
      <w:pPr>
        <w:pStyle w:val="LRIndentafterHC"/>
        <w:spacing w:before="0" w:after="260" w:line="280" w:lineRule="exact"/>
        <w:ind w:right="0"/>
        <w:jc w:val="both"/>
        <w:rPr>
          <w:rFonts w:ascii="Times New Roman" w:hAnsi="Times New Roman"/>
        </w:rPr>
      </w:pPr>
      <w:r w:rsidRPr="004963EE">
        <w:rPr>
          <w:rFonts w:ascii="Times New Roman" w:hAnsi="Times New Roman"/>
        </w:rPr>
        <w:t xml:space="preserve">"A person whose interests are likely to be affected by an exercise of power must be given an opportunity to deal with relevant matters adverse to his interests which the repository of the power </w:t>
      </w:r>
      <w:r w:rsidRPr="004963EE">
        <w:rPr>
          <w:rFonts w:ascii="Times New Roman" w:hAnsi="Times New Roman"/>
          <w:i/>
          <w:iCs/>
        </w:rPr>
        <w:t>proposes to take into account in deciding upon its exercise</w:t>
      </w:r>
      <w:r w:rsidRPr="004963EE">
        <w:rPr>
          <w:rFonts w:ascii="Times New Roman" w:hAnsi="Times New Roman"/>
        </w:rPr>
        <w:t>."</w:t>
      </w:r>
    </w:p>
    <w:p w14:paraId="4E9116AB" w14:textId="6ABF07FD" w:rsidR="00BB6BD2" w:rsidRPr="004963EE" w:rsidRDefault="00793D45"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6C205E" w:rsidRPr="004963EE">
        <w:rPr>
          <w:rFonts w:ascii="Times New Roman" w:hAnsi="Times New Roman"/>
        </w:rPr>
        <w:t xml:space="preserve">The proposition that the content of a broad power may be </w:t>
      </w:r>
      <w:r w:rsidR="00EC1F02" w:rsidRPr="004963EE">
        <w:rPr>
          <w:rFonts w:ascii="Times New Roman" w:hAnsi="Times New Roman"/>
        </w:rPr>
        <w:t>permissibly</w:t>
      </w:r>
      <w:r w:rsidR="006C205E" w:rsidRPr="004963EE">
        <w:rPr>
          <w:rFonts w:ascii="Times New Roman" w:hAnsi="Times New Roman"/>
        </w:rPr>
        <w:t xml:space="preserve"> exercised in such a way</w:t>
      </w:r>
      <w:r w:rsidR="00EC1F02" w:rsidRPr="004963EE">
        <w:rPr>
          <w:rFonts w:ascii="Times New Roman" w:hAnsi="Times New Roman"/>
        </w:rPr>
        <w:t xml:space="preserve"> </w:t>
      </w:r>
      <w:proofErr w:type="gramStart"/>
      <w:r w:rsidR="00EC1F02" w:rsidRPr="004963EE">
        <w:rPr>
          <w:rFonts w:ascii="Times New Roman" w:hAnsi="Times New Roman"/>
        </w:rPr>
        <w:t>so</w:t>
      </w:r>
      <w:r w:rsidR="006C205E" w:rsidRPr="004963EE">
        <w:rPr>
          <w:rFonts w:ascii="Times New Roman" w:hAnsi="Times New Roman"/>
        </w:rPr>
        <w:t xml:space="preserve"> as to</w:t>
      </w:r>
      <w:proofErr w:type="gramEnd"/>
      <w:r w:rsidR="006C205E" w:rsidRPr="004963EE">
        <w:rPr>
          <w:rFonts w:ascii="Times New Roman" w:hAnsi="Times New Roman"/>
        </w:rPr>
        <w:t xml:space="preserve"> deny </w:t>
      </w:r>
      <w:r w:rsidR="00EC1F02" w:rsidRPr="004963EE">
        <w:rPr>
          <w:rFonts w:ascii="Times New Roman" w:hAnsi="Times New Roman"/>
        </w:rPr>
        <w:t>the</w:t>
      </w:r>
      <w:r w:rsidR="006C205E" w:rsidRPr="004963EE">
        <w:rPr>
          <w:rFonts w:ascii="Times New Roman" w:hAnsi="Times New Roman"/>
        </w:rPr>
        <w:t xml:space="preserve"> need </w:t>
      </w:r>
      <w:r w:rsidR="00EC1F02" w:rsidRPr="004963EE">
        <w:rPr>
          <w:rFonts w:ascii="Times New Roman" w:hAnsi="Times New Roman"/>
        </w:rPr>
        <w:t xml:space="preserve">for any </w:t>
      </w:r>
      <w:r w:rsidR="00B2257E" w:rsidRPr="004963EE">
        <w:rPr>
          <w:rFonts w:ascii="Times New Roman" w:hAnsi="Times New Roman"/>
        </w:rPr>
        <w:t xml:space="preserve">prior </w:t>
      </w:r>
      <w:r w:rsidR="00EC1F02" w:rsidRPr="004963EE">
        <w:rPr>
          <w:rFonts w:ascii="Times New Roman" w:hAnsi="Times New Roman"/>
        </w:rPr>
        <w:t xml:space="preserve">consultation with those individuals </w:t>
      </w:r>
      <w:r w:rsidR="00B2257E" w:rsidRPr="004963EE">
        <w:rPr>
          <w:rFonts w:ascii="Times New Roman" w:hAnsi="Times New Roman"/>
        </w:rPr>
        <w:t>impacted</w:t>
      </w:r>
      <w:r w:rsidR="00B2298F" w:rsidRPr="004963EE">
        <w:rPr>
          <w:rFonts w:ascii="Times New Roman" w:hAnsi="Times New Roman"/>
        </w:rPr>
        <w:t xml:space="preserve"> by it</w:t>
      </w:r>
      <w:r w:rsidR="00B2257E" w:rsidRPr="004963EE">
        <w:rPr>
          <w:rFonts w:ascii="Times New Roman" w:hAnsi="Times New Roman"/>
        </w:rPr>
        <w:t xml:space="preserve"> was also said to be supported by </w:t>
      </w:r>
      <w:r w:rsidR="000C5930" w:rsidRPr="004963EE">
        <w:rPr>
          <w:rFonts w:ascii="Times New Roman" w:hAnsi="Times New Roman"/>
        </w:rPr>
        <w:t xml:space="preserve">the following </w:t>
      </w:r>
      <w:r w:rsidR="00B2257E" w:rsidRPr="004963EE">
        <w:rPr>
          <w:rFonts w:ascii="Times New Roman" w:hAnsi="Times New Roman"/>
        </w:rPr>
        <w:t>passage from the reasoning of Brennan</w:t>
      </w:r>
      <w:r w:rsidR="003713E2" w:rsidRPr="004963EE">
        <w:rPr>
          <w:rFonts w:ascii="Times New Roman" w:hAnsi="Times New Roman"/>
        </w:rPr>
        <w:t> </w:t>
      </w:r>
      <w:r w:rsidR="00B2257E" w:rsidRPr="004963EE">
        <w:rPr>
          <w:rFonts w:ascii="Times New Roman" w:hAnsi="Times New Roman"/>
        </w:rPr>
        <w:t>J</w:t>
      </w:r>
      <w:r w:rsidR="003713E2" w:rsidRPr="004963EE">
        <w:rPr>
          <w:rFonts w:ascii="Times New Roman" w:hAnsi="Times New Roman"/>
        </w:rPr>
        <w:t xml:space="preserve"> in </w:t>
      </w:r>
      <w:r w:rsidR="003713E2" w:rsidRPr="004963EE">
        <w:rPr>
          <w:rFonts w:ascii="Times New Roman" w:hAnsi="Times New Roman"/>
          <w:i/>
        </w:rPr>
        <w:t>Kioa</w:t>
      </w:r>
      <w:r w:rsidR="00B2257E" w:rsidRPr="004963EE">
        <w:rPr>
          <w:rFonts w:ascii="Times New Roman" w:hAnsi="Times New Roman"/>
        </w:rPr>
        <w:t>:</w:t>
      </w:r>
      <w:r w:rsidR="00856358" w:rsidRPr="004963EE">
        <w:rPr>
          <w:rStyle w:val="FootnoteReference"/>
          <w:rFonts w:ascii="Times New Roman" w:hAnsi="Times New Roman"/>
          <w:sz w:val="24"/>
        </w:rPr>
        <w:footnoteReference w:id="23"/>
      </w:r>
      <w:r w:rsidR="00784111" w:rsidRPr="004963EE">
        <w:rPr>
          <w:rFonts w:ascii="Times New Roman" w:hAnsi="Times New Roman"/>
        </w:rPr>
        <w:t xml:space="preserve"> </w:t>
      </w:r>
    </w:p>
    <w:p w14:paraId="23CD9B0F" w14:textId="77777777" w:rsidR="004963EE" w:rsidRDefault="00856358" w:rsidP="004963EE">
      <w:pPr>
        <w:pStyle w:val="LRIndentafterHC"/>
        <w:spacing w:before="0" w:after="260" w:line="280" w:lineRule="exact"/>
        <w:ind w:right="0"/>
        <w:jc w:val="both"/>
        <w:rPr>
          <w:rFonts w:ascii="Times New Roman" w:hAnsi="Times New Roman"/>
        </w:rPr>
      </w:pPr>
      <w:r w:rsidRPr="004963EE">
        <w:rPr>
          <w:rFonts w:ascii="Times New Roman" w:hAnsi="Times New Roman"/>
        </w:rPr>
        <w:t xml:space="preserve">"It does not follow that the principles of natural justice require the repository of a power to give a hearing to an individual whose interests are likely to be affected by the contemplated exercise of the power in cases where the repository is not bound and does not propose to have regard to those interests in exercising the power. If the repository of the power were authorized to exercise the power in his absolute discretion without taking account of individual interests and he proposed so to exercise the power, </w:t>
      </w:r>
      <w:r w:rsidRPr="004963EE">
        <w:rPr>
          <w:rFonts w:ascii="Times New Roman" w:hAnsi="Times New Roman"/>
        </w:rPr>
        <w:lastRenderedPageBreak/>
        <w:t>the repository might exercise it without hearing the individuals whose interests are likely to be affected."</w:t>
      </w:r>
    </w:p>
    <w:p w14:paraId="79E5ADF5" w14:textId="5716E149" w:rsidR="00372B09" w:rsidRPr="004963EE" w:rsidRDefault="00E76BC9" w:rsidP="004963EE">
      <w:pPr>
        <w:pStyle w:val="FixListStyle"/>
        <w:spacing w:after="260" w:line="280" w:lineRule="exact"/>
        <w:ind w:right="0"/>
        <w:jc w:val="both"/>
        <w:rPr>
          <w:rFonts w:ascii="Times New Roman" w:hAnsi="Times New Roman"/>
        </w:rPr>
      </w:pPr>
      <w:r w:rsidRPr="004963EE">
        <w:rPr>
          <w:rFonts w:ascii="Times New Roman" w:hAnsi="Times New Roman"/>
        </w:rPr>
        <w:tab/>
        <w:t>The foregoing was said to be consistent with the reasoning of Brennan</w:t>
      </w:r>
      <w:r w:rsidR="00F241F6" w:rsidRPr="004963EE">
        <w:rPr>
          <w:rFonts w:ascii="Times New Roman" w:hAnsi="Times New Roman"/>
        </w:rPr>
        <w:t xml:space="preserve"> J </w:t>
      </w:r>
      <w:r w:rsidRPr="004963EE">
        <w:rPr>
          <w:rFonts w:ascii="Times New Roman" w:hAnsi="Times New Roman"/>
        </w:rPr>
        <w:t xml:space="preserve">in </w:t>
      </w:r>
      <w:r w:rsidR="00BD6436" w:rsidRPr="004963EE">
        <w:rPr>
          <w:rFonts w:ascii="Times New Roman" w:hAnsi="Times New Roman"/>
          <w:i/>
          <w:iCs/>
        </w:rPr>
        <w:t xml:space="preserve">South Australia v </w:t>
      </w:r>
      <w:r w:rsidRPr="004963EE">
        <w:rPr>
          <w:rFonts w:ascii="Times New Roman" w:hAnsi="Times New Roman"/>
          <w:i/>
          <w:iCs/>
        </w:rPr>
        <w:t>O'Shea</w:t>
      </w:r>
      <w:r w:rsidR="00DB4779" w:rsidRPr="004963EE">
        <w:rPr>
          <w:rFonts w:ascii="Times New Roman" w:hAnsi="Times New Roman"/>
        </w:rPr>
        <w:t>,</w:t>
      </w:r>
      <w:r w:rsidR="00136CCA" w:rsidRPr="004963EE">
        <w:rPr>
          <w:rFonts w:ascii="Times New Roman" w:hAnsi="Times New Roman"/>
        </w:rPr>
        <w:t xml:space="preserve"> where his Honour sai</w:t>
      </w:r>
      <w:r w:rsidR="00372B09" w:rsidRPr="004963EE">
        <w:rPr>
          <w:rFonts w:ascii="Times New Roman" w:hAnsi="Times New Roman"/>
        </w:rPr>
        <w:t>d:</w:t>
      </w:r>
      <w:r w:rsidR="00025939" w:rsidRPr="004963EE">
        <w:rPr>
          <w:rStyle w:val="FootnoteReference"/>
          <w:rFonts w:ascii="Times New Roman" w:hAnsi="Times New Roman"/>
          <w:sz w:val="24"/>
        </w:rPr>
        <w:footnoteReference w:id="24"/>
      </w:r>
      <w:r w:rsidR="00DB4779" w:rsidRPr="004963EE">
        <w:rPr>
          <w:rFonts w:ascii="Times New Roman" w:hAnsi="Times New Roman"/>
        </w:rPr>
        <w:t xml:space="preserve"> </w:t>
      </w:r>
    </w:p>
    <w:p w14:paraId="737477BD" w14:textId="77777777" w:rsidR="004963EE" w:rsidRDefault="00E53D1F" w:rsidP="004963EE">
      <w:pPr>
        <w:pStyle w:val="LeftrightafterHC"/>
        <w:spacing w:before="0" w:after="260" w:line="280" w:lineRule="exact"/>
        <w:ind w:right="0"/>
        <w:jc w:val="both"/>
        <w:rPr>
          <w:rFonts w:ascii="Times New Roman" w:hAnsi="Times New Roman"/>
        </w:rPr>
      </w:pPr>
      <w:r w:rsidRPr="004963EE">
        <w:rPr>
          <w:rFonts w:ascii="Times New Roman" w:hAnsi="Times New Roman"/>
        </w:rPr>
        <w:t>"...</w:t>
      </w:r>
      <w:r w:rsidR="00DB4779" w:rsidRPr="004963EE">
        <w:rPr>
          <w:rFonts w:ascii="Times New Roman" w:hAnsi="Times New Roman"/>
        </w:rPr>
        <w:t xml:space="preserve"> </w:t>
      </w:r>
      <w:r w:rsidR="00025939" w:rsidRPr="004963EE">
        <w:rPr>
          <w:rFonts w:ascii="Times New Roman" w:hAnsi="Times New Roman"/>
        </w:rPr>
        <w:t xml:space="preserve">the Minister is not bound to hear an individual before formulating or applying a general policy or exercising a discretion in the particular case by reference to the interests of the general public, even when the decision affects the individual's interests. When we reach the area of ministerial policy giving effect to the </w:t>
      </w:r>
      <w:proofErr w:type="gramStart"/>
      <w:r w:rsidR="00025939" w:rsidRPr="004963EE">
        <w:rPr>
          <w:rFonts w:ascii="Times New Roman" w:hAnsi="Times New Roman"/>
        </w:rPr>
        <w:t>general public</w:t>
      </w:r>
      <w:proofErr w:type="gramEnd"/>
      <w:r w:rsidR="00025939" w:rsidRPr="004963EE">
        <w:rPr>
          <w:rFonts w:ascii="Times New Roman" w:hAnsi="Times New Roman"/>
        </w:rPr>
        <w:t xml:space="preserve"> interest, we enter the political field. In that field a Minister or a Cabinet may determine general policy or the interests of the general public free of procedural constraints; he </w:t>
      </w:r>
      <w:proofErr w:type="gramStart"/>
      <w:r w:rsidR="00025939" w:rsidRPr="004963EE">
        <w:rPr>
          <w:rFonts w:ascii="Times New Roman" w:hAnsi="Times New Roman"/>
        </w:rPr>
        <w:t>is</w:t>
      </w:r>
      <w:proofErr w:type="gramEnd"/>
      <w:r w:rsidR="00025939" w:rsidRPr="004963EE">
        <w:rPr>
          <w:rFonts w:ascii="Times New Roman" w:hAnsi="Times New Roman"/>
        </w:rPr>
        <w:t xml:space="preserve"> or they are confined only by the limits otherwise expressed or implied by statute.</w:t>
      </w:r>
      <w:r w:rsidRPr="004963EE">
        <w:rPr>
          <w:rFonts w:ascii="Times New Roman" w:hAnsi="Times New Roman"/>
        </w:rPr>
        <w:t>"</w:t>
      </w:r>
    </w:p>
    <w:p w14:paraId="0A09A265" w14:textId="64177871" w:rsidR="00E53D1F" w:rsidRPr="004963EE" w:rsidRDefault="00966245"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The making of the </w:t>
      </w:r>
      <w:r w:rsidR="00814336" w:rsidRPr="004963EE">
        <w:rPr>
          <w:rFonts w:ascii="Times New Roman" w:hAnsi="Times New Roman"/>
        </w:rPr>
        <w:t>D</w:t>
      </w:r>
      <w:r w:rsidRPr="004963EE">
        <w:rPr>
          <w:rFonts w:ascii="Times New Roman" w:hAnsi="Times New Roman"/>
        </w:rPr>
        <w:t xml:space="preserve">eterminations, the </w:t>
      </w:r>
      <w:r w:rsidR="00B5095B" w:rsidRPr="004963EE">
        <w:rPr>
          <w:rFonts w:ascii="Times New Roman" w:hAnsi="Times New Roman"/>
        </w:rPr>
        <w:t>respondents</w:t>
      </w:r>
      <w:r w:rsidRPr="004963EE">
        <w:rPr>
          <w:rFonts w:ascii="Times New Roman" w:hAnsi="Times New Roman"/>
        </w:rPr>
        <w:t xml:space="preserve"> submitted, reflected a </w:t>
      </w:r>
      <w:r w:rsidR="00B549BC" w:rsidRPr="004963EE">
        <w:rPr>
          <w:rFonts w:ascii="Times New Roman" w:hAnsi="Times New Roman"/>
        </w:rPr>
        <w:t xml:space="preserve">decision by Cabinet </w:t>
      </w:r>
      <w:r w:rsidR="006446CC" w:rsidRPr="004963EE">
        <w:rPr>
          <w:rFonts w:ascii="Times New Roman" w:hAnsi="Times New Roman"/>
        </w:rPr>
        <w:t>to adopt a pricing model based upon flat rates per bedroom</w:t>
      </w:r>
      <w:r w:rsidR="00EC5EBD" w:rsidRPr="004963EE">
        <w:rPr>
          <w:rFonts w:ascii="Times New Roman" w:hAnsi="Times New Roman"/>
        </w:rPr>
        <w:t>.</w:t>
      </w:r>
      <w:r w:rsidR="00C81101" w:rsidRPr="004963EE">
        <w:rPr>
          <w:rFonts w:ascii="Times New Roman" w:hAnsi="Times New Roman"/>
        </w:rPr>
        <w:t xml:space="preserve"> </w:t>
      </w:r>
      <w:r w:rsidR="00EC5EBD" w:rsidRPr="004963EE">
        <w:rPr>
          <w:rFonts w:ascii="Times New Roman" w:hAnsi="Times New Roman"/>
        </w:rPr>
        <w:t>That decision was squarely within "the political field"</w:t>
      </w:r>
      <w:r w:rsidR="00E57F39" w:rsidRPr="004963EE">
        <w:rPr>
          <w:rFonts w:ascii="Times New Roman" w:hAnsi="Times New Roman"/>
        </w:rPr>
        <w:t xml:space="preserve"> and</w:t>
      </w:r>
      <w:r w:rsidR="00AE5246" w:rsidRPr="004963EE">
        <w:rPr>
          <w:rFonts w:ascii="Times New Roman" w:hAnsi="Times New Roman"/>
        </w:rPr>
        <w:t>, it was argued,</w:t>
      </w:r>
      <w:r w:rsidR="003D1DEA" w:rsidRPr="004963EE">
        <w:rPr>
          <w:rFonts w:ascii="Times New Roman" w:hAnsi="Times New Roman"/>
        </w:rPr>
        <w:t xml:space="preserve"> one which intentionally excluded the </w:t>
      </w:r>
      <w:proofErr w:type="gramStart"/>
      <w:r w:rsidR="003D1DEA" w:rsidRPr="004963EE">
        <w:rPr>
          <w:rFonts w:ascii="Times New Roman" w:hAnsi="Times New Roman"/>
        </w:rPr>
        <w:t>particular circumstances</w:t>
      </w:r>
      <w:proofErr w:type="gramEnd"/>
      <w:r w:rsidR="003D1DEA" w:rsidRPr="004963EE">
        <w:rPr>
          <w:rFonts w:ascii="Times New Roman" w:hAnsi="Times New Roman"/>
        </w:rPr>
        <w:t xml:space="preserve"> of a</w:t>
      </w:r>
      <w:r w:rsidR="007C4553" w:rsidRPr="004963EE">
        <w:rPr>
          <w:rFonts w:ascii="Times New Roman" w:hAnsi="Times New Roman"/>
        </w:rPr>
        <w:t>ny</w:t>
      </w:r>
      <w:r w:rsidR="003D1DEA" w:rsidRPr="004963EE">
        <w:rPr>
          <w:rFonts w:ascii="Times New Roman" w:hAnsi="Times New Roman"/>
        </w:rPr>
        <w:t xml:space="preserve"> given tenant</w:t>
      </w:r>
      <w:r w:rsidR="00EB2CA1" w:rsidRPr="004963EE">
        <w:rPr>
          <w:rFonts w:ascii="Times New Roman" w:hAnsi="Times New Roman"/>
        </w:rPr>
        <w:t xml:space="preserve"> and reflected an outcome in which it was </w:t>
      </w:r>
      <w:r w:rsidR="001D3480" w:rsidRPr="004963EE">
        <w:rPr>
          <w:rFonts w:ascii="Times New Roman" w:hAnsi="Times New Roman"/>
        </w:rPr>
        <w:t>not propose</w:t>
      </w:r>
      <w:r w:rsidR="00EB2CA1" w:rsidRPr="004963EE">
        <w:rPr>
          <w:rFonts w:ascii="Times New Roman" w:hAnsi="Times New Roman"/>
        </w:rPr>
        <w:t>d</w:t>
      </w:r>
      <w:r w:rsidR="001D3480" w:rsidRPr="004963EE">
        <w:rPr>
          <w:rFonts w:ascii="Times New Roman" w:hAnsi="Times New Roman"/>
        </w:rPr>
        <w:t xml:space="preserve"> to consider </w:t>
      </w:r>
      <w:r w:rsidR="009C029F" w:rsidRPr="004963EE">
        <w:rPr>
          <w:rFonts w:ascii="Times New Roman" w:hAnsi="Times New Roman"/>
        </w:rPr>
        <w:t>any such</w:t>
      </w:r>
      <w:r w:rsidR="001D3480" w:rsidRPr="004963EE">
        <w:rPr>
          <w:rFonts w:ascii="Times New Roman" w:hAnsi="Times New Roman"/>
        </w:rPr>
        <w:t xml:space="preserve"> specific</w:t>
      </w:r>
      <w:r w:rsidR="00EB2CA1" w:rsidRPr="004963EE">
        <w:rPr>
          <w:rFonts w:ascii="Times New Roman" w:hAnsi="Times New Roman"/>
        </w:rPr>
        <w:t xml:space="preserve"> circumstances.</w:t>
      </w:r>
      <w:r w:rsidR="00C81101" w:rsidRPr="004963EE">
        <w:rPr>
          <w:rFonts w:ascii="Times New Roman" w:hAnsi="Times New Roman"/>
        </w:rPr>
        <w:t xml:space="preserve"> </w:t>
      </w:r>
      <w:r w:rsidR="000C53AA" w:rsidRPr="004963EE">
        <w:rPr>
          <w:rFonts w:ascii="Times New Roman" w:hAnsi="Times New Roman"/>
        </w:rPr>
        <w:t xml:space="preserve">Adoption of a reasonable procedure thus </w:t>
      </w:r>
      <w:r w:rsidR="00531F01" w:rsidRPr="004963EE">
        <w:rPr>
          <w:rFonts w:ascii="Times New Roman" w:hAnsi="Times New Roman"/>
        </w:rPr>
        <w:t>was submitted</w:t>
      </w:r>
      <w:r w:rsidR="000C53AA" w:rsidRPr="004963EE">
        <w:rPr>
          <w:rFonts w:ascii="Times New Roman" w:hAnsi="Times New Roman"/>
        </w:rPr>
        <w:t xml:space="preserve"> not</w:t>
      </w:r>
      <w:r w:rsidR="00531F01" w:rsidRPr="004963EE">
        <w:rPr>
          <w:rFonts w:ascii="Times New Roman" w:hAnsi="Times New Roman"/>
        </w:rPr>
        <w:t xml:space="preserve"> to</w:t>
      </w:r>
      <w:r w:rsidR="000C53AA" w:rsidRPr="004963EE">
        <w:rPr>
          <w:rFonts w:ascii="Times New Roman" w:hAnsi="Times New Roman"/>
        </w:rPr>
        <w:t xml:space="preserve"> include prior consultation.</w:t>
      </w:r>
      <w:r w:rsidR="001F7336" w:rsidRPr="004963EE">
        <w:rPr>
          <w:rFonts w:ascii="Times New Roman" w:hAnsi="Times New Roman"/>
        </w:rPr>
        <w:t xml:space="preserve"> </w:t>
      </w:r>
    </w:p>
    <w:p w14:paraId="691884FA" w14:textId="3F3B4DE3" w:rsidR="003F02D9" w:rsidRPr="004963EE" w:rsidRDefault="003F02D9"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0D1A5E" w:rsidRPr="004963EE">
        <w:rPr>
          <w:rFonts w:ascii="Times New Roman" w:hAnsi="Times New Roman"/>
        </w:rPr>
        <w:t>In that respect</w:t>
      </w:r>
      <w:r w:rsidR="00623C58" w:rsidRPr="004963EE">
        <w:rPr>
          <w:rFonts w:ascii="Times New Roman" w:hAnsi="Times New Roman"/>
        </w:rPr>
        <w:t>,</w:t>
      </w:r>
      <w:r w:rsidR="000D1A5E" w:rsidRPr="004963EE">
        <w:rPr>
          <w:rFonts w:ascii="Times New Roman" w:hAnsi="Times New Roman"/>
        </w:rPr>
        <w:t xml:space="preserve"> the </w:t>
      </w:r>
      <w:r w:rsidR="00B5095B" w:rsidRPr="004963EE">
        <w:rPr>
          <w:rFonts w:ascii="Times New Roman" w:hAnsi="Times New Roman"/>
        </w:rPr>
        <w:t>respondents</w:t>
      </w:r>
      <w:r w:rsidR="000D1A5E" w:rsidRPr="004963EE">
        <w:rPr>
          <w:rFonts w:ascii="Times New Roman" w:hAnsi="Times New Roman"/>
        </w:rPr>
        <w:t xml:space="preserve"> also relied upon a distinction, sometimes drawn, between an exercise of power which affects </w:t>
      </w:r>
      <w:r w:rsidR="00596DAC" w:rsidRPr="004963EE">
        <w:rPr>
          <w:rFonts w:ascii="Times New Roman" w:hAnsi="Times New Roman"/>
        </w:rPr>
        <w:t xml:space="preserve">an individual or individuals as against one which </w:t>
      </w:r>
      <w:r w:rsidR="00BE0D55" w:rsidRPr="004963EE">
        <w:rPr>
          <w:rFonts w:ascii="Times New Roman" w:hAnsi="Times New Roman"/>
        </w:rPr>
        <w:t>affects the</w:t>
      </w:r>
      <w:r w:rsidR="006E55C5" w:rsidRPr="004963EE">
        <w:rPr>
          <w:rFonts w:ascii="Times New Roman" w:hAnsi="Times New Roman"/>
        </w:rPr>
        <w:t xml:space="preserve"> community</w:t>
      </w:r>
      <w:r w:rsidR="00BE0D55" w:rsidRPr="004963EE">
        <w:rPr>
          <w:rFonts w:ascii="Times New Roman" w:hAnsi="Times New Roman"/>
        </w:rPr>
        <w:t xml:space="preserve"> </w:t>
      </w:r>
      <w:r w:rsidR="005B16A0" w:rsidRPr="004963EE">
        <w:rPr>
          <w:rFonts w:ascii="Times New Roman" w:hAnsi="Times New Roman"/>
        </w:rPr>
        <w:t xml:space="preserve">or a section of the </w:t>
      </w:r>
      <w:r w:rsidR="00BE0D55" w:rsidRPr="004963EE">
        <w:rPr>
          <w:rFonts w:ascii="Times New Roman" w:hAnsi="Times New Roman"/>
        </w:rPr>
        <w:t>community at large.</w:t>
      </w:r>
      <w:r w:rsidR="00BF4A0B" w:rsidRPr="004963EE">
        <w:rPr>
          <w:rStyle w:val="FootnoteReference"/>
          <w:rFonts w:ascii="Times New Roman" w:hAnsi="Times New Roman"/>
          <w:sz w:val="24"/>
        </w:rPr>
        <w:footnoteReference w:id="25"/>
      </w:r>
      <w:r w:rsidR="00E54062" w:rsidRPr="004963EE">
        <w:rPr>
          <w:rFonts w:ascii="Times New Roman" w:hAnsi="Times New Roman"/>
        </w:rPr>
        <w:t xml:space="preserve"> </w:t>
      </w:r>
      <w:r w:rsidR="00AB6557" w:rsidRPr="004963EE">
        <w:rPr>
          <w:rFonts w:ascii="Times New Roman" w:hAnsi="Times New Roman"/>
        </w:rPr>
        <w:t>In the lat</w:t>
      </w:r>
      <w:r w:rsidR="007E5A1C" w:rsidRPr="004963EE">
        <w:rPr>
          <w:rFonts w:ascii="Times New Roman" w:hAnsi="Times New Roman"/>
        </w:rPr>
        <w:t>t</w:t>
      </w:r>
      <w:r w:rsidR="00AB6557" w:rsidRPr="004963EE">
        <w:rPr>
          <w:rFonts w:ascii="Times New Roman" w:hAnsi="Times New Roman"/>
        </w:rPr>
        <w:t xml:space="preserve">er case, </w:t>
      </w:r>
      <w:r w:rsidR="00806B31" w:rsidRPr="004963EE">
        <w:rPr>
          <w:rFonts w:ascii="Times New Roman" w:hAnsi="Times New Roman"/>
        </w:rPr>
        <w:t xml:space="preserve">no duty </w:t>
      </w:r>
      <w:r w:rsidR="007546FA" w:rsidRPr="004963EE">
        <w:rPr>
          <w:rFonts w:ascii="Times New Roman" w:hAnsi="Times New Roman"/>
        </w:rPr>
        <w:t>of</w:t>
      </w:r>
      <w:r w:rsidR="00806B31" w:rsidRPr="004963EE">
        <w:rPr>
          <w:rFonts w:ascii="Times New Roman" w:hAnsi="Times New Roman"/>
        </w:rPr>
        <w:t xml:space="preserve"> procedural fairness may be owed, or the content of that duty may be minimal.</w:t>
      </w:r>
      <w:r w:rsidR="007813AC" w:rsidRPr="004963EE">
        <w:rPr>
          <w:rFonts w:ascii="Times New Roman" w:hAnsi="Times New Roman"/>
        </w:rPr>
        <w:t xml:space="preserve"> Thus, in </w:t>
      </w:r>
      <w:r w:rsidR="007813AC" w:rsidRPr="004963EE">
        <w:rPr>
          <w:rFonts w:ascii="Times New Roman" w:hAnsi="Times New Roman"/>
          <w:i/>
          <w:iCs/>
        </w:rPr>
        <w:t>Comptroller</w:t>
      </w:r>
      <w:r w:rsidR="00CC60D2" w:rsidRPr="004963EE">
        <w:rPr>
          <w:rFonts w:ascii="Times New Roman" w:hAnsi="Times New Roman"/>
          <w:i/>
          <w:iCs/>
        </w:rPr>
        <w:t>-General of Customs v Kawasaki Motors</w:t>
      </w:r>
      <w:r w:rsidR="005B2C35" w:rsidRPr="004963EE">
        <w:rPr>
          <w:rFonts w:ascii="Times New Roman" w:hAnsi="Times New Roman"/>
          <w:i/>
          <w:iCs/>
        </w:rPr>
        <w:t xml:space="preserve"> Pty Ltd (No</w:t>
      </w:r>
      <w:r w:rsidR="00E54062" w:rsidRPr="004963EE">
        <w:rPr>
          <w:rFonts w:ascii="Times New Roman" w:hAnsi="Times New Roman"/>
          <w:i/>
          <w:iCs/>
        </w:rPr>
        <w:t> </w:t>
      </w:r>
      <w:r w:rsidR="005B2C35" w:rsidRPr="004963EE">
        <w:rPr>
          <w:rFonts w:ascii="Times New Roman" w:hAnsi="Times New Roman"/>
          <w:i/>
          <w:iCs/>
        </w:rPr>
        <w:t>1)</w:t>
      </w:r>
      <w:r w:rsidR="006764D2" w:rsidRPr="004963EE">
        <w:rPr>
          <w:rFonts w:ascii="Times New Roman" w:hAnsi="Times New Roman"/>
        </w:rPr>
        <w:t>,</w:t>
      </w:r>
      <w:r w:rsidR="00B2094E" w:rsidRPr="004963EE">
        <w:rPr>
          <w:rStyle w:val="FootnoteReference"/>
          <w:rFonts w:ascii="Times New Roman" w:hAnsi="Times New Roman"/>
          <w:sz w:val="24"/>
        </w:rPr>
        <w:footnoteReference w:id="26"/>
      </w:r>
      <w:r w:rsidR="005B2C35" w:rsidRPr="004963EE">
        <w:rPr>
          <w:rFonts w:ascii="Times New Roman" w:hAnsi="Times New Roman"/>
        </w:rPr>
        <w:t xml:space="preserve"> a challenge was made to a decision to revoke a </w:t>
      </w:r>
      <w:r w:rsidR="004E55E4" w:rsidRPr="004963EE">
        <w:rPr>
          <w:rFonts w:ascii="Times New Roman" w:hAnsi="Times New Roman"/>
        </w:rPr>
        <w:t xml:space="preserve">certain </w:t>
      </w:r>
      <w:r w:rsidR="005B2C35" w:rsidRPr="004963EE">
        <w:rPr>
          <w:rFonts w:ascii="Times New Roman" w:hAnsi="Times New Roman"/>
        </w:rPr>
        <w:t>commercial tar</w:t>
      </w:r>
      <w:r w:rsidR="004E55E4" w:rsidRPr="004963EE">
        <w:rPr>
          <w:rFonts w:ascii="Times New Roman" w:hAnsi="Times New Roman"/>
        </w:rPr>
        <w:t>iff concession order</w:t>
      </w:r>
      <w:r w:rsidR="001D3885" w:rsidRPr="004963EE">
        <w:rPr>
          <w:rFonts w:ascii="Times New Roman" w:hAnsi="Times New Roman"/>
        </w:rPr>
        <w:t xml:space="preserve"> ("TCO")</w:t>
      </w:r>
      <w:r w:rsidR="004E55E4" w:rsidRPr="004963EE">
        <w:rPr>
          <w:rFonts w:ascii="Times New Roman" w:hAnsi="Times New Roman"/>
        </w:rPr>
        <w:t>.</w:t>
      </w:r>
      <w:r w:rsidR="00C81101" w:rsidRPr="004963EE">
        <w:rPr>
          <w:rFonts w:ascii="Times New Roman" w:hAnsi="Times New Roman"/>
        </w:rPr>
        <w:t xml:space="preserve"> </w:t>
      </w:r>
      <w:r w:rsidR="004E55E4" w:rsidRPr="004963EE">
        <w:rPr>
          <w:rFonts w:ascii="Times New Roman" w:hAnsi="Times New Roman"/>
        </w:rPr>
        <w:t>Kawasaki, commercially impacted by this decision as an importer, contended that</w:t>
      </w:r>
      <w:r w:rsidR="002D72B4" w:rsidRPr="004963EE">
        <w:rPr>
          <w:rFonts w:ascii="Times New Roman" w:hAnsi="Times New Roman"/>
        </w:rPr>
        <w:t xml:space="preserve"> it should have been given prior notice.</w:t>
      </w:r>
      <w:r w:rsidR="00C81101" w:rsidRPr="004963EE">
        <w:rPr>
          <w:rFonts w:ascii="Times New Roman" w:hAnsi="Times New Roman"/>
        </w:rPr>
        <w:t xml:space="preserve"> </w:t>
      </w:r>
      <w:r w:rsidR="001D3885" w:rsidRPr="004963EE">
        <w:rPr>
          <w:rFonts w:ascii="Times New Roman" w:hAnsi="Times New Roman"/>
        </w:rPr>
        <w:t xml:space="preserve">Hill and </w:t>
      </w:r>
      <w:proofErr w:type="spellStart"/>
      <w:r w:rsidR="001D3885" w:rsidRPr="004963EE">
        <w:rPr>
          <w:rFonts w:ascii="Times New Roman" w:hAnsi="Times New Roman"/>
        </w:rPr>
        <w:t>Heerey</w:t>
      </w:r>
      <w:proofErr w:type="spellEnd"/>
      <w:r w:rsidR="004F0CD9" w:rsidRPr="004963EE">
        <w:rPr>
          <w:rFonts w:ascii="Times New Roman" w:hAnsi="Times New Roman"/>
        </w:rPr>
        <w:t> </w:t>
      </w:r>
      <w:r w:rsidR="001D3885" w:rsidRPr="004963EE">
        <w:rPr>
          <w:rFonts w:ascii="Times New Roman" w:hAnsi="Times New Roman"/>
        </w:rPr>
        <w:t>JJ rejected the contention that a duty of procedural fairness was owed when revoking the TCO.</w:t>
      </w:r>
      <w:r w:rsidR="00C81101" w:rsidRPr="004963EE">
        <w:rPr>
          <w:rFonts w:ascii="Times New Roman" w:hAnsi="Times New Roman"/>
        </w:rPr>
        <w:t xml:space="preserve"> </w:t>
      </w:r>
      <w:r w:rsidR="00284AF3" w:rsidRPr="004963EE">
        <w:rPr>
          <w:rFonts w:ascii="Times New Roman" w:hAnsi="Times New Roman"/>
        </w:rPr>
        <w:t>That was because a TCO</w:t>
      </w:r>
      <w:r w:rsidR="00B2094E" w:rsidRPr="004963EE">
        <w:rPr>
          <w:rFonts w:ascii="Times New Roman" w:hAnsi="Times New Roman"/>
        </w:rPr>
        <w:t xml:space="preserve"> was of general </w:t>
      </w:r>
      <w:r w:rsidR="00B2094E" w:rsidRPr="004963EE">
        <w:rPr>
          <w:rFonts w:ascii="Times New Roman" w:hAnsi="Times New Roman"/>
        </w:rPr>
        <w:lastRenderedPageBreak/>
        <w:t>application to a class of goods, regardless of the identity of the importer.</w:t>
      </w:r>
      <w:r w:rsidR="00D4461F" w:rsidRPr="004963EE">
        <w:rPr>
          <w:rStyle w:val="FootnoteReference"/>
          <w:rFonts w:ascii="Times New Roman" w:hAnsi="Times New Roman"/>
          <w:sz w:val="24"/>
        </w:rPr>
        <w:footnoteReference w:id="27"/>
      </w:r>
      <w:r w:rsidR="00C81101" w:rsidRPr="004963EE">
        <w:rPr>
          <w:rFonts w:ascii="Times New Roman" w:hAnsi="Times New Roman"/>
        </w:rPr>
        <w:t xml:space="preserve"> </w:t>
      </w:r>
      <w:r w:rsidR="00F344CE" w:rsidRPr="004963EE">
        <w:rPr>
          <w:rFonts w:ascii="Times New Roman" w:hAnsi="Times New Roman"/>
        </w:rPr>
        <w:t xml:space="preserve">Here, the </w:t>
      </w:r>
      <w:r w:rsidR="00B5095B" w:rsidRPr="004963EE">
        <w:rPr>
          <w:rFonts w:ascii="Times New Roman" w:hAnsi="Times New Roman"/>
        </w:rPr>
        <w:t>respondents</w:t>
      </w:r>
      <w:r w:rsidR="00F344CE" w:rsidRPr="004963EE">
        <w:rPr>
          <w:rFonts w:ascii="Times New Roman" w:hAnsi="Times New Roman"/>
        </w:rPr>
        <w:t xml:space="preserve"> emphasised that the </w:t>
      </w:r>
      <w:r w:rsidR="002719CF" w:rsidRPr="004963EE">
        <w:rPr>
          <w:rFonts w:ascii="Times New Roman" w:hAnsi="Times New Roman"/>
        </w:rPr>
        <w:t>D</w:t>
      </w:r>
      <w:r w:rsidR="00F344CE" w:rsidRPr="004963EE">
        <w:rPr>
          <w:rFonts w:ascii="Times New Roman" w:hAnsi="Times New Roman"/>
        </w:rPr>
        <w:t xml:space="preserve">eterminations </w:t>
      </w:r>
      <w:r w:rsidR="004C5912" w:rsidRPr="004963EE">
        <w:rPr>
          <w:rFonts w:ascii="Times New Roman" w:hAnsi="Times New Roman"/>
        </w:rPr>
        <w:t>applied to over 5,000 dwellings across a great many remote communities</w:t>
      </w:r>
      <w:r w:rsidR="000B2D00" w:rsidRPr="004963EE">
        <w:rPr>
          <w:rFonts w:ascii="Times New Roman" w:hAnsi="Times New Roman"/>
        </w:rPr>
        <w:t xml:space="preserve"> and submitted that</w:t>
      </w:r>
      <w:r w:rsidR="004126FD" w:rsidRPr="004963EE">
        <w:rPr>
          <w:rFonts w:ascii="Times New Roman" w:hAnsi="Times New Roman"/>
        </w:rPr>
        <w:t xml:space="preserve"> this supported a conclusion that prior consultation with the appellants and the other tenants was not required.</w:t>
      </w:r>
      <w:r w:rsidR="001C3977" w:rsidRPr="004963EE">
        <w:rPr>
          <w:rFonts w:ascii="Times New Roman" w:hAnsi="Times New Roman"/>
        </w:rPr>
        <w:t xml:space="preserve"> </w:t>
      </w:r>
    </w:p>
    <w:p w14:paraId="1E5A2169" w14:textId="3413FFC2" w:rsidR="00A153C2" w:rsidRPr="004963EE" w:rsidRDefault="00A153C2"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The </w:t>
      </w:r>
      <w:r w:rsidR="00B5095B" w:rsidRPr="004963EE">
        <w:rPr>
          <w:rFonts w:ascii="Times New Roman" w:hAnsi="Times New Roman"/>
        </w:rPr>
        <w:t>respondents</w:t>
      </w:r>
      <w:r w:rsidRPr="004963EE">
        <w:rPr>
          <w:rFonts w:ascii="Times New Roman" w:hAnsi="Times New Roman"/>
        </w:rPr>
        <w:t xml:space="preserve"> nonetheless also conceded that</w:t>
      </w:r>
      <w:r w:rsidR="001A4037" w:rsidRPr="004963EE">
        <w:rPr>
          <w:rFonts w:ascii="Times New Roman" w:hAnsi="Times New Roman"/>
        </w:rPr>
        <w:t xml:space="preserve"> had the power </w:t>
      </w:r>
      <w:r w:rsidR="00D576E0" w:rsidRPr="004963EE">
        <w:rPr>
          <w:rFonts w:ascii="Times New Roman" w:hAnsi="Times New Roman"/>
        </w:rPr>
        <w:t>conferred by</w:t>
      </w:r>
      <w:r w:rsidR="00C81101" w:rsidRPr="004963EE">
        <w:rPr>
          <w:rFonts w:ascii="Times New Roman" w:hAnsi="Times New Roman"/>
        </w:rPr>
        <w:t xml:space="preserve"> s </w:t>
      </w:r>
      <w:r w:rsidR="00D576E0" w:rsidRPr="004963EE">
        <w:rPr>
          <w:rFonts w:ascii="Times New Roman" w:hAnsi="Times New Roman"/>
        </w:rPr>
        <w:t xml:space="preserve">23 </w:t>
      </w:r>
      <w:r w:rsidR="008D46FC" w:rsidRPr="004963EE">
        <w:rPr>
          <w:rFonts w:ascii="Times New Roman" w:hAnsi="Times New Roman"/>
        </w:rPr>
        <w:t xml:space="preserve">of the </w:t>
      </w:r>
      <w:r w:rsidR="008D46FC" w:rsidRPr="004963EE">
        <w:rPr>
          <w:rFonts w:ascii="Times New Roman" w:hAnsi="Times New Roman"/>
          <w:i/>
          <w:iCs/>
        </w:rPr>
        <w:t>Housing Act</w:t>
      </w:r>
      <w:r w:rsidR="008D46FC" w:rsidRPr="004963EE">
        <w:rPr>
          <w:rFonts w:ascii="Times New Roman" w:hAnsi="Times New Roman"/>
        </w:rPr>
        <w:t xml:space="preserve"> </w:t>
      </w:r>
      <w:r w:rsidR="00D576E0" w:rsidRPr="004963EE">
        <w:rPr>
          <w:rFonts w:ascii="Times New Roman" w:hAnsi="Times New Roman"/>
        </w:rPr>
        <w:t xml:space="preserve">been exercised in relation to a single dwelling, or only a few dwellings, </w:t>
      </w:r>
      <w:r w:rsidR="00060C95" w:rsidRPr="004963EE">
        <w:rPr>
          <w:rFonts w:ascii="Times New Roman" w:hAnsi="Times New Roman"/>
        </w:rPr>
        <w:t>the content of procedural fairness would have</w:t>
      </w:r>
      <w:r w:rsidR="002E6ABE" w:rsidRPr="004963EE">
        <w:rPr>
          <w:rFonts w:ascii="Times New Roman" w:hAnsi="Times New Roman"/>
        </w:rPr>
        <w:t xml:space="preserve"> been</w:t>
      </w:r>
      <w:r w:rsidR="00060C95" w:rsidRPr="004963EE">
        <w:rPr>
          <w:rFonts w:ascii="Times New Roman" w:hAnsi="Times New Roman"/>
        </w:rPr>
        <w:t xml:space="preserve"> equivalent to that contended for by the appellants.</w:t>
      </w:r>
      <w:r w:rsidR="00C81101" w:rsidRPr="004963EE">
        <w:rPr>
          <w:rFonts w:ascii="Times New Roman" w:hAnsi="Times New Roman"/>
        </w:rPr>
        <w:t xml:space="preserve"> </w:t>
      </w:r>
      <w:r w:rsidR="0072219A" w:rsidRPr="004963EE">
        <w:rPr>
          <w:rFonts w:ascii="Times New Roman" w:hAnsi="Times New Roman"/>
        </w:rPr>
        <w:t xml:space="preserve">But here, given that the power was exercised in relation to all </w:t>
      </w:r>
      <w:r w:rsidR="005A2B1A" w:rsidRPr="004963EE">
        <w:rPr>
          <w:rFonts w:ascii="Times New Roman" w:hAnsi="Times New Roman"/>
        </w:rPr>
        <w:t>dwellings</w:t>
      </w:r>
      <w:r w:rsidR="0072219A" w:rsidRPr="004963EE">
        <w:rPr>
          <w:rFonts w:ascii="Times New Roman" w:hAnsi="Times New Roman"/>
        </w:rPr>
        <w:t xml:space="preserve"> in the </w:t>
      </w:r>
      <w:r w:rsidR="00A44B12" w:rsidRPr="004963EE">
        <w:rPr>
          <w:rFonts w:ascii="Times New Roman" w:hAnsi="Times New Roman"/>
        </w:rPr>
        <w:t xml:space="preserve">listed </w:t>
      </w:r>
      <w:r w:rsidR="0072219A" w:rsidRPr="004963EE">
        <w:rPr>
          <w:rFonts w:ascii="Times New Roman" w:hAnsi="Times New Roman"/>
        </w:rPr>
        <w:t>communities,</w:t>
      </w:r>
      <w:r w:rsidR="00FD637D" w:rsidRPr="004963EE">
        <w:rPr>
          <w:rFonts w:ascii="Times New Roman" w:hAnsi="Times New Roman"/>
        </w:rPr>
        <w:t xml:space="preserve"> such consultation was impractical.</w:t>
      </w:r>
      <w:r w:rsidR="00C81101" w:rsidRPr="004963EE">
        <w:rPr>
          <w:rFonts w:ascii="Times New Roman" w:hAnsi="Times New Roman"/>
        </w:rPr>
        <w:t xml:space="preserve"> </w:t>
      </w:r>
      <w:r w:rsidR="00A84238" w:rsidRPr="004963EE">
        <w:rPr>
          <w:rFonts w:ascii="Times New Roman" w:hAnsi="Times New Roman"/>
        </w:rPr>
        <w:t>It could not</w:t>
      </w:r>
      <w:r w:rsidR="00674830" w:rsidRPr="004963EE">
        <w:rPr>
          <w:rFonts w:ascii="Times New Roman" w:hAnsi="Times New Roman"/>
        </w:rPr>
        <w:t>, however,</w:t>
      </w:r>
      <w:r w:rsidR="00A84238" w:rsidRPr="004963EE">
        <w:rPr>
          <w:rFonts w:ascii="Times New Roman" w:hAnsi="Times New Roman"/>
        </w:rPr>
        <w:t xml:space="preserve"> be said</w:t>
      </w:r>
      <w:r w:rsidR="00674830" w:rsidRPr="004963EE">
        <w:rPr>
          <w:rFonts w:ascii="Times New Roman" w:hAnsi="Times New Roman"/>
        </w:rPr>
        <w:t xml:space="preserve"> with any precision how many impacted homes </w:t>
      </w:r>
      <w:r w:rsidR="00EB5581" w:rsidRPr="004963EE">
        <w:rPr>
          <w:rFonts w:ascii="Times New Roman" w:hAnsi="Times New Roman"/>
        </w:rPr>
        <w:t>would be</w:t>
      </w:r>
      <w:r w:rsidR="00674830" w:rsidRPr="004963EE">
        <w:rPr>
          <w:rFonts w:ascii="Times New Roman" w:hAnsi="Times New Roman"/>
        </w:rPr>
        <w:t xml:space="preserve"> needed</w:t>
      </w:r>
      <w:r w:rsidR="00A84238" w:rsidRPr="004963EE">
        <w:rPr>
          <w:rFonts w:ascii="Times New Roman" w:hAnsi="Times New Roman"/>
        </w:rPr>
        <w:t xml:space="preserve"> </w:t>
      </w:r>
      <w:r w:rsidR="00EB5581" w:rsidRPr="004963EE">
        <w:rPr>
          <w:rFonts w:ascii="Times New Roman" w:hAnsi="Times New Roman"/>
        </w:rPr>
        <w:t>to</w:t>
      </w:r>
      <w:r w:rsidR="00D74F87" w:rsidRPr="004963EE">
        <w:rPr>
          <w:rFonts w:ascii="Times New Roman" w:hAnsi="Times New Roman"/>
        </w:rPr>
        <w:t xml:space="preserve"> reduce </w:t>
      </w:r>
      <w:r w:rsidR="00A84238" w:rsidRPr="004963EE">
        <w:rPr>
          <w:rFonts w:ascii="Times New Roman" w:hAnsi="Times New Roman"/>
        </w:rPr>
        <w:t>the content of procedural fairness to nothingness.</w:t>
      </w:r>
      <w:r w:rsidR="00CA6128" w:rsidRPr="004963EE">
        <w:rPr>
          <w:rFonts w:ascii="Times New Roman" w:hAnsi="Times New Roman"/>
        </w:rPr>
        <w:t xml:space="preserve"> </w:t>
      </w:r>
    </w:p>
    <w:p w14:paraId="7F6760C4" w14:textId="450F44EF" w:rsidR="0095108D" w:rsidRPr="004963EE" w:rsidRDefault="0095108D"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Finally, the </w:t>
      </w:r>
      <w:r w:rsidR="00B5095B" w:rsidRPr="004963EE">
        <w:rPr>
          <w:rFonts w:ascii="Times New Roman" w:hAnsi="Times New Roman"/>
        </w:rPr>
        <w:t>respondents</w:t>
      </w:r>
      <w:r w:rsidRPr="004963EE">
        <w:rPr>
          <w:rFonts w:ascii="Times New Roman" w:hAnsi="Times New Roman"/>
        </w:rPr>
        <w:t xml:space="preserve"> submitted</w:t>
      </w:r>
      <w:r w:rsidR="00D12722" w:rsidRPr="004963EE">
        <w:rPr>
          <w:rFonts w:ascii="Times New Roman" w:hAnsi="Times New Roman"/>
        </w:rPr>
        <w:t xml:space="preserve"> </w:t>
      </w:r>
      <w:r w:rsidR="00563591" w:rsidRPr="004963EE">
        <w:rPr>
          <w:rFonts w:ascii="Times New Roman" w:hAnsi="Times New Roman"/>
        </w:rPr>
        <w:t>that any failure to afford procedural fairness was immaterial.</w:t>
      </w:r>
      <w:r w:rsidR="00C81101" w:rsidRPr="004963EE">
        <w:rPr>
          <w:rFonts w:ascii="Times New Roman" w:hAnsi="Times New Roman"/>
        </w:rPr>
        <w:t xml:space="preserve"> </w:t>
      </w:r>
      <w:r w:rsidR="00563591" w:rsidRPr="004963EE">
        <w:rPr>
          <w:rFonts w:ascii="Times New Roman" w:hAnsi="Times New Roman"/>
        </w:rPr>
        <w:t xml:space="preserve">The appellants, </w:t>
      </w:r>
      <w:r w:rsidR="00D24DE0" w:rsidRPr="004963EE">
        <w:rPr>
          <w:rFonts w:ascii="Times New Roman" w:hAnsi="Times New Roman"/>
        </w:rPr>
        <w:t>the respondents</w:t>
      </w:r>
      <w:r w:rsidR="00563591" w:rsidRPr="004963EE">
        <w:rPr>
          <w:rFonts w:ascii="Times New Roman" w:hAnsi="Times New Roman"/>
        </w:rPr>
        <w:t xml:space="preserve"> said,</w:t>
      </w:r>
      <w:r w:rsidR="005406FF" w:rsidRPr="004963EE">
        <w:rPr>
          <w:rFonts w:ascii="Times New Roman" w:hAnsi="Times New Roman"/>
        </w:rPr>
        <w:t xml:space="preserve"> had not discharged their onus of showing that prior consultation</w:t>
      </w:r>
      <w:r w:rsidR="004F23ED" w:rsidRPr="004963EE">
        <w:rPr>
          <w:rFonts w:ascii="Times New Roman" w:hAnsi="Times New Roman"/>
        </w:rPr>
        <w:t xml:space="preserve"> could </w:t>
      </w:r>
      <w:r w:rsidR="00746A9E" w:rsidRPr="004963EE">
        <w:rPr>
          <w:rFonts w:ascii="Times New Roman" w:hAnsi="Times New Roman"/>
        </w:rPr>
        <w:t>"</w:t>
      </w:r>
      <w:r w:rsidR="004F23ED" w:rsidRPr="004963EE">
        <w:rPr>
          <w:rFonts w:ascii="Times New Roman" w:hAnsi="Times New Roman"/>
        </w:rPr>
        <w:t>realistically"</w:t>
      </w:r>
      <w:r w:rsidR="008A5655" w:rsidRPr="004963EE">
        <w:rPr>
          <w:rStyle w:val="FootnoteReference"/>
          <w:rFonts w:ascii="Times New Roman" w:hAnsi="Times New Roman"/>
          <w:sz w:val="24"/>
        </w:rPr>
        <w:footnoteReference w:id="28"/>
      </w:r>
      <w:r w:rsidR="004F23ED" w:rsidRPr="004963EE">
        <w:rPr>
          <w:rFonts w:ascii="Times New Roman" w:hAnsi="Times New Roman"/>
        </w:rPr>
        <w:t xml:space="preserve"> have led to a different outcome.</w:t>
      </w:r>
      <w:r w:rsidR="00C81101" w:rsidRPr="004963EE">
        <w:rPr>
          <w:rFonts w:ascii="Times New Roman" w:hAnsi="Times New Roman"/>
        </w:rPr>
        <w:t xml:space="preserve"> </w:t>
      </w:r>
      <w:r w:rsidR="00C6106C" w:rsidRPr="004963EE">
        <w:rPr>
          <w:rFonts w:ascii="Times New Roman" w:hAnsi="Times New Roman"/>
        </w:rPr>
        <w:t>Directed at very high</w:t>
      </w:r>
      <w:r w:rsidR="005661DC" w:rsidRPr="004963EE">
        <w:rPr>
          <w:rFonts w:ascii="Times New Roman" w:hAnsi="Times New Roman"/>
        </w:rPr>
        <w:t>-</w:t>
      </w:r>
      <w:r w:rsidR="00C6106C" w:rsidRPr="004963EE">
        <w:rPr>
          <w:rFonts w:ascii="Times New Roman" w:hAnsi="Times New Roman"/>
        </w:rPr>
        <w:t>level and indifferent rules</w:t>
      </w:r>
      <w:r w:rsidR="00B76FA1" w:rsidRPr="004963EE">
        <w:rPr>
          <w:rFonts w:ascii="Times New Roman" w:hAnsi="Times New Roman"/>
        </w:rPr>
        <w:t xml:space="preserve"> to fix the rent payable, the </w:t>
      </w:r>
      <w:r w:rsidR="00101654" w:rsidRPr="004963EE">
        <w:rPr>
          <w:rFonts w:ascii="Times New Roman" w:hAnsi="Times New Roman"/>
        </w:rPr>
        <w:t>D</w:t>
      </w:r>
      <w:r w:rsidR="00B76FA1" w:rsidRPr="004963EE">
        <w:rPr>
          <w:rFonts w:ascii="Times New Roman" w:hAnsi="Times New Roman"/>
        </w:rPr>
        <w:t xml:space="preserve">eterminations would have </w:t>
      </w:r>
      <w:r w:rsidR="00845390" w:rsidRPr="004963EE">
        <w:rPr>
          <w:rFonts w:ascii="Times New Roman" w:hAnsi="Times New Roman"/>
        </w:rPr>
        <w:t>remained</w:t>
      </w:r>
      <w:r w:rsidR="00B76FA1" w:rsidRPr="004963EE">
        <w:rPr>
          <w:rFonts w:ascii="Times New Roman" w:hAnsi="Times New Roman"/>
        </w:rPr>
        <w:t xml:space="preserve"> the same following</w:t>
      </w:r>
      <w:r w:rsidR="00845390" w:rsidRPr="004963EE">
        <w:rPr>
          <w:rFonts w:ascii="Times New Roman" w:hAnsi="Times New Roman"/>
        </w:rPr>
        <w:t xml:space="preserve"> any suggested prior consultation.</w:t>
      </w:r>
      <w:r w:rsidR="00D11D8B" w:rsidRPr="004963EE">
        <w:rPr>
          <w:rFonts w:ascii="Times New Roman" w:hAnsi="Times New Roman"/>
        </w:rPr>
        <w:t xml:space="preserve"> </w:t>
      </w:r>
    </w:p>
    <w:p w14:paraId="7E164CB2" w14:textId="128A8B2D" w:rsidR="00845390" w:rsidRPr="004963EE" w:rsidRDefault="00525CA1" w:rsidP="004963EE">
      <w:pPr>
        <w:pStyle w:val="HeadingL2"/>
        <w:spacing w:after="260" w:line="280" w:lineRule="exact"/>
        <w:ind w:right="0"/>
        <w:jc w:val="both"/>
        <w:rPr>
          <w:rFonts w:ascii="Times New Roman" w:hAnsi="Times New Roman"/>
        </w:rPr>
      </w:pPr>
      <w:r w:rsidRPr="004963EE">
        <w:rPr>
          <w:rFonts w:ascii="Times New Roman" w:hAnsi="Times New Roman"/>
        </w:rPr>
        <w:t>The content of the obligation to provide procedural fairness</w:t>
      </w:r>
    </w:p>
    <w:p w14:paraId="26123996" w14:textId="6DA35642" w:rsidR="00895821" w:rsidRPr="004963EE" w:rsidRDefault="000D5251"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A07946" w:rsidRPr="004963EE">
        <w:rPr>
          <w:rFonts w:ascii="Times New Roman" w:hAnsi="Times New Roman"/>
        </w:rPr>
        <w:t xml:space="preserve">In </w:t>
      </w:r>
      <w:r w:rsidR="00A07946" w:rsidRPr="004963EE">
        <w:rPr>
          <w:rFonts w:ascii="Times New Roman" w:hAnsi="Times New Roman"/>
          <w:i/>
          <w:iCs/>
        </w:rPr>
        <w:t>Minister for Immigration and Border Protection v SZ</w:t>
      </w:r>
      <w:r w:rsidR="00567994" w:rsidRPr="004963EE">
        <w:rPr>
          <w:rFonts w:ascii="Times New Roman" w:hAnsi="Times New Roman"/>
          <w:i/>
          <w:iCs/>
        </w:rPr>
        <w:t>SSJ</w:t>
      </w:r>
      <w:r w:rsidR="00567994" w:rsidRPr="004963EE">
        <w:rPr>
          <w:rFonts w:ascii="Times New Roman" w:hAnsi="Times New Roman"/>
        </w:rPr>
        <w:t>, this Court</w:t>
      </w:r>
      <w:r w:rsidR="002B5BB1" w:rsidRPr="004963EE">
        <w:rPr>
          <w:rFonts w:ascii="Times New Roman" w:hAnsi="Times New Roman"/>
        </w:rPr>
        <w:t xml:space="preserve"> unanimously</w:t>
      </w:r>
      <w:r w:rsidR="00567994" w:rsidRPr="004963EE">
        <w:rPr>
          <w:rFonts w:ascii="Times New Roman" w:hAnsi="Times New Roman"/>
        </w:rPr>
        <w:t xml:space="preserve"> </w:t>
      </w:r>
      <w:r w:rsidR="00B20422" w:rsidRPr="004963EE">
        <w:rPr>
          <w:rFonts w:ascii="Times New Roman" w:hAnsi="Times New Roman"/>
        </w:rPr>
        <w:t>observed that "compliance with an implied condition of procedural fairness requires the repository of a statutory power to adopt a procedure that is reasonable in the circumstances to afford an opportunity to be heard to a person who has an interest apt to be affected by exercise of that power</w:t>
      </w:r>
      <w:r w:rsidR="00B12BAD" w:rsidRPr="004963EE">
        <w:rPr>
          <w:rFonts w:ascii="Times New Roman" w:hAnsi="Times New Roman"/>
        </w:rPr>
        <w:t>"</w:t>
      </w:r>
      <w:r w:rsidR="00030537" w:rsidRPr="004963EE">
        <w:rPr>
          <w:rFonts w:ascii="Times New Roman" w:hAnsi="Times New Roman"/>
        </w:rPr>
        <w:t>.</w:t>
      </w:r>
      <w:r w:rsidR="00B12BAD" w:rsidRPr="004963EE">
        <w:rPr>
          <w:rStyle w:val="FootnoteReference"/>
          <w:rFonts w:ascii="Times New Roman" w:hAnsi="Times New Roman"/>
          <w:sz w:val="24"/>
        </w:rPr>
        <w:footnoteReference w:id="29"/>
      </w:r>
      <w:r w:rsidR="00C81101" w:rsidRPr="004963EE">
        <w:rPr>
          <w:rFonts w:ascii="Times New Roman" w:hAnsi="Times New Roman"/>
        </w:rPr>
        <w:t xml:space="preserve"> </w:t>
      </w:r>
      <w:r w:rsidR="005A3BFD" w:rsidRPr="004963EE">
        <w:rPr>
          <w:rFonts w:ascii="Times New Roman" w:hAnsi="Times New Roman"/>
        </w:rPr>
        <w:t xml:space="preserve">What is fair and reasonable depends </w:t>
      </w:r>
      <w:r w:rsidR="00087156" w:rsidRPr="004963EE">
        <w:rPr>
          <w:rFonts w:ascii="Times New Roman" w:hAnsi="Times New Roman"/>
        </w:rPr>
        <w:t>upon the nature of the power being exercised,</w:t>
      </w:r>
      <w:r w:rsidR="00E84FA4" w:rsidRPr="004963EE">
        <w:rPr>
          <w:rFonts w:ascii="Times New Roman" w:hAnsi="Times New Roman"/>
        </w:rPr>
        <w:t xml:space="preserve"> along with</w:t>
      </w:r>
      <w:r w:rsidR="00087156" w:rsidRPr="004963EE">
        <w:rPr>
          <w:rFonts w:ascii="Times New Roman" w:hAnsi="Times New Roman"/>
        </w:rPr>
        <w:t xml:space="preserve"> </w:t>
      </w:r>
      <w:r w:rsidR="009710CF" w:rsidRPr="004963EE">
        <w:rPr>
          <w:rFonts w:ascii="Times New Roman" w:hAnsi="Times New Roman"/>
        </w:rPr>
        <w:t>"</w:t>
      </w:r>
      <w:r w:rsidR="00C74FB9" w:rsidRPr="004963EE">
        <w:rPr>
          <w:rFonts w:ascii="Times New Roman" w:hAnsi="Times New Roman"/>
        </w:rPr>
        <w:t>t</w:t>
      </w:r>
      <w:r w:rsidR="009710CF" w:rsidRPr="004963EE">
        <w:rPr>
          <w:rFonts w:ascii="Times New Roman" w:hAnsi="Times New Roman"/>
        </w:rPr>
        <w:t xml:space="preserve">he statutory requirements, the interests of the individual and the interests and </w:t>
      </w:r>
      <w:r w:rsidR="009710CF" w:rsidRPr="004963EE">
        <w:rPr>
          <w:rFonts w:ascii="Times New Roman" w:hAnsi="Times New Roman"/>
        </w:rPr>
        <w:lastRenderedPageBreak/>
        <w:t>purposes, whether public or private, which the statute seeks to advance or protect or permits to be taken into account</w:t>
      </w:r>
      <w:r w:rsidR="00223B53" w:rsidRPr="004963EE">
        <w:rPr>
          <w:rFonts w:ascii="Times New Roman" w:hAnsi="Times New Roman"/>
        </w:rPr>
        <w:t xml:space="preserve"> as legitimate considerations</w:t>
      </w:r>
      <w:r w:rsidR="00C74FB9" w:rsidRPr="004963EE">
        <w:rPr>
          <w:rFonts w:ascii="Times New Roman" w:hAnsi="Times New Roman"/>
        </w:rPr>
        <w:t>"</w:t>
      </w:r>
      <w:r w:rsidR="00223B53" w:rsidRPr="004963EE">
        <w:rPr>
          <w:rFonts w:ascii="Times New Roman" w:hAnsi="Times New Roman"/>
        </w:rPr>
        <w:t>.</w:t>
      </w:r>
      <w:r w:rsidR="00C74FB9" w:rsidRPr="004963EE">
        <w:rPr>
          <w:rStyle w:val="FootnoteReference"/>
          <w:rFonts w:ascii="Times New Roman" w:hAnsi="Times New Roman"/>
          <w:sz w:val="24"/>
        </w:rPr>
        <w:footnoteReference w:id="30"/>
      </w:r>
      <w:r w:rsidR="00C81101" w:rsidRPr="004963EE">
        <w:rPr>
          <w:rFonts w:ascii="Times New Roman" w:hAnsi="Times New Roman"/>
        </w:rPr>
        <w:t xml:space="preserve"> </w:t>
      </w:r>
      <w:r w:rsidR="00EB5581" w:rsidRPr="004963EE">
        <w:rPr>
          <w:rFonts w:ascii="Times New Roman" w:hAnsi="Times New Roman"/>
        </w:rPr>
        <w:t>What</w:t>
      </w:r>
      <w:r w:rsidR="004528D7" w:rsidRPr="004963EE">
        <w:rPr>
          <w:rFonts w:ascii="Times New Roman" w:hAnsi="Times New Roman"/>
        </w:rPr>
        <w:t xml:space="preserve"> procedural fairness </w:t>
      </w:r>
      <w:r w:rsidR="00AB66EC" w:rsidRPr="004963EE">
        <w:rPr>
          <w:rFonts w:ascii="Times New Roman" w:hAnsi="Times New Roman"/>
        </w:rPr>
        <w:t>requires is</w:t>
      </w:r>
      <w:r w:rsidR="004528D7" w:rsidRPr="004963EE">
        <w:rPr>
          <w:rFonts w:ascii="Times New Roman" w:hAnsi="Times New Roman"/>
        </w:rPr>
        <w:t xml:space="preserve"> </w:t>
      </w:r>
      <w:r w:rsidR="00830C2E" w:rsidRPr="004963EE">
        <w:rPr>
          <w:rFonts w:ascii="Times New Roman" w:hAnsi="Times New Roman"/>
        </w:rPr>
        <w:t>variable and can extend</w:t>
      </w:r>
      <w:r w:rsidR="00835386" w:rsidRPr="004963EE">
        <w:rPr>
          <w:rFonts w:ascii="Times New Roman" w:hAnsi="Times New Roman"/>
        </w:rPr>
        <w:t>,</w:t>
      </w:r>
      <w:r w:rsidR="00AB66EC" w:rsidRPr="004963EE">
        <w:rPr>
          <w:rFonts w:ascii="Times New Roman" w:hAnsi="Times New Roman"/>
        </w:rPr>
        <w:t xml:space="preserve"> </w:t>
      </w:r>
      <w:r w:rsidR="00320862" w:rsidRPr="004963EE">
        <w:rPr>
          <w:rFonts w:ascii="Times New Roman" w:hAnsi="Times New Roman"/>
        </w:rPr>
        <w:t>at</w:t>
      </w:r>
      <w:r w:rsidR="00AB66EC" w:rsidRPr="004963EE">
        <w:rPr>
          <w:rFonts w:ascii="Times New Roman" w:hAnsi="Times New Roman"/>
        </w:rPr>
        <w:t xml:space="preserve"> one end of the spectrum</w:t>
      </w:r>
      <w:r w:rsidR="00835386" w:rsidRPr="004963EE">
        <w:rPr>
          <w:rFonts w:ascii="Times New Roman" w:hAnsi="Times New Roman"/>
        </w:rPr>
        <w:t>,</w:t>
      </w:r>
      <w:r w:rsidR="00830C2E" w:rsidRPr="004963EE">
        <w:rPr>
          <w:rFonts w:ascii="Times New Roman" w:hAnsi="Times New Roman"/>
        </w:rPr>
        <w:t xml:space="preserve"> </w:t>
      </w:r>
      <w:r w:rsidR="001E0A5F" w:rsidRPr="004963EE">
        <w:rPr>
          <w:rFonts w:ascii="Times New Roman" w:hAnsi="Times New Roman"/>
        </w:rPr>
        <w:t>from</w:t>
      </w:r>
      <w:r w:rsidR="00830C2E" w:rsidRPr="004963EE">
        <w:rPr>
          <w:rFonts w:ascii="Times New Roman" w:hAnsi="Times New Roman"/>
        </w:rPr>
        <w:t xml:space="preserve"> a need for a full hearing</w:t>
      </w:r>
      <w:r w:rsidR="00AB66EC" w:rsidRPr="004963EE">
        <w:rPr>
          <w:rFonts w:ascii="Times New Roman" w:hAnsi="Times New Roman"/>
        </w:rPr>
        <w:t>,</w:t>
      </w:r>
      <w:r w:rsidR="00830C2E" w:rsidRPr="004963EE">
        <w:rPr>
          <w:rFonts w:ascii="Times New Roman" w:hAnsi="Times New Roman"/>
        </w:rPr>
        <w:t xml:space="preserve"> and</w:t>
      </w:r>
      <w:r w:rsidR="00AB66EC" w:rsidRPr="004963EE">
        <w:rPr>
          <w:rFonts w:ascii="Times New Roman" w:hAnsi="Times New Roman"/>
        </w:rPr>
        <w:t xml:space="preserve"> at the other end of the spectrum,</w:t>
      </w:r>
      <w:r w:rsidR="00830C2E" w:rsidRPr="004963EE">
        <w:rPr>
          <w:rFonts w:ascii="Times New Roman" w:hAnsi="Times New Roman"/>
        </w:rPr>
        <w:t xml:space="preserve"> in some cases, to </w:t>
      </w:r>
      <w:r w:rsidR="00D27DFE" w:rsidRPr="004963EE">
        <w:rPr>
          <w:rFonts w:ascii="Times New Roman" w:hAnsi="Times New Roman"/>
        </w:rPr>
        <w:t>"</w:t>
      </w:r>
      <w:r w:rsidR="004528D7" w:rsidRPr="004963EE">
        <w:rPr>
          <w:rFonts w:ascii="Times New Roman" w:hAnsi="Times New Roman"/>
        </w:rPr>
        <w:t>nothingness</w:t>
      </w:r>
      <w:r w:rsidR="00D27DFE" w:rsidRPr="004963EE">
        <w:rPr>
          <w:rFonts w:ascii="Times New Roman" w:hAnsi="Times New Roman"/>
        </w:rPr>
        <w:t>"</w:t>
      </w:r>
      <w:r w:rsidR="00320862" w:rsidRPr="004963EE">
        <w:rPr>
          <w:rFonts w:ascii="Times New Roman" w:hAnsi="Times New Roman"/>
        </w:rPr>
        <w:t>;</w:t>
      </w:r>
      <w:r w:rsidR="00D27DFE" w:rsidRPr="004963EE">
        <w:rPr>
          <w:rStyle w:val="FootnoteReference"/>
          <w:rFonts w:ascii="Times New Roman" w:hAnsi="Times New Roman"/>
          <w:sz w:val="24"/>
        </w:rPr>
        <w:footnoteReference w:id="31"/>
      </w:r>
      <w:r w:rsidR="00830C2E" w:rsidRPr="004963EE">
        <w:rPr>
          <w:rFonts w:ascii="Times New Roman" w:hAnsi="Times New Roman"/>
        </w:rPr>
        <w:t xml:space="preserve"> although</w:t>
      </w:r>
      <w:r w:rsidR="001F4B51" w:rsidRPr="004963EE">
        <w:rPr>
          <w:rFonts w:ascii="Times New Roman" w:hAnsi="Times New Roman"/>
        </w:rPr>
        <w:t xml:space="preserve"> the </w:t>
      </w:r>
      <w:r w:rsidR="004E008F" w:rsidRPr="004963EE">
        <w:rPr>
          <w:rFonts w:ascii="Times New Roman" w:hAnsi="Times New Roman"/>
        </w:rPr>
        <w:t>latter might be better described as an exclusion of the rules of procedural fairness and, in any event,</w:t>
      </w:r>
      <w:r w:rsidR="00830C2E" w:rsidRPr="004963EE">
        <w:rPr>
          <w:rFonts w:ascii="Times New Roman" w:hAnsi="Times New Roman"/>
        </w:rPr>
        <w:t xml:space="preserve"> as Bre</w:t>
      </w:r>
      <w:r w:rsidR="004528D7" w:rsidRPr="004963EE">
        <w:rPr>
          <w:rFonts w:ascii="Times New Roman" w:hAnsi="Times New Roman"/>
        </w:rPr>
        <w:t>nnan</w:t>
      </w:r>
      <w:r w:rsidR="00F241F6" w:rsidRPr="004963EE">
        <w:rPr>
          <w:rFonts w:ascii="Times New Roman" w:hAnsi="Times New Roman"/>
        </w:rPr>
        <w:t xml:space="preserve"> J </w:t>
      </w:r>
      <w:r w:rsidR="004528D7" w:rsidRPr="004963EE">
        <w:rPr>
          <w:rFonts w:ascii="Times New Roman" w:hAnsi="Times New Roman"/>
        </w:rPr>
        <w:t xml:space="preserve">observed in </w:t>
      </w:r>
      <w:r w:rsidR="004528D7" w:rsidRPr="004963EE">
        <w:rPr>
          <w:rFonts w:ascii="Times New Roman" w:hAnsi="Times New Roman"/>
          <w:i/>
          <w:iCs/>
        </w:rPr>
        <w:t>Kioa</w:t>
      </w:r>
      <w:r w:rsidR="004528D7" w:rsidRPr="004963EE">
        <w:rPr>
          <w:rFonts w:ascii="Times New Roman" w:hAnsi="Times New Roman"/>
        </w:rPr>
        <w:t xml:space="preserve">, cases </w:t>
      </w:r>
      <w:r w:rsidR="00D5139C" w:rsidRPr="004963EE">
        <w:rPr>
          <w:rFonts w:ascii="Times New Roman" w:hAnsi="Times New Roman"/>
        </w:rPr>
        <w:t>of this kind will be "exceptional"</w:t>
      </w:r>
      <w:r w:rsidR="00FD429F" w:rsidRPr="004963EE">
        <w:rPr>
          <w:rFonts w:ascii="Times New Roman" w:hAnsi="Times New Roman"/>
        </w:rPr>
        <w:t>.</w:t>
      </w:r>
      <w:r w:rsidR="00C46F43" w:rsidRPr="004963EE">
        <w:rPr>
          <w:rStyle w:val="FootnoteReference"/>
          <w:rFonts w:ascii="Times New Roman" w:hAnsi="Times New Roman"/>
          <w:sz w:val="24"/>
        </w:rPr>
        <w:footnoteReference w:id="32"/>
      </w:r>
    </w:p>
    <w:p w14:paraId="1C1B8154" w14:textId="404D31C2" w:rsidR="00D3590B" w:rsidRPr="004963EE" w:rsidRDefault="00D3590B"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In these circumstances the following passage from the reasons of Brennan J in </w:t>
      </w:r>
      <w:r w:rsidRPr="004963EE">
        <w:rPr>
          <w:rFonts w:ascii="Times New Roman" w:hAnsi="Times New Roman"/>
          <w:i/>
          <w:iCs/>
        </w:rPr>
        <w:t>Kioa</w:t>
      </w:r>
      <w:r w:rsidRPr="004963EE">
        <w:rPr>
          <w:rFonts w:ascii="Times New Roman" w:hAnsi="Times New Roman"/>
        </w:rPr>
        <w:t xml:space="preserve"> is dispositive:</w:t>
      </w:r>
      <w:r w:rsidRPr="004963EE">
        <w:rPr>
          <w:rStyle w:val="FootnoteReference"/>
          <w:rFonts w:ascii="Times New Roman" w:hAnsi="Times New Roman"/>
          <w:sz w:val="24"/>
        </w:rPr>
        <w:footnoteReference w:id="33"/>
      </w:r>
    </w:p>
    <w:p w14:paraId="31BA64F0" w14:textId="77777777" w:rsidR="004963EE" w:rsidRDefault="00D3590B" w:rsidP="004963EE">
      <w:pPr>
        <w:pStyle w:val="LRIndentafterHC"/>
        <w:spacing w:before="0" w:after="260" w:line="280" w:lineRule="exact"/>
        <w:ind w:right="0"/>
        <w:jc w:val="both"/>
        <w:rPr>
          <w:rFonts w:ascii="Times New Roman" w:hAnsi="Times New Roman"/>
        </w:rPr>
      </w:pPr>
      <w:r w:rsidRPr="004963EE">
        <w:rPr>
          <w:rFonts w:ascii="Times New Roman" w:hAnsi="Times New Roman"/>
        </w:rPr>
        <w:t xml:space="preserve">"If a power is apt to affect the interests of an individual in a way that is substantially different from the way in which it is apt to affect the interests of the public at large, the repository of the power will ordinarily be bound or entitled to have regard to the interests of the individual before he exercises the power. No doubt the matters to which the repository is bound or is entitled to have regard depend on the terms of the </w:t>
      </w:r>
      <w:proofErr w:type="gramStart"/>
      <w:r w:rsidRPr="004963EE">
        <w:rPr>
          <w:rFonts w:ascii="Times New Roman" w:hAnsi="Times New Roman"/>
        </w:rPr>
        <w:t>particular statute</w:t>
      </w:r>
      <w:proofErr w:type="gramEnd"/>
      <w:r w:rsidRPr="004963EE">
        <w:rPr>
          <w:rFonts w:ascii="Times New Roman" w:hAnsi="Times New Roman"/>
        </w:rPr>
        <w:t xml:space="preserve"> and, if there be no positive indications in its text, the subject-matter, scope and purpose of the statute must be looked at to determine whether the repository is bound or is entitled to have regard to individual interests.</w:t>
      </w:r>
      <w:r w:rsidR="00A051ED" w:rsidRPr="004963EE">
        <w:rPr>
          <w:rFonts w:ascii="Times New Roman" w:hAnsi="Times New Roman"/>
        </w:rPr>
        <w:t xml:space="preserve"> When the repository is bound or is entitled to have regard to the interests of an individual, it may be presumed that observance of the principles of natural justice conditions the exercise of the power, for the legislature can be presumed to intend that an individual whose interests are to be regarded should be heard before the power is exercised.</w:t>
      </w:r>
      <w:r w:rsidRPr="004963EE">
        <w:rPr>
          <w:rFonts w:ascii="Times New Roman" w:hAnsi="Times New Roman"/>
        </w:rPr>
        <w:t>"</w:t>
      </w:r>
    </w:p>
    <w:p w14:paraId="1EF23E91" w14:textId="3B5B1ED3" w:rsidR="00D3590B" w:rsidRPr="004963EE" w:rsidRDefault="00D3590B"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Importantly, </w:t>
      </w:r>
      <w:r w:rsidR="008221F9" w:rsidRPr="004963EE">
        <w:rPr>
          <w:rFonts w:ascii="Times New Roman" w:hAnsi="Times New Roman"/>
        </w:rPr>
        <w:t>this</w:t>
      </w:r>
      <w:r w:rsidRPr="004963EE">
        <w:rPr>
          <w:rFonts w:ascii="Times New Roman" w:hAnsi="Times New Roman"/>
        </w:rPr>
        <w:t xml:space="preserve"> passage </w:t>
      </w:r>
      <w:r w:rsidR="00673C72" w:rsidRPr="004963EE">
        <w:rPr>
          <w:rFonts w:ascii="Times New Roman" w:hAnsi="Times New Roman"/>
        </w:rPr>
        <w:t>makes clear</w:t>
      </w:r>
      <w:r w:rsidR="00C640C3" w:rsidRPr="004963EE">
        <w:rPr>
          <w:rFonts w:ascii="Times New Roman" w:hAnsi="Times New Roman"/>
        </w:rPr>
        <w:t>: (</w:t>
      </w:r>
      <w:proofErr w:type="spellStart"/>
      <w:r w:rsidR="00C640C3" w:rsidRPr="004963EE">
        <w:rPr>
          <w:rFonts w:ascii="Times New Roman" w:hAnsi="Times New Roman"/>
        </w:rPr>
        <w:t>i</w:t>
      </w:r>
      <w:proofErr w:type="spellEnd"/>
      <w:r w:rsidR="00C640C3" w:rsidRPr="004963EE">
        <w:rPr>
          <w:rFonts w:ascii="Times New Roman" w:hAnsi="Times New Roman"/>
        </w:rPr>
        <w:t>)</w:t>
      </w:r>
      <w:r w:rsidR="00A4304D" w:rsidRPr="004963EE">
        <w:rPr>
          <w:rFonts w:ascii="Times New Roman" w:hAnsi="Times New Roman"/>
        </w:rPr>
        <w:t> </w:t>
      </w:r>
      <w:r w:rsidR="00C640C3" w:rsidRPr="004963EE">
        <w:rPr>
          <w:rFonts w:ascii="Times New Roman" w:hAnsi="Times New Roman"/>
        </w:rPr>
        <w:t xml:space="preserve">that a power apt to affect the interests of an individual in a way </w:t>
      </w:r>
      <w:r w:rsidR="00A33F4E" w:rsidRPr="004963EE">
        <w:rPr>
          <w:rFonts w:ascii="Times New Roman" w:hAnsi="Times New Roman"/>
        </w:rPr>
        <w:t xml:space="preserve">that is </w:t>
      </w:r>
      <w:r w:rsidR="00C640C3" w:rsidRPr="004963EE">
        <w:rPr>
          <w:rFonts w:ascii="Times New Roman" w:hAnsi="Times New Roman"/>
        </w:rPr>
        <w:t>substantially different to the interests of the public at large will ordinarily require or entitle the repository of the power to have regard to the interests of that individua</w:t>
      </w:r>
      <w:r w:rsidR="001E5A00" w:rsidRPr="004963EE">
        <w:rPr>
          <w:rFonts w:ascii="Times New Roman" w:hAnsi="Times New Roman"/>
        </w:rPr>
        <w:t>l</w:t>
      </w:r>
      <w:r w:rsidR="00C640C3" w:rsidRPr="004963EE">
        <w:rPr>
          <w:rFonts w:ascii="Times New Roman" w:hAnsi="Times New Roman"/>
        </w:rPr>
        <w:t>; and (ii)</w:t>
      </w:r>
      <w:r w:rsidR="00A4304D" w:rsidRPr="004963EE">
        <w:rPr>
          <w:rFonts w:ascii="Times New Roman" w:hAnsi="Times New Roman"/>
        </w:rPr>
        <w:t> </w:t>
      </w:r>
      <w:r w:rsidR="00C640C3" w:rsidRPr="004963EE">
        <w:rPr>
          <w:rFonts w:ascii="Times New Roman" w:hAnsi="Times New Roman"/>
        </w:rPr>
        <w:t xml:space="preserve">that principles of natural justice apply not only </w:t>
      </w:r>
      <w:r w:rsidR="0075732A" w:rsidRPr="004963EE">
        <w:rPr>
          <w:rFonts w:ascii="Times New Roman" w:hAnsi="Times New Roman"/>
        </w:rPr>
        <w:t>when</w:t>
      </w:r>
      <w:r w:rsidR="00E722B2" w:rsidRPr="004963EE">
        <w:rPr>
          <w:rFonts w:ascii="Times New Roman" w:hAnsi="Times New Roman"/>
        </w:rPr>
        <w:t xml:space="preserve"> </w:t>
      </w:r>
      <w:r w:rsidRPr="004963EE">
        <w:rPr>
          <w:rFonts w:ascii="Times New Roman" w:hAnsi="Times New Roman"/>
        </w:rPr>
        <w:t xml:space="preserve">the decision maker is </w:t>
      </w:r>
      <w:r w:rsidRPr="004963EE">
        <w:rPr>
          <w:rFonts w:ascii="Times New Roman" w:hAnsi="Times New Roman"/>
          <w:i/>
          <w:iCs/>
        </w:rPr>
        <w:t>bound</w:t>
      </w:r>
      <w:r w:rsidRPr="004963EE">
        <w:rPr>
          <w:rFonts w:ascii="Times New Roman" w:hAnsi="Times New Roman"/>
        </w:rPr>
        <w:t xml:space="preserve"> to </w:t>
      </w:r>
      <w:r w:rsidR="0075732A" w:rsidRPr="004963EE">
        <w:rPr>
          <w:rFonts w:ascii="Times New Roman" w:hAnsi="Times New Roman"/>
        </w:rPr>
        <w:t xml:space="preserve">consider the interests </w:t>
      </w:r>
      <w:r w:rsidR="0075732A" w:rsidRPr="004963EE">
        <w:rPr>
          <w:rFonts w:ascii="Times New Roman" w:hAnsi="Times New Roman"/>
        </w:rPr>
        <w:lastRenderedPageBreak/>
        <w:t>of an affected individual</w:t>
      </w:r>
      <w:r w:rsidRPr="004963EE">
        <w:rPr>
          <w:rFonts w:ascii="Times New Roman" w:hAnsi="Times New Roman"/>
        </w:rPr>
        <w:t xml:space="preserve">; </w:t>
      </w:r>
      <w:r w:rsidR="0075732A" w:rsidRPr="004963EE">
        <w:rPr>
          <w:rFonts w:ascii="Times New Roman" w:hAnsi="Times New Roman"/>
        </w:rPr>
        <w:t>they apply equally when</w:t>
      </w:r>
      <w:r w:rsidRPr="004963EE">
        <w:rPr>
          <w:rFonts w:ascii="Times New Roman" w:hAnsi="Times New Roman"/>
        </w:rPr>
        <w:t xml:space="preserve"> the decision maker is </w:t>
      </w:r>
      <w:r w:rsidRPr="004963EE">
        <w:rPr>
          <w:rFonts w:ascii="Times New Roman" w:hAnsi="Times New Roman"/>
          <w:i/>
          <w:iCs/>
        </w:rPr>
        <w:t>entitled</w:t>
      </w:r>
      <w:r w:rsidRPr="004963EE">
        <w:rPr>
          <w:rFonts w:ascii="Times New Roman" w:hAnsi="Times New Roman"/>
        </w:rPr>
        <w:t xml:space="preserve"> to take </w:t>
      </w:r>
      <w:r w:rsidR="00535836" w:rsidRPr="004963EE">
        <w:rPr>
          <w:rFonts w:ascii="Times New Roman" w:hAnsi="Times New Roman"/>
        </w:rPr>
        <w:t xml:space="preserve">those interests </w:t>
      </w:r>
      <w:r w:rsidRPr="004963EE">
        <w:rPr>
          <w:rFonts w:ascii="Times New Roman" w:hAnsi="Times New Roman"/>
        </w:rPr>
        <w:t>into account.</w:t>
      </w:r>
    </w:p>
    <w:p w14:paraId="0548FD43" w14:textId="2DDF31B3" w:rsidR="000857B3" w:rsidRPr="004963EE" w:rsidRDefault="00895821"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6637D8" w:rsidRPr="004963EE">
        <w:rPr>
          <w:rFonts w:ascii="Times New Roman" w:hAnsi="Times New Roman"/>
        </w:rPr>
        <w:t xml:space="preserve">At issue in this appeal </w:t>
      </w:r>
      <w:r w:rsidR="007002DC" w:rsidRPr="004963EE">
        <w:rPr>
          <w:rFonts w:ascii="Times New Roman" w:hAnsi="Times New Roman"/>
        </w:rPr>
        <w:t>are</w:t>
      </w:r>
      <w:r w:rsidR="006637D8" w:rsidRPr="004963EE">
        <w:rPr>
          <w:rFonts w:ascii="Times New Roman" w:hAnsi="Times New Roman"/>
        </w:rPr>
        <w:t xml:space="preserve"> the individual rights</w:t>
      </w:r>
      <w:r w:rsidR="002A1FE4" w:rsidRPr="004963EE">
        <w:rPr>
          <w:rFonts w:ascii="Times New Roman" w:hAnsi="Times New Roman"/>
        </w:rPr>
        <w:t xml:space="preserve"> and interests</w:t>
      </w:r>
      <w:r w:rsidR="006637D8" w:rsidRPr="004963EE">
        <w:rPr>
          <w:rFonts w:ascii="Times New Roman" w:hAnsi="Times New Roman"/>
        </w:rPr>
        <w:t xml:space="preserve"> </w:t>
      </w:r>
      <w:r w:rsidR="00C45B53" w:rsidRPr="004963EE">
        <w:rPr>
          <w:rFonts w:ascii="Times New Roman" w:hAnsi="Times New Roman"/>
        </w:rPr>
        <w:t>of</w:t>
      </w:r>
      <w:r w:rsidR="006637D8" w:rsidRPr="004963EE">
        <w:rPr>
          <w:rFonts w:ascii="Times New Roman" w:hAnsi="Times New Roman"/>
        </w:rPr>
        <w:t xml:space="preserve"> each appellant, </w:t>
      </w:r>
      <w:r w:rsidR="007B4893" w:rsidRPr="004963EE">
        <w:rPr>
          <w:rFonts w:ascii="Times New Roman" w:hAnsi="Times New Roman"/>
        </w:rPr>
        <w:t>in respect of the</w:t>
      </w:r>
      <w:r w:rsidR="00BB5B43" w:rsidRPr="004963EE">
        <w:rPr>
          <w:rFonts w:ascii="Times New Roman" w:hAnsi="Times New Roman"/>
        </w:rPr>
        <w:t xml:space="preserve"> </w:t>
      </w:r>
      <w:proofErr w:type="gramStart"/>
      <w:r w:rsidR="00BB5B43" w:rsidRPr="004963EE">
        <w:rPr>
          <w:rFonts w:ascii="Times New Roman" w:hAnsi="Times New Roman"/>
        </w:rPr>
        <w:t>particular</w:t>
      </w:r>
      <w:r w:rsidR="009F2982" w:rsidRPr="004963EE">
        <w:rPr>
          <w:rFonts w:ascii="Times New Roman" w:hAnsi="Times New Roman"/>
        </w:rPr>
        <w:t xml:space="preserve"> </w:t>
      </w:r>
      <w:r w:rsidR="001A2672" w:rsidRPr="004963EE">
        <w:rPr>
          <w:rFonts w:ascii="Times New Roman" w:hAnsi="Times New Roman"/>
        </w:rPr>
        <w:t>dwelling</w:t>
      </w:r>
      <w:proofErr w:type="gramEnd"/>
      <w:r w:rsidR="00BB5B43" w:rsidRPr="004963EE">
        <w:rPr>
          <w:rFonts w:ascii="Times New Roman" w:hAnsi="Times New Roman"/>
        </w:rPr>
        <w:t xml:space="preserve"> where each </w:t>
      </w:r>
      <w:r w:rsidR="00BE2FA6" w:rsidRPr="004963EE">
        <w:rPr>
          <w:rFonts w:ascii="Times New Roman" w:hAnsi="Times New Roman"/>
        </w:rPr>
        <w:t>appellant</w:t>
      </w:r>
      <w:r w:rsidR="00BB5B43" w:rsidRPr="004963EE">
        <w:rPr>
          <w:rFonts w:ascii="Times New Roman" w:hAnsi="Times New Roman"/>
        </w:rPr>
        <w:t xml:space="preserve"> lived</w:t>
      </w:r>
      <w:r w:rsidR="007B4893" w:rsidRPr="004963EE">
        <w:rPr>
          <w:rFonts w:ascii="Times New Roman" w:hAnsi="Times New Roman"/>
        </w:rPr>
        <w:t xml:space="preserve"> and the rent payable for that dwelling</w:t>
      </w:r>
      <w:r w:rsidR="00BB5B43" w:rsidRPr="004963EE">
        <w:rPr>
          <w:rFonts w:ascii="Times New Roman" w:hAnsi="Times New Roman"/>
        </w:rPr>
        <w:t>.</w:t>
      </w:r>
      <w:r w:rsidR="00C81101" w:rsidRPr="004963EE">
        <w:rPr>
          <w:rFonts w:ascii="Times New Roman" w:hAnsi="Times New Roman"/>
        </w:rPr>
        <w:t xml:space="preserve"> </w:t>
      </w:r>
      <w:r w:rsidR="0012699D" w:rsidRPr="004963EE">
        <w:rPr>
          <w:rFonts w:ascii="Times New Roman" w:hAnsi="Times New Roman"/>
        </w:rPr>
        <w:t xml:space="preserve">The rights and </w:t>
      </w:r>
      <w:r w:rsidR="00417A5B" w:rsidRPr="004963EE">
        <w:rPr>
          <w:rFonts w:ascii="Times New Roman" w:hAnsi="Times New Roman"/>
        </w:rPr>
        <w:t xml:space="preserve">interests </w:t>
      </w:r>
      <w:r w:rsidR="0012699D" w:rsidRPr="004963EE">
        <w:rPr>
          <w:rFonts w:ascii="Times New Roman" w:hAnsi="Times New Roman"/>
        </w:rPr>
        <w:t>were, in that sense, personal</w:t>
      </w:r>
      <w:r w:rsidR="00972A27" w:rsidRPr="004963EE">
        <w:rPr>
          <w:rFonts w:ascii="Times New Roman" w:hAnsi="Times New Roman"/>
        </w:rPr>
        <w:t xml:space="preserve">, and contractual, having regard to the appellants' individual </w:t>
      </w:r>
      <w:r w:rsidR="00811DC4" w:rsidRPr="004963EE">
        <w:rPr>
          <w:rFonts w:ascii="Times New Roman" w:hAnsi="Times New Roman"/>
        </w:rPr>
        <w:t xml:space="preserve">tenancy </w:t>
      </w:r>
      <w:r w:rsidR="000C08ED" w:rsidRPr="004963EE">
        <w:rPr>
          <w:rFonts w:ascii="Times New Roman" w:hAnsi="Times New Roman"/>
        </w:rPr>
        <w:t>agreement</w:t>
      </w:r>
      <w:r w:rsidR="003E6A65" w:rsidRPr="004963EE">
        <w:rPr>
          <w:rFonts w:ascii="Times New Roman" w:hAnsi="Times New Roman"/>
        </w:rPr>
        <w:t>s</w:t>
      </w:r>
      <w:r w:rsidR="00811DC4" w:rsidRPr="004963EE">
        <w:rPr>
          <w:rFonts w:ascii="Times New Roman" w:hAnsi="Times New Roman"/>
        </w:rPr>
        <w:t xml:space="preserve"> </w:t>
      </w:r>
      <w:r w:rsidR="00972A27" w:rsidRPr="004963EE">
        <w:rPr>
          <w:rFonts w:ascii="Times New Roman" w:hAnsi="Times New Roman"/>
        </w:rPr>
        <w:t>with the CEOH</w:t>
      </w:r>
      <w:r w:rsidR="0012699D" w:rsidRPr="004963EE">
        <w:rPr>
          <w:rFonts w:ascii="Times New Roman" w:hAnsi="Times New Roman"/>
        </w:rPr>
        <w:t>.</w:t>
      </w:r>
      <w:r w:rsidR="00C81101" w:rsidRPr="004963EE">
        <w:rPr>
          <w:rFonts w:ascii="Times New Roman" w:hAnsi="Times New Roman"/>
        </w:rPr>
        <w:t xml:space="preserve"> </w:t>
      </w:r>
      <w:r w:rsidR="00354E85" w:rsidRPr="004963EE">
        <w:rPr>
          <w:rFonts w:ascii="Times New Roman" w:hAnsi="Times New Roman"/>
        </w:rPr>
        <w:t xml:space="preserve">And that is so even though they </w:t>
      </w:r>
      <w:r w:rsidR="00B00D7C" w:rsidRPr="004963EE">
        <w:rPr>
          <w:rFonts w:ascii="Times New Roman" w:hAnsi="Times New Roman"/>
        </w:rPr>
        <w:t>were</w:t>
      </w:r>
      <w:r w:rsidR="00A94E7E" w:rsidRPr="004963EE">
        <w:rPr>
          <w:rFonts w:ascii="Times New Roman" w:hAnsi="Times New Roman"/>
        </w:rPr>
        <w:t xml:space="preserve"> </w:t>
      </w:r>
      <w:r w:rsidR="00712726" w:rsidRPr="004963EE">
        <w:rPr>
          <w:rFonts w:ascii="Times New Roman" w:hAnsi="Times New Roman"/>
        </w:rPr>
        <w:t>affected</w:t>
      </w:r>
      <w:r w:rsidR="00354E85" w:rsidRPr="004963EE">
        <w:rPr>
          <w:rFonts w:ascii="Times New Roman" w:hAnsi="Times New Roman"/>
        </w:rPr>
        <w:t xml:space="preserve"> by </w:t>
      </w:r>
      <w:r w:rsidR="001A2672" w:rsidRPr="004963EE">
        <w:rPr>
          <w:rFonts w:ascii="Times New Roman" w:hAnsi="Times New Roman"/>
        </w:rPr>
        <w:t>d</w:t>
      </w:r>
      <w:r w:rsidR="00591F77" w:rsidRPr="004963EE">
        <w:rPr>
          <w:rFonts w:ascii="Times New Roman" w:hAnsi="Times New Roman"/>
        </w:rPr>
        <w:t xml:space="preserve">eterminations that apply criteria of an undifferentiated, if not </w:t>
      </w:r>
      <w:r w:rsidR="006402D6" w:rsidRPr="004963EE">
        <w:rPr>
          <w:rFonts w:ascii="Times New Roman" w:hAnsi="Times New Roman"/>
        </w:rPr>
        <w:t>absolute</w:t>
      </w:r>
      <w:r w:rsidR="00591F77" w:rsidRPr="004963EE">
        <w:rPr>
          <w:rFonts w:ascii="Times New Roman" w:hAnsi="Times New Roman"/>
        </w:rPr>
        <w:t>, nature.</w:t>
      </w:r>
      <w:r w:rsidR="00411B59" w:rsidRPr="004963EE">
        <w:rPr>
          <w:rFonts w:ascii="Times New Roman" w:hAnsi="Times New Roman"/>
        </w:rPr>
        <w:t xml:space="preserve"> </w:t>
      </w:r>
      <w:r w:rsidR="00492C2E" w:rsidRPr="004963EE">
        <w:rPr>
          <w:rFonts w:ascii="Times New Roman" w:hAnsi="Times New Roman"/>
        </w:rPr>
        <w:t>That is because,</w:t>
      </w:r>
      <w:r w:rsidR="00411B59" w:rsidRPr="004963EE">
        <w:rPr>
          <w:rFonts w:ascii="Times New Roman" w:hAnsi="Times New Roman"/>
        </w:rPr>
        <w:t xml:space="preserve"> in each </w:t>
      </w:r>
      <w:r w:rsidR="00FD750B" w:rsidRPr="004963EE">
        <w:rPr>
          <w:rFonts w:ascii="Times New Roman" w:hAnsi="Times New Roman"/>
        </w:rPr>
        <w:t>case</w:t>
      </w:r>
      <w:r w:rsidR="00150452" w:rsidRPr="004963EE">
        <w:rPr>
          <w:rFonts w:ascii="Times New Roman" w:hAnsi="Times New Roman"/>
        </w:rPr>
        <w:t>,</w:t>
      </w:r>
      <w:r w:rsidR="00FD750B" w:rsidRPr="004963EE">
        <w:rPr>
          <w:rFonts w:ascii="Times New Roman" w:hAnsi="Times New Roman"/>
        </w:rPr>
        <w:t xml:space="preserve"> </w:t>
      </w:r>
      <w:r w:rsidR="00411B59" w:rsidRPr="004963EE">
        <w:rPr>
          <w:rFonts w:ascii="Times New Roman" w:hAnsi="Times New Roman"/>
        </w:rPr>
        <w:t xml:space="preserve">discrete contractual obligations to pay rent, </w:t>
      </w:r>
      <w:r w:rsidR="004D4701" w:rsidRPr="004963EE">
        <w:rPr>
          <w:rFonts w:ascii="Times New Roman" w:hAnsi="Times New Roman"/>
        </w:rPr>
        <w:t>which differed</w:t>
      </w:r>
      <w:r w:rsidR="00411B59" w:rsidRPr="004963EE">
        <w:rPr>
          <w:rFonts w:ascii="Times New Roman" w:hAnsi="Times New Roman"/>
        </w:rPr>
        <w:t xml:space="preserve"> between </w:t>
      </w:r>
      <w:r w:rsidR="001A2672" w:rsidRPr="004963EE">
        <w:rPr>
          <w:rFonts w:ascii="Times New Roman" w:hAnsi="Times New Roman"/>
        </w:rPr>
        <w:t>tenancy agreements</w:t>
      </w:r>
      <w:r w:rsidR="00411B59" w:rsidRPr="004963EE">
        <w:rPr>
          <w:rFonts w:ascii="Times New Roman" w:hAnsi="Times New Roman"/>
        </w:rPr>
        <w:t xml:space="preserve">, </w:t>
      </w:r>
      <w:r w:rsidR="00FD750B" w:rsidRPr="004963EE">
        <w:rPr>
          <w:rFonts w:ascii="Times New Roman" w:hAnsi="Times New Roman"/>
        </w:rPr>
        <w:t>and</w:t>
      </w:r>
      <w:r w:rsidR="00150452" w:rsidRPr="004963EE">
        <w:rPr>
          <w:rFonts w:ascii="Times New Roman" w:hAnsi="Times New Roman"/>
        </w:rPr>
        <w:t xml:space="preserve"> which were</w:t>
      </w:r>
      <w:r w:rsidR="00FD750B" w:rsidRPr="004963EE">
        <w:rPr>
          <w:rFonts w:ascii="Times New Roman" w:hAnsi="Times New Roman"/>
        </w:rPr>
        <w:t xml:space="preserve"> owed independently by each tenant, were </w:t>
      </w:r>
      <w:r w:rsidR="00150452" w:rsidRPr="004963EE">
        <w:rPr>
          <w:rFonts w:ascii="Times New Roman" w:hAnsi="Times New Roman"/>
        </w:rPr>
        <w:t xml:space="preserve">entirely </w:t>
      </w:r>
      <w:r w:rsidR="00FD750B" w:rsidRPr="004963EE">
        <w:rPr>
          <w:rFonts w:ascii="Times New Roman" w:hAnsi="Times New Roman"/>
        </w:rPr>
        <w:t>replaced.</w:t>
      </w:r>
    </w:p>
    <w:p w14:paraId="5565F8FF" w14:textId="329ED875" w:rsidR="005E6552" w:rsidRPr="004963EE" w:rsidRDefault="000857B3"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220472" w:rsidRPr="004963EE">
        <w:rPr>
          <w:rFonts w:ascii="Times New Roman" w:hAnsi="Times New Roman"/>
        </w:rPr>
        <w:t>Here</w:t>
      </w:r>
      <w:r w:rsidR="005F0B65" w:rsidRPr="004963EE">
        <w:rPr>
          <w:rFonts w:ascii="Times New Roman" w:hAnsi="Times New Roman"/>
        </w:rPr>
        <w:t>,</w:t>
      </w:r>
      <w:r w:rsidR="00220472" w:rsidRPr="004963EE">
        <w:rPr>
          <w:rFonts w:ascii="Times New Roman" w:hAnsi="Times New Roman"/>
        </w:rPr>
        <w:t xml:space="preserve"> not only did the </w:t>
      </w:r>
      <w:r w:rsidR="00E424A4" w:rsidRPr="004963EE">
        <w:rPr>
          <w:rFonts w:ascii="Times New Roman" w:hAnsi="Times New Roman"/>
        </w:rPr>
        <w:t>D</w:t>
      </w:r>
      <w:r w:rsidR="00220472" w:rsidRPr="004963EE">
        <w:rPr>
          <w:rFonts w:ascii="Times New Roman" w:hAnsi="Times New Roman"/>
        </w:rPr>
        <w:t xml:space="preserve">eterminations </w:t>
      </w:r>
      <w:r w:rsidR="00B335ED" w:rsidRPr="004963EE">
        <w:rPr>
          <w:rFonts w:ascii="Times New Roman" w:hAnsi="Times New Roman"/>
        </w:rPr>
        <w:t xml:space="preserve">substantially </w:t>
      </w:r>
      <w:r w:rsidR="00220472" w:rsidRPr="004963EE">
        <w:rPr>
          <w:rFonts w:ascii="Times New Roman" w:hAnsi="Times New Roman"/>
        </w:rPr>
        <w:t xml:space="preserve">affect the tenants </w:t>
      </w:r>
      <w:r w:rsidR="00B335ED" w:rsidRPr="004963EE">
        <w:rPr>
          <w:rFonts w:ascii="Times New Roman" w:hAnsi="Times New Roman"/>
        </w:rPr>
        <w:t xml:space="preserve">in a way </w:t>
      </w:r>
      <w:r w:rsidR="00122502" w:rsidRPr="004963EE">
        <w:rPr>
          <w:rFonts w:ascii="Times New Roman" w:hAnsi="Times New Roman"/>
        </w:rPr>
        <w:t xml:space="preserve">that was </w:t>
      </w:r>
      <w:r w:rsidR="00B335ED" w:rsidRPr="004963EE">
        <w:rPr>
          <w:rFonts w:ascii="Times New Roman" w:hAnsi="Times New Roman"/>
        </w:rPr>
        <w:t>different from the public at large</w:t>
      </w:r>
      <w:r w:rsidR="005F0B65" w:rsidRPr="004963EE">
        <w:rPr>
          <w:rFonts w:ascii="Times New Roman" w:hAnsi="Times New Roman"/>
        </w:rPr>
        <w:t xml:space="preserve">; </w:t>
      </w:r>
      <w:r w:rsidR="00DA72CB" w:rsidRPr="004963EE">
        <w:rPr>
          <w:rFonts w:ascii="Times New Roman" w:hAnsi="Times New Roman"/>
        </w:rPr>
        <w:t>they</w:t>
      </w:r>
      <w:r w:rsidR="005F0B65" w:rsidRPr="004963EE">
        <w:rPr>
          <w:rFonts w:ascii="Times New Roman" w:hAnsi="Times New Roman"/>
        </w:rPr>
        <w:t xml:space="preserve"> also affected each tenant differently from each other</w:t>
      </w:r>
      <w:r w:rsidR="00DA72CB" w:rsidRPr="004963EE">
        <w:rPr>
          <w:rFonts w:ascii="Times New Roman" w:hAnsi="Times New Roman"/>
        </w:rPr>
        <w:t>,</w:t>
      </w:r>
      <w:r w:rsidR="00A2040F" w:rsidRPr="004963EE">
        <w:rPr>
          <w:rFonts w:ascii="Times New Roman" w:hAnsi="Times New Roman"/>
        </w:rPr>
        <w:t xml:space="preserve"> given</w:t>
      </w:r>
      <w:r w:rsidR="0072252E" w:rsidRPr="004963EE">
        <w:rPr>
          <w:rFonts w:ascii="Times New Roman" w:hAnsi="Times New Roman"/>
        </w:rPr>
        <w:t xml:space="preserve"> they impacted individual contractual rights </w:t>
      </w:r>
      <w:r w:rsidR="00380B83" w:rsidRPr="004963EE">
        <w:rPr>
          <w:rFonts w:ascii="Times New Roman" w:hAnsi="Times New Roman"/>
        </w:rPr>
        <w:t>and given the future application of the Safety Net policy</w:t>
      </w:r>
      <w:r w:rsidR="00A2040F" w:rsidRPr="004963EE">
        <w:rPr>
          <w:rFonts w:ascii="Times New Roman" w:hAnsi="Times New Roman"/>
        </w:rPr>
        <w:t>.</w:t>
      </w:r>
      <w:r w:rsidR="00C81101" w:rsidRPr="004963EE">
        <w:rPr>
          <w:rFonts w:ascii="Times New Roman" w:hAnsi="Times New Roman"/>
        </w:rPr>
        <w:t xml:space="preserve"> </w:t>
      </w:r>
      <w:r w:rsidR="00506F82" w:rsidRPr="004963EE">
        <w:rPr>
          <w:rFonts w:ascii="Times New Roman" w:hAnsi="Times New Roman"/>
        </w:rPr>
        <w:t xml:space="preserve">In that respect, the power conferred by s 23 </w:t>
      </w:r>
      <w:r w:rsidR="00CC04EF" w:rsidRPr="004963EE">
        <w:rPr>
          <w:rFonts w:ascii="Times New Roman" w:hAnsi="Times New Roman"/>
        </w:rPr>
        <w:t xml:space="preserve">of the </w:t>
      </w:r>
      <w:r w:rsidR="00CC04EF" w:rsidRPr="004963EE">
        <w:rPr>
          <w:rFonts w:ascii="Times New Roman" w:hAnsi="Times New Roman"/>
          <w:i/>
          <w:iCs/>
        </w:rPr>
        <w:t>Housing Act</w:t>
      </w:r>
      <w:r w:rsidR="00CC04EF" w:rsidRPr="004963EE">
        <w:rPr>
          <w:rFonts w:ascii="Times New Roman" w:hAnsi="Times New Roman"/>
        </w:rPr>
        <w:t xml:space="preserve"> </w:t>
      </w:r>
      <w:r w:rsidR="00506F82" w:rsidRPr="004963EE">
        <w:rPr>
          <w:rFonts w:ascii="Times New Roman" w:hAnsi="Times New Roman"/>
        </w:rPr>
        <w:t>authorised the Minister to have regard to the positions of individual tenants.</w:t>
      </w:r>
      <w:r w:rsidR="00C81101" w:rsidRPr="004963EE">
        <w:rPr>
          <w:rFonts w:ascii="Times New Roman" w:hAnsi="Times New Roman"/>
        </w:rPr>
        <w:t xml:space="preserve"> </w:t>
      </w:r>
      <w:r w:rsidR="00AA4BC6" w:rsidRPr="004963EE">
        <w:rPr>
          <w:rFonts w:ascii="Times New Roman" w:hAnsi="Times New Roman"/>
        </w:rPr>
        <w:t>The circumstances of this case thus engaged the foregoing</w:t>
      </w:r>
      <w:r w:rsidR="006558EB" w:rsidRPr="004963EE">
        <w:rPr>
          <w:rFonts w:ascii="Times New Roman" w:hAnsi="Times New Roman"/>
        </w:rPr>
        <w:t xml:space="preserve"> dispositive</w:t>
      </w:r>
      <w:r w:rsidR="00AA4BC6" w:rsidRPr="004963EE">
        <w:rPr>
          <w:rFonts w:ascii="Times New Roman" w:hAnsi="Times New Roman"/>
        </w:rPr>
        <w:t xml:space="preserve"> passage</w:t>
      </w:r>
      <w:r w:rsidR="00C827EE" w:rsidRPr="004963EE">
        <w:rPr>
          <w:rFonts w:ascii="Times New Roman" w:hAnsi="Times New Roman"/>
        </w:rPr>
        <w:t xml:space="preserve"> from the reasons of Brennan</w:t>
      </w:r>
      <w:r w:rsidR="003A519B" w:rsidRPr="004963EE">
        <w:rPr>
          <w:rFonts w:ascii="Times New Roman" w:hAnsi="Times New Roman"/>
        </w:rPr>
        <w:t> </w:t>
      </w:r>
      <w:r w:rsidR="00C827EE" w:rsidRPr="004963EE">
        <w:rPr>
          <w:rFonts w:ascii="Times New Roman" w:hAnsi="Times New Roman"/>
        </w:rPr>
        <w:t>J</w:t>
      </w:r>
      <w:r w:rsidR="006558EB" w:rsidRPr="004963EE">
        <w:rPr>
          <w:rFonts w:ascii="Times New Roman" w:hAnsi="Times New Roman"/>
        </w:rPr>
        <w:t xml:space="preserve"> in </w:t>
      </w:r>
      <w:r w:rsidR="006558EB" w:rsidRPr="004963EE">
        <w:rPr>
          <w:rFonts w:ascii="Times New Roman" w:hAnsi="Times New Roman"/>
          <w:i/>
          <w:iCs/>
        </w:rPr>
        <w:t>Kioa</w:t>
      </w:r>
      <w:r w:rsidR="00AA4BC6" w:rsidRPr="004963EE">
        <w:rPr>
          <w:rFonts w:ascii="Times New Roman" w:hAnsi="Times New Roman"/>
        </w:rPr>
        <w:t xml:space="preserve">; the Minister was bound </w:t>
      </w:r>
      <w:r w:rsidR="0008731F" w:rsidRPr="004963EE">
        <w:rPr>
          <w:rFonts w:ascii="Times New Roman" w:hAnsi="Times New Roman"/>
        </w:rPr>
        <w:t>to afford procedural fairness to the appellants</w:t>
      </w:r>
      <w:r w:rsidR="00AA4BC6" w:rsidRPr="004963EE">
        <w:rPr>
          <w:rFonts w:ascii="Times New Roman" w:hAnsi="Times New Roman"/>
        </w:rPr>
        <w:t>.</w:t>
      </w:r>
      <w:r w:rsidR="0008731F" w:rsidRPr="004963EE">
        <w:rPr>
          <w:rFonts w:ascii="Times New Roman" w:hAnsi="Times New Roman"/>
        </w:rPr>
        <w:t xml:space="preserve"> This was not an exceptional case where the obligation to afford procedural fairness had no content. This case involved the application of settled legal principles to a standard statutory power.</w:t>
      </w:r>
      <w:r w:rsidR="00C81101" w:rsidRPr="004963EE">
        <w:rPr>
          <w:rFonts w:ascii="Times New Roman" w:hAnsi="Times New Roman"/>
        </w:rPr>
        <w:t xml:space="preserve"> </w:t>
      </w:r>
      <w:r w:rsidR="000B08AC" w:rsidRPr="004963EE">
        <w:rPr>
          <w:rFonts w:ascii="Times New Roman" w:hAnsi="Times New Roman"/>
        </w:rPr>
        <w:t>In that respect, i</w:t>
      </w:r>
      <w:r w:rsidR="0035717E" w:rsidRPr="004963EE">
        <w:rPr>
          <w:rFonts w:ascii="Times New Roman" w:hAnsi="Times New Roman"/>
        </w:rPr>
        <w:t xml:space="preserve">t is sufficient to accept the expression of the minimum requirements for affording procedural fairness </w:t>
      </w:r>
      <w:r w:rsidR="005E6552" w:rsidRPr="004963EE">
        <w:rPr>
          <w:rFonts w:ascii="Times New Roman" w:hAnsi="Times New Roman"/>
        </w:rPr>
        <w:t>contended for by the appellants.</w:t>
      </w:r>
    </w:p>
    <w:p w14:paraId="318965E3" w14:textId="3BA0C719" w:rsidR="00446FD8" w:rsidRPr="004963EE" w:rsidRDefault="00446FD8"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D9600A" w:rsidRPr="004963EE">
        <w:rPr>
          <w:rFonts w:ascii="Times New Roman" w:hAnsi="Times New Roman"/>
        </w:rPr>
        <w:t xml:space="preserve">The respondents contended, correctly, that the appellants' reliance upon ss 41 and 42 of the </w:t>
      </w:r>
      <w:r w:rsidR="00D9600A" w:rsidRPr="004963EE">
        <w:rPr>
          <w:rFonts w:ascii="Times New Roman" w:hAnsi="Times New Roman"/>
          <w:i/>
          <w:iCs/>
        </w:rPr>
        <w:t>RT Act</w:t>
      </w:r>
      <w:r w:rsidR="00D9600A" w:rsidRPr="004963EE">
        <w:rPr>
          <w:rFonts w:ascii="Times New Roman" w:hAnsi="Times New Roman"/>
        </w:rPr>
        <w:t xml:space="preserve"> was misconceived. As to s 41, none of the tenancy agreements before this Court contained a clause specifying a right to increase rent. Moreover, nothing in s 41 could limit the power conferred on the </w:t>
      </w:r>
      <w:r w:rsidR="006C137B" w:rsidRPr="004963EE">
        <w:rPr>
          <w:rFonts w:ascii="Times New Roman" w:hAnsi="Times New Roman"/>
        </w:rPr>
        <w:t xml:space="preserve">Relevant </w:t>
      </w:r>
      <w:r w:rsidR="00D9600A" w:rsidRPr="004963EE">
        <w:rPr>
          <w:rFonts w:ascii="Times New Roman" w:hAnsi="Times New Roman"/>
        </w:rPr>
        <w:t xml:space="preserve">Minister under s 23 of the </w:t>
      </w:r>
      <w:r w:rsidR="00D9600A" w:rsidRPr="004963EE">
        <w:rPr>
          <w:rFonts w:ascii="Times New Roman" w:hAnsi="Times New Roman"/>
          <w:i/>
          <w:iCs/>
        </w:rPr>
        <w:t>Housing Act</w:t>
      </w:r>
      <w:r w:rsidR="00D9600A" w:rsidRPr="004963EE">
        <w:rPr>
          <w:rFonts w:ascii="Times New Roman" w:hAnsi="Times New Roman"/>
        </w:rPr>
        <w:t xml:space="preserve">. </w:t>
      </w:r>
      <w:proofErr w:type="gramStart"/>
      <w:r w:rsidR="00D9600A" w:rsidRPr="004963EE">
        <w:rPr>
          <w:rFonts w:ascii="Times New Roman" w:hAnsi="Times New Roman"/>
        </w:rPr>
        <w:t>All of</w:t>
      </w:r>
      <w:proofErr w:type="gramEnd"/>
      <w:r w:rsidR="00D9600A" w:rsidRPr="004963EE">
        <w:rPr>
          <w:rFonts w:ascii="Times New Roman" w:hAnsi="Times New Roman"/>
        </w:rPr>
        <w:t xml:space="preserve"> the leases remained subject to the possible exercise of that power; the appellants accepted that. As to s 42, it did not apply because s 41 was not engaged and it only applied to rent "payable under a tenancy agreement" and not rent payable under a determination made pursuant to s 23. </w:t>
      </w:r>
      <w:r w:rsidR="008F3D6F" w:rsidRPr="004963EE">
        <w:rPr>
          <w:rFonts w:ascii="Times New Roman" w:hAnsi="Times New Roman"/>
        </w:rPr>
        <w:t>However, as seen above, the Determinations remained apt to adversely affect</w:t>
      </w:r>
      <w:r w:rsidR="00014620" w:rsidRPr="004963EE">
        <w:rPr>
          <w:rFonts w:ascii="Times New Roman" w:hAnsi="Times New Roman"/>
        </w:rPr>
        <w:t xml:space="preserve"> the</w:t>
      </w:r>
      <w:r w:rsidR="008F3D6F" w:rsidRPr="004963EE">
        <w:rPr>
          <w:rFonts w:ascii="Times New Roman" w:hAnsi="Times New Roman"/>
        </w:rPr>
        <w:t xml:space="preserve"> rights and interests </w:t>
      </w:r>
      <w:r w:rsidR="00C47536" w:rsidRPr="004963EE">
        <w:rPr>
          <w:rFonts w:ascii="Times New Roman" w:hAnsi="Times New Roman"/>
        </w:rPr>
        <w:t>of the appellants in respect of their dwellings and the rent payable for those dwellings.</w:t>
      </w:r>
    </w:p>
    <w:p w14:paraId="0D6D3C15" w14:textId="6805AA37" w:rsidR="00BD6F6B" w:rsidRPr="004963EE" w:rsidRDefault="005E6552"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3324CC" w:rsidRPr="004963EE">
        <w:rPr>
          <w:rFonts w:ascii="Times New Roman" w:hAnsi="Times New Roman"/>
        </w:rPr>
        <w:t>T</w:t>
      </w:r>
      <w:r w:rsidR="00C827EE" w:rsidRPr="004963EE">
        <w:rPr>
          <w:rFonts w:ascii="Times New Roman" w:hAnsi="Times New Roman"/>
        </w:rPr>
        <w:t>he respondents</w:t>
      </w:r>
      <w:r w:rsidR="003324CC" w:rsidRPr="004963EE">
        <w:rPr>
          <w:rFonts w:ascii="Times New Roman" w:hAnsi="Times New Roman"/>
        </w:rPr>
        <w:t xml:space="preserve"> advance</w:t>
      </w:r>
      <w:r w:rsidR="00AB674F" w:rsidRPr="004963EE">
        <w:rPr>
          <w:rFonts w:ascii="Times New Roman" w:hAnsi="Times New Roman"/>
        </w:rPr>
        <w:t>d</w:t>
      </w:r>
      <w:r w:rsidR="003324CC" w:rsidRPr="004963EE">
        <w:rPr>
          <w:rFonts w:ascii="Times New Roman" w:hAnsi="Times New Roman"/>
        </w:rPr>
        <w:t xml:space="preserve"> </w:t>
      </w:r>
      <w:r w:rsidR="00EE043F" w:rsidRPr="004963EE">
        <w:rPr>
          <w:rFonts w:ascii="Times New Roman" w:hAnsi="Times New Roman"/>
        </w:rPr>
        <w:t>a proposition</w:t>
      </w:r>
      <w:r w:rsidR="000F7565" w:rsidRPr="004963EE">
        <w:rPr>
          <w:rFonts w:ascii="Times New Roman" w:hAnsi="Times New Roman"/>
        </w:rPr>
        <w:t xml:space="preserve"> to the effect</w:t>
      </w:r>
      <w:r w:rsidRPr="004963EE">
        <w:rPr>
          <w:rFonts w:ascii="Times New Roman" w:hAnsi="Times New Roman"/>
        </w:rPr>
        <w:t xml:space="preserve"> that a decision maker, in whom is reposed a very general statutory power or discretion, can reduce the standard of procedural fairness to "nothingness"</w:t>
      </w:r>
      <w:r w:rsidR="00220472" w:rsidRPr="004963EE">
        <w:rPr>
          <w:rFonts w:ascii="Times New Roman" w:hAnsi="Times New Roman"/>
        </w:rPr>
        <w:t xml:space="preserve"> </w:t>
      </w:r>
      <w:r w:rsidR="00EE6620" w:rsidRPr="004963EE">
        <w:rPr>
          <w:rFonts w:ascii="Times New Roman" w:hAnsi="Times New Roman"/>
        </w:rPr>
        <w:t xml:space="preserve">simply </w:t>
      </w:r>
      <w:r w:rsidRPr="004963EE">
        <w:rPr>
          <w:rFonts w:ascii="Times New Roman" w:hAnsi="Times New Roman"/>
        </w:rPr>
        <w:t xml:space="preserve">by deciding that the interests of </w:t>
      </w:r>
      <w:r w:rsidR="00A55F73" w:rsidRPr="004963EE">
        <w:rPr>
          <w:rFonts w:ascii="Times New Roman" w:hAnsi="Times New Roman"/>
        </w:rPr>
        <w:t xml:space="preserve">those affected </w:t>
      </w:r>
      <w:r w:rsidR="00755366" w:rsidRPr="004963EE">
        <w:rPr>
          <w:rFonts w:ascii="Times New Roman" w:hAnsi="Times New Roman"/>
        </w:rPr>
        <w:t>are</w:t>
      </w:r>
      <w:r w:rsidR="00A55F73" w:rsidRPr="004963EE">
        <w:rPr>
          <w:rFonts w:ascii="Times New Roman" w:hAnsi="Times New Roman"/>
        </w:rPr>
        <w:t xml:space="preserve"> irrelevant.</w:t>
      </w:r>
      <w:r w:rsidR="00C95F36" w:rsidRPr="004963EE">
        <w:rPr>
          <w:rFonts w:ascii="Times New Roman" w:hAnsi="Times New Roman"/>
        </w:rPr>
        <w:t xml:space="preserve"> </w:t>
      </w:r>
      <w:r w:rsidR="00EE043F" w:rsidRPr="004963EE">
        <w:rPr>
          <w:rFonts w:ascii="Times New Roman" w:hAnsi="Times New Roman"/>
        </w:rPr>
        <w:t>That proposition cannot be accepted.</w:t>
      </w:r>
      <w:r w:rsidR="00C81101" w:rsidRPr="004963EE">
        <w:rPr>
          <w:rFonts w:ascii="Times New Roman" w:hAnsi="Times New Roman"/>
        </w:rPr>
        <w:t xml:space="preserve"> </w:t>
      </w:r>
      <w:r w:rsidR="00EB5BD1" w:rsidRPr="004963EE">
        <w:rPr>
          <w:rFonts w:ascii="Times New Roman" w:hAnsi="Times New Roman"/>
        </w:rPr>
        <w:lastRenderedPageBreak/>
        <w:t>Determinedly</w:t>
      </w:r>
      <w:r w:rsidR="007559E8" w:rsidRPr="004963EE">
        <w:rPr>
          <w:rFonts w:ascii="Times New Roman" w:hAnsi="Times New Roman"/>
        </w:rPr>
        <w:t xml:space="preserve"> held </w:t>
      </w:r>
      <w:r w:rsidR="00842FC5" w:rsidRPr="004963EE">
        <w:rPr>
          <w:rFonts w:ascii="Times New Roman" w:hAnsi="Times New Roman"/>
        </w:rPr>
        <w:t>indifference</w:t>
      </w:r>
      <w:r w:rsidR="007559E8" w:rsidRPr="004963EE">
        <w:rPr>
          <w:rFonts w:ascii="Times New Roman" w:hAnsi="Times New Roman"/>
        </w:rPr>
        <w:t xml:space="preserve"> does not elim</w:t>
      </w:r>
      <w:r w:rsidR="00E85CAF" w:rsidRPr="004963EE">
        <w:rPr>
          <w:rFonts w:ascii="Times New Roman" w:hAnsi="Times New Roman"/>
        </w:rPr>
        <w:t>inate</w:t>
      </w:r>
      <w:r w:rsidR="00EB5BD1" w:rsidRPr="004963EE">
        <w:rPr>
          <w:rFonts w:ascii="Times New Roman" w:hAnsi="Times New Roman"/>
        </w:rPr>
        <w:t xml:space="preserve"> the need for</w:t>
      </w:r>
      <w:r w:rsidR="00E85CAF" w:rsidRPr="004963EE">
        <w:rPr>
          <w:rFonts w:ascii="Times New Roman" w:hAnsi="Times New Roman"/>
        </w:rPr>
        <w:t xml:space="preserve"> meaningful consultation where, as here, the exercise of power may adversely </w:t>
      </w:r>
      <w:r w:rsidR="00EB5BD1" w:rsidRPr="004963EE">
        <w:rPr>
          <w:rFonts w:ascii="Times New Roman" w:hAnsi="Times New Roman"/>
        </w:rPr>
        <w:t>affect</w:t>
      </w:r>
      <w:r w:rsidR="00E85CAF" w:rsidRPr="004963EE">
        <w:rPr>
          <w:rFonts w:ascii="Times New Roman" w:hAnsi="Times New Roman"/>
        </w:rPr>
        <w:t xml:space="preserve"> </w:t>
      </w:r>
      <w:r w:rsidR="00E84AC0" w:rsidRPr="004963EE">
        <w:rPr>
          <w:rFonts w:ascii="Times New Roman" w:hAnsi="Times New Roman"/>
        </w:rPr>
        <w:t xml:space="preserve">the rights or interests of </w:t>
      </w:r>
      <w:r w:rsidR="00E85CAF" w:rsidRPr="004963EE">
        <w:rPr>
          <w:rFonts w:ascii="Times New Roman" w:hAnsi="Times New Roman"/>
        </w:rPr>
        <w:t>an individual or individuals.</w:t>
      </w:r>
      <w:r w:rsidR="00C81101" w:rsidRPr="004963EE">
        <w:rPr>
          <w:rFonts w:ascii="Times New Roman" w:hAnsi="Times New Roman"/>
        </w:rPr>
        <w:t xml:space="preserve"> </w:t>
      </w:r>
      <w:r w:rsidR="003E53B1" w:rsidRPr="004963EE">
        <w:rPr>
          <w:rFonts w:ascii="Times New Roman" w:hAnsi="Times New Roman"/>
        </w:rPr>
        <w:t>Affording</w:t>
      </w:r>
      <w:r w:rsidR="00573407" w:rsidRPr="004963EE">
        <w:rPr>
          <w:rFonts w:ascii="Times New Roman" w:hAnsi="Times New Roman"/>
        </w:rPr>
        <w:t xml:space="preserve"> procedural fairness </w:t>
      </w:r>
      <w:r w:rsidR="003E53B1" w:rsidRPr="004963EE">
        <w:rPr>
          <w:rFonts w:ascii="Times New Roman" w:hAnsi="Times New Roman"/>
        </w:rPr>
        <w:t xml:space="preserve">in such circumstances </w:t>
      </w:r>
      <w:r w:rsidR="007F31EF" w:rsidRPr="004963EE">
        <w:rPr>
          <w:rFonts w:ascii="Times New Roman" w:hAnsi="Times New Roman"/>
        </w:rPr>
        <w:t xml:space="preserve">may be more important in </w:t>
      </w:r>
      <w:r w:rsidR="00C15242" w:rsidRPr="004963EE">
        <w:rPr>
          <w:rFonts w:ascii="Times New Roman" w:hAnsi="Times New Roman"/>
        </w:rPr>
        <w:t>ensuring an opportunity of raising for consideration matters which are not already obvious.</w:t>
      </w:r>
      <w:r w:rsidR="004B69D6" w:rsidRPr="004963EE">
        <w:rPr>
          <w:rStyle w:val="FootnoteReference"/>
          <w:rFonts w:ascii="Times New Roman" w:hAnsi="Times New Roman"/>
          <w:sz w:val="24"/>
        </w:rPr>
        <w:footnoteReference w:id="34"/>
      </w:r>
    </w:p>
    <w:p w14:paraId="1B1AC274" w14:textId="1520992F" w:rsidR="00C114A4" w:rsidRPr="004963EE" w:rsidRDefault="00BD6F6B"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0A47D8" w:rsidRPr="004963EE">
        <w:rPr>
          <w:rFonts w:ascii="Times New Roman" w:hAnsi="Times New Roman"/>
        </w:rPr>
        <w:t xml:space="preserve">The passages relied upon by the </w:t>
      </w:r>
      <w:r w:rsidR="00B5095B" w:rsidRPr="004963EE">
        <w:rPr>
          <w:rFonts w:ascii="Times New Roman" w:hAnsi="Times New Roman"/>
        </w:rPr>
        <w:t>respondents</w:t>
      </w:r>
      <w:r w:rsidR="000A47D8" w:rsidRPr="004963EE">
        <w:rPr>
          <w:rFonts w:ascii="Times New Roman" w:hAnsi="Times New Roman"/>
        </w:rPr>
        <w:t xml:space="preserve"> in the reasons of Brennan</w:t>
      </w:r>
      <w:r w:rsidR="00F241F6" w:rsidRPr="004963EE">
        <w:rPr>
          <w:rFonts w:ascii="Times New Roman" w:hAnsi="Times New Roman"/>
        </w:rPr>
        <w:t xml:space="preserve"> J </w:t>
      </w:r>
      <w:r w:rsidR="00012CEE" w:rsidRPr="004963EE">
        <w:rPr>
          <w:rFonts w:ascii="Times New Roman" w:hAnsi="Times New Roman"/>
        </w:rPr>
        <w:t xml:space="preserve">in </w:t>
      </w:r>
      <w:r w:rsidR="00012CEE" w:rsidRPr="004963EE">
        <w:rPr>
          <w:rFonts w:ascii="Times New Roman" w:hAnsi="Times New Roman"/>
          <w:i/>
          <w:iCs/>
        </w:rPr>
        <w:t>Kioa</w:t>
      </w:r>
      <w:r w:rsidR="00012CEE" w:rsidRPr="004963EE">
        <w:rPr>
          <w:rFonts w:ascii="Times New Roman" w:hAnsi="Times New Roman"/>
        </w:rPr>
        <w:t xml:space="preserve"> </w:t>
      </w:r>
      <w:r w:rsidR="00EE6620" w:rsidRPr="004963EE">
        <w:rPr>
          <w:rFonts w:ascii="Times New Roman" w:hAnsi="Times New Roman"/>
        </w:rPr>
        <w:t xml:space="preserve">do not stand for </w:t>
      </w:r>
      <w:r w:rsidR="00764004" w:rsidRPr="004963EE">
        <w:rPr>
          <w:rFonts w:ascii="Times New Roman" w:hAnsi="Times New Roman"/>
        </w:rPr>
        <w:t xml:space="preserve">the </w:t>
      </w:r>
      <w:r w:rsidR="00EE6620" w:rsidRPr="004963EE">
        <w:rPr>
          <w:rFonts w:ascii="Times New Roman" w:hAnsi="Times New Roman"/>
        </w:rPr>
        <w:t>proposition</w:t>
      </w:r>
      <w:r w:rsidR="00C2151D" w:rsidRPr="004963EE">
        <w:rPr>
          <w:rFonts w:ascii="Times New Roman" w:hAnsi="Times New Roman"/>
        </w:rPr>
        <w:t xml:space="preserve"> asserted</w:t>
      </w:r>
      <w:r w:rsidR="00EE6620" w:rsidRPr="004963EE">
        <w:rPr>
          <w:rFonts w:ascii="Times New Roman" w:hAnsi="Times New Roman"/>
        </w:rPr>
        <w:t>.</w:t>
      </w:r>
      <w:r w:rsidR="00C81101" w:rsidRPr="004963EE">
        <w:rPr>
          <w:rFonts w:ascii="Times New Roman" w:hAnsi="Times New Roman"/>
        </w:rPr>
        <w:t xml:space="preserve"> </w:t>
      </w:r>
      <w:r w:rsidR="003915B4" w:rsidRPr="004963EE">
        <w:rPr>
          <w:rFonts w:ascii="Times New Roman" w:hAnsi="Times New Roman"/>
        </w:rPr>
        <w:t xml:space="preserve">They </w:t>
      </w:r>
      <w:r w:rsidR="00F370CE" w:rsidRPr="004963EE">
        <w:rPr>
          <w:rFonts w:ascii="Times New Roman" w:hAnsi="Times New Roman"/>
        </w:rPr>
        <w:t>were directed at powers which Brennan</w:t>
      </w:r>
      <w:r w:rsidR="00F241F6" w:rsidRPr="004963EE">
        <w:rPr>
          <w:rFonts w:ascii="Times New Roman" w:hAnsi="Times New Roman"/>
        </w:rPr>
        <w:t> </w:t>
      </w:r>
      <w:r w:rsidR="00F370CE" w:rsidRPr="004963EE">
        <w:rPr>
          <w:rFonts w:ascii="Times New Roman" w:hAnsi="Times New Roman"/>
        </w:rPr>
        <w:t>J considered to be</w:t>
      </w:r>
      <w:r w:rsidR="00E26076" w:rsidRPr="004963EE">
        <w:rPr>
          <w:rFonts w:ascii="Times New Roman" w:hAnsi="Times New Roman"/>
        </w:rPr>
        <w:t>, to use the language of that day,</w:t>
      </w:r>
      <w:r w:rsidR="00F370CE" w:rsidRPr="004963EE">
        <w:rPr>
          <w:rFonts w:ascii="Times New Roman" w:hAnsi="Times New Roman"/>
        </w:rPr>
        <w:t xml:space="preserve"> "legis</w:t>
      </w:r>
      <w:r w:rsidR="004E4EFF" w:rsidRPr="004963EE">
        <w:rPr>
          <w:rFonts w:ascii="Times New Roman" w:hAnsi="Times New Roman"/>
        </w:rPr>
        <w:t>lative"</w:t>
      </w:r>
      <w:r w:rsidR="00995E52" w:rsidRPr="004963EE">
        <w:rPr>
          <w:rStyle w:val="FootnoteReference"/>
          <w:rFonts w:ascii="Times New Roman" w:hAnsi="Times New Roman"/>
          <w:sz w:val="24"/>
        </w:rPr>
        <w:footnoteReference w:id="35"/>
      </w:r>
      <w:r w:rsidR="004E4EFF" w:rsidRPr="004963EE">
        <w:rPr>
          <w:rFonts w:ascii="Times New Roman" w:hAnsi="Times New Roman"/>
        </w:rPr>
        <w:t xml:space="preserve"> in nature</w:t>
      </w:r>
      <w:r w:rsidR="00E26076" w:rsidRPr="004963EE">
        <w:rPr>
          <w:rFonts w:ascii="Times New Roman" w:hAnsi="Times New Roman"/>
        </w:rPr>
        <w:t>,</w:t>
      </w:r>
      <w:r w:rsidR="004E4EFF" w:rsidRPr="004963EE">
        <w:rPr>
          <w:rFonts w:ascii="Times New Roman" w:hAnsi="Times New Roman"/>
        </w:rPr>
        <w:t xml:space="preserve"> </w:t>
      </w:r>
      <w:r w:rsidR="00D3332B" w:rsidRPr="004963EE">
        <w:rPr>
          <w:rFonts w:ascii="Times New Roman" w:hAnsi="Times New Roman"/>
        </w:rPr>
        <w:t>in the sense that</w:t>
      </w:r>
      <w:r w:rsidR="004E4EFF" w:rsidRPr="004963EE">
        <w:rPr>
          <w:rFonts w:ascii="Times New Roman" w:hAnsi="Times New Roman"/>
        </w:rPr>
        <w:t xml:space="preserve"> the power </w:t>
      </w:r>
      <w:r w:rsidR="00D3332B" w:rsidRPr="004963EE">
        <w:rPr>
          <w:rFonts w:ascii="Times New Roman" w:hAnsi="Times New Roman"/>
        </w:rPr>
        <w:t>might</w:t>
      </w:r>
      <w:r w:rsidR="00082285" w:rsidRPr="004963EE">
        <w:rPr>
          <w:rFonts w:ascii="Times New Roman" w:hAnsi="Times New Roman"/>
        </w:rPr>
        <w:t xml:space="preserve"> </w:t>
      </w:r>
      <w:r w:rsidR="00D3332B" w:rsidRPr="004963EE">
        <w:rPr>
          <w:rFonts w:ascii="Times New Roman" w:hAnsi="Times New Roman"/>
        </w:rPr>
        <w:t>affect</w:t>
      </w:r>
      <w:r w:rsidR="00082285" w:rsidRPr="004963EE">
        <w:rPr>
          <w:rFonts w:ascii="Times New Roman" w:hAnsi="Times New Roman"/>
        </w:rPr>
        <w:t xml:space="preserve"> the community as a whole </w:t>
      </w:r>
      <w:r w:rsidR="00942C84" w:rsidRPr="004963EE">
        <w:rPr>
          <w:rFonts w:ascii="Times New Roman" w:hAnsi="Times New Roman"/>
        </w:rPr>
        <w:t>(</w:t>
      </w:r>
      <w:r w:rsidR="00082285" w:rsidRPr="004963EE">
        <w:rPr>
          <w:rFonts w:ascii="Times New Roman" w:hAnsi="Times New Roman"/>
        </w:rPr>
        <w:t>or large sections of it</w:t>
      </w:r>
      <w:proofErr w:type="gramStart"/>
      <w:r w:rsidR="00942C84" w:rsidRPr="004963EE">
        <w:rPr>
          <w:rFonts w:ascii="Times New Roman" w:hAnsi="Times New Roman"/>
        </w:rPr>
        <w:t>)</w:t>
      </w:r>
      <w:r w:rsidR="00E26076" w:rsidRPr="004963EE">
        <w:rPr>
          <w:rFonts w:ascii="Times New Roman" w:hAnsi="Times New Roman"/>
        </w:rPr>
        <w:t>,</w:t>
      </w:r>
      <w:r w:rsidR="00677136" w:rsidRPr="004963EE">
        <w:rPr>
          <w:rFonts w:ascii="Times New Roman" w:hAnsi="Times New Roman"/>
        </w:rPr>
        <w:t xml:space="preserve"> </w:t>
      </w:r>
      <w:r w:rsidR="00D3332B" w:rsidRPr="004963EE">
        <w:rPr>
          <w:rFonts w:ascii="Times New Roman" w:hAnsi="Times New Roman"/>
        </w:rPr>
        <w:t>or</w:t>
      </w:r>
      <w:proofErr w:type="gramEnd"/>
      <w:r w:rsidR="00D3332B" w:rsidRPr="004963EE">
        <w:rPr>
          <w:rFonts w:ascii="Times New Roman" w:hAnsi="Times New Roman"/>
        </w:rPr>
        <w:t xml:space="preserve"> </w:t>
      </w:r>
      <w:r w:rsidR="00677136" w:rsidRPr="004963EE">
        <w:rPr>
          <w:rFonts w:ascii="Times New Roman" w:hAnsi="Times New Roman"/>
        </w:rPr>
        <w:t>concerned</w:t>
      </w:r>
      <w:r w:rsidR="00EF01FE" w:rsidRPr="004963EE">
        <w:rPr>
          <w:rFonts w:ascii="Times New Roman" w:hAnsi="Times New Roman"/>
        </w:rPr>
        <w:t xml:space="preserve"> only</w:t>
      </w:r>
      <w:r w:rsidR="00677136" w:rsidRPr="004963EE">
        <w:rPr>
          <w:rFonts w:ascii="Times New Roman" w:hAnsi="Times New Roman"/>
        </w:rPr>
        <w:t xml:space="preserve"> with issues of "general policy"</w:t>
      </w:r>
      <w:r w:rsidR="00B66A80" w:rsidRPr="004963EE">
        <w:rPr>
          <w:rFonts w:ascii="Times New Roman" w:hAnsi="Times New Roman"/>
        </w:rPr>
        <w:t>.</w:t>
      </w:r>
      <w:r w:rsidR="00887E7D" w:rsidRPr="004963EE">
        <w:rPr>
          <w:rStyle w:val="FootnoteReference"/>
          <w:rFonts w:ascii="Times New Roman" w:hAnsi="Times New Roman"/>
          <w:sz w:val="24"/>
        </w:rPr>
        <w:footnoteReference w:id="36"/>
      </w:r>
      <w:r w:rsidR="00CC1CD1" w:rsidRPr="004963EE">
        <w:rPr>
          <w:rFonts w:ascii="Times New Roman" w:hAnsi="Times New Roman"/>
        </w:rPr>
        <w:t xml:space="preserve"> For the reasons given above, that is not this case.</w:t>
      </w:r>
      <w:r w:rsidR="00C81101" w:rsidRPr="004963EE">
        <w:rPr>
          <w:rFonts w:ascii="Times New Roman" w:hAnsi="Times New Roman"/>
        </w:rPr>
        <w:t xml:space="preserve"> </w:t>
      </w:r>
    </w:p>
    <w:p w14:paraId="0CC0C500" w14:textId="66779AAF" w:rsidR="00C3257A" w:rsidRPr="004963EE" w:rsidRDefault="008C4960"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7E57E7" w:rsidRPr="004963EE">
        <w:rPr>
          <w:rFonts w:ascii="Times New Roman" w:hAnsi="Times New Roman"/>
        </w:rPr>
        <w:t>It may be accepted that</w:t>
      </w:r>
      <w:r w:rsidR="00C81101" w:rsidRPr="004963EE">
        <w:rPr>
          <w:rFonts w:ascii="Times New Roman" w:hAnsi="Times New Roman"/>
        </w:rPr>
        <w:t xml:space="preserve"> s </w:t>
      </w:r>
      <w:r w:rsidR="007E57E7" w:rsidRPr="004963EE">
        <w:rPr>
          <w:rFonts w:ascii="Times New Roman" w:hAnsi="Times New Roman"/>
        </w:rPr>
        <w:t xml:space="preserve">23 </w:t>
      </w:r>
      <w:r w:rsidR="00313BB0" w:rsidRPr="004963EE">
        <w:rPr>
          <w:rFonts w:ascii="Times New Roman" w:hAnsi="Times New Roman"/>
        </w:rPr>
        <w:t xml:space="preserve">of the </w:t>
      </w:r>
      <w:r w:rsidR="00313BB0" w:rsidRPr="004963EE">
        <w:rPr>
          <w:rFonts w:ascii="Times New Roman" w:hAnsi="Times New Roman"/>
          <w:i/>
          <w:iCs/>
        </w:rPr>
        <w:t>Housing Act</w:t>
      </w:r>
      <w:r w:rsidR="00313BB0" w:rsidRPr="004963EE">
        <w:rPr>
          <w:rFonts w:ascii="Times New Roman" w:hAnsi="Times New Roman"/>
        </w:rPr>
        <w:t xml:space="preserve"> </w:t>
      </w:r>
      <w:r w:rsidR="00DF1D70" w:rsidRPr="004963EE">
        <w:rPr>
          <w:rFonts w:ascii="Times New Roman" w:hAnsi="Times New Roman"/>
        </w:rPr>
        <w:t>permit</w:t>
      </w:r>
      <w:r w:rsidR="00037827" w:rsidRPr="004963EE">
        <w:rPr>
          <w:rFonts w:ascii="Times New Roman" w:hAnsi="Times New Roman"/>
        </w:rPr>
        <w:t>s</w:t>
      </w:r>
      <w:r w:rsidR="00DF1D70" w:rsidRPr="004963EE">
        <w:rPr>
          <w:rFonts w:ascii="Times New Roman" w:hAnsi="Times New Roman"/>
        </w:rPr>
        <w:t xml:space="preserve"> the </w:t>
      </w:r>
      <w:r w:rsidR="00A61185" w:rsidRPr="004963EE">
        <w:rPr>
          <w:rFonts w:ascii="Times New Roman" w:hAnsi="Times New Roman"/>
        </w:rPr>
        <w:t xml:space="preserve">Relevant </w:t>
      </w:r>
      <w:r w:rsidR="00DF1D70" w:rsidRPr="004963EE">
        <w:rPr>
          <w:rFonts w:ascii="Times New Roman" w:hAnsi="Times New Roman"/>
        </w:rPr>
        <w:t>Minister to consider matters of policy,</w:t>
      </w:r>
      <w:r w:rsidR="006B6CFF" w:rsidRPr="004963EE">
        <w:rPr>
          <w:rFonts w:ascii="Times New Roman" w:hAnsi="Times New Roman"/>
        </w:rPr>
        <w:t xml:space="preserve"> including</w:t>
      </w:r>
      <w:r w:rsidR="00DF1D70" w:rsidRPr="004963EE">
        <w:rPr>
          <w:rFonts w:ascii="Times New Roman" w:hAnsi="Times New Roman"/>
        </w:rPr>
        <w:t xml:space="preserve"> what is in the public interest.</w:t>
      </w:r>
      <w:r w:rsidR="006B6CFF" w:rsidRPr="004963EE">
        <w:rPr>
          <w:rFonts w:ascii="Times New Roman" w:hAnsi="Times New Roman"/>
        </w:rPr>
        <w:t xml:space="preserve"> </w:t>
      </w:r>
      <w:r w:rsidR="00A21DAD" w:rsidRPr="004963EE">
        <w:rPr>
          <w:rFonts w:ascii="Times New Roman" w:hAnsi="Times New Roman"/>
        </w:rPr>
        <w:t>In that respect</w:t>
      </w:r>
      <w:r w:rsidR="00071F24" w:rsidRPr="004963EE">
        <w:rPr>
          <w:rFonts w:ascii="Times New Roman" w:hAnsi="Times New Roman"/>
        </w:rPr>
        <w:t>,</w:t>
      </w:r>
      <w:r w:rsidR="00A21DAD" w:rsidRPr="004963EE">
        <w:rPr>
          <w:rFonts w:ascii="Times New Roman" w:hAnsi="Times New Roman"/>
        </w:rPr>
        <w:t xml:space="preserve"> </w:t>
      </w:r>
      <w:r w:rsidR="006B6CFF" w:rsidRPr="004963EE">
        <w:rPr>
          <w:rFonts w:ascii="Times New Roman" w:hAnsi="Times New Roman"/>
        </w:rPr>
        <w:t xml:space="preserve">however, </w:t>
      </w:r>
      <w:r w:rsidR="00A21DAD" w:rsidRPr="004963EE">
        <w:rPr>
          <w:rFonts w:ascii="Times New Roman" w:hAnsi="Times New Roman"/>
        </w:rPr>
        <w:t xml:space="preserve">a distinction should be drawn between the formulation of a </w:t>
      </w:r>
      <w:r w:rsidR="006D4143" w:rsidRPr="004963EE">
        <w:rPr>
          <w:rFonts w:ascii="Times New Roman" w:hAnsi="Times New Roman"/>
        </w:rPr>
        <w:t xml:space="preserve">general </w:t>
      </w:r>
      <w:r w:rsidR="00A21DAD" w:rsidRPr="004963EE">
        <w:rPr>
          <w:rFonts w:ascii="Times New Roman" w:hAnsi="Times New Roman"/>
        </w:rPr>
        <w:t xml:space="preserve">policy </w:t>
      </w:r>
      <w:r w:rsidR="007E4A45" w:rsidRPr="004963EE">
        <w:rPr>
          <w:rFonts w:ascii="Times New Roman" w:hAnsi="Times New Roman"/>
        </w:rPr>
        <w:t xml:space="preserve">on one hand, </w:t>
      </w:r>
      <w:r w:rsidR="00A21DAD" w:rsidRPr="004963EE">
        <w:rPr>
          <w:rFonts w:ascii="Times New Roman" w:hAnsi="Times New Roman"/>
        </w:rPr>
        <w:t>and the application of that policy</w:t>
      </w:r>
      <w:r w:rsidR="007E4A45" w:rsidRPr="004963EE">
        <w:rPr>
          <w:rFonts w:ascii="Times New Roman" w:hAnsi="Times New Roman"/>
        </w:rPr>
        <w:t xml:space="preserve"> on the other</w:t>
      </w:r>
      <w:r w:rsidR="00A21DAD" w:rsidRPr="004963EE">
        <w:rPr>
          <w:rFonts w:ascii="Times New Roman" w:hAnsi="Times New Roman"/>
        </w:rPr>
        <w:t>.</w:t>
      </w:r>
      <w:r w:rsidR="00C81101" w:rsidRPr="004963EE">
        <w:rPr>
          <w:rFonts w:ascii="Times New Roman" w:hAnsi="Times New Roman"/>
        </w:rPr>
        <w:t xml:space="preserve"> </w:t>
      </w:r>
      <w:r w:rsidR="00D6426D" w:rsidRPr="004963EE">
        <w:rPr>
          <w:rFonts w:ascii="Times New Roman" w:hAnsi="Times New Roman"/>
        </w:rPr>
        <w:t xml:space="preserve">In the former case, there may be no duty to afford procedural </w:t>
      </w:r>
      <w:r w:rsidR="006D4143" w:rsidRPr="004963EE">
        <w:rPr>
          <w:rFonts w:ascii="Times New Roman" w:hAnsi="Times New Roman"/>
        </w:rPr>
        <w:t>fairness, or the content of any such duty may be minimal.</w:t>
      </w:r>
      <w:r w:rsidR="00C81101" w:rsidRPr="004963EE">
        <w:rPr>
          <w:rFonts w:ascii="Times New Roman" w:hAnsi="Times New Roman"/>
        </w:rPr>
        <w:t xml:space="preserve"> </w:t>
      </w:r>
      <w:r w:rsidR="00E21067" w:rsidRPr="004963EE">
        <w:rPr>
          <w:rFonts w:ascii="Times New Roman" w:hAnsi="Times New Roman"/>
        </w:rPr>
        <w:t xml:space="preserve">The distinction was reaffirmed by the majority in </w:t>
      </w:r>
      <w:r w:rsidR="00E21067" w:rsidRPr="004963EE">
        <w:rPr>
          <w:rFonts w:ascii="Times New Roman" w:hAnsi="Times New Roman"/>
          <w:i/>
          <w:iCs/>
        </w:rPr>
        <w:t>Disorganized Developments</w:t>
      </w:r>
      <w:r w:rsidR="00E24016" w:rsidRPr="004963EE">
        <w:rPr>
          <w:rFonts w:ascii="Times New Roman" w:hAnsi="Times New Roman"/>
        </w:rPr>
        <w:t xml:space="preserve">, </w:t>
      </w:r>
      <w:r w:rsidR="00735C2F" w:rsidRPr="004963EE">
        <w:rPr>
          <w:rFonts w:ascii="Times New Roman" w:hAnsi="Times New Roman"/>
        </w:rPr>
        <w:t>a case concerning the application of a general policy designed to deter criminal activity, but which</w:t>
      </w:r>
      <w:r w:rsidR="003734E0" w:rsidRPr="004963EE">
        <w:rPr>
          <w:rFonts w:ascii="Times New Roman" w:hAnsi="Times New Roman"/>
        </w:rPr>
        <w:t>,</w:t>
      </w:r>
      <w:r w:rsidR="00245256" w:rsidRPr="004963EE">
        <w:rPr>
          <w:rFonts w:ascii="Times New Roman" w:hAnsi="Times New Roman"/>
        </w:rPr>
        <w:t xml:space="preserve"> when</w:t>
      </w:r>
      <w:r w:rsidR="009826C9" w:rsidRPr="004963EE">
        <w:rPr>
          <w:rFonts w:ascii="Times New Roman" w:hAnsi="Times New Roman"/>
        </w:rPr>
        <w:t xml:space="preserve"> applied</w:t>
      </w:r>
      <w:r w:rsidR="003734E0" w:rsidRPr="004963EE">
        <w:rPr>
          <w:rFonts w:ascii="Times New Roman" w:hAnsi="Times New Roman"/>
        </w:rPr>
        <w:t>,</w:t>
      </w:r>
      <w:r w:rsidR="009826C9" w:rsidRPr="004963EE">
        <w:rPr>
          <w:rFonts w:ascii="Times New Roman" w:hAnsi="Times New Roman"/>
        </w:rPr>
        <w:t xml:space="preserve"> </w:t>
      </w:r>
      <w:r w:rsidR="00245256" w:rsidRPr="004963EE">
        <w:rPr>
          <w:rFonts w:ascii="Times New Roman" w:hAnsi="Times New Roman"/>
        </w:rPr>
        <w:t>affected</w:t>
      </w:r>
      <w:r w:rsidR="009826C9" w:rsidRPr="004963EE">
        <w:rPr>
          <w:rFonts w:ascii="Times New Roman" w:hAnsi="Times New Roman"/>
        </w:rPr>
        <w:t xml:space="preserve"> individual portions of land</w:t>
      </w:r>
      <w:r w:rsidR="00A64585" w:rsidRPr="004963EE">
        <w:rPr>
          <w:rFonts w:ascii="Times New Roman" w:hAnsi="Times New Roman"/>
        </w:rPr>
        <w:t xml:space="preserve">, </w:t>
      </w:r>
      <w:r w:rsidR="00940515" w:rsidRPr="004963EE">
        <w:rPr>
          <w:rFonts w:ascii="Times New Roman" w:hAnsi="Times New Roman"/>
        </w:rPr>
        <w:t>designated</w:t>
      </w:r>
      <w:r w:rsidR="00A64585" w:rsidRPr="004963EE">
        <w:rPr>
          <w:rFonts w:ascii="Times New Roman" w:hAnsi="Times New Roman"/>
        </w:rPr>
        <w:t xml:space="preserve"> in</w:t>
      </w:r>
      <w:r w:rsidR="001B6250" w:rsidRPr="004963EE">
        <w:rPr>
          <w:rFonts w:ascii="Times New Roman" w:hAnsi="Times New Roman"/>
        </w:rPr>
        <w:t xml:space="preserve"> connection with</w:t>
      </w:r>
      <w:r w:rsidR="00A64585" w:rsidRPr="004963EE">
        <w:rPr>
          <w:rFonts w:ascii="Times New Roman" w:hAnsi="Times New Roman"/>
        </w:rPr>
        <w:t xml:space="preserve"> </w:t>
      </w:r>
      <w:r w:rsidR="002969BB" w:rsidRPr="004963EE">
        <w:rPr>
          <w:rFonts w:ascii="Times New Roman" w:hAnsi="Times New Roman"/>
        </w:rPr>
        <w:t xml:space="preserve">the </w:t>
      </w:r>
      <w:r w:rsidR="002969BB" w:rsidRPr="004963EE">
        <w:rPr>
          <w:rFonts w:ascii="Times New Roman" w:hAnsi="Times New Roman"/>
          <w:i/>
          <w:iCs/>
        </w:rPr>
        <w:t xml:space="preserve">Criminal Law Consolidation </w:t>
      </w:r>
      <w:r w:rsidR="00EF3A3F" w:rsidRPr="004963EE">
        <w:rPr>
          <w:rFonts w:ascii="Times New Roman" w:hAnsi="Times New Roman"/>
          <w:i/>
          <w:iCs/>
        </w:rPr>
        <w:t>Act 1935</w:t>
      </w:r>
      <w:r w:rsidR="00EF3A3F" w:rsidRPr="004963EE">
        <w:rPr>
          <w:rFonts w:ascii="Times New Roman" w:hAnsi="Times New Roman"/>
        </w:rPr>
        <w:t xml:space="preserve"> (SA) as</w:t>
      </w:r>
      <w:r w:rsidR="00245256" w:rsidRPr="004963EE">
        <w:rPr>
          <w:rFonts w:ascii="Times New Roman" w:hAnsi="Times New Roman"/>
        </w:rPr>
        <w:t xml:space="preserve"> being</w:t>
      </w:r>
      <w:r w:rsidR="00EC4B9D" w:rsidRPr="004963EE">
        <w:rPr>
          <w:rFonts w:ascii="Times New Roman" w:hAnsi="Times New Roman"/>
        </w:rPr>
        <w:t>,</w:t>
      </w:r>
      <w:r w:rsidR="00245256" w:rsidRPr="004963EE">
        <w:rPr>
          <w:rFonts w:ascii="Times New Roman" w:hAnsi="Times New Roman"/>
        </w:rPr>
        <w:t xml:space="preserve"> in each case</w:t>
      </w:r>
      <w:r w:rsidR="000D186B" w:rsidRPr="004963EE">
        <w:rPr>
          <w:rFonts w:ascii="Times New Roman" w:hAnsi="Times New Roman"/>
        </w:rPr>
        <w:t>,</w:t>
      </w:r>
      <w:r w:rsidR="00EF3A3F" w:rsidRPr="004963EE">
        <w:rPr>
          <w:rFonts w:ascii="Times New Roman" w:hAnsi="Times New Roman"/>
        </w:rPr>
        <w:t xml:space="preserve"> a "prescribed place"</w:t>
      </w:r>
      <w:r w:rsidR="00CC3B8C" w:rsidRPr="004963EE">
        <w:rPr>
          <w:rFonts w:ascii="Times New Roman" w:hAnsi="Times New Roman"/>
        </w:rPr>
        <w:t>.</w:t>
      </w:r>
      <w:r w:rsidR="00C81101" w:rsidRPr="004963EE">
        <w:rPr>
          <w:rFonts w:ascii="Times New Roman" w:hAnsi="Times New Roman"/>
        </w:rPr>
        <w:t xml:space="preserve"> </w:t>
      </w:r>
      <w:r w:rsidR="009826C9" w:rsidRPr="004963EE">
        <w:rPr>
          <w:rFonts w:ascii="Times New Roman" w:hAnsi="Times New Roman"/>
        </w:rPr>
        <w:t>The majority said</w:t>
      </w:r>
      <w:r w:rsidR="00E21067" w:rsidRPr="004963EE">
        <w:rPr>
          <w:rFonts w:ascii="Times New Roman" w:hAnsi="Times New Roman"/>
        </w:rPr>
        <w:t>:</w:t>
      </w:r>
      <w:r w:rsidR="00217539" w:rsidRPr="004963EE">
        <w:rPr>
          <w:rStyle w:val="FootnoteReference"/>
          <w:rFonts w:ascii="Times New Roman" w:hAnsi="Times New Roman"/>
          <w:sz w:val="24"/>
        </w:rPr>
        <w:footnoteReference w:id="37"/>
      </w:r>
    </w:p>
    <w:p w14:paraId="28C8039E" w14:textId="77777777" w:rsidR="004963EE" w:rsidRDefault="00B45D4B" w:rsidP="004963EE">
      <w:pPr>
        <w:pStyle w:val="LRIndentafterHC"/>
        <w:spacing w:before="0" w:after="260" w:line="280" w:lineRule="exact"/>
        <w:ind w:right="0"/>
        <w:jc w:val="both"/>
        <w:rPr>
          <w:rFonts w:ascii="Times New Roman" w:hAnsi="Times New Roman"/>
        </w:rPr>
      </w:pPr>
      <w:r w:rsidRPr="004963EE">
        <w:rPr>
          <w:rFonts w:ascii="Times New Roman" w:hAnsi="Times New Roman"/>
        </w:rPr>
        <w:t xml:space="preserve">"Undoubtedly, the focus of the scheme which includes the declaration power is the disruption of criminal activity. In that context, considerations personal to the owners and occupiers of land ordinarily can be expected to be secondary to broader policy considerations. However, the proper exercise of the declaration power requires the identification of facts </w:t>
      </w:r>
      <w:r w:rsidRPr="004963EE">
        <w:rPr>
          <w:rFonts w:ascii="Times New Roman" w:hAnsi="Times New Roman"/>
        </w:rPr>
        <w:lastRenderedPageBreak/>
        <w:t>to connect the proposed prescribed place with the purpose of disruption. In this way, the exercise of the declaration power is an application of the policy to disrupt criminal activity, rather than the formulation of policy</w:t>
      </w:r>
      <w:r w:rsidR="00217539" w:rsidRPr="004963EE">
        <w:rPr>
          <w:rFonts w:ascii="Times New Roman" w:hAnsi="Times New Roman"/>
        </w:rPr>
        <w:t>.</w:t>
      </w:r>
      <w:r w:rsidR="00AC2E23" w:rsidRPr="004963EE">
        <w:rPr>
          <w:rFonts w:ascii="Times New Roman" w:hAnsi="Times New Roman"/>
        </w:rPr>
        <w:t>"</w:t>
      </w:r>
    </w:p>
    <w:p w14:paraId="1858D34C" w14:textId="4E4E3159" w:rsidR="00E21067" w:rsidRPr="004963EE" w:rsidRDefault="005C7922"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1204E3" w:rsidRPr="004963EE">
        <w:rPr>
          <w:rFonts w:ascii="Times New Roman" w:hAnsi="Times New Roman"/>
        </w:rPr>
        <w:t>Here,</w:t>
      </w:r>
      <w:r w:rsidR="0001372B" w:rsidRPr="004963EE">
        <w:rPr>
          <w:rFonts w:ascii="Times New Roman" w:hAnsi="Times New Roman"/>
        </w:rPr>
        <w:t xml:space="preserve"> </w:t>
      </w:r>
      <w:r w:rsidR="00B41136" w:rsidRPr="004963EE">
        <w:rPr>
          <w:rFonts w:ascii="Times New Roman" w:hAnsi="Times New Roman"/>
        </w:rPr>
        <w:t xml:space="preserve">the Government and SAG </w:t>
      </w:r>
      <w:r w:rsidR="0001372B" w:rsidRPr="004963EE">
        <w:rPr>
          <w:rFonts w:ascii="Times New Roman" w:hAnsi="Times New Roman"/>
        </w:rPr>
        <w:t>formulated</w:t>
      </w:r>
      <w:r w:rsidR="00B41136" w:rsidRPr="004963EE">
        <w:rPr>
          <w:rFonts w:ascii="Times New Roman" w:hAnsi="Times New Roman"/>
        </w:rPr>
        <w:t>,</w:t>
      </w:r>
      <w:r w:rsidR="0001372B" w:rsidRPr="004963EE">
        <w:rPr>
          <w:rFonts w:ascii="Times New Roman" w:hAnsi="Times New Roman"/>
        </w:rPr>
        <w:t xml:space="preserve"> and</w:t>
      </w:r>
      <w:r w:rsidR="00B41136" w:rsidRPr="004963EE">
        <w:rPr>
          <w:rFonts w:ascii="Times New Roman" w:hAnsi="Times New Roman"/>
        </w:rPr>
        <w:t xml:space="preserve"> Cabinet</w:t>
      </w:r>
      <w:r w:rsidR="0001372B" w:rsidRPr="004963EE">
        <w:rPr>
          <w:rFonts w:ascii="Times New Roman" w:hAnsi="Times New Roman"/>
        </w:rPr>
        <w:t xml:space="preserve"> approved</w:t>
      </w:r>
      <w:r w:rsidR="00B41136" w:rsidRPr="004963EE">
        <w:rPr>
          <w:rFonts w:ascii="Times New Roman" w:hAnsi="Times New Roman"/>
        </w:rPr>
        <w:t>,</w:t>
      </w:r>
      <w:r w:rsidR="0001372B" w:rsidRPr="004963EE">
        <w:rPr>
          <w:rFonts w:ascii="Times New Roman" w:hAnsi="Times New Roman"/>
        </w:rPr>
        <w:t xml:space="preserve"> the policy to determine</w:t>
      </w:r>
      <w:r w:rsidR="00F6147C" w:rsidRPr="004963EE">
        <w:rPr>
          <w:rFonts w:ascii="Times New Roman" w:hAnsi="Times New Roman"/>
        </w:rPr>
        <w:t xml:space="preserve"> rent payable by reference to </w:t>
      </w:r>
      <w:r w:rsidR="00D55F40" w:rsidRPr="004963EE">
        <w:rPr>
          <w:rFonts w:ascii="Times New Roman" w:hAnsi="Times New Roman"/>
        </w:rPr>
        <w:t>the number of bedrooms in a dwelling</w:t>
      </w:r>
      <w:r w:rsidR="001841D3" w:rsidRPr="004963EE">
        <w:rPr>
          <w:rFonts w:ascii="Times New Roman" w:hAnsi="Times New Roman"/>
        </w:rPr>
        <w:t>.</w:t>
      </w:r>
      <w:r w:rsidR="00C81101" w:rsidRPr="004963EE">
        <w:rPr>
          <w:rFonts w:ascii="Times New Roman" w:hAnsi="Times New Roman"/>
        </w:rPr>
        <w:t xml:space="preserve"> </w:t>
      </w:r>
      <w:r w:rsidR="001841D3" w:rsidRPr="004963EE">
        <w:rPr>
          <w:rFonts w:ascii="Times New Roman" w:hAnsi="Times New Roman"/>
        </w:rPr>
        <w:t xml:space="preserve">The </w:t>
      </w:r>
      <w:r w:rsidR="00022025" w:rsidRPr="004963EE">
        <w:rPr>
          <w:rFonts w:ascii="Times New Roman" w:hAnsi="Times New Roman"/>
        </w:rPr>
        <w:t>D</w:t>
      </w:r>
      <w:r w:rsidR="001841D3" w:rsidRPr="004963EE">
        <w:rPr>
          <w:rFonts w:ascii="Times New Roman" w:hAnsi="Times New Roman"/>
        </w:rPr>
        <w:t>eterminations applied that policy.</w:t>
      </w:r>
      <w:r w:rsidR="00C81101" w:rsidRPr="004963EE">
        <w:rPr>
          <w:rFonts w:ascii="Times New Roman" w:hAnsi="Times New Roman"/>
        </w:rPr>
        <w:t xml:space="preserve"> </w:t>
      </w:r>
      <w:r w:rsidR="001841D3" w:rsidRPr="004963EE">
        <w:rPr>
          <w:rFonts w:ascii="Times New Roman" w:hAnsi="Times New Roman"/>
        </w:rPr>
        <w:t xml:space="preserve">For the reasons given above, the application of each </w:t>
      </w:r>
      <w:r w:rsidR="00022025" w:rsidRPr="004963EE">
        <w:rPr>
          <w:rFonts w:ascii="Times New Roman" w:hAnsi="Times New Roman"/>
        </w:rPr>
        <w:t>D</w:t>
      </w:r>
      <w:r w:rsidR="001841D3" w:rsidRPr="004963EE">
        <w:rPr>
          <w:rFonts w:ascii="Times New Roman" w:hAnsi="Times New Roman"/>
        </w:rPr>
        <w:t xml:space="preserve">etermination directly affected </w:t>
      </w:r>
      <w:r w:rsidR="00207F44" w:rsidRPr="004963EE">
        <w:rPr>
          <w:rFonts w:ascii="Times New Roman" w:hAnsi="Times New Roman"/>
        </w:rPr>
        <w:t xml:space="preserve">the </w:t>
      </w:r>
      <w:r w:rsidR="001841D3" w:rsidRPr="004963EE">
        <w:rPr>
          <w:rFonts w:ascii="Times New Roman" w:hAnsi="Times New Roman"/>
        </w:rPr>
        <w:t xml:space="preserve">individual rights </w:t>
      </w:r>
      <w:r w:rsidR="002C79BE" w:rsidRPr="004963EE">
        <w:rPr>
          <w:rFonts w:ascii="Times New Roman" w:hAnsi="Times New Roman"/>
        </w:rPr>
        <w:t xml:space="preserve">and </w:t>
      </w:r>
      <w:r w:rsidR="00E25FE4" w:rsidRPr="004963EE">
        <w:rPr>
          <w:rFonts w:ascii="Times New Roman" w:hAnsi="Times New Roman"/>
        </w:rPr>
        <w:t xml:space="preserve">interests </w:t>
      </w:r>
      <w:r w:rsidR="002C79BE" w:rsidRPr="004963EE">
        <w:rPr>
          <w:rFonts w:ascii="Times New Roman" w:hAnsi="Times New Roman"/>
        </w:rPr>
        <w:t>of each tenant.</w:t>
      </w:r>
      <w:r w:rsidR="00C81101" w:rsidRPr="004963EE">
        <w:rPr>
          <w:rFonts w:ascii="Times New Roman" w:hAnsi="Times New Roman"/>
        </w:rPr>
        <w:t xml:space="preserve"> </w:t>
      </w:r>
      <w:r w:rsidR="0007533F" w:rsidRPr="004963EE">
        <w:rPr>
          <w:rFonts w:ascii="Times New Roman" w:hAnsi="Times New Roman"/>
        </w:rPr>
        <w:t xml:space="preserve">As such, </w:t>
      </w:r>
      <w:r w:rsidR="00D61CE8" w:rsidRPr="004963EE">
        <w:rPr>
          <w:rFonts w:ascii="Times New Roman" w:hAnsi="Times New Roman"/>
        </w:rPr>
        <w:t>for the reasons given above, an</w:t>
      </w:r>
      <w:r w:rsidR="0007533F" w:rsidRPr="004963EE">
        <w:rPr>
          <w:rFonts w:ascii="Times New Roman" w:hAnsi="Times New Roman"/>
        </w:rPr>
        <w:t xml:space="preserve"> obligation to give reasonable prior notice of each </w:t>
      </w:r>
      <w:r w:rsidR="00022025" w:rsidRPr="004963EE">
        <w:rPr>
          <w:rFonts w:ascii="Times New Roman" w:hAnsi="Times New Roman"/>
        </w:rPr>
        <w:t>D</w:t>
      </w:r>
      <w:r w:rsidR="0007533F" w:rsidRPr="004963EE">
        <w:rPr>
          <w:rFonts w:ascii="Times New Roman" w:hAnsi="Times New Roman"/>
        </w:rPr>
        <w:t>etermination and to give each tenant a reasonable opportunity to be heard</w:t>
      </w:r>
      <w:r w:rsidR="00D61CE8" w:rsidRPr="004963EE">
        <w:rPr>
          <w:rFonts w:ascii="Times New Roman" w:hAnsi="Times New Roman"/>
        </w:rPr>
        <w:t xml:space="preserve"> arose.</w:t>
      </w:r>
      <w:r w:rsidR="00C81101" w:rsidRPr="004963EE">
        <w:rPr>
          <w:rFonts w:ascii="Times New Roman" w:hAnsi="Times New Roman"/>
        </w:rPr>
        <w:t xml:space="preserve"> </w:t>
      </w:r>
      <w:r w:rsidR="00D61CE8" w:rsidRPr="004963EE">
        <w:rPr>
          <w:rFonts w:ascii="Times New Roman" w:hAnsi="Times New Roman"/>
        </w:rPr>
        <w:t xml:space="preserve">It could not be removed by </w:t>
      </w:r>
      <w:r w:rsidR="003A1A66" w:rsidRPr="004963EE">
        <w:rPr>
          <w:rFonts w:ascii="Times New Roman" w:hAnsi="Times New Roman"/>
        </w:rPr>
        <w:t>proclaiming</w:t>
      </w:r>
      <w:r w:rsidR="00D61CE8" w:rsidRPr="004963EE">
        <w:rPr>
          <w:rFonts w:ascii="Times New Roman" w:hAnsi="Times New Roman"/>
        </w:rPr>
        <w:t xml:space="preserve"> that each </w:t>
      </w:r>
      <w:r w:rsidR="00022025" w:rsidRPr="004963EE">
        <w:rPr>
          <w:rFonts w:ascii="Times New Roman" w:hAnsi="Times New Roman"/>
        </w:rPr>
        <w:t>D</w:t>
      </w:r>
      <w:r w:rsidR="00D61CE8" w:rsidRPr="004963EE">
        <w:rPr>
          <w:rFonts w:ascii="Times New Roman" w:hAnsi="Times New Roman"/>
        </w:rPr>
        <w:t>eterminatio</w:t>
      </w:r>
      <w:r w:rsidR="00C01489" w:rsidRPr="004963EE">
        <w:rPr>
          <w:rFonts w:ascii="Times New Roman" w:hAnsi="Times New Roman"/>
        </w:rPr>
        <w:t xml:space="preserve">n did not need to </w:t>
      </w:r>
      <w:proofErr w:type="gramStart"/>
      <w:r w:rsidR="00C01489" w:rsidRPr="004963EE">
        <w:rPr>
          <w:rFonts w:ascii="Times New Roman" w:hAnsi="Times New Roman"/>
        </w:rPr>
        <w:t>take into account</w:t>
      </w:r>
      <w:proofErr w:type="gramEnd"/>
      <w:r w:rsidR="00C01489" w:rsidRPr="004963EE">
        <w:rPr>
          <w:rFonts w:ascii="Times New Roman" w:hAnsi="Times New Roman"/>
        </w:rPr>
        <w:t xml:space="preserve"> the particular circumstances of any given tenant</w:t>
      </w:r>
      <w:r w:rsidR="00D435D2" w:rsidRPr="004963EE">
        <w:rPr>
          <w:rFonts w:ascii="Times New Roman" w:hAnsi="Times New Roman"/>
        </w:rPr>
        <w:t>.</w:t>
      </w:r>
      <w:r w:rsidR="00C81101" w:rsidRPr="004963EE">
        <w:rPr>
          <w:rFonts w:ascii="Times New Roman" w:hAnsi="Times New Roman"/>
        </w:rPr>
        <w:t xml:space="preserve"> </w:t>
      </w:r>
      <w:r w:rsidR="003A1A66" w:rsidRPr="004963EE">
        <w:rPr>
          <w:rFonts w:ascii="Times New Roman" w:hAnsi="Times New Roman"/>
        </w:rPr>
        <w:t xml:space="preserve">That is because the </w:t>
      </w:r>
      <w:r w:rsidR="00022025" w:rsidRPr="004963EE">
        <w:rPr>
          <w:rFonts w:ascii="Times New Roman" w:hAnsi="Times New Roman"/>
        </w:rPr>
        <w:t>D</w:t>
      </w:r>
      <w:r w:rsidR="003A1A66" w:rsidRPr="004963EE">
        <w:rPr>
          <w:rFonts w:ascii="Times New Roman" w:hAnsi="Times New Roman"/>
        </w:rPr>
        <w:t>eterminations affected tenants differentially.</w:t>
      </w:r>
      <w:r w:rsidR="00C81101" w:rsidRPr="004963EE">
        <w:rPr>
          <w:rFonts w:ascii="Times New Roman" w:hAnsi="Times New Roman"/>
        </w:rPr>
        <w:t xml:space="preserve"> </w:t>
      </w:r>
      <w:r w:rsidR="009F794F" w:rsidRPr="004963EE">
        <w:rPr>
          <w:rFonts w:ascii="Times New Roman" w:hAnsi="Times New Roman"/>
        </w:rPr>
        <w:t>Such a conclusion</w:t>
      </w:r>
      <w:r w:rsidR="00355853" w:rsidRPr="004963EE">
        <w:rPr>
          <w:rFonts w:ascii="Times New Roman" w:hAnsi="Times New Roman"/>
        </w:rPr>
        <w:t xml:space="preserve"> </w:t>
      </w:r>
      <w:r w:rsidR="0005606F" w:rsidRPr="004963EE">
        <w:rPr>
          <w:rFonts w:ascii="Times New Roman" w:hAnsi="Times New Roman"/>
        </w:rPr>
        <w:t xml:space="preserve">coheres </w:t>
      </w:r>
      <w:r w:rsidR="0067285B" w:rsidRPr="004963EE">
        <w:rPr>
          <w:rFonts w:ascii="Times New Roman" w:hAnsi="Times New Roman"/>
        </w:rPr>
        <w:t>with</w:t>
      </w:r>
      <w:r w:rsidR="009F794F" w:rsidRPr="004963EE">
        <w:rPr>
          <w:rFonts w:ascii="Times New Roman" w:hAnsi="Times New Roman"/>
        </w:rPr>
        <w:t xml:space="preserve"> </w:t>
      </w:r>
      <w:r w:rsidR="005902CC" w:rsidRPr="004963EE">
        <w:rPr>
          <w:rFonts w:ascii="Times New Roman" w:hAnsi="Times New Roman"/>
        </w:rPr>
        <w:t xml:space="preserve">the proposition </w:t>
      </w:r>
      <w:r w:rsidR="0067285B" w:rsidRPr="004963EE">
        <w:rPr>
          <w:rFonts w:ascii="Times New Roman" w:hAnsi="Times New Roman"/>
        </w:rPr>
        <w:t xml:space="preserve">that </w:t>
      </w:r>
      <w:r w:rsidR="00E07752" w:rsidRPr="004963EE">
        <w:rPr>
          <w:rFonts w:ascii="Times New Roman" w:hAnsi="Times New Roman"/>
        </w:rPr>
        <w:t>exercises of power</w:t>
      </w:r>
      <w:r w:rsidR="0067285B" w:rsidRPr="004963EE">
        <w:rPr>
          <w:rFonts w:ascii="Times New Roman" w:hAnsi="Times New Roman"/>
        </w:rPr>
        <w:t xml:space="preserve"> should</w:t>
      </w:r>
      <w:r w:rsidR="00E07752" w:rsidRPr="004963EE">
        <w:rPr>
          <w:rFonts w:ascii="Times New Roman" w:hAnsi="Times New Roman"/>
        </w:rPr>
        <w:t xml:space="preserve"> respect the integrity and the dignity of</w:t>
      </w:r>
      <w:r w:rsidR="0059488F" w:rsidRPr="004963EE">
        <w:rPr>
          <w:rFonts w:ascii="Times New Roman" w:hAnsi="Times New Roman"/>
        </w:rPr>
        <w:t xml:space="preserve"> those</w:t>
      </w:r>
      <w:r w:rsidR="00E07752" w:rsidRPr="004963EE">
        <w:rPr>
          <w:rFonts w:ascii="Times New Roman" w:hAnsi="Times New Roman"/>
        </w:rPr>
        <w:t xml:space="preserve"> individuals who are subject to that power</w:t>
      </w:r>
      <w:r w:rsidR="0067285B" w:rsidRPr="004963EE">
        <w:rPr>
          <w:rFonts w:ascii="Times New Roman" w:hAnsi="Times New Roman"/>
        </w:rPr>
        <w:t>.</w:t>
      </w:r>
      <w:r w:rsidR="009C1766" w:rsidRPr="004963EE">
        <w:rPr>
          <w:rStyle w:val="FootnoteReference"/>
          <w:rFonts w:ascii="Times New Roman" w:hAnsi="Times New Roman"/>
          <w:sz w:val="24"/>
        </w:rPr>
        <w:footnoteReference w:id="38"/>
      </w:r>
      <w:r w:rsidR="00C81101" w:rsidRPr="004963EE">
        <w:rPr>
          <w:rFonts w:ascii="Times New Roman" w:hAnsi="Times New Roman"/>
        </w:rPr>
        <w:t xml:space="preserve"> </w:t>
      </w:r>
      <w:r w:rsidR="00510CE6" w:rsidRPr="004963EE">
        <w:rPr>
          <w:rFonts w:ascii="Times New Roman" w:hAnsi="Times New Roman"/>
        </w:rPr>
        <w:t>It also coheres with the over</w:t>
      </w:r>
      <w:r w:rsidR="00727B04" w:rsidRPr="004963EE">
        <w:rPr>
          <w:rFonts w:ascii="Times New Roman" w:hAnsi="Times New Roman"/>
        </w:rPr>
        <w:t>r</w:t>
      </w:r>
      <w:r w:rsidR="00510CE6" w:rsidRPr="004963EE">
        <w:rPr>
          <w:rFonts w:ascii="Times New Roman" w:hAnsi="Times New Roman"/>
        </w:rPr>
        <w:t xml:space="preserve">iding statutory purpose that the rent </w:t>
      </w:r>
      <w:r w:rsidR="00727B04" w:rsidRPr="004963EE">
        <w:rPr>
          <w:rFonts w:ascii="Times New Roman" w:hAnsi="Times New Roman"/>
        </w:rPr>
        <w:t xml:space="preserve">payable </w:t>
      </w:r>
      <w:r w:rsidR="00510CE6" w:rsidRPr="004963EE">
        <w:rPr>
          <w:rFonts w:ascii="Times New Roman" w:hAnsi="Times New Roman"/>
        </w:rPr>
        <w:t xml:space="preserve">must be </w:t>
      </w:r>
      <w:r w:rsidR="00727B04" w:rsidRPr="004963EE">
        <w:rPr>
          <w:rFonts w:ascii="Times New Roman" w:hAnsi="Times New Roman"/>
        </w:rPr>
        <w:t>"fair rent"</w:t>
      </w:r>
      <w:r w:rsidR="000D186B" w:rsidRPr="004963EE">
        <w:rPr>
          <w:rFonts w:ascii="Times New Roman" w:hAnsi="Times New Roman"/>
        </w:rPr>
        <w:t xml:space="preserve"> or be "affordable".</w:t>
      </w:r>
    </w:p>
    <w:p w14:paraId="3CECC667" w14:textId="54FB4473" w:rsidR="00ED5A72" w:rsidRPr="004963EE" w:rsidRDefault="00C3257A"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ED5A72" w:rsidRPr="004963EE">
        <w:rPr>
          <w:rFonts w:ascii="Times New Roman" w:hAnsi="Times New Roman"/>
        </w:rPr>
        <w:t xml:space="preserve">The decision of this Court in </w:t>
      </w:r>
      <w:r w:rsidR="00ED5A72" w:rsidRPr="004963EE">
        <w:rPr>
          <w:rFonts w:ascii="Times New Roman" w:hAnsi="Times New Roman"/>
          <w:i/>
          <w:iCs/>
        </w:rPr>
        <w:t>South Australia v O'</w:t>
      </w:r>
      <w:r w:rsidR="00A975A3" w:rsidRPr="004963EE">
        <w:rPr>
          <w:rFonts w:ascii="Times New Roman" w:hAnsi="Times New Roman"/>
          <w:i/>
          <w:iCs/>
        </w:rPr>
        <w:t>Sh</w:t>
      </w:r>
      <w:r w:rsidR="00ED5A72" w:rsidRPr="004963EE">
        <w:rPr>
          <w:rFonts w:ascii="Times New Roman" w:hAnsi="Times New Roman"/>
          <w:i/>
          <w:iCs/>
        </w:rPr>
        <w:t>ea</w:t>
      </w:r>
      <w:r w:rsidR="00ED5A72" w:rsidRPr="004963EE">
        <w:rPr>
          <w:rFonts w:ascii="Times New Roman" w:hAnsi="Times New Roman"/>
        </w:rPr>
        <w:t xml:space="preserve"> </w:t>
      </w:r>
      <w:r w:rsidR="009A3888" w:rsidRPr="004963EE">
        <w:rPr>
          <w:rFonts w:ascii="Times New Roman" w:hAnsi="Times New Roman"/>
        </w:rPr>
        <w:t xml:space="preserve">also </w:t>
      </w:r>
      <w:r w:rsidR="00ED5A72" w:rsidRPr="004963EE">
        <w:rPr>
          <w:rFonts w:ascii="Times New Roman" w:hAnsi="Times New Roman"/>
        </w:rPr>
        <w:t xml:space="preserve">does not support the </w:t>
      </w:r>
      <w:r w:rsidR="00B5095B" w:rsidRPr="004963EE">
        <w:rPr>
          <w:rFonts w:ascii="Times New Roman" w:hAnsi="Times New Roman"/>
        </w:rPr>
        <w:t>respondents</w:t>
      </w:r>
      <w:r w:rsidR="00ED5A72" w:rsidRPr="004963EE">
        <w:rPr>
          <w:rFonts w:ascii="Times New Roman" w:hAnsi="Times New Roman"/>
        </w:rPr>
        <w:t>' position.</w:t>
      </w:r>
      <w:r w:rsidR="00C81101" w:rsidRPr="004963EE">
        <w:rPr>
          <w:rFonts w:ascii="Times New Roman" w:hAnsi="Times New Roman"/>
        </w:rPr>
        <w:t xml:space="preserve"> </w:t>
      </w:r>
      <w:r w:rsidR="00236061" w:rsidRPr="004963EE">
        <w:rPr>
          <w:rFonts w:ascii="Times New Roman" w:hAnsi="Times New Roman"/>
        </w:rPr>
        <w:t>In that case</w:t>
      </w:r>
      <w:r w:rsidR="009A3888" w:rsidRPr="004963EE">
        <w:rPr>
          <w:rFonts w:ascii="Times New Roman" w:hAnsi="Times New Roman"/>
        </w:rPr>
        <w:t>,</w:t>
      </w:r>
      <w:r w:rsidR="00236061" w:rsidRPr="004963EE">
        <w:rPr>
          <w:rFonts w:ascii="Times New Roman" w:hAnsi="Times New Roman"/>
        </w:rPr>
        <w:t xml:space="preserve"> the Governor in Council </w:t>
      </w:r>
      <w:r w:rsidR="000E1F19" w:rsidRPr="004963EE">
        <w:rPr>
          <w:rFonts w:ascii="Times New Roman" w:hAnsi="Times New Roman"/>
        </w:rPr>
        <w:t>had a power to release an offender on</w:t>
      </w:r>
      <w:r w:rsidR="00A71B2D" w:rsidRPr="004963EE">
        <w:rPr>
          <w:rFonts w:ascii="Times New Roman" w:hAnsi="Times New Roman"/>
        </w:rPr>
        <w:t xml:space="preserve"> </w:t>
      </w:r>
      <w:r w:rsidR="000E1F19" w:rsidRPr="004963EE">
        <w:rPr>
          <w:rFonts w:ascii="Times New Roman" w:hAnsi="Times New Roman"/>
        </w:rPr>
        <w:t>lic</w:t>
      </w:r>
      <w:r w:rsidR="00A71B2D" w:rsidRPr="004963EE">
        <w:rPr>
          <w:rFonts w:ascii="Times New Roman" w:hAnsi="Times New Roman"/>
        </w:rPr>
        <w:t xml:space="preserve">ence under the </w:t>
      </w:r>
      <w:r w:rsidR="00A71B2D" w:rsidRPr="004963EE">
        <w:rPr>
          <w:rFonts w:ascii="Times New Roman" w:hAnsi="Times New Roman"/>
          <w:i/>
          <w:iCs/>
        </w:rPr>
        <w:t>Criminal Law Consolidation Act 1935</w:t>
      </w:r>
      <w:r w:rsidR="00A71B2D" w:rsidRPr="004963EE">
        <w:rPr>
          <w:rFonts w:ascii="Times New Roman" w:hAnsi="Times New Roman"/>
        </w:rPr>
        <w:t xml:space="preserve"> (SA</w:t>
      </w:r>
      <w:proofErr w:type="gramStart"/>
      <w:r w:rsidR="00A71B2D" w:rsidRPr="004963EE">
        <w:rPr>
          <w:rFonts w:ascii="Times New Roman" w:hAnsi="Times New Roman"/>
        </w:rPr>
        <w:t>)</w:t>
      </w:r>
      <w:r w:rsidR="004E1925" w:rsidRPr="004963EE">
        <w:rPr>
          <w:rFonts w:ascii="Times New Roman" w:hAnsi="Times New Roman"/>
        </w:rPr>
        <w:t>,</w:t>
      </w:r>
      <w:r w:rsidR="00ED05E0" w:rsidRPr="004963EE">
        <w:rPr>
          <w:rFonts w:ascii="Times New Roman" w:hAnsi="Times New Roman"/>
        </w:rPr>
        <w:t xml:space="preserve"> but</w:t>
      </w:r>
      <w:proofErr w:type="gramEnd"/>
      <w:r w:rsidR="00ED05E0" w:rsidRPr="004963EE">
        <w:rPr>
          <w:rFonts w:ascii="Times New Roman" w:hAnsi="Times New Roman"/>
        </w:rPr>
        <w:t xml:space="preserve"> could only do so on the recommendation of a </w:t>
      </w:r>
      <w:r w:rsidR="0047420C" w:rsidRPr="004963EE">
        <w:rPr>
          <w:rFonts w:ascii="Times New Roman" w:hAnsi="Times New Roman"/>
        </w:rPr>
        <w:t>p</w:t>
      </w:r>
      <w:r w:rsidR="00ED05E0" w:rsidRPr="004963EE">
        <w:rPr>
          <w:rFonts w:ascii="Times New Roman" w:hAnsi="Times New Roman"/>
        </w:rPr>
        <w:t xml:space="preserve">arole </w:t>
      </w:r>
      <w:r w:rsidR="0047420C" w:rsidRPr="004963EE">
        <w:rPr>
          <w:rFonts w:ascii="Times New Roman" w:hAnsi="Times New Roman"/>
        </w:rPr>
        <w:t>b</w:t>
      </w:r>
      <w:r w:rsidR="00ED05E0" w:rsidRPr="004963EE">
        <w:rPr>
          <w:rFonts w:ascii="Times New Roman" w:hAnsi="Times New Roman"/>
        </w:rPr>
        <w:t>oard.</w:t>
      </w:r>
      <w:r w:rsidR="00C81101" w:rsidRPr="004963EE">
        <w:rPr>
          <w:rFonts w:ascii="Times New Roman" w:hAnsi="Times New Roman"/>
        </w:rPr>
        <w:t xml:space="preserve"> </w:t>
      </w:r>
      <w:r w:rsidR="00ED05E0" w:rsidRPr="004963EE">
        <w:rPr>
          <w:rFonts w:ascii="Times New Roman" w:hAnsi="Times New Roman"/>
        </w:rPr>
        <w:t xml:space="preserve">Relevantly, </w:t>
      </w:r>
      <w:r w:rsidR="003560CA" w:rsidRPr="004963EE">
        <w:rPr>
          <w:rFonts w:ascii="Times New Roman" w:hAnsi="Times New Roman"/>
        </w:rPr>
        <w:t xml:space="preserve">the offender and his </w:t>
      </w:r>
      <w:r w:rsidR="00D22D29" w:rsidRPr="004963EE">
        <w:rPr>
          <w:rFonts w:ascii="Times New Roman" w:hAnsi="Times New Roman"/>
        </w:rPr>
        <w:t>c</w:t>
      </w:r>
      <w:r w:rsidR="003560CA" w:rsidRPr="004963EE">
        <w:rPr>
          <w:rFonts w:ascii="Times New Roman" w:hAnsi="Times New Roman"/>
        </w:rPr>
        <w:t>ounsel</w:t>
      </w:r>
      <w:r w:rsidR="006554B8" w:rsidRPr="004963EE">
        <w:rPr>
          <w:rFonts w:ascii="Times New Roman" w:hAnsi="Times New Roman"/>
        </w:rPr>
        <w:t xml:space="preserve"> were present at a meeting of the </w:t>
      </w:r>
      <w:r w:rsidR="0047420C" w:rsidRPr="004963EE">
        <w:rPr>
          <w:rFonts w:ascii="Times New Roman" w:hAnsi="Times New Roman"/>
        </w:rPr>
        <w:t>p</w:t>
      </w:r>
      <w:r w:rsidR="006554B8" w:rsidRPr="004963EE">
        <w:rPr>
          <w:rFonts w:ascii="Times New Roman" w:hAnsi="Times New Roman"/>
        </w:rPr>
        <w:t xml:space="preserve">arole </w:t>
      </w:r>
      <w:r w:rsidR="0047420C" w:rsidRPr="004963EE">
        <w:rPr>
          <w:rFonts w:ascii="Times New Roman" w:hAnsi="Times New Roman"/>
        </w:rPr>
        <w:t>b</w:t>
      </w:r>
      <w:r w:rsidR="006554B8" w:rsidRPr="004963EE">
        <w:rPr>
          <w:rFonts w:ascii="Times New Roman" w:hAnsi="Times New Roman"/>
        </w:rPr>
        <w:t>oard which recommended his release.</w:t>
      </w:r>
      <w:r w:rsidR="00C81101" w:rsidRPr="004963EE">
        <w:rPr>
          <w:rFonts w:ascii="Times New Roman" w:hAnsi="Times New Roman"/>
        </w:rPr>
        <w:t xml:space="preserve"> </w:t>
      </w:r>
      <w:r w:rsidR="002038A8" w:rsidRPr="004963EE">
        <w:rPr>
          <w:rFonts w:ascii="Times New Roman" w:hAnsi="Times New Roman"/>
        </w:rPr>
        <w:t>The Governor in Council, without hearing from the offender,</w:t>
      </w:r>
      <w:r w:rsidR="00207D34" w:rsidRPr="004963EE">
        <w:rPr>
          <w:rFonts w:ascii="Times New Roman" w:hAnsi="Times New Roman"/>
        </w:rPr>
        <w:t xml:space="preserve"> declined to act on that recommendation.</w:t>
      </w:r>
      <w:r w:rsidR="00C81101" w:rsidRPr="004963EE">
        <w:rPr>
          <w:rFonts w:ascii="Times New Roman" w:hAnsi="Times New Roman"/>
        </w:rPr>
        <w:t xml:space="preserve"> </w:t>
      </w:r>
      <w:r w:rsidR="004706C7" w:rsidRPr="004963EE">
        <w:rPr>
          <w:rFonts w:ascii="Times New Roman" w:hAnsi="Times New Roman"/>
        </w:rPr>
        <w:t xml:space="preserve">The offender </w:t>
      </w:r>
      <w:r w:rsidR="00240AE4" w:rsidRPr="004963EE">
        <w:rPr>
          <w:rFonts w:ascii="Times New Roman" w:hAnsi="Times New Roman"/>
        </w:rPr>
        <w:t>contended that the Governor in Council had not afforded him procedural fairness.</w:t>
      </w:r>
      <w:r w:rsidR="00C81101" w:rsidRPr="004963EE">
        <w:rPr>
          <w:rFonts w:ascii="Times New Roman" w:hAnsi="Times New Roman"/>
        </w:rPr>
        <w:t xml:space="preserve"> </w:t>
      </w:r>
      <w:proofErr w:type="gramStart"/>
      <w:r w:rsidR="007F4D75" w:rsidRPr="004963EE">
        <w:rPr>
          <w:rFonts w:ascii="Times New Roman" w:hAnsi="Times New Roman"/>
        </w:rPr>
        <w:t>A majority of</w:t>
      </w:r>
      <w:proofErr w:type="gramEnd"/>
      <w:r w:rsidR="007F4D75" w:rsidRPr="004963EE">
        <w:rPr>
          <w:rFonts w:ascii="Times New Roman" w:hAnsi="Times New Roman"/>
        </w:rPr>
        <w:t xml:space="preserve"> this Court rejected that </w:t>
      </w:r>
      <w:r w:rsidR="004A3ECA" w:rsidRPr="004963EE">
        <w:rPr>
          <w:rFonts w:ascii="Times New Roman" w:hAnsi="Times New Roman"/>
        </w:rPr>
        <w:t>submission.</w:t>
      </w:r>
      <w:r w:rsidR="00E35878" w:rsidRPr="004963EE">
        <w:rPr>
          <w:rFonts w:ascii="Times New Roman" w:hAnsi="Times New Roman"/>
        </w:rPr>
        <w:t xml:space="preserve"> That was because</w:t>
      </w:r>
      <w:r w:rsidR="00761E02" w:rsidRPr="004963EE">
        <w:rPr>
          <w:rFonts w:ascii="Times New Roman" w:hAnsi="Times New Roman"/>
        </w:rPr>
        <w:t xml:space="preserve">, in the circumstances, a </w:t>
      </w:r>
      <w:r w:rsidR="00E35878" w:rsidRPr="004963EE">
        <w:rPr>
          <w:rFonts w:ascii="Times New Roman" w:hAnsi="Times New Roman"/>
        </w:rPr>
        <w:t>"hearing before the recommending body provides a sufficient opportunity for a party to present his case so that the decision-making process, viewed in its entirety, entails procedural fairness</w:t>
      </w:r>
      <w:r w:rsidR="00761E02" w:rsidRPr="004963EE">
        <w:rPr>
          <w:rFonts w:ascii="Times New Roman" w:hAnsi="Times New Roman"/>
        </w:rPr>
        <w:t>"</w:t>
      </w:r>
      <w:r w:rsidR="00B21937" w:rsidRPr="004963EE">
        <w:rPr>
          <w:rFonts w:ascii="Times New Roman" w:hAnsi="Times New Roman"/>
        </w:rPr>
        <w:t>.</w:t>
      </w:r>
      <w:r w:rsidR="00761E02" w:rsidRPr="004963EE">
        <w:rPr>
          <w:rStyle w:val="FootnoteReference"/>
          <w:rFonts w:ascii="Times New Roman" w:hAnsi="Times New Roman"/>
          <w:sz w:val="24"/>
        </w:rPr>
        <w:footnoteReference w:id="39"/>
      </w:r>
      <w:r w:rsidR="00C81101" w:rsidRPr="004963EE">
        <w:rPr>
          <w:rFonts w:ascii="Times New Roman" w:hAnsi="Times New Roman"/>
        </w:rPr>
        <w:t xml:space="preserve"> </w:t>
      </w:r>
      <w:r w:rsidR="00761E02" w:rsidRPr="004963EE">
        <w:rPr>
          <w:rFonts w:ascii="Times New Roman" w:hAnsi="Times New Roman"/>
        </w:rPr>
        <w:t>No equivalent two</w:t>
      </w:r>
      <w:r w:rsidR="007A09E5" w:rsidRPr="004963EE">
        <w:rPr>
          <w:rFonts w:ascii="Times New Roman" w:hAnsi="Times New Roman"/>
        </w:rPr>
        <w:t>-</w:t>
      </w:r>
      <w:r w:rsidR="00761E02" w:rsidRPr="004963EE">
        <w:rPr>
          <w:rFonts w:ascii="Times New Roman" w:hAnsi="Times New Roman"/>
        </w:rPr>
        <w:t xml:space="preserve">stage </w:t>
      </w:r>
      <w:r w:rsidR="00D25C3B" w:rsidRPr="004963EE">
        <w:rPr>
          <w:rFonts w:ascii="Times New Roman" w:hAnsi="Times New Roman"/>
        </w:rPr>
        <w:t xml:space="preserve">process </w:t>
      </w:r>
      <w:r w:rsidR="00761E02" w:rsidRPr="004963EE">
        <w:rPr>
          <w:rFonts w:ascii="Times New Roman" w:hAnsi="Times New Roman"/>
        </w:rPr>
        <w:t>applied here.</w:t>
      </w:r>
      <w:r w:rsidR="00C81101" w:rsidRPr="004963EE">
        <w:rPr>
          <w:rFonts w:ascii="Times New Roman" w:hAnsi="Times New Roman"/>
        </w:rPr>
        <w:t xml:space="preserve"> </w:t>
      </w:r>
      <w:r w:rsidR="00761E02" w:rsidRPr="004963EE">
        <w:rPr>
          <w:rFonts w:ascii="Times New Roman" w:hAnsi="Times New Roman"/>
        </w:rPr>
        <w:t xml:space="preserve">The </w:t>
      </w:r>
      <w:r w:rsidR="00B5095B" w:rsidRPr="004963EE">
        <w:rPr>
          <w:rFonts w:ascii="Times New Roman" w:hAnsi="Times New Roman"/>
        </w:rPr>
        <w:t>respondents</w:t>
      </w:r>
      <w:r w:rsidR="00761E02" w:rsidRPr="004963EE">
        <w:rPr>
          <w:rFonts w:ascii="Times New Roman" w:hAnsi="Times New Roman"/>
        </w:rPr>
        <w:t xml:space="preserve"> did not suggest that the SAG consultative process that predated </w:t>
      </w:r>
      <w:r w:rsidR="007E2A04" w:rsidRPr="004963EE">
        <w:rPr>
          <w:rFonts w:ascii="Times New Roman" w:hAnsi="Times New Roman"/>
        </w:rPr>
        <w:t>Cabinet's decision was, in and of itself, a discharge of the conceded duty to provide procedural fairness.</w:t>
      </w:r>
      <w:r w:rsidR="00D86F01" w:rsidRPr="004963EE">
        <w:rPr>
          <w:rFonts w:ascii="Times New Roman" w:hAnsi="Times New Roman"/>
        </w:rPr>
        <w:t xml:space="preserve"> </w:t>
      </w:r>
    </w:p>
    <w:p w14:paraId="7326B043" w14:textId="14C7D323" w:rsidR="00716BAA" w:rsidRPr="004963EE" w:rsidRDefault="00716BAA" w:rsidP="004963EE">
      <w:pPr>
        <w:pStyle w:val="HeadingL2"/>
        <w:spacing w:after="260" w:line="280" w:lineRule="exact"/>
        <w:ind w:right="0"/>
        <w:jc w:val="both"/>
        <w:rPr>
          <w:rFonts w:ascii="Times New Roman" w:hAnsi="Times New Roman"/>
        </w:rPr>
      </w:pPr>
      <w:r w:rsidRPr="004963EE">
        <w:rPr>
          <w:rFonts w:ascii="Times New Roman" w:hAnsi="Times New Roman"/>
        </w:rPr>
        <w:lastRenderedPageBreak/>
        <w:t>Materiality</w:t>
      </w:r>
    </w:p>
    <w:p w14:paraId="753554EC" w14:textId="0E2CA413" w:rsidR="00802C6A" w:rsidRPr="004963EE" w:rsidRDefault="00802C6A"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950CC0" w:rsidRPr="004963EE">
        <w:rPr>
          <w:rFonts w:ascii="Times New Roman" w:hAnsi="Times New Roman"/>
        </w:rPr>
        <w:t xml:space="preserve">Nor </w:t>
      </w:r>
      <w:r w:rsidR="008C6147" w:rsidRPr="004963EE">
        <w:rPr>
          <w:rFonts w:ascii="Times New Roman" w:hAnsi="Times New Roman"/>
        </w:rPr>
        <w:t>are</w:t>
      </w:r>
      <w:r w:rsidR="00950CC0" w:rsidRPr="004963EE">
        <w:rPr>
          <w:rFonts w:ascii="Times New Roman" w:hAnsi="Times New Roman"/>
        </w:rPr>
        <w:t xml:space="preserve"> the </w:t>
      </w:r>
      <w:r w:rsidR="00B5095B" w:rsidRPr="004963EE">
        <w:rPr>
          <w:rFonts w:ascii="Times New Roman" w:hAnsi="Times New Roman"/>
        </w:rPr>
        <w:t>respondents</w:t>
      </w:r>
      <w:r w:rsidR="00950CC0" w:rsidRPr="004963EE">
        <w:rPr>
          <w:rFonts w:ascii="Times New Roman" w:hAnsi="Times New Roman"/>
        </w:rPr>
        <w:t xml:space="preserve"> correct </w:t>
      </w:r>
      <w:r w:rsidR="000850D6" w:rsidRPr="004963EE">
        <w:rPr>
          <w:rFonts w:ascii="Times New Roman" w:hAnsi="Times New Roman"/>
        </w:rPr>
        <w:t xml:space="preserve">in contending that </w:t>
      </w:r>
      <w:r w:rsidR="0015564D" w:rsidRPr="004963EE">
        <w:rPr>
          <w:rFonts w:ascii="Times New Roman" w:hAnsi="Times New Roman"/>
        </w:rPr>
        <w:t>the failure to afford procedural fairness was immaterial.</w:t>
      </w:r>
      <w:r w:rsidR="00D6450D" w:rsidRPr="004963EE">
        <w:rPr>
          <w:rFonts w:ascii="Times New Roman" w:hAnsi="Times New Roman"/>
        </w:rPr>
        <w:t xml:space="preserve"> </w:t>
      </w:r>
      <w:r w:rsidR="007227CC" w:rsidRPr="004963EE">
        <w:rPr>
          <w:rFonts w:ascii="Times New Roman" w:hAnsi="Times New Roman"/>
        </w:rPr>
        <w:t>Although</w:t>
      </w:r>
      <w:r w:rsidR="00D6450D" w:rsidRPr="004963EE">
        <w:rPr>
          <w:rFonts w:ascii="Times New Roman" w:hAnsi="Times New Roman"/>
        </w:rPr>
        <w:t xml:space="preserve"> the appellants bore an onus to establish materiality, the question is whether the decision that was in fact made </w:t>
      </w:r>
      <w:r w:rsidR="00D6450D" w:rsidRPr="004963EE">
        <w:rPr>
          <w:rFonts w:ascii="Times New Roman" w:hAnsi="Times New Roman"/>
          <w:i/>
          <w:iCs/>
        </w:rPr>
        <w:t>could</w:t>
      </w:r>
      <w:r w:rsidR="00D6450D" w:rsidRPr="004963EE">
        <w:rPr>
          <w:rFonts w:ascii="Times New Roman" w:hAnsi="Times New Roman"/>
        </w:rPr>
        <w:t xml:space="preserve"> realistically have been different, and meeting that threshold is not demanding or onerous.</w:t>
      </w:r>
      <w:r w:rsidR="00207C4E" w:rsidRPr="004963EE">
        <w:rPr>
          <w:rFonts w:ascii="Times New Roman" w:hAnsi="Times New Roman"/>
        </w:rPr>
        <w:t xml:space="preserve"> The threshold can be met by "inferences drawn from </w:t>
      </w:r>
      <w:r w:rsidR="00D03747" w:rsidRPr="004963EE">
        <w:rPr>
          <w:rFonts w:ascii="Times New Roman" w:hAnsi="Times New Roman"/>
        </w:rPr>
        <w:t xml:space="preserve">the </w:t>
      </w:r>
      <w:r w:rsidR="00207C4E" w:rsidRPr="004963EE">
        <w:rPr>
          <w:rFonts w:ascii="Times New Roman" w:hAnsi="Times New Roman"/>
        </w:rPr>
        <w:t>evidence" that an asserted step that was not taken could realistically have affected the reasoning of the decision maker.</w:t>
      </w:r>
      <w:r w:rsidR="00D6450D" w:rsidRPr="004963EE">
        <w:rPr>
          <w:rStyle w:val="FootnoteReference"/>
          <w:rFonts w:ascii="Times New Roman" w:hAnsi="Times New Roman"/>
          <w:sz w:val="24"/>
        </w:rPr>
        <w:footnoteReference w:id="40"/>
      </w:r>
      <w:r w:rsidR="00207C4E" w:rsidRPr="004963EE">
        <w:rPr>
          <w:rFonts w:ascii="Times New Roman" w:hAnsi="Times New Roman"/>
        </w:rPr>
        <w:t xml:space="preserve"> </w:t>
      </w:r>
      <w:r w:rsidR="0015564D" w:rsidRPr="004963EE">
        <w:rPr>
          <w:rFonts w:ascii="Times New Roman" w:hAnsi="Times New Roman"/>
        </w:rPr>
        <w:t xml:space="preserve">In </w:t>
      </w:r>
      <w:r w:rsidR="0015564D" w:rsidRPr="004963EE">
        <w:rPr>
          <w:rFonts w:ascii="Times New Roman" w:hAnsi="Times New Roman"/>
          <w:i/>
          <w:iCs/>
        </w:rPr>
        <w:t>Disorganized Developments</w:t>
      </w:r>
      <w:r w:rsidR="00A64585" w:rsidRPr="004963EE">
        <w:rPr>
          <w:rFonts w:ascii="Times New Roman" w:hAnsi="Times New Roman"/>
        </w:rPr>
        <w:t>, the appellant's land</w:t>
      </w:r>
      <w:r w:rsidR="00940515" w:rsidRPr="004963EE">
        <w:rPr>
          <w:rFonts w:ascii="Times New Roman" w:hAnsi="Times New Roman"/>
        </w:rPr>
        <w:t xml:space="preserve"> was declared to</w:t>
      </w:r>
      <w:r w:rsidR="00226750" w:rsidRPr="004963EE">
        <w:rPr>
          <w:rFonts w:ascii="Times New Roman" w:hAnsi="Times New Roman"/>
        </w:rPr>
        <w:t xml:space="preserve"> be</w:t>
      </w:r>
      <w:r w:rsidR="00940515" w:rsidRPr="004963EE">
        <w:rPr>
          <w:rFonts w:ascii="Times New Roman" w:hAnsi="Times New Roman"/>
        </w:rPr>
        <w:t xml:space="preserve"> a "prescribed place".</w:t>
      </w:r>
      <w:r w:rsidR="00C81101" w:rsidRPr="004963EE">
        <w:rPr>
          <w:rFonts w:ascii="Times New Roman" w:hAnsi="Times New Roman"/>
        </w:rPr>
        <w:t xml:space="preserve"> </w:t>
      </w:r>
      <w:r w:rsidR="00940515" w:rsidRPr="004963EE">
        <w:rPr>
          <w:rFonts w:ascii="Times New Roman" w:hAnsi="Times New Roman"/>
        </w:rPr>
        <w:t>The majority observed:</w:t>
      </w:r>
      <w:r w:rsidR="00452B04" w:rsidRPr="004963EE">
        <w:rPr>
          <w:rStyle w:val="FootnoteReference"/>
          <w:rFonts w:ascii="Times New Roman" w:hAnsi="Times New Roman"/>
          <w:sz w:val="24"/>
        </w:rPr>
        <w:footnoteReference w:id="41"/>
      </w:r>
    </w:p>
    <w:p w14:paraId="5C01278A" w14:textId="77777777" w:rsidR="004963EE" w:rsidRDefault="00452B04" w:rsidP="004963EE">
      <w:pPr>
        <w:pStyle w:val="LRIndentafterHC"/>
        <w:spacing w:before="0" w:after="260" w:line="280" w:lineRule="exact"/>
        <w:ind w:right="0"/>
        <w:jc w:val="both"/>
        <w:rPr>
          <w:rFonts w:ascii="Times New Roman" w:hAnsi="Times New Roman"/>
        </w:rPr>
      </w:pPr>
      <w:r w:rsidRPr="004963EE">
        <w:rPr>
          <w:rFonts w:ascii="Times New Roman" w:hAnsi="Times New Roman"/>
        </w:rPr>
        <w:t>"There is no reason to doubt that an owner or occupier may have something to say of relevance about the characteristics of the land or its uses, or about possible adverse impacts of declaring a place as a prescribed place, which might affect an assessment of whether to make such a declaration."</w:t>
      </w:r>
    </w:p>
    <w:p w14:paraId="35D7075B" w14:textId="7FF458D7" w:rsidR="00465351" w:rsidRPr="004963EE" w:rsidRDefault="00465351"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DC77C0" w:rsidRPr="004963EE">
        <w:rPr>
          <w:rFonts w:ascii="Times New Roman" w:hAnsi="Times New Roman"/>
        </w:rPr>
        <w:t>T</w:t>
      </w:r>
      <w:r w:rsidRPr="004963EE">
        <w:rPr>
          <w:rFonts w:ascii="Times New Roman" w:hAnsi="Times New Roman"/>
        </w:rPr>
        <w:t>he appellants</w:t>
      </w:r>
      <w:r w:rsidR="00DC77C0" w:rsidRPr="004963EE">
        <w:rPr>
          <w:rFonts w:ascii="Times New Roman" w:hAnsi="Times New Roman"/>
        </w:rPr>
        <w:t xml:space="preserve"> </w:t>
      </w:r>
      <w:r w:rsidR="00D00E3F" w:rsidRPr="004963EE">
        <w:rPr>
          <w:rFonts w:ascii="Times New Roman" w:hAnsi="Times New Roman"/>
        </w:rPr>
        <w:t xml:space="preserve">here </w:t>
      </w:r>
      <w:r w:rsidRPr="004963EE">
        <w:rPr>
          <w:rFonts w:ascii="Times New Roman" w:hAnsi="Times New Roman"/>
        </w:rPr>
        <w:t xml:space="preserve">could have </w:t>
      </w:r>
      <w:r w:rsidR="00825533" w:rsidRPr="004963EE">
        <w:rPr>
          <w:rFonts w:ascii="Times New Roman" w:hAnsi="Times New Roman"/>
        </w:rPr>
        <w:t xml:space="preserve">had something to say about the </w:t>
      </w:r>
      <w:r w:rsidR="00935BD5" w:rsidRPr="004963EE">
        <w:rPr>
          <w:rFonts w:ascii="Times New Roman" w:hAnsi="Times New Roman"/>
        </w:rPr>
        <w:t>per bedroom rent</w:t>
      </w:r>
      <w:r w:rsidR="00825533" w:rsidRPr="004963EE">
        <w:rPr>
          <w:rFonts w:ascii="Times New Roman" w:hAnsi="Times New Roman"/>
        </w:rPr>
        <w:t xml:space="preserve"> fixed in each </w:t>
      </w:r>
      <w:r w:rsidR="008F7869" w:rsidRPr="004963EE">
        <w:rPr>
          <w:rFonts w:ascii="Times New Roman" w:hAnsi="Times New Roman"/>
        </w:rPr>
        <w:t>D</w:t>
      </w:r>
      <w:r w:rsidR="00825533" w:rsidRPr="004963EE">
        <w:rPr>
          <w:rFonts w:ascii="Times New Roman" w:hAnsi="Times New Roman"/>
        </w:rPr>
        <w:t xml:space="preserve">etermination, </w:t>
      </w:r>
      <w:r w:rsidR="00B2493C" w:rsidRPr="004963EE">
        <w:rPr>
          <w:rFonts w:ascii="Times New Roman" w:hAnsi="Times New Roman"/>
        </w:rPr>
        <w:t xml:space="preserve">the timing of the introduction of the new </w:t>
      </w:r>
      <w:r w:rsidR="00C73570" w:rsidRPr="004963EE">
        <w:rPr>
          <w:rFonts w:ascii="Times New Roman" w:hAnsi="Times New Roman"/>
        </w:rPr>
        <w:t>model</w:t>
      </w:r>
      <w:r w:rsidR="00B2493C" w:rsidRPr="004963EE">
        <w:rPr>
          <w:rFonts w:ascii="Times New Roman" w:hAnsi="Times New Roman"/>
        </w:rPr>
        <w:t>, whether their communities should or should not have been included, and the future application of the Safety Net.</w:t>
      </w:r>
      <w:r w:rsidR="00C81101" w:rsidRPr="004963EE">
        <w:rPr>
          <w:rFonts w:ascii="Times New Roman" w:hAnsi="Times New Roman"/>
        </w:rPr>
        <w:t xml:space="preserve"> </w:t>
      </w:r>
      <w:r w:rsidR="003971D9" w:rsidRPr="004963EE">
        <w:rPr>
          <w:rFonts w:ascii="Times New Roman" w:hAnsi="Times New Roman"/>
        </w:rPr>
        <w:t>Submissions received in relation to these topics could realistically have</w:t>
      </w:r>
      <w:r w:rsidR="00435BD1" w:rsidRPr="004963EE">
        <w:rPr>
          <w:rFonts w:ascii="Times New Roman" w:hAnsi="Times New Roman"/>
        </w:rPr>
        <w:t xml:space="preserve"> affected the</w:t>
      </w:r>
      <w:r w:rsidR="0027155B" w:rsidRPr="004963EE">
        <w:rPr>
          <w:rFonts w:ascii="Times New Roman" w:hAnsi="Times New Roman"/>
        </w:rPr>
        <w:t xml:space="preserve"> reasoning of the decision maker and thus influenced the</w:t>
      </w:r>
      <w:r w:rsidR="00435BD1" w:rsidRPr="004963EE">
        <w:rPr>
          <w:rFonts w:ascii="Times New Roman" w:hAnsi="Times New Roman"/>
        </w:rPr>
        <w:t xml:space="preserve"> content of each </w:t>
      </w:r>
      <w:r w:rsidR="008F7869" w:rsidRPr="004963EE">
        <w:rPr>
          <w:rFonts w:ascii="Times New Roman" w:hAnsi="Times New Roman"/>
        </w:rPr>
        <w:t>D</w:t>
      </w:r>
      <w:r w:rsidR="00435BD1" w:rsidRPr="004963EE">
        <w:rPr>
          <w:rFonts w:ascii="Times New Roman" w:hAnsi="Times New Roman"/>
        </w:rPr>
        <w:t xml:space="preserve">etermination, and the timing of each </w:t>
      </w:r>
      <w:r w:rsidR="008F7869" w:rsidRPr="004963EE">
        <w:rPr>
          <w:rFonts w:ascii="Times New Roman" w:hAnsi="Times New Roman"/>
        </w:rPr>
        <w:t>D</w:t>
      </w:r>
      <w:r w:rsidR="00F07FE1" w:rsidRPr="004963EE">
        <w:rPr>
          <w:rFonts w:ascii="Times New Roman" w:hAnsi="Times New Roman"/>
        </w:rPr>
        <w:t>etermination</w:t>
      </w:r>
      <w:r w:rsidR="002C70E3" w:rsidRPr="004963EE">
        <w:rPr>
          <w:rFonts w:ascii="Times New Roman" w:hAnsi="Times New Roman"/>
        </w:rPr>
        <w:t>'</w:t>
      </w:r>
      <w:r w:rsidR="00F07FE1" w:rsidRPr="004963EE">
        <w:rPr>
          <w:rFonts w:ascii="Times New Roman" w:hAnsi="Times New Roman"/>
        </w:rPr>
        <w:t>s</w:t>
      </w:r>
      <w:r w:rsidR="00435BD1" w:rsidRPr="004963EE">
        <w:rPr>
          <w:rFonts w:ascii="Times New Roman" w:hAnsi="Times New Roman"/>
        </w:rPr>
        <w:t xml:space="preserve"> application.</w:t>
      </w:r>
      <w:r w:rsidR="00F07FE1" w:rsidRPr="004963EE">
        <w:rPr>
          <w:rStyle w:val="FootnoteReference"/>
          <w:rFonts w:ascii="Times New Roman" w:hAnsi="Times New Roman"/>
          <w:sz w:val="24"/>
        </w:rPr>
        <w:footnoteReference w:id="42"/>
      </w:r>
      <w:r w:rsidR="00226750" w:rsidRPr="004963EE">
        <w:rPr>
          <w:rFonts w:ascii="Times New Roman" w:hAnsi="Times New Roman"/>
        </w:rPr>
        <w:t xml:space="preserve"> It follows tha</w:t>
      </w:r>
      <w:r w:rsidR="00603F8A" w:rsidRPr="004963EE">
        <w:rPr>
          <w:rFonts w:ascii="Times New Roman" w:hAnsi="Times New Roman"/>
        </w:rPr>
        <w:t xml:space="preserve">t </w:t>
      </w:r>
      <w:r w:rsidR="008A6E81" w:rsidRPr="004963EE">
        <w:rPr>
          <w:rFonts w:ascii="Times New Roman" w:hAnsi="Times New Roman"/>
        </w:rPr>
        <w:t xml:space="preserve">the failure to </w:t>
      </w:r>
      <w:r w:rsidR="00B7059E" w:rsidRPr="004963EE">
        <w:rPr>
          <w:rFonts w:ascii="Times New Roman" w:hAnsi="Times New Roman"/>
        </w:rPr>
        <w:t>afford procedural fairness</w:t>
      </w:r>
      <w:r w:rsidR="0097497B" w:rsidRPr="004963EE">
        <w:rPr>
          <w:rFonts w:ascii="Times New Roman" w:hAnsi="Times New Roman"/>
        </w:rPr>
        <w:t xml:space="preserve"> here</w:t>
      </w:r>
      <w:r w:rsidR="00B7059E" w:rsidRPr="004963EE">
        <w:rPr>
          <w:rFonts w:ascii="Times New Roman" w:hAnsi="Times New Roman"/>
        </w:rPr>
        <w:t xml:space="preserve"> </w:t>
      </w:r>
      <w:r w:rsidR="008D5F13" w:rsidRPr="004963EE">
        <w:rPr>
          <w:rFonts w:ascii="Times New Roman" w:hAnsi="Times New Roman"/>
        </w:rPr>
        <w:t xml:space="preserve">satisfies </w:t>
      </w:r>
      <w:r w:rsidR="006C218F" w:rsidRPr="004963EE">
        <w:rPr>
          <w:rFonts w:ascii="Times New Roman" w:hAnsi="Times New Roman"/>
        </w:rPr>
        <w:t xml:space="preserve">any </w:t>
      </w:r>
      <w:r w:rsidR="008D5F13" w:rsidRPr="004963EE">
        <w:rPr>
          <w:rFonts w:ascii="Times New Roman" w:hAnsi="Times New Roman"/>
        </w:rPr>
        <w:t>requirement of materiality.</w:t>
      </w:r>
    </w:p>
    <w:p w14:paraId="22710C17" w14:textId="49F41F31" w:rsidR="00211B8D" w:rsidRPr="004963EE" w:rsidRDefault="00211B8D" w:rsidP="004963EE">
      <w:pPr>
        <w:pStyle w:val="FixListStyle"/>
        <w:spacing w:after="260" w:line="280" w:lineRule="exact"/>
        <w:ind w:right="0"/>
        <w:jc w:val="both"/>
        <w:rPr>
          <w:rFonts w:ascii="Times New Roman" w:hAnsi="Times New Roman"/>
        </w:rPr>
      </w:pPr>
      <w:r w:rsidRPr="004963EE">
        <w:rPr>
          <w:rFonts w:ascii="Times New Roman" w:hAnsi="Times New Roman"/>
        </w:rPr>
        <w:tab/>
        <w:t xml:space="preserve">For these reasons the appellants were denied procedural </w:t>
      </w:r>
      <w:r w:rsidR="00100289" w:rsidRPr="004963EE">
        <w:rPr>
          <w:rFonts w:ascii="Times New Roman" w:hAnsi="Times New Roman"/>
        </w:rPr>
        <w:t>fairness</w:t>
      </w:r>
      <w:r w:rsidR="000A1094" w:rsidRPr="004963EE">
        <w:rPr>
          <w:rFonts w:ascii="Times New Roman" w:hAnsi="Times New Roman"/>
        </w:rPr>
        <w:t>,</w:t>
      </w:r>
      <w:r w:rsidR="00282948" w:rsidRPr="004963EE">
        <w:rPr>
          <w:rFonts w:ascii="Times New Roman" w:hAnsi="Times New Roman"/>
        </w:rPr>
        <w:t xml:space="preserve"> and that denial was material.</w:t>
      </w:r>
      <w:r w:rsidRPr="004963EE">
        <w:rPr>
          <w:rFonts w:ascii="Times New Roman" w:hAnsi="Times New Roman"/>
        </w:rPr>
        <w:t xml:space="preserve"> </w:t>
      </w:r>
      <w:r w:rsidR="00282948" w:rsidRPr="004963EE">
        <w:rPr>
          <w:rFonts w:ascii="Times New Roman" w:hAnsi="Times New Roman"/>
        </w:rPr>
        <w:t>T</w:t>
      </w:r>
      <w:r w:rsidRPr="004963EE">
        <w:rPr>
          <w:rFonts w:ascii="Times New Roman" w:hAnsi="Times New Roman"/>
        </w:rPr>
        <w:t xml:space="preserve">he making of each </w:t>
      </w:r>
      <w:r w:rsidR="008F7869" w:rsidRPr="004963EE">
        <w:rPr>
          <w:rFonts w:ascii="Times New Roman" w:hAnsi="Times New Roman"/>
        </w:rPr>
        <w:t>D</w:t>
      </w:r>
      <w:r w:rsidRPr="004963EE">
        <w:rPr>
          <w:rFonts w:ascii="Times New Roman" w:hAnsi="Times New Roman"/>
        </w:rPr>
        <w:t xml:space="preserve">etermination </w:t>
      </w:r>
      <w:r w:rsidR="00100289" w:rsidRPr="004963EE">
        <w:rPr>
          <w:rFonts w:ascii="Times New Roman" w:hAnsi="Times New Roman"/>
        </w:rPr>
        <w:t>was thus infected with jurisdictional error.</w:t>
      </w:r>
    </w:p>
    <w:p w14:paraId="4CD03436" w14:textId="086701C2" w:rsidR="00256BE2" w:rsidRPr="004963EE" w:rsidRDefault="00256BE2" w:rsidP="004963EE">
      <w:pPr>
        <w:pStyle w:val="HeadingL1"/>
        <w:spacing w:after="260" w:line="280" w:lineRule="exact"/>
        <w:ind w:right="0"/>
        <w:jc w:val="both"/>
        <w:rPr>
          <w:rFonts w:ascii="Times New Roman" w:hAnsi="Times New Roman"/>
        </w:rPr>
      </w:pPr>
      <w:r w:rsidRPr="004963EE">
        <w:rPr>
          <w:rFonts w:ascii="Times New Roman" w:hAnsi="Times New Roman"/>
        </w:rPr>
        <w:t>Disposition</w:t>
      </w:r>
    </w:p>
    <w:p w14:paraId="0A2067E4" w14:textId="31FF0383" w:rsidR="00100289" w:rsidRPr="004963EE" w:rsidRDefault="00A66F66" w:rsidP="004963EE">
      <w:pPr>
        <w:pStyle w:val="FixListStyle"/>
        <w:spacing w:after="260" w:line="280" w:lineRule="exact"/>
        <w:ind w:right="0"/>
        <w:jc w:val="both"/>
        <w:rPr>
          <w:rFonts w:ascii="Times New Roman" w:hAnsi="Times New Roman"/>
        </w:rPr>
      </w:pPr>
      <w:r w:rsidRPr="004963EE">
        <w:rPr>
          <w:rFonts w:ascii="Times New Roman" w:hAnsi="Times New Roman"/>
        </w:rPr>
        <w:tab/>
      </w:r>
      <w:r w:rsidR="00816D14" w:rsidRPr="004963EE">
        <w:rPr>
          <w:rFonts w:ascii="Times New Roman" w:hAnsi="Times New Roman"/>
        </w:rPr>
        <w:t>Orders should be made as follows:</w:t>
      </w:r>
    </w:p>
    <w:p w14:paraId="083B1E90" w14:textId="75223776" w:rsidR="00816D14" w:rsidRPr="004963EE" w:rsidRDefault="00816D14" w:rsidP="004963EE">
      <w:pPr>
        <w:pStyle w:val="NormalBody"/>
        <w:spacing w:after="260" w:line="280" w:lineRule="exact"/>
        <w:ind w:right="0"/>
        <w:jc w:val="both"/>
        <w:rPr>
          <w:rFonts w:ascii="Times New Roman" w:hAnsi="Times New Roman"/>
        </w:rPr>
      </w:pPr>
      <w:r w:rsidRPr="004963EE">
        <w:rPr>
          <w:rFonts w:ascii="Times New Roman" w:hAnsi="Times New Roman"/>
        </w:rPr>
        <w:t>a.</w:t>
      </w:r>
      <w:r w:rsidRPr="004963EE">
        <w:rPr>
          <w:rFonts w:ascii="Times New Roman" w:hAnsi="Times New Roman"/>
        </w:rPr>
        <w:tab/>
      </w:r>
      <w:r w:rsidR="00770A8D" w:rsidRPr="004963EE">
        <w:rPr>
          <w:rFonts w:ascii="Times New Roman" w:hAnsi="Times New Roman"/>
        </w:rPr>
        <w:t>Appeal allowed.</w:t>
      </w:r>
    </w:p>
    <w:p w14:paraId="5C03948A" w14:textId="44E8942D" w:rsidR="00770A8D" w:rsidRPr="004963EE" w:rsidRDefault="00770A8D" w:rsidP="004963EE">
      <w:pPr>
        <w:pStyle w:val="NormalBody"/>
        <w:spacing w:after="260" w:line="280" w:lineRule="exact"/>
        <w:ind w:left="720" w:right="0" w:hanging="720"/>
        <w:jc w:val="both"/>
        <w:rPr>
          <w:rFonts w:ascii="Times New Roman" w:hAnsi="Times New Roman"/>
        </w:rPr>
      </w:pPr>
      <w:r w:rsidRPr="004963EE">
        <w:rPr>
          <w:rFonts w:ascii="Times New Roman" w:hAnsi="Times New Roman"/>
        </w:rPr>
        <w:lastRenderedPageBreak/>
        <w:t>b.</w:t>
      </w:r>
      <w:r w:rsidRPr="004963EE">
        <w:rPr>
          <w:rFonts w:ascii="Times New Roman" w:hAnsi="Times New Roman"/>
        </w:rPr>
        <w:tab/>
      </w:r>
      <w:r w:rsidR="00353A17" w:rsidRPr="004963EE">
        <w:rPr>
          <w:rFonts w:ascii="Times New Roman" w:hAnsi="Times New Roman"/>
        </w:rPr>
        <w:t>Order</w:t>
      </w:r>
      <w:r w:rsidR="0097497B" w:rsidRPr="004963EE">
        <w:rPr>
          <w:rFonts w:ascii="Times New Roman" w:hAnsi="Times New Roman"/>
        </w:rPr>
        <w:t> </w:t>
      </w:r>
      <w:r w:rsidR="00353A17" w:rsidRPr="004963EE">
        <w:rPr>
          <w:rFonts w:ascii="Times New Roman" w:hAnsi="Times New Roman"/>
        </w:rPr>
        <w:t xml:space="preserve">1 of the Court of Appeal </w:t>
      </w:r>
      <w:r w:rsidR="00155E2C" w:rsidRPr="004963EE">
        <w:rPr>
          <w:rFonts w:ascii="Times New Roman" w:hAnsi="Times New Roman"/>
        </w:rPr>
        <w:t>on 24 January 2025</w:t>
      </w:r>
      <w:r w:rsidR="00353A17" w:rsidRPr="004963EE">
        <w:rPr>
          <w:rFonts w:ascii="Times New Roman" w:hAnsi="Times New Roman"/>
        </w:rPr>
        <w:t xml:space="preserve"> be set as</w:t>
      </w:r>
      <w:r w:rsidR="001F0370" w:rsidRPr="004963EE">
        <w:rPr>
          <w:rFonts w:ascii="Times New Roman" w:hAnsi="Times New Roman"/>
        </w:rPr>
        <w:t>i</w:t>
      </w:r>
      <w:r w:rsidR="00353A17" w:rsidRPr="004963EE">
        <w:rPr>
          <w:rFonts w:ascii="Times New Roman" w:hAnsi="Times New Roman"/>
        </w:rPr>
        <w:t xml:space="preserve">de and in lieu thereof </w:t>
      </w:r>
      <w:r w:rsidR="00B55F2B" w:rsidRPr="004963EE">
        <w:rPr>
          <w:rFonts w:ascii="Times New Roman" w:hAnsi="Times New Roman"/>
        </w:rPr>
        <w:t>it be ordered that:</w:t>
      </w:r>
    </w:p>
    <w:p w14:paraId="019A772A" w14:textId="6293E427" w:rsidR="00B55F2B" w:rsidRPr="004963EE" w:rsidRDefault="00B55F2B" w:rsidP="004963EE">
      <w:pPr>
        <w:pStyle w:val="NormalBody"/>
        <w:spacing w:after="260" w:line="280" w:lineRule="exact"/>
        <w:ind w:left="1440" w:right="0" w:hanging="720"/>
        <w:jc w:val="both"/>
        <w:rPr>
          <w:rFonts w:ascii="Times New Roman" w:hAnsi="Times New Roman"/>
        </w:rPr>
      </w:pPr>
      <w:proofErr w:type="spellStart"/>
      <w:r w:rsidRPr="004963EE">
        <w:rPr>
          <w:rFonts w:ascii="Times New Roman" w:hAnsi="Times New Roman"/>
        </w:rPr>
        <w:t>i</w:t>
      </w:r>
      <w:proofErr w:type="spellEnd"/>
      <w:r w:rsidRPr="004963EE">
        <w:rPr>
          <w:rFonts w:ascii="Times New Roman" w:hAnsi="Times New Roman"/>
        </w:rPr>
        <w:t>.</w:t>
      </w:r>
      <w:r w:rsidRPr="004963EE">
        <w:rPr>
          <w:rFonts w:ascii="Times New Roman" w:hAnsi="Times New Roman"/>
        </w:rPr>
        <w:tab/>
      </w:r>
      <w:r w:rsidR="004C54EE" w:rsidRPr="004963EE">
        <w:rPr>
          <w:rFonts w:ascii="Times New Roman" w:hAnsi="Times New Roman"/>
        </w:rPr>
        <w:t xml:space="preserve">the </w:t>
      </w:r>
      <w:r w:rsidRPr="004963EE">
        <w:rPr>
          <w:rFonts w:ascii="Times New Roman" w:hAnsi="Times New Roman"/>
        </w:rPr>
        <w:t>appeal</w:t>
      </w:r>
      <w:r w:rsidR="004C54EE" w:rsidRPr="004963EE">
        <w:rPr>
          <w:rFonts w:ascii="Times New Roman" w:hAnsi="Times New Roman"/>
        </w:rPr>
        <w:t xml:space="preserve"> in proceeding</w:t>
      </w:r>
      <w:r w:rsidR="00406F0F" w:rsidRPr="004963EE">
        <w:rPr>
          <w:rFonts w:ascii="Times New Roman" w:hAnsi="Times New Roman"/>
        </w:rPr>
        <w:t> </w:t>
      </w:r>
      <w:r w:rsidR="00765808" w:rsidRPr="004963EE">
        <w:rPr>
          <w:rFonts w:ascii="Times New Roman" w:hAnsi="Times New Roman"/>
        </w:rPr>
        <w:t>AP 13/22 (2237775) is</w:t>
      </w:r>
      <w:r w:rsidRPr="004963EE">
        <w:rPr>
          <w:rFonts w:ascii="Times New Roman" w:hAnsi="Times New Roman"/>
        </w:rPr>
        <w:t xml:space="preserve"> </w:t>
      </w:r>
      <w:proofErr w:type="gramStart"/>
      <w:r w:rsidRPr="004963EE">
        <w:rPr>
          <w:rFonts w:ascii="Times New Roman" w:hAnsi="Times New Roman"/>
        </w:rPr>
        <w:t>allowed</w:t>
      </w:r>
      <w:r w:rsidR="001F0370" w:rsidRPr="004963EE">
        <w:rPr>
          <w:rFonts w:ascii="Times New Roman" w:hAnsi="Times New Roman"/>
        </w:rPr>
        <w:t>;</w:t>
      </w:r>
      <w:proofErr w:type="gramEnd"/>
    </w:p>
    <w:p w14:paraId="66B399FE" w14:textId="5CB099BE" w:rsidR="001F0370" w:rsidRPr="004963EE" w:rsidRDefault="001F0370" w:rsidP="004963EE">
      <w:pPr>
        <w:pStyle w:val="NormalBody"/>
        <w:spacing w:after="260" w:line="280" w:lineRule="exact"/>
        <w:ind w:left="1440" w:right="0" w:hanging="720"/>
        <w:jc w:val="both"/>
        <w:rPr>
          <w:rFonts w:ascii="Times New Roman" w:hAnsi="Times New Roman"/>
        </w:rPr>
      </w:pPr>
      <w:r w:rsidRPr="004963EE">
        <w:rPr>
          <w:rFonts w:ascii="Times New Roman" w:hAnsi="Times New Roman"/>
        </w:rPr>
        <w:t>ii.</w:t>
      </w:r>
      <w:r w:rsidRPr="004963EE">
        <w:rPr>
          <w:rFonts w:ascii="Times New Roman" w:hAnsi="Times New Roman"/>
        </w:rPr>
        <w:tab/>
      </w:r>
      <w:r w:rsidR="00EA5F50" w:rsidRPr="004963EE">
        <w:rPr>
          <w:rFonts w:ascii="Times New Roman" w:hAnsi="Times New Roman"/>
        </w:rPr>
        <w:t xml:space="preserve">the </w:t>
      </w:r>
      <w:r w:rsidR="00B7055B" w:rsidRPr="004963EE">
        <w:rPr>
          <w:rFonts w:ascii="Times New Roman" w:hAnsi="Times New Roman"/>
        </w:rPr>
        <w:t>First</w:t>
      </w:r>
      <w:r w:rsidR="00EA5F50" w:rsidRPr="004963EE">
        <w:rPr>
          <w:rFonts w:ascii="Times New Roman" w:hAnsi="Times New Roman"/>
        </w:rPr>
        <w:t xml:space="preserve"> Determination</w:t>
      </w:r>
      <w:r w:rsidR="00B7055B" w:rsidRPr="004963EE">
        <w:rPr>
          <w:rFonts w:ascii="Times New Roman" w:hAnsi="Times New Roman"/>
        </w:rPr>
        <w:t>, Second Determination and Third Determination</w:t>
      </w:r>
      <w:r w:rsidR="00EA5F50" w:rsidRPr="004963EE">
        <w:rPr>
          <w:rFonts w:ascii="Times New Roman" w:hAnsi="Times New Roman"/>
        </w:rPr>
        <w:t xml:space="preserve"> be quashed.</w:t>
      </w:r>
    </w:p>
    <w:p w14:paraId="1B1C5C7C" w14:textId="77777777" w:rsidR="00B54D4B" w:rsidRDefault="00BF5576" w:rsidP="004963EE">
      <w:pPr>
        <w:pStyle w:val="NormalBody"/>
        <w:spacing w:after="260" w:line="280" w:lineRule="exact"/>
        <w:ind w:left="720" w:right="0" w:hanging="720"/>
        <w:jc w:val="both"/>
        <w:rPr>
          <w:rFonts w:ascii="Times New Roman" w:hAnsi="Times New Roman"/>
        </w:rPr>
        <w:sectPr w:rsidR="00B54D4B" w:rsidSect="005979AE">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r w:rsidRPr="004963EE">
        <w:rPr>
          <w:rFonts w:ascii="Times New Roman" w:hAnsi="Times New Roman"/>
        </w:rPr>
        <w:t>c.</w:t>
      </w:r>
      <w:r w:rsidRPr="004963EE">
        <w:rPr>
          <w:rFonts w:ascii="Times New Roman" w:hAnsi="Times New Roman"/>
        </w:rPr>
        <w:tab/>
        <w:t xml:space="preserve">The </w:t>
      </w:r>
      <w:r w:rsidR="00B5095B" w:rsidRPr="004963EE">
        <w:rPr>
          <w:rFonts w:ascii="Times New Roman" w:hAnsi="Times New Roman"/>
        </w:rPr>
        <w:t>respondents</w:t>
      </w:r>
      <w:r w:rsidRPr="004963EE">
        <w:rPr>
          <w:rFonts w:ascii="Times New Roman" w:hAnsi="Times New Roman"/>
        </w:rPr>
        <w:t xml:space="preserve"> pay the appellants' costs in this Court, and below in </w:t>
      </w:r>
      <w:r w:rsidR="007E21B3" w:rsidRPr="004963EE">
        <w:rPr>
          <w:rFonts w:ascii="Times New Roman" w:hAnsi="Times New Roman"/>
        </w:rPr>
        <w:t>the Court of Appeal and at first instance in the Supreme Court of the Northern Territory.</w:t>
      </w:r>
    </w:p>
    <w:p w14:paraId="7316ED55" w14:textId="0F052832" w:rsidR="00770A8D" w:rsidRPr="004963EE" w:rsidRDefault="00770A8D" w:rsidP="004963EE">
      <w:pPr>
        <w:pStyle w:val="NormalBody"/>
        <w:spacing w:after="260" w:line="280" w:lineRule="exact"/>
        <w:ind w:left="720" w:right="0" w:hanging="720"/>
        <w:jc w:val="both"/>
        <w:rPr>
          <w:rFonts w:ascii="Times New Roman" w:hAnsi="Times New Roman"/>
        </w:rPr>
      </w:pPr>
    </w:p>
    <w:sectPr w:rsidR="00770A8D" w:rsidRPr="004963EE" w:rsidSect="00B54D4B">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0528" w14:textId="77777777" w:rsidR="003011F5" w:rsidRDefault="003011F5">
      <w:pPr>
        <w:spacing w:line="240" w:lineRule="auto"/>
      </w:pPr>
      <w:r>
        <w:separator/>
      </w:r>
    </w:p>
  </w:endnote>
  <w:endnote w:type="continuationSeparator" w:id="0">
    <w:p w14:paraId="48B75A2F" w14:textId="77777777" w:rsidR="003011F5" w:rsidRDefault="003011F5">
      <w:pPr>
        <w:spacing w:line="240" w:lineRule="auto"/>
      </w:pPr>
      <w:r>
        <w:continuationSeparator/>
      </w:r>
    </w:p>
  </w:endnote>
  <w:endnote w:type="continuationNotice" w:id="1">
    <w:p w14:paraId="0072C324" w14:textId="77777777" w:rsidR="003011F5" w:rsidRDefault="003011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7A9D" w14:textId="77777777" w:rsidR="005979AE" w:rsidRDefault="00597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41DE" w14:textId="77777777" w:rsidR="005979AE" w:rsidRDefault="00597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4955" w14:textId="77777777" w:rsidR="005979AE" w:rsidRDefault="005979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D770" w14:textId="77777777" w:rsidR="005979AE" w:rsidRDefault="005979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0268" w14:textId="77777777" w:rsidR="005979AE" w:rsidRDefault="005979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E278" w14:textId="77777777" w:rsidR="005979AE" w:rsidRDefault="0059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0E77" w14:textId="77777777" w:rsidR="003011F5" w:rsidRPr="004963EE" w:rsidRDefault="003011F5" w:rsidP="004963EE">
      <w:pPr>
        <w:pStyle w:val="Footer"/>
        <w:spacing w:before="120" w:after="20"/>
        <w:ind w:right="0"/>
        <w:rPr>
          <w:rFonts w:ascii="Times New Roman" w:hAnsi="Times New Roman"/>
        </w:rPr>
      </w:pPr>
      <w:r>
        <w:continuationSeparator/>
      </w:r>
    </w:p>
  </w:footnote>
  <w:footnote w:type="continuationSeparator" w:id="0">
    <w:p w14:paraId="33D095AC" w14:textId="77777777" w:rsidR="003011F5" w:rsidRPr="004963EE" w:rsidRDefault="003011F5" w:rsidP="004963EE">
      <w:pPr>
        <w:pStyle w:val="Footer"/>
        <w:spacing w:before="120" w:after="20"/>
        <w:ind w:right="0"/>
        <w:rPr>
          <w:rFonts w:ascii="Times New Roman" w:hAnsi="Times New Roman"/>
        </w:rPr>
      </w:pPr>
      <w:r w:rsidRPr="004963EE">
        <w:rPr>
          <w:rFonts w:ascii="Times New Roman" w:hAnsi="Times New Roman"/>
        </w:rPr>
        <w:continuationSeparator/>
      </w:r>
    </w:p>
  </w:footnote>
  <w:footnote w:type="continuationNotice" w:id="1">
    <w:p w14:paraId="0B5F8210" w14:textId="77777777" w:rsidR="003011F5" w:rsidRPr="00B54D4B" w:rsidRDefault="003011F5">
      <w:pPr>
        <w:jc w:val="right"/>
        <w:rPr>
          <w:rFonts w:ascii="Times New Roman" w:hAnsi="Times New Roman"/>
          <w:sz w:val="24"/>
        </w:rPr>
      </w:pPr>
    </w:p>
  </w:footnote>
  <w:footnote w:id="2">
    <w:p w14:paraId="2403EE6B" w14:textId="60A49E4E" w:rsidR="00FB7549" w:rsidRPr="004963EE" w:rsidRDefault="00FB7549"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F11B25" w:rsidRPr="004963EE">
        <w:rPr>
          <w:rFonts w:ascii="Times New Roman" w:hAnsi="Times New Roman"/>
          <w:sz w:val="24"/>
        </w:rPr>
        <w:t xml:space="preserve">A related application for special leave to appeal to this Court (in D1/2025), which concerns the </w:t>
      </w:r>
      <w:r w:rsidR="00964A93" w:rsidRPr="004963EE">
        <w:rPr>
          <w:rFonts w:ascii="Times New Roman" w:hAnsi="Times New Roman"/>
          <w:sz w:val="24"/>
        </w:rPr>
        <w:t xml:space="preserve">fourth </w:t>
      </w:r>
      <w:r w:rsidR="00F11B25" w:rsidRPr="004963EE">
        <w:rPr>
          <w:rFonts w:ascii="Times New Roman" w:hAnsi="Times New Roman"/>
          <w:sz w:val="24"/>
        </w:rPr>
        <w:t>determination</w:t>
      </w:r>
      <w:r w:rsidR="006359A8" w:rsidRPr="004963EE">
        <w:rPr>
          <w:rFonts w:ascii="Times New Roman" w:hAnsi="Times New Roman"/>
          <w:sz w:val="24"/>
        </w:rPr>
        <w:t xml:space="preserve"> made on </w:t>
      </w:r>
      <w:r w:rsidR="00C95334" w:rsidRPr="004963EE">
        <w:rPr>
          <w:rFonts w:ascii="Times New Roman" w:hAnsi="Times New Roman"/>
          <w:sz w:val="24"/>
        </w:rPr>
        <w:t>1</w:t>
      </w:r>
      <w:r w:rsidR="006359A8" w:rsidRPr="004963EE">
        <w:rPr>
          <w:rFonts w:ascii="Times New Roman" w:hAnsi="Times New Roman"/>
          <w:sz w:val="24"/>
        </w:rPr>
        <w:t> February 2023</w:t>
      </w:r>
      <w:r w:rsidR="00F11B25" w:rsidRPr="004963EE">
        <w:rPr>
          <w:rFonts w:ascii="Times New Roman" w:hAnsi="Times New Roman"/>
          <w:sz w:val="24"/>
        </w:rPr>
        <w:t>, was heard at the same time as this appeal. The Court will deliver judgment on that special leave application separately.</w:t>
      </w:r>
    </w:p>
  </w:footnote>
  <w:footnote w:id="3">
    <w:p w14:paraId="3FFBD082" w14:textId="0EE2F1CB" w:rsidR="00877B2B" w:rsidRPr="004963EE" w:rsidRDefault="00877B2B"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008F1023" w:rsidRPr="004963EE">
        <w:rPr>
          <w:rFonts w:ascii="Times New Roman" w:hAnsi="Times New Roman"/>
          <w:sz w:val="24"/>
        </w:rPr>
        <w:tab/>
      </w:r>
      <w:r w:rsidR="008F1023" w:rsidRPr="004963EE">
        <w:rPr>
          <w:rFonts w:ascii="Times New Roman" w:hAnsi="Times New Roman"/>
          <w:i/>
          <w:iCs/>
          <w:sz w:val="24"/>
        </w:rPr>
        <w:t>Badari v Minister for Territory Families and Urban Housing</w:t>
      </w:r>
      <w:r w:rsidR="008F1023" w:rsidRPr="004963EE">
        <w:rPr>
          <w:rFonts w:ascii="Times New Roman" w:hAnsi="Times New Roman"/>
          <w:sz w:val="24"/>
        </w:rPr>
        <w:t xml:space="preserve"> [2022] NTSC 83.</w:t>
      </w:r>
    </w:p>
  </w:footnote>
  <w:footnote w:id="4">
    <w:p w14:paraId="3E829655" w14:textId="2A126886" w:rsidR="00877B2B" w:rsidRPr="004963EE" w:rsidRDefault="00877B2B"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00922B98" w:rsidRPr="004963EE">
        <w:rPr>
          <w:rFonts w:ascii="Times New Roman" w:hAnsi="Times New Roman"/>
          <w:sz w:val="24"/>
        </w:rPr>
        <w:tab/>
      </w:r>
      <w:r w:rsidR="00922B98" w:rsidRPr="004963EE">
        <w:rPr>
          <w:rFonts w:ascii="Times New Roman" w:hAnsi="Times New Roman"/>
          <w:i/>
          <w:iCs/>
          <w:sz w:val="24"/>
        </w:rPr>
        <w:t>Badari v Minister for Territory Families and Urban Housing</w:t>
      </w:r>
      <w:r w:rsidR="00922B98" w:rsidRPr="004963EE">
        <w:rPr>
          <w:rFonts w:ascii="Times New Roman" w:hAnsi="Times New Roman"/>
          <w:sz w:val="24"/>
        </w:rPr>
        <w:t xml:space="preserve"> </w:t>
      </w:r>
      <w:r w:rsidR="00372F0A" w:rsidRPr="004963EE">
        <w:rPr>
          <w:rFonts w:ascii="Times New Roman" w:hAnsi="Times New Roman"/>
          <w:sz w:val="24"/>
        </w:rPr>
        <w:t>(2025) 393 FLR 73</w:t>
      </w:r>
      <w:r w:rsidR="00922B98" w:rsidRPr="004963EE">
        <w:rPr>
          <w:rFonts w:ascii="Times New Roman" w:hAnsi="Times New Roman"/>
          <w:sz w:val="24"/>
        </w:rPr>
        <w:t>.</w:t>
      </w:r>
    </w:p>
  </w:footnote>
  <w:footnote w:id="5">
    <w:p w14:paraId="3C6E75BB" w14:textId="50F0C1D7" w:rsidR="00964A93" w:rsidRPr="004963EE" w:rsidRDefault="00964A93"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Pr>
          <w:rFonts w:ascii="Times New Roman" w:hAnsi="Times New Roman"/>
          <w:i/>
          <w:iCs/>
          <w:sz w:val="24"/>
        </w:rPr>
        <w:t>Housing Act</w:t>
      </w:r>
      <w:r w:rsidRPr="004963EE">
        <w:rPr>
          <w:rFonts w:ascii="Times New Roman" w:hAnsi="Times New Roman"/>
          <w:sz w:val="24"/>
        </w:rPr>
        <w:t>, s</w:t>
      </w:r>
      <w:r w:rsidR="00DA331A" w:rsidRPr="004963EE">
        <w:rPr>
          <w:rFonts w:ascii="Times New Roman" w:hAnsi="Times New Roman"/>
          <w:sz w:val="24"/>
        </w:rPr>
        <w:t> </w:t>
      </w:r>
      <w:r w:rsidRPr="004963EE">
        <w:rPr>
          <w:rFonts w:ascii="Times New Roman" w:hAnsi="Times New Roman"/>
          <w:sz w:val="24"/>
        </w:rPr>
        <w:t>6(1).</w:t>
      </w:r>
    </w:p>
  </w:footnote>
  <w:footnote w:id="6">
    <w:p w14:paraId="372EC537" w14:textId="3F4926EE" w:rsidR="005E305F" w:rsidRPr="004963EE" w:rsidRDefault="005E305F"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Pr>
          <w:rFonts w:ascii="Times New Roman" w:hAnsi="Times New Roman"/>
          <w:i/>
          <w:iCs/>
          <w:sz w:val="24"/>
        </w:rPr>
        <w:t>Housing Act</w:t>
      </w:r>
      <w:r w:rsidRPr="004963EE">
        <w:rPr>
          <w:rFonts w:ascii="Times New Roman" w:hAnsi="Times New Roman"/>
          <w:sz w:val="24"/>
        </w:rPr>
        <w:t>, s</w:t>
      </w:r>
      <w:r w:rsidR="00DA331A" w:rsidRPr="004963EE">
        <w:rPr>
          <w:rFonts w:ascii="Times New Roman" w:hAnsi="Times New Roman"/>
          <w:sz w:val="24"/>
        </w:rPr>
        <w:t> </w:t>
      </w:r>
      <w:r w:rsidRPr="004963EE">
        <w:rPr>
          <w:rFonts w:ascii="Times New Roman" w:hAnsi="Times New Roman"/>
          <w:sz w:val="24"/>
        </w:rPr>
        <w:t>15(a).</w:t>
      </w:r>
    </w:p>
  </w:footnote>
  <w:footnote w:id="7">
    <w:p w14:paraId="29744D14" w14:textId="5DFFE15C" w:rsidR="00E45EF8" w:rsidRPr="004963EE" w:rsidRDefault="00E45EF8"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E62D72" w:rsidRPr="004963EE">
        <w:rPr>
          <w:rFonts w:ascii="Times New Roman" w:hAnsi="Times New Roman"/>
          <w:i/>
          <w:iCs/>
          <w:sz w:val="24"/>
        </w:rPr>
        <w:t>Housing Act</w:t>
      </w:r>
      <w:r w:rsidR="00E62D72" w:rsidRPr="004963EE">
        <w:rPr>
          <w:rFonts w:ascii="Times New Roman" w:hAnsi="Times New Roman"/>
          <w:sz w:val="24"/>
        </w:rPr>
        <w:t>, s </w:t>
      </w:r>
      <w:r w:rsidRPr="004963EE">
        <w:rPr>
          <w:rFonts w:ascii="Times New Roman" w:hAnsi="Times New Roman"/>
          <w:sz w:val="24"/>
        </w:rPr>
        <w:t>16(2)(e).</w:t>
      </w:r>
    </w:p>
  </w:footnote>
  <w:footnote w:id="8">
    <w:p w14:paraId="3B455E8E" w14:textId="0F2B6F10" w:rsidR="005F17EC" w:rsidRPr="004963EE" w:rsidRDefault="005F17EC"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Pr>
          <w:rFonts w:ascii="Times New Roman" w:hAnsi="Times New Roman"/>
          <w:i/>
          <w:iCs/>
          <w:sz w:val="24"/>
        </w:rPr>
        <w:t>Housing Regulations</w:t>
      </w:r>
      <w:r w:rsidR="007D2BD6" w:rsidRPr="004963EE">
        <w:rPr>
          <w:rFonts w:ascii="Times New Roman" w:hAnsi="Times New Roman"/>
          <w:sz w:val="24"/>
        </w:rPr>
        <w:t>, reg 3</w:t>
      </w:r>
      <w:r w:rsidR="001D39C4" w:rsidRPr="004963EE">
        <w:rPr>
          <w:rFonts w:ascii="Times New Roman" w:hAnsi="Times New Roman"/>
          <w:sz w:val="24"/>
        </w:rPr>
        <w:t>.</w:t>
      </w:r>
    </w:p>
  </w:footnote>
  <w:footnote w:id="9">
    <w:p w14:paraId="5FF5671B" w14:textId="69E6EAC0" w:rsidR="009D1DB6" w:rsidRPr="004963EE" w:rsidRDefault="009D1DB6"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sidDel="006A1E20">
        <w:rPr>
          <w:rFonts w:ascii="Times New Roman" w:hAnsi="Times New Roman"/>
          <w:i/>
          <w:iCs/>
          <w:sz w:val="24"/>
        </w:rPr>
        <w:t>Housing Act</w:t>
      </w:r>
      <w:r w:rsidRPr="004963EE" w:rsidDel="006A1E20">
        <w:rPr>
          <w:rFonts w:ascii="Times New Roman" w:hAnsi="Times New Roman"/>
          <w:sz w:val="24"/>
        </w:rPr>
        <w:t xml:space="preserve">, </w:t>
      </w:r>
      <w:r w:rsidRPr="004963EE">
        <w:rPr>
          <w:rFonts w:ascii="Times New Roman" w:hAnsi="Times New Roman"/>
          <w:sz w:val="24"/>
        </w:rPr>
        <w:t>s 34.</w:t>
      </w:r>
    </w:p>
  </w:footnote>
  <w:footnote w:id="10">
    <w:p w14:paraId="6AA3C9DE" w14:textId="4DC9C792" w:rsidR="00C01AB4" w:rsidRPr="004963EE" w:rsidRDefault="00C01AB4"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164A16" w:rsidRPr="004963EE">
        <w:rPr>
          <w:rFonts w:ascii="Times New Roman" w:hAnsi="Times New Roman"/>
          <w:i/>
          <w:iCs/>
          <w:sz w:val="24"/>
        </w:rPr>
        <w:t>R</w:t>
      </w:r>
      <w:r w:rsidR="008D1645" w:rsidRPr="004963EE">
        <w:rPr>
          <w:rFonts w:ascii="Times New Roman" w:hAnsi="Times New Roman"/>
          <w:i/>
          <w:iCs/>
          <w:sz w:val="24"/>
        </w:rPr>
        <w:t>T</w:t>
      </w:r>
      <w:r w:rsidR="00164A16" w:rsidRPr="004963EE">
        <w:rPr>
          <w:rFonts w:ascii="Times New Roman" w:hAnsi="Times New Roman"/>
          <w:i/>
          <w:iCs/>
          <w:sz w:val="24"/>
        </w:rPr>
        <w:t xml:space="preserve"> Act</w:t>
      </w:r>
      <w:r w:rsidR="00FE326C" w:rsidRPr="004963EE">
        <w:rPr>
          <w:rFonts w:ascii="Times New Roman" w:hAnsi="Times New Roman"/>
          <w:sz w:val="24"/>
        </w:rPr>
        <w:t>, s 3(d)-(e)</w:t>
      </w:r>
      <w:r w:rsidRPr="004963EE">
        <w:rPr>
          <w:rFonts w:ascii="Times New Roman" w:hAnsi="Times New Roman"/>
          <w:sz w:val="24"/>
        </w:rPr>
        <w:t>.</w:t>
      </w:r>
    </w:p>
  </w:footnote>
  <w:footnote w:id="11">
    <w:p w14:paraId="4FF2A2F9" w14:textId="2C43715C" w:rsidR="006A34DE" w:rsidRPr="004963EE" w:rsidRDefault="006A34DE"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D5621E" w:rsidRPr="004963EE">
        <w:rPr>
          <w:rFonts w:ascii="Times New Roman" w:hAnsi="Times New Roman"/>
          <w:i/>
          <w:iCs/>
          <w:sz w:val="24"/>
        </w:rPr>
        <w:t>R</w:t>
      </w:r>
      <w:r w:rsidR="006E2F9A" w:rsidRPr="004963EE">
        <w:rPr>
          <w:rFonts w:ascii="Times New Roman" w:hAnsi="Times New Roman"/>
          <w:i/>
          <w:iCs/>
          <w:sz w:val="24"/>
        </w:rPr>
        <w:t>T</w:t>
      </w:r>
      <w:r w:rsidR="00D5621E" w:rsidRPr="004963EE">
        <w:rPr>
          <w:rFonts w:ascii="Times New Roman" w:hAnsi="Times New Roman"/>
          <w:i/>
          <w:iCs/>
          <w:sz w:val="24"/>
        </w:rPr>
        <w:t xml:space="preserve"> Act</w:t>
      </w:r>
      <w:r w:rsidR="002A109C" w:rsidRPr="004963EE">
        <w:rPr>
          <w:rFonts w:ascii="Times New Roman" w:hAnsi="Times New Roman"/>
          <w:sz w:val="24"/>
        </w:rPr>
        <w:t>, s 42(4)(a)</w:t>
      </w:r>
      <w:r w:rsidRPr="004963EE">
        <w:rPr>
          <w:rFonts w:ascii="Times New Roman" w:hAnsi="Times New Roman"/>
          <w:sz w:val="24"/>
        </w:rPr>
        <w:t>.</w:t>
      </w:r>
    </w:p>
  </w:footnote>
  <w:footnote w:id="12">
    <w:p w14:paraId="27346419" w14:textId="2CC8062B" w:rsidR="005154A4" w:rsidRPr="004963EE" w:rsidRDefault="005154A4"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AA2918" w:rsidRPr="004963EE">
        <w:rPr>
          <w:rFonts w:ascii="Times New Roman" w:hAnsi="Times New Roman"/>
          <w:sz w:val="24"/>
        </w:rPr>
        <w:t xml:space="preserve">See </w:t>
      </w:r>
      <w:r w:rsidR="00395C61" w:rsidRPr="004963EE">
        <w:rPr>
          <w:rFonts w:ascii="Times New Roman" w:hAnsi="Times New Roman"/>
          <w:i/>
          <w:iCs/>
          <w:sz w:val="24"/>
        </w:rPr>
        <w:t>Kioa v West</w:t>
      </w:r>
      <w:r w:rsidR="00395C61" w:rsidRPr="004963EE">
        <w:rPr>
          <w:rFonts w:ascii="Times New Roman" w:hAnsi="Times New Roman"/>
          <w:sz w:val="24"/>
        </w:rPr>
        <w:t xml:space="preserve"> (1985) 159 CLR 550 at 612.</w:t>
      </w:r>
    </w:p>
  </w:footnote>
  <w:footnote w:id="13">
    <w:p w14:paraId="4795803D" w14:textId="17143EC1" w:rsidR="00523815" w:rsidRPr="004963EE" w:rsidRDefault="00523815"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Pr>
          <w:rFonts w:ascii="Times New Roman" w:hAnsi="Times New Roman"/>
          <w:i/>
          <w:iCs/>
          <w:sz w:val="24"/>
        </w:rPr>
        <w:t>Disorganized Developments Pty Ltd v South Australia</w:t>
      </w:r>
      <w:r w:rsidRPr="004963EE">
        <w:rPr>
          <w:rFonts w:ascii="Times New Roman" w:hAnsi="Times New Roman"/>
          <w:sz w:val="24"/>
        </w:rPr>
        <w:t xml:space="preserve"> (2023) </w:t>
      </w:r>
      <w:r w:rsidR="00DD4ACB" w:rsidRPr="004963EE">
        <w:rPr>
          <w:rFonts w:ascii="Times New Roman" w:hAnsi="Times New Roman"/>
          <w:sz w:val="24"/>
        </w:rPr>
        <w:t>280 CLR 515</w:t>
      </w:r>
      <w:r w:rsidRPr="004963EE">
        <w:rPr>
          <w:rFonts w:ascii="Times New Roman" w:hAnsi="Times New Roman"/>
          <w:sz w:val="24"/>
        </w:rPr>
        <w:t xml:space="preserve"> at</w:t>
      </w:r>
      <w:r w:rsidR="0018774F" w:rsidRPr="004963EE">
        <w:rPr>
          <w:rFonts w:ascii="Times New Roman" w:hAnsi="Times New Roman"/>
          <w:sz w:val="24"/>
        </w:rPr>
        <w:t xml:space="preserve"> </w:t>
      </w:r>
      <w:r w:rsidR="00CB5643" w:rsidRPr="004963EE">
        <w:rPr>
          <w:rFonts w:ascii="Times New Roman" w:hAnsi="Times New Roman"/>
          <w:sz w:val="24"/>
        </w:rPr>
        <w:t>536-537</w:t>
      </w:r>
      <w:r w:rsidRPr="004963EE">
        <w:rPr>
          <w:rFonts w:ascii="Times New Roman" w:hAnsi="Times New Roman"/>
          <w:sz w:val="24"/>
        </w:rPr>
        <w:t xml:space="preserve"> [</w:t>
      </w:r>
      <w:r w:rsidR="00BA359B" w:rsidRPr="004963EE">
        <w:rPr>
          <w:rFonts w:ascii="Times New Roman" w:hAnsi="Times New Roman"/>
          <w:sz w:val="24"/>
        </w:rPr>
        <w:t>33</w:t>
      </w:r>
      <w:r w:rsidRPr="004963EE">
        <w:rPr>
          <w:rFonts w:ascii="Times New Roman" w:hAnsi="Times New Roman"/>
          <w:sz w:val="24"/>
        </w:rPr>
        <w:t>]</w:t>
      </w:r>
      <w:r w:rsidR="00641644" w:rsidRPr="004963EE">
        <w:rPr>
          <w:rFonts w:ascii="Times New Roman" w:hAnsi="Times New Roman"/>
          <w:sz w:val="24"/>
        </w:rPr>
        <w:t>;</w:t>
      </w:r>
      <w:r w:rsidR="002E448E" w:rsidRPr="004963EE">
        <w:rPr>
          <w:rFonts w:ascii="Times New Roman" w:hAnsi="Times New Roman"/>
          <w:sz w:val="24"/>
        </w:rPr>
        <w:t xml:space="preserve"> </w:t>
      </w:r>
      <w:r w:rsidR="002E448E" w:rsidRPr="004963EE">
        <w:rPr>
          <w:rFonts w:ascii="Times New Roman" w:hAnsi="Times New Roman"/>
          <w:i/>
          <w:iCs/>
          <w:sz w:val="24"/>
        </w:rPr>
        <w:t>CPCF v Minister for Immigration and Border Protection</w:t>
      </w:r>
      <w:r w:rsidR="002E448E" w:rsidRPr="004963EE">
        <w:rPr>
          <w:rFonts w:ascii="Times New Roman" w:hAnsi="Times New Roman"/>
          <w:sz w:val="24"/>
        </w:rPr>
        <w:t xml:space="preserve"> (2015) 255 CLR 514 at 622 [367].</w:t>
      </w:r>
    </w:p>
  </w:footnote>
  <w:footnote w:id="14">
    <w:p w14:paraId="219B859E" w14:textId="14396414" w:rsidR="00D868FB" w:rsidRPr="004963EE" w:rsidRDefault="00D868FB"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t>(</w:t>
      </w:r>
      <w:r w:rsidR="00195290" w:rsidRPr="004963EE">
        <w:rPr>
          <w:rFonts w:ascii="Times New Roman" w:hAnsi="Times New Roman"/>
          <w:sz w:val="24"/>
        </w:rPr>
        <w:t xml:space="preserve">2023) </w:t>
      </w:r>
      <w:r w:rsidR="005702D4" w:rsidRPr="004963EE">
        <w:rPr>
          <w:rFonts w:ascii="Times New Roman" w:hAnsi="Times New Roman"/>
          <w:sz w:val="24"/>
        </w:rPr>
        <w:t>280 CLR 515</w:t>
      </w:r>
      <w:r w:rsidR="00195290" w:rsidRPr="004963EE">
        <w:rPr>
          <w:rFonts w:ascii="Times New Roman" w:hAnsi="Times New Roman"/>
          <w:sz w:val="24"/>
        </w:rPr>
        <w:t xml:space="preserve"> at</w:t>
      </w:r>
      <w:r w:rsidR="00C74F43" w:rsidRPr="004963EE">
        <w:rPr>
          <w:rFonts w:ascii="Times New Roman" w:hAnsi="Times New Roman"/>
          <w:sz w:val="24"/>
        </w:rPr>
        <w:t xml:space="preserve"> </w:t>
      </w:r>
      <w:r w:rsidR="005702D4" w:rsidRPr="004963EE">
        <w:rPr>
          <w:rFonts w:ascii="Times New Roman" w:hAnsi="Times New Roman"/>
          <w:sz w:val="24"/>
        </w:rPr>
        <w:t>535</w:t>
      </w:r>
      <w:r w:rsidR="00195290" w:rsidRPr="004963EE">
        <w:rPr>
          <w:rFonts w:ascii="Times New Roman" w:hAnsi="Times New Roman"/>
          <w:sz w:val="24"/>
        </w:rPr>
        <w:t xml:space="preserve"> [28] (footnotes omitted)</w:t>
      </w:r>
      <w:r w:rsidR="00C74F43" w:rsidRPr="004963EE">
        <w:rPr>
          <w:rFonts w:ascii="Times New Roman" w:hAnsi="Times New Roman"/>
          <w:sz w:val="24"/>
        </w:rPr>
        <w:t>.</w:t>
      </w:r>
      <w:r w:rsidR="00195290" w:rsidRPr="004963EE">
        <w:rPr>
          <w:rFonts w:ascii="Times New Roman" w:hAnsi="Times New Roman"/>
          <w:sz w:val="24"/>
        </w:rPr>
        <w:t xml:space="preserve"> </w:t>
      </w:r>
      <w:r w:rsidR="00C74F43" w:rsidRPr="004963EE">
        <w:rPr>
          <w:rFonts w:ascii="Times New Roman" w:hAnsi="Times New Roman"/>
          <w:sz w:val="24"/>
        </w:rPr>
        <w:t>S</w:t>
      </w:r>
      <w:r w:rsidR="00195290" w:rsidRPr="004963EE">
        <w:rPr>
          <w:rFonts w:ascii="Times New Roman" w:hAnsi="Times New Roman"/>
          <w:sz w:val="24"/>
        </w:rPr>
        <w:t>ee also</w:t>
      </w:r>
      <w:r w:rsidR="009857D4" w:rsidRPr="004963EE">
        <w:rPr>
          <w:rFonts w:ascii="Times New Roman" w:hAnsi="Times New Roman"/>
          <w:sz w:val="24"/>
        </w:rPr>
        <w:t xml:space="preserve"> </w:t>
      </w:r>
      <w:r w:rsidR="009857D4" w:rsidRPr="004963EE">
        <w:rPr>
          <w:rFonts w:ascii="Times New Roman" w:hAnsi="Times New Roman"/>
          <w:i/>
          <w:iCs/>
          <w:sz w:val="24"/>
        </w:rPr>
        <w:t>Cooper v Wandsworth Board of Works</w:t>
      </w:r>
      <w:r w:rsidR="006B76EF" w:rsidRPr="004963EE">
        <w:rPr>
          <w:rFonts w:ascii="Times New Roman" w:hAnsi="Times New Roman"/>
          <w:i/>
          <w:iCs/>
          <w:sz w:val="24"/>
        </w:rPr>
        <w:t xml:space="preserve"> </w:t>
      </w:r>
      <w:r w:rsidR="0034597D" w:rsidRPr="004963EE">
        <w:rPr>
          <w:rFonts w:ascii="Times New Roman" w:hAnsi="Times New Roman"/>
          <w:sz w:val="24"/>
        </w:rPr>
        <w:t xml:space="preserve">(1863) </w:t>
      </w:r>
      <w:r w:rsidR="0040431F" w:rsidRPr="004963EE">
        <w:rPr>
          <w:rFonts w:ascii="Times New Roman" w:hAnsi="Times New Roman"/>
          <w:sz w:val="24"/>
        </w:rPr>
        <w:t xml:space="preserve">14 CBNS 180 </w:t>
      </w:r>
      <w:r w:rsidR="003C1F6B" w:rsidRPr="004963EE">
        <w:rPr>
          <w:rFonts w:ascii="Times New Roman" w:hAnsi="Times New Roman"/>
          <w:sz w:val="24"/>
        </w:rPr>
        <w:t>[</w:t>
      </w:r>
      <w:r w:rsidR="0034597D" w:rsidRPr="004963EE">
        <w:rPr>
          <w:rFonts w:ascii="Times New Roman" w:hAnsi="Times New Roman"/>
          <w:sz w:val="24"/>
        </w:rPr>
        <w:t>143 ER 414</w:t>
      </w:r>
      <w:r w:rsidR="003C1F6B" w:rsidRPr="004963EE">
        <w:rPr>
          <w:rFonts w:ascii="Times New Roman" w:hAnsi="Times New Roman"/>
          <w:sz w:val="24"/>
        </w:rPr>
        <w:t>]</w:t>
      </w:r>
      <w:r w:rsidR="0034597D" w:rsidRPr="004963EE">
        <w:rPr>
          <w:rFonts w:ascii="Times New Roman" w:hAnsi="Times New Roman"/>
          <w:sz w:val="24"/>
        </w:rPr>
        <w:t>;</w:t>
      </w:r>
      <w:r w:rsidR="00C81101" w:rsidRPr="004963EE">
        <w:rPr>
          <w:rFonts w:ascii="Times New Roman" w:hAnsi="Times New Roman"/>
          <w:sz w:val="24"/>
        </w:rPr>
        <w:t xml:space="preserve"> </w:t>
      </w:r>
      <w:r w:rsidR="00DB6048" w:rsidRPr="004963EE">
        <w:rPr>
          <w:rFonts w:ascii="Times New Roman" w:hAnsi="Times New Roman"/>
          <w:i/>
          <w:iCs/>
          <w:sz w:val="24"/>
        </w:rPr>
        <w:t>Sydney Corporation v Harris</w:t>
      </w:r>
      <w:r w:rsidR="00DB6048" w:rsidRPr="004963EE">
        <w:rPr>
          <w:rFonts w:ascii="Times New Roman" w:hAnsi="Times New Roman"/>
          <w:sz w:val="24"/>
        </w:rPr>
        <w:t xml:space="preserve"> (1912) 14 CLR 1 at 14; </w:t>
      </w:r>
      <w:r w:rsidR="00AF5F0B" w:rsidRPr="004963EE">
        <w:rPr>
          <w:rFonts w:ascii="Times New Roman" w:hAnsi="Times New Roman"/>
          <w:i/>
          <w:iCs/>
          <w:sz w:val="24"/>
        </w:rPr>
        <w:t>D</w:t>
      </w:r>
      <w:r w:rsidR="00DB6048" w:rsidRPr="004963EE">
        <w:rPr>
          <w:rFonts w:ascii="Times New Roman" w:hAnsi="Times New Roman"/>
          <w:i/>
          <w:iCs/>
          <w:sz w:val="24"/>
        </w:rPr>
        <w:t>elta Properties Pty Ltd v Brisbane City Council</w:t>
      </w:r>
      <w:r w:rsidR="00DB6048" w:rsidRPr="004963EE">
        <w:rPr>
          <w:rFonts w:ascii="Times New Roman" w:hAnsi="Times New Roman"/>
          <w:sz w:val="24"/>
        </w:rPr>
        <w:t xml:space="preserve"> (1955) 95 CLR 11 at 18; </w:t>
      </w:r>
      <w:r w:rsidR="001C5478" w:rsidRPr="004963EE">
        <w:rPr>
          <w:rFonts w:ascii="Times New Roman" w:hAnsi="Times New Roman"/>
          <w:i/>
          <w:iCs/>
          <w:sz w:val="24"/>
        </w:rPr>
        <w:t>Commissioner of Police v Tanos</w:t>
      </w:r>
      <w:r w:rsidR="001C5478" w:rsidRPr="004963EE">
        <w:rPr>
          <w:rFonts w:ascii="Times New Roman" w:hAnsi="Times New Roman"/>
          <w:sz w:val="24"/>
        </w:rPr>
        <w:t xml:space="preserve"> (1958) 98 CLR 383 at 395-396</w:t>
      </w:r>
      <w:r w:rsidR="001C4F54" w:rsidRPr="004963EE">
        <w:rPr>
          <w:rFonts w:ascii="Times New Roman" w:hAnsi="Times New Roman"/>
          <w:sz w:val="24"/>
        </w:rPr>
        <w:t>.</w:t>
      </w:r>
    </w:p>
  </w:footnote>
  <w:footnote w:id="15">
    <w:p w14:paraId="2D44CDB5" w14:textId="0745E852" w:rsidR="008F69D3" w:rsidRPr="004963EE" w:rsidRDefault="008F69D3"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D83C4A" w:rsidRPr="004963EE">
        <w:rPr>
          <w:rFonts w:ascii="Times New Roman" w:hAnsi="Times New Roman"/>
          <w:sz w:val="24"/>
        </w:rPr>
        <w:t xml:space="preserve">See </w:t>
      </w:r>
      <w:r w:rsidRPr="004963EE">
        <w:rPr>
          <w:rFonts w:ascii="Times New Roman" w:hAnsi="Times New Roman"/>
          <w:i/>
          <w:iCs/>
          <w:sz w:val="24"/>
        </w:rPr>
        <w:t>Kioa v West</w:t>
      </w:r>
      <w:r w:rsidRPr="004963EE">
        <w:rPr>
          <w:rFonts w:ascii="Times New Roman" w:hAnsi="Times New Roman"/>
          <w:sz w:val="24"/>
        </w:rPr>
        <w:t xml:space="preserve"> </w:t>
      </w:r>
      <w:r w:rsidR="004003D3" w:rsidRPr="004963EE">
        <w:rPr>
          <w:rFonts w:ascii="Times New Roman" w:hAnsi="Times New Roman"/>
          <w:sz w:val="24"/>
        </w:rPr>
        <w:t xml:space="preserve">(1985) 159 CLR 550 </w:t>
      </w:r>
      <w:r w:rsidRPr="004963EE">
        <w:rPr>
          <w:rFonts w:ascii="Times New Roman" w:hAnsi="Times New Roman"/>
          <w:sz w:val="24"/>
        </w:rPr>
        <w:t xml:space="preserve">at </w:t>
      </w:r>
      <w:r w:rsidR="000B4679" w:rsidRPr="004963EE">
        <w:rPr>
          <w:rFonts w:ascii="Times New Roman" w:hAnsi="Times New Roman"/>
          <w:sz w:val="24"/>
        </w:rPr>
        <w:t>584</w:t>
      </w:r>
      <w:r w:rsidR="004003D3" w:rsidRPr="004963EE">
        <w:rPr>
          <w:rFonts w:ascii="Times New Roman" w:hAnsi="Times New Roman"/>
          <w:sz w:val="24"/>
        </w:rPr>
        <w:t>,</w:t>
      </w:r>
      <w:r w:rsidR="000029ED" w:rsidRPr="004963EE">
        <w:rPr>
          <w:rFonts w:ascii="Times New Roman" w:hAnsi="Times New Roman"/>
          <w:sz w:val="24"/>
        </w:rPr>
        <w:t xml:space="preserve"> 619</w:t>
      </w:r>
      <w:r w:rsidR="004003D3" w:rsidRPr="004963EE">
        <w:rPr>
          <w:rFonts w:ascii="Times New Roman" w:hAnsi="Times New Roman"/>
          <w:sz w:val="24"/>
        </w:rPr>
        <w:t>,</w:t>
      </w:r>
      <w:r w:rsidR="000029ED" w:rsidRPr="004963EE">
        <w:rPr>
          <w:rFonts w:ascii="Times New Roman" w:hAnsi="Times New Roman"/>
          <w:sz w:val="24"/>
        </w:rPr>
        <w:t xml:space="preserve"> 634</w:t>
      </w:r>
      <w:r w:rsidR="000B4679" w:rsidRPr="004963EE">
        <w:rPr>
          <w:rFonts w:ascii="Times New Roman" w:hAnsi="Times New Roman"/>
          <w:sz w:val="24"/>
        </w:rPr>
        <w:t>.</w:t>
      </w:r>
    </w:p>
  </w:footnote>
  <w:footnote w:id="16">
    <w:p w14:paraId="78FAC958" w14:textId="27C43F57" w:rsidR="00D44D02" w:rsidRPr="004963EE" w:rsidRDefault="00D44D02"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B83F97" w:rsidRPr="004963EE">
        <w:rPr>
          <w:rFonts w:ascii="Times New Roman" w:hAnsi="Times New Roman"/>
          <w:sz w:val="24"/>
        </w:rPr>
        <w:t xml:space="preserve">(2023) </w:t>
      </w:r>
      <w:r w:rsidR="000A3D63" w:rsidRPr="004963EE">
        <w:rPr>
          <w:rFonts w:ascii="Times New Roman" w:hAnsi="Times New Roman"/>
          <w:sz w:val="24"/>
        </w:rPr>
        <w:t>280 CLR 515</w:t>
      </w:r>
      <w:r w:rsidR="00B83F97" w:rsidRPr="004963EE">
        <w:rPr>
          <w:rFonts w:ascii="Times New Roman" w:hAnsi="Times New Roman"/>
          <w:sz w:val="24"/>
        </w:rPr>
        <w:t xml:space="preserve"> </w:t>
      </w:r>
      <w:r w:rsidRPr="004963EE">
        <w:rPr>
          <w:rFonts w:ascii="Times New Roman" w:hAnsi="Times New Roman"/>
          <w:sz w:val="24"/>
        </w:rPr>
        <w:t>at</w:t>
      </w:r>
      <w:r w:rsidR="009636AB" w:rsidRPr="004963EE">
        <w:rPr>
          <w:rFonts w:ascii="Times New Roman" w:hAnsi="Times New Roman"/>
          <w:sz w:val="24"/>
        </w:rPr>
        <w:t xml:space="preserve"> </w:t>
      </w:r>
      <w:r w:rsidR="000A3D63" w:rsidRPr="004963EE">
        <w:rPr>
          <w:rFonts w:ascii="Times New Roman" w:hAnsi="Times New Roman"/>
          <w:sz w:val="24"/>
        </w:rPr>
        <w:t>539</w:t>
      </w:r>
      <w:r w:rsidRPr="004963EE">
        <w:rPr>
          <w:rFonts w:ascii="Times New Roman" w:hAnsi="Times New Roman"/>
          <w:sz w:val="24"/>
        </w:rPr>
        <w:t xml:space="preserve"> [41]</w:t>
      </w:r>
      <w:r w:rsidR="00C2419C" w:rsidRPr="004963EE">
        <w:rPr>
          <w:rFonts w:ascii="Times New Roman" w:hAnsi="Times New Roman"/>
          <w:sz w:val="24"/>
        </w:rPr>
        <w:t>.</w:t>
      </w:r>
      <w:r w:rsidRPr="004963EE">
        <w:rPr>
          <w:rFonts w:ascii="Times New Roman" w:hAnsi="Times New Roman"/>
          <w:sz w:val="24"/>
        </w:rPr>
        <w:t xml:space="preserve"> </w:t>
      </w:r>
      <w:r w:rsidR="00C2419C" w:rsidRPr="004963EE">
        <w:rPr>
          <w:rFonts w:ascii="Times New Roman" w:hAnsi="Times New Roman"/>
          <w:sz w:val="24"/>
        </w:rPr>
        <w:t>S</w:t>
      </w:r>
      <w:r w:rsidRPr="004963EE">
        <w:rPr>
          <w:rFonts w:ascii="Times New Roman" w:hAnsi="Times New Roman"/>
          <w:sz w:val="24"/>
        </w:rPr>
        <w:t xml:space="preserve">ee also </w:t>
      </w:r>
      <w:r w:rsidRPr="004963EE">
        <w:rPr>
          <w:rFonts w:ascii="Times New Roman" w:hAnsi="Times New Roman"/>
          <w:i/>
          <w:iCs/>
          <w:sz w:val="24"/>
        </w:rPr>
        <w:t>Jarratt v Commissioner of Police (NSW)</w:t>
      </w:r>
      <w:r w:rsidRPr="004963EE">
        <w:rPr>
          <w:rFonts w:ascii="Times New Roman" w:hAnsi="Times New Roman"/>
          <w:sz w:val="24"/>
        </w:rPr>
        <w:t xml:space="preserve"> (2005) 224 CLR</w:t>
      </w:r>
      <w:r w:rsidR="00C81101" w:rsidRPr="004963EE">
        <w:rPr>
          <w:rFonts w:ascii="Times New Roman" w:hAnsi="Times New Roman"/>
          <w:sz w:val="24"/>
        </w:rPr>
        <w:t xml:space="preserve"> </w:t>
      </w:r>
      <w:r w:rsidRPr="004963EE">
        <w:rPr>
          <w:rFonts w:ascii="Times New Roman" w:hAnsi="Times New Roman"/>
          <w:sz w:val="24"/>
        </w:rPr>
        <w:t>44.</w:t>
      </w:r>
    </w:p>
  </w:footnote>
  <w:footnote w:id="17">
    <w:p w14:paraId="3A07EF33" w14:textId="2EBEB91C" w:rsidR="00DD7AB4" w:rsidRPr="004963EE" w:rsidRDefault="00DD7AB4"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Pr>
          <w:rFonts w:ascii="Times New Roman" w:hAnsi="Times New Roman"/>
          <w:i/>
          <w:iCs/>
          <w:sz w:val="24"/>
        </w:rPr>
        <w:t>Housing Act</w:t>
      </w:r>
      <w:r w:rsidRPr="004963EE">
        <w:rPr>
          <w:rFonts w:ascii="Times New Roman" w:hAnsi="Times New Roman"/>
          <w:sz w:val="24"/>
        </w:rPr>
        <w:t>, s</w:t>
      </w:r>
      <w:r w:rsidR="003E36BE" w:rsidRPr="004963EE">
        <w:rPr>
          <w:rFonts w:ascii="Times New Roman" w:hAnsi="Times New Roman"/>
          <w:sz w:val="24"/>
        </w:rPr>
        <w:t>s</w:t>
      </w:r>
      <w:r w:rsidR="00567918" w:rsidRPr="004963EE">
        <w:rPr>
          <w:rFonts w:ascii="Times New Roman" w:hAnsi="Times New Roman"/>
          <w:sz w:val="24"/>
        </w:rPr>
        <w:t> 14</w:t>
      </w:r>
      <w:r w:rsidR="00DE6A24" w:rsidRPr="004963EE">
        <w:rPr>
          <w:rFonts w:ascii="Times New Roman" w:hAnsi="Times New Roman"/>
          <w:sz w:val="24"/>
        </w:rPr>
        <w:t>,</w:t>
      </w:r>
      <w:r w:rsidR="00567918" w:rsidRPr="004963EE">
        <w:rPr>
          <w:rFonts w:ascii="Times New Roman" w:hAnsi="Times New Roman"/>
          <w:sz w:val="24"/>
        </w:rPr>
        <w:t xml:space="preserve"> </w:t>
      </w:r>
      <w:r w:rsidRPr="004963EE">
        <w:rPr>
          <w:rFonts w:ascii="Times New Roman" w:hAnsi="Times New Roman"/>
          <w:sz w:val="24"/>
        </w:rPr>
        <w:t>17.</w:t>
      </w:r>
    </w:p>
  </w:footnote>
  <w:footnote w:id="18">
    <w:p w14:paraId="24A954F1" w14:textId="70E6E88D" w:rsidR="00C849DA" w:rsidRPr="004963EE" w:rsidRDefault="00C849DA"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0A5DCE" w:rsidRPr="004963EE">
        <w:rPr>
          <w:rFonts w:ascii="Times New Roman" w:hAnsi="Times New Roman"/>
          <w:i/>
          <w:iCs/>
          <w:sz w:val="24"/>
        </w:rPr>
        <w:t>Housing Act</w:t>
      </w:r>
      <w:r w:rsidR="000A5DCE" w:rsidRPr="004963EE">
        <w:rPr>
          <w:rFonts w:ascii="Times New Roman" w:hAnsi="Times New Roman"/>
          <w:sz w:val="24"/>
        </w:rPr>
        <w:t>, s 34.</w:t>
      </w:r>
    </w:p>
  </w:footnote>
  <w:footnote w:id="19">
    <w:p w14:paraId="538F6C1C" w14:textId="0E92F15E" w:rsidR="00E27A44" w:rsidRPr="004963EE" w:rsidRDefault="00E27A44"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t>(1985) 159 CLR 550.</w:t>
      </w:r>
    </w:p>
  </w:footnote>
  <w:footnote w:id="20">
    <w:p w14:paraId="20A8407C" w14:textId="7E38E5D7" w:rsidR="00C24D41" w:rsidRPr="004963EE" w:rsidRDefault="00C24D41"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EE11FE" w:rsidRPr="004963EE">
        <w:rPr>
          <w:rFonts w:ascii="Times New Roman" w:hAnsi="Times New Roman"/>
          <w:i/>
          <w:iCs/>
          <w:sz w:val="24"/>
        </w:rPr>
        <w:t xml:space="preserve">Kioa </w:t>
      </w:r>
      <w:r w:rsidR="00EE11FE" w:rsidRPr="004963EE">
        <w:rPr>
          <w:rFonts w:ascii="Times New Roman" w:hAnsi="Times New Roman"/>
          <w:sz w:val="24"/>
        </w:rPr>
        <w:t xml:space="preserve">(1985) 159 CLR 550 at </w:t>
      </w:r>
      <w:r w:rsidRPr="004963EE">
        <w:rPr>
          <w:rFonts w:ascii="Times New Roman" w:hAnsi="Times New Roman"/>
          <w:sz w:val="24"/>
        </w:rPr>
        <w:t>615-</w:t>
      </w:r>
      <w:r w:rsidR="00B15ABC" w:rsidRPr="004963EE">
        <w:rPr>
          <w:rFonts w:ascii="Times New Roman" w:hAnsi="Times New Roman"/>
          <w:sz w:val="24"/>
        </w:rPr>
        <w:t>61</w:t>
      </w:r>
      <w:r w:rsidRPr="004963EE">
        <w:rPr>
          <w:rFonts w:ascii="Times New Roman" w:hAnsi="Times New Roman"/>
          <w:sz w:val="24"/>
        </w:rPr>
        <w:t>6</w:t>
      </w:r>
      <w:r w:rsidR="00256F69" w:rsidRPr="004963EE">
        <w:rPr>
          <w:rFonts w:ascii="Times New Roman" w:hAnsi="Times New Roman"/>
          <w:sz w:val="24"/>
        </w:rPr>
        <w:t>.</w:t>
      </w:r>
      <w:r w:rsidR="00532ACE" w:rsidRPr="004963EE">
        <w:rPr>
          <w:rFonts w:ascii="Times New Roman" w:hAnsi="Times New Roman"/>
          <w:sz w:val="24"/>
        </w:rPr>
        <w:t xml:space="preserve"> </w:t>
      </w:r>
      <w:r w:rsidR="00256F69" w:rsidRPr="004963EE">
        <w:rPr>
          <w:rFonts w:ascii="Times New Roman" w:hAnsi="Times New Roman"/>
          <w:sz w:val="24"/>
        </w:rPr>
        <w:t>S</w:t>
      </w:r>
      <w:r w:rsidR="00532ACE" w:rsidRPr="004963EE">
        <w:rPr>
          <w:rFonts w:ascii="Times New Roman" w:hAnsi="Times New Roman"/>
          <w:sz w:val="24"/>
        </w:rPr>
        <w:t xml:space="preserve">ee also </w:t>
      </w:r>
      <w:proofErr w:type="spellStart"/>
      <w:r w:rsidR="00532ACE" w:rsidRPr="004963EE">
        <w:rPr>
          <w:rFonts w:ascii="Times New Roman" w:hAnsi="Times New Roman"/>
          <w:i/>
          <w:iCs/>
          <w:sz w:val="24"/>
        </w:rPr>
        <w:t>Haoucher</w:t>
      </w:r>
      <w:proofErr w:type="spellEnd"/>
      <w:r w:rsidR="00532ACE" w:rsidRPr="004963EE">
        <w:rPr>
          <w:rFonts w:ascii="Times New Roman" w:hAnsi="Times New Roman"/>
          <w:i/>
          <w:iCs/>
          <w:sz w:val="24"/>
        </w:rPr>
        <w:t xml:space="preserve"> </w:t>
      </w:r>
      <w:r w:rsidR="006A34E5" w:rsidRPr="004963EE">
        <w:rPr>
          <w:rFonts w:ascii="Times New Roman" w:hAnsi="Times New Roman"/>
          <w:i/>
          <w:iCs/>
          <w:sz w:val="24"/>
        </w:rPr>
        <w:t>v Minister for Immigration and Ethnic Affai</w:t>
      </w:r>
      <w:r w:rsidR="00C22BE3" w:rsidRPr="004963EE">
        <w:rPr>
          <w:rFonts w:ascii="Times New Roman" w:hAnsi="Times New Roman"/>
          <w:i/>
          <w:iCs/>
          <w:sz w:val="24"/>
        </w:rPr>
        <w:t>r</w:t>
      </w:r>
      <w:r w:rsidR="006A34E5" w:rsidRPr="004963EE">
        <w:rPr>
          <w:rFonts w:ascii="Times New Roman" w:hAnsi="Times New Roman"/>
          <w:i/>
          <w:iCs/>
          <w:sz w:val="24"/>
        </w:rPr>
        <w:t>s</w:t>
      </w:r>
      <w:r w:rsidR="006A34E5" w:rsidRPr="004963EE">
        <w:rPr>
          <w:rFonts w:ascii="Times New Roman" w:hAnsi="Times New Roman"/>
          <w:sz w:val="24"/>
        </w:rPr>
        <w:t xml:space="preserve"> (1990) 169 CLR </w:t>
      </w:r>
      <w:r w:rsidR="00C22BE3" w:rsidRPr="004963EE">
        <w:rPr>
          <w:rFonts w:ascii="Times New Roman" w:hAnsi="Times New Roman"/>
          <w:sz w:val="24"/>
        </w:rPr>
        <w:t>648 at 652-</w:t>
      </w:r>
      <w:r w:rsidR="00164B24" w:rsidRPr="004963EE">
        <w:rPr>
          <w:rFonts w:ascii="Times New Roman" w:hAnsi="Times New Roman"/>
          <w:sz w:val="24"/>
        </w:rPr>
        <w:t>65</w:t>
      </w:r>
      <w:r w:rsidR="00C22BE3" w:rsidRPr="004963EE">
        <w:rPr>
          <w:rFonts w:ascii="Times New Roman" w:hAnsi="Times New Roman"/>
          <w:sz w:val="24"/>
        </w:rPr>
        <w:t>3.</w:t>
      </w:r>
    </w:p>
  </w:footnote>
  <w:footnote w:id="21">
    <w:p w14:paraId="68E34B1C" w14:textId="1FAE61CA" w:rsidR="004D3D0B" w:rsidRPr="004963EE" w:rsidRDefault="004D3D0B"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4A3361" w:rsidRPr="004963EE">
        <w:rPr>
          <w:rFonts w:ascii="Times New Roman" w:hAnsi="Times New Roman"/>
          <w:sz w:val="24"/>
        </w:rPr>
        <w:t xml:space="preserve">(1985) 159 CLR 550 </w:t>
      </w:r>
      <w:r w:rsidRPr="004963EE">
        <w:rPr>
          <w:rFonts w:ascii="Times New Roman" w:hAnsi="Times New Roman"/>
          <w:sz w:val="24"/>
        </w:rPr>
        <w:t>at 628</w:t>
      </w:r>
      <w:r w:rsidR="003305EC" w:rsidRPr="004963EE">
        <w:rPr>
          <w:rFonts w:ascii="Times New Roman" w:hAnsi="Times New Roman"/>
          <w:sz w:val="24"/>
        </w:rPr>
        <w:t>.</w:t>
      </w:r>
    </w:p>
  </w:footnote>
  <w:footnote w:id="22">
    <w:p w14:paraId="04F72B61" w14:textId="2756703D" w:rsidR="00DA360C" w:rsidRPr="004963EE" w:rsidRDefault="00DA360C"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4A3361" w:rsidRPr="004963EE">
        <w:rPr>
          <w:rFonts w:ascii="Times New Roman" w:hAnsi="Times New Roman"/>
          <w:i/>
          <w:iCs/>
          <w:sz w:val="24"/>
        </w:rPr>
        <w:t xml:space="preserve">Kioa </w:t>
      </w:r>
      <w:r w:rsidR="004A3361" w:rsidRPr="004963EE">
        <w:rPr>
          <w:rFonts w:ascii="Times New Roman" w:hAnsi="Times New Roman"/>
          <w:sz w:val="24"/>
        </w:rPr>
        <w:t xml:space="preserve">(1985) 159 CLR 550 </w:t>
      </w:r>
      <w:r w:rsidRPr="004963EE">
        <w:rPr>
          <w:rFonts w:ascii="Times New Roman" w:hAnsi="Times New Roman"/>
          <w:sz w:val="24"/>
        </w:rPr>
        <w:t>at 628</w:t>
      </w:r>
      <w:r w:rsidR="00FF604D" w:rsidRPr="004963EE">
        <w:rPr>
          <w:rFonts w:ascii="Times New Roman" w:hAnsi="Times New Roman"/>
          <w:sz w:val="24"/>
        </w:rPr>
        <w:t xml:space="preserve"> (emphasis added</w:t>
      </w:r>
      <w:r w:rsidR="009C2432" w:rsidRPr="004963EE">
        <w:rPr>
          <w:rFonts w:ascii="Times New Roman" w:hAnsi="Times New Roman"/>
          <w:sz w:val="24"/>
        </w:rPr>
        <w:t xml:space="preserve"> and citations omitted</w:t>
      </w:r>
      <w:r w:rsidR="00FF604D" w:rsidRPr="004963EE">
        <w:rPr>
          <w:rFonts w:ascii="Times New Roman" w:hAnsi="Times New Roman"/>
          <w:sz w:val="24"/>
        </w:rPr>
        <w:t>)</w:t>
      </w:r>
      <w:r w:rsidR="003305EC" w:rsidRPr="004963EE">
        <w:rPr>
          <w:rFonts w:ascii="Times New Roman" w:hAnsi="Times New Roman"/>
          <w:sz w:val="24"/>
        </w:rPr>
        <w:t>.</w:t>
      </w:r>
    </w:p>
  </w:footnote>
  <w:footnote w:id="23">
    <w:p w14:paraId="41EDDA35" w14:textId="33C1A8D8" w:rsidR="00856358" w:rsidRPr="004963EE" w:rsidRDefault="00856358"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2474AF" w:rsidRPr="004963EE">
        <w:rPr>
          <w:rFonts w:ascii="Times New Roman" w:hAnsi="Times New Roman"/>
          <w:sz w:val="24"/>
        </w:rPr>
        <w:t xml:space="preserve">(1985) 159 CLR 550 </w:t>
      </w:r>
      <w:r w:rsidRPr="004963EE">
        <w:rPr>
          <w:rFonts w:ascii="Times New Roman" w:hAnsi="Times New Roman"/>
          <w:sz w:val="24"/>
        </w:rPr>
        <w:t>at 620-</w:t>
      </w:r>
      <w:r w:rsidR="002474AF" w:rsidRPr="004963EE">
        <w:rPr>
          <w:rFonts w:ascii="Times New Roman" w:hAnsi="Times New Roman"/>
          <w:sz w:val="24"/>
        </w:rPr>
        <w:t>62</w:t>
      </w:r>
      <w:r w:rsidRPr="004963EE">
        <w:rPr>
          <w:rFonts w:ascii="Times New Roman" w:hAnsi="Times New Roman"/>
          <w:sz w:val="24"/>
        </w:rPr>
        <w:t>1</w:t>
      </w:r>
      <w:r w:rsidR="002C013B" w:rsidRPr="004963EE">
        <w:rPr>
          <w:rFonts w:ascii="Times New Roman" w:hAnsi="Times New Roman"/>
          <w:sz w:val="24"/>
        </w:rPr>
        <w:t xml:space="preserve"> (citation omitted)</w:t>
      </w:r>
      <w:r w:rsidR="002474AF" w:rsidRPr="004963EE">
        <w:rPr>
          <w:rFonts w:ascii="Times New Roman" w:hAnsi="Times New Roman"/>
          <w:sz w:val="24"/>
        </w:rPr>
        <w:t>.</w:t>
      </w:r>
      <w:r w:rsidRPr="004963EE">
        <w:rPr>
          <w:rFonts w:ascii="Times New Roman" w:hAnsi="Times New Roman"/>
          <w:sz w:val="24"/>
        </w:rPr>
        <w:t xml:space="preserve"> </w:t>
      </w:r>
      <w:r w:rsidR="00092F19" w:rsidRPr="004963EE">
        <w:rPr>
          <w:rFonts w:ascii="Times New Roman" w:hAnsi="Times New Roman"/>
          <w:sz w:val="24"/>
        </w:rPr>
        <w:t>S</w:t>
      </w:r>
      <w:r w:rsidR="0084243A" w:rsidRPr="004963EE">
        <w:rPr>
          <w:rFonts w:ascii="Times New Roman" w:hAnsi="Times New Roman"/>
          <w:sz w:val="24"/>
        </w:rPr>
        <w:t xml:space="preserve">ee also Aronson, Groves and Weeks, </w:t>
      </w:r>
      <w:r w:rsidR="0084243A" w:rsidRPr="004963EE">
        <w:rPr>
          <w:rFonts w:ascii="Times New Roman" w:hAnsi="Times New Roman"/>
          <w:i/>
          <w:iCs/>
          <w:sz w:val="24"/>
        </w:rPr>
        <w:t>Judicial Review of Administrative Action and Government Liability</w:t>
      </w:r>
      <w:r w:rsidR="007F077F" w:rsidRPr="004963EE">
        <w:rPr>
          <w:rFonts w:ascii="Times New Roman" w:hAnsi="Times New Roman"/>
          <w:sz w:val="24"/>
        </w:rPr>
        <w:t>,</w:t>
      </w:r>
      <w:r w:rsidR="0084243A" w:rsidRPr="004963EE">
        <w:rPr>
          <w:rFonts w:ascii="Times New Roman" w:hAnsi="Times New Roman"/>
          <w:sz w:val="24"/>
        </w:rPr>
        <w:t xml:space="preserve"> 7th</w:t>
      </w:r>
      <w:r w:rsidR="0030070A" w:rsidRPr="004963EE">
        <w:rPr>
          <w:rFonts w:ascii="Times New Roman" w:hAnsi="Times New Roman"/>
          <w:sz w:val="24"/>
        </w:rPr>
        <w:t> </w:t>
      </w:r>
      <w:r w:rsidR="0084243A" w:rsidRPr="004963EE">
        <w:rPr>
          <w:rFonts w:ascii="Times New Roman" w:hAnsi="Times New Roman"/>
          <w:sz w:val="24"/>
        </w:rPr>
        <w:t xml:space="preserve">ed </w:t>
      </w:r>
      <w:r w:rsidR="00946C9F" w:rsidRPr="004963EE">
        <w:rPr>
          <w:rFonts w:ascii="Times New Roman" w:hAnsi="Times New Roman"/>
          <w:sz w:val="24"/>
        </w:rPr>
        <w:t>(</w:t>
      </w:r>
      <w:r w:rsidR="0084243A" w:rsidRPr="004963EE">
        <w:rPr>
          <w:rFonts w:ascii="Times New Roman" w:hAnsi="Times New Roman"/>
          <w:sz w:val="24"/>
        </w:rPr>
        <w:t>2022)</w:t>
      </w:r>
      <w:r w:rsidR="006A4733" w:rsidRPr="004963EE">
        <w:rPr>
          <w:rFonts w:ascii="Times New Roman" w:hAnsi="Times New Roman"/>
          <w:sz w:val="24"/>
        </w:rPr>
        <w:t xml:space="preserve"> </w:t>
      </w:r>
      <w:r w:rsidR="0084243A" w:rsidRPr="004963EE">
        <w:rPr>
          <w:rFonts w:ascii="Times New Roman" w:hAnsi="Times New Roman"/>
          <w:sz w:val="24"/>
        </w:rPr>
        <w:t>at 43</w:t>
      </w:r>
      <w:r w:rsidR="00946C9F" w:rsidRPr="004963EE">
        <w:rPr>
          <w:rFonts w:ascii="Times New Roman" w:hAnsi="Times New Roman"/>
          <w:sz w:val="24"/>
        </w:rPr>
        <w:t>0</w:t>
      </w:r>
      <w:r w:rsidR="0084243A" w:rsidRPr="004963EE">
        <w:rPr>
          <w:rFonts w:ascii="Times New Roman" w:hAnsi="Times New Roman"/>
          <w:sz w:val="24"/>
        </w:rPr>
        <w:t>-435 [8.120], 438-439 [8.130]</w:t>
      </w:r>
      <w:r w:rsidR="006A4733" w:rsidRPr="004963EE">
        <w:rPr>
          <w:rFonts w:ascii="Times New Roman" w:hAnsi="Times New Roman"/>
          <w:sz w:val="24"/>
        </w:rPr>
        <w:t>.</w:t>
      </w:r>
    </w:p>
  </w:footnote>
  <w:footnote w:id="24">
    <w:p w14:paraId="76E2946F" w14:textId="38052A5F" w:rsidR="00025939" w:rsidRPr="004963EE" w:rsidRDefault="00025939"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t xml:space="preserve">(1987) </w:t>
      </w:r>
      <w:r w:rsidR="00E53D1F" w:rsidRPr="004963EE">
        <w:rPr>
          <w:rFonts w:ascii="Times New Roman" w:hAnsi="Times New Roman"/>
          <w:sz w:val="24"/>
        </w:rPr>
        <w:t>163 CLR 378 at 411</w:t>
      </w:r>
      <w:r w:rsidR="00925DB2" w:rsidRPr="004963EE">
        <w:rPr>
          <w:rFonts w:ascii="Times New Roman" w:hAnsi="Times New Roman"/>
          <w:sz w:val="24"/>
        </w:rPr>
        <w:t>.</w:t>
      </w:r>
    </w:p>
  </w:footnote>
  <w:footnote w:id="25">
    <w:p w14:paraId="523AFCF4" w14:textId="256682D0" w:rsidR="00BF4A0B" w:rsidRPr="004963EE" w:rsidRDefault="00BF4A0B"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Pr>
          <w:rFonts w:ascii="Times New Roman" w:hAnsi="Times New Roman"/>
          <w:i/>
          <w:iCs/>
          <w:sz w:val="24"/>
        </w:rPr>
        <w:t xml:space="preserve">Kioa </w:t>
      </w:r>
      <w:r w:rsidR="00E54062" w:rsidRPr="004963EE">
        <w:rPr>
          <w:rFonts w:ascii="Times New Roman" w:hAnsi="Times New Roman"/>
          <w:sz w:val="24"/>
        </w:rPr>
        <w:t xml:space="preserve">(1985) 159 CLR 550 </w:t>
      </w:r>
      <w:r w:rsidRPr="004963EE">
        <w:rPr>
          <w:rFonts w:ascii="Times New Roman" w:hAnsi="Times New Roman"/>
          <w:sz w:val="24"/>
        </w:rPr>
        <w:t>at 619</w:t>
      </w:r>
      <w:r w:rsidR="00C66501" w:rsidRPr="004963EE">
        <w:rPr>
          <w:rFonts w:ascii="Times New Roman" w:hAnsi="Times New Roman"/>
          <w:sz w:val="24"/>
        </w:rPr>
        <w:t>.</w:t>
      </w:r>
    </w:p>
  </w:footnote>
  <w:footnote w:id="26">
    <w:p w14:paraId="56504391" w14:textId="4AA24004" w:rsidR="00B2094E" w:rsidRPr="004963EE" w:rsidRDefault="00B2094E"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D4461F" w:rsidRPr="004963EE">
        <w:rPr>
          <w:rFonts w:ascii="Times New Roman" w:hAnsi="Times New Roman"/>
          <w:sz w:val="24"/>
        </w:rPr>
        <w:t>(1991) 32 FCR 219</w:t>
      </w:r>
      <w:r w:rsidR="00C66501" w:rsidRPr="004963EE">
        <w:rPr>
          <w:rFonts w:ascii="Times New Roman" w:hAnsi="Times New Roman"/>
          <w:sz w:val="24"/>
        </w:rPr>
        <w:t>.</w:t>
      </w:r>
    </w:p>
  </w:footnote>
  <w:footnote w:id="27">
    <w:p w14:paraId="39A31515" w14:textId="08ADADDE" w:rsidR="00D4461F" w:rsidRPr="004963EE" w:rsidRDefault="00D4461F"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61193B" w:rsidRPr="004963EE">
        <w:rPr>
          <w:rFonts w:ascii="Times New Roman" w:hAnsi="Times New Roman"/>
          <w:i/>
          <w:iCs/>
          <w:sz w:val="24"/>
        </w:rPr>
        <w:t>Comptroller-General of Customs v Kawasaki Motors Pty Ltd (No 1)</w:t>
      </w:r>
      <w:r w:rsidR="0061193B" w:rsidRPr="004963EE">
        <w:rPr>
          <w:rFonts w:ascii="Times New Roman" w:hAnsi="Times New Roman"/>
          <w:sz w:val="24"/>
        </w:rPr>
        <w:t xml:space="preserve"> (1991) 32 FCR 219 </w:t>
      </w:r>
      <w:r w:rsidRPr="004963EE">
        <w:rPr>
          <w:rFonts w:ascii="Times New Roman" w:hAnsi="Times New Roman"/>
          <w:sz w:val="24"/>
        </w:rPr>
        <w:t>at 240-</w:t>
      </w:r>
      <w:r w:rsidR="0061193B" w:rsidRPr="004963EE">
        <w:rPr>
          <w:rFonts w:ascii="Times New Roman" w:hAnsi="Times New Roman"/>
          <w:sz w:val="24"/>
        </w:rPr>
        <w:t>24</w:t>
      </w:r>
      <w:r w:rsidRPr="004963EE">
        <w:rPr>
          <w:rFonts w:ascii="Times New Roman" w:hAnsi="Times New Roman"/>
          <w:sz w:val="24"/>
        </w:rPr>
        <w:t>1</w:t>
      </w:r>
      <w:r w:rsidR="00D24DE0" w:rsidRPr="004963EE">
        <w:rPr>
          <w:rFonts w:ascii="Times New Roman" w:hAnsi="Times New Roman"/>
          <w:sz w:val="24"/>
        </w:rPr>
        <w:t>.</w:t>
      </w:r>
      <w:r w:rsidRPr="004963EE">
        <w:rPr>
          <w:rFonts w:ascii="Times New Roman" w:hAnsi="Times New Roman"/>
          <w:sz w:val="24"/>
        </w:rPr>
        <w:t xml:space="preserve"> </w:t>
      </w:r>
      <w:r w:rsidR="00D24DE0" w:rsidRPr="004963EE">
        <w:rPr>
          <w:rFonts w:ascii="Times New Roman" w:hAnsi="Times New Roman"/>
          <w:sz w:val="24"/>
        </w:rPr>
        <w:t>S</w:t>
      </w:r>
      <w:r w:rsidR="00CF6D35" w:rsidRPr="004963EE">
        <w:rPr>
          <w:rFonts w:ascii="Times New Roman" w:hAnsi="Times New Roman"/>
          <w:sz w:val="24"/>
        </w:rPr>
        <w:t xml:space="preserve">ee also </w:t>
      </w:r>
      <w:r w:rsidR="005F54DB" w:rsidRPr="004963EE">
        <w:rPr>
          <w:rFonts w:ascii="Times New Roman" w:hAnsi="Times New Roman"/>
          <w:i/>
          <w:iCs/>
          <w:sz w:val="24"/>
        </w:rPr>
        <w:t>Botany Bay City Council v Minister of State for Transport and Regional Development</w:t>
      </w:r>
      <w:r w:rsidR="005F54DB" w:rsidRPr="004963EE">
        <w:rPr>
          <w:rFonts w:ascii="Times New Roman" w:hAnsi="Times New Roman"/>
          <w:sz w:val="24"/>
        </w:rPr>
        <w:t xml:space="preserve"> </w:t>
      </w:r>
      <w:r w:rsidR="008E6320" w:rsidRPr="004963EE">
        <w:rPr>
          <w:rFonts w:ascii="Times New Roman" w:hAnsi="Times New Roman"/>
          <w:sz w:val="24"/>
        </w:rPr>
        <w:t xml:space="preserve">(1996) 66 FCR 537 at </w:t>
      </w:r>
      <w:r w:rsidR="00981E8B" w:rsidRPr="004963EE">
        <w:rPr>
          <w:rFonts w:ascii="Times New Roman" w:hAnsi="Times New Roman"/>
          <w:sz w:val="24"/>
        </w:rPr>
        <w:t xml:space="preserve">551-556; </w:t>
      </w:r>
      <w:r w:rsidR="00CF6D35" w:rsidRPr="004963EE">
        <w:rPr>
          <w:rFonts w:ascii="Times New Roman" w:hAnsi="Times New Roman"/>
          <w:i/>
          <w:iCs/>
          <w:sz w:val="24"/>
        </w:rPr>
        <w:t>Castle v Director</w:t>
      </w:r>
      <w:r w:rsidR="007A03EE" w:rsidRPr="004963EE">
        <w:rPr>
          <w:rFonts w:ascii="Times New Roman" w:hAnsi="Times New Roman"/>
          <w:i/>
          <w:iCs/>
          <w:sz w:val="24"/>
        </w:rPr>
        <w:t xml:space="preserve"> </w:t>
      </w:r>
      <w:r w:rsidR="00CF6D35" w:rsidRPr="004963EE">
        <w:rPr>
          <w:rFonts w:ascii="Times New Roman" w:hAnsi="Times New Roman"/>
          <w:i/>
          <w:iCs/>
          <w:sz w:val="24"/>
        </w:rPr>
        <w:t>General State Emerg</w:t>
      </w:r>
      <w:r w:rsidR="00303CF6" w:rsidRPr="004963EE">
        <w:rPr>
          <w:rFonts w:ascii="Times New Roman" w:hAnsi="Times New Roman"/>
          <w:i/>
          <w:iCs/>
          <w:sz w:val="24"/>
        </w:rPr>
        <w:t>e</w:t>
      </w:r>
      <w:r w:rsidR="00CF6D35" w:rsidRPr="004963EE">
        <w:rPr>
          <w:rFonts w:ascii="Times New Roman" w:hAnsi="Times New Roman"/>
          <w:i/>
          <w:iCs/>
          <w:sz w:val="24"/>
        </w:rPr>
        <w:t>ncy Service</w:t>
      </w:r>
      <w:r w:rsidR="00CF6D35" w:rsidRPr="004963EE">
        <w:rPr>
          <w:rFonts w:ascii="Times New Roman" w:hAnsi="Times New Roman"/>
          <w:sz w:val="24"/>
        </w:rPr>
        <w:t xml:space="preserve"> </w:t>
      </w:r>
      <w:r w:rsidR="00303CF6" w:rsidRPr="004963EE">
        <w:rPr>
          <w:rFonts w:ascii="Times New Roman" w:hAnsi="Times New Roman"/>
          <w:sz w:val="24"/>
        </w:rPr>
        <w:t>[2008] NSWCA 231.</w:t>
      </w:r>
    </w:p>
  </w:footnote>
  <w:footnote w:id="28">
    <w:p w14:paraId="17695404" w14:textId="5C6F5436" w:rsidR="008A5655" w:rsidRPr="004963EE" w:rsidRDefault="008A5655"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Pr>
          <w:rFonts w:ascii="Times New Roman" w:hAnsi="Times New Roman"/>
          <w:i/>
          <w:iCs/>
          <w:sz w:val="24"/>
        </w:rPr>
        <w:t>LPDT v Minister for Immigration, Citizenship, Migrant Services and Multicultural Affairs</w:t>
      </w:r>
      <w:r w:rsidRPr="004963EE">
        <w:rPr>
          <w:rFonts w:ascii="Times New Roman" w:hAnsi="Times New Roman"/>
          <w:sz w:val="24"/>
        </w:rPr>
        <w:t xml:space="preserve"> (2024) </w:t>
      </w:r>
      <w:r w:rsidR="009F7FBE" w:rsidRPr="004963EE">
        <w:rPr>
          <w:rFonts w:ascii="Times New Roman" w:hAnsi="Times New Roman"/>
          <w:sz w:val="24"/>
        </w:rPr>
        <w:t>280 CLR 321</w:t>
      </w:r>
      <w:r w:rsidRPr="004963EE">
        <w:rPr>
          <w:rFonts w:ascii="Times New Roman" w:hAnsi="Times New Roman"/>
          <w:sz w:val="24"/>
        </w:rPr>
        <w:t xml:space="preserve"> at</w:t>
      </w:r>
      <w:r w:rsidR="00B7663A" w:rsidRPr="004963EE">
        <w:rPr>
          <w:rFonts w:ascii="Times New Roman" w:hAnsi="Times New Roman"/>
          <w:sz w:val="24"/>
        </w:rPr>
        <w:t xml:space="preserve"> </w:t>
      </w:r>
      <w:r w:rsidR="002206FF" w:rsidRPr="004963EE">
        <w:rPr>
          <w:rFonts w:ascii="Times New Roman" w:hAnsi="Times New Roman"/>
          <w:sz w:val="24"/>
        </w:rPr>
        <w:t>327 [7], 328</w:t>
      </w:r>
      <w:r w:rsidR="009F7FBE" w:rsidRPr="004963EE">
        <w:rPr>
          <w:rFonts w:ascii="Times New Roman" w:hAnsi="Times New Roman"/>
          <w:sz w:val="24"/>
        </w:rPr>
        <w:t xml:space="preserve">-329 </w:t>
      </w:r>
      <w:r w:rsidRPr="004963EE">
        <w:rPr>
          <w:rFonts w:ascii="Times New Roman" w:hAnsi="Times New Roman"/>
          <w:sz w:val="24"/>
        </w:rPr>
        <w:t>[14].</w:t>
      </w:r>
    </w:p>
  </w:footnote>
  <w:footnote w:id="29">
    <w:p w14:paraId="1CD0346F" w14:textId="2DC743EC" w:rsidR="00B12BAD" w:rsidRPr="004963EE" w:rsidRDefault="00B12BAD"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t xml:space="preserve">(2016) 259 CLR 180 at </w:t>
      </w:r>
      <w:r w:rsidR="00030537" w:rsidRPr="004963EE">
        <w:rPr>
          <w:rFonts w:ascii="Times New Roman" w:hAnsi="Times New Roman"/>
          <w:sz w:val="24"/>
        </w:rPr>
        <w:t xml:space="preserve">206 </w:t>
      </w:r>
      <w:r w:rsidRPr="004963EE">
        <w:rPr>
          <w:rFonts w:ascii="Times New Roman" w:hAnsi="Times New Roman"/>
          <w:sz w:val="24"/>
        </w:rPr>
        <w:t>[82].</w:t>
      </w:r>
    </w:p>
  </w:footnote>
  <w:footnote w:id="30">
    <w:p w14:paraId="628223AB" w14:textId="67DBBF1E" w:rsidR="00C74FB9" w:rsidRPr="004963EE" w:rsidRDefault="00C74FB9"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Pr>
          <w:rFonts w:ascii="Times New Roman" w:hAnsi="Times New Roman"/>
          <w:i/>
          <w:iCs/>
          <w:sz w:val="24"/>
        </w:rPr>
        <w:t>Kioa</w:t>
      </w:r>
      <w:r w:rsidR="00223B53" w:rsidRPr="004963EE">
        <w:rPr>
          <w:rFonts w:ascii="Times New Roman" w:hAnsi="Times New Roman"/>
          <w:i/>
          <w:iCs/>
          <w:sz w:val="24"/>
        </w:rPr>
        <w:t xml:space="preserve"> </w:t>
      </w:r>
      <w:r w:rsidR="00223B53" w:rsidRPr="004963EE">
        <w:rPr>
          <w:rFonts w:ascii="Times New Roman" w:hAnsi="Times New Roman"/>
          <w:sz w:val="24"/>
        </w:rPr>
        <w:t xml:space="preserve">(1985) 159 CLR 550 </w:t>
      </w:r>
      <w:r w:rsidRPr="004963EE">
        <w:rPr>
          <w:rFonts w:ascii="Times New Roman" w:hAnsi="Times New Roman"/>
          <w:sz w:val="24"/>
        </w:rPr>
        <w:t>at 585</w:t>
      </w:r>
      <w:r w:rsidR="00250CF6" w:rsidRPr="004963EE">
        <w:rPr>
          <w:rFonts w:ascii="Times New Roman" w:hAnsi="Times New Roman"/>
          <w:sz w:val="24"/>
        </w:rPr>
        <w:t>.</w:t>
      </w:r>
    </w:p>
  </w:footnote>
  <w:footnote w:id="31">
    <w:p w14:paraId="640D7859" w14:textId="625E777D" w:rsidR="00D27DFE" w:rsidRPr="004963EE" w:rsidRDefault="00D27DFE"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3C6E67" w:rsidRPr="004963EE">
        <w:rPr>
          <w:rFonts w:ascii="Times New Roman" w:hAnsi="Times New Roman"/>
          <w:i/>
          <w:iCs/>
          <w:sz w:val="24"/>
        </w:rPr>
        <w:t>Kioa</w:t>
      </w:r>
      <w:r w:rsidR="003C6E67" w:rsidRPr="004963EE">
        <w:rPr>
          <w:rFonts w:ascii="Times New Roman" w:hAnsi="Times New Roman"/>
          <w:sz w:val="24"/>
        </w:rPr>
        <w:t xml:space="preserve"> </w:t>
      </w:r>
      <w:r w:rsidRPr="004963EE">
        <w:rPr>
          <w:rFonts w:ascii="Times New Roman" w:hAnsi="Times New Roman"/>
          <w:sz w:val="24"/>
        </w:rPr>
        <w:t xml:space="preserve">(1985) 159 CLR 550 at </w:t>
      </w:r>
      <w:r w:rsidR="00681C14" w:rsidRPr="004963EE">
        <w:rPr>
          <w:rFonts w:ascii="Times New Roman" w:hAnsi="Times New Roman"/>
          <w:sz w:val="24"/>
        </w:rPr>
        <w:t>615-</w:t>
      </w:r>
      <w:r w:rsidRPr="004963EE">
        <w:rPr>
          <w:rFonts w:ascii="Times New Roman" w:hAnsi="Times New Roman"/>
          <w:sz w:val="24"/>
        </w:rPr>
        <w:t>616.</w:t>
      </w:r>
    </w:p>
  </w:footnote>
  <w:footnote w:id="32">
    <w:p w14:paraId="0A80C34C" w14:textId="0F60147F" w:rsidR="00C46F43" w:rsidRPr="004963EE" w:rsidRDefault="00C46F43"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E249D8" w:rsidRPr="004963EE">
        <w:rPr>
          <w:rFonts w:ascii="Times New Roman" w:hAnsi="Times New Roman"/>
          <w:sz w:val="24"/>
        </w:rPr>
        <w:t xml:space="preserve">(1985) 159 CLR 550 </w:t>
      </w:r>
      <w:r w:rsidR="00DC722F" w:rsidRPr="004963EE">
        <w:rPr>
          <w:rFonts w:ascii="Times New Roman" w:hAnsi="Times New Roman"/>
          <w:sz w:val="24"/>
        </w:rPr>
        <w:t xml:space="preserve">at </w:t>
      </w:r>
      <w:r w:rsidR="00F97E76" w:rsidRPr="004963EE">
        <w:rPr>
          <w:rFonts w:ascii="Times New Roman" w:hAnsi="Times New Roman"/>
          <w:sz w:val="24"/>
        </w:rPr>
        <w:t>620-</w:t>
      </w:r>
      <w:r w:rsidR="00DC722F" w:rsidRPr="004963EE">
        <w:rPr>
          <w:rFonts w:ascii="Times New Roman" w:hAnsi="Times New Roman"/>
          <w:sz w:val="24"/>
        </w:rPr>
        <w:t>621.</w:t>
      </w:r>
    </w:p>
  </w:footnote>
  <w:footnote w:id="33">
    <w:p w14:paraId="0774BC5A" w14:textId="0F38E47B" w:rsidR="00D3590B" w:rsidRPr="004963EE" w:rsidRDefault="00D3590B"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t>(1985) 159 CLR 550 at 619</w:t>
      </w:r>
      <w:r w:rsidR="008C1695" w:rsidRPr="004963EE">
        <w:rPr>
          <w:rFonts w:ascii="Times New Roman" w:hAnsi="Times New Roman"/>
          <w:sz w:val="24"/>
        </w:rPr>
        <w:t xml:space="preserve"> (citation omitted)</w:t>
      </w:r>
      <w:r w:rsidRPr="004963EE">
        <w:rPr>
          <w:rFonts w:ascii="Times New Roman" w:hAnsi="Times New Roman"/>
          <w:sz w:val="24"/>
        </w:rPr>
        <w:t>.</w:t>
      </w:r>
    </w:p>
  </w:footnote>
  <w:footnote w:id="34">
    <w:p w14:paraId="75649A89" w14:textId="5D1ADB90" w:rsidR="004B69D6" w:rsidRPr="004963EE" w:rsidRDefault="004B69D6"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090FF5" w:rsidRPr="004963EE">
        <w:rPr>
          <w:rFonts w:ascii="Times New Roman" w:hAnsi="Times New Roman"/>
          <w:sz w:val="24"/>
        </w:rPr>
        <w:t xml:space="preserve">See </w:t>
      </w:r>
      <w:r w:rsidR="00090FF5" w:rsidRPr="004963EE">
        <w:rPr>
          <w:rFonts w:ascii="Times New Roman" w:hAnsi="Times New Roman"/>
          <w:i/>
          <w:iCs/>
          <w:sz w:val="24"/>
        </w:rPr>
        <w:t xml:space="preserve">Kioa </w:t>
      </w:r>
      <w:r w:rsidR="00090FF5" w:rsidRPr="004963EE">
        <w:rPr>
          <w:rFonts w:ascii="Times New Roman" w:hAnsi="Times New Roman"/>
          <w:sz w:val="24"/>
        </w:rPr>
        <w:t xml:space="preserve">(1985) 159 CLR 550 at 633; </w:t>
      </w:r>
      <w:r w:rsidR="008A40DB" w:rsidRPr="004963EE">
        <w:rPr>
          <w:rFonts w:ascii="Times New Roman" w:hAnsi="Times New Roman"/>
          <w:i/>
          <w:iCs/>
          <w:sz w:val="24"/>
        </w:rPr>
        <w:t>Nathanson v Minister for Home Affairs</w:t>
      </w:r>
      <w:r w:rsidR="008A40DB" w:rsidRPr="004963EE">
        <w:rPr>
          <w:rFonts w:ascii="Times New Roman" w:hAnsi="Times New Roman"/>
          <w:sz w:val="24"/>
        </w:rPr>
        <w:t xml:space="preserve"> (2022) 276 CLR 80 at 109 [51].</w:t>
      </w:r>
    </w:p>
  </w:footnote>
  <w:footnote w:id="35">
    <w:p w14:paraId="4DBBF868" w14:textId="6A660564" w:rsidR="00995E52" w:rsidRPr="004963EE" w:rsidRDefault="00995E52"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1F61EB" w:rsidRPr="004963EE">
        <w:rPr>
          <w:rFonts w:ascii="Times New Roman" w:hAnsi="Times New Roman"/>
          <w:i/>
          <w:iCs/>
          <w:sz w:val="24"/>
        </w:rPr>
        <w:t xml:space="preserve">Kioa </w:t>
      </w:r>
      <w:r w:rsidR="00330BF1" w:rsidRPr="004963EE">
        <w:rPr>
          <w:rFonts w:ascii="Times New Roman" w:hAnsi="Times New Roman"/>
          <w:sz w:val="24"/>
        </w:rPr>
        <w:t xml:space="preserve">(1985) 159 CLR 550 </w:t>
      </w:r>
      <w:r w:rsidRPr="004963EE">
        <w:rPr>
          <w:rFonts w:ascii="Times New Roman" w:hAnsi="Times New Roman"/>
          <w:sz w:val="24"/>
        </w:rPr>
        <w:t>at 620</w:t>
      </w:r>
      <w:r w:rsidR="0087255C" w:rsidRPr="004963EE">
        <w:rPr>
          <w:rFonts w:ascii="Times New Roman" w:hAnsi="Times New Roman"/>
          <w:sz w:val="24"/>
        </w:rPr>
        <w:t>.</w:t>
      </w:r>
    </w:p>
  </w:footnote>
  <w:footnote w:id="36">
    <w:p w14:paraId="7C49A895" w14:textId="5722B5E4" w:rsidR="00887E7D" w:rsidRPr="004963EE" w:rsidRDefault="00887E7D"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BA11B2" w:rsidRPr="004963EE">
        <w:rPr>
          <w:rFonts w:ascii="Times New Roman" w:hAnsi="Times New Roman"/>
          <w:i/>
          <w:iCs/>
          <w:sz w:val="24"/>
        </w:rPr>
        <w:t xml:space="preserve">Disorganized Developments </w:t>
      </w:r>
      <w:r w:rsidR="00BA11B2" w:rsidRPr="004963EE">
        <w:rPr>
          <w:rFonts w:ascii="Times New Roman" w:hAnsi="Times New Roman"/>
          <w:sz w:val="24"/>
        </w:rPr>
        <w:t xml:space="preserve">(2023) </w:t>
      </w:r>
      <w:r w:rsidR="00A67D00" w:rsidRPr="004963EE">
        <w:rPr>
          <w:rFonts w:ascii="Times New Roman" w:hAnsi="Times New Roman"/>
          <w:sz w:val="24"/>
        </w:rPr>
        <w:t>280 CLR</w:t>
      </w:r>
      <w:r w:rsidR="007A2E7B" w:rsidRPr="004963EE">
        <w:rPr>
          <w:rFonts w:ascii="Times New Roman" w:hAnsi="Times New Roman"/>
          <w:sz w:val="24"/>
        </w:rPr>
        <w:t xml:space="preserve"> 515</w:t>
      </w:r>
      <w:r w:rsidR="00BA11B2" w:rsidRPr="004963EE">
        <w:rPr>
          <w:rFonts w:ascii="Times New Roman" w:hAnsi="Times New Roman"/>
          <w:sz w:val="24"/>
        </w:rPr>
        <w:t xml:space="preserve"> at </w:t>
      </w:r>
      <w:r w:rsidR="007A2E7B" w:rsidRPr="004963EE">
        <w:rPr>
          <w:rFonts w:ascii="Times New Roman" w:hAnsi="Times New Roman"/>
          <w:sz w:val="24"/>
        </w:rPr>
        <w:t>540</w:t>
      </w:r>
      <w:r w:rsidR="00BA11B2" w:rsidRPr="004963EE">
        <w:rPr>
          <w:rFonts w:ascii="Times New Roman" w:hAnsi="Times New Roman"/>
          <w:sz w:val="24"/>
        </w:rPr>
        <w:t xml:space="preserve"> [43]. </w:t>
      </w:r>
      <w:r w:rsidR="00C40E94" w:rsidRPr="004963EE">
        <w:rPr>
          <w:rFonts w:ascii="Times New Roman" w:hAnsi="Times New Roman"/>
          <w:sz w:val="24"/>
        </w:rPr>
        <w:t xml:space="preserve">See </w:t>
      </w:r>
      <w:r w:rsidR="00BA11B2" w:rsidRPr="004963EE">
        <w:rPr>
          <w:rFonts w:ascii="Times New Roman" w:hAnsi="Times New Roman"/>
          <w:sz w:val="24"/>
        </w:rPr>
        <w:t xml:space="preserve">also </w:t>
      </w:r>
      <w:r w:rsidR="00B80455" w:rsidRPr="004963EE">
        <w:rPr>
          <w:rFonts w:ascii="Times New Roman" w:hAnsi="Times New Roman"/>
          <w:i/>
          <w:iCs/>
          <w:sz w:val="24"/>
        </w:rPr>
        <w:t xml:space="preserve">FAI Insurances Ltd v </w:t>
      </w:r>
      <w:proofErr w:type="spellStart"/>
      <w:r w:rsidR="00082285" w:rsidRPr="004963EE">
        <w:rPr>
          <w:rFonts w:ascii="Times New Roman" w:hAnsi="Times New Roman"/>
          <w:i/>
          <w:iCs/>
          <w:sz w:val="24"/>
        </w:rPr>
        <w:t>Winneke</w:t>
      </w:r>
      <w:proofErr w:type="spellEnd"/>
      <w:r w:rsidR="00082285" w:rsidRPr="004963EE">
        <w:rPr>
          <w:rFonts w:ascii="Times New Roman" w:hAnsi="Times New Roman"/>
          <w:sz w:val="24"/>
        </w:rPr>
        <w:t xml:space="preserve"> (1982) 151 CLR 342 at 398</w:t>
      </w:r>
      <w:r w:rsidR="00E373A1" w:rsidRPr="004963EE">
        <w:rPr>
          <w:rFonts w:ascii="Times New Roman" w:hAnsi="Times New Roman"/>
          <w:sz w:val="24"/>
        </w:rPr>
        <w:t>.</w:t>
      </w:r>
      <w:r w:rsidR="00082285" w:rsidRPr="004963EE">
        <w:rPr>
          <w:rFonts w:ascii="Times New Roman" w:hAnsi="Times New Roman"/>
          <w:sz w:val="24"/>
        </w:rPr>
        <w:t xml:space="preserve"> </w:t>
      </w:r>
    </w:p>
  </w:footnote>
  <w:footnote w:id="37">
    <w:p w14:paraId="6294BD1F" w14:textId="1C8DEFEB" w:rsidR="00217539" w:rsidRPr="004963EE" w:rsidRDefault="00217539"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557AE8" w:rsidRPr="004963EE">
        <w:rPr>
          <w:rFonts w:ascii="Times New Roman" w:hAnsi="Times New Roman"/>
          <w:sz w:val="24"/>
        </w:rPr>
        <w:t xml:space="preserve">(2023) </w:t>
      </w:r>
      <w:r w:rsidR="00432511" w:rsidRPr="004963EE">
        <w:rPr>
          <w:rFonts w:ascii="Times New Roman" w:hAnsi="Times New Roman"/>
          <w:sz w:val="24"/>
        </w:rPr>
        <w:t>280 CLR 515</w:t>
      </w:r>
      <w:r w:rsidR="00557AE8" w:rsidRPr="004963EE">
        <w:rPr>
          <w:rFonts w:ascii="Times New Roman" w:hAnsi="Times New Roman"/>
          <w:sz w:val="24"/>
        </w:rPr>
        <w:t xml:space="preserve"> at </w:t>
      </w:r>
      <w:r w:rsidR="00432511" w:rsidRPr="004963EE">
        <w:rPr>
          <w:rFonts w:ascii="Times New Roman" w:hAnsi="Times New Roman"/>
          <w:sz w:val="24"/>
        </w:rPr>
        <w:t>540</w:t>
      </w:r>
      <w:r w:rsidR="0086497E" w:rsidRPr="004963EE">
        <w:rPr>
          <w:rFonts w:ascii="Times New Roman" w:hAnsi="Times New Roman"/>
          <w:sz w:val="24"/>
        </w:rPr>
        <w:t xml:space="preserve"> [43]</w:t>
      </w:r>
      <w:r w:rsidR="00916AFB" w:rsidRPr="004963EE">
        <w:rPr>
          <w:rFonts w:ascii="Times New Roman" w:hAnsi="Times New Roman"/>
          <w:sz w:val="24"/>
        </w:rPr>
        <w:t xml:space="preserve"> </w:t>
      </w:r>
      <w:r w:rsidR="00557AE8" w:rsidRPr="004963EE">
        <w:rPr>
          <w:rFonts w:ascii="Times New Roman" w:hAnsi="Times New Roman"/>
          <w:sz w:val="24"/>
        </w:rPr>
        <w:t>(footnotes omitted).</w:t>
      </w:r>
      <w:r w:rsidR="0086497E" w:rsidRPr="004963EE">
        <w:rPr>
          <w:rFonts w:ascii="Times New Roman" w:hAnsi="Times New Roman"/>
          <w:sz w:val="24"/>
        </w:rPr>
        <w:t xml:space="preserve"> </w:t>
      </w:r>
      <w:r w:rsidR="00557AE8" w:rsidRPr="004963EE">
        <w:rPr>
          <w:rFonts w:ascii="Times New Roman" w:hAnsi="Times New Roman"/>
          <w:sz w:val="24"/>
        </w:rPr>
        <w:t>S</w:t>
      </w:r>
      <w:r w:rsidR="0086497E" w:rsidRPr="004963EE">
        <w:rPr>
          <w:rFonts w:ascii="Times New Roman" w:hAnsi="Times New Roman"/>
          <w:sz w:val="24"/>
        </w:rPr>
        <w:t>ee also</w:t>
      </w:r>
      <w:r w:rsidR="006B3CAF" w:rsidRPr="004963EE">
        <w:rPr>
          <w:rFonts w:ascii="Times New Roman" w:hAnsi="Times New Roman"/>
          <w:sz w:val="24"/>
        </w:rPr>
        <w:t xml:space="preserve"> </w:t>
      </w:r>
      <w:r w:rsidR="006B3CAF" w:rsidRPr="004963EE">
        <w:rPr>
          <w:rFonts w:ascii="Times New Roman" w:hAnsi="Times New Roman"/>
          <w:i/>
          <w:iCs/>
          <w:sz w:val="24"/>
        </w:rPr>
        <w:t>FAI Insurances Ltd v</w:t>
      </w:r>
      <w:r w:rsidR="0086497E" w:rsidRPr="004963EE">
        <w:rPr>
          <w:rFonts w:ascii="Times New Roman" w:hAnsi="Times New Roman"/>
          <w:i/>
          <w:iCs/>
          <w:sz w:val="24"/>
        </w:rPr>
        <w:t xml:space="preserve"> </w:t>
      </w:r>
      <w:proofErr w:type="spellStart"/>
      <w:r w:rsidR="0086497E" w:rsidRPr="004963EE">
        <w:rPr>
          <w:rFonts w:ascii="Times New Roman" w:hAnsi="Times New Roman"/>
          <w:i/>
          <w:iCs/>
          <w:sz w:val="24"/>
        </w:rPr>
        <w:t>Winneke</w:t>
      </w:r>
      <w:proofErr w:type="spellEnd"/>
      <w:r w:rsidR="0086497E" w:rsidRPr="004963EE">
        <w:rPr>
          <w:rFonts w:ascii="Times New Roman" w:hAnsi="Times New Roman"/>
          <w:sz w:val="24"/>
        </w:rPr>
        <w:t xml:space="preserve"> (1982) 151 CLR 342 at 398</w:t>
      </w:r>
      <w:r w:rsidR="00557AE8" w:rsidRPr="004963EE">
        <w:rPr>
          <w:rFonts w:ascii="Times New Roman" w:hAnsi="Times New Roman"/>
          <w:sz w:val="24"/>
        </w:rPr>
        <w:t>;</w:t>
      </w:r>
      <w:r w:rsidR="006B3CAF" w:rsidRPr="004963EE">
        <w:rPr>
          <w:rFonts w:ascii="Times New Roman" w:hAnsi="Times New Roman"/>
          <w:sz w:val="24"/>
        </w:rPr>
        <w:t xml:space="preserve"> </w:t>
      </w:r>
      <w:r w:rsidR="00557AE8" w:rsidRPr="004963EE">
        <w:rPr>
          <w:rFonts w:ascii="Times New Roman" w:hAnsi="Times New Roman"/>
          <w:i/>
          <w:iCs/>
          <w:sz w:val="24"/>
        </w:rPr>
        <w:t xml:space="preserve">South Australia v </w:t>
      </w:r>
      <w:r w:rsidR="0086497E" w:rsidRPr="004963EE">
        <w:rPr>
          <w:rFonts w:ascii="Times New Roman" w:hAnsi="Times New Roman"/>
          <w:i/>
          <w:iCs/>
          <w:sz w:val="24"/>
        </w:rPr>
        <w:t>O'Shea</w:t>
      </w:r>
      <w:r w:rsidR="0086497E" w:rsidRPr="004963EE">
        <w:rPr>
          <w:rFonts w:ascii="Times New Roman" w:hAnsi="Times New Roman"/>
          <w:sz w:val="24"/>
        </w:rPr>
        <w:t xml:space="preserve"> (1987) 163 CLR 378 at 389, 411, 418-419.</w:t>
      </w:r>
    </w:p>
  </w:footnote>
  <w:footnote w:id="38">
    <w:p w14:paraId="25A0F257" w14:textId="0C39CC63" w:rsidR="009C1766" w:rsidRPr="004963EE" w:rsidRDefault="009C1766"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385CE6" w:rsidRPr="004963EE">
        <w:rPr>
          <w:rFonts w:ascii="Times New Roman" w:hAnsi="Times New Roman"/>
          <w:sz w:val="24"/>
        </w:rPr>
        <w:t>See</w:t>
      </w:r>
      <w:r w:rsidR="00BA347F" w:rsidRPr="004963EE">
        <w:rPr>
          <w:rFonts w:ascii="Times New Roman" w:hAnsi="Times New Roman"/>
          <w:sz w:val="24"/>
        </w:rPr>
        <w:t xml:space="preserve"> </w:t>
      </w:r>
      <w:r w:rsidR="00BA347F" w:rsidRPr="004963EE">
        <w:rPr>
          <w:rFonts w:ascii="Times New Roman" w:hAnsi="Times New Roman"/>
          <w:i/>
          <w:iCs/>
          <w:sz w:val="24"/>
        </w:rPr>
        <w:t>MZAPC</w:t>
      </w:r>
      <w:r w:rsidR="00F63F61" w:rsidRPr="004963EE">
        <w:rPr>
          <w:rFonts w:ascii="Times New Roman" w:hAnsi="Times New Roman"/>
          <w:i/>
          <w:iCs/>
          <w:sz w:val="24"/>
        </w:rPr>
        <w:t xml:space="preserve"> v Minister for Immigration and Border Protection</w:t>
      </w:r>
      <w:r w:rsidR="00F63F61" w:rsidRPr="004963EE">
        <w:rPr>
          <w:rFonts w:ascii="Times New Roman" w:hAnsi="Times New Roman"/>
          <w:sz w:val="24"/>
        </w:rPr>
        <w:t xml:space="preserve"> (2021) 273 CLR</w:t>
      </w:r>
      <w:r w:rsidR="00C81101" w:rsidRPr="004963EE">
        <w:rPr>
          <w:rFonts w:ascii="Times New Roman" w:hAnsi="Times New Roman"/>
          <w:sz w:val="24"/>
        </w:rPr>
        <w:t xml:space="preserve"> </w:t>
      </w:r>
      <w:r w:rsidR="00CB0D71" w:rsidRPr="004963EE">
        <w:rPr>
          <w:rFonts w:ascii="Times New Roman" w:hAnsi="Times New Roman"/>
          <w:sz w:val="24"/>
        </w:rPr>
        <w:t>506 at</w:t>
      </w:r>
      <w:r w:rsidR="005549BA" w:rsidRPr="004963EE">
        <w:rPr>
          <w:rFonts w:ascii="Times New Roman" w:hAnsi="Times New Roman"/>
          <w:sz w:val="24"/>
        </w:rPr>
        <w:t xml:space="preserve"> 543</w:t>
      </w:r>
      <w:r w:rsidR="00CB0D71" w:rsidRPr="004963EE">
        <w:rPr>
          <w:rFonts w:ascii="Times New Roman" w:hAnsi="Times New Roman"/>
          <w:sz w:val="24"/>
        </w:rPr>
        <w:t xml:space="preserve"> [100].</w:t>
      </w:r>
    </w:p>
  </w:footnote>
  <w:footnote w:id="39">
    <w:p w14:paraId="349016C5" w14:textId="01B21198" w:rsidR="00761E02" w:rsidRPr="004963EE" w:rsidRDefault="00761E02"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5D29CF" w:rsidRPr="004963EE">
        <w:rPr>
          <w:rFonts w:ascii="Times New Roman" w:hAnsi="Times New Roman"/>
          <w:i/>
          <w:iCs/>
          <w:sz w:val="24"/>
        </w:rPr>
        <w:t>South Australia v O'Shea</w:t>
      </w:r>
      <w:r w:rsidR="005D29CF" w:rsidRPr="004963EE">
        <w:rPr>
          <w:rFonts w:ascii="Times New Roman" w:hAnsi="Times New Roman"/>
          <w:sz w:val="24"/>
        </w:rPr>
        <w:t xml:space="preserve"> (1987) 163 CLR 378 </w:t>
      </w:r>
      <w:r w:rsidRPr="004963EE">
        <w:rPr>
          <w:rFonts w:ascii="Times New Roman" w:hAnsi="Times New Roman"/>
          <w:sz w:val="24"/>
        </w:rPr>
        <w:t>at 389</w:t>
      </w:r>
      <w:r w:rsidR="00416404" w:rsidRPr="004963EE">
        <w:rPr>
          <w:rFonts w:ascii="Times New Roman" w:hAnsi="Times New Roman"/>
          <w:sz w:val="24"/>
        </w:rPr>
        <w:t>.</w:t>
      </w:r>
    </w:p>
  </w:footnote>
  <w:footnote w:id="40">
    <w:p w14:paraId="0ED4AE29" w14:textId="22DB2E15" w:rsidR="00D6450D" w:rsidRPr="004963EE" w:rsidRDefault="00D6450D"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6878C1" w:rsidRPr="004963EE">
        <w:rPr>
          <w:rFonts w:ascii="Times New Roman" w:hAnsi="Times New Roman"/>
          <w:i/>
          <w:iCs/>
          <w:sz w:val="24"/>
        </w:rPr>
        <w:t xml:space="preserve">LPDT </w:t>
      </w:r>
      <w:r w:rsidR="006878C1" w:rsidRPr="004963EE">
        <w:rPr>
          <w:rFonts w:ascii="Times New Roman" w:hAnsi="Times New Roman"/>
          <w:sz w:val="24"/>
        </w:rPr>
        <w:t xml:space="preserve">(2024) </w:t>
      </w:r>
      <w:r w:rsidR="00A4088E" w:rsidRPr="004963EE">
        <w:rPr>
          <w:rFonts w:ascii="Times New Roman" w:hAnsi="Times New Roman"/>
          <w:sz w:val="24"/>
        </w:rPr>
        <w:t>280 CLR 321</w:t>
      </w:r>
      <w:r w:rsidR="006878C1" w:rsidRPr="004963EE">
        <w:rPr>
          <w:rFonts w:ascii="Times New Roman" w:hAnsi="Times New Roman"/>
          <w:sz w:val="24"/>
        </w:rPr>
        <w:t xml:space="preserve"> at </w:t>
      </w:r>
      <w:r w:rsidR="00A4088E" w:rsidRPr="004963EE">
        <w:rPr>
          <w:rFonts w:ascii="Times New Roman" w:hAnsi="Times New Roman"/>
          <w:sz w:val="24"/>
        </w:rPr>
        <w:t>328-329</w:t>
      </w:r>
      <w:r w:rsidR="006878C1" w:rsidRPr="004963EE">
        <w:rPr>
          <w:rFonts w:ascii="Times New Roman" w:hAnsi="Times New Roman"/>
          <w:sz w:val="24"/>
        </w:rPr>
        <w:t xml:space="preserve"> </w:t>
      </w:r>
      <w:r w:rsidR="0027155B" w:rsidRPr="004963EE">
        <w:rPr>
          <w:rFonts w:ascii="Times New Roman" w:hAnsi="Times New Roman"/>
          <w:sz w:val="24"/>
        </w:rPr>
        <w:t>[13]-</w:t>
      </w:r>
      <w:r w:rsidR="006878C1" w:rsidRPr="004963EE">
        <w:rPr>
          <w:rFonts w:ascii="Times New Roman" w:hAnsi="Times New Roman"/>
          <w:sz w:val="24"/>
        </w:rPr>
        <w:t>[14].</w:t>
      </w:r>
    </w:p>
  </w:footnote>
  <w:footnote w:id="41">
    <w:p w14:paraId="5FBD2BDC" w14:textId="1638C6C0" w:rsidR="00452B04" w:rsidRPr="004963EE" w:rsidRDefault="00452B04"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00C77D89" w:rsidRPr="004963EE">
        <w:rPr>
          <w:rFonts w:ascii="Times New Roman" w:hAnsi="Times New Roman"/>
          <w:sz w:val="24"/>
        </w:rPr>
        <w:t xml:space="preserve">(2023) </w:t>
      </w:r>
      <w:r w:rsidR="00F07B81" w:rsidRPr="004963EE">
        <w:rPr>
          <w:rFonts w:ascii="Times New Roman" w:hAnsi="Times New Roman"/>
          <w:sz w:val="24"/>
        </w:rPr>
        <w:t>280 CLR 515</w:t>
      </w:r>
      <w:r w:rsidR="00604CCA" w:rsidRPr="004963EE">
        <w:rPr>
          <w:rFonts w:ascii="Times New Roman" w:hAnsi="Times New Roman"/>
          <w:sz w:val="24"/>
        </w:rPr>
        <w:t xml:space="preserve"> </w:t>
      </w:r>
      <w:r w:rsidR="00465351" w:rsidRPr="004963EE">
        <w:rPr>
          <w:rFonts w:ascii="Times New Roman" w:hAnsi="Times New Roman"/>
          <w:sz w:val="24"/>
        </w:rPr>
        <w:t>at</w:t>
      </w:r>
      <w:r w:rsidR="00604CCA" w:rsidRPr="004963EE">
        <w:rPr>
          <w:rFonts w:ascii="Times New Roman" w:hAnsi="Times New Roman"/>
          <w:sz w:val="24"/>
        </w:rPr>
        <w:t xml:space="preserve"> </w:t>
      </w:r>
      <w:r w:rsidR="00F07B81" w:rsidRPr="004963EE">
        <w:rPr>
          <w:rFonts w:ascii="Times New Roman" w:hAnsi="Times New Roman"/>
          <w:sz w:val="24"/>
        </w:rPr>
        <w:t>540</w:t>
      </w:r>
      <w:r w:rsidR="00465351" w:rsidRPr="004963EE">
        <w:rPr>
          <w:rFonts w:ascii="Times New Roman" w:hAnsi="Times New Roman"/>
          <w:sz w:val="24"/>
        </w:rPr>
        <w:t xml:space="preserve"> [44]</w:t>
      </w:r>
      <w:r w:rsidR="00416404" w:rsidRPr="004963EE">
        <w:rPr>
          <w:rFonts w:ascii="Times New Roman" w:hAnsi="Times New Roman"/>
          <w:sz w:val="24"/>
        </w:rPr>
        <w:t>.</w:t>
      </w:r>
    </w:p>
  </w:footnote>
  <w:footnote w:id="42">
    <w:p w14:paraId="29EC30E3" w14:textId="6DDE812F" w:rsidR="00F07FE1" w:rsidRPr="004963EE" w:rsidRDefault="00F07FE1" w:rsidP="004963EE">
      <w:pPr>
        <w:pStyle w:val="FootnoteText"/>
        <w:spacing w:line="280" w:lineRule="exact"/>
        <w:ind w:right="0"/>
        <w:jc w:val="both"/>
        <w:rPr>
          <w:rFonts w:ascii="Times New Roman" w:hAnsi="Times New Roman"/>
          <w:sz w:val="24"/>
        </w:rPr>
      </w:pPr>
      <w:r w:rsidRPr="004963EE">
        <w:rPr>
          <w:rStyle w:val="FootnoteReference"/>
          <w:rFonts w:ascii="Times New Roman" w:hAnsi="Times New Roman"/>
          <w:sz w:val="22"/>
          <w:vertAlign w:val="baseline"/>
        </w:rPr>
        <w:footnoteRef/>
      </w:r>
      <w:r w:rsidRPr="004963EE">
        <w:rPr>
          <w:rFonts w:ascii="Times New Roman" w:hAnsi="Times New Roman"/>
          <w:sz w:val="24"/>
        </w:rPr>
        <w:t xml:space="preserve"> </w:t>
      </w:r>
      <w:r w:rsidRPr="004963EE">
        <w:rPr>
          <w:rFonts w:ascii="Times New Roman" w:hAnsi="Times New Roman"/>
          <w:sz w:val="24"/>
        </w:rPr>
        <w:tab/>
      </w:r>
      <w:r w:rsidRPr="004963EE">
        <w:rPr>
          <w:rFonts w:ascii="Times New Roman" w:hAnsi="Times New Roman"/>
          <w:i/>
          <w:iCs/>
          <w:sz w:val="24"/>
        </w:rPr>
        <w:t xml:space="preserve">LPDT </w:t>
      </w:r>
      <w:r w:rsidR="00704604" w:rsidRPr="004963EE">
        <w:rPr>
          <w:rFonts w:ascii="Times New Roman" w:hAnsi="Times New Roman"/>
          <w:sz w:val="24"/>
        </w:rPr>
        <w:t xml:space="preserve">(2024) </w:t>
      </w:r>
      <w:r w:rsidR="0097497B" w:rsidRPr="004963EE">
        <w:rPr>
          <w:rFonts w:ascii="Times New Roman" w:hAnsi="Times New Roman"/>
          <w:sz w:val="24"/>
        </w:rPr>
        <w:t>280 CLR 321 at 327 [7], 328-329 [14]</w:t>
      </w:r>
      <w:r w:rsidR="00704604" w:rsidRPr="004963EE">
        <w:rPr>
          <w:rFonts w:ascii="Times New Roman" w:hAnsi="Times New Roman"/>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68C0" w14:textId="77777777" w:rsidR="004963EE" w:rsidRPr="005979AE" w:rsidRDefault="004963EE" w:rsidP="00597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2788" w14:textId="522E1DC4" w:rsidR="004963EE" w:rsidRPr="005979AE" w:rsidRDefault="005979AE" w:rsidP="005979AE">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6E9" w14:textId="4563677B" w:rsidR="00BB13FF" w:rsidRPr="005979AE" w:rsidRDefault="00BB13FF" w:rsidP="005979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7EE6" w14:textId="77777777" w:rsidR="005979AE" w:rsidRPr="004963EE" w:rsidRDefault="005979AE" w:rsidP="004963EE">
    <w:pPr>
      <w:pStyle w:val="Header"/>
      <w:tabs>
        <w:tab w:val="clear" w:pos="4153"/>
        <w:tab w:val="clear" w:pos="8306"/>
        <w:tab w:val="right" w:pos="1304"/>
      </w:tabs>
      <w:spacing w:line="280" w:lineRule="exact"/>
      <w:ind w:firstLine="0"/>
      <w:rPr>
        <w:rFonts w:ascii="Times New Roman" w:hAnsi="Times New Roman"/>
        <w:i/>
        <w:sz w:val="22"/>
      </w:rPr>
    </w:pPr>
    <w:proofErr w:type="spellStart"/>
    <w:r w:rsidRPr="004963EE">
      <w:rPr>
        <w:rFonts w:ascii="Times New Roman" w:hAnsi="Times New Roman"/>
        <w:i/>
        <w:sz w:val="22"/>
      </w:rPr>
      <w:t>Gageler</w:t>
    </w:r>
    <w:proofErr w:type="spellEnd"/>
    <w:r w:rsidRPr="004963EE">
      <w:rPr>
        <w:rFonts w:ascii="Times New Roman" w:hAnsi="Times New Roman"/>
        <w:i/>
        <w:sz w:val="22"/>
      </w:rPr>
      <w:tab/>
      <w:t>CJ</w:t>
    </w:r>
  </w:p>
  <w:p w14:paraId="02470378" w14:textId="77777777" w:rsidR="005979AE" w:rsidRPr="004963EE" w:rsidRDefault="005979AE" w:rsidP="004963EE">
    <w:pPr>
      <w:pStyle w:val="Header"/>
      <w:tabs>
        <w:tab w:val="clear" w:pos="4153"/>
        <w:tab w:val="clear" w:pos="8306"/>
        <w:tab w:val="right" w:pos="1304"/>
      </w:tabs>
      <w:spacing w:line="280" w:lineRule="exact"/>
      <w:ind w:firstLine="0"/>
      <w:rPr>
        <w:rFonts w:ascii="Times New Roman" w:hAnsi="Times New Roman"/>
        <w:i/>
        <w:sz w:val="22"/>
      </w:rPr>
    </w:pPr>
    <w:r w:rsidRPr="004963EE">
      <w:rPr>
        <w:rFonts w:ascii="Times New Roman" w:hAnsi="Times New Roman"/>
        <w:i/>
        <w:sz w:val="22"/>
      </w:rPr>
      <w:t>Gordon</w:t>
    </w:r>
    <w:r w:rsidRPr="004963EE">
      <w:rPr>
        <w:rFonts w:ascii="Times New Roman" w:hAnsi="Times New Roman"/>
        <w:i/>
        <w:sz w:val="22"/>
      </w:rPr>
      <w:tab/>
      <w:t>J</w:t>
    </w:r>
  </w:p>
  <w:p w14:paraId="795CB1C3" w14:textId="77777777" w:rsidR="005979AE" w:rsidRPr="004963EE" w:rsidRDefault="005979AE" w:rsidP="004963EE">
    <w:pPr>
      <w:pStyle w:val="Header"/>
      <w:tabs>
        <w:tab w:val="clear" w:pos="4153"/>
        <w:tab w:val="clear" w:pos="8306"/>
        <w:tab w:val="right" w:pos="1304"/>
      </w:tabs>
      <w:spacing w:line="280" w:lineRule="exact"/>
      <w:ind w:firstLine="0"/>
      <w:rPr>
        <w:rFonts w:ascii="Times New Roman" w:hAnsi="Times New Roman"/>
        <w:i/>
        <w:sz w:val="22"/>
      </w:rPr>
    </w:pPr>
    <w:r w:rsidRPr="004963EE">
      <w:rPr>
        <w:rFonts w:ascii="Times New Roman" w:hAnsi="Times New Roman"/>
        <w:i/>
        <w:sz w:val="22"/>
      </w:rPr>
      <w:t>Edelman</w:t>
    </w:r>
    <w:r w:rsidRPr="004963EE">
      <w:rPr>
        <w:rFonts w:ascii="Times New Roman" w:hAnsi="Times New Roman"/>
        <w:i/>
        <w:sz w:val="22"/>
      </w:rPr>
      <w:tab/>
      <w:t>J</w:t>
    </w:r>
  </w:p>
  <w:p w14:paraId="741C7542" w14:textId="77777777" w:rsidR="005979AE" w:rsidRPr="004963EE" w:rsidRDefault="005979AE" w:rsidP="004963EE">
    <w:pPr>
      <w:pStyle w:val="Header"/>
      <w:tabs>
        <w:tab w:val="clear" w:pos="4153"/>
        <w:tab w:val="clear" w:pos="8306"/>
        <w:tab w:val="right" w:pos="1304"/>
      </w:tabs>
      <w:spacing w:line="280" w:lineRule="exact"/>
      <w:ind w:firstLine="0"/>
      <w:rPr>
        <w:rFonts w:ascii="Times New Roman" w:hAnsi="Times New Roman"/>
        <w:i/>
        <w:sz w:val="22"/>
      </w:rPr>
    </w:pPr>
    <w:r w:rsidRPr="004963EE">
      <w:rPr>
        <w:rFonts w:ascii="Times New Roman" w:hAnsi="Times New Roman"/>
        <w:i/>
        <w:sz w:val="22"/>
      </w:rPr>
      <w:t>Steward</w:t>
    </w:r>
    <w:r w:rsidRPr="004963EE">
      <w:rPr>
        <w:rFonts w:ascii="Times New Roman" w:hAnsi="Times New Roman"/>
        <w:i/>
        <w:sz w:val="22"/>
      </w:rPr>
      <w:tab/>
      <w:t>J</w:t>
    </w:r>
  </w:p>
  <w:p w14:paraId="02CB59A5" w14:textId="77777777" w:rsidR="005979AE" w:rsidRDefault="005979AE" w:rsidP="004963EE">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4E3ABB60" w14:textId="77777777" w:rsidR="005979AE" w:rsidRDefault="005979AE" w:rsidP="004963EE">
    <w:pPr>
      <w:pStyle w:val="Header"/>
      <w:tabs>
        <w:tab w:val="clear" w:pos="4153"/>
        <w:tab w:val="clear" w:pos="8306"/>
        <w:tab w:val="right" w:pos="1304"/>
      </w:tabs>
      <w:spacing w:line="280" w:lineRule="exact"/>
      <w:ind w:firstLine="0"/>
      <w:rPr>
        <w:rFonts w:ascii="Times New Roman" w:hAnsi="Times New Roman"/>
        <w:i/>
        <w:sz w:val="22"/>
      </w:rPr>
    </w:pPr>
  </w:p>
  <w:p w14:paraId="3E3320B4" w14:textId="77777777" w:rsidR="005979AE" w:rsidRDefault="005979AE" w:rsidP="004963EE">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4A7A672A" w14:textId="77777777" w:rsidR="005979AE" w:rsidRPr="004963EE" w:rsidRDefault="005979AE" w:rsidP="004963EE">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1B6" w14:textId="77777777" w:rsidR="005979AE" w:rsidRPr="004963EE" w:rsidRDefault="005979AE" w:rsidP="004963EE">
    <w:pPr>
      <w:pStyle w:val="Header"/>
      <w:tabs>
        <w:tab w:val="clear" w:pos="4153"/>
        <w:tab w:val="clear" w:pos="8306"/>
        <w:tab w:val="left" w:pos="7200"/>
        <w:tab w:val="right" w:pos="8504"/>
      </w:tabs>
      <w:spacing w:line="280" w:lineRule="exact"/>
      <w:jc w:val="right"/>
      <w:rPr>
        <w:rFonts w:ascii="Times New Roman" w:hAnsi="Times New Roman"/>
        <w:i/>
        <w:sz w:val="22"/>
      </w:rPr>
    </w:pPr>
    <w:r w:rsidRPr="004963EE">
      <w:rPr>
        <w:rFonts w:ascii="Times New Roman" w:hAnsi="Times New Roman"/>
        <w:i/>
        <w:sz w:val="22"/>
      </w:rPr>
      <w:tab/>
    </w:r>
    <w:proofErr w:type="spellStart"/>
    <w:r w:rsidRPr="004963EE">
      <w:rPr>
        <w:rFonts w:ascii="Times New Roman" w:hAnsi="Times New Roman"/>
        <w:i/>
        <w:sz w:val="22"/>
      </w:rPr>
      <w:t>Gageler</w:t>
    </w:r>
    <w:proofErr w:type="spellEnd"/>
    <w:r w:rsidRPr="004963EE">
      <w:rPr>
        <w:rFonts w:ascii="Times New Roman" w:hAnsi="Times New Roman"/>
        <w:i/>
        <w:sz w:val="22"/>
      </w:rPr>
      <w:tab/>
      <w:t>CJ</w:t>
    </w:r>
  </w:p>
  <w:p w14:paraId="2BCB82D8" w14:textId="77777777" w:rsidR="005979AE" w:rsidRPr="004963EE" w:rsidRDefault="005979AE" w:rsidP="004963EE">
    <w:pPr>
      <w:pStyle w:val="Header"/>
      <w:tabs>
        <w:tab w:val="clear" w:pos="4153"/>
        <w:tab w:val="clear" w:pos="8306"/>
        <w:tab w:val="left" w:pos="7200"/>
        <w:tab w:val="right" w:pos="8504"/>
      </w:tabs>
      <w:spacing w:line="280" w:lineRule="exact"/>
      <w:jc w:val="right"/>
      <w:rPr>
        <w:rFonts w:ascii="Times New Roman" w:hAnsi="Times New Roman"/>
        <w:i/>
        <w:sz w:val="22"/>
      </w:rPr>
    </w:pPr>
    <w:r w:rsidRPr="004963EE">
      <w:rPr>
        <w:rFonts w:ascii="Times New Roman" w:hAnsi="Times New Roman"/>
        <w:i/>
        <w:sz w:val="22"/>
      </w:rPr>
      <w:tab/>
      <w:t>Gordon</w:t>
    </w:r>
    <w:r w:rsidRPr="004963EE">
      <w:rPr>
        <w:rFonts w:ascii="Times New Roman" w:hAnsi="Times New Roman"/>
        <w:i/>
        <w:sz w:val="22"/>
      </w:rPr>
      <w:tab/>
      <w:t>J</w:t>
    </w:r>
  </w:p>
  <w:p w14:paraId="39676D23" w14:textId="77777777" w:rsidR="005979AE" w:rsidRPr="004963EE" w:rsidRDefault="005979AE" w:rsidP="004963EE">
    <w:pPr>
      <w:pStyle w:val="Header"/>
      <w:tabs>
        <w:tab w:val="clear" w:pos="4153"/>
        <w:tab w:val="clear" w:pos="8306"/>
        <w:tab w:val="left" w:pos="7200"/>
        <w:tab w:val="right" w:pos="8504"/>
      </w:tabs>
      <w:spacing w:line="280" w:lineRule="exact"/>
      <w:jc w:val="right"/>
      <w:rPr>
        <w:rFonts w:ascii="Times New Roman" w:hAnsi="Times New Roman"/>
        <w:i/>
        <w:sz w:val="22"/>
      </w:rPr>
    </w:pPr>
    <w:r w:rsidRPr="004963EE">
      <w:rPr>
        <w:rFonts w:ascii="Times New Roman" w:hAnsi="Times New Roman"/>
        <w:i/>
        <w:sz w:val="22"/>
      </w:rPr>
      <w:tab/>
      <w:t>Edelman</w:t>
    </w:r>
    <w:r w:rsidRPr="004963EE">
      <w:rPr>
        <w:rFonts w:ascii="Times New Roman" w:hAnsi="Times New Roman"/>
        <w:i/>
        <w:sz w:val="22"/>
      </w:rPr>
      <w:tab/>
      <w:t>J</w:t>
    </w:r>
  </w:p>
  <w:p w14:paraId="4FD2BB4B" w14:textId="77777777" w:rsidR="005979AE" w:rsidRPr="004963EE" w:rsidRDefault="005979AE" w:rsidP="004963EE">
    <w:pPr>
      <w:pStyle w:val="Header"/>
      <w:tabs>
        <w:tab w:val="clear" w:pos="4153"/>
        <w:tab w:val="clear" w:pos="8306"/>
        <w:tab w:val="left" w:pos="7200"/>
        <w:tab w:val="right" w:pos="8504"/>
      </w:tabs>
      <w:spacing w:line="280" w:lineRule="exact"/>
      <w:jc w:val="right"/>
      <w:rPr>
        <w:rFonts w:ascii="Times New Roman" w:hAnsi="Times New Roman"/>
        <w:i/>
        <w:sz w:val="22"/>
      </w:rPr>
    </w:pPr>
    <w:r w:rsidRPr="004963EE">
      <w:rPr>
        <w:rFonts w:ascii="Times New Roman" w:hAnsi="Times New Roman"/>
        <w:i/>
        <w:sz w:val="22"/>
      </w:rPr>
      <w:tab/>
      <w:t>Steward</w:t>
    </w:r>
    <w:r w:rsidRPr="004963EE">
      <w:rPr>
        <w:rFonts w:ascii="Times New Roman" w:hAnsi="Times New Roman"/>
        <w:i/>
        <w:sz w:val="22"/>
      </w:rPr>
      <w:tab/>
      <w:t>J</w:t>
    </w:r>
  </w:p>
  <w:p w14:paraId="62681572" w14:textId="77777777" w:rsidR="005979AE" w:rsidRDefault="005979AE" w:rsidP="004963EE">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4E0B9127" w14:textId="77777777" w:rsidR="005979AE" w:rsidRDefault="005979AE" w:rsidP="004963EE">
    <w:pPr>
      <w:pStyle w:val="Header"/>
      <w:tabs>
        <w:tab w:val="clear" w:pos="4153"/>
        <w:tab w:val="clear" w:pos="8306"/>
        <w:tab w:val="left" w:pos="7200"/>
        <w:tab w:val="right" w:pos="8504"/>
      </w:tabs>
      <w:spacing w:line="280" w:lineRule="exact"/>
      <w:jc w:val="right"/>
      <w:rPr>
        <w:rFonts w:ascii="Times New Roman" w:hAnsi="Times New Roman"/>
        <w:i/>
        <w:sz w:val="22"/>
      </w:rPr>
    </w:pPr>
  </w:p>
  <w:p w14:paraId="2CCC5DBC" w14:textId="77777777" w:rsidR="005979AE" w:rsidRDefault="005979AE" w:rsidP="004963EE">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3734C399" w14:textId="77777777" w:rsidR="005979AE" w:rsidRPr="004963EE" w:rsidRDefault="005979AE" w:rsidP="004963EE">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50F" w14:textId="77777777" w:rsidR="005979AE" w:rsidRDefault="005979AE" w:rsidP="004963EE">
    <w:pPr>
      <w:pStyle w:val="Header"/>
      <w:tabs>
        <w:tab w:val="clear" w:pos="4153"/>
        <w:tab w:val="clear" w:pos="8306"/>
        <w:tab w:val="center" w:pos="1134"/>
      </w:tabs>
      <w:spacing w:line="280" w:lineRule="exact"/>
      <w:ind w:firstLine="0"/>
      <w:rPr>
        <w:rFonts w:ascii="Times New Roman" w:hAnsi="Times New Roman"/>
        <w:i/>
        <w:sz w:val="22"/>
      </w:rPr>
    </w:pPr>
  </w:p>
  <w:p w14:paraId="4F3FF7A0" w14:textId="77777777" w:rsidR="005979AE" w:rsidRDefault="005979AE" w:rsidP="004963EE">
    <w:pPr>
      <w:pStyle w:val="Header"/>
      <w:tabs>
        <w:tab w:val="clear" w:pos="4153"/>
        <w:tab w:val="clear" w:pos="8306"/>
        <w:tab w:val="center" w:pos="1134"/>
      </w:tabs>
      <w:spacing w:line="280" w:lineRule="exact"/>
      <w:ind w:firstLine="0"/>
      <w:rPr>
        <w:rFonts w:ascii="Times New Roman" w:hAnsi="Times New Roman"/>
        <w:i/>
        <w:sz w:val="22"/>
      </w:rPr>
    </w:pPr>
  </w:p>
  <w:p w14:paraId="640B9388" w14:textId="77777777" w:rsidR="005979AE" w:rsidRDefault="005979AE" w:rsidP="004963EE">
    <w:pPr>
      <w:pStyle w:val="Header"/>
      <w:tabs>
        <w:tab w:val="clear" w:pos="4153"/>
        <w:tab w:val="clear" w:pos="8306"/>
        <w:tab w:val="center" w:pos="1134"/>
      </w:tabs>
      <w:spacing w:line="280" w:lineRule="exact"/>
      <w:ind w:firstLine="0"/>
      <w:rPr>
        <w:rFonts w:ascii="Times New Roman" w:hAnsi="Times New Roman"/>
        <w:i/>
        <w:sz w:val="22"/>
      </w:rPr>
    </w:pPr>
  </w:p>
  <w:p w14:paraId="2B27C384" w14:textId="77777777" w:rsidR="005979AE" w:rsidRDefault="005979AE" w:rsidP="004963EE">
    <w:pPr>
      <w:pStyle w:val="Header"/>
      <w:tabs>
        <w:tab w:val="clear" w:pos="4153"/>
        <w:tab w:val="clear" w:pos="8306"/>
        <w:tab w:val="center" w:pos="1134"/>
      </w:tabs>
      <w:spacing w:line="280" w:lineRule="exact"/>
      <w:ind w:firstLine="0"/>
      <w:rPr>
        <w:rFonts w:ascii="Times New Roman" w:hAnsi="Times New Roman"/>
        <w:i/>
        <w:sz w:val="22"/>
      </w:rPr>
    </w:pPr>
  </w:p>
  <w:p w14:paraId="2F846324" w14:textId="77777777" w:rsidR="005979AE" w:rsidRDefault="005979AE" w:rsidP="004963EE">
    <w:pPr>
      <w:pStyle w:val="Header"/>
      <w:tabs>
        <w:tab w:val="clear" w:pos="4153"/>
        <w:tab w:val="clear" w:pos="8306"/>
        <w:tab w:val="center" w:pos="1134"/>
      </w:tabs>
      <w:spacing w:line="280" w:lineRule="exact"/>
      <w:ind w:firstLine="0"/>
      <w:rPr>
        <w:rFonts w:ascii="Times New Roman" w:hAnsi="Times New Roman"/>
        <w:i/>
        <w:sz w:val="22"/>
      </w:rPr>
    </w:pPr>
  </w:p>
  <w:p w14:paraId="04DC1ACC" w14:textId="77777777" w:rsidR="005979AE" w:rsidRDefault="005979AE" w:rsidP="004963EE">
    <w:pPr>
      <w:pStyle w:val="Header"/>
      <w:tabs>
        <w:tab w:val="clear" w:pos="4153"/>
        <w:tab w:val="clear" w:pos="8306"/>
        <w:tab w:val="center" w:pos="1134"/>
      </w:tabs>
      <w:spacing w:line="280" w:lineRule="exact"/>
      <w:ind w:firstLine="0"/>
      <w:rPr>
        <w:rFonts w:ascii="Times New Roman" w:hAnsi="Times New Roman"/>
        <w:i/>
        <w:sz w:val="22"/>
      </w:rPr>
    </w:pPr>
  </w:p>
  <w:p w14:paraId="0AFCB8DD" w14:textId="77777777" w:rsidR="005979AE" w:rsidRDefault="005979AE" w:rsidP="004963EE">
    <w:pPr>
      <w:pStyle w:val="Header"/>
      <w:tabs>
        <w:tab w:val="clear" w:pos="4153"/>
        <w:tab w:val="clear" w:pos="8306"/>
        <w:tab w:val="center" w:pos="1134"/>
      </w:tabs>
      <w:spacing w:line="280" w:lineRule="exact"/>
      <w:ind w:firstLine="0"/>
      <w:rPr>
        <w:rFonts w:ascii="Times New Roman" w:hAnsi="Times New Roman"/>
        <w:i/>
        <w:sz w:val="22"/>
      </w:rPr>
    </w:pPr>
  </w:p>
  <w:p w14:paraId="1C4CA4F8" w14:textId="77777777" w:rsidR="005979AE" w:rsidRPr="004963EE" w:rsidRDefault="005979AE" w:rsidP="004963EE">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7"/>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20"/>
    <w:rsid w:val="000012D2"/>
    <w:rsid w:val="00001FD6"/>
    <w:rsid w:val="00002069"/>
    <w:rsid w:val="000029ED"/>
    <w:rsid w:val="00002CE6"/>
    <w:rsid w:val="0000316A"/>
    <w:rsid w:val="0000377F"/>
    <w:rsid w:val="00003E35"/>
    <w:rsid w:val="000049B7"/>
    <w:rsid w:val="00005A71"/>
    <w:rsid w:val="00007ADC"/>
    <w:rsid w:val="00012BEE"/>
    <w:rsid w:val="00012CEE"/>
    <w:rsid w:val="00012FB4"/>
    <w:rsid w:val="0001363D"/>
    <w:rsid w:val="0001372B"/>
    <w:rsid w:val="000141CA"/>
    <w:rsid w:val="00014620"/>
    <w:rsid w:val="00014B34"/>
    <w:rsid w:val="00014F4A"/>
    <w:rsid w:val="00016718"/>
    <w:rsid w:val="000168C9"/>
    <w:rsid w:val="00016C20"/>
    <w:rsid w:val="00016DBB"/>
    <w:rsid w:val="00016F87"/>
    <w:rsid w:val="00017144"/>
    <w:rsid w:val="00022025"/>
    <w:rsid w:val="00022A53"/>
    <w:rsid w:val="00024894"/>
    <w:rsid w:val="00024FA4"/>
    <w:rsid w:val="000250AF"/>
    <w:rsid w:val="00025490"/>
    <w:rsid w:val="00025608"/>
    <w:rsid w:val="0002561E"/>
    <w:rsid w:val="00025939"/>
    <w:rsid w:val="000268E1"/>
    <w:rsid w:val="00030537"/>
    <w:rsid w:val="000311A2"/>
    <w:rsid w:val="00031CD7"/>
    <w:rsid w:val="0003203D"/>
    <w:rsid w:val="000340DE"/>
    <w:rsid w:val="0003575A"/>
    <w:rsid w:val="000360EB"/>
    <w:rsid w:val="00037827"/>
    <w:rsid w:val="00037A5F"/>
    <w:rsid w:val="00037D87"/>
    <w:rsid w:val="000403C7"/>
    <w:rsid w:val="00040E5F"/>
    <w:rsid w:val="00040F62"/>
    <w:rsid w:val="00041F1C"/>
    <w:rsid w:val="00042EE2"/>
    <w:rsid w:val="00042EF3"/>
    <w:rsid w:val="0004380B"/>
    <w:rsid w:val="00043D2C"/>
    <w:rsid w:val="000454FB"/>
    <w:rsid w:val="00045947"/>
    <w:rsid w:val="000467D7"/>
    <w:rsid w:val="00046812"/>
    <w:rsid w:val="000474E0"/>
    <w:rsid w:val="00047AD6"/>
    <w:rsid w:val="00047F86"/>
    <w:rsid w:val="00050611"/>
    <w:rsid w:val="000526EA"/>
    <w:rsid w:val="0005383E"/>
    <w:rsid w:val="00054869"/>
    <w:rsid w:val="00055007"/>
    <w:rsid w:val="00055ACD"/>
    <w:rsid w:val="0005606F"/>
    <w:rsid w:val="00056831"/>
    <w:rsid w:val="00056F27"/>
    <w:rsid w:val="000573AF"/>
    <w:rsid w:val="00057AFF"/>
    <w:rsid w:val="00060C95"/>
    <w:rsid w:val="00060F1C"/>
    <w:rsid w:val="0006126C"/>
    <w:rsid w:val="0006169E"/>
    <w:rsid w:val="000616EA"/>
    <w:rsid w:val="000625D1"/>
    <w:rsid w:val="000626FD"/>
    <w:rsid w:val="00062F3A"/>
    <w:rsid w:val="000639C6"/>
    <w:rsid w:val="0006432B"/>
    <w:rsid w:val="000653D4"/>
    <w:rsid w:val="00065C9E"/>
    <w:rsid w:val="000674E3"/>
    <w:rsid w:val="000706F3"/>
    <w:rsid w:val="0007085B"/>
    <w:rsid w:val="00071596"/>
    <w:rsid w:val="0007171C"/>
    <w:rsid w:val="00071AD8"/>
    <w:rsid w:val="00071C35"/>
    <w:rsid w:val="00071F24"/>
    <w:rsid w:val="0007245B"/>
    <w:rsid w:val="000729BB"/>
    <w:rsid w:val="00073E7F"/>
    <w:rsid w:val="000742D2"/>
    <w:rsid w:val="00074B2D"/>
    <w:rsid w:val="00074CD5"/>
    <w:rsid w:val="0007533F"/>
    <w:rsid w:val="00075C59"/>
    <w:rsid w:val="00075D2B"/>
    <w:rsid w:val="00075F50"/>
    <w:rsid w:val="00076183"/>
    <w:rsid w:val="00080D77"/>
    <w:rsid w:val="00082285"/>
    <w:rsid w:val="00083AB4"/>
    <w:rsid w:val="0008435D"/>
    <w:rsid w:val="000850D6"/>
    <w:rsid w:val="0008558C"/>
    <w:rsid w:val="000855DE"/>
    <w:rsid w:val="000857B3"/>
    <w:rsid w:val="00085945"/>
    <w:rsid w:val="00085E02"/>
    <w:rsid w:val="00085F13"/>
    <w:rsid w:val="00087156"/>
    <w:rsid w:val="000872C2"/>
    <w:rsid w:val="0008731F"/>
    <w:rsid w:val="00087677"/>
    <w:rsid w:val="00087899"/>
    <w:rsid w:val="00087B8C"/>
    <w:rsid w:val="00087D86"/>
    <w:rsid w:val="00087F4D"/>
    <w:rsid w:val="0009013F"/>
    <w:rsid w:val="0009098C"/>
    <w:rsid w:val="00090FF5"/>
    <w:rsid w:val="00092067"/>
    <w:rsid w:val="00092F19"/>
    <w:rsid w:val="00093E3D"/>
    <w:rsid w:val="000962F1"/>
    <w:rsid w:val="00096588"/>
    <w:rsid w:val="000979A1"/>
    <w:rsid w:val="000A0924"/>
    <w:rsid w:val="000A1094"/>
    <w:rsid w:val="000A1172"/>
    <w:rsid w:val="000A16C0"/>
    <w:rsid w:val="000A28D4"/>
    <w:rsid w:val="000A2D21"/>
    <w:rsid w:val="000A2EB4"/>
    <w:rsid w:val="000A3D63"/>
    <w:rsid w:val="000A3DA3"/>
    <w:rsid w:val="000A47D8"/>
    <w:rsid w:val="000A5D66"/>
    <w:rsid w:val="000A5DCE"/>
    <w:rsid w:val="000A634D"/>
    <w:rsid w:val="000A63C6"/>
    <w:rsid w:val="000A68E2"/>
    <w:rsid w:val="000A6B69"/>
    <w:rsid w:val="000A6F05"/>
    <w:rsid w:val="000B01EF"/>
    <w:rsid w:val="000B08AC"/>
    <w:rsid w:val="000B1AAA"/>
    <w:rsid w:val="000B1EFD"/>
    <w:rsid w:val="000B2D00"/>
    <w:rsid w:val="000B42BB"/>
    <w:rsid w:val="000B4630"/>
    <w:rsid w:val="000B4679"/>
    <w:rsid w:val="000B497F"/>
    <w:rsid w:val="000B4E86"/>
    <w:rsid w:val="000B5920"/>
    <w:rsid w:val="000B5B2E"/>
    <w:rsid w:val="000B60BF"/>
    <w:rsid w:val="000B6A0C"/>
    <w:rsid w:val="000B6E9D"/>
    <w:rsid w:val="000B710D"/>
    <w:rsid w:val="000B7558"/>
    <w:rsid w:val="000C04DC"/>
    <w:rsid w:val="000C07F6"/>
    <w:rsid w:val="000C08ED"/>
    <w:rsid w:val="000C0D98"/>
    <w:rsid w:val="000C1888"/>
    <w:rsid w:val="000C1F7F"/>
    <w:rsid w:val="000C2DD2"/>
    <w:rsid w:val="000C3B52"/>
    <w:rsid w:val="000C53AA"/>
    <w:rsid w:val="000C5716"/>
    <w:rsid w:val="000C5930"/>
    <w:rsid w:val="000C741B"/>
    <w:rsid w:val="000C7667"/>
    <w:rsid w:val="000D16BF"/>
    <w:rsid w:val="000D186B"/>
    <w:rsid w:val="000D1A5E"/>
    <w:rsid w:val="000D25E6"/>
    <w:rsid w:val="000D34EF"/>
    <w:rsid w:val="000D3595"/>
    <w:rsid w:val="000D5251"/>
    <w:rsid w:val="000D53C8"/>
    <w:rsid w:val="000E004B"/>
    <w:rsid w:val="000E0DD6"/>
    <w:rsid w:val="000E1F19"/>
    <w:rsid w:val="000E2A7F"/>
    <w:rsid w:val="000E33BE"/>
    <w:rsid w:val="000E3897"/>
    <w:rsid w:val="000E3CF3"/>
    <w:rsid w:val="000E45F7"/>
    <w:rsid w:val="000E59D4"/>
    <w:rsid w:val="000E5D0F"/>
    <w:rsid w:val="000E5D1E"/>
    <w:rsid w:val="000E65F7"/>
    <w:rsid w:val="000E70CB"/>
    <w:rsid w:val="000F1345"/>
    <w:rsid w:val="000F1A58"/>
    <w:rsid w:val="000F2CAA"/>
    <w:rsid w:val="000F3A7D"/>
    <w:rsid w:val="000F3BB3"/>
    <w:rsid w:val="000F3FD2"/>
    <w:rsid w:val="000F48D6"/>
    <w:rsid w:val="000F50F2"/>
    <w:rsid w:val="000F5C86"/>
    <w:rsid w:val="000F65C5"/>
    <w:rsid w:val="000F6D0C"/>
    <w:rsid w:val="000F7565"/>
    <w:rsid w:val="000F7578"/>
    <w:rsid w:val="001001B9"/>
    <w:rsid w:val="00100289"/>
    <w:rsid w:val="001003FF"/>
    <w:rsid w:val="00101654"/>
    <w:rsid w:val="00101F9A"/>
    <w:rsid w:val="00102254"/>
    <w:rsid w:val="00102C9F"/>
    <w:rsid w:val="00103C6F"/>
    <w:rsid w:val="00103D69"/>
    <w:rsid w:val="00103DE4"/>
    <w:rsid w:val="00106194"/>
    <w:rsid w:val="001063A5"/>
    <w:rsid w:val="0010702C"/>
    <w:rsid w:val="00107BE7"/>
    <w:rsid w:val="001105FC"/>
    <w:rsid w:val="00110970"/>
    <w:rsid w:val="00110A8E"/>
    <w:rsid w:val="001113A4"/>
    <w:rsid w:val="00111568"/>
    <w:rsid w:val="00111937"/>
    <w:rsid w:val="001120C0"/>
    <w:rsid w:val="00112286"/>
    <w:rsid w:val="001127F6"/>
    <w:rsid w:val="001150BF"/>
    <w:rsid w:val="00115408"/>
    <w:rsid w:val="00115EB0"/>
    <w:rsid w:val="0011628D"/>
    <w:rsid w:val="001168F2"/>
    <w:rsid w:val="00116A68"/>
    <w:rsid w:val="00116DAF"/>
    <w:rsid w:val="0011713D"/>
    <w:rsid w:val="00117F2F"/>
    <w:rsid w:val="00120207"/>
    <w:rsid w:val="001204E3"/>
    <w:rsid w:val="001217D6"/>
    <w:rsid w:val="00122502"/>
    <w:rsid w:val="00122BDA"/>
    <w:rsid w:val="001230C8"/>
    <w:rsid w:val="001231B7"/>
    <w:rsid w:val="00123C1B"/>
    <w:rsid w:val="00125531"/>
    <w:rsid w:val="0012562E"/>
    <w:rsid w:val="00125E3C"/>
    <w:rsid w:val="001261D4"/>
    <w:rsid w:val="0012699D"/>
    <w:rsid w:val="001269FB"/>
    <w:rsid w:val="00130327"/>
    <w:rsid w:val="00130612"/>
    <w:rsid w:val="00132290"/>
    <w:rsid w:val="00132B0B"/>
    <w:rsid w:val="00133E7E"/>
    <w:rsid w:val="0013456F"/>
    <w:rsid w:val="0013609C"/>
    <w:rsid w:val="00136687"/>
    <w:rsid w:val="001369D1"/>
    <w:rsid w:val="00136CCA"/>
    <w:rsid w:val="00137544"/>
    <w:rsid w:val="00137BEB"/>
    <w:rsid w:val="00142072"/>
    <w:rsid w:val="00143092"/>
    <w:rsid w:val="00143FCB"/>
    <w:rsid w:val="00144FEF"/>
    <w:rsid w:val="001455F2"/>
    <w:rsid w:val="00145627"/>
    <w:rsid w:val="00146399"/>
    <w:rsid w:val="00146A41"/>
    <w:rsid w:val="00146D7A"/>
    <w:rsid w:val="00146DAF"/>
    <w:rsid w:val="00146DD1"/>
    <w:rsid w:val="001473D9"/>
    <w:rsid w:val="0015031C"/>
    <w:rsid w:val="00150452"/>
    <w:rsid w:val="00150629"/>
    <w:rsid w:val="00150EBA"/>
    <w:rsid w:val="00151679"/>
    <w:rsid w:val="001522CC"/>
    <w:rsid w:val="00152917"/>
    <w:rsid w:val="0015318E"/>
    <w:rsid w:val="001537FB"/>
    <w:rsid w:val="00153945"/>
    <w:rsid w:val="00153FC8"/>
    <w:rsid w:val="001541D7"/>
    <w:rsid w:val="00154D73"/>
    <w:rsid w:val="00154DE6"/>
    <w:rsid w:val="00155342"/>
    <w:rsid w:val="0015564D"/>
    <w:rsid w:val="001556C0"/>
    <w:rsid w:val="00155E0E"/>
    <w:rsid w:val="00155E2C"/>
    <w:rsid w:val="00156271"/>
    <w:rsid w:val="001564C5"/>
    <w:rsid w:val="00157319"/>
    <w:rsid w:val="00160320"/>
    <w:rsid w:val="001624C3"/>
    <w:rsid w:val="00162F5C"/>
    <w:rsid w:val="0016313D"/>
    <w:rsid w:val="001638EB"/>
    <w:rsid w:val="00163D92"/>
    <w:rsid w:val="00164144"/>
    <w:rsid w:val="001643A0"/>
    <w:rsid w:val="001643E6"/>
    <w:rsid w:val="00164A16"/>
    <w:rsid w:val="00164B24"/>
    <w:rsid w:val="00165152"/>
    <w:rsid w:val="0016525E"/>
    <w:rsid w:val="00166A80"/>
    <w:rsid w:val="00167302"/>
    <w:rsid w:val="00167660"/>
    <w:rsid w:val="001708DE"/>
    <w:rsid w:val="001717AD"/>
    <w:rsid w:val="00171B9D"/>
    <w:rsid w:val="00171E49"/>
    <w:rsid w:val="00172206"/>
    <w:rsid w:val="00172ADE"/>
    <w:rsid w:val="00174336"/>
    <w:rsid w:val="00174E9A"/>
    <w:rsid w:val="0017565C"/>
    <w:rsid w:val="00175703"/>
    <w:rsid w:val="001758DE"/>
    <w:rsid w:val="00176D25"/>
    <w:rsid w:val="00177102"/>
    <w:rsid w:val="00180E04"/>
    <w:rsid w:val="00181103"/>
    <w:rsid w:val="00182810"/>
    <w:rsid w:val="0018342E"/>
    <w:rsid w:val="0018371E"/>
    <w:rsid w:val="001840C2"/>
    <w:rsid w:val="00184186"/>
    <w:rsid w:val="001841D3"/>
    <w:rsid w:val="00184B46"/>
    <w:rsid w:val="00184D8B"/>
    <w:rsid w:val="00185939"/>
    <w:rsid w:val="001876F6"/>
    <w:rsid w:val="0018774F"/>
    <w:rsid w:val="00190CB7"/>
    <w:rsid w:val="00191E23"/>
    <w:rsid w:val="0019210D"/>
    <w:rsid w:val="00192FFC"/>
    <w:rsid w:val="00193500"/>
    <w:rsid w:val="00193943"/>
    <w:rsid w:val="00193F43"/>
    <w:rsid w:val="001942B0"/>
    <w:rsid w:val="00195290"/>
    <w:rsid w:val="001953B1"/>
    <w:rsid w:val="001957E7"/>
    <w:rsid w:val="001963C0"/>
    <w:rsid w:val="00197827"/>
    <w:rsid w:val="00197956"/>
    <w:rsid w:val="00197E1B"/>
    <w:rsid w:val="001A2479"/>
    <w:rsid w:val="001A2672"/>
    <w:rsid w:val="001A39D0"/>
    <w:rsid w:val="001A4037"/>
    <w:rsid w:val="001A409D"/>
    <w:rsid w:val="001A446E"/>
    <w:rsid w:val="001A4F1F"/>
    <w:rsid w:val="001A6BD1"/>
    <w:rsid w:val="001A796A"/>
    <w:rsid w:val="001B1251"/>
    <w:rsid w:val="001B1676"/>
    <w:rsid w:val="001B17A8"/>
    <w:rsid w:val="001B1B3A"/>
    <w:rsid w:val="001B1F45"/>
    <w:rsid w:val="001B207B"/>
    <w:rsid w:val="001B3147"/>
    <w:rsid w:val="001B4673"/>
    <w:rsid w:val="001B551A"/>
    <w:rsid w:val="001B55C8"/>
    <w:rsid w:val="001B5677"/>
    <w:rsid w:val="001B6088"/>
    <w:rsid w:val="001B6250"/>
    <w:rsid w:val="001B63C6"/>
    <w:rsid w:val="001C3977"/>
    <w:rsid w:val="001C3B86"/>
    <w:rsid w:val="001C48D4"/>
    <w:rsid w:val="001C4F54"/>
    <w:rsid w:val="001C5478"/>
    <w:rsid w:val="001C6CB4"/>
    <w:rsid w:val="001C6F4D"/>
    <w:rsid w:val="001C7C93"/>
    <w:rsid w:val="001D023A"/>
    <w:rsid w:val="001D0714"/>
    <w:rsid w:val="001D085E"/>
    <w:rsid w:val="001D0F3F"/>
    <w:rsid w:val="001D2235"/>
    <w:rsid w:val="001D3480"/>
    <w:rsid w:val="001D36CD"/>
    <w:rsid w:val="001D3885"/>
    <w:rsid w:val="001D39C4"/>
    <w:rsid w:val="001D42A1"/>
    <w:rsid w:val="001D47E8"/>
    <w:rsid w:val="001D4F49"/>
    <w:rsid w:val="001D56BA"/>
    <w:rsid w:val="001D617F"/>
    <w:rsid w:val="001D7051"/>
    <w:rsid w:val="001D7982"/>
    <w:rsid w:val="001E0963"/>
    <w:rsid w:val="001E0A5F"/>
    <w:rsid w:val="001E1D3D"/>
    <w:rsid w:val="001E47D1"/>
    <w:rsid w:val="001E575C"/>
    <w:rsid w:val="001E5A00"/>
    <w:rsid w:val="001E66F7"/>
    <w:rsid w:val="001E6A64"/>
    <w:rsid w:val="001E6B56"/>
    <w:rsid w:val="001E6ED2"/>
    <w:rsid w:val="001E75C5"/>
    <w:rsid w:val="001F0370"/>
    <w:rsid w:val="001F0598"/>
    <w:rsid w:val="001F1291"/>
    <w:rsid w:val="001F1B5F"/>
    <w:rsid w:val="001F3F2A"/>
    <w:rsid w:val="001F44CB"/>
    <w:rsid w:val="001F461C"/>
    <w:rsid w:val="001F4B51"/>
    <w:rsid w:val="001F4D1F"/>
    <w:rsid w:val="001F4DC1"/>
    <w:rsid w:val="001F559C"/>
    <w:rsid w:val="001F61EB"/>
    <w:rsid w:val="001F69C2"/>
    <w:rsid w:val="001F7336"/>
    <w:rsid w:val="001F73A3"/>
    <w:rsid w:val="00200433"/>
    <w:rsid w:val="00200EAC"/>
    <w:rsid w:val="002014D5"/>
    <w:rsid w:val="0020175D"/>
    <w:rsid w:val="00201BA1"/>
    <w:rsid w:val="00201D02"/>
    <w:rsid w:val="002038A8"/>
    <w:rsid w:val="0020456C"/>
    <w:rsid w:val="002048D1"/>
    <w:rsid w:val="002057E3"/>
    <w:rsid w:val="00205899"/>
    <w:rsid w:val="00205BB5"/>
    <w:rsid w:val="002066F1"/>
    <w:rsid w:val="002069D9"/>
    <w:rsid w:val="00207015"/>
    <w:rsid w:val="002079CB"/>
    <w:rsid w:val="00207C4E"/>
    <w:rsid w:val="00207D34"/>
    <w:rsid w:val="00207F44"/>
    <w:rsid w:val="0021096A"/>
    <w:rsid w:val="0021096E"/>
    <w:rsid w:val="00210CD5"/>
    <w:rsid w:val="00210DE8"/>
    <w:rsid w:val="00211B8D"/>
    <w:rsid w:val="00211D73"/>
    <w:rsid w:val="00212A3E"/>
    <w:rsid w:val="002136BE"/>
    <w:rsid w:val="0021438F"/>
    <w:rsid w:val="00214BF2"/>
    <w:rsid w:val="00215A7F"/>
    <w:rsid w:val="00216522"/>
    <w:rsid w:val="002168B5"/>
    <w:rsid w:val="00217539"/>
    <w:rsid w:val="00217576"/>
    <w:rsid w:val="00217E5E"/>
    <w:rsid w:val="002203A4"/>
    <w:rsid w:val="00220472"/>
    <w:rsid w:val="002206FF"/>
    <w:rsid w:val="00220BD0"/>
    <w:rsid w:val="0022137D"/>
    <w:rsid w:val="00221D19"/>
    <w:rsid w:val="0022201A"/>
    <w:rsid w:val="00222E9D"/>
    <w:rsid w:val="00222F53"/>
    <w:rsid w:val="00223B53"/>
    <w:rsid w:val="00224B9B"/>
    <w:rsid w:val="002264B6"/>
    <w:rsid w:val="0022666B"/>
    <w:rsid w:val="00226750"/>
    <w:rsid w:val="00226AA8"/>
    <w:rsid w:val="0022734D"/>
    <w:rsid w:val="002277E2"/>
    <w:rsid w:val="00232CA3"/>
    <w:rsid w:val="00232D42"/>
    <w:rsid w:val="00232EC8"/>
    <w:rsid w:val="00233B41"/>
    <w:rsid w:val="0023447F"/>
    <w:rsid w:val="002350B3"/>
    <w:rsid w:val="00236061"/>
    <w:rsid w:val="0023798E"/>
    <w:rsid w:val="00240AE4"/>
    <w:rsid w:val="00240CB4"/>
    <w:rsid w:val="00241E71"/>
    <w:rsid w:val="00242EE4"/>
    <w:rsid w:val="00243573"/>
    <w:rsid w:val="00243742"/>
    <w:rsid w:val="00243B88"/>
    <w:rsid w:val="0024462E"/>
    <w:rsid w:val="00244E98"/>
    <w:rsid w:val="00245256"/>
    <w:rsid w:val="002455DA"/>
    <w:rsid w:val="00247377"/>
    <w:rsid w:val="002474AF"/>
    <w:rsid w:val="002474FA"/>
    <w:rsid w:val="00247A9B"/>
    <w:rsid w:val="00250CF6"/>
    <w:rsid w:val="00251C9B"/>
    <w:rsid w:val="0025235D"/>
    <w:rsid w:val="00253493"/>
    <w:rsid w:val="00253DE9"/>
    <w:rsid w:val="00254B1F"/>
    <w:rsid w:val="00254BE5"/>
    <w:rsid w:val="00255B3A"/>
    <w:rsid w:val="00256BE2"/>
    <w:rsid w:val="00256F69"/>
    <w:rsid w:val="0025774C"/>
    <w:rsid w:val="00257AFB"/>
    <w:rsid w:val="00257C57"/>
    <w:rsid w:val="002612C1"/>
    <w:rsid w:val="002620EF"/>
    <w:rsid w:val="0026293D"/>
    <w:rsid w:val="0026309D"/>
    <w:rsid w:val="00263F69"/>
    <w:rsid w:val="00265982"/>
    <w:rsid w:val="00265FF7"/>
    <w:rsid w:val="002660C9"/>
    <w:rsid w:val="002675DE"/>
    <w:rsid w:val="00270154"/>
    <w:rsid w:val="00271361"/>
    <w:rsid w:val="0027155B"/>
    <w:rsid w:val="002719CF"/>
    <w:rsid w:val="00271F70"/>
    <w:rsid w:val="00272551"/>
    <w:rsid w:val="0027305A"/>
    <w:rsid w:val="0027408B"/>
    <w:rsid w:val="0027544B"/>
    <w:rsid w:val="00276B56"/>
    <w:rsid w:val="002774BD"/>
    <w:rsid w:val="0027757E"/>
    <w:rsid w:val="002803DC"/>
    <w:rsid w:val="00280F46"/>
    <w:rsid w:val="002819FD"/>
    <w:rsid w:val="002821B5"/>
    <w:rsid w:val="00282948"/>
    <w:rsid w:val="00284AF3"/>
    <w:rsid w:val="00284E07"/>
    <w:rsid w:val="00285188"/>
    <w:rsid w:val="0028573B"/>
    <w:rsid w:val="0028583A"/>
    <w:rsid w:val="00285D13"/>
    <w:rsid w:val="00286B05"/>
    <w:rsid w:val="00287368"/>
    <w:rsid w:val="00287873"/>
    <w:rsid w:val="002916CC"/>
    <w:rsid w:val="002918BE"/>
    <w:rsid w:val="0029278C"/>
    <w:rsid w:val="00292E65"/>
    <w:rsid w:val="002936E3"/>
    <w:rsid w:val="002938FD"/>
    <w:rsid w:val="00294D78"/>
    <w:rsid w:val="0029697C"/>
    <w:rsid w:val="002969BB"/>
    <w:rsid w:val="00296EED"/>
    <w:rsid w:val="0029777D"/>
    <w:rsid w:val="002979F1"/>
    <w:rsid w:val="00297AD6"/>
    <w:rsid w:val="00297BF9"/>
    <w:rsid w:val="00297FF4"/>
    <w:rsid w:val="002A109C"/>
    <w:rsid w:val="002A13E1"/>
    <w:rsid w:val="002A18A7"/>
    <w:rsid w:val="002A1FE4"/>
    <w:rsid w:val="002A2395"/>
    <w:rsid w:val="002A3248"/>
    <w:rsid w:val="002A4C25"/>
    <w:rsid w:val="002A5162"/>
    <w:rsid w:val="002A72A3"/>
    <w:rsid w:val="002A7A07"/>
    <w:rsid w:val="002B0846"/>
    <w:rsid w:val="002B0952"/>
    <w:rsid w:val="002B1304"/>
    <w:rsid w:val="002B13F5"/>
    <w:rsid w:val="002B26DD"/>
    <w:rsid w:val="002B3407"/>
    <w:rsid w:val="002B418C"/>
    <w:rsid w:val="002B444C"/>
    <w:rsid w:val="002B5169"/>
    <w:rsid w:val="002B5BB1"/>
    <w:rsid w:val="002C013B"/>
    <w:rsid w:val="002C1EDE"/>
    <w:rsid w:val="002C21B2"/>
    <w:rsid w:val="002C2EFB"/>
    <w:rsid w:val="002C38AD"/>
    <w:rsid w:val="002C5981"/>
    <w:rsid w:val="002C599B"/>
    <w:rsid w:val="002C70E3"/>
    <w:rsid w:val="002C7307"/>
    <w:rsid w:val="002C79BE"/>
    <w:rsid w:val="002C7F80"/>
    <w:rsid w:val="002D0410"/>
    <w:rsid w:val="002D06AB"/>
    <w:rsid w:val="002D0899"/>
    <w:rsid w:val="002D1707"/>
    <w:rsid w:val="002D17E2"/>
    <w:rsid w:val="002D2693"/>
    <w:rsid w:val="002D27C3"/>
    <w:rsid w:val="002D2C65"/>
    <w:rsid w:val="002D2F04"/>
    <w:rsid w:val="002D3D24"/>
    <w:rsid w:val="002D3F5B"/>
    <w:rsid w:val="002D52D3"/>
    <w:rsid w:val="002D72B4"/>
    <w:rsid w:val="002D7934"/>
    <w:rsid w:val="002E09BF"/>
    <w:rsid w:val="002E0EC8"/>
    <w:rsid w:val="002E0F4B"/>
    <w:rsid w:val="002E20FB"/>
    <w:rsid w:val="002E278F"/>
    <w:rsid w:val="002E3509"/>
    <w:rsid w:val="002E3B4D"/>
    <w:rsid w:val="002E3C80"/>
    <w:rsid w:val="002E41FF"/>
    <w:rsid w:val="002E448E"/>
    <w:rsid w:val="002E459D"/>
    <w:rsid w:val="002E45DB"/>
    <w:rsid w:val="002E51C2"/>
    <w:rsid w:val="002E522C"/>
    <w:rsid w:val="002E6ABE"/>
    <w:rsid w:val="002F0522"/>
    <w:rsid w:val="002F0734"/>
    <w:rsid w:val="002F08AD"/>
    <w:rsid w:val="002F0F1B"/>
    <w:rsid w:val="002F30D3"/>
    <w:rsid w:val="002F463F"/>
    <w:rsid w:val="002F4841"/>
    <w:rsid w:val="002F4A33"/>
    <w:rsid w:val="002F59D3"/>
    <w:rsid w:val="002F62AF"/>
    <w:rsid w:val="0030026A"/>
    <w:rsid w:val="0030070A"/>
    <w:rsid w:val="003011F5"/>
    <w:rsid w:val="0030138A"/>
    <w:rsid w:val="00301975"/>
    <w:rsid w:val="00303CF6"/>
    <w:rsid w:val="0030542C"/>
    <w:rsid w:val="00305B0E"/>
    <w:rsid w:val="003064CE"/>
    <w:rsid w:val="0030735B"/>
    <w:rsid w:val="00310418"/>
    <w:rsid w:val="00311127"/>
    <w:rsid w:val="00311236"/>
    <w:rsid w:val="00312AB2"/>
    <w:rsid w:val="00312FFC"/>
    <w:rsid w:val="003132BE"/>
    <w:rsid w:val="00313BB0"/>
    <w:rsid w:val="003150BF"/>
    <w:rsid w:val="003150CE"/>
    <w:rsid w:val="003156B9"/>
    <w:rsid w:val="00315A2B"/>
    <w:rsid w:val="00315E92"/>
    <w:rsid w:val="00315F2A"/>
    <w:rsid w:val="00320862"/>
    <w:rsid w:val="00320DBD"/>
    <w:rsid w:val="003211FB"/>
    <w:rsid w:val="0032131E"/>
    <w:rsid w:val="00323897"/>
    <w:rsid w:val="003238FA"/>
    <w:rsid w:val="00323B9E"/>
    <w:rsid w:val="00323E6A"/>
    <w:rsid w:val="00323E6F"/>
    <w:rsid w:val="0032439A"/>
    <w:rsid w:val="00326502"/>
    <w:rsid w:val="00327962"/>
    <w:rsid w:val="00327F62"/>
    <w:rsid w:val="003305EC"/>
    <w:rsid w:val="00330804"/>
    <w:rsid w:val="00330BF1"/>
    <w:rsid w:val="0033125A"/>
    <w:rsid w:val="003313EC"/>
    <w:rsid w:val="003324CC"/>
    <w:rsid w:val="00332B02"/>
    <w:rsid w:val="00333301"/>
    <w:rsid w:val="0033366C"/>
    <w:rsid w:val="003340CE"/>
    <w:rsid w:val="00334625"/>
    <w:rsid w:val="00334A6B"/>
    <w:rsid w:val="00334DA5"/>
    <w:rsid w:val="003356E0"/>
    <w:rsid w:val="00335D1F"/>
    <w:rsid w:val="003366B2"/>
    <w:rsid w:val="003374A7"/>
    <w:rsid w:val="00340066"/>
    <w:rsid w:val="0034122D"/>
    <w:rsid w:val="00342455"/>
    <w:rsid w:val="0034288B"/>
    <w:rsid w:val="00342D27"/>
    <w:rsid w:val="0034332B"/>
    <w:rsid w:val="00344022"/>
    <w:rsid w:val="0034597D"/>
    <w:rsid w:val="0034681C"/>
    <w:rsid w:val="0035115E"/>
    <w:rsid w:val="00351369"/>
    <w:rsid w:val="00352917"/>
    <w:rsid w:val="00352C3D"/>
    <w:rsid w:val="00353209"/>
    <w:rsid w:val="00353A17"/>
    <w:rsid w:val="00354146"/>
    <w:rsid w:val="003546E3"/>
    <w:rsid w:val="00354E85"/>
    <w:rsid w:val="00355853"/>
    <w:rsid w:val="003560CA"/>
    <w:rsid w:val="0035618F"/>
    <w:rsid w:val="00356258"/>
    <w:rsid w:val="00357045"/>
    <w:rsid w:val="0035717E"/>
    <w:rsid w:val="003573DE"/>
    <w:rsid w:val="00357E53"/>
    <w:rsid w:val="003600A8"/>
    <w:rsid w:val="00360C7F"/>
    <w:rsid w:val="00360DEC"/>
    <w:rsid w:val="00361663"/>
    <w:rsid w:val="003617A7"/>
    <w:rsid w:val="003625AF"/>
    <w:rsid w:val="003626F8"/>
    <w:rsid w:val="0036284D"/>
    <w:rsid w:val="00363751"/>
    <w:rsid w:val="00363832"/>
    <w:rsid w:val="003638DF"/>
    <w:rsid w:val="003640B3"/>
    <w:rsid w:val="00366524"/>
    <w:rsid w:val="00370306"/>
    <w:rsid w:val="003713E2"/>
    <w:rsid w:val="00372134"/>
    <w:rsid w:val="00372B09"/>
    <w:rsid w:val="00372F0A"/>
    <w:rsid w:val="003734E0"/>
    <w:rsid w:val="00373834"/>
    <w:rsid w:val="00373E58"/>
    <w:rsid w:val="00376073"/>
    <w:rsid w:val="00376610"/>
    <w:rsid w:val="00377452"/>
    <w:rsid w:val="0037795C"/>
    <w:rsid w:val="00377B98"/>
    <w:rsid w:val="00380252"/>
    <w:rsid w:val="00380B83"/>
    <w:rsid w:val="00381223"/>
    <w:rsid w:val="00381849"/>
    <w:rsid w:val="003822C2"/>
    <w:rsid w:val="003823A0"/>
    <w:rsid w:val="00383A3D"/>
    <w:rsid w:val="0038496F"/>
    <w:rsid w:val="00384F36"/>
    <w:rsid w:val="00385271"/>
    <w:rsid w:val="00385CE6"/>
    <w:rsid w:val="00386639"/>
    <w:rsid w:val="00387167"/>
    <w:rsid w:val="003915B4"/>
    <w:rsid w:val="00392094"/>
    <w:rsid w:val="0039226E"/>
    <w:rsid w:val="00392704"/>
    <w:rsid w:val="00392CC8"/>
    <w:rsid w:val="003934E9"/>
    <w:rsid w:val="00393E8A"/>
    <w:rsid w:val="003941F6"/>
    <w:rsid w:val="00394EF0"/>
    <w:rsid w:val="00395C61"/>
    <w:rsid w:val="003971D9"/>
    <w:rsid w:val="00397708"/>
    <w:rsid w:val="003A11C1"/>
    <w:rsid w:val="003A1A66"/>
    <w:rsid w:val="003A2017"/>
    <w:rsid w:val="003A48CC"/>
    <w:rsid w:val="003A519B"/>
    <w:rsid w:val="003A72EF"/>
    <w:rsid w:val="003A7501"/>
    <w:rsid w:val="003A7E21"/>
    <w:rsid w:val="003B3EFE"/>
    <w:rsid w:val="003B4EED"/>
    <w:rsid w:val="003B4FBC"/>
    <w:rsid w:val="003B6902"/>
    <w:rsid w:val="003B6B2C"/>
    <w:rsid w:val="003C18C2"/>
    <w:rsid w:val="003C1C49"/>
    <w:rsid w:val="003C1F6B"/>
    <w:rsid w:val="003C266A"/>
    <w:rsid w:val="003C395A"/>
    <w:rsid w:val="003C4966"/>
    <w:rsid w:val="003C4B29"/>
    <w:rsid w:val="003C602A"/>
    <w:rsid w:val="003C6CEB"/>
    <w:rsid w:val="003C6E67"/>
    <w:rsid w:val="003D04B6"/>
    <w:rsid w:val="003D1759"/>
    <w:rsid w:val="003D1896"/>
    <w:rsid w:val="003D1DEA"/>
    <w:rsid w:val="003D20B0"/>
    <w:rsid w:val="003D3B14"/>
    <w:rsid w:val="003D3F29"/>
    <w:rsid w:val="003D4072"/>
    <w:rsid w:val="003D4182"/>
    <w:rsid w:val="003D62F7"/>
    <w:rsid w:val="003E1035"/>
    <w:rsid w:val="003E17E1"/>
    <w:rsid w:val="003E17F2"/>
    <w:rsid w:val="003E19F7"/>
    <w:rsid w:val="003E1EB2"/>
    <w:rsid w:val="003E36BE"/>
    <w:rsid w:val="003E492C"/>
    <w:rsid w:val="003E4D8A"/>
    <w:rsid w:val="003E53B1"/>
    <w:rsid w:val="003E65A4"/>
    <w:rsid w:val="003E6A65"/>
    <w:rsid w:val="003E710D"/>
    <w:rsid w:val="003E76EB"/>
    <w:rsid w:val="003E7A9C"/>
    <w:rsid w:val="003F011E"/>
    <w:rsid w:val="003F02D9"/>
    <w:rsid w:val="003F0BE4"/>
    <w:rsid w:val="003F1177"/>
    <w:rsid w:val="003F3056"/>
    <w:rsid w:val="003F328F"/>
    <w:rsid w:val="003F3B7F"/>
    <w:rsid w:val="003F3CC0"/>
    <w:rsid w:val="003F4D67"/>
    <w:rsid w:val="003F531A"/>
    <w:rsid w:val="003F7422"/>
    <w:rsid w:val="003F77BC"/>
    <w:rsid w:val="003F7C9E"/>
    <w:rsid w:val="003F7E51"/>
    <w:rsid w:val="004003D3"/>
    <w:rsid w:val="0040052E"/>
    <w:rsid w:val="00401120"/>
    <w:rsid w:val="00402220"/>
    <w:rsid w:val="004025E8"/>
    <w:rsid w:val="00402682"/>
    <w:rsid w:val="00402768"/>
    <w:rsid w:val="00403096"/>
    <w:rsid w:val="00403ED2"/>
    <w:rsid w:val="00404120"/>
    <w:rsid w:val="0040431F"/>
    <w:rsid w:val="00404C36"/>
    <w:rsid w:val="00406E49"/>
    <w:rsid w:val="00406F0F"/>
    <w:rsid w:val="00406F38"/>
    <w:rsid w:val="004079EA"/>
    <w:rsid w:val="004107CA"/>
    <w:rsid w:val="004111BC"/>
    <w:rsid w:val="004114CB"/>
    <w:rsid w:val="00411B59"/>
    <w:rsid w:val="00411E42"/>
    <w:rsid w:val="004125F4"/>
    <w:rsid w:val="004126D4"/>
    <w:rsid w:val="004126FD"/>
    <w:rsid w:val="00413B2B"/>
    <w:rsid w:val="00414703"/>
    <w:rsid w:val="00414FC9"/>
    <w:rsid w:val="00415D2B"/>
    <w:rsid w:val="00416404"/>
    <w:rsid w:val="00416C0A"/>
    <w:rsid w:val="00417A5B"/>
    <w:rsid w:val="00421500"/>
    <w:rsid w:val="00421941"/>
    <w:rsid w:val="00421D84"/>
    <w:rsid w:val="00424747"/>
    <w:rsid w:val="004249D9"/>
    <w:rsid w:val="00424DE2"/>
    <w:rsid w:val="00425AFC"/>
    <w:rsid w:val="0042700F"/>
    <w:rsid w:val="00430350"/>
    <w:rsid w:val="00432511"/>
    <w:rsid w:val="00432528"/>
    <w:rsid w:val="0043253C"/>
    <w:rsid w:val="00432836"/>
    <w:rsid w:val="004353D5"/>
    <w:rsid w:val="00435BD1"/>
    <w:rsid w:val="00435C07"/>
    <w:rsid w:val="0043610F"/>
    <w:rsid w:val="0043686C"/>
    <w:rsid w:val="004373D1"/>
    <w:rsid w:val="0043778D"/>
    <w:rsid w:val="0044040D"/>
    <w:rsid w:val="00440455"/>
    <w:rsid w:val="004408CC"/>
    <w:rsid w:val="00440ED9"/>
    <w:rsid w:val="004415DA"/>
    <w:rsid w:val="0044220A"/>
    <w:rsid w:val="004430F6"/>
    <w:rsid w:val="00443E43"/>
    <w:rsid w:val="004442FC"/>
    <w:rsid w:val="004454C2"/>
    <w:rsid w:val="00445D53"/>
    <w:rsid w:val="00446FD8"/>
    <w:rsid w:val="00447347"/>
    <w:rsid w:val="00447F33"/>
    <w:rsid w:val="00450A27"/>
    <w:rsid w:val="00451EC2"/>
    <w:rsid w:val="004528D7"/>
    <w:rsid w:val="00452A97"/>
    <w:rsid w:val="00452B04"/>
    <w:rsid w:val="004536C2"/>
    <w:rsid w:val="00454325"/>
    <w:rsid w:val="0045497D"/>
    <w:rsid w:val="00454A16"/>
    <w:rsid w:val="00457555"/>
    <w:rsid w:val="004604D4"/>
    <w:rsid w:val="0046146E"/>
    <w:rsid w:val="00461947"/>
    <w:rsid w:val="00463357"/>
    <w:rsid w:val="00463A04"/>
    <w:rsid w:val="004642A0"/>
    <w:rsid w:val="00464635"/>
    <w:rsid w:val="00465255"/>
    <w:rsid w:val="00465351"/>
    <w:rsid w:val="00465B57"/>
    <w:rsid w:val="004667A0"/>
    <w:rsid w:val="00467984"/>
    <w:rsid w:val="004706C7"/>
    <w:rsid w:val="004711DD"/>
    <w:rsid w:val="0047152D"/>
    <w:rsid w:val="00471939"/>
    <w:rsid w:val="00471EBB"/>
    <w:rsid w:val="00471F44"/>
    <w:rsid w:val="00472551"/>
    <w:rsid w:val="00473718"/>
    <w:rsid w:val="00473869"/>
    <w:rsid w:val="0047410E"/>
    <w:rsid w:val="0047420C"/>
    <w:rsid w:val="00477ABF"/>
    <w:rsid w:val="0048009C"/>
    <w:rsid w:val="0048054A"/>
    <w:rsid w:val="0048093B"/>
    <w:rsid w:val="00481592"/>
    <w:rsid w:val="004818E8"/>
    <w:rsid w:val="00481EAF"/>
    <w:rsid w:val="0048212B"/>
    <w:rsid w:val="00482F67"/>
    <w:rsid w:val="00483006"/>
    <w:rsid w:val="004847D4"/>
    <w:rsid w:val="00484915"/>
    <w:rsid w:val="00485961"/>
    <w:rsid w:val="0048642D"/>
    <w:rsid w:val="00486600"/>
    <w:rsid w:val="00486C8E"/>
    <w:rsid w:val="00487387"/>
    <w:rsid w:val="00487BC0"/>
    <w:rsid w:val="00490D5A"/>
    <w:rsid w:val="00490E50"/>
    <w:rsid w:val="004919FD"/>
    <w:rsid w:val="00492C2E"/>
    <w:rsid w:val="00493D4D"/>
    <w:rsid w:val="004963EE"/>
    <w:rsid w:val="004A06FC"/>
    <w:rsid w:val="004A132C"/>
    <w:rsid w:val="004A14B6"/>
    <w:rsid w:val="004A16D3"/>
    <w:rsid w:val="004A18F4"/>
    <w:rsid w:val="004A21A2"/>
    <w:rsid w:val="004A3040"/>
    <w:rsid w:val="004A3361"/>
    <w:rsid w:val="004A3ECA"/>
    <w:rsid w:val="004A412E"/>
    <w:rsid w:val="004A43EE"/>
    <w:rsid w:val="004A53B6"/>
    <w:rsid w:val="004A6744"/>
    <w:rsid w:val="004A7E6A"/>
    <w:rsid w:val="004B0727"/>
    <w:rsid w:val="004B26D9"/>
    <w:rsid w:val="004B2C5E"/>
    <w:rsid w:val="004B38C1"/>
    <w:rsid w:val="004B3E0A"/>
    <w:rsid w:val="004B3F65"/>
    <w:rsid w:val="004B3FE3"/>
    <w:rsid w:val="004B44DF"/>
    <w:rsid w:val="004B4676"/>
    <w:rsid w:val="004B4EA8"/>
    <w:rsid w:val="004B52C2"/>
    <w:rsid w:val="004B69D6"/>
    <w:rsid w:val="004B774B"/>
    <w:rsid w:val="004C0F75"/>
    <w:rsid w:val="004C1D80"/>
    <w:rsid w:val="004C2D9B"/>
    <w:rsid w:val="004C2EDB"/>
    <w:rsid w:val="004C4070"/>
    <w:rsid w:val="004C45E6"/>
    <w:rsid w:val="004C4629"/>
    <w:rsid w:val="004C469C"/>
    <w:rsid w:val="004C4B71"/>
    <w:rsid w:val="004C54EE"/>
    <w:rsid w:val="004C5912"/>
    <w:rsid w:val="004C687B"/>
    <w:rsid w:val="004C6996"/>
    <w:rsid w:val="004C750C"/>
    <w:rsid w:val="004D087E"/>
    <w:rsid w:val="004D0EB5"/>
    <w:rsid w:val="004D13AB"/>
    <w:rsid w:val="004D19DB"/>
    <w:rsid w:val="004D1E88"/>
    <w:rsid w:val="004D3CD7"/>
    <w:rsid w:val="004D3D0B"/>
    <w:rsid w:val="004D3E02"/>
    <w:rsid w:val="004D4701"/>
    <w:rsid w:val="004D4BB1"/>
    <w:rsid w:val="004D51F2"/>
    <w:rsid w:val="004D58DE"/>
    <w:rsid w:val="004D6381"/>
    <w:rsid w:val="004D63E2"/>
    <w:rsid w:val="004D6671"/>
    <w:rsid w:val="004E008F"/>
    <w:rsid w:val="004E1925"/>
    <w:rsid w:val="004E1EA5"/>
    <w:rsid w:val="004E2BC4"/>
    <w:rsid w:val="004E2FEF"/>
    <w:rsid w:val="004E3B93"/>
    <w:rsid w:val="004E3F30"/>
    <w:rsid w:val="004E426E"/>
    <w:rsid w:val="004E46F8"/>
    <w:rsid w:val="004E4C67"/>
    <w:rsid w:val="004E4EFF"/>
    <w:rsid w:val="004E50C8"/>
    <w:rsid w:val="004E55E4"/>
    <w:rsid w:val="004E56BF"/>
    <w:rsid w:val="004E63FC"/>
    <w:rsid w:val="004E653E"/>
    <w:rsid w:val="004E65F5"/>
    <w:rsid w:val="004E69B2"/>
    <w:rsid w:val="004E6E7F"/>
    <w:rsid w:val="004F0CD9"/>
    <w:rsid w:val="004F23ED"/>
    <w:rsid w:val="004F2C33"/>
    <w:rsid w:val="004F2D77"/>
    <w:rsid w:val="004F3C00"/>
    <w:rsid w:val="004F3E28"/>
    <w:rsid w:val="004F4BC5"/>
    <w:rsid w:val="004F57E8"/>
    <w:rsid w:val="004F621F"/>
    <w:rsid w:val="004F6497"/>
    <w:rsid w:val="005001E0"/>
    <w:rsid w:val="0050025D"/>
    <w:rsid w:val="00502EAE"/>
    <w:rsid w:val="00502F0B"/>
    <w:rsid w:val="00503A1B"/>
    <w:rsid w:val="0050467A"/>
    <w:rsid w:val="00504AF4"/>
    <w:rsid w:val="00504E11"/>
    <w:rsid w:val="00504F6B"/>
    <w:rsid w:val="0050500F"/>
    <w:rsid w:val="00505279"/>
    <w:rsid w:val="005055D9"/>
    <w:rsid w:val="00505AB4"/>
    <w:rsid w:val="00505BE7"/>
    <w:rsid w:val="005063E1"/>
    <w:rsid w:val="00506B4A"/>
    <w:rsid w:val="00506C2E"/>
    <w:rsid w:val="00506F82"/>
    <w:rsid w:val="00507CC5"/>
    <w:rsid w:val="00507E0A"/>
    <w:rsid w:val="005108FC"/>
    <w:rsid w:val="00510CE6"/>
    <w:rsid w:val="00510E22"/>
    <w:rsid w:val="00511C2C"/>
    <w:rsid w:val="0051239B"/>
    <w:rsid w:val="00513EE0"/>
    <w:rsid w:val="00514693"/>
    <w:rsid w:val="005146DE"/>
    <w:rsid w:val="00514E90"/>
    <w:rsid w:val="005154A4"/>
    <w:rsid w:val="005159AD"/>
    <w:rsid w:val="00515C13"/>
    <w:rsid w:val="00516BBB"/>
    <w:rsid w:val="00517A01"/>
    <w:rsid w:val="00517EE4"/>
    <w:rsid w:val="00520CE7"/>
    <w:rsid w:val="00521561"/>
    <w:rsid w:val="00523674"/>
    <w:rsid w:val="00523815"/>
    <w:rsid w:val="00523E83"/>
    <w:rsid w:val="005248BB"/>
    <w:rsid w:val="00524DCB"/>
    <w:rsid w:val="0052576B"/>
    <w:rsid w:val="00525CA1"/>
    <w:rsid w:val="00526688"/>
    <w:rsid w:val="00527F46"/>
    <w:rsid w:val="005308A5"/>
    <w:rsid w:val="005314E9"/>
    <w:rsid w:val="00531723"/>
    <w:rsid w:val="00531B74"/>
    <w:rsid w:val="00531D3A"/>
    <w:rsid w:val="00531F01"/>
    <w:rsid w:val="0053275E"/>
    <w:rsid w:val="00532ACE"/>
    <w:rsid w:val="0053324F"/>
    <w:rsid w:val="00533A86"/>
    <w:rsid w:val="00533AE7"/>
    <w:rsid w:val="00533C5F"/>
    <w:rsid w:val="005348BF"/>
    <w:rsid w:val="00535418"/>
    <w:rsid w:val="00535836"/>
    <w:rsid w:val="00536330"/>
    <w:rsid w:val="005369F9"/>
    <w:rsid w:val="005372F6"/>
    <w:rsid w:val="005406FF"/>
    <w:rsid w:val="00540D58"/>
    <w:rsid w:val="00541D97"/>
    <w:rsid w:val="00541E10"/>
    <w:rsid w:val="00541EF9"/>
    <w:rsid w:val="0054214A"/>
    <w:rsid w:val="00542A14"/>
    <w:rsid w:val="005431CF"/>
    <w:rsid w:val="00543C61"/>
    <w:rsid w:val="00543D0A"/>
    <w:rsid w:val="00544EFB"/>
    <w:rsid w:val="0054507F"/>
    <w:rsid w:val="005452D2"/>
    <w:rsid w:val="005454F3"/>
    <w:rsid w:val="005455E5"/>
    <w:rsid w:val="00546404"/>
    <w:rsid w:val="0054681B"/>
    <w:rsid w:val="0054779A"/>
    <w:rsid w:val="00547BA1"/>
    <w:rsid w:val="00550DE6"/>
    <w:rsid w:val="00550F48"/>
    <w:rsid w:val="00551CD8"/>
    <w:rsid w:val="00552CE2"/>
    <w:rsid w:val="0055312F"/>
    <w:rsid w:val="005531FC"/>
    <w:rsid w:val="00553365"/>
    <w:rsid w:val="0055371E"/>
    <w:rsid w:val="00554984"/>
    <w:rsid w:val="005549BA"/>
    <w:rsid w:val="00556101"/>
    <w:rsid w:val="005574F0"/>
    <w:rsid w:val="00557841"/>
    <w:rsid w:val="00557AE8"/>
    <w:rsid w:val="00557CB1"/>
    <w:rsid w:val="0056072C"/>
    <w:rsid w:val="0056091E"/>
    <w:rsid w:val="00561371"/>
    <w:rsid w:val="0056172D"/>
    <w:rsid w:val="005633FC"/>
    <w:rsid w:val="0056358B"/>
    <w:rsid w:val="00563591"/>
    <w:rsid w:val="005635F3"/>
    <w:rsid w:val="00563F96"/>
    <w:rsid w:val="0056411C"/>
    <w:rsid w:val="005657A1"/>
    <w:rsid w:val="00565B4C"/>
    <w:rsid w:val="005661DC"/>
    <w:rsid w:val="005663FF"/>
    <w:rsid w:val="005665BB"/>
    <w:rsid w:val="00567119"/>
    <w:rsid w:val="005677E5"/>
    <w:rsid w:val="00567918"/>
    <w:rsid w:val="00567994"/>
    <w:rsid w:val="00567B7F"/>
    <w:rsid w:val="005702D4"/>
    <w:rsid w:val="00570C3D"/>
    <w:rsid w:val="00570D24"/>
    <w:rsid w:val="0057228D"/>
    <w:rsid w:val="00572CE8"/>
    <w:rsid w:val="00573407"/>
    <w:rsid w:val="00573877"/>
    <w:rsid w:val="00573A15"/>
    <w:rsid w:val="005741C6"/>
    <w:rsid w:val="005741CC"/>
    <w:rsid w:val="00574618"/>
    <w:rsid w:val="00574C1A"/>
    <w:rsid w:val="00577E4E"/>
    <w:rsid w:val="005807EA"/>
    <w:rsid w:val="005809D8"/>
    <w:rsid w:val="00580EEB"/>
    <w:rsid w:val="00580FCF"/>
    <w:rsid w:val="00581B92"/>
    <w:rsid w:val="00581E5D"/>
    <w:rsid w:val="00583673"/>
    <w:rsid w:val="00583788"/>
    <w:rsid w:val="005838A8"/>
    <w:rsid w:val="0058390B"/>
    <w:rsid w:val="00583D08"/>
    <w:rsid w:val="005846A5"/>
    <w:rsid w:val="00584911"/>
    <w:rsid w:val="0058560C"/>
    <w:rsid w:val="00585A27"/>
    <w:rsid w:val="005865FE"/>
    <w:rsid w:val="005867C0"/>
    <w:rsid w:val="00586873"/>
    <w:rsid w:val="00586D22"/>
    <w:rsid w:val="00587BE7"/>
    <w:rsid w:val="00587CBC"/>
    <w:rsid w:val="005902CC"/>
    <w:rsid w:val="005906A4"/>
    <w:rsid w:val="00591C4A"/>
    <w:rsid w:val="00591F77"/>
    <w:rsid w:val="00592A77"/>
    <w:rsid w:val="0059371A"/>
    <w:rsid w:val="0059488F"/>
    <w:rsid w:val="00595994"/>
    <w:rsid w:val="00595DF1"/>
    <w:rsid w:val="00596524"/>
    <w:rsid w:val="00596DAC"/>
    <w:rsid w:val="005970FE"/>
    <w:rsid w:val="005972B3"/>
    <w:rsid w:val="005979AE"/>
    <w:rsid w:val="00597D35"/>
    <w:rsid w:val="005A0F2D"/>
    <w:rsid w:val="005A1BF9"/>
    <w:rsid w:val="005A2761"/>
    <w:rsid w:val="005A2B1A"/>
    <w:rsid w:val="005A35C7"/>
    <w:rsid w:val="005A3BB4"/>
    <w:rsid w:val="005A3BFD"/>
    <w:rsid w:val="005A3C14"/>
    <w:rsid w:val="005A4A36"/>
    <w:rsid w:val="005A60C6"/>
    <w:rsid w:val="005A66BF"/>
    <w:rsid w:val="005A6CDE"/>
    <w:rsid w:val="005A6D6D"/>
    <w:rsid w:val="005A7264"/>
    <w:rsid w:val="005B0050"/>
    <w:rsid w:val="005B0193"/>
    <w:rsid w:val="005B1601"/>
    <w:rsid w:val="005B16A0"/>
    <w:rsid w:val="005B1B58"/>
    <w:rsid w:val="005B1E06"/>
    <w:rsid w:val="005B2C35"/>
    <w:rsid w:val="005B3A33"/>
    <w:rsid w:val="005B42BA"/>
    <w:rsid w:val="005B4CFC"/>
    <w:rsid w:val="005B55E3"/>
    <w:rsid w:val="005B58B0"/>
    <w:rsid w:val="005B6E0D"/>
    <w:rsid w:val="005B6E79"/>
    <w:rsid w:val="005B7C36"/>
    <w:rsid w:val="005B7C46"/>
    <w:rsid w:val="005B7D4D"/>
    <w:rsid w:val="005C0298"/>
    <w:rsid w:val="005C0769"/>
    <w:rsid w:val="005C0C13"/>
    <w:rsid w:val="005C0CE5"/>
    <w:rsid w:val="005C22AA"/>
    <w:rsid w:val="005C2D97"/>
    <w:rsid w:val="005C360A"/>
    <w:rsid w:val="005C3694"/>
    <w:rsid w:val="005C3767"/>
    <w:rsid w:val="005C42C0"/>
    <w:rsid w:val="005C446D"/>
    <w:rsid w:val="005C5B38"/>
    <w:rsid w:val="005C7922"/>
    <w:rsid w:val="005C7C87"/>
    <w:rsid w:val="005C7EE9"/>
    <w:rsid w:val="005D02D4"/>
    <w:rsid w:val="005D0449"/>
    <w:rsid w:val="005D060A"/>
    <w:rsid w:val="005D0D84"/>
    <w:rsid w:val="005D13A0"/>
    <w:rsid w:val="005D15A8"/>
    <w:rsid w:val="005D20EB"/>
    <w:rsid w:val="005D221C"/>
    <w:rsid w:val="005D29CF"/>
    <w:rsid w:val="005D2A43"/>
    <w:rsid w:val="005D3985"/>
    <w:rsid w:val="005D3B3C"/>
    <w:rsid w:val="005D3E03"/>
    <w:rsid w:val="005D6EA0"/>
    <w:rsid w:val="005E146C"/>
    <w:rsid w:val="005E1D96"/>
    <w:rsid w:val="005E217E"/>
    <w:rsid w:val="005E2366"/>
    <w:rsid w:val="005E2877"/>
    <w:rsid w:val="005E305F"/>
    <w:rsid w:val="005E3188"/>
    <w:rsid w:val="005E35BC"/>
    <w:rsid w:val="005E3AC5"/>
    <w:rsid w:val="005E40F1"/>
    <w:rsid w:val="005E6552"/>
    <w:rsid w:val="005E7559"/>
    <w:rsid w:val="005E76E2"/>
    <w:rsid w:val="005E7B36"/>
    <w:rsid w:val="005E7DB9"/>
    <w:rsid w:val="005F02E6"/>
    <w:rsid w:val="005F0B65"/>
    <w:rsid w:val="005F10F1"/>
    <w:rsid w:val="005F17EC"/>
    <w:rsid w:val="005F1911"/>
    <w:rsid w:val="005F2CBA"/>
    <w:rsid w:val="005F2ECE"/>
    <w:rsid w:val="005F3216"/>
    <w:rsid w:val="005F3B26"/>
    <w:rsid w:val="005F4DFE"/>
    <w:rsid w:val="005F4EF9"/>
    <w:rsid w:val="005F4F98"/>
    <w:rsid w:val="005F54DB"/>
    <w:rsid w:val="005F59DE"/>
    <w:rsid w:val="005F5DDB"/>
    <w:rsid w:val="005F7286"/>
    <w:rsid w:val="005F76CC"/>
    <w:rsid w:val="006002E2"/>
    <w:rsid w:val="006015AE"/>
    <w:rsid w:val="006017B1"/>
    <w:rsid w:val="00601C63"/>
    <w:rsid w:val="0060298C"/>
    <w:rsid w:val="00603402"/>
    <w:rsid w:val="00603F8A"/>
    <w:rsid w:val="00604CCA"/>
    <w:rsid w:val="006060A0"/>
    <w:rsid w:val="0060685F"/>
    <w:rsid w:val="00607066"/>
    <w:rsid w:val="00607197"/>
    <w:rsid w:val="00607A16"/>
    <w:rsid w:val="00610079"/>
    <w:rsid w:val="0061046F"/>
    <w:rsid w:val="006109F8"/>
    <w:rsid w:val="0061193B"/>
    <w:rsid w:val="00611A32"/>
    <w:rsid w:val="00611B00"/>
    <w:rsid w:val="00613D5A"/>
    <w:rsid w:val="006147EA"/>
    <w:rsid w:val="00614870"/>
    <w:rsid w:val="0061669D"/>
    <w:rsid w:val="00617E2B"/>
    <w:rsid w:val="00621A7C"/>
    <w:rsid w:val="00623075"/>
    <w:rsid w:val="00623669"/>
    <w:rsid w:val="00623910"/>
    <w:rsid w:val="00623C58"/>
    <w:rsid w:val="00623E0B"/>
    <w:rsid w:val="00624A27"/>
    <w:rsid w:val="00624D74"/>
    <w:rsid w:val="0062621C"/>
    <w:rsid w:val="006270B0"/>
    <w:rsid w:val="0062716D"/>
    <w:rsid w:val="00627AF2"/>
    <w:rsid w:val="006306D1"/>
    <w:rsid w:val="00630C66"/>
    <w:rsid w:val="00630D7E"/>
    <w:rsid w:val="00632AAB"/>
    <w:rsid w:val="00632F94"/>
    <w:rsid w:val="006355E1"/>
    <w:rsid w:val="006359A8"/>
    <w:rsid w:val="0063632F"/>
    <w:rsid w:val="006363B4"/>
    <w:rsid w:val="006402D6"/>
    <w:rsid w:val="00640C88"/>
    <w:rsid w:val="00640E38"/>
    <w:rsid w:val="00641644"/>
    <w:rsid w:val="00642700"/>
    <w:rsid w:val="0064335B"/>
    <w:rsid w:val="006446CC"/>
    <w:rsid w:val="0064564A"/>
    <w:rsid w:val="00646008"/>
    <w:rsid w:val="0064611E"/>
    <w:rsid w:val="00646910"/>
    <w:rsid w:val="00646961"/>
    <w:rsid w:val="00650C02"/>
    <w:rsid w:val="00650C56"/>
    <w:rsid w:val="00652858"/>
    <w:rsid w:val="006554B8"/>
    <w:rsid w:val="006558DC"/>
    <w:rsid w:val="006558EB"/>
    <w:rsid w:val="00656B27"/>
    <w:rsid w:val="0065706B"/>
    <w:rsid w:val="00657C34"/>
    <w:rsid w:val="00657F8B"/>
    <w:rsid w:val="006600DE"/>
    <w:rsid w:val="00660401"/>
    <w:rsid w:val="00660DAF"/>
    <w:rsid w:val="006618FC"/>
    <w:rsid w:val="006621D7"/>
    <w:rsid w:val="006637D8"/>
    <w:rsid w:val="00663D00"/>
    <w:rsid w:val="00663E86"/>
    <w:rsid w:val="00664B78"/>
    <w:rsid w:val="00665B57"/>
    <w:rsid w:val="006667DF"/>
    <w:rsid w:val="00666A68"/>
    <w:rsid w:val="00666E8B"/>
    <w:rsid w:val="00670DA0"/>
    <w:rsid w:val="00671B7E"/>
    <w:rsid w:val="0067285B"/>
    <w:rsid w:val="00673C72"/>
    <w:rsid w:val="00674830"/>
    <w:rsid w:val="00674979"/>
    <w:rsid w:val="006764D2"/>
    <w:rsid w:val="006767BC"/>
    <w:rsid w:val="00676F17"/>
    <w:rsid w:val="00677136"/>
    <w:rsid w:val="006779C6"/>
    <w:rsid w:val="00681273"/>
    <w:rsid w:val="00681C14"/>
    <w:rsid w:val="00681C8F"/>
    <w:rsid w:val="00681D75"/>
    <w:rsid w:val="0068242E"/>
    <w:rsid w:val="00682F14"/>
    <w:rsid w:val="00683576"/>
    <w:rsid w:val="00684BAF"/>
    <w:rsid w:val="006853F9"/>
    <w:rsid w:val="00686712"/>
    <w:rsid w:val="006878C1"/>
    <w:rsid w:val="00690B36"/>
    <w:rsid w:val="00691324"/>
    <w:rsid w:val="00691FAD"/>
    <w:rsid w:val="0069409E"/>
    <w:rsid w:val="006966C4"/>
    <w:rsid w:val="00696E03"/>
    <w:rsid w:val="00696EBB"/>
    <w:rsid w:val="006A1721"/>
    <w:rsid w:val="006A1E20"/>
    <w:rsid w:val="006A1F10"/>
    <w:rsid w:val="006A2557"/>
    <w:rsid w:val="006A34DE"/>
    <w:rsid w:val="006A34E5"/>
    <w:rsid w:val="006A3D0A"/>
    <w:rsid w:val="006A4733"/>
    <w:rsid w:val="006A4C7D"/>
    <w:rsid w:val="006A4D4E"/>
    <w:rsid w:val="006A647A"/>
    <w:rsid w:val="006A7A24"/>
    <w:rsid w:val="006A7D35"/>
    <w:rsid w:val="006B0125"/>
    <w:rsid w:val="006B156D"/>
    <w:rsid w:val="006B25EC"/>
    <w:rsid w:val="006B2DF0"/>
    <w:rsid w:val="006B3CAF"/>
    <w:rsid w:val="006B630A"/>
    <w:rsid w:val="006B6B4A"/>
    <w:rsid w:val="006B6CFF"/>
    <w:rsid w:val="006B6DE4"/>
    <w:rsid w:val="006B76EF"/>
    <w:rsid w:val="006B7C24"/>
    <w:rsid w:val="006C0DDD"/>
    <w:rsid w:val="006C0DF5"/>
    <w:rsid w:val="006C137B"/>
    <w:rsid w:val="006C1577"/>
    <w:rsid w:val="006C1A37"/>
    <w:rsid w:val="006C1C59"/>
    <w:rsid w:val="006C205E"/>
    <w:rsid w:val="006C218F"/>
    <w:rsid w:val="006C3067"/>
    <w:rsid w:val="006C5436"/>
    <w:rsid w:val="006C5ACD"/>
    <w:rsid w:val="006C617F"/>
    <w:rsid w:val="006C6300"/>
    <w:rsid w:val="006C667B"/>
    <w:rsid w:val="006C6724"/>
    <w:rsid w:val="006C7440"/>
    <w:rsid w:val="006C7AA3"/>
    <w:rsid w:val="006C7C09"/>
    <w:rsid w:val="006D0E66"/>
    <w:rsid w:val="006D11B7"/>
    <w:rsid w:val="006D1544"/>
    <w:rsid w:val="006D3086"/>
    <w:rsid w:val="006D345A"/>
    <w:rsid w:val="006D36B7"/>
    <w:rsid w:val="006D385F"/>
    <w:rsid w:val="006D3A49"/>
    <w:rsid w:val="006D4143"/>
    <w:rsid w:val="006D4AD9"/>
    <w:rsid w:val="006D5C58"/>
    <w:rsid w:val="006D686D"/>
    <w:rsid w:val="006D774A"/>
    <w:rsid w:val="006D7AA3"/>
    <w:rsid w:val="006E03AE"/>
    <w:rsid w:val="006E0B6F"/>
    <w:rsid w:val="006E16F1"/>
    <w:rsid w:val="006E27E3"/>
    <w:rsid w:val="006E2F9A"/>
    <w:rsid w:val="006E359B"/>
    <w:rsid w:val="006E41AE"/>
    <w:rsid w:val="006E468D"/>
    <w:rsid w:val="006E55C5"/>
    <w:rsid w:val="006E5FA5"/>
    <w:rsid w:val="006E63E6"/>
    <w:rsid w:val="006E6E49"/>
    <w:rsid w:val="006E75BF"/>
    <w:rsid w:val="006E7CD1"/>
    <w:rsid w:val="006F09B5"/>
    <w:rsid w:val="006F1349"/>
    <w:rsid w:val="006F1636"/>
    <w:rsid w:val="006F199F"/>
    <w:rsid w:val="006F1D0D"/>
    <w:rsid w:val="006F201F"/>
    <w:rsid w:val="006F23E0"/>
    <w:rsid w:val="006F2AFD"/>
    <w:rsid w:val="006F2C03"/>
    <w:rsid w:val="006F48B3"/>
    <w:rsid w:val="006F48B8"/>
    <w:rsid w:val="006F4ACE"/>
    <w:rsid w:val="006F4FA1"/>
    <w:rsid w:val="006F553C"/>
    <w:rsid w:val="006F570E"/>
    <w:rsid w:val="006F5924"/>
    <w:rsid w:val="006F5C8E"/>
    <w:rsid w:val="006F6258"/>
    <w:rsid w:val="006F65E1"/>
    <w:rsid w:val="006F6B74"/>
    <w:rsid w:val="006F7506"/>
    <w:rsid w:val="006F7CD1"/>
    <w:rsid w:val="006F7F8E"/>
    <w:rsid w:val="007002DC"/>
    <w:rsid w:val="00700BD3"/>
    <w:rsid w:val="00701237"/>
    <w:rsid w:val="00701552"/>
    <w:rsid w:val="00701A80"/>
    <w:rsid w:val="00702306"/>
    <w:rsid w:val="00704604"/>
    <w:rsid w:val="00704FDE"/>
    <w:rsid w:val="0070524C"/>
    <w:rsid w:val="007052A6"/>
    <w:rsid w:val="00705448"/>
    <w:rsid w:val="00705590"/>
    <w:rsid w:val="007055A1"/>
    <w:rsid w:val="00707AFC"/>
    <w:rsid w:val="00712257"/>
    <w:rsid w:val="007122EC"/>
    <w:rsid w:val="00712726"/>
    <w:rsid w:val="0071365A"/>
    <w:rsid w:val="00714504"/>
    <w:rsid w:val="00714CA2"/>
    <w:rsid w:val="0071598F"/>
    <w:rsid w:val="0071697D"/>
    <w:rsid w:val="00716BAA"/>
    <w:rsid w:val="00716F56"/>
    <w:rsid w:val="0071742A"/>
    <w:rsid w:val="00717F82"/>
    <w:rsid w:val="007203F1"/>
    <w:rsid w:val="0072219A"/>
    <w:rsid w:val="0072252E"/>
    <w:rsid w:val="007227CC"/>
    <w:rsid w:val="007232D0"/>
    <w:rsid w:val="007234CF"/>
    <w:rsid w:val="007237B8"/>
    <w:rsid w:val="0072494E"/>
    <w:rsid w:val="00724FA8"/>
    <w:rsid w:val="00725089"/>
    <w:rsid w:val="00725138"/>
    <w:rsid w:val="00725175"/>
    <w:rsid w:val="0072756C"/>
    <w:rsid w:val="007278ED"/>
    <w:rsid w:val="00727B04"/>
    <w:rsid w:val="00727C7A"/>
    <w:rsid w:val="00730288"/>
    <w:rsid w:val="00730655"/>
    <w:rsid w:val="00730E8F"/>
    <w:rsid w:val="00731CC5"/>
    <w:rsid w:val="00731D48"/>
    <w:rsid w:val="0073294E"/>
    <w:rsid w:val="00733D9F"/>
    <w:rsid w:val="00734484"/>
    <w:rsid w:val="0073463D"/>
    <w:rsid w:val="00735C2F"/>
    <w:rsid w:val="00737678"/>
    <w:rsid w:val="007404E5"/>
    <w:rsid w:val="00740C3D"/>
    <w:rsid w:val="007411B4"/>
    <w:rsid w:val="0074196F"/>
    <w:rsid w:val="00741FA2"/>
    <w:rsid w:val="00742076"/>
    <w:rsid w:val="00742968"/>
    <w:rsid w:val="007439DA"/>
    <w:rsid w:val="00743FBD"/>
    <w:rsid w:val="00744CB0"/>
    <w:rsid w:val="00745136"/>
    <w:rsid w:val="00745A15"/>
    <w:rsid w:val="00745CD3"/>
    <w:rsid w:val="00745DB3"/>
    <w:rsid w:val="00745DD2"/>
    <w:rsid w:val="00746A9E"/>
    <w:rsid w:val="00747030"/>
    <w:rsid w:val="007470E4"/>
    <w:rsid w:val="007479F0"/>
    <w:rsid w:val="007501E7"/>
    <w:rsid w:val="00751354"/>
    <w:rsid w:val="00751F53"/>
    <w:rsid w:val="0075418B"/>
    <w:rsid w:val="007546FA"/>
    <w:rsid w:val="00755366"/>
    <w:rsid w:val="007559E8"/>
    <w:rsid w:val="007568A9"/>
    <w:rsid w:val="00756909"/>
    <w:rsid w:val="0075732A"/>
    <w:rsid w:val="00760791"/>
    <w:rsid w:val="00760966"/>
    <w:rsid w:val="00760D10"/>
    <w:rsid w:val="00761A07"/>
    <w:rsid w:val="00761E02"/>
    <w:rsid w:val="00762108"/>
    <w:rsid w:val="00764004"/>
    <w:rsid w:val="00765808"/>
    <w:rsid w:val="00766D15"/>
    <w:rsid w:val="0076747C"/>
    <w:rsid w:val="00767755"/>
    <w:rsid w:val="00770A8D"/>
    <w:rsid w:val="00770E38"/>
    <w:rsid w:val="007713AA"/>
    <w:rsid w:val="00771906"/>
    <w:rsid w:val="00773D63"/>
    <w:rsid w:val="007751DE"/>
    <w:rsid w:val="00775691"/>
    <w:rsid w:val="00776AF1"/>
    <w:rsid w:val="00776AFA"/>
    <w:rsid w:val="00776F65"/>
    <w:rsid w:val="0077709C"/>
    <w:rsid w:val="0077745A"/>
    <w:rsid w:val="00777E18"/>
    <w:rsid w:val="0078133D"/>
    <w:rsid w:val="007813AC"/>
    <w:rsid w:val="00781E34"/>
    <w:rsid w:val="007821E8"/>
    <w:rsid w:val="00782881"/>
    <w:rsid w:val="00784111"/>
    <w:rsid w:val="00784A6B"/>
    <w:rsid w:val="007854A6"/>
    <w:rsid w:val="00785785"/>
    <w:rsid w:val="00785B2C"/>
    <w:rsid w:val="00787BB5"/>
    <w:rsid w:val="00791A34"/>
    <w:rsid w:val="00791DED"/>
    <w:rsid w:val="007922AD"/>
    <w:rsid w:val="00792AA8"/>
    <w:rsid w:val="00793AAE"/>
    <w:rsid w:val="00793D45"/>
    <w:rsid w:val="00794972"/>
    <w:rsid w:val="00794DA6"/>
    <w:rsid w:val="00796EE7"/>
    <w:rsid w:val="00797022"/>
    <w:rsid w:val="007A03EE"/>
    <w:rsid w:val="007A09E5"/>
    <w:rsid w:val="007A0AE3"/>
    <w:rsid w:val="007A0ED4"/>
    <w:rsid w:val="007A1B51"/>
    <w:rsid w:val="007A1FD6"/>
    <w:rsid w:val="007A2E7B"/>
    <w:rsid w:val="007A376D"/>
    <w:rsid w:val="007A3ABE"/>
    <w:rsid w:val="007A4CB0"/>
    <w:rsid w:val="007A5734"/>
    <w:rsid w:val="007A5B52"/>
    <w:rsid w:val="007A60F8"/>
    <w:rsid w:val="007A62C3"/>
    <w:rsid w:val="007A6914"/>
    <w:rsid w:val="007A7116"/>
    <w:rsid w:val="007A731C"/>
    <w:rsid w:val="007B07E5"/>
    <w:rsid w:val="007B0A92"/>
    <w:rsid w:val="007B0EFD"/>
    <w:rsid w:val="007B0F8F"/>
    <w:rsid w:val="007B0FB2"/>
    <w:rsid w:val="007B2BB9"/>
    <w:rsid w:val="007B2D86"/>
    <w:rsid w:val="007B32DD"/>
    <w:rsid w:val="007B341B"/>
    <w:rsid w:val="007B4102"/>
    <w:rsid w:val="007B4893"/>
    <w:rsid w:val="007B651A"/>
    <w:rsid w:val="007B6626"/>
    <w:rsid w:val="007B6648"/>
    <w:rsid w:val="007B6669"/>
    <w:rsid w:val="007B67CB"/>
    <w:rsid w:val="007B6D12"/>
    <w:rsid w:val="007B6EDF"/>
    <w:rsid w:val="007C2E20"/>
    <w:rsid w:val="007C311B"/>
    <w:rsid w:val="007C4553"/>
    <w:rsid w:val="007C462E"/>
    <w:rsid w:val="007C48D8"/>
    <w:rsid w:val="007C506B"/>
    <w:rsid w:val="007C5A22"/>
    <w:rsid w:val="007C7512"/>
    <w:rsid w:val="007D0986"/>
    <w:rsid w:val="007D122F"/>
    <w:rsid w:val="007D19B4"/>
    <w:rsid w:val="007D1B9A"/>
    <w:rsid w:val="007D2BD6"/>
    <w:rsid w:val="007D440E"/>
    <w:rsid w:val="007D47F9"/>
    <w:rsid w:val="007D4CDA"/>
    <w:rsid w:val="007D59A7"/>
    <w:rsid w:val="007D5F3A"/>
    <w:rsid w:val="007D6067"/>
    <w:rsid w:val="007D698B"/>
    <w:rsid w:val="007D799C"/>
    <w:rsid w:val="007D7BB6"/>
    <w:rsid w:val="007E0168"/>
    <w:rsid w:val="007E21B3"/>
    <w:rsid w:val="007E2A04"/>
    <w:rsid w:val="007E2E66"/>
    <w:rsid w:val="007E3C48"/>
    <w:rsid w:val="007E4A45"/>
    <w:rsid w:val="007E57E7"/>
    <w:rsid w:val="007E5A1C"/>
    <w:rsid w:val="007E5D35"/>
    <w:rsid w:val="007E69CD"/>
    <w:rsid w:val="007E7043"/>
    <w:rsid w:val="007F077F"/>
    <w:rsid w:val="007F1A17"/>
    <w:rsid w:val="007F31EF"/>
    <w:rsid w:val="007F4D75"/>
    <w:rsid w:val="007F522F"/>
    <w:rsid w:val="007F52A6"/>
    <w:rsid w:val="007F5789"/>
    <w:rsid w:val="007F68DA"/>
    <w:rsid w:val="007F6BC0"/>
    <w:rsid w:val="007F78CC"/>
    <w:rsid w:val="008004E7"/>
    <w:rsid w:val="00800E20"/>
    <w:rsid w:val="00801824"/>
    <w:rsid w:val="0080276C"/>
    <w:rsid w:val="00802C6A"/>
    <w:rsid w:val="00802DFA"/>
    <w:rsid w:val="00803B37"/>
    <w:rsid w:val="0080519C"/>
    <w:rsid w:val="00805B16"/>
    <w:rsid w:val="008060C8"/>
    <w:rsid w:val="00806B31"/>
    <w:rsid w:val="00807B39"/>
    <w:rsid w:val="00810F5C"/>
    <w:rsid w:val="008116EB"/>
    <w:rsid w:val="00811DC4"/>
    <w:rsid w:val="00812723"/>
    <w:rsid w:val="008132E9"/>
    <w:rsid w:val="00814256"/>
    <w:rsid w:val="00814336"/>
    <w:rsid w:val="00814454"/>
    <w:rsid w:val="00814A6A"/>
    <w:rsid w:val="00814ED4"/>
    <w:rsid w:val="008152E3"/>
    <w:rsid w:val="0081557C"/>
    <w:rsid w:val="008159B1"/>
    <w:rsid w:val="008166DE"/>
    <w:rsid w:val="00816D14"/>
    <w:rsid w:val="00820282"/>
    <w:rsid w:val="00820651"/>
    <w:rsid w:val="0082117F"/>
    <w:rsid w:val="008219EB"/>
    <w:rsid w:val="008221F9"/>
    <w:rsid w:val="008223C4"/>
    <w:rsid w:val="00822AD3"/>
    <w:rsid w:val="008238F2"/>
    <w:rsid w:val="0082448A"/>
    <w:rsid w:val="00824809"/>
    <w:rsid w:val="00825533"/>
    <w:rsid w:val="0082619C"/>
    <w:rsid w:val="00827164"/>
    <w:rsid w:val="008303AB"/>
    <w:rsid w:val="00830C2E"/>
    <w:rsid w:val="00831A0D"/>
    <w:rsid w:val="00831B79"/>
    <w:rsid w:val="00832277"/>
    <w:rsid w:val="00832648"/>
    <w:rsid w:val="00833821"/>
    <w:rsid w:val="00834369"/>
    <w:rsid w:val="00835386"/>
    <w:rsid w:val="00836AD2"/>
    <w:rsid w:val="008372D6"/>
    <w:rsid w:val="008375CC"/>
    <w:rsid w:val="0084078D"/>
    <w:rsid w:val="008413AF"/>
    <w:rsid w:val="008415CC"/>
    <w:rsid w:val="008422B5"/>
    <w:rsid w:val="008423B2"/>
    <w:rsid w:val="0084243A"/>
    <w:rsid w:val="00842862"/>
    <w:rsid w:val="008428B7"/>
    <w:rsid w:val="00842BEF"/>
    <w:rsid w:val="00842FC5"/>
    <w:rsid w:val="008437B2"/>
    <w:rsid w:val="00844A64"/>
    <w:rsid w:val="00845199"/>
    <w:rsid w:val="00845390"/>
    <w:rsid w:val="00846047"/>
    <w:rsid w:val="0084622D"/>
    <w:rsid w:val="00847DFE"/>
    <w:rsid w:val="00851111"/>
    <w:rsid w:val="008518FF"/>
    <w:rsid w:val="0085194C"/>
    <w:rsid w:val="00852022"/>
    <w:rsid w:val="0085234A"/>
    <w:rsid w:val="008525CF"/>
    <w:rsid w:val="00853AC4"/>
    <w:rsid w:val="00853BF8"/>
    <w:rsid w:val="008542CC"/>
    <w:rsid w:val="00854436"/>
    <w:rsid w:val="008544E5"/>
    <w:rsid w:val="00854884"/>
    <w:rsid w:val="008551C1"/>
    <w:rsid w:val="00855F1A"/>
    <w:rsid w:val="00856358"/>
    <w:rsid w:val="008575E1"/>
    <w:rsid w:val="00860973"/>
    <w:rsid w:val="00860B77"/>
    <w:rsid w:val="0086183E"/>
    <w:rsid w:val="00861F47"/>
    <w:rsid w:val="00862A00"/>
    <w:rsid w:val="008648B5"/>
    <w:rsid w:val="0086497E"/>
    <w:rsid w:val="00864AD1"/>
    <w:rsid w:val="00864B01"/>
    <w:rsid w:val="00865A78"/>
    <w:rsid w:val="0086641A"/>
    <w:rsid w:val="00867F68"/>
    <w:rsid w:val="0087255C"/>
    <w:rsid w:val="00872C27"/>
    <w:rsid w:val="008731B4"/>
    <w:rsid w:val="008737D3"/>
    <w:rsid w:val="00873E0E"/>
    <w:rsid w:val="00874B07"/>
    <w:rsid w:val="00875FB7"/>
    <w:rsid w:val="00877845"/>
    <w:rsid w:val="00877B2B"/>
    <w:rsid w:val="00877CBF"/>
    <w:rsid w:val="00877DE6"/>
    <w:rsid w:val="0088077B"/>
    <w:rsid w:val="00880807"/>
    <w:rsid w:val="008820F7"/>
    <w:rsid w:val="00882B25"/>
    <w:rsid w:val="00882D53"/>
    <w:rsid w:val="00883437"/>
    <w:rsid w:val="008834C5"/>
    <w:rsid w:val="00883C24"/>
    <w:rsid w:val="0088479E"/>
    <w:rsid w:val="008853F8"/>
    <w:rsid w:val="00885B08"/>
    <w:rsid w:val="00887E3E"/>
    <w:rsid w:val="00887E7D"/>
    <w:rsid w:val="008923BA"/>
    <w:rsid w:val="00892F8D"/>
    <w:rsid w:val="008953BD"/>
    <w:rsid w:val="00895821"/>
    <w:rsid w:val="00896AB8"/>
    <w:rsid w:val="008A021F"/>
    <w:rsid w:val="008A03E3"/>
    <w:rsid w:val="008A0A00"/>
    <w:rsid w:val="008A3464"/>
    <w:rsid w:val="008A40DB"/>
    <w:rsid w:val="008A4628"/>
    <w:rsid w:val="008A5655"/>
    <w:rsid w:val="008A57B5"/>
    <w:rsid w:val="008A6807"/>
    <w:rsid w:val="008A6E81"/>
    <w:rsid w:val="008B0940"/>
    <w:rsid w:val="008B253F"/>
    <w:rsid w:val="008B3360"/>
    <w:rsid w:val="008B4365"/>
    <w:rsid w:val="008B47CB"/>
    <w:rsid w:val="008B49FB"/>
    <w:rsid w:val="008B5551"/>
    <w:rsid w:val="008B67E2"/>
    <w:rsid w:val="008B6A6C"/>
    <w:rsid w:val="008C0B3C"/>
    <w:rsid w:val="008C15BB"/>
    <w:rsid w:val="008C1695"/>
    <w:rsid w:val="008C2351"/>
    <w:rsid w:val="008C28E5"/>
    <w:rsid w:val="008C4960"/>
    <w:rsid w:val="008C4E5F"/>
    <w:rsid w:val="008C5102"/>
    <w:rsid w:val="008C6147"/>
    <w:rsid w:val="008C61AF"/>
    <w:rsid w:val="008C6886"/>
    <w:rsid w:val="008C6C82"/>
    <w:rsid w:val="008D00C4"/>
    <w:rsid w:val="008D03F6"/>
    <w:rsid w:val="008D15F7"/>
    <w:rsid w:val="008D1645"/>
    <w:rsid w:val="008D1FDE"/>
    <w:rsid w:val="008D2AB6"/>
    <w:rsid w:val="008D351D"/>
    <w:rsid w:val="008D3D49"/>
    <w:rsid w:val="008D46FC"/>
    <w:rsid w:val="008D4924"/>
    <w:rsid w:val="008D5983"/>
    <w:rsid w:val="008D5B1D"/>
    <w:rsid w:val="008D5F13"/>
    <w:rsid w:val="008E0F65"/>
    <w:rsid w:val="008E1C45"/>
    <w:rsid w:val="008E1D3B"/>
    <w:rsid w:val="008E22D4"/>
    <w:rsid w:val="008E242E"/>
    <w:rsid w:val="008E2EA8"/>
    <w:rsid w:val="008E37AC"/>
    <w:rsid w:val="008E4D06"/>
    <w:rsid w:val="008E57AE"/>
    <w:rsid w:val="008E616E"/>
    <w:rsid w:val="008E6320"/>
    <w:rsid w:val="008E647B"/>
    <w:rsid w:val="008E662C"/>
    <w:rsid w:val="008E7B61"/>
    <w:rsid w:val="008F027B"/>
    <w:rsid w:val="008F06C9"/>
    <w:rsid w:val="008F1023"/>
    <w:rsid w:val="008F3233"/>
    <w:rsid w:val="008F33C2"/>
    <w:rsid w:val="008F3AE2"/>
    <w:rsid w:val="008F3D6F"/>
    <w:rsid w:val="008F49D9"/>
    <w:rsid w:val="008F6221"/>
    <w:rsid w:val="008F69D3"/>
    <w:rsid w:val="008F722B"/>
    <w:rsid w:val="008F777B"/>
    <w:rsid w:val="008F7869"/>
    <w:rsid w:val="008F7CCE"/>
    <w:rsid w:val="009014F8"/>
    <w:rsid w:val="009062B8"/>
    <w:rsid w:val="009064E2"/>
    <w:rsid w:val="00907443"/>
    <w:rsid w:val="009077C7"/>
    <w:rsid w:val="00907A13"/>
    <w:rsid w:val="0091220E"/>
    <w:rsid w:val="0091441A"/>
    <w:rsid w:val="0091465A"/>
    <w:rsid w:val="00914861"/>
    <w:rsid w:val="0091605B"/>
    <w:rsid w:val="00916AFB"/>
    <w:rsid w:val="00920216"/>
    <w:rsid w:val="00920463"/>
    <w:rsid w:val="0092230C"/>
    <w:rsid w:val="0092241D"/>
    <w:rsid w:val="0092251F"/>
    <w:rsid w:val="00922B83"/>
    <w:rsid w:val="00922B98"/>
    <w:rsid w:val="00923191"/>
    <w:rsid w:val="009231E5"/>
    <w:rsid w:val="00923399"/>
    <w:rsid w:val="009238C7"/>
    <w:rsid w:val="00923D68"/>
    <w:rsid w:val="009245CA"/>
    <w:rsid w:val="00925ADA"/>
    <w:rsid w:val="00925DB2"/>
    <w:rsid w:val="009266A2"/>
    <w:rsid w:val="00926E4D"/>
    <w:rsid w:val="00927A57"/>
    <w:rsid w:val="00927DA2"/>
    <w:rsid w:val="00930DB6"/>
    <w:rsid w:val="009317C7"/>
    <w:rsid w:val="00931D7E"/>
    <w:rsid w:val="00932677"/>
    <w:rsid w:val="009326CA"/>
    <w:rsid w:val="009331D1"/>
    <w:rsid w:val="0093352D"/>
    <w:rsid w:val="00933C86"/>
    <w:rsid w:val="0093440E"/>
    <w:rsid w:val="00934720"/>
    <w:rsid w:val="00935A8A"/>
    <w:rsid w:val="00935BD5"/>
    <w:rsid w:val="00937339"/>
    <w:rsid w:val="009376FF"/>
    <w:rsid w:val="00940185"/>
    <w:rsid w:val="00940515"/>
    <w:rsid w:val="00940A88"/>
    <w:rsid w:val="00940BCD"/>
    <w:rsid w:val="00941279"/>
    <w:rsid w:val="00942900"/>
    <w:rsid w:val="00942C84"/>
    <w:rsid w:val="00943429"/>
    <w:rsid w:val="0094382B"/>
    <w:rsid w:val="00944A5A"/>
    <w:rsid w:val="00945215"/>
    <w:rsid w:val="00945E80"/>
    <w:rsid w:val="009462D5"/>
    <w:rsid w:val="00946C9F"/>
    <w:rsid w:val="00950CC0"/>
    <w:rsid w:val="0095108D"/>
    <w:rsid w:val="0095160B"/>
    <w:rsid w:val="00952DE9"/>
    <w:rsid w:val="0095329C"/>
    <w:rsid w:val="00953813"/>
    <w:rsid w:val="00953EB6"/>
    <w:rsid w:val="0095456C"/>
    <w:rsid w:val="009547B3"/>
    <w:rsid w:val="0095630C"/>
    <w:rsid w:val="00956893"/>
    <w:rsid w:val="00956905"/>
    <w:rsid w:val="00956E06"/>
    <w:rsid w:val="00956F3A"/>
    <w:rsid w:val="009614C6"/>
    <w:rsid w:val="0096297E"/>
    <w:rsid w:val="00962BFB"/>
    <w:rsid w:val="00962E1C"/>
    <w:rsid w:val="0096349D"/>
    <w:rsid w:val="009636AB"/>
    <w:rsid w:val="00964954"/>
    <w:rsid w:val="00964A93"/>
    <w:rsid w:val="00966245"/>
    <w:rsid w:val="009665E9"/>
    <w:rsid w:val="00966DEC"/>
    <w:rsid w:val="009710CF"/>
    <w:rsid w:val="0097180D"/>
    <w:rsid w:val="00971FCD"/>
    <w:rsid w:val="00972A27"/>
    <w:rsid w:val="00973717"/>
    <w:rsid w:val="0097497B"/>
    <w:rsid w:val="00975678"/>
    <w:rsid w:val="009757C8"/>
    <w:rsid w:val="00975925"/>
    <w:rsid w:val="00975F35"/>
    <w:rsid w:val="0097673B"/>
    <w:rsid w:val="00980E61"/>
    <w:rsid w:val="00981161"/>
    <w:rsid w:val="00981D50"/>
    <w:rsid w:val="00981E8B"/>
    <w:rsid w:val="0098222B"/>
    <w:rsid w:val="009826C9"/>
    <w:rsid w:val="00983633"/>
    <w:rsid w:val="00983860"/>
    <w:rsid w:val="00984191"/>
    <w:rsid w:val="0098429B"/>
    <w:rsid w:val="00984322"/>
    <w:rsid w:val="00984B77"/>
    <w:rsid w:val="00984E6B"/>
    <w:rsid w:val="0098571D"/>
    <w:rsid w:val="009857D4"/>
    <w:rsid w:val="00985DC6"/>
    <w:rsid w:val="00986E59"/>
    <w:rsid w:val="00987C7D"/>
    <w:rsid w:val="00990380"/>
    <w:rsid w:val="009903EE"/>
    <w:rsid w:val="0099042F"/>
    <w:rsid w:val="0099102F"/>
    <w:rsid w:val="009921DB"/>
    <w:rsid w:val="009940EF"/>
    <w:rsid w:val="00994605"/>
    <w:rsid w:val="00994A8D"/>
    <w:rsid w:val="00994D06"/>
    <w:rsid w:val="00995163"/>
    <w:rsid w:val="00995E52"/>
    <w:rsid w:val="009977B4"/>
    <w:rsid w:val="00997CF0"/>
    <w:rsid w:val="009A0B99"/>
    <w:rsid w:val="009A0BBC"/>
    <w:rsid w:val="009A101B"/>
    <w:rsid w:val="009A3245"/>
    <w:rsid w:val="009A3888"/>
    <w:rsid w:val="009A46BB"/>
    <w:rsid w:val="009A4C07"/>
    <w:rsid w:val="009A4D53"/>
    <w:rsid w:val="009A5AFD"/>
    <w:rsid w:val="009A5E0A"/>
    <w:rsid w:val="009A6AB4"/>
    <w:rsid w:val="009A6EFD"/>
    <w:rsid w:val="009A728F"/>
    <w:rsid w:val="009A750C"/>
    <w:rsid w:val="009B0909"/>
    <w:rsid w:val="009B0BB8"/>
    <w:rsid w:val="009B149E"/>
    <w:rsid w:val="009B2C05"/>
    <w:rsid w:val="009B39DC"/>
    <w:rsid w:val="009B3CAC"/>
    <w:rsid w:val="009B43E7"/>
    <w:rsid w:val="009B4798"/>
    <w:rsid w:val="009B4E07"/>
    <w:rsid w:val="009B61E7"/>
    <w:rsid w:val="009B65E4"/>
    <w:rsid w:val="009C0087"/>
    <w:rsid w:val="009C029F"/>
    <w:rsid w:val="009C1214"/>
    <w:rsid w:val="009C1766"/>
    <w:rsid w:val="009C2432"/>
    <w:rsid w:val="009C32D7"/>
    <w:rsid w:val="009C3300"/>
    <w:rsid w:val="009C62F0"/>
    <w:rsid w:val="009C6E72"/>
    <w:rsid w:val="009D19D7"/>
    <w:rsid w:val="009D1DB6"/>
    <w:rsid w:val="009D22EA"/>
    <w:rsid w:val="009D2F53"/>
    <w:rsid w:val="009D3C3F"/>
    <w:rsid w:val="009D422B"/>
    <w:rsid w:val="009D4D67"/>
    <w:rsid w:val="009D635B"/>
    <w:rsid w:val="009D66DC"/>
    <w:rsid w:val="009D6B78"/>
    <w:rsid w:val="009D7F6F"/>
    <w:rsid w:val="009E0393"/>
    <w:rsid w:val="009E07D3"/>
    <w:rsid w:val="009E2C4A"/>
    <w:rsid w:val="009E300B"/>
    <w:rsid w:val="009E3897"/>
    <w:rsid w:val="009E411B"/>
    <w:rsid w:val="009F017E"/>
    <w:rsid w:val="009F06F2"/>
    <w:rsid w:val="009F2982"/>
    <w:rsid w:val="009F2BDC"/>
    <w:rsid w:val="009F4EC9"/>
    <w:rsid w:val="009F5D73"/>
    <w:rsid w:val="009F635E"/>
    <w:rsid w:val="009F7773"/>
    <w:rsid w:val="009F794F"/>
    <w:rsid w:val="009F7FBE"/>
    <w:rsid w:val="00A01D0F"/>
    <w:rsid w:val="00A01E3E"/>
    <w:rsid w:val="00A01FA2"/>
    <w:rsid w:val="00A02469"/>
    <w:rsid w:val="00A02568"/>
    <w:rsid w:val="00A02C5D"/>
    <w:rsid w:val="00A02CA8"/>
    <w:rsid w:val="00A03418"/>
    <w:rsid w:val="00A051ED"/>
    <w:rsid w:val="00A06673"/>
    <w:rsid w:val="00A07946"/>
    <w:rsid w:val="00A111E4"/>
    <w:rsid w:val="00A131EF"/>
    <w:rsid w:val="00A137D4"/>
    <w:rsid w:val="00A1397D"/>
    <w:rsid w:val="00A140D3"/>
    <w:rsid w:val="00A1446B"/>
    <w:rsid w:val="00A153C2"/>
    <w:rsid w:val="00A15B69"/>
    <w:rsid w:val="00A167F2"/>
    <w:rsid w:val="00A17EFE"/>
    <w:rsid w:val="00A2037B"/>
    <w:rsid w:val="00A2040F"/>
    <w:rsid w:val="00A20C78"/>
    <w:rsid w:val="00A2156B"/>
    <w:rsid w:val="00A21DAD"/>
    <w:rsid w:val="00A220D0"/>
    <w:rsid w:val="00A221CC"/>
    <w:rsid w:val="00A226A5"/>
    <w:rsid w:val="00A2312E"/>
    <w:rsid w:val="00A23FA7"/>
    <w:rsid w:val="00A24323"/>
    <w:rsid w:val="00A2512C"/>
    <w:rsid w:val="00A2515B"/>
    <w:rsid w:val="00A2588E"/>
    <w:rsid w:val="00A25DA9"/>
    <w:rsid w:val="00A26646"/>
    <w:rsid w:val="00A26EDF"/>
    <w:rsid w:val="00A27CC5"/>
    <w:rsid w:val="00A30906"/>
    <w:rsid w:val="00A30BF2"/>
    <w:rsid w:val="00A31641"/>
    <w:rsid w:val="00A33000"/>
    <w:rsid w:val="00A3360D"/>
    <w:rsid w:val="00A33F4E"/>
    <w:rsid w:val="00A3468D"/>
    <w:rsid w:val="00A34789"/>
    <w:rsid w:val="00A34C79"/>
    <w:rsid w:val="00A3630E"/>
    <w:rsid w:val="00A36311"/>
    <w:rsid w:val="00A36E10"/>
    <w:rsid w:val="00A37BB8"/>
    <w:rsid w:val="00A37D74"/>
    <w:rsid w:val="00A404DC"/>
    <w:rsid w:val="00A4088E"/>
    <w:rsid w:val="00A408E4"/>
    <w:rsid w:val="00A415FC"/>
    <w:rsid w:val="00A417D9"/>
    <w:rsid w:val="00A41FF8"/>
    <w:rsid w:val="00A42D87"/>
    <w:rsid w:val="00A42DB7"/>
    <w:rsid w:val="00A42DC3"/>
    <w:rsid w:val="00A4304D"/>
    <w:rsid w:val="00A44B12"/>
    <w:rsid w:val="00A44BD3"/>
    <w:rsid w:val="00A4521D"/>
    <w:rsid w:val="00A455B5"/>
    <w:rsid w:val="00A45800"/>
    <w:rsid w:val="00A46122"/>
    <w:rsid w:val="00A46463"/>
    <w:rsid w:val="00A46D6F"/>
    <w:rsid w:val="00A51F0A"/>
    <w:rsid w:val="00A54AB5"/>
    <w:rsid w:val="00A54EF2"/>
    <w:rsid w:val="00A55D48"/>
    <w:rsid w:val="00A55EEE"/>
    <w:rsid w:val="00A55F73"/>
    <w:rsid w:val="00A57BEB"/>
    <w:rsid w:val="00A60FA6"/>
    <w:rsid w:val="00A61185"/>
    <w:rsid w:val="00A61673"/>
    <w:rsid w:val="00A63549"/>
    <w:rsid w:val="00A63891"/>
    <w:rsid w:val="00A638A8"/>
    <w:rsid w:val="00A64585"/>
    <w:rsid w:val="00A64926"/>
    <w:rsid w:val="00A665CF"/>
    <w:rsid w:val="00A66D1C"/>
    <w:rsid w:val="00A66F66"/>
    <w:rsid w:val="00A67992"/>
    <w:rsid w:val="00A67CA7"/>
    <w:rsid w:val="00A67D00"/>
    <w:rsid w:val="00A70463"/>
    <w:rsid w:val="00A70526"/>
    <w:rsid w:val="00A71B2D"/>
    <w:rsid w:val="00A72084"/>
    <w:rsid w:val="00A73989"/>
    <w:rsid w:val="00A73F69"/>
    <w:rsid w:val="00A74236"/>
    <w:rsid w:val="00A749DA"/>
    <w:rsid w:val="00A76E95"/>
    <w:rsid w:val="00A77179"/>
    <w:rsid w:val="00A7752F"/>
    <w:rsid w:val="00A8214D"/>
    <w:rsid w:val="00A82242"/>
    <w:rsid w:val="00A824D4"/>
    <w:rsid w:val="00A8284E"/>
    <w:rsid w:val="00A84238"/>
    <w:rsid w:val="00A85C35"/>
    <w:rsid w:val="00A869F5"/>
    <w:rsid w:val="00A90660"/>
    <w:rsid w:val="00A90831"/>
    <w:rsid w:val="00A90C8D"/>
    <w:rsid w:val="00A90FFF"/>
    <w:rsid w:val="00A91F1C"/>
    <w:rsid w:val="00A92061"/>
    <w:rsid w:val="00A9298D"/>
    <w:rsid w:val="00A94249"/>
    <w:rsid w:val="00A94BC9"/>
    <w:rsid w:val="00A94E7E"/>
    <w:rsid w:val="00A954AF"/>
    <w:rsid w:val="00A959A6"/>
    <w:rsid w:val="00A959BC"/>
    <w:rsid w:val="00A95A81"/>
    <w:rsid w:val="00A970BA"/>
    <w:rsid w:val="00A973CB"/>
    <w:rsid w:val="00A975A3"/>
    <w:rsid w:val="00A9767D"/>
    <w:rsid w:val="00A97867"/>
    <w:rsid w:val="00AA09D7"/>
    <w:rsid w:val="00AA0F13"/>
    <w:rsid w:val="00AA1DA1"/>
    <w:rsid w:val="00AA2562"/>
    <w:rsid w:val="00AA2918"/>
    <w:rsid w:val="00AA3C60"/>
    <w:rsid w:val="00AA4BC6"/>
    <w:rsid w:val="00AA5544"/>
    <w:rsid w:val="00AA55D0"/>
    <w:rsid w:val="00AA6886"/>
    <w:rsid w:val="00AA7C93"/>
    <w:rsid w:val="00AB08FE"/>
    <w:rsid w:val="00AB0A93"/>
    <w:rsid w:val="00AB101B"/>
    <w:rsid w:val="00AB1215"/>
    <w:rsid w:val="00AB161B"/>
    <w:rsid w:val="00AB2FF4"/>
    <w:rsid w:val="00AB4A66"/>
    <w:rsid w:val="00AB5A5E"/>
    <w:rsid w:val="00AB5F9C"/>
    <w:rsid w:val="00AB60BB"/>
    <w:rsid w:val="00AB6557"/>
    <w:rsid w:val="00AB66EC"/>
    <w:rsid w:val="00AB674F"/>
    <w:rsid w:val="00AB6E34"/>
    <w:rsid w:val="00AB7A6B"/>
    <w:rsid w:val="00AC13C2"/>
    <w:rsid w:val="00AC14BF"/>
    <w:rsid w:val="00AC18A1"/>
    <w:rsid w:val="00AC1AD6"/>
    <w:rsid w:val="00AC256E"/>
    <w:rsid w:val="00AC2E23"/>
    <w:rsid w:val="00AC384A"/>
    <w:rsid w:val="00AC3AFC"/>
    <w:rsid w:val="00AC44AA"/>
    <w:rsid w:val="00AC46B0"/>
    <w:rsid w:val="00AC5A7A"/>
    <w:rsid w:val="00AC74C0"/>
    <w:rsid w:val="00AC77D7"/>
    <w:rsid w:val="00AD167C"/>
    <w:rsid w:val="00AD16D3"/>
    <w:rsid w:val="00AD3233"/>
    <w:rsid w:val="00AD335E"/>
    <w:rsid w:val="00AD595F"/>
    <w:rsid w:val="00AD5D41"/>
    <w:rsid w:val="00AD64DF"/>
    <w:rsid w:val="00AD71D2"/>
    <w:rsid w:val="00AE0FCE"/>
    <w:rsid w:val="00AE1025"/>
    <w:rsid w:val="00AE122E"/>
    <w:rsid w:val="00AE2579"/>
    <w:rsid w:val="00AE26A1"/>
    <w:rsid w:val="00AE3B8F"/>
    <w:rsid w:val="00AE3F03"/>
    <w:rsid w:val="00AE3F8B"/>
    <w:rsid w:val="00AE479D"/>
    <w:rsid w:val="00AE4EA3"/>
    <w:rsid w:val="00AE5246"/>
    <w:rsid w:val="00AE64F0"/>
    <w:rsid w:val="00AE6C61"/>
    <w:rsid w:val="00AF23C8"/>
    <w:rsid w:val="00AF2AE2"/>
    <w:rsid w:val="00AF2D53"/>
    <w:rsid w:val="00AF3C70"/>
    <w:rsid w:val="00AF5100"/>
    <w:rsid w:val="00AF5B0E"/>
    <w:rsid w:val="00AF5D1D"/>
    <w:rsid w:val="00AF5F0B"/>
    <w:rsid w:val="00AF64C1"/>
    <w:rsid w:val="00AF673E"/>
    <w:rsid w:val="00B0051B"/>
    <w:rsid w:val="00B00D7C"/>
    <w:rsid w:val="00B012CB"/>
    <w:rsid w:val="00B02D71"/>
    <w:rsid w:val="00B0342C"/>
    <w:rsid w:val="00B036D2"/>
    <w:rsid w:val="00B0377E"/>
    <w:rsid w:val="00B0444E"/>
    <w:rsid w:val="00B0471C"/>
    <w:rsid w:val="00B048B7"/>
    <w:rsid w:val="00B052D2"/>
    <w:rsid w:val="00B05E8A"/>
    <w:rsid w:val="00B07087"/>
    <w:rsid w:val="00B07BA9"/>
    <w:rsid w:val="00B10055"/>
    <w:rsid w:val="00B106C6"/>
    <w:rsid w:val="00B11176"/>
    <w:rsid w:val="00B1141E"/>
    <w:rsid w:val="00B118F1"/>
    <w:rsid w:val="00B1278B"/>
    <w:rsid w:val="00B12BAD"/>
    <w:rsid w:val="00B13758"/>
    <w:rsid w:val="00B14AE4"/>
    <w:rsid w:val="00B15ABC"/>
    <w:rsid w:val="00B15D65"/>
    <w:rsid w:val="00B16ADC"/>
    <w:rsid w:val="00B17295"/>
    <w:rsid w:val="00B20422"/>
    <w:rsid w:val="00B2094E"/>
    <w:rsid w:val="00B215F5"/>
    <w:rsid w:val="00B2192F"/>
    <w:rsid w:val="00B21937"/>
    <w:rsid w:val="00B21BAA"/>
    <w:rsid w:val="00B21EF3"/>
    <w:rsid w:val="00B2257E"/>
    <w:rsid w:val="00B2298F"/>
    <w:rsid w:val="00B244E9"/>
    <w:rsid w:val="00B2493C"/>
    <w:rsid w:val="00B24E6F"/>
    <w:rsid w:val="00B25A44"/>
    <w:rsid w:val="00B26B62"/>
    <w:rsid w:val="00B2761B"/>
    <w:rsid w:val="00B27A54"/>
    <w:rsid w:val="00B30783"/>
    <w:rsid w:val="00B30EDA"/>
    <w:rsid w:val="00B31D1B"/>
    <w:rsid w:val="00B335ED"/>
    <w:rsid w:val="00B339A0"/>
    <w:rsid w:val="00B34A18"/>
    <w:rsid w:val="00B3508C"/>
    <w:rsid w:val="00B3552B"/>
    <w:rsid w:val="00B35714"/>
    <w:rsid w:val="00B36BC6"/>
    <w:rsid w:val="00B37D8E"/>
    <w:rsid w:val="00B400B7"/>
    <w:rsid w:val="00B40541"/>
    <w:rsid w:val="00B405D0"/>
    <w:rsid w:val="00B4079B"/>
    <w:rsid w:val="00B41136"/>
    <w:rsid w:val="00B41F0F"/>
    <w:rsid w:val="00B42560"/>
    <w:rsid w:val="00B42C94"/>
    <w:rsid w:val="00B42CBB"/>
    <w:rsid w:val="00B43A9B"/>
    <w:rsid w:val="00B455AA"/>
    <w:rsid w:val="00B45778"/>
    <w:rsid w:val="00B457A1"/>
    <w:rsid w:val="00B45D4B"/>
    <w:rsid w:val="00B4630F"/>
    <w:rsid w:val="00B464B1"/>
    <w:rsid w:val="00B47A4A"/>
    <w:rsid w:val="00B47B99"/>
    <w:rsid w:val="00B5014A"/>
    <w:rsid w:val="00B506F2"/>
    <w:rsid w:val="00B5095B"/>
    <w:rsid w:val="00B510E3"/>
    <w:rsid w:val="00B5127A"/>
    <w:rsid w:val="00B521AC"/>
    <w:rsid w:val="00B52702"/>
    <w:rsid w:val="00B532A0"/>
    <w:rsid w:val="00B537F8"/>
    <w:rsid w:val="00B5498D"/>
    <w:rsid w:val="00B549BC"/>
    <w:rsid w:val="00B54B48"/>
    <w:rsid w:val="00B54D4B"/>
    <w:rsid w:val="00B5501D"/>
    <w:rsid w:val="00B55825"/>
    <w:rsid w:val="00B558D1"/>
    <w:rsid w:val="00B55A6E"/>
    <w:rsid w:val="00B55F2B"/>
    <w:rsid w:val="00B56CF6"/>
    <w:rsid w:val="00B56D72"/>
    <w:rsid w:val="00B60E4D"/>
    <w:rsid w:val="00B613C3"/>
    <w:rsid w:val="00B6151E"/>
    <w:rsid w:val="00B61EDA"/>
    <w:rsid w:val="00B64792"/>
    <w:rsid w:val="00B64962"/>
    <w:rsid w:val="00B6671C"/>
    <w:rsid w:val="00B6696D"/>
    <w:rsid w:val="00B66A80"/>
    <w:rsid w:val="00B66DFE"/>
    <w:rsid w:val="00B676EC"/>
    <w:rsid w:val="00B7016C"/>
    <w:rsid w:val="00B7039B"/>
    <w:rsid w:val="00B7055B"/>
    <w:rsid w:val="00B7059E"/>
    <w:rsid w:val="00B706EA"/>
    <w:rsid w:val="00B72AB8"/>
    <w:rsid w:val="00B72F5A"/>
    <w:rsid w:val="00B736B6"/>
    <w:rsid w:val="00B73878"/>
    <w:rsid w:val="00B73D50"/>
    <w:rsid w:val="00B7450A"/>
    <w:rsid w:val="00B74D1E"/>
    <w:rsid w:val="00B7507A"/>
    <w:rsid w:val="00B76445"/>
    <w:rsid w:val="00B7663A"/>
    <w:rsid w:val="00B76A18"/>
    <w:rsid w:val="00B76FA1"/>
    <w:rsid w:val="00B778EC"/>
    <w:rsid w:val="00B77E5A"/>
    <w:rsid w:val="00B80455"/>
    <w:rsid w:val="00B80A85"/>
    <w:rsid w:val="00B80E37"/>
    <w:rsid w:val="00B83F97"/>
    <w:rsid w:val="00B84C6C"/>
    <w:rsid w:val="00B84E6E"/>
    <w:rsid w:val="00B855C3"/>
    <w:rsid w:val="00B87718"/>
    <w:rsid w:val="00B87B3F"/>
    <w:rsid w:val="00B905C5"/>
    <w:rsid w:val="00B92687"/>
    <w:rsid w:val="00B92AEC"/>
    <w:rsid w:val="00B93200"/>
    <w:rsid w:val="00B93B35"/>
    <w:rsid w:val="00B94248"/>
    <w:rsid w:val="00B942A1"/>
    <w:rsid w:val="00B94444"/>
    <w:rsid w:val="00B94B4F"/>
    <w:rsid w:val="00B95DF6"/>
    <w:rsid w:val="00B96A25"/>
    <w:rsid w:val="00B976F6"/>
    <w:rsid w:val="00BA03AD"/>
    <w:rsid w:val="00BA11B2"/>
    <w:rsid w:val="00BA194F"/>
    <w:rsid w:val="00BA1B29"/>
    <w:rsid w:val="00BA2132"/>
    <w:rsid w:val="00BA2693"/>
    <w:rsid w:val="00BA347F"/>
    <w:rsid w:val="00BA3552"/>
    <w:rsid w:val="00BA359B"/>
    <w:rsid w:val="00BA439A"/>
    <w:rsid w:val="00BA45D7"/>
    <w:rsid w:val="00BA4B9A"/>
    <w:rsid w:val="00BA5F41"/>
    <w:rsid w:val="00BA7385"/>
    <w:rsid w:val="00BA75FC"/>
    <w:rsid w:val="00BB07ED"/>
    <w:rsid w:val="00BB1260"/>
    <w:rsid w:val="00BB13A9"/>
    <w:rsid w:val="00BB13FF"/>
    <w:rsid w:val="00BB187C"/>
    <w:rsid w:val="00BB2814"/>
    <w:rsid w:val="00BB296B"/>
    <w:rsid w:val="00BB2A9C"/>
    <w:rsid w:val="00BB3622"/>
    <w:rsid w:val="00BB465C"/>
    <w:rsid w:val="00BB479B"/>
    <w:rsid w:val="00BB495E"/>
    <w:rsid w:val="00BB5A48"/>
    <w:rsid w:val="00BB5B43"/>
    <w:rsid w:val="00BB682C"/>
    <w:rsid w:val="00BB6BD2"/>
    <w:rsid w:val="00BB7CA9"/>
    <w:rsid w:val="00BC1162"/>
    <w:rsid w:val="00BC236B"/>
    <w:rsid w:val="00BC2BB4"/>
    <w:rsid w:val="00BC2DA5"/>
    <w:rsid w:val="00BC368A"/>
    <w:rsid w:val="00BC37BF"/>
    <w:rsid w:val="00BC421B"/>
    <w:rsid w:val="00BC4725"/>
    <w:rsid w:val="00BC65D9"/>
    <w:rsid w:val="00BC6D06"/>
    <w:rsid w:val="00BC6D15"/>
    <w:rsid w:val="00BC7BC9"/>
    <w:rsid w:val="00BC7C52"/>
    <w:rsid w:val="00BC7E42"/>
    <w:rsid w:val="00BC7E48"/>
    <w:rsid w:val="00BD0CF6"/>
    <w:rsid w:val="00BD1471"/>
    <w:rsid w:val="00BD14C5"/>
    <w:rsid w:val="00BD196A"/>
    <w:rsid w:val="00BD2081"/>
    <w:rsid w:val="00BD2311"/>
    <w:rsid w:val="00BD3FE9"/>
    <w:rsid w:val="00BD4BFE"/>
    <w:rsid w:val="00BD59E5"/>
    <w:rsid w:val="00BD6262"/>
    <w:rsid w:val="00BD6436"/>
    <w:rsid w:val="00BD6B09"/>
    <w:rsid w:val="00BD6F6B"/>
    <w:rsid w:val="00BD7EED"/>
    <w:rsid w:val="00BE0A83"/>
    <w:rsid w:val="00BE0D55"/>
    <w:rsid w:val="00BE17BD"/>
    <w:rsid w:val="00BE1A2A"/>
    <w:rsid w:val="00BE2FA6"/>
    <w:rsid w:val="00BE4110"/>
    <w:rsid w:val="00BE421C"/>
    <w:rsid w:val="00BE4820"/>
    <w:rsid w:val="00BE48D3"/>
    <w:rsid w:val="00BE4C48"/>
    <w:rsid w:val="00BE61C1"/>
    <w:rsid w:val="00BE64AF"/>
    <w:rsid w:val="00BE6717"/>
    <w:rsid w:val="00BE6C43"/>
    <w:rsid w:val="00BE6E2A"/>
    <w:rsid w:val="00BE7FEA"/>
    <w:rsid w:val="00BF0381"/>
    <w:rsid w:val="00BF150A"/>
    <w:rsid w:val="00BF2F12"/>
    <w:rsid w:val="00BF446E"/>
    <w:rsid w:val="00BF4A0B"/>
    <w:rsid w:val="00BF5576"/>
    <w:rsid w:val="00BF58EF"/>
    <w:rsid w:val="00BF6E7B"/>
    <w:rsid w:val="00C009C3"/>
    <w:rsid w:val="00C00E82"/>
    <w:rsid w:val="00C01021"/>
    <w:rsid w:val="00C0141F"/>
    <w:rsid w:val="00C01489"/>
    <w:rsid w:val="00C01AB4"/>
    <w:rsid w:val="00C01D3E"/>
    <w:rsid w:val="00C01F17"/>
    <w:rsid w:val="00C0201E"/>
    <w:rsid w:val="00C048AF"/>
    <w:rsid w:val="00C04CF5"/>
    <w:rsid w:val="00C077E0"/>
    <w:rsid w:val="00C07DE6"/>
    <w:rsid w:val="00C07F67"/>
    <w:rsid w:val="00C07FCA"/>
    <w:rsid w:val="00C10E50"/>
    <w:rsid w:val="00C111E0"/>
    <w:rsid w:val="00C11332"/>
    <w:rsid w:val="00C114A4"/>
    <w:rsid w:val="00C11D45"/>
    <w:rsid w:val="00C11E24"/>
    <w:rsid w:val="00C1331A"/>
    <w:rsid w:val="00C1345D"/>
    <w:rsid w:val="00C13526"/>
    <w:rsid w:val="00C13835"/>
    <w:rsid w:val="00C139A6"/>
    <w:rsid w:val="00C146C6"/>
    <w:rsid w:val="00C14ACF"/>
    <w:rsid w:val="00C15242"/>
    <w:rsid w:val="00C154B5"/>
    <w:rsid w:val="00C16059"/>
    <w:rsid w:val="00C16A12"/>
    <w:rsid w:val="00C17872"/>
    <w:rsid w:val="00C17997"/>
    <w:rsid w:val="00C17F69"/>
    <w:rsid w:val="00C205E9"/>
    <w:rsid w:val="00C2082B"/>
    <w:rsid w:val="00C20EEE"/>
    <w:rsid w:val="00C212FC"/>
    <w:rsid w:val="00C2151D"/>
    <w:rsid w:val="00C220E6"/>
    <w:rsid w:val="00C22BE3"/>
    <w:rsid w:val="00C23F48"/>
    <w:rsid w:val="00C2419C"/>
    <w:rsid w:val="00C24D41"/>
    <w:rsid w:val="00C262BD"/>
    <w:rsid w:val="00C30E04"/>
    <w:rsid w:val="00C310C2"/>
    <w:rsid w:val="00C3257A"/>
    <w:rsid w:val="00C36525"/>
    <w:rsid w:val="00C36AE4"/>
    <w:rsid w:val="00C37CA5"/>
    <w:rsid w:val="00C40E94"/>
    <w:rsid w:val="00C40EB3"/>
    <w:rsid w:val="00C41252"/>
    <w:rsid w:val="00C41369"/>
    <w:rsid w:val="00C41BD9"/>
    <w:rsid w:val="00C421BD"/>
    <w:rsid w:val="00C43348"/>
    <w:rsid w:val="00C4345B"/>
    <w:rsid w:val="00C434FD"/>
    <w:rsid w:val="00C4350E"/>
    <w:rsid w:val="00C45B53"/>
    <w:rsid w:val="00C46F43"/>
    <w:rsid w:val="00C47536"/>
    <w:rsid w:val="00C47AC7"/>
    <w:rsid w:val="00C513D7"/>
    <w:rsid w:val="00C5192E"/>
    <w:rsid w:val="00C51A40"/>
    <w:rsid w:val="00C5293E"/>
    <w:rsid w:val="00C52CB8"/>
    <w:rsid w:val="00C52DE6"/>
    <w:rsid w:val="00C53736"/>
    <w:rsid w:val="00C53E74"/>
    <w:rsid w:val="00C559DF"/>
    <w:rsid w:val="00C55C13"/>
    <w:rsid w:val="00C5752A"/>
    <w:rsid w:val="00C6016B"/>
    <w:rsid w:val="00C608BD"/>
    <w:rsid w:val="00C6106C"/>
    <w:rsid w:val="00C61BB3"/>
    <w:rsid w:val="00C62EDA"/>
    <w:rsid w:val="00C63001"/>
    <w:rsid w:val="00C634A7"/>
    <w:rsid w:val="00C638D7"/>
    <w:rsid w:val="00C638DF"/>
    <w:rsid w:val="00C640C3"/>
    <w:rsid w:val="00C64720"/>
    <w:rsid w:val="00C6517F"/>
    <w:rsid w:val="00C652E5"/>
    <w:rsid w:val="00C65641"/>
    <w:rsid w:val="00C66501"/>
    <w:rsid w:val="00C67973"/>
    <w:rsid w:val="00C67A13"/>
    <w:rsid w:val="00C67BA6"/>
    <w:rsid w:val="00C70DA3"/>
    <w:rsid w:val="00C7131D"/>
    <w:rsid w:val="00C71920"/>
    <w:rsid w:val="00C72118"/>
    <w:rsid w:val="00C72736"/>
    <w:rsid w:val="00C72A63"/>
    <w:rsid w:val="00C73570"/>
    <w:rsid w:val="00C73ECB"/>
    <w:rsid w:val="00C74F43"/>
    <w:rsid w:val="00C74FB9"/>
    <w:rsid w:val="00C75FAB"/>
    <w:rsid w:val="00C77A70"/>
    <w:rsid w:val="00C77D89"/>
    <w:rsid w:val="00C80AE4"/>
    <w:rsid w:val="00C81101"/>
    <w:rsid w:val="00C81DB2"/>
    <w:rsid w:val="00C82137"/>
    <w:rsid w:val="00C8216F"/>
    <w:rsid w:val="00C827EE"/>
    <w:rsid w:val="00C836FE"/>
    <w:rsid w:val="00C83A9B"/>
    <w:rsid w:val="00C849DA"/>
    <w:rsid w:val="00C857F1"/>
    <w:rsid w:val="00C85BC7"/>
    <w:rsid w:val="00C86C7B"/>
    <w:rsid w:val="00C86F59"/>
    <w:rsid w:val="00C871C4"/>
    <w:rsid w:val="00C87365"/>
    <w:rsid w:val="00C9094D"/>
    <w:rsid w:val="00C9135D"/>
    <w:rsid w:val="00C913C9"/>
    <w:rsid w:val="00C9264A"/>
    <w:rsid w:val="00C9356F"/>
    <w:rsid w:val="00C93C3A"/>
    <w:rsid w:val="00C93F95"/>
    <w:rsid w:val="00C95334"/>
    <w:rsid w:val="00C9573B"/>
    <w:rsid w:val="00C95F36"/>
    <w:rsid w:val="00C96D48"/>
    <w:rsid w:val="00C97301"/>
    <w:rsid w:val="00CA02DA"/>
    <w:rsid w:val="00CA0BC2"/>
    <w:rsid w:val="00CA1130"/>
    <w:rsid w:val="00CA1E20"/>
    <w:rsid w:val="00CA3FE2"/>
    <w:rsid w:val="00CA415F"/>
    <w:rsid w:val="00CA4F30"/>
    <w:rsid w:val="00CA529D"/>
    <w:rsid w:val="00CA5EA7"/>
    <w:rsid w:val="00CA6128"/>
    <w:rsid w:val="00CA6243"/>
    <w:rsid w:val="00CA6329"/>
    <w:rsid w:val="00CA6718"/>
    <w:rsid w:val="00CA75B6"/>
    <w:rsid w:val="00CA785C"/>
    <w:rsid w:val="00CB026C"/>
    <w:rsid w:val="00CB0BD0"/>
    <w:rsid w:val="00CB0D71"/>
    <w:rsid w:val="00CB1127"/>
    <w:rsid w:val="00CB2B75"/>
    <w:rsid w:val="00CB2C14"/>
    <w:rsid w:val="00CB2E02"/>
    <w:rsid w:val="00CB459D"/>
    <w:rsid w:val="00CB5643"/>
    <w:rsid w:val="00CB5702"/>
    <w:rsid w:val="00CB57B4"/>
    <w:rsid w:val="00CB5A49"/>
    <w:rsid w:val="00CB5C15"/>
    <w:rsid w:val="00CB678B"/>
    <w:rsid w:val="00CB6BE3"/>
    <w:rsid w:val="00CB76DC"/>
    <w:rsid w:val="00CC014E"/>
    <w:rsid w:val="00CC04EF"/>
    <w:rsid w:val="00CC1228"/>
    <w:rsid w:val="00CC1A21"/>
    <w:rsid w:val="00CC1CD1"/>
    <w:rsid w:val="00CC23EF"/>
    <w:rsid w:val="00CC3B8C"/>
    <w:rsid w:val="00CC419E"/>
    <w:rsid w:val="00CC424D"/>
    <w:rsid w:val="00CC60D2"/>
    <w:rsid w:val="00CC650E"/>
    <w:rsid w:val="00CC660A"/>
    <w:rsid w:val="00CC66DE"/>
    <w:rsid w:val="00CC799C"/>
    <w:rsid w:val="00CC7C0C"/>
    <w:rsid w:val="00CD2F8D"/>
    <w:rsid w:val="00CD48E3"/>
    <w:rsid w:val="00CD4AFA"/>
    <w:rsid w:val="00CD4DFD"/>
    <w:rsid w:val="00CD5694"/>
    <w:rsid w:val="00CD61C2"/>
    <w:rsid w:val="00CD62ED"/>
    <w:rsid w:val="00CD6B74"/>
    <w:rsid w:val="00CD7505"/>
    <w:rsid w:val="00CD75E3"/>
    <w:rsid w:val="00CE00B6"/>
    <w:rsid w:val="00CE0939"/>
    <w:rsid w:val="00CE193F"/>
    <w:rsid w:val="00CE2627"/>
    <w:rsid w:val="00CE2D26"/>
    <w:rsid w:val="00CE2EB2"/>
    <w:rsid w:val="00CE359E"/>
    <w:rsid w:val="00CE525D"/>
    <w:rsid w:val="00CE53C2"/>
    <w:rsid w:val="00CE5A06"/>
    <w:rsid w:val="00CE5C99"/>
    <w:rsid w:val="00CE6119"/>
    <w:rsid w:val="00CE67ED"/>
    <w:rsid w:val="00CE7C8B"/>
    <w:rsid w:val="00CF0EA5"/>
    <w:rsid w:val="00CF0FA5"/>
    <w:rsid w:val="00CF2114"/>
    <w:rsid w:val="00CF2365"/>
    <w:rsid w:val="00CF23EE"/>
    <w:rsid w:val="00CF2B14"/>
    <w:rsid w:val="00CF3219"/>
    <w:rsid w:val="00CF41D3"/>
    <w:rsid w:val="00CF46DD"/>
    <w:rsid w:val="00CF50E0"/>
    <w:rsid w:val="00CF5549"/>
    <w:rsid w:val="00CF6D35"/>
    <w:rsid w:val="00CF6E78"/>
    <w:rsid w:val="00D008F3"/>
    <w:rsid w:val="00D00A75"/>
    <w:rsid w:val="00D00E3F"/>
    <w:rsid w:val="00D0164F"/>
    <w:rsid w:val="00D02E34"/>
    <w:rsid w:val="00D032C3"/>
    <w:rsid w:val="00D03747"/>
    <w:rsid w:val="00D054F6"/>
    <w:rsid w:val="00D11357"/>
    <w:rsid w:val="00D11D8B"/>
    <w:rsid w:val="00D1205B"/>
    <w:rsid w:val="00D126F7"/>
    <w:rsid w:val="00D12722"/>
    <w:rsid w:val="00D129F5"/>
    <w:rsid w:val="00D12A3E"/>
    <w:rsid w:val="00D12ED9"/>
    <w:rsid w:val="00D141DD"/>
    <w:rsid w:val="00D1494A"/>
    <w:rsid w:val="00D15582"/>
    <w:rsid w:val="00D16C57"/>
    <w:rsid w:val="00D2020B"/>
    <w:rsid w:val="00D21887"/>
    <w:rsid w:val="00D21DBF"/>
    <w:rsid w:val="00D229B2"/>
    <w:rsid w:val="00D22D29"/>
    <w:rsid w:val="00D24BA2"/>
    <w:rsid w:val="00D24DE0"/>
    <w:rsid w:val="00D258E1"/>
    <w:rsid w:val="00D25C3B"/>
    <w:rsid w:val="00D266DE"/>
    <w:rsid w:val="00D26CED"/>
    <w:rsid w:val="00D27DFE"/>
    <w:rsid w:val="00D312D3"/>
    <w:rsid w:val="00D31689"/>
    <w:rsid w:val="00D325D3"/>
    <w:rsid w:val="00D3332B"/>
    <w:rsid w:val="00D33B4A"/>
    <w:rsid w:val="00D33E56"/>
    <w:rsid w:val="00D355E8"/>
    <w:rsid w:val="00D3590B"/>
    <w:rsid w:val="00D364BD"/>
    <w:rsid w:val="00D372A1"/>
    <w:rsid w:val="00D40A2A"/>
    <w:rsid w:val="00D410CF"/>
    <w:rsid w:val="00D41C9D"/>
    <w:rsid w:val="00D421A8"/>
    <w:rsid w:val="00D42D6E"/>
    <w:rsid w:val="00D4306E"/>
    <w:rsid w:val="00D435D2"/>
    <w:rsid w:val="00D43DD6"/>
    <w:rsid w:val="00D44183"/>
    <w:rsid w:val="00D4461F"/>
    <w:rsid w:val="00D44959"/>
    <w:rsid w:val="00D44D02"/>
    <w:rsid w:val="00D454EC"/>
    <w:rsid w:val="00D46640"/>
    <w:rsid w:val="00D466D7"/>
    <w:rsid w:val="00D47965"/>
    <w:rsid w:val="00D5139C"/>
    <w:rsid w:val="00D51C2C"/>
    <w:rsid w:val="00D51EF2"/>
    <w:rsid w:val="00D52C0B"/>
    <w:rsid w:val="00D532C3"/>
    <w:rsid w:val="00D5340B"/>
    <w:rsid w:val="00D55A36"/>
    <w:rsid w:val="00D55F40"/>
    <w:rsid w:val="00D56168"/>
    <w:rsid w:val="00D5621E"/>
    <w:rsid w:val="00D563C3"/>
    <w:rsid w:val="00D5689A"/>
    <w:rsid w:val="00D57072"/>
    <w:rsid w:val="00D576E0"/>
    <w:rsid w:val="00D606EA"/>
    <w:rsid w:val="00D60F5C"/>
    <w:rsid w:val="00D61249"/>
    <w:rsid w:val="00D61AE5"/>
    <w:rsid w:val="00D61B10"/>
    <w:rsid w:val="00D61CE8"/>
    <w:rsid w:val="00D61D17"/>
    <w:rsid w:val="00D620C9"/>
    <w:rsid w:val="00D626C8"/>
    <w:rsid w:val="00D62EE8"/>
    <w:rsid w:val="00D6426D"/>
    <w:rsid w:val="00D6450D"/>
    <w:rsid w:val="00D64636"/>
    <w:rsid w:val="00D64FA5"/>
    <w:rsid w:val="00D655F0"/>
    <w:rsid w:val="00D66358"/>
    <w:rsid w:val="00D668E4"/>
    <w:rsid w:val="00D67466"/>
    <w:rsid w:val="00D676F5"/>
    <w:rsid w:val="00D679D2"/>
    <w:rsid w:val="00D7047B"/>
    <w:rsid w:val="00D70735"/>
    <w:rsid w:val="00D71731"/>
    <w:rsid w:val="00D71A39"/>
    <w:rsid w:val="00D729A9"/>
    <w:rsid w:val="00D741F4"/>
    <w:rsid w:val="00D74F87"/>
    <w:rsid w:val="00D74FEC"/>
    <w:rsid w:val="00D75505"/>
    <w:rsid w:val="00D76695"/>
    <w:rsid w:val="00D77674"/>
    <w:rsid w:val="00D77DAB"/>
    <w:rsid w:val="00D8041E"/>
    <w:rsid w:val="00D80998"/>
    <w:rsid w:val="00D8228F"/>
    <w:rsid w:val="00D829D2"/>
    <w:rsid w:val="00D83C4A"/>
    <w:rsid w:val="00D83CB1"/>
    <w:rsid w:val="00D85C51"/>
    <w:rsid w:val="00D862DA"/>
    <w:rsid w:val="00D8640C"/>
    <w:rsid w:val="00D86456"/>
    <w:rsid w:val="00D868FB"/>
    <w:rsid w:val="00D86F01"/>
    <w:rsid w:val="00D870BD"/>
    <w:rsid w:val="00D90ED8"/>
    <w:rsid w:val="00D91FDB"/>
    <w:rsid w:val="00D921A5"/>
    <w:rsid w:val="00D936C9"/>
    <w:rsid w:val="00D940DA"/>
    <w:rsid w:val="00D950A6"/>
    <w:rsid w:val="00D9600A"/>
    <w:rsid w:val="00D96662"/>
    <w:rsid w:val="00D96978"/>
    <w:rsid w:val="00D96BEB"/>
    <w:rsid w:val="00DA0520"/>
    <w:rsid w:val="00DA1EB5"/>
    <w:rsid w:val="00DA220C"/>
    <w:rsid w:val="00DA331A"/>
    <w:rsid w:val="00DA360C"/>
    <w:rsid w:val="00DA3D7B"/>
    <w:rsid w:val="00DA52D1"/>
    <w:rsid w:val="00DA562A"/>
    <w:rsid w:val="00DA6721"/>
    <w:rsid w:val="00DA696C"/>
    <w:rsid w:val="00DA6DB6"/>
    <w:rsid w:val="00DA7189"/>
    <w:rsid w:val="00DA7254"/>
    <w:rsid w:val="00DA72CB"/>
    <w:rsid w:val="00DA7370"/>
    <w:rsid w:val="00DB0375"/>
    <w:rsid w:val="00DB042E"/>
    <w:rsid w:val="00DB0BAE"/>
    <w:rsid w:val="00DB1190"/>
    <w:rsid w:val="00DB2691"/>
    <w:rsid w:val="00DB361E"/>
    <w:rsid w:val="00DB41D2"/>
    <w:rsid w:val="00DB4594"/>
    <w:rsid w:val="00DB476F"/>
    <w:rsid w:val="00DB4779"/>
    <w:rsid w:val="00DB4AA3"/>
    <w:rsid w:val="00DB5F69"/>
    <w:rsid w:val="00DB6048"/>
    <w:rsid w:val="00DB68FF"/>
    <w:rsid w:val="00DB6F94"/>
    <w:rsid w:val="00DB7230"/>
    <w:rsid w:val="00DB7D8B"/>
    <w:rsid w:val="00DC0A4A"/>
    <w:rsid w:val="00DC0E1B"/>
    <w:rsid w:val="00DC0F7A"/>
    <w:rsid w:val="00DC2361"/>
    <w:rsid w:val="00DC2539"/>
    <w:rsid w:val="00DC26E0"/>
    <w:rsid w:val="00DC2D48"/>
    <w:rsid w:val="00DC32BA"/>
    <w:rsid w:val="00DC55B7"/>
    <w:rsid w:val="00DC5FD8"/>
    <w:rsid w:val="00DC722F"/>
    <w:rsid w:val="00DC76D3"/>
    <w:rsid w:val="00DC77C0"/>
    <w:rsid w:val="00DC7BBC"/>
    <w:rsid w:val="00DD04C3"/>
    <w:rsid w:val="00DD0F37"/>
    <w:rsid w:val="00DD17A9"/>
    <w:rsid w:val="00DD194D"/>
    <w:rsid w:val="00DD1A43"/>
    <w:rsid w:val="00DD1B10"/>
    <w:rsid w:val="00DD29A8"/>
    <w:rsid w:val="00DD36ED"/>
    <w:rsid w:val="00DD454D"/>
    <w:rsid w:val="00DD4ACB"/>
    <w:rsid w:val="00DD4C60"/>
    <w:rsid w:val="00DD4F99"/>
    <w:rsid w:val="00DD544D"/>
    <w:rsid w:val="00DD6518"/>
    <w:rsid w:val="00DD6537"/>
    <w:rsid w:val="00DD6667"/>
    <w:rsid w:val="00DD74A2"/>
    <w:rsid w:val="00DD77DC"/>
    <w:rsid w:val="00DD77E5"/>
    <w:rsid w:val="00DD7AB4"/>
    <w:rsid w:val="00DE28D0"/>
    <w:rsid w:val="00DE2991"/>
    <w:rsid w:val="00DE32AC"/>
    <w:rsid w:val="00DE383B"/>
    <w:rsid w:val="00DE3E53"/>
    <w:rsid w:val="00DE49BE"/>
    <w:rsid w:val="00DE4FB0"/>
    <w:rsid w:val="00DE6576"/>
    <w:rsid w:val="00DE6A24"/>
    <w:rsid w:val="00DF1110"/>
    <w:rsid w:val="00DF1D70"/>
    <w:rsid w:val="00DF2F42"/>
    <w:rsid w:val="00DF4614"/>
    <w:rsid w:val="00DF5A43"/>
    <w:rsid w:val="00DF6D10"/>
    <w:rsid w:val="00DF753C"/>
    <w:rsid w:val="00DF7B25"/>
    <w:rsid w:val="00E00311"/>
    <w:rsid w:val="00E007CA"/>
    <w:rsid w:val="00E008A6"/>
    <w:rsid w:val="00E00B67"/>
    <w:rsid w:val="00E015DB"/>
    <w:rsid w:val="00E02C42"/>
    <w:rsid w:val="00E02EDF"/>
    <w:rsid w:val="00E03507"/>
    <w:rsid w:val="00E03D38"/>
    <w:rsid w:val="00E03EE8"/>
    <w:rsid w:val="00E04394"/>
    <w:rsid w:val="00E04840"/>
    <w:rsid w:val="00E05796"/>
    <w:rsid w:val="00E06215"/>
    <w:rsid w:val="00E062BB"/>
    <w:rsid w:val="00E07752"/>
    <w:rsid w:val="00E133FC"/>
    <w:rsid w:val="00E135A1"/>
    <w:rsid w:val="00E14286"/>
    <w:rsid w:val="00E148AE"/>
    <w:rsid w:val="00E1493D"/>
    <w:rsid w:val="00E1496E"/>
    <w:rsid w:val="00E153A9"/>
    <w:rsid w:val="00E168A7"/>
    <w:rsid w:val="00E16C2B"/>
    <w:rsid w:val="00E16EF1"/>
    <w:rsid w:val="00E177A0"/>
    <w:rsid w:val="00E17F63"/>
    <w:rsid w:val="00E20544"/>
    <w:rsid w:val="00E21067"/>
    <w:rsid w:val="00E22DC1"/>
    <w:rsid w:val="00E23CB5"/>
    <w:rsid w:val="00E24016"/>
    <w:rsid w:val="00E249D8"/>
    <w:rsid w:val="00E24F4E"/>
    <w:rsid w:val="00E25FE4"/>
    <w:rsid w:val="00E26076"/>
    <w:rsid w:val="00E26868"/>
    <w:rsid w:val="00E27A44"/>
    <w:rsid w:val="00E27B42"/>
    <w:rsid w:val="00E30070"/>
    <w:rsid w:val="00E32288"/>
    <w:rsid w:val="00E32DF6"/>
    <w:rsid w:val="00E33AB0"/>
    <w:rsid w:val="00E3451B"/>
    <w:rsid w:val="00E347D6"/>
    <w:rsid w:val="00E34F74"/>
    <w:rsid w:val="00E355A7"/>
    <w:rsid w:val="00E35878"/>
    <w:rsid w:val="00E35A74"/>
    <w:rsid w:val="00E368C3"/>
    <w:rsid w:val="00E37092"/>
    <w:rsid w:val="00E373A1"/>
    <w:rsid w:val="00E3764A"/>
    <w:rsid w:val="00E405BE"/>
    <w:rsid w:val="00E40603"/>
    <w:rsid w:val="00E40CCD"/>
    <w:rsid w:val="00E424A4"/>
    <w:rsid w:val="00E43AC2"/>
    <w:rsid w:val="00E43B84"/>
    <w:rsid w:val="00E43C06"/>
    <w:rsid w:val="00E4495D"/>
    <w:rsid w:val="00E449B1"/>
    <w:rsid w:val="00E44AD0"/>
    <w:rsid w:val="00E4522A"/>
    <w:rsid w:val="00E45EF8"/>
    <w:rsid w:val="00E45FB5"/>
    <w:rsid w:val="00E4714A"/>
    <w:rsid w:val="00E479CF"/>
    <w:rsid w:val="00E47B31"/>
    <w:rsid w:val="00E501F7"/>
    <w:rsid w:val="00E5082D"/>
    <w:rsid w:val="00E51433"/>
    <w:rsid w:val="00E5182E"/>
    <w:rsid w:val="00E51BE2"/>
    <w:rsid w:val="00E51FED"/>
    <w:rsid w:val="00E5220C"/>
    <w:rsid w:val="00E53D1F"/>
    <w:rsid w:val="00E54062"/>
    <w:rsid w:val="00E54719"/>
    <w:rsid w:val="00E54C9F"/>
    <w:rsid w:val="00E574A9"/>
    <w:rsid w:val="00E57F39"/>
    <w:rsid w:val="00E6048E"/>
    <w:rsid w:val="00E60628"/>
    <w:rsid w:val="00E61355"/>
    <w:rsid w:val="00E613BC"/>
    <w:rsid w:val="00E61F1E"/>
    <w:rsid w:val="00E6212E"/>
    <w:rsid w:val="00E62D72"/>
    <w:rsid w:val="00E63AF4"/>
    <w:rsid w:val="00E654FC"/>
    <w:rsid w:val="00E65778"/>
    <w:rsid w:val="00E66861"/>
    <w:rsid w:val="00E66E21"/>
    <w:rsid w:val="00E67063"/>
    <w:rsid w:val="00E67BDE"/>
    <w:rsid w:val="00E70E04"/>
    <w:rsid w:val="00E70E45"/>
    <w:rsid w:val="00E70F38"/>
    <w:rsid w:val="00E710FC"/>
    <w:rsid w:val="00E71915"/>
    <w:rsid w:val="00E722B2"/>
    <w:rsid w:val="00E723AE"/>
    <w:rsid w:val="00E72514"/>
    <w:rsid w:val="00E72595"/>
    <w:rsid w:val="00E72B08"/>
    <w:rsid w:val="00E73559"/>
    <w:rsid w:val="00E74197"/>
    <w:rsid w:val="00E752CF"/>
    <w:rsid w:val="00E7553E"/>
    <w:rsid w:val="00E759D1"/>
    <w:rsid w:val="00E763A3"/>
    <w:rsid w:val="00E76BC9"/>
    <w:rsid w:val="00E76E8E"/>
    <w:rsid w:val="00E77E6A"/>
    <w:rsid w:val="00E80916"/>
    <w:rsid w:val="00E81312"/>
    <w:rsid w:val="00E816DA"/>
    <w:rsid w:val="00E82938"/>
    <w:rsid w:val="00E83B02"/>
    <w:rsid w:val="00E840DF"/>
    <w:rsid w:val="00E841E0"/>
    <w:rsid w:val="00E8452A"/>
    <w:rsid w:val="00E84AC0"/>
    <w:rsid w:val="00E84FA4"/>
    <w:rsid w:val="00E8560F"/>
    <w:rsid w:val="00E85879"/>
    <w:rsid w:val="00E85CAF"/>
    <w:rsid w:val="00E8780A"/>
    <w:rsid w:val="00E9154B"/>
    <w:rsid w:val="00E957FC"/>
    <w:rsid w:val="00E96443"/>
    <w:rsid w:val="00E96C77"/>
    <w:rsid w:val="00E96E08"/>
    <w:rsid w:val="00EA0289"/>
    <w:rsid w:val="00EA09FE"/>
    <w:rsid w:val="00EA1E7B"/>
    <w:rsid w:val="00EA24D6"/>
    <w:rsid w:val="00EA275C"/>
    <w:rsid w:val="00EA2A8F"/>
    <w:rsid w:val="00EA3B26"/>
    <w:rsid w:val="00EA4A06"/>
    <w:rsid w:val="00EA5F50"/>
    <w:rsid w:val="00EA725C"/>
    <w:rsid w:val="00EA75F3"/>
    <w:rsid w:val="00EB11D1"/>
    <w:rsid w:val="00EB181B"/>
    <w:rsid w:val="00EB1CA4"/>
    <w:rsid w:val="00EB2CA1"/>
    <w:rsid w:val="00EB2DEA"/>
    <w:rsid w:val="00EB5581"/>
    <w:rsid w:val="00EB5660"/>
    <w:rsid w:val="00EB5BD1"/>
    <w:rsid w:val="00EB6248"/>
    <w:rsid w:val="00EB6CB3"/>
    <w:rsid w:val="00EC0948"/>
    <w:rsid w:val="00EC1F02"/>
    <w:rsid w:val="00EC2A09"/>
    <w:rsid w:val="00EC3288"/>
    <w:rsid w:val="00EC341C"/>
    <w:rsid w:val="00EC3DF0"/>
    <w:rsid w:val="00EC4554"/>
    <w:rsid w:val="00EC4919"/>
    <w:rsid w:val="00EC4B9D"/>
    <w:rsid w:val="00EC512F"/>
    <w:rsid w:val="00EC5EBD"/>
    <w:rsid w:val="00EC6743"/>
    <w:rsid w:val="00ED016A"/>
    <w:rsid w:val="00ED044D"/>
    <w:rsid w:val="00ED05E0"/>
    <w:rsid w:val="00ED0BDF"/>
    <w:rsid w:val="00ED1657"/>
    <w:rsid w:val="00ED1CE6"/>
    <w:rsid w:val="00ED38DC"/>
    <w:rsid w:val="00ED3E55"/>
    <w:rsid w:val="00ED3E5B"/>
    <w:rsid w:val="00ED44F0"/>
    <w:rsid w:val="00ED4E89"/>
    <w:rsid w:val="00ED50D0"/>
    <w:rsid w:val="00ED5637"/>
    <w:rsid w:val="00ED5A72"/>
    <w:rsid w:val="00ED6618"/>
    <w:rsid w:val="00ED6DDC"/>
    <w:rsid w:val="00ED7731"/>
    <w:rsid w:val="00EE043F"/>
    <w:rsid w:val="00EE0CDB"/>
    <w:rsid w:val="00EE11FE"/>
    <w:rsid w:val="00EE1F07"/>
    <w:rsid w:val="00EE4204"/>
    <w:rsid w:val="00EE5355"/>
    <w:rsid w:val="00EE62C2"/>
    <w:rsid w:val="00EE6620"/>
    <w:rsid w:val="00EE7083"/>
    <w:rsid w:val="00EE71C9"/>
    <w:rsid w:val="00EF01FE"/>
    <w:rsid w:val="00EF06F7"/>
    <w:rsid w:val="00EF1982"/>
    <w:rsid w:val="00EF352D"/>
    <w:rsid w:val="00EF3A15"/>
    <w:rsid w:val="00EF3A3F"/>
    <w:rsid w:val="00EF45C1"/>
    <w:rsid w:val="00EF4AEE"/>
    <w:rsid w:val="00EF6E41"/>
    <w:rsid w:val="00F00474"/>
    <w:rsid w:val="00F023DD"/>
    <w:rsid w:val="00F03659"/>
    <w:rsid w:val="00F03BF4"/>
    <w:rsid w:val="00F03F3B"/>
    <w:rsid w:val="00F0469B"/>
    <w:rsid w:val="00F0548B"/>
    <w:rsid w:val="00F054E5"/>
    <w:rsid w:val="00F0580B"/>
    <w:rsid w:val="00F06EAE"/>
    <w:rsid w:val="00F07468"/>
    <w:rsid w:val="00F0789C"/>
    <w:rsid w:val="00F07B81"/>
    <w:rsid w:val="00F07FE1"/>
    <w:rsid w:val="00F1031E"/>
    <w:rsid w:val="00F11B25"/>
    <w:rsid w:val="00F11DDC"/>
    <w:rsid w:val="00F1219B"/>
    <w:rsid w:val="00F12774"/>
    <w:rsid w:val="00F1302B"/>
    <w:rsid w:val="00F13F76"/>
    <w:rsid w:val="00F146D8"/>
    <w:rsid w:val="00F14801"/>
    <w:rsid w:val="00F153C1"/>
    <w:rsid w:val="00F15EEB"/>
    <w:rsid w:val="00F15F69"/>
    <w:rsid w:val="00F169E6"/>
    <w:rsid w:val="00F17700"/>
    <w:rsid w:val="00F17C3A"/>
    <w:rsid w:val="00F20326"/>
    <w:rsid w:val="00F2176B"/>
    <w:rsid w:val="00F217E8"/>
    <w:rsid w:val="00F21C2A"/>
    <w:rsid w:val="00F22D82"/>
    <w:rsid w:val="00F22FE8"/>
    <w:rsid w:val="00F23945"/>
    <w:rsid w:val="00F23A8E"/>
    <w:rsid w:val="00F23DAE"/>
    <w:rsid w:val="00F241F6"/>
    <w:rsid w:val="00F2603D"/>
    <w:rsid w:val="00F268D9"/>
    <w:rsid w:val="00F26D40"/>
    <w:rsid w:val="00F3043E"/>
    <w:rsid w:val="00F31FEB"/>
    <w:rsid w:val="00F32679"/>
    <w:rsid w:val="00F32EBA"/>
    <w:rsid w:val="00F33CD7"/>
    <w:rsid w:val="00F33EF7"/>
    <w:rsid w:val="00F33FA7"/>
    <w:rsid w:val="00F340B6"/>
    <w:rsid w:val="00F344CE"/>
    <w:rsid w:val="00F3450F"/>
    <w:rsid w:val="00F361B7"/>
    <w:rsid w:val="00F36F5F"/>
    <w:rsid w:val="00F370CE"/>
    <w:rsid w:val="00F40BAE"/>
    <w:rsid w:val="00F4133D"/>
    <w:rsid w:val="00F4209B"/>
    <w:rsid w:val="00F42B78"/>
    <w:rsid w:val="00F42FDB"/>
    <w:rsid w:val="00F460ED"/>
    <w:rsid w:val="00F462CB"/>
    <w:rsid w:val="00F471A5"/>
    <w:rsid w:val="00F47C26"/>
    <w:rsid w:val="00F47D42"/>
    <w:rsid w:val="00F5089C"/>
    <w:rsid w:val="00F511BF"/>
    <w:rsid w:val="00F52F93"/>
    <w:rsid w:val="00F531ED"/>
    <w:rsid w:val="00F54608"/>
    <w:rsid w:val="00F546E7"/>
    <w:rsid w:val="00F54AA1"/>
    <w:rsid w:val="00F552F2"/>
    <w:rsid w:val="00F55633"/>
    <w:rsid w:val="00F55E52"/>
    <w:rsid w:val="00F562F5"/>
    <w:rsid w:val="00F56840"/>
    <w:rsid w:val="00F57669"/>
    <w:rsid w:val="00F57EF0"/>
    <w:rsid w:val="00F60AC4"/>
    <w:rsid w:val="00F6147C"/>
    <w:rsid w:val="00F616B8"/>
    <w:rsid w:val="00F61A8F"/>
    <w:rsid w:val="00F61F36"/>
    <w:rsid w:val="00F62539"/>
    <w:rsid w:val="00F627E2"/>
    <w:rsid w:val="00F6316F"/>
    <w:rsid w:val="00F632F4"/>
    <w:rsid w:val="00F63F61"/>
    <w:rsid w:val="00F63FBE"/>
    <w:rsid w:val="00F66DFC"/>
    <w:rsid w:val="00F67773"/>
    <w:rsid w:val="00F708DD"/>
    <w:rsid w:val="00F70BFE"/>
    <w:rsid w:val="00F71460"/>
    <w:rsid w:val="00F71520"/>
    <w:rsid w:val="00F72C21"/>
    <w:rsid w:val="00F73753"/>
    <w:rsid w:val="00F74525"/>
    <w:rsid w:val="00F7551D"/>
    <w:rsid w:val="00F7590F"/>
    <w:rsid w:val="00F75FE2"/>
    <w:rsid w:val="00F77148"/>
    <w:rsid w:val="00F772CC"/>
    <w:rsid w:val="00F77524"/>
    <w:rsid w:val="00F83A05"/>
    <w:rsid w:val="00F84742"/>
    <w:rsid w:val="00F8569E"/>
    <w:rsid w:val="00F85A14"/>
    <w:rsid w:val="00F85D6D"/>
    <w:rsid w:val="00F862BB"/>
    <w:rsid w:val="00F86343"/>
    <w:rsid w:val="00F86A7D"/>
    <w:rsid w:val="00F8710A"/>
    <w:rsid w:val="00F9071B"/>
    <w:rsid w:val="00F90EB0"/>
    <w:rsid w:val="00F911DD"/>
    <w:rsid w:val="00F913C6"/>
    <w:rsid w:val="00F91DA0"/>
    <w:rsid w:val="00F9311D"/>
    <w:rsid w:val="00F9340B"/>
    <w:rsid w:val="00F94864"/>
    <w:rsid w:val="00F95AED"/>
    <w:rsid w:val="00F95BDD"/>
    <w:rsid w:val="00F95D2B"/>
    <w:rsid w:val="00F966B7"/>
    <w:rsid w:val="00F97795"/>
    <w:rsid w:val="00F97E76"/>
    <w:rsid w:val="00FA02EE"/>
    <w:rsid w:val="00FA0CC0"/>
    <w:rsid w:val="00FA221B"/>
    <w:rsid w:val="00FA2556"/>
    <w:rsid w:val="00FA33A6"/>
    <w:rsid w:val="00FA3D6D"/>
    <w:rsid w:val="00FA4D82"/>
    <w:rsid w:val="00FA6ECC"/>
    <w:rsid w:val="00FA7B80"/>
    <w:rsid w:val="00FB0094"/>
    <w:rsid w:val="00FB02F3"/>
    <w:rsid w:val="00FB0B18"/>
    <w:rsid w:val="00FB0CA8"/>
    <w:rsid w:val="00FB1063"/>
    <w:rsid w:val="00FB18EA"/>
    <w:rsid w:val="00FB1D8B"/>
    <w:rsid w:val="00FB2ACA"/>
    <w:rsid w:val="00FB34AE"/>
    <w:rsid w:val="00FB49A4"/>
    <w:rsid w:val="00FB55B9"/>
    <w:rsid w:val="00FB5E5E"/>
    <w:rsid w:val="00FB673E"/>
    <w:rsid w:val="00FB73E4"/>
    <w:rsid w:val="00FB753B"/>
    <w:rsid w:val="00FB7549"/>
    <w:rsid w:val="00FC0C4F"/>
    <w:rsid w:val="00FC154B"/>
    <w:rsid w:val="00FC1C90"/>
    <w:rsid w:val="00FC304E"/>
    <w:rsid w:val="00FC3D57"/>
    <w:rsid w:val="00FC3EB4"/>
    <w:rsid w:val="00FC51B8"/>
    <w:rsid w:val="00FC5799"/>
    <w:rsid w:val="00FC5B86"/>
    <w:rsid w:val="00FC5FD1"/>
    <w:rsid w:val="00FC6C2D"/>
    <w:rsid w:val="00FC6E33"/>
    <w:rsid w:val="00FC76F8"/>
    <w:rsid w:val="00FD09CC"/>
    <w:rsid w:val="00FD0DE4"/>
    <w:rsid w:val="00FD1059"/>
    <w:rsid w:val="00FD16AB"/>
    <w:rsid w:val="00FD181B"/>
    <w:rsid w:val="00FD228E"/>
    <w:rsid w:val="00FD2AC9"/>
    <w:rsid w:val="00FD2D16"/>
    <w:rsid w:val="00FD2E3A"/>
    <w:rsid w:val="00FD38DC"/>
    <w:rsid w:val="00FD429F"/>
    <w:rsid w:val="00FD51D3"/>
    <w:rsid w:val="00FD548B"/>
    <w:rsid w:val="00FD5AB3"/>
    <w:rsid w:val="00FD637D"/>
    <w:rsid w:val="00FD6457"/>
    <w:rsid w:val="00FD750B"/>
    <w:rsid w:val="00FD755E"/>
    <w:rsid w:val="00FD7CD3"/>
    <w:rsid w:val="00FD7F22"/>
    <w:rsid w:val="00FE1167"/>
    <w:rsid w:val="00FE166F"/>
    <w:rsid w:val="00FE1A62"/>
    <w:rsid w:val="00FE3045"/>
    <w:rsid w:val="00FE326C"/>
    <w:rsid w:val="00FE3A4D"/>
    <w:rsid w:val="00FE410C"/>
    <w:rsid w:val="00FE44C5"/>
    <w:rsid w:val="00FE5825"/>
    <w:rsid w:val="00FE64F0"/>
    <w:rsid w:val="00FE66CC"/>
    <w:rsid w:val="00FE6A13"/>
    <w:rsid w:val="00FE74AB"/>
    <w:rsid w:val="00FF0205"/>
    <w:rsid w:val="00FF1021"/>
    <w:rsid w:val="00FF141F"/>
    <w:rsid w:val="00FF280D"/>
    <w:rsid w:val="00FF28D9"/>
    <w:rsid w:val="00FF28DD"/>
    <w:rsid w:val="00FF32E3"/>
    <w:rsid w:val="00FF3D73"/>
    <w:rsid w:val="00FF4039"/>
    <w:rsid w:val="00FF406D"/>
    <w:rsid w:val="00FF441D"/>
    <w:rsid w:val="00FF5AD8"/>
    <w:rsid w:val="00FF5CE3"/>
    <w:rsid w:val="00FF604D"/>
    <w:rsid w:val="00FF6F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2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5E1D96"/>
  </w:style>
  <w:style w:type="character" w:styleId="CommentReference">
    <w:name w:val="annotation reference"/>
    <w:basedOn w:val="DefaultParagraphFont"/>
    <w:uiPriority w:val="99"/>
    <w:semiHidden/>
    <w:unhideWhenUsed/>
    <w:locked/>
    <w:rsid w:val="00243742"/>
    <w:rPr>
      <w:sz w:val="16"/>
      <w:szCs w:val="16"/>
    </w:rPr>
  </w:style>
  <w:style w:type="paragraph" w:styleId="CommentText">
    <w:name w:val="annotation text"/>
    <w:basedOn w:val="Normal"/>
    <w:link w:val="CommentTextChar"/>
    <w:uiPriority w:val="99"/>
    <w:unhideWhenUsed/>
    <w:locked/>
    <w:rsid w:val="00243742"/>
    <w:pPr>
      <w:spacing w:line="240" w:lineRule="auto"/>
    </w:pPr>
    <w:rPr>
      <w:sz w:val="20"/>
      <w:szCs w:val="20"/>
    </w:rPr>
  </w:style>
  <w:style w:type="character" w:customStyle="1" w:styleId="CommentTextChar">
    <w:name w:val="Comment Text Char"/>
    <w:basedOn w:val="DefaultParagraphFont"/>
    <w:link w:val="CommentText"/>
    <w:uiPriority w:val="99"/>
    <w:rsid w:val="00243742"/>
    <w:rPr>
      <w:sz w:val="20"/>
      <w:szCs w:val="20"/>
    </w:rPr>
  </w:style>
  <w:style w:type="paragraph" w:styleId="CommentSubject">
    <w:name w:val="annotation subject"/>
    <w:basedOn w:val="CommentText"/>
    <w:next w:val="CommentText"/>
    <w:link w:val="CommentSubjectChar"/>
    <w:uiPriority w:val="99"/>
    <w:semiHidden/>
    <w:unhideWhenUsed/>
    <w:locked/>
    <w:rsid w:val="00243742"/>
    <w:rPr>
      <w:b/>
      <w:bCs/>
    </w:rPr>
  </w:style>
  <w:style w:type="character" w:customStyle="1" w:styleId="CommentSubjectChar">
    <w:name w:val="Comment Subject Char"/>
    <w:basedOn w:val="CommentTextChar"/>
    <w:link w:val="CommentSubject"/>
    <w:uiPriority w:val="99"/>
    <w:semiHidden/>
    <w:rsid w:val="00243742"/>
    <w:rPr>
      <w:b/>
      <w:bCs/>
      <w:sz w:val="20"/>
      <w:szCs w:val="20"/>
    </w:rPr>
  </w:style>
  <w:style w:type="paragraph" w:customStyle="1" w:styleId="Body">
    <w:name w:val="Body"/>
    <w:basedOn w:val="Normal"/>
    <w:qFormat/>
    <w:rsid w:val="005979A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5979A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5979AE"/>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5979AE"/>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5979AE"/>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5979AE"/>
    <w:pPr>
      <w:jc w:val="center"/>
    </w:pPr>
    <w:rPr>
      <w:rFonts w:ascii="Times New Roman" w:hAnsi="Times New Roman"/>
      <w:bCs/>
      <w:szCs w:val="20"/>
      <w:lang w:val="en-GB"/>
    </w:rPr>
  </w:style>
  <w:style w:type="paragraph" w:customStyle="1" w:styleId="Default">
    <w:name w:val="Default"/>
    <w:rsid w:val="005979A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7E75E192-A89E-40B5-808F-C329DB91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f63ed390-b236-4707-8d68-be30f09f3c76"/>
    <ds:schemaRef ds:uri="d1657e0f-20c3-42e8-b7e4-9e90bec0ddbc"/>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25</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2025-12-01T06:45:00Z</dcterms:created>
  <dcterms:modified xsi:type="dcterms:W3CDTF">2025-12-01T06:45:00Z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