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37B2D" w14:textId="77777777" w:rsidR="00CD054E" w:rsidRPr="00704FF8" w:rsidRDefault="00CD054E" w:rsidP="00704FF8">
      <w:pPr>
        <w:pStyle w:val="OrdersTopLine"/>
      </w:pPr>
      <w:r w:rsidRPr="00704FF8">
        <w:t>HIGH COURT OF AUSTRALIA</w:t>
      </w:r>
    </w:p>
    <w:p w14:paraId="66E9618F" w14:textId="77777777" w:rsidR="00CD054E" w:rsidRPr="00704FF8" w:rsidRDefault="00CD054E" w:rsidP="00704FF8">
      <w:pPr>
        <w:pStyle w:val="OrderCentre"/>
      </w:pPr>
    </w:p>
    <w:p w14:paraId="2250A097" w14:textId="77777777" w:rsidR="00CD054E" w:rsidRPr="00C46004" w:rsidRDefault="00CD054E" w:rsidP="00704FF8">
      <w:pPr>
        <w:pStyle w:val="OrderCentre"/>
        <w:rPr>
          <w:spacing w:val="-4"/>
          <w:sz w:val="24"/>
          <w:szCs w:val="24"/>
        </w:rPr>
      </w:pPr>
      <w:r w:rsidRPr="00C46004">
        <w:rPr>
          <w:spacing w:val="-4"/>
          <w:sz w:val="24"/>
          <w:szCs w:val="24"/>
        </w:rPr>
        <w:t>GAGELER CJ,</w:t>
      </w:r>
    </w:p>
    <w:p w14:paraId="0A2D7B14" w14:textId="77777777" w:rsidR="00CD054E" w:rsidRPr="00704FF8" w:rsidRDefault="00CD054E" w:rsidP="00704FF8">
      <w:pPr>
        <w:pStyle w:val="OrderCentre"/>
      </w:pPr>
      <w:r w:rsidRPr="00C46004">
        <w:rPr>
          <w:spacing w:val="-4"/>
          <w:sz w:val="24"/>
          <w:szCs w:val="24"/>
        </w:rPr>
        <w:t>GORDON, EDELMAN, STEWARD, GLEESON, JAGOT AND BEECH</w:t>
      </w:r>
      <w:r w:rsidRPr="00C46004">
        <w:rPr>
          <w:spacing w:val="-4"/>
          <w:sz w:val="24"/>
          <w:szCs w:val="24"/>
        </w:rPr>
        <w:noBreakHyphen/>
        <w:t>JONES JJ</w:t>
      </w:r>
    </w:p>
    <w:p w14:paraId="0DD766EA" w14:textId="77777777" w:rsidR="00CD054E" w:rsidRPr="00427F3A" w:rsidRDefault="00CD054E" w:rsidP="00EE5374">
      <w:pPr>
        <w:pStyle w:val="Centre"/>
        <w:rPr>
          <w:lang w:val="en-AU"/>
        </w:rPr>
      </w:pPr>
    </w:p>
    <w:p w14:paraId="1B93DEC6" w14:textId="77777777" w:rsidR="00CD054E" w:rsidRPr="00704FF8" w:rsidRDefault="00CD054E" w:rsidP="00704FF8">
      <w:pPr>
        <w:pStyle w:val="OrdersCenteredBorder"/>
      </w:pPr>
    </w:p>
    <w:p w14:paraId="12D61B83" w14:textId="77777777" w:rsidR="00CD054E" w:rsidRPr="00DC0B08" w:rsidRDefault="00CD054E" w:rsidP="00596BE9">
      <w:pPr>
        <w:pStyle w:val="OrdersBodyHeading"/>
      </w:pPr>
    </w:p>
    <w:p w14:paraId="3AEA324D" w14:textId="77777777" w:rsidR="00CD054E" w:rsidRPr="00DC0B08" w:rsidRDefault="00CD054E" w:rsidP="00596BE9">
      <w:pPr>
        <w:pStyle w:val="OrdersPartyName"/>
        <w:ind w:right="-1"/>
        <w:rPr>
          <w:b/>
        </w:rPr>
      </w:pPr>
      <w:r w:rsidRPr="00DC0B08">
        <w:rPr>
          <w:b/>
        </w:rPr>
        <w:t>Matter No M98/2024</w:t>
      </w:r>
    </w:p>
    <w:p w14:paraId="45989947" w14:textId="77777777" w:rsidR="00CD054E" w:rsidRPr="00DC0B08" w:rsidRDefault="00CD054E" w:rsidP="00596BE9">
      <w:pPr>
        <w:pStyle w:val="OrdersPartyName"/>
        <w:ind w:right="-1"/>
      </w:pPr>
    </w:p>
    <w:p w14:paraId="0A3D0273" w14:textId="77777777" w:rsidR="00CD054E" w:rsidRPr="00DC0B08" w:rsidRDefault="00CD054E" w:rsidP="00596BE9">
      <w:pPr>
        <w:pStyle w:val="OrdersPartyName"/>
        <w:ind w:right="-1"/>
      </w:pPr>
      <w:r w:rsidRPr="00DC0B08">
        <w:t>COMMISSIONER OF TAXATION</w:t>
      </w:r>
      <w:r w:rsidRPr="00DC0B08">
        <w:tab/>
        <w:t>APPELLANT</w:t>
      </w:r>
    </w:p>
    <w:p w14:paraId="6193BE75" w14:textId="77777777" w:rsidR="00CD054E" w:rsidRPr="00DC0B08" w:rsidRDefault="00CD054E" w:rsidP="00596BE9">
      <w:pPr>
        <w:pStyle w:val="OrdersPartyName"/>
        <w:ind w:right="-1"/>
      </w:pPr>
    </w:p>
    <w:p w14:paraId="7BFE6FAF" w14:textId="77777777" w:rsidR="00CD054E" w:rsidRPr="00DC0B08" w:rsidRDefault="00CD054E" w:rsidP="00596BE9">
      <w:pPr>
        <w:pStyle w:val="OrdersPartyName"/>
        <w:ind w:right="-1"/>
      </w:pPr>
      <w:r w:rsidRPr="00DC0B08">
        <w:t>AND</w:t>
      </w:r>
    </w:p>
    <w:p w14:paraId="6B0F7CF7" w14:textId="77777777" w:rsidR="00CD054E" w:rsidRPr="00DC0B08" w:rsidRDefault="00CD054E" w:rsidP="00596BE9">
      <w:pPr>
        <w:pStyle w:val="OrdersPartyName"/>
        <w:ind w:right="-1"/>
      </w:pPr>
    </w:p>
    <w:p w14:paraId="4C39FB41" w14:textId="77777777" w:rsidR="00CD054E" w:rsidRPr="00DC0B08" w:rsidRDefault="00CD054E" w:rsidP="00596BE9">
      <w:pPr>
        <w:pStyle w:val="OrdersPartyName"/>
        <w:ind w:right="-1"/>
      </w:pPr>
      <w:r w:rsidRPr="00DC0B08">
        <w:t>PEPSICO, INC.</w:t>
      </w:r>
      <w:r w:rsidRPr="00DC0B08">
        <w:tab/>
        <w:t>RESPONDENT</w:t>
      </w:r>
    </w:p>
    <w:p w14:paraId="6768B943" w14:textId="77777777" w:rsidR="00CD054E" w:rsidRPr="00DC0B08" w:rsidRDefault="00CD054E" w:rsidP="00596BE9">
      <w:pPr>
        <w:pStyle w:val="OrdersBodyHeading"/>
      </w:pPr>
    </w:p>
    <w:p w14:paraId="37983893" w14:textId="77777777" w:rsidR="00CD054E" w:rsidRPr="00DC0B08" w:rsidRDefault="00CD054E" w:rsidP="00596BE9">
      <w:pPr>
        <w:pStyle w:val="OrdersPartyName"/>
        <w:ind w:right="-1"/>
        <w:rPr>
          <w:b/>
        </w:rPr>
      </w:pPr>
      <w:r w:rsidRPr="00DC0B08">
        <w:rPr>
          <w:b/>
        </w:rPr>
        <w:t>Matter No M99/2024</w:t>
      </w:r>
    </w:p>
    <w:p w14:paraId="65BF3531" w14:textId="77777777" w:rsidR="00CD054E" w:rsidRPr="00DC0B08" w:rsidRDefault="00CD054E" w:rsidP="00596BE9">
      <w:pPr>
        <w:pStyle w:val="OrdersPartyName"/>
        <w:ind w:right="-1"/>
      </w:pPr>
    </w:p>
    <w:p w14:paraId="7368982D" w14:textId="77777777" w:rsidR="00CD054E" w:rsidRPr="00DC0B08" w:rsidRDefault="00CD054E" w:rsidP="005C70E8">
      <w:pPr>
        <w:pStyle w:val="OrdersPartyName"/>
        <w:ind w:right="-1"/>
      </w:pPr>
      <w:r w:rsidRPr="00DC0B08">
        <w:t>COMMISSIONER OF TAXATION</w:t>
      </w:r>
      <w:r w:rsidRPr="00DC0B08">
        <w:tab/>
        <w:t>APPELLANT</w:t>
      </w:r>
    </w:p>
    <w:p w14:paraId="0EA2EE76" w14:textId="77777777" w:rsidR="00CD054E" w:rsidRPr="00DC0B08" w:rsidRDefault="00CD054E" w:rsidP="00596BE9">
      <w:pPr>
        <w:pStyle w:val="OrdersPartyName"/>
        <w:ind w:right="-1"/>
      </w:pPr>
    </w:p>
    <w:p w14:paraId="1BA2DEF0" w14:textId="77777777" w:rsidR="00CD054E" w:rsidRPr="00DC0B08" w:rsidRDefault="00CD054E" w:rsidP="00596BE9">
      <w:pPr>
        <w:pStyle w:val="OrdersPartyName"/>
        <w:ind w:right="-1"/>
      </w:pPr>
      <w:r w:rsidRPr="00DC0B08">
        <w:t>AND</w:t>
      </w:r>
    </w:p>
    <w:p w14:paraId="524F6E42" w14:textId="77777777" w:rsidR="00CD054E" w:rsidRPr="00DC0B08" w:rsidRDefault="00CD054E" w:rsidP="00596BE9">
      <w:pPr>
        <w:pStyle w:val="OrdersPartyName"/>
        <w:ind w:right="-1"/>
      </w:pPr>
    </w:p>
    <w:p w14:paraId="4C45C858" w14:textId="77777777" w:rsidR="00CD054E" w:rsidRPr="00DC0B08" w:rsidRDefault="00CD054E" w:rsidP="00596BE9">
      <w:pPr>
        <w:pStyle w:val="OrdersPartyName"/>
        <w:ind w:right="-1"/>
      </w:pPr>
      <w:r w:rsidRPr="00DC0B08">
        <w:t>STOKELY-VAN CAMP, INC.</w:t>
      </w:r>
      <w:r w:rsidRPr="00DC0B08">
        <w:tab/>
        <w:t>RESPONDENT</w:t>
      </w:r>
    </w:p>
    <w:p w14:paraId="2C23C72A" w14:textId="77777777" w:rsidR="00CD054E" w:rsidRPr="00DC0B08" w:rsidRDefault="00CD054E" w:rsidP="00596BE9">
      <w:pPr>
        <w:pStyle w:val="OrdersPartyName"/>
        <w:ind w:right="-1"/>
      </w:pPr>
    </w:p>
    <w:p w14:paraId="739C5F03" w14:textId="77777777" w:rsidR="00CD054E" w:rsidRPr="00DC0B08" w:rsidRDefault="00CD054E" w:rsidP="005C70E8">
      <w:pPr>
        <w:pStyle w:val="OrdersPartyName"/>
        <w:ind w:right="-1"/>
        <w:rPr>
          <w:b/>
        </w:rPr>
      </w:pPr>
      <w:r w:rsidRPr="00DC0B08">
        <w:rPr>
          <w:b/>
        </w:rPr>
        <w:t>Matter No M100/2024</w:t>
      </w:r>
    </w:p>
    <w:p w14:paraId="50F5DE3D" w14:textId="77777777" w:rsidR="00CD054E" w:rsidRPr="00DC0B08" w:rsidRDefault="00CD054E" w:rsidP="005C70E8">
      <w:pPr>
        <w:pStyle w:val="OrdersPartyName"/>
        <w:ind w:right="-1"/>
      </w:pPr>
    </w:p>
    <w:p w14:paraId="035BB696" w14:textId="77777777" w:rsidR="00CD054E" w:rsidRPr="00DC0B08" w:rsidRDefault="00CD054E" w:rsidP="005C70E8">
      <w:pPr>
        <w:pStyle w:val="OrdersPartyName"/>
        <w:ind w:right="-1"/>
      </w:pPr>
      <w:r w:rsidRPr="00DC0B08">
        <w:t>COMMISSIONER OF TAXATION</w:t>
      </w:r>
      <w:r w:rsidRPr="00DC0B08">
        <w:tab/>
        <w:t>APPELLANT</w:t>
      </w:r>
    </w:p>
    <w:p w14:paraId="70784599" w14:textId="77777777" w:rsidR="00CD054E" w:rsidRPr="00DC0B08" w:rsidRDefault="00CD054E" w:rsidP="005C70E8">
      <w:pPr>
        <w:pStyle w:val="OrdersPartyName"/>
        <w:ind w:right="-1"/>
      </w:pPr>
    </w:p>
    <w:p w14:paraId="5112E5C2" w14:textId="77777777" w:rsidR="00CD054E" w:rsidRPr="00DC0B08" w:rsidRDefault="00CD054E" w:rsidP="005C70E8">
      <w:pPr>
        <w:pStyle w:val="OrdersPartyName"/>
        <w:ind w:right="-1"/>
      </w:pPr>
      <w:r w:rsidRPr="00DC0B08">
        <w:t>AND</w:t>
      </w:r>
    </w:p>
    <w:p w14:paraId="5D0521F6" w14:textId="77777777" w:rsidR="00CD054E" w:rsidRPr="00DC0B08" w:rsidRDefault="00CD054E" w:rsidP="005C70E8">
      <w:pPr>
        <w:pStyle w:val="OrdersPartyName"/>
        <w:ind w:right="-1"/>
      </w:pPr>
    </w:p>
    <w:p w14:paraId="28F4B615" w14:textId="77777777" w:rsidR="00CD054E" w:rsidRPr="00DC0B08" w:rsidRDefault="00CD054E" w:rsidP="005C70E8">
      <w:pPr>
        <w:pStyle w:val="OrdersPartyName"/>
        <w:ind w:right="-1"/>
      </w:pPr>
      <w:r w:rsidRPr="00DC0B08">
        <w:t>PEPSICO, INC.</w:t>
      </w:r>
      <w:r w:rsidRPr="00DC0B08">
        <w:tab/>
        <w:t>RESPONDENT</w:t>
      </w:r>
    </w:p>
    <w:p w14:paraId="4EFA03B1" w14:textId="77777777" w:rsidR="00CD054E" w:rsidRPr="00DC0B08" w:rsidRDefault="00CD054E" w:rsidP="005C70E8">
      <w:pPr>
        <w:pStyle w:val="OrdersBodyHeading"/>
      </w:pPr>
    </w:p>
    <w:p w14:paraId="686C82C0" w14:textId="77777777" w:rsidR="00CD054E" w:rsidRPr="00DC0B08" w:rsidRDefault="00CD054E" w:rsidP="005C70E8">
      <w:pPr>
        <w:pStyle w:val="OrdersPartyName"/>
        <w:ind w:right="-1"/>
        <w:rPr>
          <w:b/>
        </w:rPr>
      </w:pPr>
      <w:r w:rsidRPr="00DC0B08">
        <w:rPr>
          <w:b/>
        </w:rPr>
        <w:t>Matter No M101/2024</w:t>
      </w:r>
    </w:p>
    <w:p w14:paraId="25E0FDB5" w14:textId="77777777" w:rsidR="00CD054E" w:rsidRPr="00DC0B08" w:rsidRDefault="00CD054E" w:rsidP="005C70E8">
      <w:pPr>
        <w:pStyle w:val="OrdersPartyName"/>
        <w:ind w:right="-1"/>
      </w:pPr>
    </w:p>
    <w:p w14:paraId="4371C931" w14:textId="77777777" w:rsidR="00CD054E" w:rsidRPr="00DC0B08" w:rsidRDefault="00CD054E" w:rsidP="00DC0B08">
      <w:pPr>
        <w:pStyle w:val="OrdersPartyName"/>
        <w:ind w:right="-1"/>
      </w:pPr>
      <w:r w:rsidRPr="00DC0B08">
        <w:t>COMMISSIONER OF TAXATION</w:t>
      </w:r>
      <w:r w:rsidRPr="00DC0B08">
        <w:tab/>
        <w:t>APPELLANT</w:t>
      </w:r>
    </w:p>
    <w:p w14:paraId="7F403EBB" w14:textId="77777777" w:rsidR="00CD054E" w:rsidRPr="00DC0B08" w:rsidRDefault="00CD054E" w:rsidP="00DC0B08">
      <w:pPr>
        <w:pStyle w:val="OrdersPartyName"/>
        <w:ind w:right="-1"/>
      </w:pPr>
    </w:p>
    <w:p w14:paraId="5EB37548" w14:textId="77777777" w:rsidR="00CD054E" w:rsidRPr="00DC0B08" w:rsidRDefault="00CD054E" w:rsidP="00DC0B08">
      <w:pPr>
        <w:pStyle w:val="OrdersPartyName"/>
        <w:ind w:right="-1"/>
      </w:pPr>
      <w:r w:rsidRPr="00DC0B08">
        <w:t>AND</w:t>
      </w:r>
    </w:p>
    <w:p w14:paraId="25A733FC" w14:textId="77777777" w:rsidR="00CD054E" w:rsidRPr="00DC0B08" w:rsidRDefault="00CD054E" w:rsidP="00DC0B08">
      <w:pPr>
        <w:pStyle w:val="OrdersPartyName"/>
        <w:ind w:right="-1"/>
      </w:pPr>
    </w:p>
    <w:p w14:paraId="1A820272" w14:textId="77777777" w:rsidR="00CD054E" w:rsidRPr="00DC0B08" w:rsidRDefault="00CD054E" w:rsidP="00DC0B08">
      <w:pPr>
        <w:pStyle w:val="OrdersPartyName"/>
        <w:ind w:right="-1"/>
      </w:pPr>
      <w:r w:rsidRPr="00DC0B08">
        <w:t>PEPSICO, INC.</w:t>
      </w:r>
      <w:r w:rsidRPr="00DC0B08">
        <w:tab/>
        <w:t>RESPONDENT</w:t>
      </w:r>
    </w:p>
    <w:p w14:paraId="08A4963A" w14:textId="77777777" w:rsidR="00CD054E" w:rsidRPr="00DC0B08" w:rsidRDefault="00CD054E" w:rsidP="005C70E8">
      <w:pPr>
        <w:pStyle w:val="OrdersPartyName"/>
        <w:ind w:right="-1"/>
      </w:pPr>
    </w:p>
    <w:p w14:paraId="07352056" w14:textId="77777777" w:rsidR="00CD054E" w:rsidRDefault="00CD054E">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rPr>
      </w:pPr>
      <w:r>
        <w:br w:type="page"/>
      </w:r>
    </w:p>
    <w:p w14:paraId="02FF4C25" w14:textId="77777777" w:rsidR="00CD054E" w:rsidRDefault="00CD054E">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rPr>
      </w:pPr>
      <w:r>
        <w:lastRenderedPageBreak/>
        <w:br w:type="page"/>
      </w:r>
    </w:p>
    <w:p w14:paraId="1E1DBB2A" w14:textId="77777777" w:rsidR="00CD054E" w:rsidRPr="00DC0B08" w:rsidRDefault="00CD054E" w:rsidP="00CD054E">
      <w:pPr>
        <w:pStyle w:val="OrdersPartyName"/>
        <w:ind w:right="-1"/>
        <w:rPr>
          <w:b/>
        </w:rPr>
      </w:pPr>
      <w:r w:rsidRPr="00DC0B08">
        <w:rPr>
          <w:b/>
        </w:rPr>
        <w:lastRenderedPageBreak/>
        <w:t>Matter No M102/2024</w:t>
      </w:r>
    </w:p>
    <w:p w14:paraId="75A1F35A" w14:textId="77777777" w:rsidR="00CD054E" w:rsidRPr="00DC0B08" w:rsidRDefault="00CD054E" w:rsidP="00CD054E">
      <w:pPr>
        <w:pStyle w:val="OrdersPartyName"/>
        <w:ind w:right="-1"/>
      </w:pPr>
    </w:p>
    <w:p w14:paraId="6101AD45" w14:textId="77777777" w:rsidR="00CD054E" w:rsidRPr="00DC0B08" w:rsidRDefault="00CD054E" w:rsidP="00CD054E">
      <w:pPr>
        <w:pStyle w:val="OrdersPartyName"/>
        <w:ind w:right="-1"/>
      </w:pPr>
      <w:r w:rsidRPr="00DC0B08">
        <w:t>COMMISSIONER OF TAXATION</w:t>
      </w:r>
      <w:r w:rsidRPr="00DC0B08">
        <w:tab/>
        <w:t>APPELLANT</w:t>
      </w:r>
    </w:p>
    <w:p w14:paraId="1861075C" w14:textId="77777777" w:rsidR="00CD054E" w:rsidRPr="00DC0B08" w:rsidRDefault="00CD054E" w:rsidP="00CD054E">
      <w:pPr>
        <w:pStyle w:val="OrdersPartyName"/>
        <w:ind w:right="-1"/>
      </w:pPr>
    </w:p>
    <w:p w14:paraId="7FD00004" w14:textId="1C2643AF" w:rsidR="00CD054E" w:rsidRPr="00DC0B08" w:rsidRDefault="00CD054E" w:rsidP="00DC0B08">
      <w:pPr>
        <w:pStyle w:val="OrdersPartyName"/>
        <w:ind w:right="-1"/>
      </w:pPr>
      <w:r w:rsidRPr="00DC0B08">
        <w:t>AND</w:t>
      </w:r>
    </w:p>
    <w:p w14:paraId="699D983B" w14:textId="77777777" w:rsidR="00CD054E" w:rsidRPr="00DC0B08" w:rsidRDefault="00CD054E" w:rsidP="00DC0B08">
      <w:pPr>
        <w:pStyle w:val="OrdersPartyName"/>
        <w:ind w:right="-1"/>
      </w:pPr>
    </w:p>
    <w:p w14:paraId="5DE5F629" w14:textId="77777777" w:rsidR="00CD054E" w:rsidRPr="00DC0B08" w:rsidRDefault="00CD054E" w:rsidP="00DC0B08">
      <w:pPr>
        <w:pStyle w:val="OrdersPartyName"/>
        <w:ind w:right="-1"/>
      </w:pPr>
      <w:r w:rsidRPr="00DC0B08">
        <w:t>STOKELY-VAN CAMP, INC.</w:t>
      </w:r>
      <w:r w:rsidRPr="00DC0B08">
        <w:tab/>
        <w:t>RESPONDENT</w:t>
      </w:r>
    </w:p>
    <w:p w14:paraId="5A215DDB" w14:textId="77777777" w:rsidR="00CD054E" w:rsidRPr="00DC0B08" w:rsidRDefault="00CD054E" w:rsidP="005C70E8">
      <w:pPr>
        <w:pStyle w:val="OrdersBodyHeading"/>
      </w:pPr>
    </w:p>
    <w:p w14:paraId="4D1A8807" w14:textId="77777777" w:rsidR="00CD054E" w:rsidRPr="00DC0B08" w:rsidRDefault="00CD054E" w:rsidP="005C70E8">
      <w:pPr>
        <w:pStyle w:val="OrdersPartyName"/>
        <w:ind w:right="-1"/>
        <w:rPr>
          <w:b/>
        </w:rPr>
      </w:pPr>
      <w:r w:rsidRPr="00DC0B08">
        <w:rPr>
          <w:b/>
        </w:rPr>
        <w:t>Matter No M103/2024</w:t>
      </w:r>
    </w:p>
    <w:p w14:paraId="0DE15CD9" w14:textId="77777777" w:rsidR="00CD054E" w:rsidRPr="00DC0B08" w:rsidRDefault="00CD054E" w:rsidP="005C70E8">
      <w:pPr>
        <w:pStyle w:val="OrdersPartyName"/>
        <w:ind w:right="-1"/>
      </w:pPr>
    </w:p>
    <w:p w14:paraId="19B39E51" w14:textId="77777777" w:rsidR="00CD054E" w:rsidRPr="00DC0B08" w:rsidRDefault="00CD054E" w:rsidP="005C70E8">
      <w:pPr>
        <w:pStyle w:val="OrdersPartyName"/>
        <w:ind w:right="-1"/>
      </w:pPr>
      <w:r w:rsidRPr="00DC0B08">
        <w:t>COMMISSIONER OF TAXATION</w:t>
      </w:r>
      <w:r w:rsidRPr="00DC0B08">
        <w:tab/>
        <w:t>APPELLANT</w:t>
      </w:r>
    </w:p>
    <w:p w14:paraId="1ACD46B8" w14:textId="77777777" w:rsidR="00CD054E" w:rsidRPr="00DC0B08" w:rsidRDefault="00CD054E" w:rsidP="005C70E8">
      <w:pPr>
        <w:pStyle w:val="OrdersPartyName"/>
        <w:ind w:right="-1"/>
      </w:pPr>
    </w:p>
    <w:p w14:paraId="501ECAA6" w14:textId="77777777" w:rsidR="00CD054E" w:rsidRPr="00DC0B08" w:rsidRDefault="00CD054E" w:rsidP="005C70E8">
      <w:pPr>
        <w:pStyle w:val="OrdersPartyName"/>
        <w:ind w:right="-1"/>
      </w:pPr>
      <w:r w:rsidRPr="00DC0B08">
        <w:t>AND</w:t>
      </w:r>
    </w:p>
    <w:p w14:paraId="485118EC" w14:textId="77777777" w:rsidR="00CD054E" w:rsidRPr="00DC0B08" w:rsidRDefault="00CD054E" w:rsidP="005C70E8">
      <w:pPr>
        <w:pStyle w:val="OrdersPartyName"/>
        <w:ind w:right="-1"/>
      </w:pPr>
    </w:p>
    <w:p w14:paraId="6A35EEAC" w14:textId="77777777" w:rsidR="00CD054E" w:rsidRPr="00DC0B08" w:rsidRDefault="00CD054E" w:rsidP="005C70E8">
      <w:pPr>
        <w:pStyle w:val="OrdersPartyName"/>
        <w:ind w:right="-1"/>
      </w:pPr>
      <w:r w:rsidRPr="00DC0B08">
        <w:t>STOKELY-VAN CAMP, INC.</w:t>
      </w:r>
      <w:r w:rsidRPr="00DC0B08">
        <w:tab/>
        <w:t>RESPONDENT</w:t>
      </w:r>
    </w:p>
    <w:p w14:paraId="32122DA1" w14:textId="77777777" w:rsidR="00CD054E" w:rsidRPr="00DC0B08" w:rsidRDefault="00CD054E" w:rsidP="00AF0A5E">
      <w:pPr>
        <w:pStyle w:val="BodyHeading"/>
      </w:pPr>
    </w:p>
    <w:p w14:paraId="7E6D379A" w14:textId="77777777" w:rsidR="00CD054E" w:rsidRPr="00DC0B08" w:rsidRDefault="00CD054E" w:rsidP="00BE0A6C">
      <w:pPr>
        <w:pStyle w:val="BodyHeading"/>
      </w:pPr>
    </w:p>
    <w:p w14:paraId="3EFAFF0A" w14:textId="77777777" w:rsidR="00CD054E" w:rsidRDefault="00CD054E" w:rsidP="005171A7">
      <w:pPr>
        <w:pStyle w:val="CentreItalics"/>
      </w:pPr>
      <w:r>
        <w:t>Commissioner of Taxation v PepsiCo Inc</w:t>
      </w:r>
    </w:p>
    <w:p w14:paraId="3E16F248" w14:textId="77777777" w:rsidR="00CD054E" w:rsidRPr="00427F3A" w:rsidRDefault="00CD054E" w:rsidP="0009731A">
      <w:pPr>
        <w:pStyle w:val="CentreItalics"/>
      </w:pPr>
      <w:r>
        <w:t>Commissioner of Taxation v Stokely-Van Camp Inc</w:t>
      </w:r>
    </w:p>
    <w:p w14:paraId="11599138" w14:textId="77777777" w:rsidR="00CD054E" w:rsidRDefault="00CD054E" w:rsidP="005171A7">
      <w:pPr>
        <w:pStyle w:val="CentreItalics"/>
      </w:pPr>
      <w:r>
        <w:t>Commissioner of Taxation v PepsiCo Inc</w:t>
      </w:r>
    </w:p>
    <w:p w14:paraId="3424DBC0" w14:textId="77777777" w:rsidR="00CD054E" w:rsidRDefault="00CD054E" w:rsidP="005171A7">
      <w:pPr>
        <w:pStyle w:val="CentreItalics"/>
      </w:pPr>
      <w:r>
        <w:t>Commissioner of Taxation v PepsiCo Inc</w:t>
      </w:r>
    </w:p>
    <w:p w14:paraId="050F1664" w14:textId="77777777" w:rsidR="00CD054E" w:rsidRPr="00427F3A" w:rsidRDefault="00CD054E" w:rsidP="0009731A">
      <w:pPr>
        <w:pStyle w:val="CentreItalics"/>
      </w:pPr>
      <w:r>
        <w:t>Commissioner of Taxation v Stokely-Van Camp Inc</w:t>
      </w:r>
    </w:p>
    <w:p w14:paraId="2EDAB24D" w14:textId="77777777" w:rsidR="00CD054E" w:rsidRPr="00427F3A" w:rsidRDefault="00CD054E" w:rsidP="005171A7">
      <w:pPr>
        <w:pStyle w:val="CentreItalics"/>
      </w:pPr>
      <w:r>
        <w:t>Commissioner of Taxation v Stokely-Van Camp Inc</w:t>
      </w:r>
    </w:p>
    <w:p w14:paraId="16F701C0" w14:textId="77777777" w:rsidR="00CD054E" w:rsidRPr="00427F3A" w:rsidRDefault="00CD054E" w:rsidP="00E90E4F">
      <w:pPr>
        <w:pStyle w:val="OrdersCentre"/>
      </w:pPr>
      <w:r>
        <w:t>[2025</w:t>
      </w:r>
      <w:r w:rsidRPr="00427F3A">
        <w:t xml:space="preserve">] HCA </w:t>
      </w:r>
      <w:r>
        <w:t>30</w:t>
      </w:r>
    </w:p>
    <w:p w14:paraId="1D0AEB0F" w14:textId="77777777" w:rsidR="00CD054E" w:rsidRDefault="00CD054E" w:rsidP="00E90E4F">
      <w:pPr>
        <w:pStyle w:val="OrdersCentreItalics"/>
      </w:pPr>
      <w:r>
        <w:t xml:space="preserve">Date of Hearing: </w:t>
      </w:r>
      <w:r w:rsidRPr="005171A7">
        <w:t>2</w:t>
      </w:r>
      <w:r>
        <w:t xml:space="preserve"> &amp; 3</w:t>
      </w:r>
      <w:r w:rsidRPr="005171A7">
        <w:t xml:space="preserve"> April 2025</w:t>
      </w:r>
    </w:p>
    <w:p w14:paraId="46E85CCA" w14:textId="77777777" w:rsidR="00CD054E" w:rsidRPr="00427F3A" w:rsidRDefault="00CD054E" w:rsidP="00E90E4F">
      <w:pPr>
        <w:pStyle w:val="OrdersCentreItalics"/>
      </w:pPr>
      <w:r>
        <w:t>Date of Judgment: 13 August 2025</w:t>
      </w:r>
    </w:p>
    <w:p w14:paraId="5B3C9004" w14:textId="77777777" w:rsidR="00CD054E" w:rsidRDefault="00CD054E" w:rsidP="00E90E4F">
      <w:pPr>
        <w:pStyle w:val="OrdersCentre"/>
      </w:pPr>
      <w:r w:rsidRPr="005171A7">
        <w:t>M98/2024, M99/2024, M100/2024, M101/2024, M102/2024</w:t>
      </w:r>
      <w:r>
        <w:t xml:space="preserve"> &amp;</w:t>
      </w:r>
      <w:r w:rsidRPr="005171A7">
        <w:t xml:space="preserve"> M103/2024</w:t>
      </w:r>
    </w:p>
    <w:p w14:paraId="3D6DD31A" w14:textId="77777777" w:rsidR="00CD054E" w:rsidRPr="00427F3A" w:rsidRDefault="00CD054E" w:rsidP="00E90E4F">
      <w:pPr>
        <w:pStyle w:val="OrdersCentre"/>
      </w:pPr>
    </w:p>
    <w:p w14:paraId="39486AA2" w14:textId="77777777" w:rsidR="00CD054E" w:rsidRPr="00BE0A6C" w:rsidRDefault="00CD054E" w:rsidP="00E90E4F">
      <w:pPr>
        <w:pStyle w:val="OrderCentreBold"/>
      </w:pPr>
      <w:r w:rsidRPr="00BE0A6C">
        <w:t>ORDER</w:t>
      </w:r>
    </w:p>
    <w:p w14:paraId="2A2F88B1" w14:textId="77777777" w:rsidR="00CD054E" w:rsidRPr="00427F3A" w:rsidRDefault="00CD054E" w:rsidP="00736C52">
      <w:pPr>
        <w:pStyle w:val="Centre"/>
        <w:rPr>
          <w:lang w:val="en-AU"/>
        </w:rPr>
      </w:pPr>
    </w:p>
    <w:p w14:paraId="7C9BBED8" w14:textId="77777777" w:rsidR="00CD054E" w:rsidRPr="00710926" w:rsidRDefault="00CD054E" w:rsidP="00440604">
      <w:pPr>
        <w:pStyle w:val="OrdersText"/>
        <w:rPr>
          <w:b/>
          <w:bCs/>
          <w:i w:val="0"/>
          <w:iCs/>
        </w:rPr>
      </w:pPr>
      <w:r w:rsidRPr="00710926">
        <w:rPr>
          <w:b/>
          <w:bCs/>
          <w:i w:val="0"/>
          <w:iCs/>
        </w:rPr>
        <w:t>Matter No M98/2024</w:t>
      </w:r>
    </w:p>
    <w:p w14:paraId="7DF56EC8" w14:textId="77777777" w:rsidR="00CD054E" w:rsidRDefault="00CD054E" w:rsidP="0032341F">
      <w:pPr>
        <w:pStyle w:val="OrdersText"/>
      </w:pPr>
    </w:p>
    <w:p w14:paraId="4BA7FAD9" w14:textId="77777777" w:rsidR="00CD054E" w:rsidRPr="008E1013" w:rsidRDefault="00CD054E" w:rsidP="003B3F83">
      <w:pPr>
        <w:pStyle w:val="OrdersText"/>
      </w:pPr>
      <w:r>
        <w:t>Appeal dismissed with costs.</w:t>
      </w:r>
    </w:p>
    <w:p w14:paraId="064F2AFB" w14:textId="77777777" w:rsidR="00CD054E" w:rsidRDefault="00CD054E" w:rsidP="00EE5374">
      <w:pPr>
        <w:pStyle w:val="Body"/>
      </w:pPr>
    </w:p>
    <w:p w14:paraId="263091FD" w14:textId="77777777" w:rsidR="00CD054E" w:rsidRPr="00710926" w:rsidRDefault="00CD054E" w:rsidP="003B3F83">
      <w:pPr>
        <w:pStyle w:val="OrdersText"/>
        <w:rPr>
          <w:b/>
          <w:bCs/>
          <w:i w:val="0"/>
          <w:iCs/>
        </w:rPr>
      </w:pPr>
      <w:r w:rsidRPr="00710926">
        <w:rPr>
          <w:b/>
          <w:bCs/>
          <w:i w:val="0"/>
          <w:iCs/>
        </w:rPr>
        <w:t>Matter No M9</w:t>
      </w:r>
      <w:r>
        <w:rPr>
          <w:b/>
          <w:bCs/>
          <w:i w:val="0"/>
          <w:iCs/>
        </w:rPr>
        <w:t>9</w:t>
      </w:r>
      <w:r w:rsidRPr="00710926">
        <w:rPr>
          <w:b/>
          <w:bCs/>
          <w:i w:val="0"/>
          <w:iCs/>
        </w:rPr>
        <w:t>/2024</w:t>
      </w:r>
    </w:p>
    <w:p w14:paraId="305D503B" w14:textId="77777777" w:rsidR="00CD054E" w:rsidRDefault="00CD054E" w:rsidP="003B3F83">
      <w:pPr>
        <w:pStyle w:val="OrdersText"/>
      </w:pPr>
    </w:p>
    <w:p w14:paraId="06DBBF8E" w14:textId="77777777" w:rsidR="00CD054E" w:rsidRPr="008E1013" w:rsidRDefault="00CD054E" w:rsidP="00E409A2">
      <w:pPr>
        <w:pStyle w:val="OrdersText"/>
      </w:pPr>
      <w:r>
        <w:t>Appeal dismissed with costs.</w:t>
      </w:r>
    </w:p>
    <w:p w14:paraId="37504F14" w14:textId="77777777" w:rsidR="00CD054E" w:rsidRDefault="00CD054E" w:rsidP="00253197">
      <w:pPr>
        <w:pStyle w:val="OrdersText"/>
        <w:ind w:left="0" w:firstLine="0"/>
      </w:pPr>
    </w:p>
    <w:p w14:paraId="1EF6775A" w14:textId="77777777" w:rsidR="00CD054E" w:rsidRPr="00710926" w:rsidRDefault="00CD054E" w:rsidP="000A0A8C">
      <w:pPr>
        <w:pStyle w:val="OrdersText"/>
        <w:rPr>
          <w:b/>
          <w:bCs/>
          <w:i w:val="0"/>
          <w:iCs/>
        </w:rPr>
      </w:pPr>
      <w:r w:rsidRPr="00710926">
        <w:rPr>
          <w:b/>
          <w:bCs/>
          <w:i w:val="0"/>
          <w:iCs/>
        </w:rPr>
        <w:t>Matter No M</w:t>
      </w:r>
      <w:r>
        <w:rPr>
          <w:b/>
          <w:bCs/>
          <w:i w:val="0"/>
          <w:iCs/>
        </w:rPr>
        <w:t>100</w:t>
      </w:r>
      <w:r w:rsidRPr="00710926">
        <w:rPr>
          <w:b/>
          <w:bCs/>
          <w:i w:val="0"/>
          <w:iCs/>
        </w:rPr>
        <w:t>/2024</w:t>
      </w:r>
    </w:p>
    <w:p w14:paraId="704D7D4D" w14:textId="77777777" w:rsidR="00CD054E" w:rsidRDefault="00CD054E" w:rsidP="000A0A8C">
      <w:pPr>
        <w:pStyle w:val="OrdersText"/>
      </w:pPr>
    </w:p>
    <w:p w14:paraId="67CCE95B" w14:textId="77777777" w:rsidR="00CD054E" w:rsidRPr="008E1013" w:rsidRDefault="00CD054E" w:rsidP="00F05DC8">
      <w:pPr>
        <w:pStyle w:val="OrdersText"/>
      </w:pPr>
      <w:r>
        <w:t>Appeal dismissed with costs.</w:t>
      </w:r>
    </w:p>
    <w:p w14:paraId="3B2147F6" w14:textId="77777777" w:rsidR="00CD054E" w:rsidRDefault="00CD054E" w:rsidP="00253197">
      <w:pPr>
        <w:pStyle w:val="OrdersText"/>
        <w:ind w:left="0" w:firstLine="0"/>
      </w:pPr>
    </w:p>
    <w:p w14:paraId="7F45862B" w14:textId="7112B75E" w:rsidR="00CD054E" w:rsidRDefault="00CD054E">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i/>
          <w:lang w:eastAsia="en-US"/>
        </w:rPr>
      </w:pPr>
      <w:r>
        <w:br w:type="page"/>
      </w:r>
    </w:p>
    <w:p w14:paraId="76117C71" w14:textId="17DFFF74" w:rsidR="00CD054E" w:rsidRDefault="00CD054E">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i/>
          <w:lang w:eastAsia="en-US"/>
        </w:rPr>
      </w:pPr>
      <w:r>
        <w:lastRenderedPageBreak/>
        <w:br w:type="page"/>
      </w:r>
    </w:p>
    <w:p w14:paraId="2F8DE0E0" w14:textId="77777777" w:rsidR="00CD054E" w:rsidRPr="00710926" w:rsidRDefault="00CD054E" w:rsidP="00CD054E">
      <w:pPr>
        <w:pStyle w:val="OrdersText"/>
        <w:rPr>
          <w:b/>
          <w:bCs/>
          <w:i w:val="0"/>
          <w:iCs/>
        </w:rPr>
      </w:pPr>
      <w:r w:rsidRPr="00710926">
        <w:rPr>
          <w:b/>
          <w:bCs/>
          <w:i w:val="0"/>
          <w:iCs/>
        </w:rPr>
        <w:lastRenderedPageBreak/>
        <w:t>Matter No M</w:t>
      </w:r>
      <w:r>
        <w:rPr>
          <w:b/>
          <w:bCs/>
          <w:i w:val="0"/>
          <w:iCs/>
        </w:rPr>
        <w:t>101</w:t>
      </w:r>
      <w:r w:rsidRPr="00710926">
        <w:rPr>
          <w:b/>
          <w:bCs/>
          <w:i w:val="0"/>
          <w:iCs/>
        </w:rPr>
        <w:t>/2024</w:t>
      </w:r>
    </w:p>
    <w:p w14:paraId="70F8C90A" w14:textId="77777777" w:rsidR="00CD054E" w:rsidRDefault="00CD054E" w:rsidP="00CD054E">
      <w:pPr>
        <w:pStyle w:val="OrdersText"/>
      </w:pPr>
    </w:p>
    <w:p w14:paraId="13457268" w14:textId="77777777" w:rsidR="00CD054E" w:rsidRPr="008E1013" w:rsidRDefault="00CD054E" w:rsidP="00CD054E">
      <w:pPr>
        <w:pStyle w:val="OrdersText"/>
      </w:pPr>
      <w:r>
        <w:t>Appeal dismissed with costs.</w:t>
      </w:r>
    </w:p>
    <w:p w14:paraId="6A42B74D" w14:textId="77777777" w:rsidR="00CD054E" w:rsidRDefault="00CD054E" w:rsidP="00CD054E">
      <w:pPr>
        <w:pStyle w:val="OrdersText"/>
        <w:ind w:left="0" w:firstLine="0"/>
      </w:pPr>
    </w:p>
    <w:p w14:paraId="1C7EF5AB" w14:textId="77777777" w:rsidR="00CD054E" w:rsidRPr="00710926" w:rsidRDefault="00CD054E" w:rsidP="00CD054E">
      <w:pPr>
        <w:pStyle w:val="OrdersText"/>
        <w:rPr>
          <w:b/>
          <w:bCs/>
          <w:i w:val="0"/>
          <w:iCs/>
        </w:rPr>
      </w:pPr>
      <w:r w:rsidRPr="00710926">
        <w:rPr>
          <w:b/>
          <w:bCs/>
          <w:i w:val="0"/>
          <w:iCs/>
        </w:rPr>
        <w:t>Matter No M</w:t>
      </w:r>
      <w:r>
        <w:rPr>
          <w:b/>
          <w:bCs/>
          <w:i w:val="0"/>
          <w:iCs/>
        </w:rPr>
        <w:t>102</w:t>
      </w:r>
      <w:r w:rsidRPr="00710926">
        <w:rPr>
          <w:b/>
          <w:bCs/>
          <w:i w:val="0"/>
          <w:iCs/>
        </w:rPr>
        <w:t>/2024</w:t>
      </w:r>
    </w:p>
    <w:p w14:paraId="0757B71F" w14:textId="77777777" w:rsidR="00CD054E" w:rsidRDefault="00CD054E" w:rsidP="000A0A8C">
      <w:pPr>
        <w:pStyle w:val="OrdersText"/>
      </w:pPr>
    </w:p>
    <w:p w14:paraId="29391436" w14:textId="77777777" w:rsidR="00CD054E" w:rsidRPr="008E1013" w:rsidRDefault="00CD054E" w:rsidP="00253197">
      <w:pPr>
        <w:pStyle w:val="OrdersText"/>
      </w:pPr>
      <w:r>
        <w:t>Appeal dismissed with costs.</w:t>
      </w:r>
    </w:p>
    <w:p w14:paraId="0DC92760" w14:textId="77777777" w:rsidR="00CD054E" w:rsidRDefault="00CD054E" w:rsidP="00253197">
      <w:pPr>
        <w:pStyle w:val="OrdersText"/>
        <w:ind w:left="0" w:firstLine="0"/>
      </w:pPr>
    </w:p>
    <w:p w14:paraId="78F8337C" w14:textId="77777777" w:rsidR="00CD054E" w:rsidRPr="00710926" w:rsidRDefault="00CD054E" w:rsidP="0018743E">
      <w:pPr>
        <w:pStyle w:val="OrdersText"/>
        <w:rPr>
          <w:b/>
          <w:bCs/>
          <w:i w:val="0"/>
          <w:iCs/>
        </w:rPr>
      </w:pPr>
      <w:r w:rsidRPr="00710926">
        <w:rPr>
          <w:b/>
          <w:bCs/>
          <w:i w:val="0"/>
          <w:iCs/>
        </w:rPr>
        <w:t>Matter No M</w:t>
      </w:r>
      <w:r>
        <w:rPr>
          <w:b/>
          <w:bCs/>
          <w:i w:val="0"/>
          <w:iCs/>
        </w:rPr>
        <w:t>103</w:t>
      </w:r>
      <w:r w:rsidRPr="00710926">
        <w:rPr>
          <w:b/>
          <w:bCs/>
          <w:i w:val="0"/>
          <w:iCs/>
        </w:rPr>
        <w:t>/2024</w:t>
      </w:r>
    </w:p>
    <w:p w14:paraId="64DC234A" w14:textId="77777777" w:rsidR="00CD054E" w:rsidRDefault="00CD054E" w:rsidP="000A0A8C">
      <w:pPr>
        <w:pStyle w:val="OrdersText"/>
      </w:pPr>
    </w:p>
    <w:p w14:paraId="6C42C8D6" w14:textId="77777777" w:rsidR="00CD054E" w:rsidRPr="008E1013" w:rsidRDefault="00CD054E" w:rsidP="00BC064C">
      <w:pPr>
        <w:pStyle w:val="OrdersText"/>
      </w:pPr>
      <w:r>
        <w:t>Appeal dismissed with costs.</w:t>
      </w:r>
    </w:p>
    <w:p w14:paraId="591FBCB7" w14:textId="77777777" w:rsidR="00CD054E" w:rsidRDefault="00CD054E" w:rsidP="00EE5374">
      <w:pPr>
        <w:pStyle w:val="Body"/>
      </w:pPr>
    </w:p>
    <w:p w14:paraId="3197A5CD" w14:textId="77777777" w:rsidR="00CD054E" w:rsidRPr="00427F3A" w:rsidRDefault="00CD054E" w:rsidP="00EE5374">
      <w:pPr>
        <w:pStyle w:val="Body"/>
      </w:pPr>
    </w:p>
    <w:p w14:paraId="21C083D7" w14:textId="77777777" w:rsidR="00CD054E" w:rsidRPr="00427F3A" w:rsidRDefault="00CD054E" w:rsidP="0032341F">
      <w:pPr>
        <w:pStyle w:val="OrdersBody"/>
      </w:pPr>
      <w:r w:rsidRPr="00427F3A">
        <w:t xml:space="preserve">On appeal from the </w:t>
      </w:r>
      <w:r w:rsidRPr="005171A7">
        <w:t>Federal Court of Australia</w:t>
      </w:r>
    </w:p>
    <w:p w14:paraId="718E84D4" w14:textId="77777777" w:rsidR="00CD054E" w:rsidRDefault="00CD054E" w:rsidP="00EE5374">
      <w:pPr>
        <w:pStyle w:val="Body"/>
      </w:pPr>
    </w:p>
    <w:p w14:paraId="038A9BED" w14:textId="77777777" w:rsidR="00CD054E" w:rsidRPr="00427F3A" w:rsidRDefault="00CD054E" w:rsidP="00EE5374">
      <w:pPr>
        <w:pStyle w:val="Body"/>
      </w:pPr>
    </w:p>
    <w:p w14:paraId="778C7D94" w14:textId="77777777" w:rsidR="00CD054E" w:rsidRPr="00D62F14" w:rsidRDefault="00CD054E" w:rsidP="00E90E4F">
      <w:pPr>
        <w:pStyle w:val="OrdersBodyHeading"/>
      </w:pPr>
      <w:r w:rsidRPr="00D62F14">
        <w:t>Representation</w:t>
      </w:r>
    </w:p>
    <w:p w14:paraId="63BA9697" w14:textId="77777777" w:rsidR="00CD054E" w:rsidRPr="00D62F14" w:rsidRDefault="00CD054E" w:rsidP="00EE5374">
      <w:pPr>
        <w:pStyle w:val="Body"/>
      </w:pPr>
    </w:p>
    <w:p w14:paraId="08301A91" w14:textId="77777777" w:rsidR="00CD054E" w:rsidRPr="00D62F14" w:rsidRDefault="00CD054E" w:rsidP="00E90E4F">
      <w:pPr>
        <w:pStyle w:val="OrdersBody"/>
      </w:pPr>
      <w:r w:rsidRPr="00D62F14">
        <w:t>K J Deards SC with T L Phillips and R J May for the appellant (instructed by MinterEllison)</w:t>
      </w:r>
    </w:p>
    <w:p w14:paraId="3877DBE2" w14:textId="77777777" w:rsidR="00CD054E" w:rsidRPr="00D62F14" w:rsidRDefault="00CD054E" w:rsidP="001B3C97">
      <w:pPr>
        <w:pStyle w:val="Body"/>
      </w:pPr>
    </w:p>
    <w:p w14:paraId="693B3136" w14:textId="77777777" w:rsidR="00CD054E" w:rsidRPr="00D62F14" w:rsidRDefault="00CD054E" w:rsidP="00E90E4F">
      <w:pPr>
        <w:pStyle w:val="OrdersBody"/>
      </w:pPr>
      <w:r w:rsidRPr="00D62F14">
        <w:t>E F Wheelahan KC with C M Pierce SC and A M Haskett for the respondents (instructed by PricewaterhouseCoopers)</w:t>
      </w:r>
    </w:p>
    <w:p w14:paraId="1EDBC2BB" w14:textId="77777777" w:rsidR="00CD054E" w:rsidRDefault="00CD054E" w:rsidP="00A01277">
      <w:pPr>
        <w:pStyle w:val="Body"/>
      </w:pPr>
    </w:p>
    <w:p w14:paraId="6FCA38CD" w14:textId="77777777" w:rsidR="00CD054E" w:rsidRDefault="00CD054E" w:rsidP="00EE5374">
      <w:pPr>
        <w:pStyle w:val="Body"/>
      </w:pPr>
    </w:p>
    <w:p w14:paraId="7A929E60" w14:textId="77777777" w:rsidR="00CD054E" w:rsidRDefault="00CD054E" w:rsidP="00EE5374">
      <w:pPr>
        <w:pStyle w:val="Body"/>
      </w:pPr>
    </w:p>
    <w:p w14:paraId="43CC1440" w14:textId="77777777" w:rsidR="00CD054E" w:rsidRDefault="00CD054E" w:rsidP="00EE5374">
      <w:pPr>
        <w:pStyle w:val="Body"/>
      </w:pPr>
    </w:p>
    <w:p w14:paraId="7DABF405" w14:textId="77777777" w:rsidR="00CD054E" w:rsidRDefault="00CD054E" w:rsidP="00EE5374">
      <w:pPr>
        <w:pStyle w:val="Body"/>
      </w:pPr>
    </w:p>
    <w:p w14:paraId="63B2E8E5" w14:textId="77777777" w:rsidR="00CD054E" w:rsidRDefault="00CD054E" w:rsidP="00EE5374">
      <w:pPr>
        <w:pStyle w:val="Body"/>
      </w:pPr>
    </w:p>
    <w:p w14:paraId="65B9AF9E" w14:textId="77777777" w:rsidR="00CD054E" w:rsidRDefault="00CD054E" w:rsidP="00EE5374">
      <w:pPr>
        <w:pStyle w:val="Body"/>
      </w:pPr>
    </w:p>
    <w:p w14:paraId="2A3C2F9C" w14:textId="77777777" w:rsidR="00CD054E" w:rsidRDefault="00CD054E" w:rsidP="00EE5374">
      <w:pPr>
        <w:pStyle w:val="Body"/>
      </w:pPr>
    </w:p>
    <w:p w14:paraId="1AE4ADA7" w14:textId="77777777" w:rsidR="00CD054E" w:rsidRDefault="00CD054E" w:rsidP="00EE5374">
      <w:pPr>
        <w:pStyle w:val="Body"/>
      </w:pPr>
    </w:p>
    <w:p w14:paraId="193B9FEA" w14:textId="77777777" w:rsidR="00CD054E" w:rsidRDefault="00CD054E" w:rsidP="00EE5374">
      <w:pPr>
        <w:pStyle w:val="Body"/>
      </w:pPr>
    </w:p>
    <w:p w14:paraId="199194C0" w14:textId="77777777" w:rsidR="00CD054E" w:rsidRDefault="00CD054E" w:rsidP="00EE5374">
      <w:pPr>
        <w:pStyle w:val="Body"/>
      </w:pPr>
    </w:p>
    <w:p w14:paraId="2919F9FA" w14:textId="77777777" w:rsidR="00CD054E" w:rsidRDefault="00CD054E" w:rsidP="00EE5374">
      <w:pPr>
        <w:pStyle w:val="Body"/>
      </w:pPr>
    </w:p>
    <w:p w14:paraId="5C998644" w14:textId="77777777" w:rsidR="00CD054E" w:rsidRDefault="00CD054E" w:rsidP="00EE5374">
      <w:pPr>
        <w:pStyle w:val="Body"/>
      </w:pPr>
    </w:p>
    <w:p w14:paraId="2F22C275" w14:textId="77777777" w:rsidR="00CD054E" w:rsidRDefault="00CD054E" w:rsidP="00EE5374">
      <w:pPr>
        <w:pStyle w:val="Body"/>
      </w:pPr>
    </w:p>
    <w:p w14:paraId="4B785ED1" w14:textId="77777777" w:rsidR="00CD054E" w:rsidRDefault="00CD054E" w:rsidP="00EE5374">
      <w:pPr>
        <w:pStyle w:val="Body"/>
      </w:pPr>
    </w:p>
    <w:p w14:paraId="6D695AB6" w14:textId="77777777" w:rsidR="00CD054E" w:rsidRDefault="00CD054E" w:rsidP="00EE5374">
      <w:pPr>
        <w:pStyle w:val="Body"/>
      </w:pPr>
    </w:p>
    <w:p w14:paraId="3BF20B81" w14:textId="77777777" w:rsidR="00CD054E" w:rsidRPr="00427F3A" w:rsidRDefault="00CD054E" w:rsidP="00EE5374">
      <w:pPr>
        <w:pStyle w:val="Body"/>
      </w:pPr>
    </w:p>
    <w:p w14:paraId="4FB03798" w14:textId="77777777" w:rsidR="00CD054E" w:rsidRPr="00427F3A" w:rsidRDefault="00CD054E" w:rsidP="00F9713B">
      <w:pPr>
        <w:pStyle w:val="Notice"/>
        <w:rPr>
          <w:lang w:val="en-AU"/>
        </w:rPr>
      </w:pPr>
      <w:r w:rsidRPr="00427F3A">
        <w:rPr>
          <w:lang w:val="en-AU"/>
        </w:rPr>
        <w:t>Notice:  This copy of the Court's Reasons for Judgment is subject to formal revision prior to publication in the Commonwealth Law Reports.</w:t>
      </w:r>
    </w:p>
    <w:p w14:paraId="52536F6C" w14:textId="1FAF5051" w:rsidR="00CD054E" w:rsidRDefault="00CD054E">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br w:type="page"/>
      </w:r>
    </w:p>
    <w:p w14:paraId="740DED9C" w14:textId="77777777" w:rsidR="00581177" w:rsidRDefault="00CD054E">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sectPr w:rsidR="00581177" w:rsidSect="00CD054E">
          <w:headerReference w:type="even" r:id="rId11"/>
          <w:headerReference w:type="default" r:id="rId12"/>
          <w:footerReference w:type="even" r:id="rId13"/>
          <w:footerReference w:type="default" r:id="rId14"/>
          <w:headerReference w:type="first" r:id="rId15"/>
          <w:footerReference w:type="first" r:id="rId16"/>
          <w:pgSz w:w="11907" w:h="16839" w:code="9"/>
          <w:pgMar w:top="1440" w:right="1984" w:bottom="1984" w:left="1984" w:header="720" w:footer="720" w:gutter="0"/>
          <w:cols w:space="720"/>
          <w:titlePg/>
          <w:docGrid w:linePitch="354"/>
        </w:sectPr>
      </w:pPr>
      <w:r>
        <w:rPr>
          <w:rFonts w:ascii="Times New Roman" w:hAnsi="Times New Roman"/>
        </w:rPr>
        <w:lastRenderedPageBreak/>
        <w:br w:type="page"/>
      </w:r>
    </w:p>
    <w:p w14:paraId="623F49F0" w14:textId="77777777" w:rsidR="00581177" w:rsidRPr="00054C14" w:rsidRDefault="00581177" w:rsidP="00581177">
      <w:pPr>
        <w:pStyle w:val="CatchwordsBold"/>
      </w:pPr>
      <w:r w:rsidRPr="00054C14">
        <w:lastRenderedPageBreak/>
        <w:t>CATCHWORDS</w:t>
      </w:r>
    </w:p>
    <w:p w14:paraId="310470A1" w14:textId="77777777" w:rsidR="00581177" w:rsidRPr="00054C14" w:rsidRDefault="00581177" w:rsidP="00581177">
      <w:pPr>
        <w:pStyle w:val="CatchwordsBold"/>
      </w:pPr>
    </w:p>
    <w:p w14:paraId="12618E4F" w14:textId="77777777" w:rsidR="00581177" w:rsidRDefault="00581177" w:rsidP="00581177">
      <w:pPr>
        <w:pStyle w:val="CatchwordsBold"/>
      </w:pPr>
      <w:r>
        <w:t>Commissioner of Taxation v PepsiCo Inc</w:t>
      </w:r>
    </w:p>
    <w:p w14:paraId="439D1A8E" w14:textId="77777777" w:rsidR="00581177" w:rsidRDefault="00581177" w:rsidP="00581177">
      <w:pPr>
        <w:pStyle w:val="CatchwordsBold"/>
      </w:pPr>
      <w:r>
        <w:t>Commissioner of Taxation v Stokely-Van Camp Inc</w:t>
      </w:r>
    </w:p>
    <w:p w14:paraId="7D1099B7" w14:textId="77777777" w:rsidR="00581177" w:rsidRDefault="00581177" w:rsidP="00581177">
      <w:pPr>
        <w:pStyle w:val="CatchwordsBold"/>
      </w:pPr>
      <w:r>
        <w:t>Commissioner of Taxation v PepsiCo Inc</w:t>
      </w:r>
    </w:p>
    <w:p w14:paraId="00E60369" w14:textId="77777777" w:rsidR="00581177" w:rsidRDefault="00581177" w:rsidP="00581177">
      <w:pPr>
        <w:pStyle w:val="CatchwordsBold"/>
      </w:pPr>
      <w:r>
        <w:t>Commissioner of Taxation v PepsiCo Inc</w:t>
      </w:r>
    </w:p>
    <w:p w14:paraId="131D856D" w14:textId="77777777" w:rsidR="00581177" w:rsidRDefault="00581177" w:rsidP="00581177">
      <w:pPr>
        <w:pStyle w:val="CatchwordsBold"/>
      </w:pPr>
      <w:r>
        <w:t>Commissioner of Taxation v Stokely-Van Camp Inc</w:t>
      </w:r>
    </w:p>
    <w:p w14:paraId="6E945580" w14:textId="77777777" w:rsidR="00581177" w:rsidRDefault="00581177" w:rsidP="00581177">
      <w:pPr>
        <w:pStyle w:val="CatchwordsBold"/>
      </w:pPr>
      <w:r>
        <w:t>Commissioner of Taxation v Stokely-Van Camp Inc</w:t>
      </w:r>
    </w:p>
    <w:p w14:paraId="4BA10FF7" w14:textId="77777777" w:rsidR="00581177" w:rsidRDefault="00581177" w:rsidP="00581177">
      <w:pPr>
        <w:pStyle w:val="CatchwordsBold"/>
      </w:pPr>
    </w:p>
    <w:p w14:paraId="7CEE4DB8" w14:textId="0ECCAB40" w:rsidR="00581177" w:rsidRPr="00C10690" w:rsidRDefault="00581177" w:rsidP="00581177">
      <w:pPr>
        <w:pStyle w:val="CatchwordsText"/>
        <w:rPr>
          <w:iCs/>
        </w:rPr>
      </w:pPr>
      <w:r>
        <w:t>Income tax (Cth)</w:t>
      </w:r>
      <w:r w:rsidRPr="007318A6">
        <w:t xml:space="preserve"> –</w:t>
      </w:r>
      <w:r>
        <w:t xml:space="preserve"> Notice of assessment </w:t>
      </w:r>
      <w:r w:rsidRPr="007318A6">
        <w:t>–</w:t>
      </w:r>
      <w:r>
        <w:t xml:space="preserve"> Royalty withholding tax – Diverted profits tax – Where non-resident companies entered into agreements with Australian company to bottle, sell and distribute beverages – Where agreements licensed intellectual property to Australian company – Where agreements did not provide for payment of royalty for use of intellectual property – Where no payment made by Australian taxpayer to non-resident companies – Where payment made to Australian subsidiary of non-resident companies for beverage concentrate – Whether payments to subsidiary included royalty for use of intellectual property owned by non-resident companies within meaning of s 6 of </w:t>
      </w:r>
      <w:r>
        <w:rPr>
          <w:i/>
        </w:rPr>
        <w:t xml:space="preserve">Income Tax Assessment Act </w:t>
      </w:r>
      <w:r w:rsidRPr="002E4B1A">
        <w:rPr>
          <w:i/>
        </w:rPr>
        <w:t>19</w:t>
      </w:r>
      <w:r>
        <w:rPr>
          <w:i/>
        </w:rPr>
        <w:t xml:space="preserve">36 </w:t>
      </w:r>
      <w:r>
        <w:rPr>
          <w:iCs/>
        </w:rPr>
        <w:t xml:space="preserve">(Cth) ("ITAA 1936") </w:t>
      </w:r>
      <w:r>
        <w:t>– Whether payments paid or credited to or derived by non-resident companies within meaning of s 128B of ITAA 1936</w:t>
      </w:r>
      <w:r>
        <w:rPr>
          <w:i/>
        </w:rPr>
        <w:t> </w:t>
      </w:r>
      <w:r>
        <w:t>– Whether non-resident companies liable to pay diverted profits tax under s 177J of</w:t>
      </w:r>
      <w:r>
        <w:rPr>
          <w:i/>
        </w:rPr>
        <w:t xml:space="preserve"> </w:t>
      </w:r>
      <w:r>
        <w:rPr>
          <w:iCs/>
        </w:rPr>
        <w:t xml:space="preserve">ITAA 1936. </w:t>
      </w:r>
    </w:p>
    <w:p w14:paraId="5D2887A0" w14:textId="77777777" w:rsidR="00581177" w:rsidRDefault="00581177" w:rsidP="00581177">
      <w:pPr>
        <w:pStyle w:val="CatchwordsText"/>
      </w:pPr>
    </w:p>
    <w:p w14:paraId="76E7E1A9" w14:textId="77777777" w:rsidR="00581177" w:rsidRDefault="00581177" w:rsidP="00581177">
      <w:pPr>
        <w:pStyle w:val="CatchwordsText"/>
      </w:pPr>
      <w:r w:rsidRPr="00294DEA">
        <w:t>Words and phrases –</w:t>
      </w:r>
      <w:r>
        <w:t xml:space="preserve"> "alternative postulate", "antecedent monetary obligation", "basis or condition", "consideration", "consideration for", "derived by", "diverted profits tax", "DPT", "DPT tax benefit", "exchange of promises", "income derived", "paid or credited", "payment by direction", "postulate", "principal purpose", "reasonable alternative", "reasonable expectation", "royalties", "royalty", "royalty withholding tax", "scheme", "single, integrated and indivisible transaction", "substance of the scheme", "tax benefit", "tax benefit in connection with the scheme".</w:t>
      </w:r>
    </w:p>
    <w:p w14:paraId="38C8F6BF" w14:textId="77777777" w:rsidR="00581177" w:rsidRDefault="00581177" w:rsidP="00581177">
      <w:pPr>
        <w:pStyle w:val="CatchwordsText"/>
      </w:pPr>
    </w:p>
    <w:p w14:paraId="10AEDC06" w14:textId="77777777" w:rsidR="00581177" w:rsidRDefault="00581177" w:rsidP="00581177">
      <w:pPr>
        <w:pStyle w:val="CatchwordsText"/>
        <w:rPr>
          <w:i/>
        </w:rPr>
      </w:pPr>
      <w:r>
        <w:rPr>
          <w:i/>
        </w:rPr>
        <w:t xml:space="preserve">Income Tax Assessment Act </w:t>
      </w:r>
      <w:r w:rsidRPr="002E4B1A">
        <w:rPr>
          <w:i/>
        </w:rPr>
        <w:t>19</w:t>
      </w:r>
      <w:r>
        <w:rPr>
          <w:i/>
        </w:rPr>
        <w:t>36</w:t>
      </w:r>
      <w:r w:rsidRPr="002E4B1A">
        <w:rPr>
          <w:i/>
        </w:rPr>
        <w:t xml:space="preserve"> </w:t>
      </w:r>
      <w:r w:rsidRPr="002E4B1A">
        <w:t>(</w:t>
      </w:r>
      <w:r>
        <w:t>Cth</w:t>
      </w:r>
      <w:r w:rsidRPr="002E4B1A">
        <w:t>)</w:t>
      </w:r>
      <w:r>
        <w:t>, ss 6, 128A, 128B, 177A, 177C, 177CB, 177D, 177F, 177H,</w:t>
      </w:r>
      <w:r w:rsidRPr="009E4033">
        <w:t xml:space="preserve"> </w:t>
      </w:r>
      <w:r>
        <w:t>177J,</w:t>
      </w:r>
      <w:r w:rsidRPr="00164193">
        <w:t xml:space="preserve"> </w:t>
      </w:r>
      <w:r>
        <w:t>177N, 177P.</w:t>
      </w:r>
    </w:p>
    <w:p w14:paraId="23A909AC" w14:textId="60F36452" w:rsidR="00CD054E" w:rsidRDefault="00581177" w:rsidP="00581177">
      <w:pPr>
        <w:pStyle w:val="CatchwordsText"/>
      </w:pPr>
      <w:r w:rsidRPr="00581177">
        <w:rPr>
          <w:i/>
          <w:iCs/>
        </w:rPr>
        <w:t>Taxation Administration Act 1953</w:t>
      </w:r>
      <w:r>
        <w:t xml:space="preserve"> </w:t>
      </w:r>
      <w:r>
        <w:rPr>
          <w:iCs/>
        </w:rPr>
        <w:t>(Cth)</w:t>
      </w:r>
      <w:r>
        <w:t>, s 14ZZO.</w:t>
      </w:r>
    </w:p>
    <w:p w14:paraId="30E35084" w14:textId="2EAAF70D" w:rsidR="00581177" w:rsidRDefault="00581177">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br w:type="page"/>
      </w:r>
    </w:p>
    <w:p w14:paraId="6FD47906" w14:textId="4533CA13" w:rsidR="00581177" w:rsidRDefault="00581177">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lastRenderedPageBreak/>
        <w:br w:type="page"/>
      </w:r>
    </w:p>
    <w:p w14:paraId="6EDC0E25" w14:textId="77777777" w:rsidR="00CD054E" w:rsidRDefault="00CD054E" w:rsidP="004D645D">
      <w:pPr>
        <w:pStyle w:val="NormalBody"/>
        <w:tabs>
          <w:tab w:val="clear" w:pos="720"/>
          <w:tab w:val="left" w:pos="0"/>
        </w:tabs>
        <w:spacing w:after="260" w:line="280" w:lineRule="exact"/>
        <w:ind w:right="0"/>
        <w:jc w:val="both"/>
        <w:rPr>
          <w:rFonts w:ascii="Times New Roman" w:hAnsi="Times New Roman"/>
        </w:rPr>
        <w:sectPr w:rsidR="00CD054E" w:rsidSect="00581177">
          <w:pgSz w:w="11907" w:h="16839" w:code="9"/>
          <w:pgMar w:top="1440" w:right="1701" w:bottom="1984" w:left="1701" w:header="720" w:footer="720" w:gutter="0"/>
          <w:pgNumType w:start="1"/>
          <w:cols w:space="720"/>
          <w:titlePg/>
          <w:docGrid w:linePitch="354"/>
        </w:sectPr>
      </w:pPr>
    </w:p>
    <w:p w14:paraId="0D8186B2" w14:textId="20C50B77" w:rsidR="004D645D" w:rsidRPr="004D645D" w:rsidRDefault="004D645D" w:rsidP="004D645D">
      <w:pPr>
        <w:pStyle w:val="NormalBody"/>
        <w:tabs>
          <w:tab w:val="clear" w:pos="720"/>
          <w:tab w:val="left" w:pos="0"/>
        </w:tabs>
        <w:spacing w:after="260" w:line="280" w:lineRule="exact"/>
        <w:ind w:right="0"/>
        <w:jc w:val="both"/>
        <w:rPr>
          <w:rFonts w:ascii="Times New Roman" w:hAnsi="Times New Roman"/>
        </w:rPr>
      </w:pPr>
      <w:r w:rsidRPr="004D645D">
        <w:rPr>
          <w:rFonts w:ascii="Times New Roman" w:hAnsi="Times New Roman"/>
        </w:rPr>
        <w:lastRenderedPageBreak/>
        <w:t xml:space="preserve">GAGELER CJ, JAGOT AND BEECH-JONES JJ.   </w:t>
      </w:r>
    </w:p>
    <w:p w14:paraId="6C034858" w14:textId="56E0EA18" w:rsidR="00436125" w:rsidRPr="004D645D" w:rsidRDefault="00436125" w:rsidP="004D645D">
      <w:pPr>
        <w:pStyle w:val="HeadingL1"/>
        <w:spacing w:after="260" w:line="280" w:lineRule="exact"/>
        <w:ind w:right="0"/>
        <w:jc w:val="both"/>
        <w:rPr>
          <w:rFonts w:ascii="Times New Roman" w:hAnsi="Times New Roman"/>
        </w:rPr>
      </w:pPr>
      <w:r w:rsidRPr="004D645D">
        <w:rPr>
          <w:rFonts w:ascii="Times New Roman" w:hAnsi="Times New Roman"/>
        </w:rPr>
        <w:t>Background</w:t>
      </w:r>
    </w:p>
    <w:p w14:paraId="54FB400B"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 xml:space="preserve">Two companies resident in the United States ("the US") within the PepsiCo group of companies ("the PepsiCo Group") – PepsiCo, Inc ("PepsiCo") owning the global brands "Pepsi" and "Mountain Dew" and Stokely-Van Camp, Inc ("SVC") owning the global brand "Gatorade" – each entered into contracts with a local manufacturer of soft drinks: Schweppes Australia Pty Ltd ("SAPL"), a company resident in Australia. The contracts provided for the US companies to sell or cause another member of the PepsiCo Group to sell to SAPL the concentrate needed to make the branded drinks. They also provided for the US companies to grant exclusive licences to SAPL to exploit the trade marks and other intellectual property rights sufficiently to enable SAPL to be the exclusive manufacturer, bottler, packager, seller and distributor of those branded drinks in Australia. </w:t>
      </w:r>
    </w:p>
    <w:p w14:paraId="45D4CB60" w14:textId="56AADD82"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 xml:space="preserve">The contracts obliged SAPL to buy at least a specified minimum amount of the concentrate from the US companies or another nominated PepsiCo Group member at an agreed price. SAPL was to follow the US companies' directions in producing the branded drinks, maintain sufficient production capacity to sell and distribute sufficient quantities of the branded drinks throughout Australia, ensure appropriate standards for production of the branded drinks, sell the branded drinks at prevailing competitive market prices, use its reasonable endeavours to maximise the sale of the branded drinks throughout Australia, and enter into advertising and marketing and performance agreements with the US companies under which the parties would promote the marketing and maximisation of sales of the branded drinks in Australia. </w:t>
      </w:r>
    </w:p>
    <w:p w14:paraId="0F8AF280"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Pursuant to the contracts, each US company nominated another PepsiCo Group member to be the seller of concentrate. SAPL paid the nominated PepsiCo Group member the agreed price for the sale of concentrate.</w:t>
      </w:r>
    </w:p>
    <w:p w14:paraId="6085DD0F" w14:textId="573E1E0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 xml:space="preserve">By paying the agreed price for the sale of concentrate, did SAPL pay a "royalty" as defined in s 6(1) of the </w:t>
      </w:r>
      <w:r w:rsidRPr="004D645D">
        <w:rPr>
          <w:rFonts w:ascii="Times New Roman" w:hAnsi="Times New Roman"/>
          <w:i/>
          <w:iCs/>
        </w:rPr>
        <w:t>Income Tax Assessment Act 1936</w:t>
      </w:r>
      <w:r w:rsidRPr="004D645D">
        <w:rPr>
          <w:rFonts w:ascii="Times New Roman" w:hAnsi="Times New Roman"/>
        </w:rPr>
        <w:t xml:space="preserve"> (Cth) ("the ITAA")</w:t>
      </w:r>
      <w:r w:rsidRPr="004D645D">
        <w:rPr>
          <w:rStyle w:val="FootnoteReference"/>
          <w:rFonts w:ascii="Times New Roman" w:hAnsi="Times New Roman"/>
          <w:sz w:val="24"/>
        </w:rPr>
        <w:footnoteReference w:id="2"/>
      </w:r>
      <w:r w:rsidRPr="004D645D">
        <w:rPr>
          <w:rFonts w:ascii="Times New Roman" w:hAnsi="Times New Roman"/>
        </w:rPr>
        <w:t xml:space="preserve"> to mean "any amount paid or credited, however described or computed ... to the extent to which it is paid or credited, as the case may be, as consideration for", relevantly, "the use of, or the right to use, any ... trade mark, or other like property or right" in respect of the branded drinks? This is question one. If so, did the US companies derive income from the payment of the royalty under s 128B(2B)(a) and (b)(ii) of the ITAA so that, by s 128B(5A) of that Act, those companies are liable to pay income tax (specifically, royalty withholding tax) on </w:t>
      </w:r>
      <w:r w:rsidRPr="004D645D">
        <w:rPr>
          <w:rFonts w:ascii="Times New Roman" w:hAnsi="Times New Roman"/>
        </w:rPr>
        <w:lastRenderedPageBreak/>
        <w:t xml:space="preserve">that derived income? This is question two. If the US companies are not so liable under s 128B(5A) of the ITAA, are they instead liable to pay diverted profits tax ("DPT") under ss 177J and 177P of that Act by reason of having entered into a scheme for a principal purpose of obtaining a tax benefit (in not being liable to pay royalty withholding tax) and reducing their liabilities to tax under a foreign law in connection with the scheme? This is question three. </w:t>
      </w:r>
    </w:p>
    <w:p w14:paraId="0A7E6A02" w14:textId="0F9A7713"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The Commissioner of Taxation issued royalty withholding tax notices and DPT assessments to the US companies for the income years ending 30 June 2018 and 30 June 2019 on the basis that each of these questions should be answered in the affirmative, albeit that question three must be in the alternative to questions one and two (as if royalty withholding tax is payable DPT is not payable).</w:t>
      </w:r>
    </w:p>
    <w:p w14:paraId="2EB5953C" w14:textId="4A6C0C3F"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 xml:space="preserve">The US companies, in response, filed applications of two kinds. The first kind invoked s 39B(1A) of the </w:t>
      </w:r>
      <w:r w:rsidRPr="004D645D">
        <w:rPr>
          <w:rFonts w:ascii="Times New Roman" w:hAnsi="Times New Roman"/>
          <w:i/>
          <w:iCs/>
        </w:rPr>
        <w:t>Judiciary Act 1903</w:t>
      </w:r>
      <w:r w:rsidRPr="004D645D">
        <w:rPr>
          <w:rFonts w:ascii="Times New Roman" w:hAnsi="Times New Roman"/>
        </w:rPr>
        <w:t xml:space="preserve"> (Cth), by which the Federal Court of Australia is vested with jurisdiction in any matter arising under laws of the Commonwealth Parliament. The US companies sought declarations to the effect that they are not liable to pay royalty withholding tax. The second kind invoked Pt IVC of the </w:t>
      </w:r>
      <w:r w:rsidRPr="004D645D">
        <w:rPr>
          <w:rFonts w:ascii="Times New Roman" w:hAnsi="Times New Roman"/>
          <w:i/>
          <w:iCs/>
        </w:rPr>
        <w:t>Taxation Administration Act 1953</w:t>
      </w:r>
      <w:r w:rsidRPr="004D645D">
        <w:rPr>
          <w:rFonts w:ascii="Times New Roman" w:hAnsi="Times New Roman"/>
        </w:rPr>
        <w:t xml:space="preserve"> (Cth) ("the TAA"), by which a person may appeal against the Commissioner's taxation objection decision disallowing or only partly allowing a taxation objection.</w:t>
      </w:r>
    </w:p>
    <w:p w14:paraId="072AF5B8"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The primary judge in the Federal Court of Australia (Moshinsky J) answered questions one and two in the affirmative and said that, had he not done so, he would have answered question three in the affirmative.</w:t>
      </w:r>
      <w:r w:rsidRPr="004D645D">
        <w:rPr>
          <w:rStyle w:val="FootnoteReference"/>
          <w:rFonts w:ascii="Times New Roman" w:hAnsi="Times New Roman"/>
          <w:sz w:val="24"/>
        </w:rPr>
        <w:footnoteReference w:id="3"/>
      </w:r>
      <w:r w:rsidRPr="004D645D">
        <w:rPr>
          <w:rFonts w:ascii="Times New Roman" w:hAnsi="Times New Roman"/>
        </w:rPr>
        <w:t xml:space="preserve"> On appeal a majority of the Full Court of the Federal Court of Australia (Perram and Jackman JJ) held that the primary judge had erred and answered each of the questions in the negative.</w:t>
      </w:r>
      <w:r w:rsidRPr="004D645D">
        <w:rPr>
          <w:rStyle w:val="FootnoteReference"/>
          <w:rFonts w:ascii="Times New Roman" w:hAnsi="Times New Roman"/>
          <w:sz w:val="24"/>
        </w:rPr>
        <w:footnoteReference w:id="4"/>
      </w:r>
      <w:r w:rsidRPr="004D645D">
        <w:rPr>
          <w:rFonts w:ascii="Times New Roman" w:hAnsi="Times New Roman"/>
        </w:rPr>
        <w:t xml:space="preserve"> Colvin J, in dissent, answered question one in the affirmative</w:t>
      </w:r>
      <w:r w:rsidRPr="004D645D">
        <w:rPr>
          <w:rStyle w:val="FootnoteReference"/>
          <w:rFonts w:ascii="Times New Roman" w:hAnsi="Times New Roman"/>
          <w:sz w:val="24"/>
        </w:rPr>
        <w:footnoteReference w:id="5"/>
      </w:r>
      <w:r w:rsidRPr="004D645D">
        <w:rPr>
          <w:rFonts w:ascii="Times New Roman" w:hAnsi="Times New Roman"/>
        </w:rPr>
        <w:t xml:space="preserve"> and question two in the negative,</w:t>
      </w:r>
      <w:r w:rsidRPr="004D645D">
        <w:rPr>
          <w:rStyle w:val="FootnoteReference"/>
          <w:rFonts w:ascii="Times New Roman" w:hAnsi="Times New Roman"/>
          <w:sz w:val="24"/>
        </w:rPr>
        <w:footnoteReference w:id="6"/>
      </w:r>
      <w:r w:rsidRPr="004D645D">
        <w:rPr>
          <w:rFonts w:ascii="Times New Roman" w:hAnsi="Times New Roman"/>
        </w:rPr>
        <w:t xml:space="preserve"> resulting in the conclusion that the US companies were not liable to pay royalty withholding tax.</w:t>
      </w:r>
      <w:r w:rsidRPr="004D645D">
        <w:rPr>
          <w:rStyle w:val="FootnoteReference"/>
          <w:rFonts w:ascii="Times New Roman" w:hAnsi="Times New Roman"/>
          <w:sz w:val="24"/>
        </w:rPr>
        <w:footnoteReference w:id="7"/>
      </w:r>
      <w:r w:rsidRPr="004D645D">
        <w:rPr>
          <w:rFonts w:ascii="Times New Roman" w:hAnsi="Times New Roman"/>
        </w:rPr>
        <w:t xml:space="preserve"> Colvin J answered </w:t>
      </w:r>
      <w:r w:rsidRPr="004D645D">
        <w:rPr>
          <w:rFonts w:ascii="Times New Roman" w:hAnsi="Times New Roman"/>
        </w:rPr>
        <w:lastRenderedPageBreak/>
        <w:t>question three in the affirmative, reflecting his conclusion that the US companies were liable to pay DPT.</w:t>
      </w:r>
      <w:r w:rsidRPr="004D645D">
        <w:rPr>
          <w:rStyle w:val="FootnoteReference"/>
          <w:rFonts w:ascii="Times New Roman" w:hAnsi="Times New Roman"/>
          <w:sz w:val="24"/>
        </w:rPr>
        <w:footnoteReference w:id="8"/>
      </w:r>
    </w:p>
    <w:p w14:paraId="16213BEF"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For reasons to be explained, we consider the answers given by Colvin J to have been correct. We would therefore allow the Commissioner's further appeals by special leave to this Court.</w:t>
      </w:r>
    </w:p>
    <w:p w14:paraId="1404FA1F" w14:textId="77777777" w:rsidR="00436125" w:rsidRPr="004D645D" w:rsidRDefault="00436125" w:rsidP="004D645D">
      <w:pPr>
        <w:pStyle w:val="HeadingL1"/>
        <w:spacing w:after="260" w:line="280" w:lineRule="exact"/>
        <w:ind w:right="0"/>
        <w:jc w:val="both"/>
        <w:rPr>
          <w:rFonts w:ascii="Times New Roman" w:hAnsi="Times New Roman"/>
        </w:rPr>
      </w:pPr>
      <w:r w:rsidRPr="004D645D">
        <w:rPr>
          <w:rFonts w:ascii="Times New Roman" w:hAnsi="Times New Roman"/>
        </w:rPr>
        <w:t>The agreements in more detail</w:t>
      </w:r>
    </w:p>
    <w:p w14:paraId="1DFC36E1"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The general structure of the contracts between the US companies, PepsiCo and SVC, and the local manufacturer, SAPL, has been described. To the extent more detail is required, it can be confined to the following essential matters.</w:t>
      </w:r>
    </w:p>
    <w:p w14:paraId="6FD21161" w14:textId="2E1EAA2D"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 xml:space="preserve">The principal components of the contractual arrangements are contained in a so-called "Exclusive Bottling Appointment" or "Exclusive Bottling Agreement" ("EBA") executed in 2009. The EBAs replaced earlier agreements made from 2000 and 2001 onwards. </w:t>
      </w:r>
    </w:p>
    <w:p w14:paraId="68F1A68E" w14:textId="0469CDE3"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 xml:space="preserve">The parties to the PepsiCo EBA were PepsiCo, a company within the PepsiCo Group resident in Bermuda (and owner of some of the relevant intellectual property rights) referred to as CMCI, and SAPL. The parties to the SVC EBA were SVC and SAPL. The EBAs were mostly in terms sufficiently similar to involve no material legal distinction. </w:t>
      </w:r>
    </w:p>
    <w:p w14:paraId="198F7A38"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Under the EBAs PepsiCo and SVC appointed SAPL exclusively to bottle, sell and distribute the branded drinks under their trade marks in Australia.</w:t>
      </w:r>
      <w:r w:rsidRPr="004D645D">
        <w:rPr>
          <w:rStyle w:val="FootnoteReference"/>
          <w:rFonts w:ascii="Times New Roman" w:hAnsi="Times New Roman"/>
          <w:sz w:val="24"/>
        </w:rPr>
        <w:footnoteReference w:id="9"/>
      </w:r>
      <w:r w:rsidRPr="004D645D">
        <w:rPr>
          <w:rFonts w:ascii="Times New Roman" w:hAnsi="Times New Roman"/>
        </w:rPr>
        <w:t xml:space="preserve"> PepsiCo and SVC each agreed to "sell or cause to be sold" by it, or by a company in the PepsiCo Group nominated by it, to SAPL the units of concentrate required for SAPL to manufacture the branded drinks at an agreed price per unit subject to indexation.</w:t>
      </w:r>
      <w:r w:rsidRPr="004D645D">
        <w:rPr>
          <w:rStyle w:val="FootnoteReference"/>
          <w:rFonts w:ascii="Times New Roman" w:hAnsi="Times New Roman"/>
          <w:sz w:val="24"/>
        </w:rPr>
        <w:footnoteReference w:id="10"/>
      </w:r>
      <w:r w:rsidRPr="004D645D">
        <w:rPr>
          <w:rFonts w:ascii="Times New Roman" w:hAnsi="Times New Roman"/>
        </w:rPr>
        <w:t xml:space="preserve"> PepsiCo and CMCI and SVC warranted that they owned the trade marks and that SAPL's use of the trade marks according to the EBA would not infringe the rights of any other party.</w:t>
      </w:r>
      <w:r w:rsidRPr="004D645D">
        <w:rPr>
          <w:rStyle w:val="FootnoteReference"/>
          <w:rFonts w:ascii="Times New Roman" w:hAnsi="Times New Roman"/>
          <w:sz w:val="24"/>
        </w:rPr>
        <w:footnoteReference w:id="11"/>
      </w:r>
      <w:r w:rsidRPr="004D645D">
        <w:rPr>
          <w:rFonts w:ascii="Times New Roman" w:hAnsi="Times New Roman"/>
        </w:rPr>
        <w:t xml:space="preserve"> </w:t>
      </w:r>
    </w:p>
    <w:p w14:paraId="305067A6"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lastRenderedPageBreak/>
        <w:tab/>
        <w:t>By each EBA SAPL agreed to comply with all manufacturing and quality control requirements of PepsiCo or SVC as relevant.</w:t>
      </w:r>
      <w:r w:rsidRPr="004D645D">
        <w:rPr>
          <w:rStyle w:val="FootnoteReference"/>
          <w:rFonts w:ascii="Times New Roman" w:hAnsi="Times New Roman"/>
          <w:sz w:val="24"/>
        </w:rPr>
        <w:footnoteReference w:id="12"/>
      </w:r>
      <w:r w:rsidRPr="004D645D">
        <w:rPr>
          <w:rFonts w:ascii="Times New Roman" w:hAnsi="Times New Roman"/>
        </w:rPr>
        <w:t xml:space="preserve"> SAPL agreed, in effect, to maintain in Australia sufficient and adequate bottling plants to bottle, sell and distribute sufficient of the branded drinks in Australia,</w:t>
      </w:r>
      <w:r w:rsidRPr="004D645D">
        <w:rPr>
          <w:rStyle w:val="FootnoteReference"/>
          <w:rFonts w:ascii="Times New Roman" w:hAnsi="Times New Roman"/>
          <w:sz w:val="24"/>
        </w:rPr>
        <w:footnoteReference w:id="13"/>
      </w:r>
      <w:r w:rsidRPr="004D645D">
        <w:rPr>
          <w:rFonts w:ascii="Times New Roman" w:hAnsi="Times New Roman"/>
        </w:rPr>
        <w:t xml:space="preserve"> such plants to be maintained at a required standard.</w:t>
      </w:r>
      <w:r w:rsidRPr="004D645D">
        <w:rPr>
          <w:rStyle w:val="FootnoteReference"/>
          <w:rFonts w:ascii="Times New Roman" w:hAnsi="Times New Roman"/>
          <w:sz w:val="24"/>
        </w:rPr>
        <w:footnoteReference w:id="14"/>
      </w:r>
      <w:r w:rsidRPr="004D645D">
        <w:rPr>
          <w:rFonts w:ascii="Times New Roman" w:hAnsi="Times New Roman"/>
        </w:rPr>
        <w:t xml:space="preserve"> SAPL agreed to use its reasonable endeavours to maximise the sale of the branded drinks throughout Australia, including through competitive pricing for the sale of the branded drinks.</w:t>
      </w:r>
      <w:r w:rsidRPr="004D645D">
        <w:rPr>
          <w:rStyle w:val="FootnoteReference"/>
          <w:rFonts w:ascii="Times New Roman" w:hAnsi="Times New Roman"/>
          <w:sz w:val="24"/>
        </w:rPr>
        <w:footnoteReference w:id="15"/>
      </w:r>
    </w:p>
    <w:p w14:paraId="17A512B7" w14:textId="7195F585"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It is common ground that the PepsiCo EBA contained an implicit licence from PepsiCo and CMCI to SAPL to exploit the intellectual property rights necessary to enable SAPL to perform its obligations and exercise its rights under the PepsiCo EBA. The SVC EBA contained an express licence to the same effect in respect of that EBA.</w:t>
      </w:r>
      <w:r w:rsidRPr="004D645D">
        <w:rPr>
          <w:rStyle w:val="FootnoteReference"/>
          <w:rFonts w:ascii="Times New Roman" w:hAnsi="Times New Roman"/>
          <w:sz w:val="24"/>
        </w:rPr>
        <w:footnoteReference w:id="16"/>
      </w:r>
      <w:r w:rsidRPr="004D645D">
        <w:rPr>
          <w:rFonts w:ascii="Times New Roman" w:hAnsi="Times New Roman"/>
        </w:rPr>
        <w:t xml:space="preserve"> The exclusive licences gave SAPL no rights of ownership in the intellectual property or the goodwill accruing in those rights after the commencement of the EBAs. Rather, the licences granted rights of exploitation of the intellectual property in Australia to SAPL exclusive of third parties.</w:t>
      </w:r>
      <w:r w:rsidRPr="004D645D">
        <w:rPr>
          <w:rStyle w:val="FootnoteReference"/>
          <w:rFonts w:ascii="Times New Roman" w:hAnsi="Times New Roman"/>
          <w:sz w:val="24"/>
        </w:rPr>
        <w:footnoteReference w:id="17"/>
      </w:r>
      <w:r w:rsidRPr="004D645D">
        <w:rPr>
          <w:rFonts w:ascii="Times New Roman" w:hAnsi="Times New Roman"/>
        </w:rPr>
        <w:t xml:space="preserve"> </w:t>
      </w:r>
    </w:p>
    <w:p w14:paraId="32CBADEE" w14:textId="24490EAD"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In the PepsiCo EBA, PepsiCo and SAPL agreed to enter into co-operative advertising and marketing agreements and a performance agreement.</w:t>
      </w:r>
      <w:r w:rsidRPr="004D645D">
        <w:rPr>
          <w:rStyle w:val="FootnoteReference"/>
          <w:rFonts w:ascii="Times New Roman" w:hAnsi="Times New Roman"/>
          <w:sz w:val="24"/>
        </w:rPr>
        <w:footnoteReference w:id="18"/>
      </w:r>
      <w:r w:rsidRPr="004D645D">
        <w:rPr>
          <w:rFonts w:ascii="Times New Roman" w:hAnsi="Times New Roman"/>
        </w:rPr>
        <w:t xml:space="preserve"> The co-operative advertising and marketing agreements were entered into by SAPL and a PepsiCo Group company annually. They contained agreements about financial contributions to marketing, as well as marketing and advertising targets for sales of the branded drinks in Australia. The performance agreement, entered into in 2009, was between another company within the PepsiCo Group registered in Ireland and SAPL. Amongst other things, the performance agreement provided for minimum annual sales volumes, sales targets, distribution targets and distribution investments. </w:t>
      </w:r>
    </w:p>
    <w:p w14:paraId="4ADC46D2"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lastRenderedPageBreak/>
        <w:tab/>
        <w:t>In the SVC EBA, SVC and SAPL agreed provisions relating to co-operative marketing under a "Marketing Program".</w:t>
      </w:r>
      <w:r w:rsidRPr="004D645D">
        <w:rPr>
          <w:rStyle w:val="FootnoteReference"/>
          <w:rFonts w:ascii="Times New Roman" w:hAnsi="Times New Roman"/>
          <w:sz w:val="24"/>
        </w:rPr>
        <w:footnoteReference w:id="19"/>
      </w:r>
      <w:r w:rsidRPr="004D645D">
        <w:rPr>
          <w:rFonts w:ascii="Times New Roman" w:hAnsi="Times New Roman"/>
        </w:rPr>
        <w:t xml:space="preserve"> The SVC EBA also provided that SAPL would use its reasonable endeavours to achieve minimum specified annual sales volumes.</w:t>
      </w:r>
      <w:r w:rsidRPr="004D645D">
        <w:rPr>
          <w:rStyle w:val="FootnoteReference"/>
          <w:rFonts w:ascii="Times New Roman" w:hAnsi="Times New Roman"/>
          <w:sz w:val="24"/>
        </w:rPr>
        <w:footnoteReference w:id="20"/>
      </w:r>
      <w:r w:rsidRPr="004D645D">
        <w:rPr>
          <w:rFonts w:ascii="Times New Roman" w:hAnsi="Times New Roman"/>
        </w:rPr>
        <w:t xml:space="preserve"> </w:t>
      </w:r>
    </w:p>
    <w:p w14:paraId="7F95CB70"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In respect of payments for units of concentrate to be sold to SAPL, the PepsiCo EBA provided that:</w:t>
      </w:r>
      <w:r w:rsidRPr="004D645D">
        <w:rPr>
          <w:rStyle w:val="FootnoteReference"/>
          <w:rFonts w:ascii="Times New Roman" w:hAnsi="Times New Roman"/>
          <w:sz w:val="24"/>
        </w:rPr>
        <w:footnoteReference w:id="21"/>
      </w:r>
    </w:p>
    <w:p w14:paraId="44EED72A" w14:textId="77777777" w:rsidR="004D645D" w:rsidRDefault="00436125" w:rsidP="004D645D">
      <w:pPr>
        <w:pStyle w:val="leftright"/>
        <w:spacing w:before="0" w:after="260" w:line="280" w:lineRule="exact"/>
        <w:ind w:right="0"/>
        <w:jc w:val="both"/>
        <w:rPr>
          <w:rFonts w:ascii="Times New Roman" w:hAnsi="Times New Roman"/>
        </w:rPr>
      </w:pPr>
      <w:r w:rsidRPr="004D645D">
        <w:rPr>
          <w:rFonts w:ascii="Times New Roman" w:hAnsi="Times New Roman"/>
        </w:rPr>
        <w:t>"All Units shall be delivered to [SAPL's] plant, with freight, insurance and handling charges to be prepaid by [PepsiCo or its related company supplying concentrate] and charged to [SAPL]. [SAPL] shall be responsible for paying customs duty and GST. [SAPL] will at its own cost and expense, and without any cost or expense to [PepsiCo or its related company supplying concentrate], obtain all import licenses and permits in relation to the Units. ... Title to all Units shipped by [PepsiCo or its related company supplying concentrate] to [SAPL] shall remain in [PepsiCo or its related company supplying concentrate] until the Units are paid by [SAPL] according to the provisions hereof. Payment in full for each order of Units shall be made by [SAPL] within 7 days of delivery."</w:t>
      </w:r>
    </w:p>
    <w:p w14:paraId="2B6CF2BC" w14:textId="57F09E1E"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The PepsiCo EBA provided that, in addition to all other rights and remedies of a party under the EBA, "in the event that the other party at any time has failed to make timely payment under [the EBA] or any related agreement, such party shall be liable for the payment of interest for any such amounts outstanding calculated at [a specified rate]".</w:t>
      </w:r>
      <w:r w:rsidRPr="004D645D">
        <w:rPr>
          <w:rStyle w:val="FootnoteReference"/>
          <w:rFonts w:ascii="Times New Roman" w:hAnsi="Times New Roman"/>
          <w:sz w:val="24"/>
        </w:rPr>
        <w:footnoteReference w:id="22"/>
      </w:r>
    </w:p>
    <w:p w14:paraId="0DA8E340"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In respect of payments for units of concentrate to be sold to SAPL, the SVC EBA provided that:</w:t>
      </w:r>
      <w:r w:rsidRPr="004D645D">
        <w:rPr>
          <w:rStyle w:val="FootnoteReference"/>
          <w:rFonts w:ascii="Times New Roman" w:hAnsi="Times New Roman"/>
          <w:sz w:val="24"/>
        </w:rPr>
        <w:footnoteReference w:id="23"/>
      </w:r>
    </w:p>
    <w:p w14:paraId="52BDCAED" w14:textId="77777777" w:rsidR="004D645D" w:rsidRDefault="00436125" w:rsidP="004D645D">
      <w:pPr>
        <w:pStyle w:val="leftright"/>
        <w:spacing w:before="0" w:after="260" w:line="280" w:lineRule="exact"/>
        <w:ind w:right="0"/>
        <w:jc w:val="both"/>
        <w:rPr>
          <w:rFonts w:ascii="Times New Roman" w:hAnsi="Times New Roman"/>
        </w:rPr>
      </w:pPr>
      <w:r w:rsidRPr="004D645D">
        <w:rPr>
          <w:rFonts w:ascii="Times New Roman" w:hAnsi="Times New Roman"/>
        </w:rPr>
        <w:t>"If the [concentrate] is supplied by a [SVC related company] the terms of [this EBA], to the extent that they are relevant, apply to transactions between [SAPL] and the [SVC related company] as if they were direct parties to [this EBA]."</w:t>
      </w:r>
    </w:p>
    <w:p w14:paraId="6FA86168" w14:textId="5624898D"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lastRenderedPageBreak/>
        <w:tab/>
        <w:t>The SVC EBA also provided that:</w:t>
      </w:r>
      <w:r w:rsidRPr="004D645D">
        <w:rPr>
          <w:rStyle w:val="FootnoteReference"/>
          <w:rFonts w:ascii="Times New Roman" w:hAnsi="Times New Roman"/>
          <w:sz w:val="24"/>
        </w:rPr>
        <w:footnoteReference w:id="24"/>
      </w:r>
    </w:p>
    <w:p w14:paraId="29ADBCCE" w14:textId="77777777" w:rsidR="00436125" w:rsidRPr="004D645D" w:rsidRDefault="00436125" w:rsidP="004D645D">
      <w:pPr>
        <w:pStyle w:val="leftright"/>
        <w:spacing w:before="0" w:after="260" w:line="280" w:lineRule="exact"/>
        <w:ind w:left="1440" w:right="0" w:hanging="720"/>
        <w:jc w:val="both"/>
        <w:rPr>
          <w:rFonts w:ascii="Times New Roman" w:hAnsi="Times New Roman"/>
        </w:rPr>
      </w:pPr>
      <w:r w:rsidRPr="004D645D">
        <w:rPr>
          <w:rFonts w:ascii="Times New Roman" w:hAnsi="Times New Roman"/>
        </w:rPr>
        <w:t>"(f)</w:t>
      </w:r>
      <w:r w:rsidRPr="004D645D">
        <w:rPr>
          <w:rFonts w:ascii="Times New Roman" w:hAnsi="Times New Roman"/>
        </w:rPr>
        <w:tab/>
        <w:t>[SAPL] must pay [the agreed prices] for the [concentrate] supplied by [SVC or its related company] within 28 days after the invoice, which shall be issued on the date of delivery of the [concentrate]. Unless the parties agree otherwise, payment shall be made by telegraphic transfer to such bank account in the U.S.A. as may be specified by [SVC or its related company] at any time.</w:t>
      </w:r>
    </w:p>
    <w:p w14:paraId="09310594" w14:textId="77777777" w:rsidR="00436125" w:rsidRPr="004D645D" w:rsidRDefault="00436125" w:rsidP="004D645D">
      <w:pPr>
        <w:pStyle w:val="leftright"/>
        <w:spacing w:before="0" w:after="260" w:line="280" w:lineRule="exact"/>
        <w:ind w:left="1440" w:right="0" w:hanging="720"/>
        <w:jc w:val="both"/>
        <w:rPr>
          <w:rFonts w:ascii="Times New Roman" w:hAnsi="Times New Roman"/>
        </w:rPr>
      </w:pPr>
      <w:r w:rsidRPr="004D645D">
        <w:rPr>
          <w:rFonts w:ascii="Times New Roman" w:hAnsi="Times New Roman"/>
        </w:rPr>
        <w:t>(g)</w:t>
      </w:r>
      <w:r w:rsidRPr="004D645D">
        <w:rPr>
          <w:rFonts w:ascii="Times New Roman" w:hAnsi="Times New Roman"/>
        </w:rPr>
        <w:tab/>
        <w:t>Any failure by [SAPL] to make any payment required under [this EBA] when due shall be a breach of [this EBA] and without limiting [SVC's] other remedies:</w:t>
      </w:r>
    </w:p>
    <w:p w14:paraId="38AFB0F8" w14:textId="77777777" w:rsidR="00436125" w:rsidRPr="004D645D" w:rsidRDefault="00436125" w:rsidP="004D645D">
      <w:pPr>
        <w:pStyle w:val="leftright"/>
        <w:spacing w:before="0" w:after="260" w:line="280" w:lineRule="exact"/>
        <w:ind w:left="2160" w:right="0" w:hanging="1440"/>
        <w:jc w:val="both"/>
        <w:rPr>
          <w:rFonts w:ascii="Times New Roman" w:hAnsi="Times New Roman"/>
        </w:rPr>
      </w:pPr>
      <w:r w:rsidRPr="004D645D">
        <w:rPr>
          <w:rFonts w:ascii="Times New Roman" w:hAnsi="Times New Roman"/>
        </w:rPr>
        <w:tab/>
        <w:t xml:space="preserve">(i) </w:t>
      </w:r>
      <w:r w:rsidRPr="004D645D">
        <w:rPr>
          <w:rFonts w:ascii="Times New Roman" w:hAnsi="Times New Roman"/>
        </w:rPr>
        <w:tab/>
        <w:t>[SVC] may at its option require immediate payment to [SVC or its related company] of all [SAPL's] liabilities and other indebtedness outstanding to [SVC or its related company] regardless of previously agreed-upon terms of payment;</w:t>
      </w:r>
    </w:p>
    <w:p w14:paraId="19BF0A19" w14:textId="77777777" w:rsidR="004D645D" w:rsidRDefault="00436125" w:rsidP="004D645D">
      <w:pPr>
        <w:pStyle w:val="leftright"/>
        <w:spacing w:before="0" w:after="260" w:line="280" w:lineRule="exact"/>
        <w:ind w:left="2160" w:right="0" w:hanging="1440"/>
        <w:jc w:val="both"/>
        <w:rPr>
          <w:rFonts w:ascii="Times New Roman" w:hAnsi="Times New Roman"/>
        </w:rPr>
      </w:pPr>
      <w:r w:rsidRPr="004D645D">
        <w:rPr>
          <w:rFonts w:ascii="Times New Roman" w:hAnsi="Times New Roman"/>
        </w:rPr>
        <w:tab/>
        <w:t xml:space="preserve">(ii) </w:t>
      </w:r>
      <w:r w:rsidRPr="004D645D">
        <w:rPr>
          <w:rFonts w:ascii="Times New Roman" w:hAnsi="Times New Roman"/>
        </w:rPr>
        <w:tab/>
        <w:t>[SAPL] shall owe and pay to [SVC or its related company] as the case may be interest on such overdue payment at [a specified rate]."</w:t>
      </w:r>
    </w:p>
    <w:p w14:paraId="4DE4D35D" w14:textId="6CE1491F"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The SVC EBA additionally provided that:</w:t>
      </w:r>
      <w:r w:rsidRPr="004D645D">
        <w:rPr>
          <w:rStyle w:val="FootnoteReference"/>
          <w:rFonts w:ascii="Times New Roman" w:hAnsi="Times New Roman"/>
          <w:sz w:val="24"/>
        </w:rPr>
        <w:footnoteReference w:id="25"/>
      </w:r>
    </w:p>
    <w:p w14:paraId="7B33DE0B" w14:textId="77777777" w:rsidR="004D645D" w:rsidRDefault="00436125" w:rsidP="004D645D">
      <w:pPr>
        <w:pStyle w:val="leftright"/>
        <w:spacing w:before="0" w:after="260" w:line="280" w:lineRule="exact"/>
        <w:ind w:right="0"/>
        <w:jc w:val="both"/>
        <w:rPr>
          <w:rFonts w:ascii="Times New Roman" w:hAnsi="Times New Roman"/>
        </w:rPr>
      </w:pPr>
      <w:r w:rsidRPr="004D645D">
        <w:rPr>
          <w:rFonts w:ascii="Times New Roman" w:hAnsi="Times New Roman"/>
        </w:rPr>
        <w:t xml:space="preserve">"Property and risk in the [concentrate] will pass to [SAPL] on completion of delivery to [SAPL] which shall occur upon [SAPL] or its agent or nominee taking custody of the goods at [SVC's] Warehouse." </w:t>
      </w:r>
    </w:p>
    <w:p w14:paraId="39E97791" w14:textId="047798F7" w:rsidR="00436125" w:rsidRPr="004D645D" w:rsidRDefault="00436125" w:rsidP="004D645D">
      <w:pPr>
        <w:pStyle w:val="HeadingL1"/>
        <w:spacing w:after="260" w:line="280" w:lineRule="exact"/>
        <w:ind w:right="0"/>
        <w:jc w:val="both"/>
        <w:rPr>
          <w:rFonts w:ascii="Times New Roman" w:hAnsi="Times New Roman"/>
        </w:rPr>
      </w:pPr>
      <w:r w:rsidRPr="004D645D">
        <w:rPr>
          <w:rFonts w:ascii="Times New Roman" w:hAnsi="Times New Roman"/>
        </w:rPr>
        <w:t>Related transactions and other agreements</w:t>
      </w:r>
    </w:p>
    <w:p w14:paraId="4C9CC314" w14:textId="21C4B653"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 xml:space="preserve">After execution of the EBA PepsiCo notified SAPL that the seller of the units of concentrate would be PepsiCo Beverage Singapore Pty Ltd ("PBS"), which, despite its name, was a company in the PepsiCo Group registered in Australia. SVC likewise notified SAPL that the seller of the concentrate would be PBS. PBS also notified SAPL of PBS's bank account details, referring to each EBA as relevant. It is common ground that between 1 July 2017 and 30 June 2019, SAPL made payments to PBS for the supply to SAPL of concentrate in accordance with both the EBAs and SAPL's purchase orders to PBS. That one or more than one act (in this case, ordering the concentrate from PBS and paying for it) may have </w:t>
      </w:r>
      <w:r w:rsidRPr="004D645D">
        <w:rPr>
          <w:rFonts w:ascii="Times New Roman" w:hAnsi="Times New Roman"/>
        </w:rPr>
        <w:lastRenderedPageBreak/>
        <w:t xml:space="preserve">several legal effects between different parties (that is, as between SAPL and PepsiCo or SVC under the EBAs and as between SAPL and PBS under the purchase orders) is commonplace. </w:t>
      </w:r>
    </w:p>
    <w:p w14:paraId="34F4A218" w14:textId="12935FD4"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On 1 January 2018 a Singapore company, Concentrate Manufacturing (Singapore) Pte Ltd ("CMSPL") (a member of the PepsiCo Group), and PBS entered into a concentrate distribution agreement in respect of concentrate ("CDA"). The CDA replaced an earlier CDA effective from 22 December 2015. The CDA defined "Concentrate" as the concentrated essence and other components used in making the branded drinks for sale in Australia.</w:t>
      </w:r>
      <w:r w:rsidRPr="004D645D">
        <w:rPr>
          <w:rStyle w:val="FootnoteReference"/>
          <w:rFonts w:ascii="Times New Roman" w:hAnsi="Times New Roman"/>
          <w:sz w:val="24"/>
        </w:rPr>
        <w:footnoteReference w:id="26"/>
      </w:r>
      <w:r w:rsidRPr="004D645D">
        <w:rPr>
          <w:rFonts w:ascii="Times New Roman" w:hAnsi="Times New Roman"/>
        </w:rPr>
        <w:t xml:space="preserve"> PBS agreed to distribute Concentrate to "Bottlers" and "Approved Resellers" (in effect, companies authorised by PepsiCo or an affiliate of PepsiCo to produce the branded drinks in the Territory, which includes Australia</w:t>
      </w:r>
      <w:r w:rsidRPr="004D645D">
        <w:rPr>
          <w:rStyle w:val="FootnoteReference"/>
          <w:rFonts w:ascii="Times New Roman" w:hAnsi="Times New Roman"/>
          <w:sz w:val="24"/>
        </w:rPr>
        <w:footnoteReference w:id="27"/>
      </w:r>
      <w:r w:rsidRPr="004D645D">
        <w:rPr>
          <w:rFonts w:ascii="Times New Roman" w:hAnsi="Times New Roman"/>
        </w:rPr>
        <w:t>) in such annual volumes as PBS and CMSPL agreed.</w:t>
      </w:r>
      <w:r w:rsidRPr="004D645D">
        <w:rPr>
          <w:rStyle w:val="FootnoteReference"/>
          <w:rFonts w:ascii="Times New Roman" w:hAnsi="Times New Roman"/>
          <w:sz w:val="24"/>
        </w:rPr>
        <w:footnoteReference w:id="28"/>
      </w:r>
      <w:r w:rsidRPr="004D645D">
        <w:rPr>
          <w:rFonts w:ascii="Times New Roman" w:hAnsi="Times New Roman"/>
        </w:rPr>
        <w:t xml:space="preserve"> CMSPL agreed to use its best efforts to make Concentrate available at such volume per year as PBS and CMSPL agreed given PBS's volume requests.</w:t>
      </w:r>
      <w:r w:rsidRPr="004D645D">
        <w:rPr>
          <w:rStyle w:val="FootnoteReference"/>
          <w:rFonts w:ascii="Times New Roman" w:hAnsi="Times New Roman"/>
          <w:sz w:val="24"/>
        </w:rPr>
        <w:footnoteReference w:id="29"/>
      </w:r>
      <w:r w:rsidRPr="004D645D">
        <w:rPr>
          <w:rFonts w:ascii="Times New Roman" w:hAnsi="Times New Roman"/>
        </w:rPr>
        <w:t xml:space="preserve"> PBS agreed to "purchase Concentrate from CMSPL at the price equal to PBS's sales prices less a distribution discount" (referred to as the distribution price) and the distribution discount was to constitute the "sole monetary consideration to PBS for distributing Concentrate".</w:t>
      </w:r>
      <w:r w:rsidRPr="004D645D">
        <w:rPr>
          <w:rStyle w:val="FootnoteReference"/>
          <w:rFonts w:ascii="Times New Roman" w:hAnsi="Times New Roman"/>
          <w:sz w:val="24"/>
        </w:rPr>
        <w:footnoteReference w:id="30"/>
      </w:r>
      <w:r w:rsidRPr="004D645D">
        <w:rPr>
          <w:rFonts w:ascii="Times New Roman" w:hAnsi="Times New Roman"/>
        </w:rPr>
        <w:t xml:space="preserve"> The distribution price was to be an amount that would be provided by a seller to an unrelated purchaser under similar circumstances.</w:t>
      </w:r>
      <w:r w:rsidRPr="004D645D">
        <w:rPr>
          <w:rStyle w:val="FootnoteReference"/>
          <w:rFonts w:ascii="Times New Roman" w:hAnsi="Times New Roman"/>
          <w:sz w:val="24"/>
        </w:rPr>
        <w:footnoteReference w:id="31"/>
      </w:r>
      <w:r w:rsidRPr="004D645D">
        <w:rPr>
          <w:rFonts w:ascii="Times New Roman" w:hAnsi="Times New Roman"/>
        </w:rPr>
        <w:t xml:space="preserve"> Title to the Concentrate was to pass from CMSPL to PBS at the point of manufacturing of the Concentrate at CMSPL's manufacturing facilities in Singapore.</w:t>
      </w:r>
      <w:r w:rsidRPr="004D645D">
        <w:rPr>
          <w:rStyle w:val="FootnoteReference"/>
          <w:rFonts w:ascii="Times New Roman" w:hAnsi="Times New Roman"/>
          <w:sz w:val="24"/>
        </w:rPr>
        <w:footnoteReference w:id="32"/>
      </w:r>
    </w:p>
    <w:p w14:paraId="27FB45AB" w14:textId="77777777" w:rsidR="00436125" w:rsidRPr="004D645D" w:rsidRDefault="00436125" w:rsidP="004D645D">
      <w:pPr>
        <w:pStyle w:val="HeadingL1"/>
        <w:spacing w:after="260" w:line="280" w:lineRule="exact"/>
        <w:ind w:right="0"/>
        <w:jc w:val="both"/>
        <w:rPr>
          <w:rFonts w:ascii="Times New Roman" w:hAnsi="Times New Roman"/>
        </w:rPr>
      </w:pPr>
      <w:r w:rsidRPr="004D645D">
        <w:rPr>
          <w:rFonts w:ascii="Times New Roman" w:hAnsi="Times New Roman"/>
        </w:rPr>
        <w:t>Onus of proof</w:t>
      </w:r>
    </w:p>
    <w:p w14:paraId="6DAC6784"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 xml:space="preserve">In the proceedings under s 39B(1A) of the </w:t>
      </w:r>
      <w:r w:rsidRPr="004D645D">
        <w:rPr>
          <w:rFonts w:ascii="Times New Roman" w:hAnsi="Times New Roman"/>
          <w:i/>
          <w:iCs/>
        </w:rPr>
        <w:t>Judiciary Act</w:t>
      </w:r>
      <w:r w:rsidRPr="004D645D">
        <w:rPr>
          <w:rFonts w:ascii="Times New Roman" w:hAnsi="Times New Roman"/>
        </w:rPr>
        <w:t xml:space="preserve">, PepsiCo and SVC were the moving parties and therefore bore the onus of proof. In each proceeding under Pt IVC of the TAA, s 14ZZO(b)(i) of the TAA imposed on the appellant </w:t>
      </w:r>
      <w:r w:rsidRPr="004D645D">
        <w:rPr>
          <w:rFonts w:ascii="Times New Roman" w:hAnsi="Times New Roman"/>
        </w:rPr>
        <w:lastRenderedPageBreak/>
        <w:t>(PepsiCo or SVC) the burden of proving, relevantly, that the assessment was excessive or otherwise incorrect.</w:t>
      </w:r>
    </w:p>
    <w:p w14:paraId="0A0C2E37" w14:textId="77777777" w:rsidR="00436125" w:rsidRPr="004D645D" w:rsidRDefault="00436125" w:rsidP="004D645D">
      <w:pPr>
        <w:pStyle w:val="HeadingL1"/>
        <w:spacing w:after="260" w:line="280" w:lineRule="exact"/>
        <w:ind w:right="0"/>
        <w:jc w:val="both"/>
        <w:rPr>
          <w:rFonts w:ascii="Times New Roman" w:hAnsi="Times New Roman"/>
        </w:rPr>
      </w:pPr>
      <w:r w:rsidRPr="004D645D">
        <w:rPr>
          <w:rFonts w:ascii="Times New Roman" w:hAnsi="Times New Roman"/>
        </w:rPr>
        <w:t>Primary judge's key findings</w:t>
      </w:r>
    </w:p>
    <w:p w14:paraId="10559FD1"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The primary judge made several undisputed factual findings.</w:t>
      </w:r>
    </w:p>
    <w:p w14:paraId="3FE0D25E" w14:textId="30839AEE"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In the relevant income years ended 30 June 2018 and 30 June 2019 CMSPL supplied concentrate to PBS under the CDA. SAPL placed orders with PBS for the purchase of concentrate. PBS supplied the concentrate to SAPL in accordance with SAPL's purchase orders and invoiced SAPL for the concentrate that had been supplied. SAPL paid PBS into the nominated PBS bank account for the concentrate in accordance with those invoices. PBS transferred almost all the money received from SAPL to CMSPL, retaining only a small margin (which may be inferred to be the amount of the distribution discount under the CDA). PBS recorded the income from the sale of concentrate to SAPL in its Australian income tax returns and financial statements for the income years ended 31 December 2017, 31</w:t>
      </w:r>
      <w:r w:rsidR="000F3C65">
        <w:rPr>
          <w:rFonts w:ascii="Times New Roman" w:hAnsi="Times New Roman"/>
        </w:rPr>
        <w:t> </w:t>
      </w:r>
      <w:r w:rsidRPr="004D645D">
        <w:rPr>
          <w:rFonts w:ascii="Times New Roman" w:hAnsi="Times New Roman"/>
        </w:rPr>
        <w:t>December 2018 and 31 December 2019.</w:t>
      </w:r>
      <w:r w:rsidRPr="004D645D">
        <w:rPr>
          <w:rStyle w:val="FootnoteReference"/>
          <w:rFonts w:ascii="Times New Roman" w:hAnsi="Times New Roman"/>
          <w:sz w:val="24"/>
        </w:rPr>
        <w:footnoteReference w:id="33"/>
      </w:r>
      <w:r w:rsidRPr="004D645D">
        <w:rPr>
          <w:rFonts w:ascii="Times New Roman" w:hAnsi="Times New Roman"/>
        </w:rPr>
        <w:t xml:space="preserve"> </w:t>
      </w:r>
    </w:p>
    <w:p w14:paraId="2EF337E4"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PepsiCo and its predecessor company, the Pepsi-Cola Company, have used a franchise model involving the sale of concentrate for their branded drinks to third parties to manufacture, bottle and sell since inception in the early 1900s. This model expanded in use from the United States to other countries.</w:t>
      </w:r>
      <w:r w:rsidRPr="004D645D">
        <w:rPr>
          <w:rStyle w:val="FootnoteReference"/>
          <w:rFonts w:ascii="Times New Roman" w:hAnsi="Times New Roman"/>
          <w:sz w:val="24"/>
        </w:rPr>
        <w:footnoteReference w:id="34"/>
      </w:r>
      <w:r w:rsidRPr="004D645D">
        <w:rPr>
          <w:rFonts w:ascii="Times New Roman" w:hAnsi="Times New Roman"/>
        </w:rPr>
        <w:t xml:space="preserve"> The franchise model meant that the PepsiCo Group "gain[ed] access to the bottler's investment in bottling and distribution equipment and its capabilities, including its distribution network, sales force, leadership, relationships with the trade (such as supermarket executives) and local regulatory authorities".</w:t>
      </w:r>
      <w:r w:rsidRPr="004D645D">
        <w:rPr>
          <w:rStyle w:val="FootnoteReference"/>
          <w:rFonts w:ascii="Times New Roman" w:hAnsi="Times New Roman"/>
          <w:sz w:val="24"/>
        </w:rPr>
        <w:footnoteReference w:id="35"/>
      </w:r>
      <w:r w:rsidRPr="004D645D">
        <w:rPr>
          <w:rFonts w:ascii="Times New Roman" w:hAnsi="Times New Roman"/>
        </w:rPr>
        <w:t xml:space="preserve"> Under the franchise model "there [was] considerable scope for variation in the terms of exclusive bottling agreements entered into by the PepsiCo Group".</w:t>
      </w:r>
      <w:r w:rsidRPr="004D645D">
        <w:rPr>
          <w:rStyle w:val="FootnoteReference"/>
          <w:rFonts w:ascii="Times New Roman" w:hAnsi="Times New Roman"/>
          <w:sz w:val="24"/>
        </w:rPr>
        <w:footnoteReference w:id="36"/>
      </w:r>
    </w:p>
    <w:p w14:paraId="43B3F434"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The PepsiCo Group considered that "[t]he long-term success of our Franchise model comes from building strong brands".</w:t>
      </w:r>
      <w:r w:rsidRPr="004D645D">
        <w:rPr>
          <w:rStyle w:val="FootnoteReference"/>
          <w:rFonts w:ascii="Times New Roman" w:hAnsi="Times New Roman"/>
          <w:sz w:val="24"/>
        </w:rPr>
        <w:footnoteReference w:id="37"/>
      </w:r>
      <w:r w:rsidRPr="004D645D">
        <w:rPr>
          <w:rFonts w:ascii="Times New Roman" w:hAnsi="Times New Roman"/>
        </w:rPr>
        <w:t xml:space="preserve"> Under the franchise model </w:t>
      </w:r>
      <w:r w:rsidRPr="004D645D">
        <w:rPr>
          <w:rFonts w:ascii="Times New Roman" w:hAnsi="Times New Roman"/>
        </w:rPr>
        <w:lastRenderedPageBreak/>
        <w:t>the sale of concentrate was always accompanied by a licence of the intellectual property rights as such rights were necessary to enable the EBA to operate. PepsiCo would never sell its concentrate for its branded drinks without also licensing the brand under which the finished beverage was to be sold – the concentrate and the brands "always [went] together".</w:t>
      </w:r>
      <w:r w:rsidRPr="004D645D">
        <w:rPr>
          <w:rStyle w:val="FootnoteReference"/>
          <w:rFonts w:ascii="Times New Roman" w:hAnsi="Times New Roman"/>
          <w:sz w:val="24"/>
        </w:rPr>
        <w:footnoteReference w:id="38"/>
      </w:r>
      <w:r w:rsidRPr="004D645D">
        <w:rPr>
          <w:rFonts w:ascii="Times New Roman" w:hAnsi="Times New Roman"/>
        </w:rPr>
        <w:t xml:space="preserve"> Some aspects of the franchise model were therefore considered within the PepsiCo Group to be non-negotiable, such as exclusive purchase of the concentrate from the PepsiCo Group, quality control and PepsiCo Group control over the marketing of its brands. Other terms, including the price for sale of the concentrate, were negotiable.</w:t>
      </w:r>
      <w:r w:rsidRPr="004D645D">
        <w:rPr>
          <w:rStyle w:val="FootnoteReference"/>
          <w:rFonts w:ascii="Times New Roman" w:hAnsi="Times New Roman"/>
          <w:sz w:val="24"/>
        </w:rPr>
        <w:footnoteReference w:id="39"/>
      </w:r>
      <w:r w:rsidRPr="004D645D">
        <w:rPr>
          <w:rFonts w:ascii="Times New Roman" w:hAnsi="Times New Roman"/>
        </w:rPr>
        <w:t xml:space="preserve"> The PepsiCo Group franchise team tried to simplify the franchise model and "what they call[ed] levers that markets can execute to build the brands" in the various markets, developed and emerging.</w:t>
      </w:r>
      <w:r w:rsidRPr="004D645D">
        <w:rPr>
          <w:rStyle w:val="FootnoteReference"/>
          <w:rFonts w:ascii="Times New Roman" w:hAnsi="Times New Roman"/>
          <w:sz w:val="24"/>
        </w:rPr>
        <w:footnoteReference w:id="40"/>
      </w:r>
      <w:r w:rsidRPr="004D645D">
        <w:rPr>
          <w:rFonts w:ascii="Times New Roman" w:hAnsi="Times New Roman"/>
        </w:rPr>
        <w:t xml:space="preserve"> There was "considerable scope to negotiate the way in which the pricing term is expressed and ... such terms sometimes have a degree of complexity to them".</w:t>
      </w:r>
      <w:r w:rsidRPr="004D645D">
        <w:rPr>
          <w:rStyle w:val="FootnoteReference"/>
          <w:rFonts w:ascii="Times New Roman" w:hAnsi="Times New Roman"/>
          <w:sz w:val="24"/>
        </w:rPr>
        <w:footnoteReference w:id="41"/>
      </w:r>
    </w:p>
    <w:p w14:paraId="69AC4894" w14:textId="77777777" w:rsidR="00436125" w:rsidRPr="004D645D" w:rsidRDefault="00436125" w:rsidP="004D645D">
      <w:pPr>
        <w:pStyle w:val="HeadingL1"/>
        <w:spacing w:after="260" w:line="280" w:lineRule="exact"/>
        <w:ind w:right="0"/>
        <w:jc w:val="both"/>
        <w:rPr>
          <w:rFonts w:ascii="Times New Roman" w:hAnsi="Times New Roman"/>
        </w:rPr>
      </w:pPr>
      <w:r w:rsidRPr="004D645D">
        <w:rPr>
          <w:rFonts w:ascii="Times New Roman" w:hAnsi="Times New Roman"/>
        </w:rPr>
        <w:t>Question one: did SAPL pay a royalty?</w:t>
      </w:r>
    </w:p>
    <w:p w14:paraId="11693FDE" w14:textId="77777777" w:rsidR="00436125" w:rsidRPr="004D645D" w:rsidRDefault="00436125" w:rsidP="004D645D">
      <w:pPr>
        <w:pStyle w:val="HeadingL2"/>
        <w:spacing w:after="260" w:line="280" w:lineRule="exact"/>
        <w:ind w:right="0"/>
        <w:jc w:val="both"/>
        <w:rPr>
          <w:rFonts w:ascii="Times New Roman" w:hAnsi="Times New Roman"/>
        </w:rPr>
      </w:pPr>
      <w:r w:rsidRPr="004D645D">
        <w:rPr>
          <w:rFonts w:ascii="Times New Roman" w:hAnsi="Times New Roman"/>
        </w:rPr>
        <w:t>The question in context</w:t>
      </w:r>
    </w:p>
    <w:p w14:paraId="0DC3E2EC"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 xml:space="preserve">Question one is linked to question two. Whether SAPL paid a "royalty" (question one) is relevant to determining if PepsiCo and SVC are liable to pay withholding tax (question two). </w:t>
      </w:r>
    </w:p>
    <w:p w14:paraId="2EE51ED9"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 xml:space="preserve">By s 6(1) of the ITAA, a "royalty" includes "any amount paid or credited, however described or computed, ... to the extent to which it is paid or credited, as the case may be, as consideration for", relevantly, "the use of, or the right to use, any copyright, patent, design or model, plan, secret formula or process, trade mark, or other like property or right". </w:t>
      </w:r>
    </w:p>
    <w:p w14:paraId="26DD3DA1" w14:textId="77777777" w:rsidR="00436125" w:rsidRPr="004D645D" w:rsidRDefault="00436125" w:rsidP="004D645D">
      <w:pPr>
        <w:pStyle w:val="HeadingL2"/>
        <w:spacing w:after="260" w:line="280" w:lineRule="exact"/>
        <w:ind w:right="0"/>
        <w:jc w:val="both"/>
        <w:rPr>
          <w:rFonts w:ascii="Times New Roman" w:hAnsi="Times New Roman"/>
        </w:rPr>
      </w:pPr>
      <w:r w:rsidRPr="004D645D">
        <w:rPr>
          <w:rFonts w:ascii="Times New Roman" w:hAnsi="Times New Roman"/>
        </w:rPr>
        <w:t>The reasoning of the Courts below</w:t>
      </w:r>
    </w:p>
    <w:p w14:paraId="10921851"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 xml:space="preserve">The primary judge characterised the payments made by SAPL for the concentrate as payments SAPL made "pursuant to" the PepsiCo EBA and the SVC </w:t>
      </w:r>
      <w:r w:rsidRPr="004D645D">
        <w:rPr>
          <w:rFonts w:ascii="Times New Roman" w:hAnsi="Times New Roman"/>
        </w:rPr>
        <w:lastRenderedPageBreak/>
        <w:t>EBA respectively, which were, "</w:t>
      </w:r>
      <w:r w:rsidRPr="004D645D">
        <w:rPr>
          <w:rFonts w:ascii="Times New Roman" w:hAnsi="Times New Roman"/>
          <w:i/>
          <w:iCs/>
        </w:rPr>
        <w:t>to some extent</w:t>
      </w:r>
      <w:r w:rsidRPr="004D645D">
        <w:rPr>
          <w:rFonts w:ascii="Times New Roman" w:hAnsi="Times New Roman"/>
        </w:rPr>
        <w:t>, consideration for the use of" the intellectual property rights the subject of licence to SAPL by those EBAs.</w:t>
      </w:r>
      <w:r w:rsidRPr="004D645D">
        <w:rPr>
          <w:rStyle w:val="FootnoteReference"/>
          <w:rFonts w:ascii="Times New Roman" w:hAnsi="Times New Roman"/>
          <w:sz w:val="24"/>
        </w:rPr>
        <w:footnoteReference w:id="42"/>
      </w:r>
      <w:r w:rsidRPr="004D645D">
        <w:rPr>
          <w:rFonts w:ascii="Times New Roman" w:hAnsi="Times New Roman"/>
        </w:rPr>
        <w:t xml:space="preserve"> </w:t>
      </w:r>
    </w:p>
    <w:p w14:paraId="4FBB9233" w14:textId="36F82355"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The Full Court majority considered that the "ordinary reading of a provision that says that an item is to be sold for a price is that the price is the consideration for the purchase".</w:t>
      </w:r>
      <w:r w:rsidRPr="004D645D">
        <w:rPr>
          <w:rStyle w:val="FootnoteReference"/>
          <w:rFonts w:ascii="Times New Roman" w:hAnsi="Times New Roman"/>
          <w:sz w:val="24"/>
        </w:rPr>
        <w:footnoteReference w:id="43"/>
      </w:r>
      <w:r w:rsidRPr="004D645D">
        <w:rPr>
          <w:rFonts w:ascii="Times New Roman" w:hAnsi="Times New Roman"/>
        </w:rPr>
        <w:t xml:space="preserve"> In contrast, where "the transfer involved is not one connected to a sale of identified property ... one may look at the broader context in determining the consideration for the transfer".</w:t>
      </w:r>
      <w:r w:rsidRPr="004D645D">
        <w:rPr>
          <w:rStyle w:val="FootnoteReference"/>
          <w:rFonts w:ascii="Times New Roman" w:hAnsi="Times New Roman"/>
          <w:sz w:val="24"/>
        </w:rPr>
        <w:footnoteReference w:id="44"/>
      </w:r>
      <w:r w:rsidRPr="004D645D">
        <w:rPr>
          <w:rFonts w:ascii="Times New Roman" w:hAnsi="Times New Roman"/>
        </w:rPr>
        <w:t xml:space="preserve"> Their Honours considered that the decision in </w:t>
      </w:r>
      <w:r w:rsidRPr="004D645D">
        <w:rPr>
          <w:rFonts w:ascii="Times New Roman" w:hAnsi="Times New Roman"/>
          <w:i/>
          <w:iCs/>
        </w:rPr>
        <w:t>Archibald Howie Pty Ltd v Commissioner of Stamp Duties (NSW)</w:t>
      </w:r>
      <w:r w:rsidRPr="004D645D">
        <w:rPr>
          <w:rStyle w:val="FootnoteReference"/>
          <w:rFonts w:ascii="Times New Roman" w:hAnsi="Times New Roman"/>
          <w:sz w:val="24"/>
        </w:rPr>
        <w:footnoteReference w:id="45"/>
      </w:r>
      <w:r w:rsidRPr="004D645D">
        <w:rPr>
          <w:rFonts w:ascii="Times New Roman" w:hAnsi="Times New Roman"/>
        </w:rPr>
        <w:t xml:space="preserve"> compared to the decision in </w:t>
      </w:r>
      <w:r w:rsidRPr="004D645D">
        <w:rPr>
          <w:rFonts w:ascii="Times New Roman" w:hAnsi="Times New Roman"/>
          <w:i/>
          <w:iCs/>
        </w:rPr>
        <w:t>Davis Investments Pty Ltd v Commissioner of Stamp Duties (NSW)</w:t>
      </w:r>
      <w:r w:rsidRPr="004D645D">
        <w:rPr>
          <w:rStyle w:val="FootnoteReference"/>
          <w:rFonts w:ascii="Times New Roman" w:hAnsi="Times New Roman"/>
          <w:sz w:val="24"/>
        </w:rPr>
        <w:footnoteReference w:id="46"/>
      </w:r>
      <w:r w:rsidRPr="004D645D">
        <w:rPr>
          <w:rFonts w:ascii="Times New Roman" w:hAnsi="Times New Roman"/>
        </w:rPr>
        <w:t xml:space="preserve"> supported this distinction. Their Honours synthesised these decisions with the subsequent decisions in </w:t>
      </w:r>
      <w:r w:rsidRPr="004D645D">
        <w:rPr>
          <w:rFonts w:ascii="Times New Roman" w:hAnsi="Times New Roman"/>
          <w:i/>
          <w:iCs/>
        </w:rPr>
        <w:t>Chief Commissioner of State Revenue (NSW) v Dick Smith Electronics Holdings Pty Ltd</w:t>
      </w:r>
      <w:r w:rsidRPr="004D645D">
        <w:rPr>
          <w:rStyle w:val="FootnoteReference"/>
          <w:rFonts w:ascii="Times New Roman" w:hAnsi="Times New Roman"/>
          <w:sz w:val="24"/>
        </w:rPr>
        <w:footnoteReference w:id="47"/>
      </w:r>
      <w:r w:rsidRPr="004D645D">
        <w:rPr>
          <w:rFonts w:ascii="Times New Roman" w:hAnsi="Times New Roman"/>
        </w:rPr>
        <w:t xml:space="preserve"> and </w:t>
      </w:r>
      <w:r w:rsidRPr="004D645D">
        <w:rPr>
          <w:rFonts w:ascii="Times New Roman" w:hAnsi="Times New Roman"/>
          <w:i/>
          <w:iCs/>
        </w:rPr>
        <w:t>Commissioner of State Revenue (Vic) v Lend Lease Development Pty Ltd</w:t>
      </w:r>
      <w:r w:rsidRPr="004D645D">
        <w:rPr>
          <w:rStyle w:val="FootnoteReference"/>
          <w:rFonts w:ascii="Times New Roman" w:hAnsi="Times New Roman"/>
          <w:sz w:val="24"/>
        </w:rPr>
        <w:footnoteReference w:id="48"/>
      </w:r>
      <w:r w:rsidRPr="004D645D">
        <w:rPr>
          <w:rFonts w:ascii="Times New Roman" w:hAnsi="Times New Roman"/>
        </w:rPr>
        <w:t xml:space="preserve"> on the basis that, as the latter two decisions did not overrule </w:t>
      </w:r>
      <w:r w:rsidRPr="004D645D">
        <w:rPr>
          <w:rFonts w:ascii="Times New Roman" w:hAnsi="Times New Roman"/>
          <w:i/>
          <w:iCs/>
        </w:rPr>
        <w:t>Davis</w:t>
      </w:r>
      <w:r w:rsidRPr="004D645D">
        <w:rPr>
          <w:rFonts w:ascii="Times New Roman" w:hAnsi="Times New Roman"/>
        </w:rPr>
        <w:t>, their Honours were bound to "apply Dixon</w:t>
      </w:r>
      <w:r w:rsidR="00DC06BC">
        <w:rPr>
          <w:rFonts w:ascii="Times New Roman" w:hAnsi="Times New Roman"/>
        </w:rPr>
        <w:t> </w:t>
      </w:r>
      <w:r w:rsidRPr="004D645D">
        <w:rPr>
          <w:rFonts w:ascii="Times New Roman" w:hAnsi="Times New Roman"/>
        </w:rPr>
        <w:t xml:space="preserve">CJ's statement in </w:t>
      </w:r>
      <w:r w:rsidRPr="004D645D">
        <w:rPr>
          <w:rFonts w:ascii="Times New Roman" w:hAnsi="Times New Roman"/>
          <w:i/>
          <w:iCs/>
        </w:rPr>
        <w:t>Davis</w:t>
      </w:r>
      <w:r w:rsidRPr="004D645D">
        <w:rPr>
          <w:rFonts w:ascii="Times New Roman" w:hAnsi="Times New Roman"/>
        </w:rPr>
        <w:t xml:space="preserve"> that the consideration for the transfer of property effected under an agreement for its sale is the price the parties have agreed for that sale".</w:t>
      </w:r>
      <w:r w:rsidRPr="004D645D">
        <w:rPr>
          <w:rStyle w:val="FootnoteReference"/>
          <w:rFonts w:ascii="Times New Roman" w:hAnsi="Times New Roman"/>
          <w:sz w:val="24"/>
        </w:rPr>
        <w:footnoteReference w:id="49"/>
      </w:r>
    </w:p>
    <w:p w14:paraId="69E47FE6"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According to the Full Court majority:</w:t>
      </w:r>
      <w:r w:rsidRPr="004D645D">
        <w:rPr>
          <w:rStyle w:val="FootnoteReference"/>
          <w:rFonts w:ascii="Times New Roman" w:hAnsi="Times New Roman"/>
          <w:sz w:val="24"/>
        </w:rPr>
        <w:footnoteReference w:id="50"/>
      </w:r>
    </w:p>
    <w:p w14:paraId="55DA7F6C" w14:textId="77777777" w:rsidR="004D645D" w:rsidRDefault="00436125" w:rsidP="004D645D">
      <w:pPr>
        <w:pStyle w:val="leftright"/>
        <w:spacing w:before="0" w:after="260" w:line="280" w:lineRule="exact"/>
        <w:ind w:right="0"/>
        <w:jc w:val="both"/>
        <w:rPr>
          <w:rFonts w:ascii="Times New Roman" w:hAnsi="Times New Roman"/>
        </w:rPr>
      </w:pPr>
      <w:r w:rsidRPr="004D645D">
        <w:rPr>
          <w:rFonts w:ascii="Times New Roman" w:hAnsi="Times New Roman"/>
        </w:rPr>
        <w:t xml:space="preserve">"The price paid for concentrate was not part of what moved the right of [SAPL] to use the trade marks and other intellectual property. The right to use trade marks and other intellectual property was not the central property disposition or transaction which they contemplated. Rather, the central </w:t>
      </w:r>
      <w:r w:rsidRPr="004D645D">
        <w:rPr>
          <w:rFonts w:ascii="Times New Roman" w:hAnsi="Times New Roman"/>
        </w:rPr>
        <w:lastRenderedPageBreak/>
        <w:t xml:space="preserve">bargain under the EBAs was the establishment of an exclusive arrangement to distribute PepsiCo/SVC's beverages in Australia. What the purchaser in </w:t>
      </w:r>
      <w:r w:rsidRPr="004D645D">
        <w:rPr>
          <w:rFonts w:ascii="Times New Roman" w:hAnsi="Times New Roman"/>
          <w:i/>
          <w:iCs/>
        </w:rPr>
        <w:t>Dick Smith</w:t>
      </w:r>
      <w:r w:rsidRPr="004D645D">
        <w:rPr>
          <w:rFonts w:ascii="Times New Roman" w:hAnsi="Times New Roman"/>
        </w:rPr>
        <w:t xml:space="preserve"> ultimately wished to acquire were the shares in the company. What Lend Lease ultimately wished to acquire (and then sell) was the land at Docklands. In this case, what [SAPL] ultimately wanted to acquire was not the right to use trade mark and other intellectual property rights but rather the right to distribute famous beverages in Australia. Of course, the right to use trade marks and intellectual property was a necessary element in the transaction. But what the parties were centrally seeking to achieve was not a contract for the licensing of trade marks and intellectual property. It was a distribution arrangement of which the licensing of intellectual property was merely a part."</w:t>
      </w:r>
    </w:p>
    <w:p w14:paraId="4AF7EE86" w14:textId="5AF3CBB3"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Colvin J, in contrast, considered that to determine the monetary consideration for a transaction or dealing recorded by agreement based upon its proper construction: "(1) it is first necessary to discern from the whole of the terms of the agreement the nature of the transaction or dealing that is provided for by the agreement; and (2) the monetary consideration is that which is actuating or moving the whole of that dealing or transaction".</w:t>
      </w:r>
      <w:r w:rsidRPr="004D645D">
        <w:rPr>
          <w:rStyle w:val="FootnoteReference"/>
          <w:rFonts w:ascii="Times New Roman" w:hAnsi="Times New Roman"/>
          <w:sz w:val="24"/>
        </w:rPr>
        <w:footnoteReference w:id="51"/>
      </w:r>
      <w:r w:rsidRPr="004D645D">
        <w:rPr>
          <w:rFonts w:ascii="Times New Roman" w:hAnsi="Times New Roman"/>
        </w:rPr>
        <w:t xml:space="preserve"> On this approach, Colvin J concluded that "regard to the whole of the terms of the EBAs" revealed that, upon the proper construction of the EBAs, the prices to be paid were not simply consideration for the concentrate, but were "also consideration moving in favour of PepsiCo for the right to use the valuable brands that are conferred by the terms of the EBAs", from which it followed that "the amounts provided for by the EBAs as the prices for units of concentrate were partly amounts in consideration for the use of the trade marks which [SAPL] was licensed to use".</w:t>
      </w:r>
      <w:r w:rsidRPr="004D645D">
        <w:rPr>
          <w:rStyle w:val="FootnoteReference"/>
          <w:rFonts w:ascii="Times New Roman" w:hAnsi="Times New Roman"/>
          <w:sz w:val="24"/>
        </w:rPr>
        <w:footnoteReference w:id="52"/>
      </w:r>
    </w:p>
    <w:p w14:paraId="7449D93C" w14:textId="77777777" w:rsid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 xml:space="preserve">Colvin J's analysis of this issue should be accepted. As will be explained, the Full Court majority's correct acceptance that the intellectual property licences granted by the EBAs were a "necessary element" of the agreements to distribute the "famous beverages" means that SAPL's promise to pay for what was said in the EBAs to be the concentrate must to some extent be part of what moved PepsiCo and SVC to grant SAPL the intellectual property licences equally necessary for SAPL to make and sell the branded drinks. </w:t>
      </w:r>
    </w:p>
    <w:p w14:paraId="1E9DE7F9" w14:textId="3EEF101C" w:rsidR="00436125" w:rsidRPr="004D645D" w:rsidRDefault="00436125" w:rsidP="004D645D">
      <w:pPr>
        <w:pStyle w:val="HeadingL2"/>
        <w:spacing w:after="260" w:line="280" w:lineRule="exact"/>
        <w:ind w:right="0"/>
        <w:jc w:val="both"/>
        <w:rPr>
          <w:rFonts w:ascii="Times New Roman" w:hAnsi="Times New Roman"/>
        </w:rPr>
      </w:pPr>
      <w:r w:rsidRPr="004D645D">
        <w:rPr>
          <w:rFonts w:ascii="Times New Roman" w:hAnsi="Times New Roman"/>
        </w:rPr>
        <w:lastRenderedPageBreak/>
        <w:t>Consideration</w:t>
      </w:r>
    </w:p>
    <w:p w14:paraId="2AD90ACF"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 xml:space="preserve">The Full Court's synthesis of </w:t>
      </w:r>
      <w:r w:rsidRPr="004D645D">
        <w:rPr>
          <w:rFonts w:ascii="Times New Roman" w:hAnsi="Times New Roman"/>
          <w:i/>
          <w:iCs/>
        </w:rPr>
        <w:t>Archibald Howie</w:t>
      </w:r>
      <w:r w:rsidRPr="004D645D">
        <w:rPr>
          <w:rFonts w:ascii="Times New Roman" w:hAnsi="Times New Roman"/>
        </w:rPr>
        <w:t xml:space="preserve"> and </w:t>
      </w:r>
      <w:r w:rsidRPr="004D645D">
        <w:rPr>
          <w:rFonts w:ascii="Times New Roman" w:hAnsi="Times New Roman"/>
          <w:i/>
          <w:iCs/>
        </w:rPr>
        <w:t>Davis</w:t>
      </w:r>
      <w:r w:rsidRPr="004D645D">
        <w:rPr>
          <w:rFonts w:ascii="Times New Roman" w:hAnsi="Times New Roman"/>
        </w:rPr>
        <w:t xml:space="preserve"> treats the decisions as inconsistent. We disagree.</w:t>
      </w:r>
    </w:p>
    <w:p w14:paraId="63806863"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 xml:space="preserve">In </w:t>
      </w:r>
      <w:r w:rsidRPr="004D645D">
        <w:rPr>
          <w:rFonts w:ascii="Times New Roman" w:hAnsi="Times New Roman"/>
          <w:i/>
          <w:iCs/>
        </w:rPr>
        <w:t>Archibald Howie</w:t>
      </w:r>
      <w:r w:rsidRPr="004D645D">
        <w:rPr>
          <w:rFonts w:ascii="Times New Roman" w:hAnsi="Times New Roman"/>
        </w:rPr>
        <w:t>, Dixon J said that while in the law of simple contracts "consideration" may be merely a consequence of offer and acceptance, in the then relevant provision of the stamp duties legislation "'consideration' should receive the wider meaning or operation that belongs to it in conveyancing rather than the more precise meaning of the law of simple contracts", so that under the relevant provision, "the consideration is rather the money or value passing which moves the conveyance or transfer".</w:t>
      </w:r>
      <w:r w:rsidRPr="004D645D">
        <w:rPr>
          <w:rStyle w:val="FootnoteReference"/>
          <w:rFonts w:ascii="Times New Roman" w:hAnsi="Times New Roman"/>
          <w:sz w:val="24"/>
        </w:rPr>
        <w:footnoteReference w:id="53"/>
      </w:r>
      <w:r w:rsidRPr="004D645D">
        <w:rPr>
          <w:rFonts w:ascii="Times New Roman" w:hAnsi="Times New Roman"/>
        </w:rPr>
        <w:t xml:space="preserve"> </w:t>
      </w:r>
    </w:p>
    <w:p w14:paraId="503178DA"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 xml:space="preserve">In </w:t>
      </w:r>
      <w:r w:rsidRPr="004D645D">
        <w:rPr>
          <w:rFonts w:ascii="Times New Roman" w:hAnsi="Times New Roman"/>
          <w:i/>
          <w:iCs/>
        </w:rPr>
        <w:t>Davis</w:t>
      </w:r>
      <w:r w:rsidRPr="004D645D">
        <w:rPr>
          <w:rFonts w:ascii="Times New Roman" w:hAnsi="Times New Roman"/>
        </w:rPr>
        <w:t xml:space="preserve">, Dixon CJ said that he did not "recede at all from" what he had said in </w:t>
      </w:r>
      <w:r w:rsidRPr="004D645D">
        <w:rPr>
          <w:rFonts w:ascii="Times New Roman" w:hAnsi="Times New Roman"/>
          <w:i/>
          <w:iCs/>
        </w:rPr>
        <w:t>Archibald Howie</w:t>
      </w:r>
      <w:r w:rsidRPr="004D645D">
        <w:rPr>
          <w:rFonts w:ascii="Times New Roman" w:hAnsi="Times New Roman"/>
        </w:rPr>
        <w:t xml:space="preserve">. His Honour explained that in </w:t>
      </w:r>
      <w:r w:rsidRPr="004D645D">
        <w:rPr>
          <w:rFonts w:ascii="Times New Roman" w:hAnsi="Times New Roman"/>
          <w:i/>
          <w:iCs/>
        </w:rPr>
        <w:t>Archibald Howie</w:t>
      </w:r>
      <w:r w:rsidRPr="004D645D">
        <w:rPr>
          <w:rFonts w:ascii="Times New Roman" w:hAnsi="Times New Roman"/>
        </w:rPr>
        <w:t xml:space="preserve"> the transaction was in pursuit of a company resolution and order for reduction of capital which were the "method of effectuating the rights of shareholders", the shares to be distributed </w:t>
      </w:r>
      <w:r w:rsidRPr="004D645D">
        <w:rPr>
          <w:rFonts w:ascii="Times New Roman" w:hAnsi="Times New Roman"/>
          <w:i/>
          <w:iCs/>
        </w:rPr>
        <w:t>in specie</w:t>
      </w:r>
      <w:r w:rsidRPr="004D645D">
        <w:rPr>
          <w:rFonts w:ascii="Times New Roman" w:hAnsi="Times New Roman"/>
        </w:rPr>
        <w:t xml:space="preserve"> at the book value. The consideration in that case, however, was "the full value of the assets", not the book value (which was lower than the shares' true value), "because no more was done [to effect the transfer of the shares </w:t>
      </w:r>
      <w:r w:rsidRPr="004D645D">
        <w:rPr>
          <w:rFonts w:ascii="Times New Roman" w:hAnsi="Times New Roman"/>
          <w:i/>
          <w:iCs/>
        </w:rPr>
        <w:t>in specie</w:t>
      </w:r>
      <w:r w:rsidRPr="004D645D">
        <w:rPr>
          <w:rFonts w:ascii="Times New Roman" w:hAnsi="Times New Roman"/>
        </w:rPr>
        <w:t xml:space="preserve">] than to satisfy the absolute right of the shareholders arising from the resolution and order". In </w:t>
      </w:r>
      <w:r w:rsidRPr="004D645D">
        <w:rPr>
          <w:rFonts w:ascii="Times New Roman" w:hAnsi="Times New Roman"/>
          <w:i/>
          <w:iCs/>
        </w:rPr>
        <w:t>Davis</w:t>
      </w:r>
      <w:r w:rsidRPr="004D645D">
        <w:rPr>
          <w:rFonts w:ascii="Times New Roman" w:hAnsi="Times New Roman"/>
        </w:rPr>
        <w:t>, however, the agreement for the transfers to the shareholder of shares, whilst forming part of a wider plan for the re-allocation of interests, "was thrown by the parties into the form of a sale at a price".</w:t>
      </w:r>
      <w:r w:rsidRPr="004D645D">
        <w:rPr>
          <w:rStyle w:val="FootnoteReference"/>
          <w:rFonts w:ascii="Times New Roman" w:hAnsi="Times New Roman"/>
          <w:sz w:val="24"/>
        </w:rPr>
        <w:footnoteReference w:id="54"/>
      </w:r>
      <w:r w:rsidRPr="004D645D">
        <w:rPr>
          <w:rFonts w:ascii="Times New Roman" w:hAnsi="Times New Roman"/>
        </w:rPr>
        <w:t xml:space="preserve"> In that context, Dixon CJ said:</w:t>
      </w:r>
      <w:r w:rsidRPr="004D645D">
        <w:rPr>
          <w:rStyle w:val="FootnoteReference"/>
          <w:rFonts w:ascii="Times New Roman" w:hAnsi="Times New Roman"/>
          <w:sz w:val="24"/>
        </w:rPr>
        <w:footnoteReference w:id="55"/>
      </w:r>
    </w:p>
    <w:p w14:paraId="14F629B3" w14:textId="77777777" w:rsidR="00436125" w:rsidRPr="004D645D" w:rsidRDefault="00436125" w:rsidP="004D645D">
      <w:pPr>
        <w:pStyle w:val="leftright"/>
        <w:spacing w:before="0" w:after="260" w:line="280" w:lineRule="exact"/>
        <w:ind w:right="0"/>
        <w:jc w:val="both"/>
        <w:rPr>
          <w:rFonts w:ascii="Times New Roman" w:hAnsi="Times New Roman"/>
        </w:rPr>
      </w:pPr>
      <w:r w:rsidRPr="004D645D">
        <w:rPr>
          <w:rFonts w:ascii="Times New Roman" w:hAnsi="Times New Roman"/>
        </w:rPr>
        <w:tab/>
        <w:t>"No doubt, when a transfer or other assurance of property is expressed to be made for a nominal consideration, for many purposes it is open to prove a further consideration not being inconsistent with the nominal consideration expressed therein. And this may be so although there is no mention of the real consideration. ...</w:t>
      </w:r>
    </w:p>
    <w:p w14:paraId="77FC0631" w14:textId="77777777" w:rsidR="004D645D" w:rsidRDefault="00436125" w:rsidP="004D645D">
      <w:pPr>
        <w:pStyle w:val="leftright"/>
        <w:spacing w:before="0" w:after="260" w:line="280" w:lineRule="exact"/>
        <w:ind w:right="0"/>
        <w:jc w:val="both"/>
        <w:rPr>
          <w:rFonts w:ascii="Times New Roman" w:hAnsi="Times New Roman"/>
        </w:rPr>
      </w:pPr>
      <w:r w:rsidRPr="004D645D">
        <w:rPr>
          <w:rFonts w:ascii="Times New Roman" w:hAnsi="Times New Roman"/>
        </w:rPr>
        <w:tab/>
        <w:t xml:space="preserve">But here, for their own purposes the parties have given the transaction the form of a sale at a price. ... [W]ithin the meaning of the </w:t>
      </w:r>
      <w:r w:rsidRPr="004D645D">
        <w:rPr>
          <w:rFonts w:ascii="Times New Roman" w:hAnsi="Times New Roman"/>
        </w:rPr>
        <w:lastRenderedPageBreak/>
        <w:t xml:space="preserve">words in s 66(3A) [of the </w:t>
      </w:r>
      <w:r w:rsidRPr="004D645D">
        <w:rPr>
          <w:rFonts w:ascii="Times New Roman" w:hAnsi="Times New Roman"/>
          <w:i/>
          <w:iCs/>
        </w:rPr>
        <w:t>Stamp Duties Act 1920-1949</w:t>
      </w:r>
      <w:r w:rsidRPr="004D645D">
        <w:rPr>
          <w:rFonts w:ascii="Times New Roman" w:hAnsi="Times New Roman"/>
        </w:rPr>
        <w:t xml:space="preserve"> (NSW)] would the consideration moving the transfers – the consideration 'upon' which the transfers are made – be anything but the price the parties chose to adopt? After all we are dealing with a transfer on sale. To go beyond the price may be to prefer realism to formal expression, but it means going to the circumstances warranting the parties in fixing the price they chose and that is not necessarily the same thing as consideration. ... It is a transaction of purchase and sale. ... But considered as a transfer on sale it is a transfer for a price. The price is fixed by the parties for the sale, that is for the transfer. It is not supplied by the surrounding or accompanying circumstances, however essential the elements discoverable therein may be to the legal and economic efficacy of the transaction as a whole. In the end it is for that reason that the consideration must be confined to the price for the purpose of ascertaining the </w:t>
      </w:r>
      <w:r w:rsidRPr="004D645D">
        <w:rPr>
          <w:rFonts w:ascii="Times New Roman" w:hAnsi="Times New Roman"/>
          <w:i/>
          <w:iCs/>
        </w:rPr>
        <w:t>ad valorem</w:t>
      </w:r>
      <w:r w:rsidRPr="004D645D">
        <w:rPr>
          <w:rFonts w:ascii="Times New Roman" w:hAnsi="Times New Roman"/>
        </w:rPr>
        <w:t xml:space="preserve"> stamp duty."</w:t>
      </w:r>
    </w:p>
    <w:p w14:paraId="0D76C70C" w14:textId="1CDD7C73"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 xml:space="preserve">Dixon CJ's observation that "[t]o go beyond the price may be to prefer realism" is to be understood in a context where the only relevant contractual stipulation was the sale of shares for an agreed price. There was no other obligation assumed or right forgone by the purchaser or the seller under the agreement in </w:t>
      </w:r>
      <w:r w:rsidRPr="004D645D">
        <w:rPr>
          <w:rFonts w:ascii="Times New Roman" w:hAnsi="Times New Roman"/>
          <w:i/>
          <w:iCs/>
        </w:rPr>
        <w:t>Davis</w:t>
      </w:r>
      <w:r w:rsidRPr="004D645D">
        <w:rPr>
          <w:rFonts w:ascii="Times New Roman" w:hAnsi="Times New Roman"/>
        </w:rPr>
        <w:t xml:space="preserve"> which could be said to have moved the transfer of the shares or the payment of the price. This reasoning does not suggest that his Honour intended to distinguish between contracts for sale of one item of property and other contracts so that, in the former, the consideration is necessarily the price specified by the parties but, in the latter, the consideration may not be confined to the price specified by the parties. </w:t>
      </w:r>
    </w:p>
    <w:p w14:paraId="20BECF68"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 xml:space="preserve">Nor does the reasoning in </w:t>
      </w:r>
      <w:r w:rsidRPr="004D645D">
        <w:rPr>
          <w:rFonts w:ascii="Times New Roman" w:hAnsi="Times New Roman"/>
          <w:i/>
          <w:iCs/>
        </w:rPr>
        <w:t>Dick Smith</w:t>
      </w:r>
      <w:r w:rsidRPr="004D645D">
        <w:rPr>
          <w:rFonts w:ascii="Times New Roman" w:hAnsi="Times New Roman"/>
        </w:rPr>
        <w:t xml:space="preserve"> or </w:t>
      </w:r>
      <w:r w:rsidRPr="004D645D">
        <w:rPr>
          <w:rFonts w:ascii="Times New Roman" w:hAnsi="Times New Roman"/>
          <w:i/>
          <w:iCs/>
        </w:rPr>
        <w:t>Lend Lease</w:t>
      </w:r>
      <w:r w:rsidRPr="004D645D">
        <w:rPr>
          <w:rFonts w:ascii="Times New Roman" w:hAnsi="Times New Roman"/>
        </w:rPr>
        <w:t xml:space="preserve"> support that distinction. In </w:t>
      </w:r>
      <w:r w:rsidRPr="004D645D">
        <w:rPr>
          <w:rFonts w:ascii="Times New Roman" w:hAnsi="Times New Roman"/>
          <w:i/>
          <w:iCs/>
        </w:rPr>
        <w:t>Dick Smith</w:t>
      </w:r>
      <w:r w:rsidRPr="004D645D">
        <w:rPr>
          <w:rFonts w:ascii="Times New Roman" w:hAnsi="Times New Roman"/>
        </w:rPr>
        <w:t>, Gummow, Kirby and Hayne JJ emphasised that "consideration", in the stamp duty context, could not be confined to consideration sufficient to support a contract, as dutiable transactions extended beyond transactions effected by contract. That is why, in context, "consideration" had to mean the "money or value passing which moves the conveyance or transfer".</w:t>
      </w:r>
      <w:r w:rsidRPr="004D645D">
        <w:rPr>
          <w:rStyle w:val="FootnoteReference"/>
          <w:rFonts w:ascii="Times New Roman" w:hAnsi="Times New Roman"/>
          <w:sz w:val="24"/>
        </w:rPr>
        <w:footnoteReference w:id="56"/>
      </w:r>
      <w:r w:rsidRPr="004D645D">
        <w:rPr>
          <w:rFonts w:ascii="Times New Roman" w:hAnsi="Times New Roman"/>
        </w:rPr>
        <w:t xml:space="preserve"> On that basis, the consideration that moved the transfer of shares to the purchaser in </w:t>
      </w:r>
      <w:r w:rsidRPr="004D645D">
        <w:rPr>
          <w:rFonts w:ascii="Times New Roman" w:hAnsi="Times New Roman"/>
          <w:i/>
          <w:iCs/>
        </w:rPr>
        <w:t>Dick Smith</w:t>
      </w:r>
      <w:r w:rsidRPr="004D645D">
        <w:rPr>
          <w:rFonts w:ascii="Times New Roman" w:hAnsi="Times New Roman"/>
        </w:rPr>
        <w:t xml:space="preserve"> was not only the stipulated sale price but rather that price plus an amount that the purchaser had agreed to pay to fund a dividend that the company to be sold was obliged</w:t>
      </w:r>
      <w:r w:rsidRPr="004D645D" w:rsidDel="009E24B9">
        <w:rPr>
          <w:rFonts w:ascii="Times New Roman" w:hAnsi="Times New Roman"/>
        </w:rPr>
        <w:t xml:space="preserve"> </w:t>
      </w:r>
      <w:r w:rsidRPr="004D645D">
        <w:rPr>
          <w:rFonts w:ascii="Times New Roman" w:hAnsi="Times New Roman"/>
        </w:rPr>
        <w:t>to pay to the vendors before completion.</w:t>
      </w:r>
      <w:r w:rsidRPr="004D645D">
        <w:rPr>
          <w:rStyle w:val="FootnoteReference"/>
          <w:rFonts w:ascii="Times New Roman" w:hAnsi="Times New Roman"/>
          <w:sz w:val="24"/>
        </w:rPr>
        <w:footnoteReference w:id="57"/>
      </w:r>
      <w:r w:rsidRPr="004D645D">
        <w:rPr>
          <w:rFonts w:ascii="Times New Roman" w:hAnsi="Times New Roman"/>
        </w:rPr>
        <w:t xml:space="preserve"> In </w:t>
      </w:r>
      <w:r w:rsidRPr="004D645D">
        <w:rPr>
          <w:rFonts w:ascii="Times New Roman" w:hAnsi="Times New Roman"/>
          <w:i/>
          <w:iCs/>
        </w:rPr>
        <w:t>Lend Lease</w:t>
      </w:r>
      <w:r w:rsidRPr="004D645D">
        <w:rPr>
          <w:rFonts w:ascii="Times New Roman" w:hAnsi="Times New Roman"/>
        </w:rPr>
        <w:t xml:space="preserve">, French CJ, </w:t>
      </w:r>
      <w:r w:rsidRPr="004D645D">
        <w:rPr>
          <w:rFonts w:ascii="Times New Roman" w:hAnsi="Times New Roman"/>
        </w:rPr>
        <w:lastRenderedPageBreak/>
        <w:t>Hayne, Kiefel, Bell and Keane JJ applied the same approach. In that case the transaction, comprising a suite of agreements to effect both the sale and development of the subject land, was "single, integrated and indivisible" so that the consideration was the total of the full amounts the purchaser was obliged to pay and paid under the suite of agreements, not the price stipulated in the contracts for sale of the land.</w:t>
      </w:r>
      <w:r w:rsidRPr="004D645D">
        <w:rPr>
          <w:rStyle w:val="FootnoteReference"/>
          <w:rFonts w:ascii="Times New Roman" w:hAnsi="Times New Roman"/>
          <w:sz w:val="24"/>
        </w:rPr>
        <w:footnoteReference w:id="58"/>
      </w:r>
      <w:r w:rsidRPr="004D645D">
        <w:rPr>
          <w:rFonts w:ascii="Times New Roman" w:hAnsi="Times New Roman"/>
        </w:rPr>
        <w:t xml:space="preserve"> </w:t>
      </w:r>
    </w:p>
    <w:p w14:paraId="53279D86"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 xml:space="preserve">The difference between the outcomes in </w:t>
      </w:r>
      <w:r w:rsidRPr="004D645D">
        <w:rPr>
          <w:rFonts w:ascii="Times New Roman" w:hAnsi="Times New Roman"/>
          <w:i/>
          <w:iCs/>
        </w:rPr>
        <w:t>Davis</w:t>
      </w:r>
      <w:r w:rsidRPr="004D645D">
        <w:rPr>
          <w:rFonts w:ascii="Times New Roman" w:hAnsi="Times New Roman"/>
        </w:rPr>
        <w:t xml:space="preserve"> and the other cases did not depend on a distinction between a contract for the sale of one item at a specified price and other contracts. Even in the case of a contract for the sale of one item at a specified price, Dixon CJ accepted that the consideration might include some other amount not inconsistent with the price. That latter qualification establishes that his Honour accepted that a specified price under a simple contract for sale might not be the total consideration even if there is no suggestion that the contract price involved a sham. The difference in the outcomes between </w:t>
      </w:r>
      <w:r w:rsidRPr="004D645D">
        <w:rPr>
          <w:rFonts w:ascii="Times New Roman" w:hAnsi="Times New Roman"/>
          <w:i/>
          <w:iCs/>
        </w:rPr>
        <w:t>Davis</w:t>
      </w:r>
      <w:r w:rsidRPr="004D645D">
        <w:rPr>
          <w:rFonts w:ascii="Times New Roman" w:hAnsi="Times New Roman"/>
        </w:rPr>
        <w:t xml:space="preserve"> and the other cases involves only the objective characterisation of each transaction. The principle remains the same in all cases – if the transaction is characterised as the sale of property, the price of the sale is the consideration, but, if the transaction is characterised as the sale of property and other elements, the consideration is that which moved the sale of the property and those other elements. Importantly, the outcome in each case results from the objective characterisation of the transaction and not any inquiry into the parties' subjective perceptions of the value to them of parts of the transaction. </w:t>
      </w:r>
    </w:p>
    <w:p w14:paraId="31D3083B"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 xml:space="preserve">Given this, it is not the case that the question whether there has been any amount paid or credited in consideration for the use of intellectual property rights is to be answered by reference to "the central property disposition or transaction", the "central bargain", or "what the parties were centrally seeking to achieve" in the transaction. It goes without saying that a transaction may involve more than one central item of property or central bargain and may have more than one central object. Further, even if a transaction involves only one central item of property, one central bargain, and one central object, subsidiary or ancillary items of property, bargains and objects, if they exist, remain relevant to the question whether there has been any amount paid or credited in consideration for the use of intellectual property rights. </w:t>
      </w:r>
    </w:p>
    <w:p w14:paraId="07EF7E27" w14:textId="3ACFFB0B"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lastRenderedPageBreak/>
        <w:tab/>
        <w:t xml:space="preserve">In </w:t>
      </w:r>
      <w:r w:rsidRPr="004D645D">
        <w:rPr>
          <w:rFonts w:ascii="Times New Roman" w:hAnsi="Times New Roman"/>
          <w:i/>
          <w:iCs/>
        </w:rPr>
        <w:t>Archibald Howie</w:t>
      </w:r>
      <w:r w:rsidRPr="004D645D">
        <w:rPr>
          <w:rFonts w:ascii="Times New Roman" w:hAnsi="Times New Roman"/>
        </w:rPr>
        <w:t xml:space="preserve"> and </w:t>
      </w:r>
      <w:r w:rsidRPr="004D645D">
        <w:rPr>
          <w:rFonts w:ascii="Times New Roman" w:hAnsi="Times New Roman"/>
          <w:i/>
          <w:iCs/>
        </w:rPr>
        <w:t>Davis</w:t>
      </w:r>
      <w:r w:rsidRPr="004D645D">
        <w:rPr>
          <w:rFonts w:ascii="Times New Roman" w:hAnsi="Times New Roman"/>
        </w:rPr>
        <w:t xml:space="preserve"> the applicable statutory definition referred to "consideration in money or money's worth".</w:t>
      </w:r>
      <w:r w:rsidRPr="004D645D">
        <w:rPr>
          <w:rStyle w:val="FootnoteReference"/>
          <w:rFonts w:ascii="Times New Roman" w:hAnsi="Times New Roman"/>
          <w:sz w:val="24"/>
        </w:rPr>
        <w:footnoteReference w:id="59"/>
      </w:r>
      <w:r w:rsidRPr="004D645D">
        <w:rPr>
          <w:rFonts w:ascii="Times New Roman" w:hAnsi="Times New Roman"/>
        </w:rPr>
        <w:t xml:space="preserve"> In </w:t>
      </w:r>
      <w:r w:rsidRPr="004D645D">
        <w:rPr>
          <w:rFonts w:ascii="Times New Roman" w:hAnsi="Times New Roman"/>
          <w:i/>
          <w:iCs/>
        </w:rPr>
        <w:t>Dick Smith</w:t>
      </w:r>
      <w:r w:rsidRPr="004D645D">
        <w:rPr>
          <w:rFonts w:ascii="Times New Roman" w:hAnsi="Times New Roman"/>
        </w:rPr>
        <w:t xml:space="preserve"> and </w:t>
      </w:r>
      <w:r w:rsidRPr="004D645D">
        <w:rPr>
          <w:rFonts w:ascii="Times New Roman" w:hAnsi="Times New Roman"/>
          <w:i/>
          <w:iCs/>
        </w:rPr>
        <w:t>Lend Lease</w:t>
      </w:r>
      <w:r w:rsidRPr="004D645D">
        <w:rPr>
          <w:rFonts w:ascii="Times New Roman" w:hAnsi="Times New Roman"/>
        </w:rPr>
        <w:t xml:space="preserve"> the applicable statutory definition referred to "the amount of a monetary consideration or the value of a non-monetary consideration".</w:t>
      </w:r>
      <w:r w:rsidRPr="004D645D">
        <w:rPr>
          <w:rStyle w:val="FootnoteReference"/>
          <w:rFonts w:ascii="Times New Roman" w:hAnsi="Times New Roman"/>
          <w:sz w:val="24"/>
        </w:rPr>
        <w:footnoteReference w:id="60"/>
      </w:r>
      <w:r w:rsidRPr="004D645D">
        <w:rPr>
          <w:rFonts w:ascii="Times New Roman" w:hAnsi="Times New Roman"/>
        </w:rPr>
        <w:t xml:space="preserve"> The relevant consideration in the definition of "royalty" in the present case is "any amount paid or credited, however described or computed". For present purposes, there is no material distinction between these provisions. An amount may be "computed" by any method of calculation including by the ascribing of objective market value to any description. This means that there is no relevant distinction between the concepts of "money's worth", "the value of a non-monetary consideration", or an "amount paid or credited, however described or computed".</w:t>
      </w:r>
    </w:p>
    <w:p w14:paraId="09C752EC"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It follows that an amount may be consideration for the use of intellectual property so as to meet the definition of "royalty" without the amount itself being labelled as a "royalty", and indeed without an "amount" being specified at all, provided an amount can be "computed" to be an amount in money. Nor need the amount be paid or payable. It suffices if the amount is credited in any way. The words "paid or credited", "however described or computed", and "to the extent to which it is paid or credited" in the definition of "royalty" ensure that the definition of "royalty" can extend to: (1) amounts in fact transferred and amounts not in fact transferred but credited in any way; (2) such amounts not described as relating to any of the matters specified in the definition; (3) a formula or description from which such an amount can be "computed"; and (4) any part of any such amount, all irrespective of the labels or descriptions used by the parties.</w:t>
      </w:r>
    </w:p>
    <w:p w14:paraId="3EC4D66A"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 xml:space="preserve">The need for an "amount" in money (in the sense described) to be paid or credited in the definition of "royalty" is exposed by the extrinsic material amending that definition. Before 1 May 1980, the definition referred to a "payment, whether periodical or not, and however described or computed, to the extent to which it is paid as consideration for" the specified items. The </w:t>
      </w:r>
      <w:r w:rsidRPr="004D645D">
        <w:rPr>
          <w:rFonts w:ascii="Times New Roman" w:hAnsi="Times New Roman"/>
          <w:i/>
          <w:iCs/>
        </w:rPr>
        <w:t>Income Tax Assessment Amendment Act 1980</w:t>
      </w:r>
      <w:r w:rsidRPr="004D645D">
        <w:rPr>
          <w:rFonts w:ascii="Times New Roman" w:hAnsi="Times New Roman"/>
        </w:rPr>
        <w:t xml:space="preserve"> (Cth), amongst other things, amended the definition to its </w:t>
      </w:r>
      <w:r w:rsidRPr="004D645D">
        <w:rPr>
          <w:rFonts w:ascii="Times New Roman" w:hAnsi="Times New Roman"/>
        </w:rPr>
        <w:lastRenderedPageBreak/>
        <w:t>current form.</w:t>
      </w:r>
      <w:r w:rsidRPr="004D645D">
        <w:rPr>
          <w:rStyle w:val="FootnoteReference"/>
          <w:rFonts w:ascii="Times New Roman" w:hAnsi="Times New Roman"/>
          <w:sz w:val="24"/>
        </w:rPr>
        <w:footnoteReference w:id="61"/>
      </w:r>
      <w:r w:rsidRPr="004D645D">
        <w:rPr>
          <w:rFonts w:ascii="Times New Roman" w:hAnsi="Times New Roman"/>
        </w:rPr>
        <w:t xml:space="preserve"> The Second Reading Speech</w:t>
      </w:r>
      <w:r w:rsidRPr="004D645D">
        <w:rPr>
          <w:rStyle w:val="FootnoteReference"/>
          <w:rFonts w:ascii="Times New Roman" w:hAnsi="Times New Roman"/>
          <w:sz w:val="24"/>
        </w:rPr>
        <w:footnoteReference w:id="62"/>
      </w:r>
      <w:r w:rsidRPr="004D645D">
        <w:rPr>
          <w:rFonts w:ascii="Times New Roman" w:hAnsi="Times New Roman"/>
        </w:rPr>
        <w:t xml:space="preserve"> and Explanatory Memorandum explained that the amendment was required "to remedy two deficiencies exposed by a Victorian Supreme Court decision in the case of </w:t>
      </w:r>
      <w:r w:rsidRPr="004D645D">
        <w:rPr>
          <w:rFonts w:ascii="Times New Roman" w:hAnsi="Times New Roman"/>
          <w:i/>
          <w:iCs/>
        </w:rPr>
        <w:t>Aktiebolaget Volvo v Federal Commissioner of Taxation</w:t>
      </w:r>
      <w:r w:rsidRPr="004D645D">
        <w:rPr>
          <w:rFonts w:ascii="Times New Roman" w:hAnsi="Times New Roman"/>
          <w:sz w:val="24"/>
          <w:vertAlign w:val="superscript"/>
        </w:rPr>
        <w:t>[</w:t>
      </w:r>
      <w:r w:rsidRPr="004D645D">
        <w:rPr>
          <w:rStyle w:val="FootnoteReference"/>
          <w:rFonts w:ascii="Times New Roman" w:hAnsi="Times New Roman"/>
          <w:sz w:val="24"/>
        </w:rPr>
        <w:footnoteReference w:id="63"/>
      </w:r>
      <w:r w:rsidRPr="004D645D">
        <w:rPr>
          <w:rFonts w:ascii="Times New Roman" w:hAnsi="Times New Roman"/>
          <w:sz w:val="24"/>
          <w:vertAlign w:val="superscript"/>
        </w:rPr>
        <w:t>]</w:t>
      </w:r>
      <w:r w:rsidRPr="004D645D">
        <w:rPr>
          <w:rFonts w:ascii="Times New Roman" w:hAnsi="Times New Roman"/>
        </w:rPr>
        <w:t>" which had held that the definition did not include an amount credited but not in fact paid.</w:t>
      </w:r>
      <w:r w:rsidRPr="004D645D">
        <w:rPr>
          <w:rStyle w:val="FootnoteReference"/>
          <w:rFonts w:ascii="Times New Roman" w:hAnsi="Times New Roman"/>
          <w:sz w:val="24"/>
        </w:rPr>
        <w:footnoteReference w:id="64"/>
      </w:r>
    </w:p>
    <w:p w14:paraId="20628091" w14:textId="41A9EB6F"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The Commissioner contended that part of the payment of money said to be payable under the EBAs for the concentrate was in fact a payment of an amount in consideration for the use of the intellectual property rights.</w:t>
      </w:r>
      <w:r w:rsidR="0022545E" w:rsidRPr="004D645D">
        <w:rPr>
          <w:rFonts w:ascii="Times New Roman" w:hAnsi="Times New Roman"/>
        </w:rPr>
        <w:t xml:space="preserve"> </w:t>
      </w:r>
      <w:r w:rsidRPr="004D645D">
        <w:rPr>
          <w:rFonts w:ascii="Times New Roman" w:hAnsi="Times New Roman"/>
        </w:rPr>
        <w:t>The Full Court majority considered that the Commissioner's submission – that if the price said in the EBAs to be payment for the concentrate did not include a component for the licences of the intellectual property rights, PepsiCo and SVC would be giving away those highly valuable rights for nothing, which was unlikely in the extreme – overlooked the full nature of the bargain of the parties.</w:t>
      </w:r>
      <w:r w:rsidR="0022545E" w:rsidRPr="004D645D">
        <w:rPr>
          <w:rFonts w:ascii="Times New Roman" w:hAnsi="Times New Roman"/>
        </w:rPr>
        <w:t xml:space="preserve"> </w:t>
      </w:r>
      <w:r w:rsidRPr="004D645D">
        <w:rPr>
          <w:rFonts w:ascii="Times New Roman" w:hAnsi="Times New Roman"/>
        </w:rPr>
        <w:t>In that bargain there were numerous cross-promises involving intertwined costs and benefits to both parties, one part of which was specified in the EBAs to be the sale of the concentrate at the agreed prices, another part of which was the licences, and other parts of which enabled PepsiCo and SVC (respectively) and SAPL, to their mutual benefit, to maximise the sales of the branded drinks and, thereby, the sales of the concentrate necessary to make those branded drinks. The Full Court majority said, therefore, that the "Commissioner's submission proceeds on the overly simplistic assumption that the grant of the licence right to [SAPL] was only of benefit to [SAPL]. In fact, it was also a benefit to PepsiCo/SVC."</w:t>
      </w:r>
      <w:r w:rsidRPr="004D645D">
        <w:rPr>
          <w:rStyle w:val="FootnoteReference"/>
          <w:rFonts w:ascii="Times New Roman" w:hAnsi="Times New Roman"/>
          <w:sz w:val="24"/>
        </w:rPr>
        <w:footnoteReference w:id="65"/>
      </w:r>
    </w:p>
    <w:p w14:paraId="7DEB0F44"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 xml:space="preserve">The Full Court majority considered that a "complete view" of the intellectual property licences granted under the EBAs involved: "(a) the benefits obtained by [SAPL] in being permitted to use the goodwill attaching to the trade marks; (b) the restrictions both as to product and marketing imposed on [SAPL] in its utilisation of that goodwill; (c) the burdens placed upon [SAPL] in complying </w:t>
      </w:r>
      <w:r w:rsidRPr="004D645D">
        <w:rPr>
          <w:rFonts w:ascii="Times New Roman" w:hAnsi="Times New Roman"/>
        </w:rPr>
        <w:lastRenderedPageBreak/>
        <w:t>with testing and inspection regimes; and (d) the benefits obtained by PepsiCo/SVC in having [SAPL] sustain and promote their goodwill in Australia".</w:t>
      </w:r>
      <w:r w:rsidRPr="004D645D">
        <w:rPr>
          <w:rStyle w:val="FootnoteReference"/>
          <w:rFonts w:ascii="Times New Roman" w:hAnsi="Times New Roman"/>
          <w:sz w:val="24"/>
        </w:rPr>
        <w:footnoteReference w:id="66"/>
      </w:r>
      <w:r w:rsidRPr="004D645D">
        <w:rPr>
          <w:rFonts w:ascii="Times New Roman" w:hAnsi="Times New Roman"/>
        </w:rPr>
        <w:t xml:space="preserve"> </w:t>
      </w:r>
    </w:p>
    <w:p w14:paraId="3DB5A6AE"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 xml:space="preserve">So much may be accepted. What remains, however, is the critical point that the components comprising this "complete view" of the EBAs, as the Full Court majority recognised, are interlocking and indivisible. It is within this overall context that the question – is the payment said in the EBAs to be payable for the concentrate to any extent a payment of an amount for the right to use the intellectual property – is to be answered. </w:t>
      </w:r>
    </w:p>
    <w:p w14:paraId="7CC8282A" w14:textId="28025CE0"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Having correctly rejected the Commissioner's submission that, unless the price said to be payable for the concentrate in the EBAs included consideration for the right to use the intellectual property, PepsiCo and SVC were giving those valuable rights to SAPL for nothing, the Full Court majority implicitly found such consideration to be in the value of SAPL's other promises to PepsiCo and SVC under the EBAs. The problem with this reasoning is that the Full Court majority having also correctly recognised the EBAs to each constitute a "single, integrated and indivisible" transaction of which the intellectual property licences form a necessary part,</w:t>
      </w:r>
      <w:r w:rsidRPr="004D645D">
        <w:rPr>
          <w:rStyle w:val="FootnoteReference"/>
          <w:rFonts w:ascii="Times New Roman" w:hAnsi="Times New Roman"/>
          <w:sz w:val="24"/>
        </w:rPr>
        <w:footnoteReference w:id="67"/>
      </w:r>
      <w:r w:rsidRPr="004D645D">
        <w:rPr>
          <w:rFonts w:ascii="Times New Roman" w:hAnsi="Times New Roman"/>
        </w:rPr>
        <w:t xml:space="preserve"> it follows that to characterise the price payable as consideration only for the sale of concentrate purportedly subdivides the indivisible</w:t>
      </w:r>
      <w:r w:rsidRPr="004D645D" w:rsidDel="008E15B9">
        <w:rPr>
          <w:rFonts w:ascii="Times New Roman" w:hAnsi="Times New Roman"/>
        </w:rPr>
        <w:t>.</w:t>
      </w:r>
    </w:p>
    <w:p w14:paraId="25B9D3FD"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 xml:space="preserve">The sale of concentrate contemplated by the EBAs in the future is no different from the many other promises made between the parties to the EBAs which involved future performance. That PepsiCo and SVC reserved the right either to sell the concentrate or to cause the concentrate to be sold by a member of the PepsiCo Group does not make that part of the overall transaction separate from the balance. Without that promise, the EBAs would be pointless. Equally, the EBAs would be pointless without the intellectual property licences and other interlocking promises. </w:t>
      </w:r>
    </w:p>
    <w:p w14:paraId="650646C8"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The proper construction (and consequent characterisation) of a commercial agreement, in accordance with orthodox principles,</w:t>
      </w:r>
      <w:r w:rsidRPr="004D645D">
        <w:rPr>
          <w:rStyle w:val="FootnoteReference"/>
          <w:rFonts w:ascii="Times New Roman" w:hAnsi="Times New Roman"/>
          <w:sz w:val="24"/>
        </w:rPr>
        <w:footnoteReference w:id="68"/>
      </w:r>
      <w:r w:rsidRPr="004D645D">
        <w:rPr>
          <w:rFonts w:ascii="Times New Roman" w:hAnsi="Times New Roman"/>
        </w:rPr>
        <w:t xml:space="preserve"> does not enable a court to subdivide that which is objectively characterised as a single, integrated and indivisible transaction. As in </w:t>
      </w:r>
      <w:r w:rsidRPr="004D645D">
        <w:rPr>
          <w:rFonts w:ascii="Times New Roman" w:hAnsi="Times New Roman"/>
          <w:i/>
        </w:rPr>
        <w:t>Lend Lease</w:t>
      </w:r>
      <w:r w:rsidRPr="004D645D">
        <w:rPr>
          <w:rFonts w:ascii="Times New Roman" w:hAnsi="Times New Roman"/>
        </w:rPr>
        <w:t xml:space="preserve">, in such cases there is no rational </w:t>
      </w:r>
      <w:r w:rsidRPr="004D645D">
        <w:rPr>
          <w:rFonts w:ascii="Times New Roman" w:hAnsi="Times New Roman"/>
        </w:rPr>
        <w:lastRenderedPageBreak/>
        <w:t>objective criterion upon which such a subdivision of promises may be based.</w:t>
      </w:r>
      <w:r w:rsidRPr="004D645D">
        <w:rPr>
          <w:rStyle w:val="FootnoteReference"/>
          <w:rFonts w:ascii="Times New Roman" w:hAnsi="Times New Roman"/>
          <w:sz w:val="24"/>
        </w:rPr>
        <w:footnoteReference w:id="69"/>
      </w:r>
      <w:r w:rsidRPr="004D645D">
        <w:rPr>
          <w:rFonts w:ascii="Times New Roman" w:hAnsi="Times New Roman"/>
        </w:rPr>
        <w:t xml:space="preserve"> Accordingly, in this case, that which was paid for the use of or the right to use intellectual property (that is, a "royalty") must be determined as a matter of objective characterisation on the basis of the mutuality of the exchange of promises which comprise the entire transaction. The consideration is not to be determined by attributing intentions to</w:t>
      </w:r>
      <w:r w:rsidRPr="004D645D" w:rsidDel="00FE0104">
        <w:rPr>
          <w:rFonts w:ascii="Times New Roman" w:hAnsi="Times New Roman"/>
        </w:rPr>
        <w:t xml:space="preserve"> </w:t>
      </w:r>
      <w:r w:rsidRPr="004D645D">
        <w:rPr>
          <w:rFonts w:ascii="Times New Roman" w:hAnsi="Times New Roman"/>
        </w:rPr>
        <w:t xml:space="preserve">each party to the transaction and still less by attributing to one party an intention relating to some aspects of the transaction (for example, SAPL intending to pay for the concentrate alone) and to another some other intention (for example, PepsiCo and SVC granting to SAPL the intellectual property licences in exchange for SAPL paying both for what is said to be the concentrate and for intellectual property in the licences). </w:t>
      </w:r>
    </w:p>
    <w:p w14:paraId="3CD65780"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 xml:space="preserve">The EBAs each provided for an exchange of promises to effect the sale by PepsiCo or SVC or another PepsiCo Group member of the concentrate needed to make and the intellectual property rights needed to sell the branded drinks. As such, the future sales of that concentrate at the agreed rates (including the agreed minimum sales targets per year, which would drive the purchase of units of concentrate) were as much an indivisible part of the transactions as the grant of the necessary intellectual property licences enabling SAPL to fulfil its obligations in respect of those branded drinks under the EBAs, including the obligation and right to sell those drinks to retailers and consumers. What cannot be done is to separate the part from the whole or to attribute to each party intentions based on the perceived value to them of any individual promise. Once it is accepted that within the contractual scheme SAPL's payment for the concentrate in part moved the grant of the intellectual property licences, the answer that the payment included a royalty component is unavoidable. </w:t>
      </w:r>
    </w:p>
    <w:p w14:paraId="05E7921C"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 xml:space="preserve">The Full Court majority, having rightly found the transaction to involve an integrated and interlocking series of exchanges of promises and grants of rights, were wrong then to engage in a process of subdivision in which the payment (said to be for concentrate) attached to the concentrate and the other exchanges of value attached to other aspects of the agreement. That approach necessarily diverts the court from asking what objectively and as between the parties moved the grants of the intellectual property licences. The answer cannot be one thing for PepsiCo and SVC and another thing for SAPL, as that which moved the grants of the intellectual property licences is both necessarily objectively mutual and part of the indivisible whole. The answer is that the promise to pay imposed on SAPL under the EBAs for the concentrate to some extent moved the grants of the intellectual property licences, the relevant promises forming part of a single and indivisible whole. </w:t>
      </w:r>
      <w:r w:rsidRPr="004D645D">
        <w:rPr>
          <w:rFonts w:ascii="Times New Roman" w:hAnsi="Times New Roman"/>
        </w:rPr>
        <w:lastRenderedPageBreak/>
        <w:t>Accordingly, the payment for the concentrate is to some extent a payment for the grants of the intellectual property licences.</w:t>
      </w:r>
    </w:p>
    <w:p w14:paraId="1FDCF006"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The approach of the Full Court majority, as Colvin J recognised,</w:t>
      </w:r>
      <w:r w:rsidRPr="004D645D">
        <w:rPr>
          <w:rStyle w:val="FootnoteReference"/>
          <w:rFonts w:ascii="Times New Roman" w:hAnsi="Times New Roman"/>
          <w:sz w:val="24"/>
        </w:rPr>
        <w:footnoteReference w:id="70"/>
      </w:r>
      <w:r w:rsidRPr="004D645D">
        <w:rPr>
          <w:rFonts w:ascii="Times New Roman" w:hAnsi="Times New Roman"/>
        </w:rPr>
        <w:t xml:space="preserve"> overlooked that "where an amount is required to be paid under an agreement, the parties to that agreement may have no concern to identify precisely the consideration for which the amount is payable" so that "it is quite likely that amounts that are agreed to be paid may not be separated into components that correspond to different aspects of the consideration for which the amount is paid because there would be no commercial need to do so". The corollary, as Colvin J also explained, is that where parties to an agreement have attached a label to a payment it may be no more than "a convenient rateable measure of the commercial value of the whole of the consideration moving under the agreement" so that the "use of that unit does not mean that the consideration is paid for that product and nothing else".</w:t>
      </w:r>
      <w:r w:rsidRPr="004D645D">
        <w:rPr>
          <w:rStyle w:val="FootnoteReference"/>
          <w:rFonts w:ascii="Times New Roman" w:hAnsi="Times New Roman"/>
          <w:sz w:val="24"/>
        </w:rPr>
        <w:footnoteReference w:id="71"/>
      </w:r>
      <w:r w:rsidRPr="004D645D">
        <w:rPr>
          <w:rFonts w:ascii="Times New Roman" w:hAnsi="Times New Roman"/>
        </w:rPr>
        <w:t xml:space="preserve"> </w:t>
      </w:r>
    </w:p>
    <w:p w14:paraId="79F0E454" w14:textId="285D6180"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That the price said to be allocated to the item to be sold (in this case, the concentrate) is not or is not proved to be artificially inflated is not to the point.</w:t>
      </w:r>
      <w:r w:rsidR="0022545E" w:rsidRPr="004D645D">
        <w:rPr>
          <w:rFonts w:ascii="Times New Roman" w:hAnsi="Times New Roman"/>
        </w:rPr>
        <w:t xml:space="preserve"> </w:t>
      </w:r>
      <w:r w:rsidRPr="004D645D">
        <w:rPr>
          <w:rFonts w:ascii="Times New Roman" w:hAnsi="Times New Roman"/>
        </w:rPr>
        <w:t>Indeed, any focus on the question whether the price paid for the concentrate was "disproportionately high"</w:t>
      </w:r>
      <w:r w:rsidRPr="004D645D">
        <w:rPr>
          <w:rStyle w:val="FootnoteReference"/>
          <w:rFonts w:ascii="Times New Roman" w:hAnsi="Times New Roman"/>
          <w:sz w:val="24"/>
        </w:rPr>
        <w:footnoteReference w:id="72"/>
      </w:r>
      <w:r w:rsidRPr="004D645D">
        <w:rPr>
          <w:rFonts w:ascii="Times New Roman" w:hAnsi="Times New Roman"/>
        </w:rPr>
        <w:t xml:space="preserve"> would involve a fruitless attempt to ascertain "the circumstances warranting the parties in fixing the price they chose and that is not necessarily the same thing as consideration", the very approach disclaimed by Dixon CJ in </w:t>
      </w:r>
      <w:r w:rsidRPr="004D645D">
        <w:rPr>
          <w:rFonts w:ascii="Times New Roman" w:hAnsi="Times New Roman"/>
          <w:i/>
          <w:iCs/>
        </w:rPr>
        <w:t>Davis</w:t>
      </w:r>
      <w:r w:rsidRPr="004D645D">
        <w:rPr>
          <w:rFonts w:ascii="Times New Roman" w:hAnsi="Times New Roman"/>
        </w:rPr>
        <w:t>.</w:t>
      </w:r>
      <w:r w:rsidRPr="004D645D">
        <w:rPr>
          <w:rStyle w:val="FootnoteReference"/>
          <w:rFonts w:ascii="Times New Roman" w:hAnsi="Times New Roman"/>
          <w:sz w:val="24"/>
        </w:rPr>
        <w:footnoteReference w:id="73"/>
      </w:r>
      <w:r w:rsidRPr="004D645D">
        <w:rPr>
          <w:rFonts w:ascii="Times New Roman" w:hAnsi="Times New Roman"/>
        </w:rPr>
        <w:t xml:space="preserve"> </w:t>
      </w:r>
    </w:p>
    <w:p w14:paraId="297455AA" w14:textId="7B90E33B"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 xml:space="preserve">This also explains why it is not to the point that it cannot be said that the EBAs involved a "sham" or that the transactions between SAPL and PBS did so. Nor did the Commissioner's approach involve artificially treating the whole of the price said to be for the concentrate as consideration for the grant of the intellectual property licences. Rather, the Commissioner's case was that the payments said to be for the concentrate under the EBAs were </w:t>
      </w:r>
      <w:r w:rsidRPr="004D645D">
        <w:rPr>
          <w:rFonts w:ascii="Times New Roman" w:hAnsi="Times New Roman"/>
          <w:i/>
        </w:rPr>
        <w:t>to some extent</w:t>
      </w:r>
      <w:r w:rsidRPr="004D645D">
        <w:rPr>
          <w:rFonts w:ascii="Times New Roman" w:hAnsi="Times New Roman"/>
        </w:rPr>
        <w:t xml:space="preserve"> consideration for the intellectual property licences.</w:t>
      </w:r>
      <w:r w:rsidRPr="004D645D" w:rsidDel="00396A86">
        <w:rPr>
          <w:rFonts w:ascii="Times New Roman" w:hAnsi="Times New Roman"/>
        </w:rPr>
        <w:t xml:space="preserve"> </w:t>
      </w:r>
      <w:r w:rsidRPr="004D645D">
        <w:rPr>
          <w:rFonts w:ascii="Times New Roman" w:hAnsi="Times New Roman"/>
        </w:rPr>
        <w:t>That is simply to recognise the "single, integrated and indivisible" nature of the transaction.</w:t>
      </w:r>
    </w:p>
    <w:p w14:paraId="6F072B01"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lastRenderedPageBreak/>
        <w:tab/>
        <w:t xml:space="preserve">Moreover, a consequence of a purported division of a single, integrated and indivisible transaction would be to make it practically impossible to identify any royalty for the grant of rights to use intellectual property in the transaction unless the parties had expressly labelled some part of a payment or credit as consideration for the grant. If, however, the label the parties attach to the sale of concentrate is accepted at face value, that would have the effect of immunising the payment from being in part consideration for the use of the intellectual property. Such an approach is contrary to the language of the definition of "royalty", which involves any amount paid or credited, however described or computed. </w:t>
      </w:r>
    </w:p>
    <w:p w14:paraId="0109B3D0" w14:textId="7877F202"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 xml:space="preserve">The Commissioner therefore is correct to have submitted that the "majority's finding ... that the EBAs ultimately secured the right to distribute the famous beverages of which the use of intellectual property was a necessary element </w:t>
      </w:r>
      <w:r w:rsidRPr="004D645D">
        <w:rPr>
          <w:rFonts w:ascii="Times New Roman" w:hAnsi="Times New Roman"/>
          <w:i/>
          <w:iCs/>
        </w:rPr>
        <w:t>required</w:t>
      </w:r>
      <w:r w:rsidRPr="004D645D">
        <w:rPr>
          <w:rFonts w:ascii="Times New Roman" w:hAnsi="Times New Roman"/>
        </w:rPr>
        <w:t xml:space="preserve"> a conclusion that part of the payments made by SAPL was for the use of PepsiCo/SVC's intellectual property" (emphasis added). That requirement flows from the proper characterisation of the transaction as single, integrated and indivisible.</w:t>
      </w:r>
    </w:p>
    <w:p w14:paraId="6C43DC25" w14:textId="04D9F0C3"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The answers of PepsiCo and SVC to these matters, that "a tax Act must take the result of the taxpayer's activities as it finds them" and the "relevant transactions were sales of goods for a price", expose the flaw in their case. In objectively construing and characterising an agreement, the court is not bound to accept any label the parties attach to any aspect of their dealings. Nor are the EBAs properly characterised as a sale of goods for a price. While, as PepsiCo and SVC said, a "process of characterisation of a payment must commence with a correct identification of the legal rights and obligations attending the transaction giving rise to the payment", part of that process of characterisation involves identifying if the transaction is single, integrated and indivisible or not, having regard to its text, structure and purpose. If it is, it cannot thereafter be divided into its component parts for the purpose of identifying any royalty component</w:t>
      </w:r>
      <w:r w:rsidR="0022545E" w:rsidRPr="004D645D">
        <w:rPr>
          <w:rFonts w:ascii="Times New Roman" w:hAnsi="Times New Roman"/>
        </w:rPr>
        <w:t>.</w:t>
      </w:r>
    </w:p>
    <w:p w14:paraId="02617062"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For these reasons, question one is to be answered in the affirmative.</w:t>
      </w:r>
    </w:p>
    <w:p w14:paraId="6F20FEB2" w14:textId="77777777" w:rsidR="00436125" w:rsidRPr="004D645D" w:rsidRDefault="00436125" w:rsidP="004D645D">
      <w:pPr>
        <w:pStyle w:val="HeadingL1"/>
        <w:spacing w:after="260" w:line="280" w:lineRule="exact"/>
        <w:ind w:right="0"/>
        <w:jc w:val="both"/>
        <w:rPr>
          <w:rFonts w:ascii="Times New Roman" w:hAnsi="Times New Roman"/>
        </w:rPr>
      </w:pPr>
      <w:r w:rsidRPr="004D645D">
        <w:rPr>
          <w:rFonts w:ascii="Times New Roman" w:hAnsi="Times New Roman"/>
        </w:rPr>
        <w:t>Question two: did PepsiCo and SVC derive income?</w:t>
      </w:r>
    </w:p>
    <w:p w14:paraId="5FD7DB1D" w14:textId="77777777" w:rsidR="00436125" w:rsidRPr="004D645D" w:rsidRDefault="00436125" w:rsidP="004D645D">
      <w:pPr>
        <w:pStyle w:val="HeadingL2"/>
        <w:spacing w:after="260" w:line="280" w:lineRule="exact"/>
        <w:ind w:right="0"/>
        <w:jc w:val="both"/>
        <w:rPr>
          <w:rFonts w:ascii="Times New Roman" w:hAnsi="Times New Roman"/>
        </w:rPr>
      </w:pPr>
      <w:r w:rsidRPr="004D645D">
        <w:rPr>
          <w:rFonts w:ascii="Times New Roman" w:hAnsi="Times New Roman"/>
        </w:rPr>
        <w:t>The question in context</w:t>
      </w:r>
    </w:p>
    <w:p w14:paraId="76FDE064"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Question two is whether PepsiCo and SVC derived income from the payment of a royalty as referred to in s 128B(2B) of the ITAA, thereby making PepsiCo and SVC liable to pay income tax (specifically, royalty withholding tax) under s 128B(5A) of that Act, which states that:</w:t>
      </w:r>
    </w:p>
    <w:p w14:paraId="262DF825" w14:textId="77777777" w:rsidR="004D645D" w:rsidRDefault="00436125" w:rsidP="004D645D">
      <w:pPr>
        <w:pStyle w:val="leftright"/>
        <w:spacing w:before="0" w:after="260" w:line="280" w:lineRule="exact"/>
        <w:ind w:right="0"/>
        <w:jc w:val="both"/>
        <w:rPr>
          <w:rFonts w:ascii="Times New Roman" w:hAnsi="Times New Roman"/>
        </w:rPr>
      </w:pPr>
      <w:r w:rsidRPr="004D645D">
        <w:rPr>
          <w:rFonts w:ascii="Times New Roman" w:hAnsi="Times New Roman"/>
        </w:rPr>
        <w:lastRenderedPageBreak/>
        <w:t>"A person who derives income to which this section applies that consists of a royalty is liable to pay income tax upon that income at the rate declared by the Parliament in respect of income to which this subsection applies."</w:t>
      </w:r>
    </w:p>
    <w:p w14:paraId="1FBEB66C" w14:textId="0FA77486"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Relevantly, s 128B "applies" to income "derived" by a non-resident, in this case PepsiCo and SVC, during the 1993-1994 income year or later,</w:t>
      </w:r>
      <w:r w:rsidRPr="004D645D">
        <w:rPr>
          <w:rStyle w:val="FootnoteReference"/>
          <w:rFonts w:ascii="Times New Roman" w:hAnsi="Times New Roman"/>
          <w:sz w:val="24"/>
        </w:rPr>
        <w:footnoteReference w:id="74"/>
      </w:r>
      <w:r w:rsidRPr="004D645D">
        <w:rPr>
          <w:rFonts w:ascii="Times New Roman" w:hAnsi="Times New Roman"/>
        </w:rPr>
        <w:t xml:space="preserve"> that "consists of a royalty" which is "paid to" the non-resident by a person to whom the section applies, namely a resident, in this case SAPL.</w:t>
      </w:r>
      <w:r w:rsidRPr="004D645D">
        <w:rPr>
          <w:rStyle w:val="FootnoteReference"/>
          <w:rFonts w:ascii="Times New Roman" w:hAnsi="Times New Roman"/>
          <w:sz w:val="24"/>
        </w:rPr>
        <w:footnoteReference w:id="75"/>
      </w:r>
    </w:p>
    <w:p w14:paraId="726918D6" w14:textId="77777777" w:rsidR="00436125" w:rsidRPr="004D645D" w:rsidRDefault="00436125" w:rsidP="004D645D">
      <w:pPr>
        <w:pStyle w:val="HeadingL2"/>
        <w:spacing w:after="260" w:line="280" w:lineRule="exact"/>
        <w:ind w:right="0"/>
        <w:jc w:val="both"/>
        <w:rPr>
          <w:rFonts w:ascii="Times New Roman" w:hAnsi="Times New Roman"/>
        </w:rPr>
      </w:pPr>
      <w:r w:rsidRPr="004D645D">
        <w:rPr>
          <w:rFonts w:ascii="Times New Roman" w:hAnsi="Times New Roman"/>
        </w:rPr>
        <w:t>The reasoning of the Courts below</w:t>
      </w:r>
    </w:p>
    <w:p w14:paraId="44EAAE25"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The primary judge concluded that, being the parties to the EBAs, each of PepsiCo and SVC were entitled to receive the payments from SAPL under those agreements. As the primary judge put it, "[t]his follows as a matter of contract from the fact that PepsiCo and SVC were the parties to the EBAs and SAPL's payment obligations under the EBAs were owed to them. This remained the case even though PepsiCo and SVC nominated PBS as the seller of the concentrate. PBS was not, and did not become, a party to the EBAs."</w:t>
      </w:r>
      <w:r w:rsidRPr="004D645D">
        <w:rPr>
          <w:rStyle w:val="FootnoteReference"/>
          <w:rFonts w:ascii="Times New Roman" w:hAnsi="Times New Roman"/>
          <w:sz w:val="24"/>
        </w:rPr>
        <w:footnoteReference w:id="76"/>
      </w:r>
      <w:r w:rsidRPr="004D645D">
        <w:rPr>
          <w:rFonts w:ascii="Times New Roman" w:hAnsi="Times New Roman"/>
        </w:rPr>
        <w:t xml:space="preserve"> The primary judge therefore characterised the nomination of PBS as the seller of the concentrate under the respective EBAs as a "direction to SAPL to pay PBS rather than PepsiCo or SVC (as applicable)", so that the payments by SAPL to PBS were income derived by each of PepsiCo and SVC.</w:t>
      </w:r>
      <w:r w:rsidRPr="004D645D">
        <w:rPr>
          <w:rStyle w:val="FootnoteReference"/>
          <w:rFonts w:ascii="Times New Roman" w:hAnsi="Times New Roman"/>
          <w:sz w:val="24"/>
        </w:rPr>
        <w:footnoteReference w:id="77"/>
      </w:r>
    </w:p>
    <w:p w14:paraId="7A27AA90"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The Full Court majority and Colvin J disagreed. The majority considered that, as "there can be no payment by direction unless there is an antecedent monetary obligation owed" by the payer to the creditor, it could not be that the nomination of PBS as the seller by each of PepsiCo and SVC constituted a direction to satisfy the debt owed to them by payment to PBS. Rather, the nomination of PBS as the seller by each of PepsiCo and SVC involved PBS having the status of seller under the EBAs by reason of which SAPL would be obliged to pay PBS the agreed price for the concentrate and essential base ingredients as applicable.</w:t>
      </w:r>
      <w:r w:rsidRPr="004D645D">
        <w:rPr>
          <w:rStyle w:val="FootnoteReference"/>
          <w:rFonts w:ascii="Times New Roman" w:hAnsi="Times New Roman"/>
          <w:sz w:val="24"/>
        </w:rPr>
        <w:footnoteReference w:id="78"/>
      </w:r>
    </w:p>
    <w:p w14:paraId="5EC75072" w14:textId="77777777" w:rsidR="00436125" w:rsidRPr="004D645D" w:rsidRDefault="00436125" w:rsidP="004D645D">
      <w:pPr>
        <w:pStyle w:val="HeadingL2"/>
        <w:spacing w:after="260" w:line="280" w:lineRule="exact"/>
        <w:ind w:right="0"/>
        <w:jc w:val="both"/>
        <w:rPr>
          <w:rFonts w:ascii="Times New Roman" w:hAnsi="Times New Roman"/>
        </w:rPr>
      </w:pPr>
      <w:r w:rsidRPr="004D645D">
        <w:rPr>
          <w:rFonts w:ascii="Times New Roman" w:hAnsi="Times New Roman"/>
        </w:rPr>
        <w:lastRenderedPageBreak/>
        <w:t>Consideration</w:t>
      </w:r>
    </w:p>
    <w:p w14:paraId="1F660241"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"Income derived" by a taxpayer or putative taxpayer is understood to involve "gains" that have "come home" to the taxpayer in "a realized or immediately realizable form".</w:t>
      </w:r>
      <w:r w:rsidRPr="004D645D">
        <w:rPr>
          <w:rStyle w:val="FootnoteReference"/>
          <w:rFonts w:ascii="Times New Roman" w:hAnsi="Times New Roman"/>
          <w:sz w:val="24"/>
        </w:rPr>
        <w:footnoteReference w:id="79"/>
      </w:r>
      <w:r w:rsidRPr="004D645D">
        <w:rPr>
          <w:rFonts w:ascii="Times New Roman" w:hAnsi="Times New Roman"/>
        </w:rPr>
        <w:t xml:space="preserve"> The required "gains" are not net gains as "the topic under discussion is assessable income, that is to say gross income".</w:t>
      </w:r>
      <w:r w:rsidRPr="004D645D">
        <w:rPr>
          <w:rStyle w:val="FootnoteReference"/>
          <w:rFonts w:ascii="Times New Roman" w:hAnsi="Times New Roman"/>
          <w:sz w:val="24"/>
        </w:rPr>
        <w:footnoteReference w:id="80"/>
      </w:r>
      <w:r w:rsidRPr="004D645D">
        <w:rPr>
          <w:rFonts w:ascii="Times New Roman" w:hAnsi="Times New Roman"/>
        </w:rPr>
        <w:t xml:space="preserve"> Further, the gains must be received beneficially and therefore "may properly be counted as gains completely made, so that there is neither legal nor business unsoundness in regarding them without qualification as income derived".</w:t>
      </w:r>
      <w:r w:rsidRPr="004D645D">
        <w:rPr>
          <w:rStyle w:val="FootnoteReference"/>
          <w:rFonts w:ascii="Times New Roman" w:hAnsi="Times New Roman"/>
          <w:sz w:val="24"/>
        </w:rPr>
        <w:footnoteReference w:id="81"/>
      </w:r>
    </w:p>
    <w:p w14:paraId="27712D1D" w14:textId="0F105D95"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The Commissioner having disavowed any relationship of agency between each of PepsiCo and SVC (as relevant) and PBS or notion of PBS having received money by way of payment from SAPL on trust for each of PepsiCo and SVC (as relevant), the Full Court's analysis of the legal status of those payments is persuasive. The EBAs enabled PepsiCo and SVC (as relevant) to constitute themselves or (in effect) another member of the PepsiCo Group as the seller of the concentrate. PepsiCo and SVC each having nominated PBS as the seller, each was bound to "cause to be sold" by PBS to SAPL the concentrate. Being obliged to cause to be sold to SAPL the concentrate is not the same as selling to SAPL the concentrate. It is clear from the EBAs that if PepsiCo and SVC nominate a seller other than themselves it is that entity which is the seller. That SAPL promised PepsiCo and SVC, amongst other things, to buy from the seller the concentrate at the agreed prices, and that PepsiCo and SVC (not PBS)</w:t>
      </w:r>
      <w:r w:rsidRPr="004D645D">
        <w:rPr>
          <w:rStyle w:val="FootnoteReference"/>
          <w:rFonts w:ascii="Times New Roman" w:hAnsi="Times New Roman"/>
          <w:sz w:val="24"/>
        </w:rPr>
        <w:footnoteReference w:id="82"/>
      </w:r>
      <w:r w:rsidRPr="004D645D">
        <w:rPr>
          <w:rFonts w:ascii="Times New Roman" w:hAnsi="Times New Roman"/>
        </w:rPr>
        <w:t xml:space="preserve"> could enforce this promise, does not convert the promise into one by which SAPL was bound to make payment to anyone other than PBS as the nominated seller.</w:t>
      </w:r>
    </w:p>
    <w:p w14:paraId="3BDC7F89"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 xml:space="preserve">The subsequent transactions accord with this characterisation of the EBAs. After PepsiCo and SVC nominated PBS to be the seller PBS, by agreement, placed itself in a position whereby it could sell the concentrate at the price agreed in the EBAs to SAPL. SAPL placed orders for the concentrate and essential base ingredients with PBS. PBS supplied the concentrate to SAPL at the price agreed under the EBAs. PBS held title to and risk in the concentrate until SAPL paid for </w:t>
      </w:r>
      <w:r w:rsidRPr="004D645D">
        <w:rPr>
          <w:rFonts w:ascii="Times New Roman" w:hAnsi="Times New Roman"/>
        </w:rPr>
        <w:lastRenderedPageBreak/>
        <w:t xml:space="preserve">it under the PepsiCo EBA. PBS held title to and risk in the concentrate until SAPL or its agent or nominee took custody of the concentrate at PBS's warehouse under the SVC EBA. Neither PepsiCo nor SVC held title to the concentrate at any time. PBS invoiced SAPL for the quantity of concentrate supplied to SAPL and SAPL paid to PBS amounts so invoiced. </w:t>
      </w:r>
    </w:p>
    <w:p w14:paraId="151587FC"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Nothing supports giving these facts a legal character contrary to their appearance.</w:t>
      </w:r>
    </w:p>
    <w:p w14:paraId="760E8085"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For these reasons, the better characterisation of the facts is that neither PepsiCo nor SVC derived income from the payment of a royalty as referred to in s 128B(2B) of the ITAA. Question two is to be answered in the negative.</w:t>
      </w:r>
    </w:p>
    <w:p w14:paraId="25657471" w14:textId="77777777" w:rsidR="00436125" w:rsidRPr="004D645D" w:rsidRDefault="00436125" w:rsidP="004D645D">
      <w:pPr>
        <w:pStyle w:val="HeadingL1"/>
        <w:spacing w:after="260" w:line="280" w:lineRule="exact"/>
        <w:ind w:right="0"/>
        <w:jc w:val="both"/>
        <w:rPr>
          <w:rFonts w:ascii="Times New Roman" w:hAnsi="Times New Roman"/>
        </w:rPr>
      </w:pPr>
      <w:r w:rsidRPr="004D645D">
        <w:rPr>
          <w:rFonts w:ascii="Times New Roman" w:hAnsi="Times New Roman"/>
        </w:rPr>
        <w:t>Question three: liability to pay diverted profits tax</w:t>
      </w:r>
    </w:p>
    <w:p w14:paraId="4030CBEC" w14:textId="77777777" w:rsidR="00436125" w:rsidRPr="004D645D" w:rsidRDefault="00436125" w:rsidP="004D645D">
      <w:pPr>
        <w:pStyle w:val="HeadingL2"/>
        <w:spacing w:after="260" w:line="280" w:lineRule="exact"/>
        <w:ind w:right="0"/>
        <w:jc w:val="both"/>
        <w:rPr>
          <w:rFonts w:ascii="Times New Roman" w:hAnsi="Times New Roman"/>
        </w:rPr>
      </w:pPr>
      <w:r w:rsidRPr="004D645D">
        <w:rPr>
          <w:rFonts w:ascii="Times New Roman" w:hAnsi="Times New Roman"/>
        </w:rPr>
        <w:t>The question in context</w:t>
      </w:r>
    </w:p>
    <w:p w14:paraId="2B0BF168" w14:textId="782A2A4A"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 xml:space="preserve">Question three is in the alternative to questions one and two. Question three concerns the application of the statutory provisions relating to DPT located in the "anti-avoidance" provisions of Pt IVA of the ITAA. Part IVA, headed "Schemes to reduce income tax", applies to a "scheme" in relation to a "tax benefit" (a "DPT </w:t>
      </w:r>
      <w:r w:rsidR="00DE539D">
        <w:rPr>
          <w:rFonts w:ascii="Times New Roman" w:hAnsi="Times New Roman"/>
        </w:rPr>
        <w:t>t</w:t>
      </w:r>
      <w:r w:rsidRPr="004D645D">
        <w:rPr>
          <w:rFonts w:ascii="Times New Roman" w:hAnsi="Times New Roman"/>
        </w:rPr>
        <w:t>ax benefit") in a year of income</w:t>
      </w:r>
      <w:r w:rsidRPr="004D645D">
        <w:rPr>
          <w:rStyle w:val="FootnoteReference"/>
          <w:rFonts w:ascii="Times New Roman" w:hAnsi="Times New Roman"/>
          <w:sz w:val="24"/>
        </w:rPr>
        <w:footnoteReference w:id="83"/>
      </w:r>
      <w:r w:rsidRPr="004D645D">
        <w:rPr>
          <w:rFonts w:ascii="Times New Roman" w:hAnsi="Times New Roman"/>
        </w:rPr>
        <w:t xml:space="preserve"> if provisions in respect of a principal purpose component are also satisfied. If the tax benefit and principal purpose requirements are both satisfied, the taxpayer is obliged to pay, for the relevant year of income, tax at a particular rate on the "DPT base amount for that DPT tax benefit".</w:t>
      </w:r>
      <w:r w:rsidRPr="004D645D">
        <w:rPr>
          <w:rStyle w:val="FootnoteReference"/>
          <w:rFonts w:ascii="Times New Roman" w:hAnsi="Times New Roman"/>
          <w:sz w:val="24"/>
        </w:rPr>
        <w:footnoteReference w:id="84"/>
      </w:r>
      <w:r w:rsidRPr="004D645D">
        <w:rPr>
          <w:rFonts w:ascii="Times New Roman" w:hAnsi="Times New Roman"/>
        </w:rPr>
        <w:t xml:space="preserve"> </w:t>
      </w:r>
    </w:p>
    <w:p w14:paraId="0438E000" w14:textId="77777777" w:rsidR="00436125" w:rsidRPr="004D645D" w:rsidRDefault="00436125" w:rsidP="004D645D">
      <w:pPr>
        <w:pStyle w:val="HeadingL3"/>
        <w:spacing w:after="260" w:line="280" w:lineRule="exact"/>
        <w:ind w:right="0"/>
        <w:jc w:val="both"/>
        <w:rPr>
          <w:rFonts w:ascii="Times New Roman" w:hAnsi="Times New Roman"/>
        </w:rPr>
      </w:pPr>
      <w:r w:rsidRPr="004D645D">
        <w:rPr>
          <w:rFonts w:ascii="Times New Roman" w:hAnsi="Times New Roman"/>
        </w:rPr>
        <w:t>Tax benefit</w:t>
      </w:r>
    </w:p>
    <w:p w14:paraId="14F622D7"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If PepsiCo and SVC had been liable to pay royalty withholding tax under s 128B(5A) of the ITAA they could not also have obtained "a tax benefit in connection with a scheme"</w:t>
      </w:r>
      <w:r w:rsidRPr="004D645D">
        <w:rPr>
          <w:rStyle w:val="FootnoteReference"/>
          <w:rFonts w:ascii="Times New Roman" w:hAnsi="Times New Roman"/>
          <w:sz w:val="24"/>
        </w:rPr>
        <w:footnoteReference w:id="85"/>
      </w:r>
      <w:r w:rsidRPr="004D645D">
        <w:rPr>
          <w:rFonts w:ascii="Times New Roman" w:hAnsi="Times New Roman"/>
        </w:rPr>
        <w:t xml:space="preserve"> as described in s 177C(1)(bc) of the ITAA, to the effect that "a reference in this Part [Pt IVA] to the obtaining by a taxpayer of a tax benefit in connection with a scheme shall be read as a reference to: ... the taxpayer not being liable to pay withholding tax on an amount where the taxpayer either would have, or might reasonably be expected to have, been liable to pay </w:t>
      </w:r>
      <w:r w:rsidRPr="004D645D">
        <w:rPr>
          <w:rFonts w:ascii="Times New Roman" w:hAnsi="Times New Roman"/>
        </w:rPr>
        <w:lastRenderedPageBreak/>
        <w:t xml:space="preserve">withholding tax on the amount if the scheme had not been entered into or carried out". It would then have followed that there was no "scheme" to which Pt IVA could apply to give rise to a liability of PepsiCo and SVC to pay DPT for any "DPT tax benefit" as provided for in s 177P(1) of the ITAA. </w:t>
      </w:r>
    </w:p>
    <w:p w14:paraId="41A3467B"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As PepsiCo and SVC are not liable to pay royalty withholding tax under s 128B(5A) of the ITAA they may be liable to pay DPT under Pt IVA of that Act. According to s 177H(1) of the ITAA the primary objects of the DPT provisions</w:t>
      </w:r>
      <w:r w:rsidRPr="004D645D">
        <w:rPr>
          <w:rStyle w:val="FootnoteReference"/>
          <w:rFonts w:ascii="Times New Roman" w:hAnsi="Times New Roman"/>
          <w:sz w:val="24"/>
        </w:rPr>
        <w:footnoteReference w:id="86"/>
      </w:r>
      <w:r w:rsidRPr="004D645D">
        <w:rPr>
          <w:rFonts w:ascii="Times New Roman" w:hAnsi="Times New Roman"/>
        </w:rPr>
        <w:t xml:space="preserve"> within Pt IVA are "(a) to ensure that the Australian tax payable by significant global entities properly reflects the economic substance of the activities that those entities carry on in Australia; and (b) to prevent those entities from reducing the amount of Australian tax they pay by diverting profits offshore through contrived arrangements between related parties".</w:t>
      </w:r>
    </w:p>
    <w:p w14:paraId="2FD3B540"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Liability to pay DPT under Pt IVA depends on the operation of a series of interlinked provisions. As noted, by s 177C(1)(bc) a reference in Pt IVA to "the obtaining by a taxpayer of a tax benefit in connection with a scheme" is to be read as "the taxpayer not being liable to pay withholding tax on an amount where the taxpayer either would have, or might reasonably be expected to have, been liable to pay withholding tax on the amount if the scheme had not been entered into or carried out". By s 177C(1)(g), for the purposes of Pt IVA, the amount of the tax benefit shall be taken to be "in a case to which paragraph (bc) applies – the amount referred to in that paragraph".</w:t>
      </w:r>
    </w:p>
    <w:p w14:paraId="67DD268C"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 xml:space="preserve">By s 177CB(1)(e), to determine if a taxpayer "either would have, or might reasonably be expected to have, been liable to pay withholding tax" the provisions of s 177CB are to be applied. By s 177CB(2) a "decision that a tax effect would have occurred if the scheme had not been entered into or carried out must be based on a postulate that comprises only the events or circumstances that actually happened or existed (other than those that form part of the scheme)". By s 177CB(3) a "decision that a tax effect might reasonably be expected to have occurred if the scheme had not been entered into or carried out must be based on a postulate that is a reasonable alternative to entering into or carrying out the scheme". By s 177CB(4), in "determining for the purposes of subsection (3) whether a postulate is such a reasonable alternative" it is necessary to: (a) "have particular regard to" (i) the substance of the scheme; and (ii) any result or consequence for the taxpayer that is or would be achieved by the scheme (other than a result in relation to the operation of the ITAA); and (b) "disregard any result in relation to the operation of [the ITAA] that would be achieved by the postulate for any person (whether or not a party to the scheme)". </w:t>
      </w:r>
    </w:p>
    <w:p w14:paraId="2A1CC1F2" w14:textId="7C576908"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lastRenderedPageBreak/>
        <w:tab/>
        <w:t>As noted, the taxpayer bears the onus of proving the assessments are excessive under s 14ZZO(b)(i) of the TAA. As a result, PepsiCo and SVC accepted that to determine if a taxpayer might reasonably be expected to have been liable to pay withholding tax the taxpayer must prove both that "the Commissioner's postulates are not reasonable ... [and] ... that there is no other reasonable postulate".</w:t>
      </w:r>
      <w:r w:rsidRPr="004D645D">
        <w:rPr>
          <w:rStyle w:val="FootnoteReference"/>
          <w:rFonts w:ascii="Times New Roman" w:hAnsi="Times New Roman"/>
          <w:sz w:val="24"/>
        </w:rPr>
        <w:footnoteReference w:id="87"/>
      </w:r>
      <w:r w:rsidRPr="004D645D">
        <w:rPr>
          <w:rFonts w:ascii="Times New Roman" w:hAnsi="Times New Roman"/>
        </w:rPr>
        <w:t xml:space="preserve"> The Commissioner did not accept that description of the operation of the onus but, as will be explained, it is unnecessary to resolve that aspect of the dispute. </w:t>
      </w:r>
    </w:p>
    <w:p w14:paraId="2C4928C6"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 xml:space="preserve">The Explanatory Memorandum to the </w:t>
      </w:r>
      <w:r w:rsidRPr="004D645D">
        <w:rPr>
          <w:rFonts w:ascii="Times New Roman" w:hAnsi="Times New Roman"/>
          <w:i/>
          <w:iCs/>
        </w:rPr>
        <w:t>Tax Laws Amendment (Countering Tax Avoidance and Multinational Profit Shifting) Bill 2013</w:t>
      </w:r>
      <w:r w:rsidRPr="004D645D">
        <w:rPr>
          <w:rFonts w:ascii="Times New Roman" w:hAnsi="Times New Roman"/>
        </w:rPr>
        <w:t xml:space="preserve"> (Cth), which relevantly inserted s 177CB(3) and (4), said that:</w:t>
      </w:r>
      <w:r w:rsidRPr="004D645D">
        <w:rPr>
          <w:rStyle w:val="FootnoteReference"/>
          <w:rFonts w:ascii="Times New Roman" w:hAnsi="Times New Roman"/>
          <w:sz w:val="24"/>
        </w:rPr>
        <w:footnoteReference w:id="88"/>
      </w:r>
    </w:p>
    <w:p w14:paraId="0DADEED4" w14:textId="77777777" w:rsidR="00436125" w:rsidRPr="004D645D" w:rsidRDefault="00436125" w:rsidP="004D645D">
      <w:pPr>
        <w:pStyle w:val="leftright"/>
        <w:spacing w:before="0" w:after="260" w:line="280" w:lineRule="exact"/>
        <w:ind w:right="0"/>
        <w:jc w:val="both"/>
        <w:rPr>
          <w:rFonts w:ascii="Times New Roman" w:hAnsi="Times New Roman"/>
        </w:rPr>
      </w:pPr>
      <w:r w:rsidRPr="004D645D">
        <w:rPr>
          <w:rFonts w:ascii="Times New Roman" w:hAnsi="Times New Roman"/>
        </w:rPr>
        <w:tab/>
        <w:t>"The amendment [the introduction of s 177CB(3) and (4)] makes it clear that when postulating what might reasonably be expected to have occurred in the absence of a scheme, it is not enough to simply assume the non-existence of the scheme – the postulate must represent a reasonable alternative to the scheme, in the sense that it could reasonably take the place of the scheme.</w:t>
      </w:r>
    </w:p>
    <w:p w14:paraId="33EFB0DE" w14:textId="77777777" w:rsidR="004D645D" w:rsidRDefault="00436125" w:rsidP="004D645D">
      <w:pPr>
        <w:pStyle w:val="leftright"/>
        <w:spacing w:before="0" w:after="260" w:line="280" w:lineRule="exact"/>
        <w:ind w:right="0"/>
        <w:jc w:val="both"/>
        <w:rPr>
          <w:rFonts w:ascii="Times New Roman" w:hAnsi="Times New Roman"/>
        </w:rPr>
      </w:pPr>
      <w:r w:rsidRPr="004D645D">
        <w:rPr>
          <w:rFonts w:ascii="Times New Roman" w:hAnsi="Times New Roman"/>
        </w:rPr>
        <w:tab/>
        <w:t>Such a postulate will necessarily require speculation about the state of affairs that would have existed if the scheme had not been entered into or carried out. This may include speculation about the way in which connected transactions would have been modified if they had had to accommodate the absence of the scheme."</w:t>
      </w:r>
    </w:p>
    <w:p w14:paraId="589704B4" w14:textId="394E2FAB"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 xml:space="preserve">This approach reflects the approach in </w:t>
      </w:r>
      <w:r w:rsidRPr="004D645D">
        <w:rPr>
          <w:rFonts w:ascii="Times New Roman" w:hAnsi="Times New Roman"/>
          <w:i/>
          <w:iCs/>
        </w:rPr>
        <w:t>Federal Commissioner of Taxation</w:t>
      </w:r>
      <w:r w:rsidR="00556C8C">
        <w:rPr>
          <w:rFonts w:ascii="Times New Roman" w:hAnsi="Times New Roman"/>
          <w:i/>
          <w:iCs/>
        </w:rPr>
        <w:t> </w:t>
      </w:r>
      <w:r w:rsidRPr="004D645D">
        <w:rPr>
          <w:rFonts w:ascii="Times New Roman" w:hAnsi="Times New Roman"/>
          <w:i/>
          <w:iCs/>
        </w:rPr>
        <w:t>v</w:t>
      </w:r>
      <w:r w:rsidR="00556C8C">
        <w:rPr>
          <w:rFonts w:ascii="Times New Roman" w:hAnsi="Times New Roman"/>
          <w:i/>
          <w:iCs/>
        </w:rPr>
        <w:t> </w:t>
      </w:r>
      <w:r w:rsidRPr="004D645D">
        <w:rPr>
          <w:rFonts w:ascii="Times New Roman" w:hAnsi="Times New Roman"/>
          <w:i/>
          <w:iCs/>
        </w:rPr>
        <w:t>Peabody</w:t>
      </w:r>
      <w:r w:rsidRPr="004D645D">
        <w:rPr>
          <w:rFonts w:ascii="Times New Roman" w:hAnsi="Times New Roman"/>
        </w:rPr>
        <w:t xml:space="preserve"> that a "reasonable expectation requires more than a possibility. It involves a prediction as to events which would have taken place if the relevant scheme had not been entered into or carried out and the prediction must be sufficiently reliable for it to be regarded as reasonable".</w:t>
      </w:r>
      <w:r w:rsidRPr="004D645D">
        <w:rPr>
          <w:rStyle w:val="FootnoteReference"/>
          <w:rFonts w:ascii="Times New Roman" w:hAnsi="Times New Roman"/>
          <w:sz w:val="24"/>
        </w:rPr>
        <w:footnoteReference w:id="89"/>
      </w:r>
    </w:p>
    <w:p w14:paraId="349C5C23"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lastRenderedPageBreak/>
        <w:tab/>
        <w:t>Concerning s 177CB(4)(a)(i) and (ii) (have particular regard to the substance of the scheme and any result or consequence for the taxpayer that is or would be achieved by the scheme), the Explanatory Memorandum said that the reference to the substance of the scheme in s 177CB(4)(a)(i) "requires a consideration of its commercial and economic substance as distinct from its legal form or shape" and that for a postulate to constitute a reasonable alternative it "should correspond to the substance of the scheme".</w:t>
      </w:r>
      <w:r w:rsidRPr="004D645D">
        <w:rPr>
          <w:rStyle w:val="FootnoteReference"/>
          <w:rFonts w:ascii="Times New Roman" w:hAnsi="Times New Roman"/>
          <w:sz w:val="24"/>
        </w:rPr>
        <w:footnoteReference w:id="90"/>
      </w:r>
      <w:r w:rsidRPr="004D645D">
        <w:rPr>
          <w:rFonts w:ascii="Times New Roman" w:hAnsi="Times New Roman"/>
        </w:rPr>
        <w:t xml:space="preserve"> Further, "[i]t would be expected that a postulate that is a reasonable alternative to the entering into and carrying out of a scheme would achieve for the taxpayer non-tax results and consequences that are comparable to those achieved by the scheme itself".</w:t>
      </w:r>
      <w:r w:rsidRPr="004D645D">
        <w:rPr>
          <w:rStyle w:val="FootnoteReference"/>
          <w:rFonts w:ascii="Times New Roman" w:hAnsi="Times New Roman"/>
          <w:sz w:val="24"/>
        </w:rPr>
        <w:footnoteReference w:id="91"/>
      </w:r>
    </w:p>
    <w:p w14:paraId="6D877005" w14:textId="77777777" w:rsidR="00436125" w:rsidRPr="004D645D" w:rsidRDefault="00436125" w:rsidP="004D645D">
      <w:pPr>
        <w:pStyle w:val="HeadingL3"/>
        <w:spacing w:after="260" w:line="280" w:lineRule="exact"/>
        <w:ind w:right="0"/>
        <w:jc w:val="both"/>
        <w:rPr>
          <w:rFonts w:ascii="Times New Roman" w:hAnsi="Times New Roman"/>
        </w:rPr>
      </w:pPr>
      <w:r w:rsidRPr="004D645D">
        <w:rPr>
          <w:rFonts w:ascii="Times New Roman" w:hAnsi="Times New Roman"/>
        </w:rPr>
        <w:t>Principal purpose</w:t>
      </w:r>
    </w:p>
    <w:p w14:paraId="7FE170B1" w14:textId="406556AF"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 xml:space="preserve">As noted, Pt IVA also imposes a requirement of principal purpose (meaning </w:t>
      </w:r>
      <w:r w:rsidRPr="004D645D">
        <w:rPr>
          <w:rFonts w:ascii="Times New Roman" w:hAnsi="Times New Roman"/>
          <w:i/>
          <w:iCs/>
        </w:rPr>
        <w:t>a</w:t>
      </w:r>
      <w:r w:rsidRPr="004D645D">
        <w:rPr>
          <w:rFonts w:ascii="Times New Roman" w:hAnsi="Times New Roman"/>
        </w:rPr>
        <w:t xml:space="preserve"> principal purpose, which need not be the sole or dominant purpose).</w:t>
      </w:r>
      <w:r w:rsidRPr="004D645D">
        <w:rPr>
          <w:rStyle w:val="FootnoteReference"/>
          <w:rFonts w:ascii="Times New Roman" w:hAnsi="Times New Roman"/>
          <w:sz w:val="24"/>
        </w:rPr>
        <w:footnoteReference w:id="92"/>
      </w:r>
      <w:r w:rsidRPr="004D645D">
        <w:rPr>
          <w:rFonts w:ascii="Times New Roman" w:hAnsi="Times New Roman"/>
        </w:rPr>
        <w:t xml:space="preserve"> The "inquiry required by Pt IVA is an objective, not subjective, inquiry".</w:t>
      </w:r>
      <w:r w:rsidRPr="004D645D">
        <w:rPr>
          <w:rStyle w:val="FootnoteReference"/>
          <w:rFonts w:ascii="Times New Roman" w:hAnsi="Times New Roman"/>
          <w:sz w:val="24"/>
        </w:rPr>
        <w:footnoteReference w:id="93"/>
      </w:r>
      <w:r w:rsidRPr="004D645D">
        <w:rPr>
          <w:rFonts w:ascii="Times New Roman" w:hAnsi="Times New Roman"/>
        </w:rPr>
        <w:t xml:space="preserve"> As noted, by s 177J(1) Pt IVA applies to a "scheme, in relation to a tax benefit (the </w:t>
      </w:r>
      <w:r w:rsidRPr="004D645D">
        <w:rPr>
          <w:rFonts w:ascii="Times New Roman" w:hAnsi="Times New Roman"/>
          <w:b/>
          <w:bCs/>
          <w:i/>
          <w:iCs/>
        </w:rPr>
        <w:t>DPT tax benefit</w:t>
      </w:r>
      <w:r w:rsidRPr="004D645D">
        <w:rPr>
          <w:rFonts w:ascii="Times New Roman" w:hAnsi="Times New Roman"/>
        </w:rPr>
        <w:t>) if" certain specified conditions are satisfied. The conditions in dispute are those in s 177J(1)(a) and (b), it being common ground that the specified conditions are otherwise satisfied. Section 177J(1)(a) and (b) provide:</w:t>
      </w:r>
    </w:p>
    <w:p w14:paraId="06AD2054" w14:textId="77777777" w:rsidR="00436125" w:rsidRPr="004D645D" w:rsidRDefault="00436125" w:rsidP="004D645D">
      <w:pPr>
        <w:pStyle w:val="leftright"/>
        <w:spacing w:before="0" w:after="260" w:line="280" w:lineRule="exact"/>
        <w:ind w:right="0"/>
        <w:jc w:val="both"/>
        <w:rPr>
          <w:rFonts w:ascii="Times New Roman" w:hAnsi="Times New Roman"/>
        </w:rPr>
      </w:pPr>
      <w:r w:rsidRPr="004D645D">
        <w:rPr>
          <w:rFonts w:ascii="Times New Roman" w:hAnsi="Times New Roman"/>
        </w:rPr>
        <w:t xml:space="preserve">"This Part also applies to a scheme, in relation to a tax benefit (the </w:t>
      </w:r>
      <w:r w:rsidRPr="004D645D">
        <w:rPr>
          <w:rFonts w:ascii="Times New Roman" w:hAnsi="Times New Roman"/>
          <w:b/>
          <w:i/>
        </w:rPr>
        <w:t>DPT tax benefit</w:t>
      </w:r>
      <w:r w:rsidRPr="004D645D">
        <w:rPr>
          <w:rFonts w:ascii="Times New Roman" w:hAnsi="Times New Roman"/>
        </w:rPr>
        <w:t>) if:</w:t>
      </w:r>
    </w:p>
    <w:p w14:paraId="3ABDEAE4" w14:textId="77777777" w:rsidR="00436125" w:rsidRPr="004D645D" w:rsidRDefault="00436125" w:rsidP="004D645D">
      <w:pPr>
        <w:pStyle w:val="leftright"/>
        <w:spacing w:before="0" w:after="260" w:line="280" w:lineRule="exact"/>
        <w:ind w:left="1440" w:right="0" w:hanging="1440"/>
        <w:jc w:val="both"/>
        <w:rPr>
          <w:rFonts w:ascii="Times New Roman" w:hAnsi="Times New Roman"/>
        </w:rPr>
      </w:pPr>
      <w:r w:rsidRPr="004D645D">
        <w:rPr>
          <w:rFonts w:ascii="Times New Roman" w:hAnsi="Times New Roman"/>
        </w:rPr>
        <w:tab/>
        <w:t xml:space="preserve">(a) </w:t>
      </w:r>
      <w:r w:rsidRPr="004D645D">
        <w:rPr>
          <w:rFonts w:ascii="Times New Roman" w:hAnsi="Times New Roman"/>
        </w:rPr>
        <w:tab/>
        <w:t xml:space="preserve">a taxpayer (a </w:t>
      </w:r>
      <w:r w:rsidRPr="004D645D">
        <w:rPr>
          <w:rFonts w:ascii="Times New Roman" w:hAnsi="Times New Roman"/>
          <w:b/>
          <w:i/>
        </w:rPr>
        <w:t>relevant taxpayer</w:t>
      </w:r>
      <w:r w:rsidRPr="004D645D">
        <w:rPr>
          <w:rFonts w:ascii="Times New Roman" w:hAnsi="Times New Roman"/>
        </w:rPr>
        <w:t>) has obtained, or would but for section 177F obtain, the DPT tax benefit in connection with the scheme, in a year of income; and</w:t>
      </w:r>
    </w:p>
    <w:p w14:paraId="22E90565" w14:textId="77777777" w:rsidR="00436125" w:rsidRPr="004D645D" w:rsidRDefault="00436125" w:rsidP="004D645D">
      <w:pPr>
        <w:pStyle w:val="leftright"/>
        <w:spacing w:before="0" w:after="260" w:line="280" w:lineRule="exact"/>
        <w:ind w:left="1440" w:right="0" w:hanging="720"/>
        <w:jc w:val="both"/>
        <w:rPr>
          <w:rFonts w:ascii="Times New Roman" w:hAnsi="Times New Roman"/>
        </w:rPr>
      </w:pPr>
      <w:r w:rsidRPr="004D645D">
        <w:rPr>
          <w:rFonts w:ascii="Times New Roman" w:hAnsi="Times New Roman"/>
        </w:rPr>
        <w:t xml:space="preserve">(b) </w:t>
      </w:r>
      <w:r w:rsidRPr="004D645D">
        <w:rPr>
          <w:rFonts w:ascii="Times New Roman" w:hAnsi="Times New Roman"/>
        </w:rPr>
        <w:tab/>
        <w:t xml:space="preserve">it would be concluded (having regard to the matters in subsection (2)) that the person, or one of the persons, who entered into or carried </w:t>
      </w:r>
      <w:r w:rsidRPr="004D645D">
        <w:rPr>
          <w:rFonts w:ascii="Times New Roman" w:hAnsi="Times New Roman"/>
        </w:rPr>
        <w:lastRenderedPageBreak/>
        <w:t>out the scheme or any part of the scheme did so for a principal purpose of, or for more than one principal purpose that includes a purpose of:</w:t>
      </w:r>
    </w:p>
    <w:p w14:paraId="6080C1FD" w14:textId="77777777" w:rsidR="00436125" w:rsidRPr="004D645D" w:rsidRDefault="00436125" w:rsidP="004D645D">
      <w:pPr>
        <w:pStyle w:val="leftright"/>
        <w:spacing w:before="0" w:after="260" w:line="280" w:lineRule="exact"/>
        <w:ind w:left="2160" w:right="0" w:hanging="1440"/>
        <w:jc w:val="both"/>
        <w:rPr>
          <w:rFonts w:ascii="Times New Roman" w:hAnsi="Times New Roman"/>
        </w:rPr>
      </w:pPr>
      <w:r w:rsidRPr="004D645D">
        <w:rPr>
          <w:rFonts w:ascii="Times New Roman" w:hAnsi="Times New Roman"/>
        </w:rPr>
        <w:tab/>
        <w:t xml:space="preserve">(i) </w:t>
      </w:r>
      <w:r w:rsidRPr="004D645D">
        <w:rPr>
          <w:rFonts w:ascii="Times New Roman" w:hAnsi="Times New Roman"/>
        </w:rPr>
        <w:tab/>
        <w:t>enabling the relevant taxpayer to obtain a tax benefit, or both to obtain a tax benefit and to reduce one or more of the relevant taxpayer's liabilities to tax under a foreign law, in connection with the scheme; or</w:t>
      </w:r>
    </w:p>
    <w:p w14:paraId="469EFFFF" w14:textId="77777777" w:rsidR="00436125" w:rsidRPr="004D645D" w:rsidRDefault="00436125" w:rsidP="004D645D">
      <w:pPr>
        <w:pStyle w:val="leftright"/>
        <w:spacing w:before="0" w:after="260" w:line="280" w:lineRule="exact"/>
        <w:ind w:left="2160" w:right="0" w:hanging="1440"/>
        <w:jc w:val="both"/>
        <w:rPr>
          <w:rFonts w:ascii="Times New Roman" w:hAnsi="Times New Roman"/>
        </w:rPr>
      </w:pPr>
      <w:r w:rsidRPr="004D645D">
        <w:rPr>
          <w:rFonts w:ascii="Times New Roman" w:hAnsi="Times New Roman"/>
        </w:rPr>
        <w:tab/>
        <w:t xml:space="preserve">(ii) </w:t>
      </w:r>
      <w:r w:rsidRPr="004D645D">
        <w:rPr>
          <w:rFonts w:ascii="Times New Roman" w:hAnsi="Times New Roman"/>
        </w:rPr>
        <w:tab/>
        <w:t>enabling the relevant taxpayer and another taxpayer (or other taxpayers) each to obtain a tax benefit, or both to obtain a tax benefit and to reduce one or more of their liabilities to tax under a foreign law, in connection with the scheme;</w:t>
      </w:r>
    </w:p>
    <w:p w14:paraId="5CCFA17E" w14:textId="77777777" w:rsidR="00436125" w:rsidRPr="004D645D" w:rsidRDefault="00436125" w:rsidP="004D645D">
      <w:pPr>
        <w:pStyle w:val="leftright"/>
        <w:spacing w:before="0" w:after="260" w:line="280" w:lineRule="exact"/>
        <w:ind w:left="1440" w:right="0"/>
        <w:jc w:val="both"/>
        <w:rPr>
          <w:rFonts w:ascii="Times New Roman" w:hAnsi="Times New Roman"/>
        </w:rPr>
      </w:pPr>
      <w:r w:rsidRPr="004D645D">
        <w:rPr>
          <w:rFonts w:ascii="Times New Roman" w:hAnsi="Times New Roman"/>
        </w:rPr>
        <w:t>whether or not that person who entered into or carried out the scheme or any part of the scheme is the relevant taxpayer or is the other taxpayer or one of the other taxpayers; and</w:t>
      </w:r>
    </w:p>
    <w:p w14:paraId="2EF91154" w14:textId="77777777" w:rsidR="004D645D" w:rsidRDefault="00436125" w:rsidP="004D645D">
      <w:pPr>
        <w:pStyle w:val="leftright"/>
        <w:spacing w:before="0" w:after="260" w:line="280" w:lineRule="exact"/>
        <w:ind w:right="0"/>
        <w:jc w:val="both"/>
        <w:rPr>
          <w:rFonts w:ascii="Times New Roman" w:hAnsi="Times New Roman"/>
        </w:rPr>
      </w:pPr>
      <w:r w:rsidRPr="004D645D">
        <w:rPr>
          <w:rFonts w:ascii="Times New Roman" w:hAnsi="Times New Roman"/>
        </w:rPr>
        <w:t>...".</w:t>
      </w:r>
    </w:p>
    <w:p w14:paraId="7875DC51" w14:textId="3C2D3FE5"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Section 177F(1), referred to in s 177J(1)(a), provides that, where Pt IVA applies to a scheme in connection with which a tax benefit has been obtained, or would but for s 177F be obtained, the Commissioner, relevantly, may</w:t>
      </w:r>
      <w:r w:rsidRPr="004D645D" w:rsidDel="004D69CC">
        <w:rPr>
          <w:rFonts w:ascii="Times New Roman" w:hAnsi="Times New Roman"/>
        </w:rPr>
        <w:t xml:space="preserve"> </w:t>
      </w:r>
      <w:r w:rsidRPr="004D645D">
        <w:rPr>
          <w:rFonts w:ascii="Times New Roman" w:hAnsi="Times New Roman"/>
        </w:rPr>
        <w:t>"(a) in the case of a tax benefit that is referable to an amount not being included in the assessable income of the taxpayer of a year of income – determine that the whole or a part of that amount shall be included in the assessable income of the taxpayer of that year of income".</w:t>
      </w:r>
    </w:p>
    <w:p w14:paraId="5C9202BD"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"[S]ubsection (2)", referred to in s 177J(1)(b), is s 177J(2). Section 177J(2) provides that:</w:t>
      </w:r>
    </w:p>
    <w:p w14:paraId="687FFB7A" w14:textId="77777777" w:rsidR="00436125" w:rsidRPr="004D645D" w:rsidRDefault="00436125" w:rsidP="004D645D">
      <w:pPr>
        <w:pStyle w:val="leftright"/>
        <w:spacing w:before="0" w:after="260" w:line="280" w:lineRule="exact"/>
        <w:ind w:right="0"/>
        <w:jc w:val="both"/>
        <w:rPr>
          <w:rFonts w:ascii="Times New Roman" w:hAnsi="Times New Roman"/>
        </w:rPr>
      </w:pPr>
      <w:r w:rsidRPr="004D645D">
        <w:rPr>
          <w:rFonts w:ascii="Times New Roman" w:hAnsi="Times New Roman"/>
        </w:rPr>
        <w:t>"For the purposes of paragraph (1)(b), have regard to the following matters:</w:t>
      </w:r>
    </w:p>
    <w:p w14:paraId="10DF69F7" w14:textId="77777777" w:rsidR="00436125" w:rsidRPr="004D645D" w:rsidRDefault="00436125" w:rsidP="004D645D">
      <w:pPr>
        <w:pStyle w:val="leftright"/>
        <w:spacing w:before="0" w:after="260" w:line="280" w:lineRule="exact"/>
        <w:ind w:right="0"/>
        <w:jc w:val="both"/>
        <w:rPr>
          <w:rFonts w:ascii="Times New Roman" w:hAnsi="Times New Roman"/>
        </w:rPr>
      </w:pPr>
      <w:r w:rsidRPr="004D645D">
        <w:rPr>
          <w:rFonts w:ascii="Times New Roman" w:hAnsi="Times New Roman"/>
        </w:rPr>
        <w:t xml:space="preserve">(a) </w:t>
      </w:r>
      <w:r w:rsidRPr="004D645D">
        <w:rPr>
          <w:rFonts w:ascii="Times New Roman" w:hAnsi="Times New Roman"/>
        </w:rPr>
        <w:tab/>
        <w:t>the matters in subsection 177D(2);</w:t>
      </w:r>
    </w:p>
    <w:p w14:paraId="65F0D8C2" w14:textId="77777777" w:rsidR="00436125" w:rsidRPr="004D645D" w:rsidRDefault="00436125" w:rsidP="004D645D">
      <w:pPr>
        <w:pStyle w:val="leftright"/>
        <w:spacing w:before="0" w:after="260" w:line="280" w:lineRule="exact"/>
        <w:ind w:left="1440" w:right="0" w:hanging="720"/>
        <w:jc w:val="both"/>
        <w:rPr>
          <w:rFonts w:ascii="Times New Roman" w:hAnsi="Times New Roman"/>
        </w:rPr>
      </w:pPr>
      <w:r w:rsidRPr="004D645D">
        <w:rPr>
          <w:rFonts w:ascii="Times New Roman" w:hAnsi="Times New Roman"/>
        </w:rPr>
        <w:t xml:space="preserve">(b) </w:t>
      </w:r>
      <w:r w:rsidRPr="004D645D">
        <w:rPr>
          <w:rFonts w:ascii="Times New Roman" w:hAnsi="Times New Roman"/>
        </w:rPr>
        <w:tab/>
        <w:t>without limiting subsection 177D(2), the extent to which non-tax financial benefits that are quantifiable have resulted, will result, or may reasonably be expected to result, from the scheme;</w:t>
      </w:r>
    </w:p>
    <w:p w14:paraId="63B874DF" w14:textId="77777777" w:rsidR="00436125" w:rsidRPr="004D645D" w:rsidRDefault="00436125" w:rsidP="004D645D">
      <w:pPr>
        <w:pStyle w:val="leftright"/>
        <w:spacing w:before="0" w:after="260" w:line="280" w:lineRule="exact"/>
        <w:ind w:left="1440" w:right="0" w:hanging="720"/>
        <w:jc w:val="both"/>
        <w:rPr>
          <w:rFonts w:ascii="Times New Roman" w:hAnsi="Times New Roman"/>
        </w:rPr>
      </w:pPr>
      <w:r w:rsidRPr="004D645D">
        <w:rPr>
          <w:rFonts w:ascii="Times New Roman" w:hAnsi="Times New Roman"/>
        </w:rPr>
        <w:t xml:space="preserve">(c) </w:t>
      </w:r>
      <w:r w:rsidRPr="004D645D">
        <w:rPr>
          <w:rFonts w:ascii="Times New Roman" w:hAnsi="Times New Roman"/>
        </w:rPr>
        <w:tab/>
        <w:t>the result, in relation to the operation of any foreign law relating to taxation, that (but for this Part) would be achieved by the scheme;</w:t>
      </w:r>
    </w:p>
    <w:p w14:paraId="6F44EDD2" w14:textId="77777777" w:rsidR="004D645D" w:rsidRDefault="00436125" w:rsidP="004D645D">
      <w:pPr>
        <w:pStyle w:val="leftright"/>
        <w:spacing w:before="0" w:after="260" w:line="280" w:lineRule="exact"/>
        <w:ind w:left="1440" w:right="0" w:hanging="720"/>
        <w:jc w:val="both"/>
        <w:rPr>
          <w:rFonts w:ascii="Times New Roman" w:hAnsi="Times New Roman"/>
        </w:rPr>
      </w:pPr>
      <w:r w:rsidRPr="004D645D">
        <w:rPr>
          <w:rFonts w:ascii="Times New Roman" w:hAnsi="Times New Roman"/>
        </w:rPr>
        <w:t xml:space="preserve">(d) </w:t>
      </w:r>
      <w:r w:rsidRPr="004D645D">
        <w:rPr>
          <w:rFonts w:ascii="Times New Roman" w:hAnsi="Times New Roman"/>
        </w:rPr>
        <w:tab/>
        <w:t>the amount of the tax benefit mentioned in paragraph (1)(b)."</w:t>
      </w:r>
    </w:p>
    <w:p w14:paraId="2ACAB5FF" w14:textId="433F524B" w:rsidR="00436125" w:rsidRPr="004D645D" w:rsidRDefault="00436125" w:rsidP="008E7710">
      <w:pPr>
        <w:pStyle w:val="FixListStyle"/>
        <w:keepNext/>
        <w:spacing w:after="260" w:line="280" w:lineRule="exact"/>
        <w:ind w:right="0"/>
        <w:jc w:val="both"/>
        <w:rPr>
          <w:rFonts w:ascii="Times New Roman" w:hAnsi="Times New Roman"/>
        </w:rPr>
      </w:pPr>
      <w:r w:rsidRPr="004D645D">
        <w:rPr>
          <w:rFonts w:ascii="Times New Roman" w:hAnsi="Times New Roman"/>
        </w:rPr>
        <w:lastRenderedPageBreak/>
        <w:tab/>
        <w:t>Section 177D(2), referred to in s 177J(2)(a), specifies the following matters:</w:t>
      </w:r>
    </w:p>
    <w:p w14:paraId="3DB4B860" w14:textId="77777777" w:rsidR="00436125" w:rsidRPr="004D645D" w:rsidRDefault="00436125" w:rsidP="004D645D">
      <w:pPr>
        <w:pStyle w:val="leftright"/>
        <w:spacing w:before="0" w:after="260" w:line="280" w:lineRule="exact"/>
        <w:ind w:left="1440" w:right="0" w:hanging="720"/>
        <w:jc w:val="both"/>
        <w:rPr>
          <w:rFonts w:ascii="Times New Roman" w:hAnsi="Times New Roman"/>
        </w:rPr>
      </w:pPr>
      <w:r w:rsidRPr="004D645D">
        <w:rPr>
          <w:rFonts w:ascii="Times New Roman" w:hAnsi="Times New Roman"/>
        </w:rPr>
        <w:t>"(a)</w:t>
      </w:r>
      <w:r w:rsidRPr="004D645D">
        <w:rPr>
          <w:rFonts w:ascii="Times New Roman" w:hAnsi="Times New Roman"/>
        </w:rPr>
        <w:tab/>
        <w:t>the manner in which the scheme was entered into or carried out;</w:t>
      </w:r>
    </w:p>
    <w:p w14:paraId="59121251" w14:textId="77777777" w:rsidR="00436125" w:rsidRPr="004D645D" w:rsidRDefault="00436125" w:rsidP="004D645D">
      <w:pPr>
        <w:pStyle w:val="leftright"/>
        <w:spacing w:before="0" w:after="260" w:line="280" w:lineRule="exact"/>
        <w:ind w:right="0"/>
        <w:jc w:val="both"/>
        <w:rPr>
          <w:rFonts w:ascii="Times New Roman" w:hAnsi="Times New Roman"/>
        </w:rPr>
      </w:pPr>
      <w:r w:rsidRPr="004D645D">
        <w:rPr>
          <w:rFonts w:ascii="Times New Roman" w:hAnsi="Times New Roman"/>
        </w:rPr>
        <w:t>(b)</w:t>
      </w:r>
      <w:r w:rsidRPr="004D645D">
        <w:rPr>
          <w:rFonts w:ascii="Times New Roman" w:hAnsi="Times New Roman"/>
        </w:rPr>
        <w:tab/>
        <w:t>the form and substance of the scheme;</w:t>
      </w:r>
    </w:p>
    <w:p w14:paraId="2555864B" w14:textId="77777777" w:rsidR="00436125" w:rsidRPr="004D645D" w:rsidRDefault="00436125" w:rsidP="004D645D">
      <w:pPr>
        <w:pStyle w:val="leftright"/>
        <w:spacing w:before="0" w:after="260" w:line="280" w:lineRule="exact"/>
        <w:ind w:left="1440" w:right="0" w:hanging="720"/>
        <w:jc w:val="both"/>
        <w:rPr>
          <w:rFonts w:ascii="Times New Roman" w:hAnsi="Times New Roman"/>
        </w:rPr>
      </w:pPr>
      <w:r w:rsidRPr="004D645D">
        <w:rPr>
          <w:rFonts w:ascii="Times New Roman" w:hAnsi="Times New Roman"/>
        </w:rPr>
        <w:t>(c)</w:t>
      </w:r>
      <w:r w:rsidRPr="004D645D">
        <w:rPr>
          <w:rFonts w:ascii="Times New Roman" w:hAnsi="Times New Roman"/>
        </w:rPr>
        <w:tab/>
        <w:t>the time at which the scheme was entered into and the length of the period during which the scheme was carried out;</w:t>
      </w:r>
    </w:p>
    <w:p w14:paraId="5D0DAF0E" w14:textId="77777777" w:rsidR="00436125" w:rsidRPr="004D645D" w:rsidRDefault="00436125" w:rsidP="004D645D">
      <w:pPr>
        <w:pStyle w:val="leftright"/>
        <w:spacing w:before="0" w:after="260" w:line="280" w:lineRule="exact"/>
        <w:ind w:left="1440" w:right="0" w:hanging="720"/>
        <w:jc w:val="both"/>
        <w:rPr>
          <w:rFonts w:ascii="Times New Roman" w:hAnsi="Times New Roman"/>
        </w:rPr>
      </w:pPr>
      <w:r w:rsidRPr="004D645D">
        <w:rPr>
          <w:rFonts w:ascii="Times New Roman" w:hAnsi="Times New Roman"/>
        </w:rPr>
        <w:t>(d)</w:t>
      </w:r>
      <w:r w:rsidRPr="004D645D">
        <w:rPr>
          <w:rFonts w:ascii="Times New Roman" w:hAnsi="Times New Roman"/>
        </w:rPr>
        <w:tab/>
        <w:t>the result in relation to the operation of this Act that, but for this Part, would be achieved by the scheme;</w:t>
      </w:r>
    </w:p>
    <w:p w14:paraId="710194AF" w14:textId="77777777" w:rsidR="00436125" w:rsidRPr="004D645D" w:rsidRDefault="00436125" w:rsidP="004D645D">
      <w:pPr>
        <w:pStyle w:val="leftright"/>
        <w:spacing w:before="0" w:after="260" w:line="280" w:lineRule="exact"/>
        <w:ind w:left="1440" w:right="0" w:hanging="720"/>
        <w:jc w:val="both"/>
        <w:rPr>
          <w:rFonts w:ascii="Times New Roman" w:hAnsi="Times New Roman"/>
        </w:rPr>
      </w:pPr>
      <w:r w:rsidRPr="004D645D">
        <w:rPr>
          <w:rFonts w:ascii="Times New Roman" w:hAnsi="Times New Roman"/>
        </w:rPr>
        <w:t xml:space="preserve">(e) </w:t>
      </w:r>
      <w:r w:rsidRPr="004D645D">
        <w:rPr>
          <w:rFonts w:ascii="Times New Roman" w:hAnsi="Times New Roman"/>
        </w:rPr>
        <w:tab/>
        <w:t>any change in the financial position of the relevant taxpayer that has resulted, will result, or may reasonably be expected to result, from the scheme;</w:t>
      </w:r>
    </w:p>
    <w:p w14:paraId="64B1ED4A" w14:textId="77777777" w:rsidR="00436125" w:rsidRPr="004D645D" w:rsidRDefault="00436125" w:rsidP="004D645D">
      <w:pPr>
        <w:pStyle w:val="leftright"/>
        <w:spacing w:before="0" w:after="260" w:line="280" w:lineRule="exact"/>
        <w:ind w:left="1440" w:right="0" w:hanging="720"/>
        <w:jc w:val="both"/>
        <w:rPr>
          <w:rFonts w:ascii="Times New Roman" w:hAnsi="Times New Roman"/>
        </w:rPr>
      </w:pPr>
      <w:r w:rsidRPr="004D645D">
        <w:rPr>
          <w:rFonts w:ascii="Times New Roman" w:hAnsi="Times New Roman"/>
        </w:rPr>
        <w:t xml:space="preserve">(f) </w:t>
      </w:r>
      <w:r w:rsidRPr="004D645D">
        <w:rPr>
          <w:rFonts w:ascii="Times New Roman" w:hAnsi="Times New Roman"/>
        </w:rPr>
        <w:tab/>
        <w:t>any change in the financial position of any person who has, or has had, any connection (whether of a business, family or other nature) with the relevant taxpayer, being a change that has resulted, will result or may reasonably be expected to result, from the scheme;</w:t>
      </w:r>
    </w:p>
    <w:p w14:paraId="18E9297E" w14:textId="77777777" w:rsidR="00436125" w:rsidRPr="004D645D" w:rsidRDefault="00436125" w:rsidP="004D645D">
      <w:pPr>
        <w:pStyle w:val="leftright"/>
        <w:spacing w:before="0" w:after="260" w:line="280" w:lineRule="exact"/>
        <w:ind w:left="1440" w:right="0" w:hanging="720"/>
        <w:jc w:val="both"/>
        <w:rPr>
          <w:rFonts w:ascii="Times New Roman" w:hAnsi="Times New Roman"/>
        </w:rPr>
      </w:pPr>
      <w:r w:rsidRPr="004D645D">
        <w:rPr>
          <w:rFonts w:ascii="Times New Roman" w:hAnsi="Times New Roman"/>
        </w:rPr>
        <w:t xml:space="preserve">(g) </w:t>
      </w:r>
      <w:r w:rsidRPr="004D645D">
        <w:rPr>
          <w:rFonts w:ascii="Times New Roman" w:hAnsi="Times New Roman"/>
        </w:rPr>
        <w:tab/>
        <w:t>any other consequence for the relevant taxpayer, or for any person referred to in paragraph (f), of the scheme having been entered into or carried out;</w:t>
      </w:r>
    </w:p>
    <w:p w14:paraId="34A47DA7" w14:textId="77777777" w:rsidR="004D645D" w:rsidRDefault="00436125" w:rsidP="004D645D">
      <w:pPr>
        <w:pStyle w:val="leftright"/>
        <w:spacing w:before="0" w:after="260" w:line="280" w:lineRule="exact"/>
        <w:ind w:left="1440" w:right="0" w:hanging="720"/>
        <w:jc w:val="both"/>
        <w:rPr>
          <w:rFonts w:ascii="Times New Roman" w:hAnsi="Times New Roman"/>
        </w:rPr>
      </w:pPr>
      <w:r w:rsidRPr="004D645D">
        <w:rPr>
          <w:rFonts w:ascii="Times New Roman" w:hAnsi="Times New Roman"/>
        </w:rPr>
        <w:t xml:space="preserve">(h) </w:t>
      </w:r>
      <w:r w:rsidRPr="004D645D">
        <w:rPr>
          <w:rFonts w:ascii="Times New Roman" w:hAnsi="Times New Roman"/>
        </w:rPr>
        <w:tab/>
        <w:t>the nature of any connection (whether of a business, family or other nature) between the relevant taxpayer and any person referred to in paragraph (f)."</w:t>
      </w:r>
    </w:p>
    <w:p w14:paraId="0832CA31" w14:textId="1C48EC78"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By s 177N, if Pt IVA applies to a scheme because of s 177J then (a) s 177P applies to the relevant taxpayer; and (b) the Commissioner cannot make a determination under, relevantly, s 177F(1). By s 177P(1), however, the relevant taxpayer is liable to pay tax at the rate declared by the Parliament on the DPT tax benefit as specified. Further, as the Full Court majority explained, the applicable DPT provisions are concerned with "the amount upon which the taxpayer might reasonably be supposed to have been liable to pay royalty withholding tax but for the scheme", so that the "amount referred to in s 177C(1)(bc) and brought to tax under ss 177P(1) and (2)(a) is therefore the amount of the royalty which did not come into existence because of the scheme. It is not the amount of royalty withholding tax that would have been due on that royalty."</w:t>
      </w:r>
      <w:r w:rsidRPr="004D645D">
        <w:rPr>
          <w:rStyle w:val="FootnoteReference"/>
          <w:rFonts w:ascii="Times New Roman" w:hAnsi="Times New Roman"/>
          <w:sz w:val="24"/>
        </w:rPr>
        <w:footnoteReference w:id="94"/>
      </w:r>
    </w:p>
    <w:p w14:paraId="1F836230"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lastRenderedPageBreak/>
        <w:tab/>
        <w:t>Again, as the onus is on the taxpayer to prove that the assessments are excessive, PepsiCo and SVC must prove the lack of the requisite principal purpose specified in s 177J(1)(b).</w:t>
      </w:r>
    </w:p>
    <w:p w14:paraId="0E5AA19C" w14:textId="77777777" w:rsidR="00436125" w:rsidRPr="004D645D" w:rsidRDefault="00436125" w:rsidP="004D645D">
      <w:pPr>
        <w:pStyle w:val="HeadingL3"/>
        <w:spacing w:after="260" w:line="280" w:lineRule="exact"/>
        <w:ind w:right="0"/>
        <w:jc w:val="both"/>
        <w:rPr>
          <w:rFonts w:ascii="Times New Roman" w:hAnsi="Times New Roman"/>
        </w:rPr>
      </w:pPr>
      <w:r w:rsidRPr="004D645D">
        <w:rPr>
          <w:rFonts w:ascii="Times New Roman" w:hAnsi="Times New Roman"/>
        </w:rPr>
        <w:t>The "schemes" and the Commissioner's alternative postulates</w:t>
      </w:r>
    </w:p>
    <w:p w14:paraId="45F68CCD" w14:textId="511D8AEF"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 xml:space="preserve">The "scheme" in each case is the entry into the EBA, which, in this aspect of the case, is to be understood as an agreement under which each of PepsiCo and SVC granted to SAPL an exclusive licence to use intellectual property rights of substantial value without requiring payment of a royalty for the licence. The Commissioner proposed that PepsiCo and SVC each obtained a tax benefit in connection with a scheme by the EBAs in that they were thereby not liable to pay royalty withholding tax on an amount each might reasonably be expected to have been liable to pay on the amount if the respective schemes had not been entered into or carried out (s 177C(1)(bc)). </w:t>
      </w:r>
    </w:p>
    <w:p w14:paraId="1E8477FB"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Under s 177CB(3) the Commissioner proposed two postulates as reasonable alternatives to the entering into or carrying out of these schemes to support the Commissioner's contention that a tax effect might reasonably be expected to have occurred if the schemes had not been entered into or carried out. These postulates (shorn of the irrelevant "would have" component to which s 177CB(2), not s 177CB(3), would apply) are: (a) the relevant EBA might reasonably be expected to have expressed the payments to be made by SAPL to be for all of the property provided by (and promises made by) the PepsiCo Group entities (rather than for concentrate only); or (b) the relevant EBA might reasonably be expected to have expressly provided for the payments to be made by SAPL to include a royalty for the use of, or the right to use, the relevant trade marks and other intellectual property (whether or not the amount of the royalty was specified).</w:t>
      </w:r>
      <w:r w:rsidRPr="004D645D">
        <w:rPr>
          <w:rStyle w:val="FootnoteReference"/>
          <w:rFonts w:ascii="Times New Roman" w:hAnsi="Times New Roman"/>
          <w:sz w:val="24"/>
        </w:rPr>
        <w:footnoteReference w:id="95"/>
      </w:r>
    </w:p>
    <w:p w14:paraId="5AFB940D"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 xml:space="preserve">The Explanatory Memorandum to the </w:t>
      </w:r>
      <w:r w:rsidRPr="004D645D">
        <w:rPr>
          <w:rFonts w:ascii="Times New Roman" w:hAnsi="Times New Roman"/>
          <w:i/>
          <w:iCs/>
        </w:rPr>
        <w:t>Treasury Laws Amendment (Combating Multinational Tax Avoidance) Bill 2017</w:t>
      </w:r>
      <w:r w:rsidRPr="004D645D">
        <w:rPr>
          <w:rFonts w:ascii="Times New Roman" w:hAnsi="Times New Roman"/>
        </w:rPr>
        <w:t xml:space="preserve"> (Cth), which inserted s 177J(1), said in respect of the requisite principal purpose that:</w:t>
      </w:r>
      <w:r w:rsidRPr="004D645D">
        <w:rPr>
          <w:rStyle w:val="FootnoteReference"/>
          <w:rFonts w:ascii="Times New Roman" w:hAnsi="Times New Roman"/>
          <w:sz w:val="24"/>
        </w:rPr>
        <w:footnoteReference w:id="96"/>
      </w:r>
    </w:p>
    <w:p w14:paraId="006B9596" w14:textId="77777777" w:rsidR="00436125" w:rsidRPr="004D645D" w:rsidRDefault="00436125" w:rsidP="004D645D">
      <w:pPr>
        <w:pStyle w:val="leftright"/>
        <w:spacing w:before="0" w:after="260" w:line="280" w:lineRule="exact"/>
        <w:ind w:right="0"/>
        <w:jc w:val="both"/>
        <w:rPr>
          <w:rFonts w:ascii="Times New Roman" w:hAnsi="Times New Roman"/>
        </w:rPr>
      </w:pPr>
      <w:r w:rsidRPr="004D645D">
        <w:rPr>
          <w:rFonts w:ascii="Times New Roman" w:hAnsi="Times New Roman"/>
        </w:rPr>
        <w:tab/>
        <w:t xml:space="preserve">"The 'principal purpose or more than one principal purpose' threshold is lower than the 'sole or dominant purpose threshold', which is used in subsection 177D(1) of the ITAA 1936. Consistent with the </w:t>
      </w:r>
      <w:r w:rsidRPr="004D645D">
        <w:rPr>
          <w:rFonts w:ascii="Times New Roman" w:hAnsi="Times New Roman"/>
        </w:rPr>
        <w:lastRenderedPageBreak/>
        <w:t>multinational anti-avoidance law, the relevant principal purpose need not be the sole or dominant purpose of a person or persons who entered into or carried out the scheme, but must be one of the main purposes, having regard to all the facts and circumstances.</w:t>
      </w:r>
    </w:p>
    <w:p w14:paraId="1B544350" w14:textId="77777777" w:rsidR="004D645D" w:rsidRDefault="00436125" w:rsidP="004D645D">
      <w:pPr>
        <w:pStyle w:val="leftright"/>
        <w:spacing w:before="0" w:after="260" w:line="280" w:lineRule="exact"/>
        <w:ind w:right="0"/>
        <w:jc w:val="both"/>
        <w:rPr>
          <w:rFonts w:ascii="Times New Roman" w:hAnsi="Times New Roman"/>
        </w:rPr>
      </w:pPr>
      <w:r w:rsidRPr="004D645D">
        <w:rPr>
          <w:rFonts w:ascii="Times New Roman" w:hAnsi="Times New Roman"/>
        </w:rPr>
        <w:tab/>
        <w:t>This recognises that a scheme or part of a scheme may be entered into or carried out for a number of purposes, some or all of which are principal purposes. The scheme will be caught under section 177J of the ITAA 1936 as long as one of those principal purposes satisfies the tax benefit requirements of the principal purpose test."</w:t>
      </w:r>
    </w:p>
    <w:p w14:paraId="24E09777" w14:textId="53811D77" w:rsidR="00436125" w:rsidRPr="004D645D" w:rsidRDefault="00436125" w:rsidP="004D645D">
      <w:pPr>
        <w:pStyle w:val="HeadingL2"/>
        <w:spacing w:after="260" w:line="280" w:lineRule="exact"/>
        <w:ind w:right="0"/>
        <w:jc w:val="both"/>
        <w:rPr>
          <w:rFonts w:ascii="Times New Roman" w:hAnsi="Times New Roman"/>
        </w:rPr>
      </w:pPr>
      <w:r w:rsidRPr="004D645D">
        <w:rPr>
          <w:rFonts w:ascii="Times New Roman" w:hAnsi="Times New Roman"/>
        </w:rPr>
        <w:t>The reasoning in the Courts below</w:t>
      </w:r>
    </w:p>
    <w:p w14:paraId="571F6E32" w14:textId="22B936A6"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Applying, as required, s 177CB(4) of the ITAA, the primary judge accepted the Commissioner's first postulate (each EBA might reasonably be expected to have expressed the payments to be made by SAPL to be for all of the property provided by (and promises made by) the PepsiCo Group entities (rather than for concentrate only)) to be a reasonable alternative to entering into or carrying out the schemes. The primary judge therefore concluded that "each of PepsiCo and SVC obtained a tax benefit in connection with the relevant scheme" as set out in s 177J(1)(a) of the ITAA.</w:t>
      </w:r>
      <w:r w:rsidRPr="004D645D">
        <w:rPr>
          <w:rStyle w:val="FootnoteReference"/>
          <w:rFonts w:ascii="Times New Roman" w:hAnsi="Times New Roman"/>
          <w:sz w:val="24"/>
        </w:rPr>
        <w:footnoteReference w:id="97"/>
      </w:r>
    </w:p>
    <w:p w14:paraId="6BD35651"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The primary judge said further that "it would be concluded that one of the principal purposes of each of PepsiCo and SVC in entering into or carrying out the relevant scheme was to obtain a tax benefit (namely not being liable to pay Australian royalty withholding tax) and to reduce foreign tax (namely, US tax on their income)", observing that "the terms of the EBAs are contrived, in that payments that are ostensibly for concentrate alone are in substance for both concentrate and the licence of valuable intellectual property".</w:t>
      </w:r>
      <w:r w:rsidRPr="004D645D">
        <w:rPr>
          <w:rStyle w:val="FootnoteReference"/>
          <w:rFonts w:ascii="Times New Roman" w:hAnsi="Times New Roman"/>
          <w:sz w:val="24"/>
        </w:rPr>
        <w:footnoteReference w:id="98"/>
      </w:r>
      <w:r w:rsidRPr="004D645D">
        <w:rPr>
          <w:rFonts w:ascii="Times New Roman" w:hAnsi="Times New Roman"/>
        </w:rPr>
        <w:t xml:space="preserve"> On this basis, the primary judge concluded that if the royalty withholding tax provisions did not apply, the DPT provisions would apply.</w:t>
      </w:r>
      <w:r w:rsidRPr="004D645D">
        <w:rPr>
          <w:rStyle w:val="FootnoteReference"/>
          <w:rFonts w:ascii="Times New Roman" w:hAnsi="Times New Roman"/>
          <w:sz w:val="24"/>
        </w:rPr>
        <w:footnoteReference w:id="99"/>
      </w:r>
    </w:p>
    <w:p w14:paraId="25A35FAF"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 xml:space="preserve">As the Full Court majority considered that the schemes represented by the EBAs did not include elements to the effect that "(a) the grant of the licence to use the intellectual property had an economic value from PepsiCo's perspective having regard to all of the terms of the EBA; and (b) the concentrate price included that </w:t>
      </w:r>
      <w:r w:rsidRPr="004D645D">
        <w:rPr>
          <w:rFonts w:ascii="Times New Roman" w:hAnsi="Times New Roman"/>
        </w:rPr>
        <w:lastRenderedPageBreak/>
        <w:t>value",</w:t>
      </w:r>
      <w:r w:rsidRPr="004D645D">
        <w:rPr>
          <w:rStyle w:val="FootnoteReference"/>
          <w:rFonts w:ascii="Times New Roman" w:hAnsi="Times New Roman"/>
          <w:sz w:val="24"/>
        </w:rPr>
        <w:footnoteReference w:id="100"/>
      </w:r>
      <w:r w:rsidRPr="004D645D">
        <w:rPr>
          <w:rFonts w:ascii="Times New Roman" w:hAnsi="Times New Roman"/>
        </w:rPr>
        <w:t xml:space="preserve"> it followed that, by reference to s 177CB(4)(a)(i), the "commercial and economic substance of the scheme[s]" and the Commissioner's two postulates were "quite different" and did "not correspond", which indicated that the postulates were not reasonable alternatives to the schemes.</w:t>
      </w:r>
      <w:r w:rsidRPr="004D645D">
        <w:rPr>
          <w:rStyle w:val="FootnoteReference"/>
          <w:rFonts w:ascii="Times New Roman" w:hAnsi="Times New Roman"/>
          <w:sz w:val="24"/>
        </w:rPr>
        <w:footnoteReference w:id="101"/>
      </w:r>
      <w:r w:rsidRPr="004D645D">
        <w:rPr>
          <w:rFonts w:ascii="Times New Roman" w:hAnsi="Times New Roman"/>
        </w:rPr>
        <w:t xml:space="preserve"> </w:t>
      </w:r>
    </w:p>
    <w:p w14:paraId="079A729A"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The Full Court majority also considered that there were no reasonable alternative postulates because the "only postulates which can bring the payments to tax are ones in which [SAPL's] payments for concentrate can be seen as being made in part for the grant of the [intellectual property] rights" but "no such postulate can be a reasonable alternative given the terms of the scheme[s] and the state of the evidence".</w:t>
      </w:r>
      <w:r w:rsidRPr="004D645D">
        <w:rPr>
          <w:rStyle w:val="FootnoteReference"/>
          <w:rFonts w:ascii="Times New Roman" w:hAnsi="Times New Roman"/>
          <w:sz w:val="24"/>
        </w:rPr>
        <w:footnoteReference w:id="102"/>
      </w:r>
      <w:r w:rsidRPr="004D645D">
        <w:rPr>
          <w:rFonts w:ascii="Times New Roman" w:hAnsi="Times New Roman"/>
        </w:rPr>
        <w:t xml:space="preserve"> From this it followed that it was not the case, as provided for in s 177C(1)(bc), that if the schemes had not been entered into or carried out, the taxpayers might reasonably be expected to have been liable to pay royalty withholding tax on the amounts paid by SAPL for concentrate.</w:t>
      </w:r>
      <w:r w:rsidRPr="004D645D">
        <w:rPr>
          <w:rStyle w:val="FootnoteReference"/>
          <w:rFonts w:ascii="Times New Roman" w:hAnsi="Times New Roman"/>
          <w:sz w:val="24"/>
        </w:rPr>
        <w:footnoteReference w:id="103"/>
      </w:r>
      <w:r w:rsidRPr="004D645D">
        <w:rPr>
          <w:rFonts w:ascii="Times New Roman" w:hAnsi="Times New Roman"/>
        </w:rPr>
        <w:t xml:space="preserve"> That is, there was no tax benefit. On this basis, for the Full Court majority, the requisite principal purpose under s 177J(1)(b)(i) did not exist.</w:t>
      </w:r>
      <w:r w:rsidRPr="004D645D">
        <w:rPr>
          <w:rStyle w:val="FootnoteReference"/>
          <w:rFonts w:ascii="Times New Roman" w:hAnsi="Times New Roman"/>
          <w:sz w:val="24"/>
        </w:rPr>
        <w:footnoteReference w:id="104"/>
      </w:r>
      <w:r w:rsidRPr="004D645D">
        <w:rPr>
          <w:rFonts w:ascii="Times New Roman" w:hAnsi="Times New Roman"/>
        </w:rPr>
        <w:t xml:space="preserve"> Otherwise, the Full Court majority, on what for them would be the "highly artificial" contrary assumption that under the EBAs the price of concentrate included a royalty, "would have concluded that the requisite purpose under s 177J(1)(b)(i) had been established".</w:t>
      </w:r>
      <w:r w:rsidRPr="004D645D">
        <w:rPr>
          <w:rStyle w:val="FootnoteReference"/>
          <w:rFonts w:ascii="Times New Roman" w:hAnsi="Times New Roman"/>
          <w:sz w:val="24"/>
        </w:rPr>
        <w:footnoteReference w:id="105"/>
      </w:r>
    </w:p>
    <w:p w14:paraId="4B2B2FFF"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Colvin J agreed with the Full Court majority that if the amounts to be paid by SAPL under the EBAs did not include a royalty, the requisite principal purpose under s 177J(1)(b)(i) did not exist.</w:t>
      </w:r>
      <w:r w:rsidRPr="004D645D">
        <w:rPr>
          <w:rStyle w:val="FootnoteReference"/>
          <w:rFonts w:ascii="Times New Roman" w:hAnsi="Times New Roman"/>
          <w:sz w:val="24"/>
        </w:rPr>
        <w:footnoteReference w:id="106"/>
      </w:r>
      <w:r w:rsidRPr="004D645D">
        <w:rPr>
          <w:rFonts w:ascii="Times New Roman" w:hAnsi="Times New Roman"/>
        </w:rPr>
        <w:t xml:space="preserve"> If, however, those amounts included a royalty (as Colvin J concluded they did) then, as his Honour put it, "it is the mechanism by which [under the EBAs] the Related Entity [PBS] could be nominated as the Seller (and be the party to whom payment would be made) that means that there is no income in the form of a royalty that may be the subject of a withholding tax </w:t>
      </w:r>
      <w:r w:rsidRPr="004D645D">
        <w:rPr>
          <w:rFonts w:ascii="Times New Roman" w:hAnsi="Times New Roman"/>
        </w:rPr>
        <w:lastRenderedPageBreak/>
        <w:t>liability on the part of PepsiCo or SVC".</w:t>
      </w:r>
      <w:r w:rsidRPr="004D645D">
        <w:rPr>
          <w:rStyle w:val="FootnoteReference"/>
          <w:rFonts w:ascii="Times New Roman" w:hAnsi="Times New Roman"/>
          <w:sz w:val="24"/>
        </w:rPr>
        <w:footnoteReference w:id="107"/>
      </w:r>
      <w:r w:rsidRPr="004D645D">
        <w:rPr>
          <w:rFonts w:ascii="Times New Roman" w:hAnsi="Times New Roman"/>
        </w:rPr>
        <w:t xml:space="preserve"> On that basis, "the EBAs resulted in a tax benefit because, if the EBAs had not been entered into, then a reasonable postulate was that the EBAs would have provided for the royalty to be paid to PepsiCo or SVC (as the case may be) as the holder of the rights to the trade mark[s]".</w:t>
      </w:r>
      <w:r w:rsidRPr="004D645D">
        <w:rPr>
          <w:rStyle w:val="FootnoteReference"/>
          <w:rFonts w:ascii="Times New Roman" w:hAnsi="Times New Roman"/>
          <w:sz w:val="24"/>
        </w:rPr>
        <w:footnoteReference w:id="108"/>
      </w:r>
      <w:r w:rsidRPr="004D645D">
        <w:rPr>
          <w:rFonts w:ascii="Times New Roman" w:hAnsi="Times New Roman"/>
        </w:rPr>
        <w:t xml:space="preserve"> Colvin J observed that this accorded with the Commissioner's second postulate,</w:t>
      </w:r>
      <w:r w:rsidRPr="004D645D">
        <w:rPr>
          <w:rStyle w:val="FootnoteReference"/>
          <w:rFonts w:ascii="Times New Roman" w:hAnsi="Times New Roman"/>
          <w:sz w:val="24"/>
        </w:rPr>
        <w:footnoteReference w:id="109"/>
      </w:r>
      <w:r w:rsidRPr="004D645D">
        <w:rPr>
          <w:rFonts w:ascii="Times New Roman" w:hAnsi="Times New Roman"/>
        </w:rPr>
        <w:t xml:space="preserve"> but it should be accepted that it is a refinement of that postulate. According to Colvin J, as the Full Court majority reasoned, the requisite principal purpose under s 177J(1)(b)(i) should be found to have existed based on this reasonable alternative postulate.</w:t>
      </w:r>
      <w:r w:rsidRPr="004D645D">
        <w:rPr>
          <w:rStyle w:val="FootnoteReference"/>
          <w:rFonts w:ascii="Times New Roman" w:hAnsi="Times New Roman"/>
          <w:sz w:val="24"/>
        </w:rPr>
        <w:footnoteReference w:id="110"/>
      </w:r>
      <w:r w:rsidRPr="004D645D">
        <w:rPr>
          <w:rFonts w:ascii="Times New Roman" w:hAnsi="Times New Roman"/>
        </w:rPr>
        <w:t xml:space="preserve"> </w:t>
      </w:r>
    </w:p>
    <w:p w14:paraId="52DD305D"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 xml:space="preserve">Again, and as will be explained, the reasoning of Colvin J in this regard should be accepted. </w:t>
      </w:r>
    </w:p>
    <w:p w14:paraId="0A953AC0" w14:textId="77777777" w:rsidR="00436125" w:rsidRPr="004D645D" w:rsidRDefault="00436125" w:rsidP="004D645D">
      <w:pPr>
        <w:pStyle w:val="HeadingL2"/>
        <w:spacing w:after="260" w:line="280" w:lineRule="exact"/>
        <w:ind w:right="0"/>
        <w:jc w:val="both"/>
        <w:rPr>
          <w:rFonts w:ascii="Times New Roman" w:hAnsi="Times New Roman"/>
        </w:rPr>
      </w:pPr>
      <w:r w:rsidRPr="004D645D">
        <w:rPr>
          <w:rFonts w:ascii="Times New Roman" w:hAnsi="Times New Roman"/>
        </w:rPr>
        <w:t>Consideration</w:t>
      </w:r>
    </w:p>
    <w:p w14:paraId="19FB9EDC" w14:textId="77777777" w:rsidR="00436125" w:rsidRPr="004D645D" w:rsidRDefault="00436125" w:rsidP="004D645D">
      <w:pPr>
        <w:pStyle w:val="HeadingL3"/>
        <w:spacing w:after="260" w:line="280" w:lineRule="exact"/>
        <w:ind w:right="0"/>
        <w:jc w:val="both"/>
        <w:rPr>
          <w:rFonts w:ascii="Times New Roman" w:hAnsi="Times New Roman"/>
        </w:rPr>
      </w:pPr>
      <w:r w:rsidRPr="004D645D">
        <w:rPr>
          <w:rFonts w:ascii="Times New Roman" w:hAnsi="Times New Roman"/>
        </w:rPr>
        <w:t>Tax benefit</w:t>
      </w:r>
    </w:p>
    <w:p w14:paraId="650A1FDB"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Consistently with the reasoning of Colvin J, on their proper construction and characterisation, the EBAs each provide for a single, integrated and indivisible transaction of which the sale of concentrate by PepsiCo or SVC (as applicable) or their nominated PepsiCo Group member to SAPL forms one inseparable part, from which it follows that the price said to be for the sale of concentrate has within it a component for the transfer of the intellectual property rights (the royalty). Once that is accepted, it also follows that PepsiCo and SVC have not discharged their onus by negativing the reasonable alternative postulate to the schemes that PepsiCo and SVC would be the nominated sellers under the EBAs in circumstances where, as discussed, the price payable by reference to units of concentrate to be sold included a royalty for the use of the intellectual property rights granted by PepsiCo and SVC to SAPL under the EBAs. On this reasonable alternative postulate to the schemes under s 177CB(3), PepsiCo and SVC each obtained a tax benefit (s 177C(1)(bc)) as, but for the schemes, each might reasonably be expected to have been liable to pay withholding tax on the amount if the scheme had not been entered into or carried out (s 177C(1)(g)).</w:t>
      </w:r>
    </w:p>
    <w:p w14:paraId="50750EC4"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 xml:space="preserve">Section 177CB(3) (the requirement for a postulate that is a reasonable alternative to entering into or carrying out the scheme) is to be applied having </w:t>
      </w:r>
      <w:r w:rsidRPr="004D645D">
        <w:rPr>
          <w:rFonts w:ascii="Times New Roman" w:hAnsi="Times New Roman"/>
        </w:rPr>
        <w:lastRenderedPageBreak/>
        <w:t>particular regard to the matters in s 177CB(4). This means that the specified matters are to be a centrally relevant consideration in and focal point of the court's decision-making process.</w:t>
      </w:r>
      <w:r w:rsidRPr="004D645D">
        <w:rPr>
          <w:rStyle w:val="FootnoteReference"/>
          <w:rFonts w:ascii="Times New Roman" w:hAnsi="Times New Roman"/>
          <w:sz w:val="24"/>
        </w:rPr>
        <w:footnoteReference w:id="111"/>
      </w:r>
      <w:r w:rsidRPr="004D645D">
        <w:rPr>
          <w:rFonts w:ascii="Times New Roman" w:hAnsi="Times New Roman"/>
        </w:rPr>
        <w:t xml:space="preserve"> The required focus on the "substance of the scheme" (s 177CB(4)(a)(i)) should exclude from the range of potential reasonable alternative postulates hypothesised dealings that conflict with or bear no resemblance to the commercial and economic essence of the scheme. The relevant Explanatory Memorandum, in saying that a reasonable alternative "should </w:t>
      </w:r>
      <w:r w:rsidRPr="004D645D">
        <w:rPr>
          <w:rFonts w:ascii="Times New Roman" w:hAnsi="Times New Roman"/>
          <w:i/>
          <w:iCs/>
        </w:rPr>
        <w:t>correspond</w:t>
      </w:r>
      <w:r w:rsidRPr="004D645D">
        <w:rPr>
          <w:rFonts w:ascii="Times New Roman" w:hAnsi="Times New Roman"/>
        </w:rPr>
        <w:t xml:space="preserve"> to the substance of the scheme",</w:t>
      </w:r>
      <w:r w:rsidRPr="004D645D">
        <w:rPr>
          <w:rStyle w:val="FootnoteReference"/>
          <w:rFonts w:ascii="Times New Roman" w:hAnsi="Times New Roman"/>
          <w:sz w:val="24"/>
        </w:rPr>
        <w:footnoteReference w:id="112"/>
      </w:r>
      <w:r w:rsidRPr="004D645D">
        <w:rPr>
          <w:rFonts w:ascii="Times New Roman" w:hAnsi="Times New Roman"/>
        </w:rPr>
        <w:t xml:space="preserve"> is to be understood as indicating no more than that a reasonable alternative postulate, in its commercial and economic substance or essence, should generally accord with the scheme, in its commercial and economic substance or essence. In the present case, the postulate Colvin J proposed (that, but for the schemes, the EBAs would have provided for the royalty to be paid to PepsiCo or SVC as relevant, being the holders of the rights to the intellectual property) accords with the commercial and economic essence of the schemes. The change is that PepsiCo and SVC would each be the seller at the agreed prices said in the EBAs to be payable for the concentrate in consideration for the sale of concentrate and the grant of the intellectual property licences, a position for which the EBAs each expressly provided. At the least, PepsiCo and SVC did not discharge their onus of proving that this would not be a reasonable alternative postulate, essentially for the same reasons the primary judge gave in accepting the Commissioner's two postulates as reasonable alternatives to the schemes. </w:t>
      </w:r>
    </w:p>
    <w:p w14:paraId="35C458DC"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 xml:space="preserve">The required focus on any result or consequence for the taxpayer that is or would be achieved by the scheme (other than a result in relation to the operation of the ITAA) (s 177CB(4)(a)(ii)) should exclude from the range of potential reasonable alternative postulates hypothesised dealings that are inconsistent with or undermine important non-tax objects of the taxpayer that the scheme achieves. In this case, the focus of PepsiCo and SVC was on the objective of ensuring simplicity in the pricing model for franchising and that the postulates would involve complex discussions and conflict with the simplicity of the franchising model. As the primary judge concluded, however, in circumstances where the onus of proof was on PepsiCo and SVC, the evidence indicated that there "is considerable scope to negotiate the pricing terms and that such terms can have a </w:t>
      </w:r>
      <w:r w:rsidRPr="004D645D">
        <w:rPr>
          <w:rFonts w:ascii="Times New Roman" w:hAnsi="Times New Roman"/>
        </w:rPr>
        <w:lastRenderedPageBreak/>
        <w:t>degree of complexity to them"</w:t>
      </w:r>
      <w:r w:rsidRPr="004D645D">
        <w:rPr>
          <w:rStyle w:val="FootnoteReference"/>
          <w:rFonts w:ascii="Times New Roman" w:hAnsi="Times New Roman"/>
          <w:sz w:val="24"/>
        </w:rPr>
        <w:footnoteReference w:id="113"/>
      </w:r>
      <w:r w:rsidRPr="004D645D">
        <w:rPr>
          <w:rFonts w:ascii="Times New Roman" w:hAnsi="Times New Roman"/>
        </w:rPr>
        <w:t xml:space="preserve"> and that "there is considerable scope for variation in exclusive bottling agreements, including pricing terms, and that the pricing terms can have some complexity".</w:t>
      </w:r>
      <w:r w:rsidRPr="004D645D">
        <w:rPr>
          <w:rStyle w:val="FootnoteReference"/>
          <w:rFonts w:ascii="Times New Roman" w:hAnsi="Times New Roman"/>
          <w:sz w:val="24"/>
        </w:rPr>
        <w:footnoteReference w:id="114"/>
      </w:r>
      <w:r w:rsidRPr="004D645D">
        <w:rPr>
          <w:rFonts w:ascii="Times New Roman" w:hAnsi="Times New Roman"/>
        </w:rPr>
        <w:t xml:space="preserve"> In any event, the price would not change under Colvin J's postulate; only the option for PepsiCo and SVC to nominate another seller within the PepsiCo Group would change.</w:t>
      </w:r>
    </w:p>
    <w:p w14:paraId="4891B9BA" w14:textId="04731A8F"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 xml:space="preserve">Otherwise, and contrary to submissions for PepsiCo and SVC, it is not the case that the Commissioner included as an element of the scheme under each EBA that "no royalty was paid" for the intellectual property. As Colvin J recognised and these reasons confirm, in fact a royalty was paid for the intellectual property, and the price for concentrate SAPL paid to PBS included that royalty to some extent. In any event, it does not follow that, if the scheme included no royalty payment, a reasonable alternative postulate must not include a royalty payment. If that were so, the DPT provisions could never operate. </w:t>
      </w:r>
      <w:r w:rsidRPr="004D645D">
        <w:rPr>
          <w:rFonts w:ascii="Times New Roman" w:hAnsi="Times New Roman"/>
          <w:i/>
          <w:iCs/>
        </w:rPr>
        <w:t>Peabody</w:t>
      </w:r>
      <w:r w:rsidRPr="004D645D">
        <w:rPr>
          <w:rFonts w:ascii="Times New Roman" w:hAnsi="Times New Roman"/>
        </w:rPr>
        <w:t>, in saying that a reasonable alternative postulate must involve a "sufficiently reliable" prediction of what might reasonably be expected to have happened but for the scheme,</w:t>
      </w:r>
      <w:r w:rsidRPr="004D645D">
        <w:rPr>
          <w:rStyle w:val="FootnoteReference"/>
          <w:rFonts w:ascii="Times New Roman" w:hAnsi="Times New Roman"/>
          <w:sz w:val="24"/>
        </w:rPr>
        <w:footnoteReference w:id="115"/>
      </w:r>
      <w:r w:rsidRPr="004D645D">
        <w:rPr>
          <w:rFonts w:ascii="Times New Roman" w:hAnsi="Times New Roman"/>
        </w:rPr>
        <w:t xml:space="preserve"> does not support that sweeping proposition.</w:t>
      </w:r>
    </w:p>
    <w:p w14:paraId="198EEB31"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 xml:space="preserve">Once it is accepted that the payments under the EBAs were to any extent consideration for the intellectual property licences (and subject to the principal purpose requirement being satisfied, as discussed below), the question becomes one of valuation, which was not an issue in these appeals. It may be noted, however, that the primary valuation methods of both valuation experts proceeded on the basis that the payments said to be for the concentrate in the EBAs were, </w:t>
      </w:r>
      <w:r w:rsidRPr="004D645D">
        <w:rPr>
          <w:rFonts w:ascii="Times New Roman" w:hAnsi="Times New Roman"/>
          <w:i/>
          <w:iCs/>
        </w:rPr>
        <w:t>to some extent</w:t>
      </w:r>
      <w:r w:rsidRPr="004D645D">
        <w:rPr>
          <w:rFonts w:ascii="Times New Roman" w:hAnsi="Times New Roman"/>
        </w:rPr>
        <w:t>, consideration for the intellectual property licences.</w:t>
      </w:r>
      <w:r w:rsidRPr="004D645D">
        <w:rPr>
          <w:rStyle w:val="FootnoteReference"/>
          <w:rFonts w:ascii="Times New Roman" w:hAnsi="Times New Roman"/>
          <w:sz w:val="24"/>
        </w:rPr>
        <w:footnoteReference w:id="116"/>
      </w:r>
      <w:r w:rsidRPr="004D645D">
        <w:rPr>
          <w:rFonts w:ascii="Times New Roman" w:hAnsi="Times New Roman"/>
        </w:rPr>
        <w:t xml:space="preserve"> This accords with our reasoning.</w:t>
      </w:r>
    </w:p>
    <w:p w14:paraId="1AE16961" w14:textId="5441579F"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For these reasons, the primary judge was correct to conclude that "each of PepsiCo and SVC obtained a tax benefit in connection with the relevant scheme".</w:t>
      </w:r>
      <w:r w:rsidRPr="004D645D">
        <w:rPr>
          <w:rStyle w:val="FootnoteReference"/>
          <w:rFonts w:ascii="Times New Roman" w:hAnsi="Times New Roman"/>
          <w:sz w:val="24"/>
        </w:rPr>
        <w:footnoteReference w:id="117"/>
      </w:r>
      <w:r w:rsidRPr="004D645D">
        <w:rPr>
          <w:rFonts w:ascii="Times New Roman" w:hAnsi="Times New Roman"/>
        </w:rPr>
        <w:t xml:space="preserve"> Accordingly, it is unnecessary to consider the Commissioner's further submission that the Full Court majority erred in their approach to the onus of proof </w:t>
      </w:r>
      <w:r w:rsidRPr="004D645D">
        <w:rPr>
          <w:rFonts w:ascii="Times New Roman" w:hAnsi="Times New Roman"/>
        </w:rPr>
        <w:lastRenderedPageBreak/>
        <w:t>as it applies to s 177C(1)(bc) of the ITAA by contemplating that a taxpayer may discharge that onus by proving that there is no reasonable alternative to a scheme.</w:t>
      </w:r>
    </w:p>
    <w:p w14:paraId="54947904" w14:textId="77777777" w:rsidR="00436125" w:rsidRPr="004D645D" w:rsidRDefault="00436125" w:rsidP="004D645D">
      <w:pPr>
        <w:pStyle w:val="HeadingL3"/>
        <w:spacing w:after="260" w:line="280" w:lineRule="exact"/>
        <w:ind w:right="0"/>
        <w:jc w:val="both"/>
        <w:rPr>
          <w:rFonts w:ascii="Times New Roman" w:hAnsi="Times New Roman"/>
        </w:rPr>
      </w:pPr>
      <w:r w:rsidRPr="004D645D">
        <w:rPr>
          <w:rFonts w:ascii="Times New Roman" w:hAnsi="Times New Roman"/>
        </w:rPr>
        <w:t>Requisite principal purpose</w:t>
      </w:r>
    </w:p>
    <w:p w14:paraId="5EF372EE"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The requisite principal purpose is of enabling the relevant taxpayer to obtain a tax benefit, or both to obtain a tax benefit and to reduce one or more of the relevant taxpayer's liabilities to tax under a foreign law, in connection with the scheme (s 177J(1)(b)(i)). The question posed by s 177J(1)(b) is: would it be concluded (having regard to the matters in s 177J(2)) that the taxpayer who entered into or carried out the scheme or any part of the scheme did so for a principal purpose of, or for more than one principal purpose that includes, that requisite purpose?</w:t>
      </w:r>
    </w:p>
    <w:p w14:paraId="3C8D048E"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No error is apparent in the reasoning of the primary judge that the considerations in s 177J(2) (which include those specified in s 177D(2)) weigh in favour of the existence of the requisite principal purpose on the part of PepsiCo and SVC. Several considerations the primary judge identified carry substantial weight in reaching that conclusion, particularly when assessed in the context of PepsiCo and SVC being the parties bearing the onus of proof and being the only parties capable of adducing evidence of all circumstances relevant to the statutory question of purpose. In giving little weight to the somewhat vague and over-generalised evidence that PepsiCo and SVC did adduce in that regard, the primary judge was doing no more than giving effect to the orthodox approach that "all evidence is to be weighed according to the proof which it was in the power of one side to have produced, and in the power of the other to have contradicted".</w:t>
      </w:r>
      <w:r w:rsidRPr="004D645D">
        <w:rPr>
          <w:rStyle w:val="FootnoteReference"/>
          <w:rFonts w:ascii="Times New Roman" w:hAnsi="Times New Roman"/>
          <w:sz w:val="24"/>
        </w:rPr>
        <w:footnoteReference w:id="118"/>
      </w:r>
    </w:p>
    <w:p w14:paraId="08F48B3D" w14:textId="2FCA0A42"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First, as the primary judge concluded, there was "no detailed and comprehensive evidence as to why, as at 2009, the PepsiCo Group generally adopted that pricing structure in its exclusive bottling agreements" and it "would not be safe to assume that tax considerations did not have a role to play".</w:t>
      </w:r>
      <w:r w:rsidRPr="004D645D">
        <w:rPr>
          <w:rStyle w:val="FootnoteReference"/>
          <w:rFonts w:ascii="Times New Roman" w:hAnsi="Times New Roman"/>
          <w:sz w:val="24"/>
        </w:rPr>
        <w:footnoteReference w:id="119"/>
      </w:r>
      <w:r w:rsidRPr="004D645D">
        <w:rPr>
          <w:rFonts w:ascii="Times New Roman" w:hAnsi="Times New Roman"/>
        </w:rPr>
        <w:t xml:space="preserve"> It followed that the evidence that the PepsiCo Group franchising model had been in place since the early 1900s and that simplicity of the model was desirable provided only slight support for the contention of PepsiCo and SVC against their principal purpose being that specified in s 177J(1)(b) of the ITAA.</w:t>
      </w:r>
      <w:r w:rsidRPr="004D645D">
        <w:rPr>
          <w:rFonts w:ascii="Times New Roman" w:hAnsi="Times New Roman"/>
          <w:b/>
          <w:sz w:val="24"/>
          <w:vertAlign w:val="superscript"/>
        </w:rPr>
        <w:footnoteReference w:id="120"/>
      </w:r>
      <w:r w:rsidRPr="004D645D">
        <w:rPr>
          <w:rFonts w:ascii="Times New Roman" w:hAnsi="Times New Roman"/>
        </w:rPr>
        <w:t xml:space="preserve"> This remains an effective answer to the submissions for PepsiCo and SVC that the franchising model was instituted at a time when royalty withholding tax could not have been </w:t>
      </w:r>
      <w:r w:rsidRPr="004D645D">
        <w:rPr>
          <w:rFonts w:ascii="Times New Roman" w:hAnsi="Times New Roman"/>
        </w:rPr>
        <w:lastRenderedPageBreak/>
        <w:t>a consideration and that it therefore should be assumed that this has continued to be the case.</w:t>
      </w:r>
    </w:p>
    <w:p w14:paraId="288E59DC"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Second, referring to s 177D(2)(b), the primary judge rightly concluded that there was a disconnect between the form and substance of the EBAs in that in form the payments to be made by SAPL were for the concentrate alone and not for the licence of the trade marks and other intellectual property but, in substance, the payments to be made by SAPL were for both the concentrate and the licence of the trade marks and other intellectual property.</w:t>
      </w:r>
      <w:r w:rsidRPr="004D645D">
        <w:rPr>
          <w:rFonts w:ascii="Times New Roman" w:hAnsi="Times New Roman"/>
          <w:b/>
          <w:sz w:val="24"/>
          <w:vertAlign w:val="superscript"/>
        </w:rPr>
        <w:footnoteReference w:id="121"/>
      </w:r>
      <w:r w:rsidRPr="004D645D">
        <w:rPr>
          <w:rFonts w:ascii="Times New Roman" w:hAnsi="Times New Roman"/>
        </w:rPr>
        <w:t xml:space="preserve"> </w:t>
      </w:r>
    </w:p>
    <w:p w14:paraId="781A1753"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Third, referring to s 177D(2)(e), the primary judge said that while the amount of withholding tax that PepsiCo and SVC did not have to pay is "not large in the context of the total payments under the EBAs", this change in financial position resulting from the schemes "tends to support the Commissioner's position as to requisite purpose".</w:t>
      </w:r>
      <w:r w:rsidRPr="004D645D">
        <w:rPr>
          <w:rFonts w:ascii="Times New Roman" w:hAnsi="Times New Roman"/>
          <w:b/>
          <w:sz w:val="24"/>
          <w:vertAlign w:val="superscript"/>
        </w:rPr>
        <w:footnoteReference w:id="122"/>
      </w:r>
    </w:p>
    <w:p w14:paraId="1BFDB328"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Fourth, referring to s 177J(2)(c), the primary judge considered that, on the evidence, the schemes would have achieved a reduction in US tax for PepsiCo and SVC and that the reduction "would appear to be substantial" for the period prior to 31 December 2017. The primary judge said that this "supports the Commissioner's position as to requisite purpose".</w:t>
      </w:r>
      <w:r w:rsidRPr="004D645D">
        <w:rPr>
          <w:rFonts w:ascii="Times New Roman" w:hAnsi="Times New Roman"/>
          <w:b/>
          <w:sz w:val="24"/>
          <w:vertAlign w:val="superscript"/>
        </w:rPr>
        <w:footnoteReference w:id="123"/>
      </w:r>
    </w:p>
    <w:p w14:paraId="6ECEBD80"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Fifth, referring to s 177J(2)(d), the primary judge accepted that the amount of the tax benefit was not large in the context of the total payments under the EBAs but considered it sufficiently material to support the Commissioner's position as to requisite purpose.</w:t>
      </w:r>
      <w:r w:rsidRPr="004D645D">
        <w:rPr>
          <w:rFonts w:ascii="Times New Roman" w:hAnsi="Times New Roman"/>
          <w:b/>
          <w:sz w:val="24"/>
          <w:vertAlign w:val="superscript"/>
        </w:rPr>
        <w:footnoteReference w:id="124"/>
      </w:r>
    </w:p>
    <w:p w14:paraId="0C48CBA4"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 xml:space="preserve">Sixth, in response to a submission for PepsiCo and SVC as to the fact that the amounts SAPL paid to PBS to purchase concentrate were included in PBS's assessable income in Australia and that, after claiming deductions for the purchase of the concentrate, PBS paid tax in Australia on the margin it earned, the primary judge observed that it needed to be understood that the deductions claimed by PBS for purchase of concentrate from CMSPL represented almost the entirety of the amounts PBS received from SAPL, therefore PBS paid only a small amount of tax </w:t>
      </w:r>
      <w:r w:rsidRPr="004D645D">
        <w:rPr>
          <w:rFonts w:ascii="Times New Roman" w:hAnsi="Times New Roman"/>
        </w:rPr>
        <w:lastRenderedPageBreak/>
        <w:t>and it was likely that CMSPL paid little tax on the payments it received for concentrate from PBS in Singapore, Singapore being a low or no tax jurisdiction.</w:t>
      </w:r>
      <w:r w:rsidRPr="004D645D">
        <w:rPr>
          <w:rFonts w:ascii="Times New Roman" w:hAnsi="Times New Roman"/>
          <w:b/>
          <w:sz w:val="24"/>
          <w:vertAlign w:val="superscript"/>
        </w:rPr>
        <w:footnoteReference w:id="125"/>
      </w:r>
    </w:p>
    <w:p w14:paraId="5FB91B08" w14:textId="768C5196"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Otherwise, it is not a matter of finding the requisite principal purpose to have existed merely because another means of achieving the same or a similar outcome which results in more tax payable can be identified.</w:t>
      </w:r>
      <w:r w:rsidRPr="004D645D">
        <w:rPr>
          <w:rStyle w:val="FootnoteReference"/>
          <w:rFonts w:ascii="Times New Roman" w:hAnsi="Times New Roman"/>
          <w:sz w:val="24"/>
        </w:rPr>
        <w:footnoteReference w:id="126"/>
      </w:r>
      <w:r w:rsidRPr="004D645D">
        <w:rPr>
          <w:rFonts w:ascii="Times New Roman" w:hAnsi="Times New Roman"/>
        </w:rPr>
        <w:t xml:space="preserve"> To the extent PepsiCo's and SVC's notices of contention so asserted, the assertion is unsustainable. It is the commercial and economic substance of the schemes, in which the parties to the EBAs have executed an indivisible transaction involving interlocking promises including the sale of concentrate and the grant of the intellectual property licences along with other promises of value, which drives the outcome. Within that indivisible transaction, there is no doubt that the intellectual property licences are of fundamental importance and substantial value. The evidence exposes that, without them, SAPL would have no interest in buying the concentrate and, indeed, PepsiCo and SVC would not sell SAPL the concentrate to enable it to market the drinks under different brands. The entire object of the EBAs was to enable and to maximise the sale in Australia of the drinks </w:t>
      </w:r>
      <w:r w:rsidRPr="004D645D">
        <w:rPr>
          <w:rFonts w:ascii="Times New Roman" w:hAnsi="Times New Roman"/>
          <w:i/>
          <w:iCs/>
        </w:rPr>
        <w:t>as branded</w:t>
      </w:r>
      <w:r w:rsidRPr="004D645D">
        <w:rPr>
          <w:rFonts w:ascii="Times New Roman" w:hAnsi="Times New Roman"/>
        </w:rPr>
        <w:t xml:space="preserve"> under the globally famous trade marks. This objective character of the transactions drives the conclusion that SAPL's promise in respect of the purchase of and payment for concentrate, to some extent, included consideration for the intellectual property licences. </w:t>
      </w:r>
    </w:p>
    <w:p w14:paraId="5B4EF48C" w14:textId="08CFA1C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The submissions for PepsiCo and SVC that, if the material disadvantages of all alternative postulates were not accepted to make those postulates unreasonable, those alternatives were at best commercially and economically "neutral", with the consequence that, as PepsiCo and SVC put it, it equates to a "conceded absence of anything commercially to commend them"</w:t>
      </w:r>
      <w:r w:rsidR="000719E8">
        <w:rPr>
          <w:rFonts w:ascii="Times New Roman" w:hAnsi="Times New Roman"/>
        </w:rPr>
        <w:t>,</w:t>
      </w:r>
      <w:r w:rsidRPr="004D645D">
        <w:rPr>
          <w:rFonts w:ascii="Times New Roman" w:hAnsi="Times New Roman"/>
        </w:rPr>
        <w:t xml:space="preserve"> elide two separate concepts: the effect of the postulates and their commercial desirability. If these submissions were correct, there would also be nothing commercially to commend the schemes in the EBAs. Yet the EBAs have existed in one form or another since 2009 (and continue to exist) so there is something commercially to commend them to the parties. The point is that the reasonable alternative postulates, contrary to the case for PepsiCo and SVC, do not substantially alter the features of the EBAs that commercially commended them to the parties. </w:t>
      </w:r>
    </w:p>
    <w:p w14:paraId="7F087540"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lastRenderedPageBreak/>
        <w:tab/>
        <w:t>For these reasons, the primary judge correctly concluded that, if the royalty withholding tax provisions did not apply, the DPT provisions would apply.</w:t>
      </w:r>
      <w:r w:rsidRPr="004D645D">
        <w:rPr>
          <w:rFonts w:ascii="Times New Roman" w:hAnsi="Times New Roman"/>
          <w:b/>
          <w:sz w:val="24"/>
          <w:vertAlign w:val="superscript"/>
        </w:rPr>
        <w:footnoteReference w:id="127"/>
      </w:r>
      <w:r w:rsidRPr="004D645D">
        <w:rPr>
          <w:rFonts w:ascii="Times New Roman" w:hAnsi="Times New Roman"/>
        </w:rPr>
        <w:t xml:space="preserve"> In these appeals, accordingly, as the royalty withholding tax provisions do not apply, the DPT provisions do apply. As no issue was taken with the primary judge's valuation, the orders to be made should reflect the primary judge's conclusions in that regard.</w:t>
      </w:r>
    </w:p>
    <w:p w14:paraId="028702A7" w14:textId="77777777" w:rsidR="00436125" w:rsidRPr="004D645D" w:rsidRDefault="00436125" w:rsidP="004D645D">
      <w:pPr>
        <w:pStyle w:val="HeadingL1"/>
        <w:spacing w:after="260" w:line="280" w:lineRule="exact"/>
        <w:ind w:right="0"/>
        <w:jc w:val="both"/>
        <w:rPr>
          <w:rFonts w:ascii="Times New Roman" w:hAnsi="Times New Roman"/>
        </w:rPr>
      </w:pPr>
      <w:r w:rsidRPr="004D645D">
        <w:rPr>
          <w:rFonts w:ascii="Times New Roman" w:hAnsi="Times New Roman"/>
        </w:rPr>
        <w:t>Orders</w:t>
      </w:r>
    </w:p>
    <w:p w14:paraId="107D7173" w14:textId="77777777"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The orders which should be made in the withholding tax appeal involving PepsiCo are:</w:t>
      </w:r>
    </w:p>
    <w:p w14:paraId="377605C6" w14:textId="6997BEAA" w:rsidR="00436125" w:rsidRPr="004D645D" w:rsidRDefault="00436125" w:rsidP="004D645D">
      <w:pPr>
        <w:pStyle w:val="leftright"/>
        <w:spacing w:before="0" w:after="260" w:line="280" w:lineRule="exact"/>
        <w:ind w:right="0"/>
        <w:jc w:val="both"/>
        <w:rPr>
          <w:rFonts w:ascii="Times New Roman" w:hAnsi="Times New Roman"/>
        </w:rPr>
      </w:pPr>
      <w:r w:rsidRPr="004D645D">
        <w:rPr>
          <w:rFonts w:ascii="Times New Roman" w:hAnsi="Times New Roman"/>
        </w:rPr>
        <w:t>(1)</w:t>
      </w:r>
      <w:r w:rsidRPr="004D645D">
        <w:rPr>
          <w:rFonts w:ascii="Times New Roman" w:hAnsi="Times New Roman"/>
        </w:rPr>
        <w:tab/>
        <w:t xml:space="preserve">Appeal </w:t>
      </w:r>
      <w:r w:rsidR="006F1BF2">
        <w:rPr>
          <w:rFonts w:ascii="Times New Roman" w:hAnsi="Times New Roman"/>
        </w:rPr>
        <w:t>dismissed</w:t>
      </w:r>
      <w:r w:rsidRPr="004D645D">
        <w:rPr>
          <w:rFonts w:ascii="Times New Roman" w:hAnsi="Times New Roman"/>
        </w:rPr>
        <w:t>.</w:t>
      </w:r>
    </w:p>
    <w:p w14:paraId="1DE59049" w14:textId="1DA849A3"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The orders which should be made in the withholding tax appeal involving SVC are:</w:t>
      </w:r>
    </w:p>
    <w:p w14:paraId="0ADCF13A" w14:textId="735F3672" w:rsidR="00436125" w:rsidRPr="004D645D" w:rsidRDefault="00436125" w:rsidP="004D645D">
      <w:pPr>
        <w:pStyle w:val="leftright"/>
        <w:spacing w:before="0" w:after="260" w:line="280" w:lineRule="exact"/>
        <w:ind w:right="0"/>
        <w:jc w:val="both"/>
        <w:rPr>
          <w:rFonts w:ascii="Times New Roman" w:hAnsi="Times New Roman"/>
        </w:rPr>
      </w:pPr>
      <w:r w:rsidRPr="004D645D">
        <w:rPr>
          <w:rFonts w:ascii="Times New Roman" w:hAnsi="Times New Roman"/>
        </w:rPr>
        <w:t>(1)</w:t>
      </w:r>
      <w:r w:rsidRPr="004D645D">
        <w:rPr>
          <w:rFonts w:ascii="Times New Roman" w:hAnsi="Times New Roman"/>
        </w:rPr>
        <w:tab/>
        <w:t xml:space="preserve">Appeal </w:t>
      </w:r>
      <w:r w:rsidR="001379A4">
        <w:rPr>
          <w:rFonts w:ascii="Times New Roman" w:hAnsi="Times New Roman"/>
        </w:rPr>
        <w:t>dismissed</w:t>
      </w:r>
      <w:r w:rsidRPr="004D645D">
        <w:rPr>
          <w:rFonts w:ascii="Times New Roman" w:hAnsi="Times New Roman"/>
        </w:rPr>
        <w:t>.</w:t>
      </w:r>
    </w:p>
    <w:p w14:paraId="6A97E42B" w14:textId="6FECB36F"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The orders which should be made in the DPT appeal involving PepsiCo for the year ended 30 June 2018 are:</w:t>
      </w:r>
    </w:p>
    <w:p w14:paraId="60192959" w14:textId="77777777" w:rsidR="00436125" w:rsidRPr="004D645D" w:rsidRDefault="00436125" w:rsidP="004D645D">
      <w:pPr>
        <w:pStyle w:val="leftright"/>
        <w:spacing w:before="0" w:after="260" w:line="280" w:lineRule="exact"/>
        <w:ind w:right="0"/>
        <w:jc w:val="both"/>
        <w:rPr>
          <w:rFonts w:ascii="Times New Roman" w:hAnsi="Times New Roman"/>
        </w:rPr>
      </w:pPr>
      <w:r w:rsidRPr="004D645D">
        <w:rPr>
          <w:rFonts w:ascii="Times New Roman" w:hAnsi="Times New Roman"/>
        </w:rPr>
        <w:t>(1)</w:t>
      </w:r>
      <w:r w:rsidRPr="004D645D">
        <w:rPr>
          <w:rFonts w:ascii="Times New Roman" w:hAnsi="Times New Roman"/>
        </w:rPr>
        <w:tab/>
        <w:t>Appeal allowed.</w:t>
      </w:r>
    </w:p>
    <w:p w14:paraId="40543278" w14:textId="77777777" w:rsidR="00436125" w:rsidRPr="004D645D" w:rsidRDefault="00436125" w:rsidP="004D645D">
      <w:pPr>
        <w:pStyle w:val="leftright"/>
        <w:spacing w:before="0" w:after="260" w:line="280" w:lineRule="exact"/>
        <w:ind w:left="1440" w:right="0" w:hanging="720"/>
        <w:jc w:val="both"/>
        <w:rPr>
          <w:rFonts w:ascii="Times New Roman" w:hAnsi="Times New Roman"/>
        </w:rPr>
      </w:pPr>
      <w:r w:rsidRPr="004D645D">
        <w:rPr>
          <w:rFonts w:ascii="Times New Roman" w:hAnsi="Times New Roman"/>
        </w:rPr>
        <w:t>(2)</w:t>
      </w:r>
      <w:r w:rsidRPr="004D645D">
        <w:rPr>
          <w:rFonts w:ascii="Times New Roman" w:hAnsi="Times New Roman"/>
        </w:rPr>
        <w:tab/>
        <w:t>Set aside the orders made by the Full Court of the Federal Court of Australia on 16 July 2024 in proceeding VID 74 of 2024 and in their place order that:</w:t>
      </w:r>
    </w:p>
    <w:p w14:paraId="7920F816" w14:textId="77777777" w:rsidR="00436125" w:rsidRPr="004D645D" w:rsidRDefault="00436125" w:rsidP="004D645D">
      <w:pPr>
        <w:pStyle w:val="leftright"/>
        <w:spacing w:before="0" w:after="260" w:line="280" w:lineRule="exact"/>
        <w:ind w:right="0"/>
        <w:jc w:val="both"/>
        <w:rPr>
          <w:rFonts w:ascii="Times New Roman" w:hAnsi="Times New Roman"/>
        </w:rPr>
      </w:pPr>
      <w:r w:rsidRPr="004D645D">
        <w:rPr>
          <w:rFonts w:ascii="Times New Roman" w:hAnsi="Times New Roman"/>
        </w:rPr>
        <w:tab/>
        <w:t>(a)</w:t>
      </w:r>
      <w:r w:rsidRPr="004D645D">
        <w:rPr>
          <w:rFonts w:ascii="Times New Roman" w:hAnsi="Times New Roman"/>
        </w:rPr>
        <w:tab/>
        <w:t>the appeal be allowed;</w:t>
      </w:r>
    </w:p>
    <w:p w14:paraId="00DA63AD" w14:textId="3C3C22DC" w:rsidR="00436125" w:rsidRPr="004D645D" w:rsidRDefault="00436125" w:rsidP="004D645D">
      <w:pPr>
        <w:pStyle w:val="leftright"/>
        <w:spacing w:before="0" w:after="260" w:line="280" w:lineRule="exact"/>
        <w:ind w:left="2160" w:right="0" w:hanging="1440"/>
        <w:jc w:val="both"/>
        <w:rPr>
          <w:rFonts w:ascii="Times New Roman" w:hAnsi="Times New Roman"/>
        </w:rPr>
      </w:pPr>
      <w:r w:rsidRPr="004D645D">
        <w:rPr>
          <w:rFonts w:ascii="Times New Roman" w:hAnsi="Times New Roman"/>
        </w:rPr>
        <w:tab/>
        <w:t>(b)</w:t>
      </w:r>
      <w:r w:rsidRPr="004D645D">
        <w:rPr>
          <w:rFonts w:ascii="Times New Roman" w:hAnsi="Times New Roman"/>
        </w:rPr>
        <w:tab/>
        <w:t>the notice of amended diverted profits tax assessment dated 6</w:t>
      </w:r>
      <w:r w:rsidR="003F37C2">
        <w:rPr>
          <w:rFonts w:ascii="Times New Roman" w:hAnsi="Times New Roman"/>
        </w:rPr>
        <w:t> </w:t>
      </w:r>
      <w:r w:rsidRPr="004D645D">
        <w:rPr>
          <w:rFonts w:ascii="Times New Roman" w:hAnsi="Times New Roman"/>
        </w:rPr>
        <w:t>March 2023 for the year ended 30 June 2018 be varied so as to reflect the respondent's liability to pay diverted profits tax in the amount of $7,133,336 for the year ended 30 June 2018;</w:t>
      </w:r>
    </w:p>
    <w:p w14:paraId="552E84BD" w14:textId="6A1234C0" w:rsidR="00436125" w:rsidRPr="004D645D" w:rsidRDefault="00436125" w:rsidP="004D645D">
      <w:pPr>
        <w:pStyle w:val="leftright"/>
        <w:spacing w:before="0" w:after="260" w:line="280" w:lineRule="exact"/>
        <w:ind w:left="2160" w:right="0" w:hanging="1440"/>
        <w:jc w:val="both"/>
        <w:rPr>
          <w:rFonts w:ascii="Times New Roman" w:hAnsi="Times New Roman"/>
        </w:rPr>
      </w:pPr>
      <w:r w:rsidRPr="004D645D">
        <w:rPr>
          <w:rFonts w:ascii="Times New Roman" w:hAnsi="Times New Roman"/>
        </w:rPr>
        <w:tab/>
        <w:t>(c)</w:t>
      </w:r>
      <w:r w:rsidRPr="004D645D">
        <w:rPr>
          <w:rFonts w:ascii="Times New Roman" w:hAnsi="Times New Roman"/>
        </w:rPr>
        <w:tab/>
        <w:t>the respondent (PepsiCo, Inc) pay the appellant's (Commissioner of Taxation) costs.</w:t>
      </w:r>
    </w:p>
    <w:p w14:paraId="74A73CE5" w14:textId="5C3706BD" w:rsidR="00436125" w:rsidRPr="004D645D" w:rsidRDefault="00436125" w:rsidP="004D645D">
      <w:pPr>
        <w:pStyle w:val="leftright"/>
        <w:spacing w:before="0" w:after="260" w:line="280" w:lineRule="exact"/>
        <w:ind w:left="1440" w:right="0" w:hanging="720"/>
        <w:jc w:val="both"/>
        <w:rPr>
          <w:rFonts w:ascii="Times New Roman" w:hAnsi="Times New Roman"/>
        </w:rPr>
      </w:pPr>
      <w:r w:rsidRPr="004D645D">
        <w:rPr>
          <w:rFonts w:ascii="Times New Roman" w:hAnsi="Times New Roman"/>
        </w:rPr>
        <w:t>(3)</w:t>
      </w:r>
      <w:r w:rsidRPr="004D645D">
        <w:rPr>
          <w:rFonts w:ascii="Times New Roman" w:hAnsi="Times New Roman"/>
        </w:rPr>
        <w:tab/>
        <w:t xml:space="preserve">There be </w:t>
      </w:r>
      <w:r w:rsidR="003F37C2">
        <w:rPr>
          <w:rFonts w:ascii="Times New Roman" w:hAnsi="Times New Roman"/>
        </w:rPr>
        <w:t>no</w:t>
      </w:r>
      <w:r w:rsidRPr="004D645D">
        <w:rPr>
          <w:rFonts w:ascii="Times New Roman" w:hAnsi="Times New Roman"/>
        </w:rPr>
        <w:t xml:space="preserve"> order as to costs in respect of this proceeding, being M100/2024.</w:t>
      </w:r>
    </w:p>
    <w:p w14:paraId="74B9E0DD" w14:textId="77777777" w:rsidR="004D645D" w:rsidRDefault="00436125" w:rsidP="004D645D">
      <w:pPr>
        <w:pStyle w:val="leftright"/>
        <w:spacing w:before="0" w:after="260" w:line="280" w:lineRule="exact"/>
        <w:ind w:left="1440" w:right="0" w:hanging="720"/>
        <w:jc w:val="both"/>
        <w:rPr>
          <w:rFonts w:ascii="Times New Roman" w:hAnsi="Times New Roman"/>
        </w:rPr>
      </w:pPr>
      <w:r w:rsidRPr="004D645D">
        <w:rPr>
          <w:rFonts w:ascii="Times New Roman" w:hAnsi="Times New Roman"/>
        </w:rPr>
        <w:lastRenderedPageBreak/>
        <w:t>(4)</w:t>
      </w:r>
      <w:r w:rsidRPr="004D645D">
        <w:rPr>
          <w:rFonts w:ascii="Times New Roman" w:hAnsi="Times New Roman"/>
        </w:rPr>
        <w:tab/>
        <w:t>The respondent (PepsiCo, Inc) pay the appellant's (Commissioner of Taxation) costs in relation to special leave application proceeding M69/2024.</w:t>
      </w:r>
    </w:p>
    <w:p w14:paraId="426AA3F6" w14:textId="266E68DE"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The orders which should be made in the DPT appeal involving SVC for the year ended 30 June 2018 are:</w:t>
      </w:r>
    </w:p>
    <w:p w14:paraId="1020F2DB" w14:textId="77777777" w:rsidR="00436125" w:rsidRPr="004D645D" w:rsidRDefault="00436125" w:rsidP="004D645D">
      <w:pPr>
        <w:pStyle w:val="leftright"/>
        <w:spacing w:before="0" w:after="260" w:line="280" w:lineRule="exact"/>
        <w:ind w:left="1440" w:right="0" w:hanging="720"/>
        <w:jc w:val="both"/>
        <w:rPr>
          <w:rFonts w:ascii="Times New Roman" w:hAnsi="Times New Roman"/>
        </w:rPr>
      </w:pPr>
      <w:r w:rsidRPr="004D645D">
        <w:rPr>
          <w:rFonts w:ascii="Times New Roman" w:hAnsi="Times New Roman"/>
        </w:rPr>
        <w:t>(1)</w:t>
      </w:r>
      <w:r w:rsidRPr="004D645D">
        <w:rPr>
          <w:rFonts w:ascii="Times New Roman" w:hAnsi="Times New Roman"/>
        </w:rPr>
        <w:tab/>
        <w:t>Appeal allowed.</w:t>
      </w:r>
    </w:p>
    <w:p w14:paraId="5B1170E8" w14:textId="77777777" w:rsidR="00436125" w:rsidRPr="004D645D" w:rsidRDefault="00436125" w:rsidP="004D645D">
      <w:pPr>
        <w:pStyle w:val="leftright"/>
        <w:spacing w:before="0" w:after="260" w:line="280" w:lineRule="exact"/>
        <w:ind w:left="1440" w:right="0" w:hanging="720"/>
        <w:jc w:val="both"/>
        <w:rPr>
          <w:rFonts w:ascii="Times New Roman" w:hAnsi="Times New Roman"/>
        </w:rPr>
      </w:pPr>
      <w:r w:rsidRPr="004D645D">
        <w:rPr>
          <w:rFonts w:ascii="Times New Roman" w:hAnsi="Times New Roman"/>
        </w:rPr>
        <w:t>(2)</w:t>
      </w:r>
      <w:r w:rsidRPr="004D645D">
        <w:rPr>
          <w:rFonts w:ascii="Times New Roman" w:hAnsi="Times New Roman"/>
        </w:rPr>
        <w:tab/>
        <w:t>Set aside the orders made by the Full Court of the Federal Court of Australia on 16 July 2024 in proceeding VID 76 of 2024 and in their place order that:</w:t>
      </w:r>
    </w:p>
    <w:p w14:paraId="47255AB5" w14:textId="77777777" w:rsidR="00436125" w:rsidRPr="004D645D" w:rsidRDefault="00436125" w:rsidP="004D645D">
      <w:pPr>
        <w:pStyle w:val="leftright"/>
        <w:spacing w:before="0" w:after="260" w:line="280" w:lineRule="exact"/>
        <w:ind w:left="1440" w:right="0" w:hanging="720"/>
        <w:jc w:val="both"/>
        <w:rPr>
          <w:rFonts w:ascii="Times New Roman" w:hAnsi="Times New Roman"/>
        </w:rPr>
      </w:pPr>
      <w:r w:rsidRPr="004D645D">
        <w:rPr>
          <w:rFonts w:ascii="Times New Roman" w:hAnsi="Times New Roman"/>
        </w:rPr>
        <w:tab/>
        <w:t>(a)</w:t>
      </w:r>
      <w:r w:rsidRPr="004D645D">
        <w:rPr>
          <w:rFonts w:ascii="Times New Roman" w:hAnsi="Times New Roman"/>
        </w:rPr>
        <w:tab/>
        <w:t>the appeal be allowed;</w:t>
      </w:r>
    </w:p>
    <w:p w14:paraId="7F15B734" w14:textId="6A2618A8" w:rsidR="00436125" w:rsidRPr="004D645D" w:rsidRDefault="00436125" w:rsidP="004D645D">
      <w:pPr>
        <w:pStyle w:val="leftright"/>
        <w:spacing w:before="0" w:after="260" w:line="280" w:lineRule="exact"/>
        <w:ind w:left="2160" w:right="0" w:hanging="1440"/>
        <w:jc w:val="both"/>
        <w:rPr>
          <w:rFonts w:ascii="Times New Roman" w:hAnsi="Times New Roman"/>
        </w:rPr>
      </w:pPr>
      <w:r w:rsidRPr="004D645D">
        <w:rPr>
          <w:rFonts w:ascii="Times New Roman" w:hAnsi="Times New Roman"/>
        </w:rPr>
        <w:tab/>
        <w:t>(b)</w:t>
      </w:r>
      <w:r w:rsidRPr="004D645D">
        <w:rPr>
          <w:rFonts w:ascii="Times New Roman" w:hAnsi="Times New Roman"/>
        </w:rPr>
        <w:tab/>
        <w:t>the notice of amended diverted profits tax assessment dated 6</w:t>
      </w:r>
      <w:r w:rsidR="00BC4419">
        <w:rPr>
          <w:rFonts w:ascii="Times New Roman" w:hAnsi="Times New Roman"/>
        </w:rPr>
        <w:t> </w:t>
      </w:r>
      <w:r w:rsidRPr="004D645D">
        <w:rPr>
          <w:rFonts w:ascii="Times New Roman" w:hAnsi="Times New Roman"/>
        </w:rPr>
        <w:t>March 2023 for the year ended 30 June 2018 be varied so as to reflect the respondent's liability to pay diverted profits tax in the amount of $1,559,552 for the year ended 30 June 2018;</w:t>
      </w:r>
    </w:p>
    <w:p w14:paraId="7F2243D7" w14:textId="77777777" w:rsidR="00436125" w:rsidRPr="004D645D" w:rsidRDefault="00436125" w:rsidP="004D645D">
      <w:pPr>
        <w:pStyle w:val="leftright"/>
        <w:spacing w:before="0" w:after="260" w:line="280" w:lineRule="exact"/>
        <w:ind w:left="2160" w:right="0" w:hanging="1440"/>
        <w:jc w:val="both"/>
        <w:rPr>
          <w:rFonts w:ascii="Times New Roman" w:hAnsi="Times New Roman"/>
        </w:rPr>
      </w:pPr>
      <w:r w:rsidRPr="004D645D">
        <w:rPr>
          <w:rFonts w:ascii="Times New Roman" w:hAnsi="Times New Roman"/>
        </w:rPr>
        <w:tab/>
        <w:t>(c)</w:t>
      </w:r>
      <w:r w:rsidRPr="004D645D">
        <w:rPr>
          <w:rFonts w:ascii="Times New Roman" w:hAnsi="Times New Roman"/>
        </w:rPr>
        <w:tab/>
        <w:t>the respondent (Stokely-Van Camp, Inc) pay the appellant's (Commissioner of Taxation) costs.</w:t>
      </w:r>
    </w:p>
    <w:p w14:paraId="60919C58" w14:textId="77777777" w:rsidR="00436125" w:rsidRPr="004D645D" w:rsidRDefault="00436125" w:rsidP="004D645D">
      <w:pPr>
        <w:pStyle w:val="leftright"/>
        <w:spacing w:before="0" w:after="260" w:line="280" w:lineRule="exact"/>
        <w:ind w:left="1440" w:right="0" w:hanging="720"/>
        <w:jc w:val="both"/>
        <w:rPr>
          <w:rFonts w:ascii="Times New Roman" w:hAnsi="Times New Roman"/>
        </w:rPr>
      </w:pPr>
      <w:r w:rsidRPr="004D645D">
        <w:rPr>
          <w:rFonts w:ascii="Times New Roman" w:hAnsi="Times New Roman"/>
        </w:rPr>
        <w:t>(3)</w:t>
      </w:r>
      <w:r w:rsidRPr="004D645D">
        <w:rPr>
          <w:rFonts w:ascii="Times New Roman" w:hAnsi="Times New Roman"/>
        </w:rPr>
        <w:tab/>
        <w:t>There be no order as to costs in respect of this proceeding, being M102/2024.</w:t>
      </w:r>
    </w:p>
    <w:p w14:paraId="6FBDA63C" w14:textId="77777777" w:rsidR="004D645D" w:rsidRDefault="00436125" w:rsidP="004D645D">
      <w:pPr>
        <w:pStyle w:val="leftright"/>
        <w:spacing w:before="0" w:after="260" w:line="280" w:lineRule="exact"/>
        <w:ind w:left="1440" w:right="0" w:hanging="720"/>
        <w:jc w:val="both"/>
        <w:rPr>
          <w:rFonts w:ascii="Times New Roman" w:hAnsi="Times New Roman"/>
        </w:rPr>
      </w:pPr>
      <w:r w:rsidRPr="004D645D">
        <w:rPr>
          <w:rFonts w:ascii="Times New Roman" w:hAnsi="Times New Roman"/>
        </w:rPr>
        <w:t>(4)</w:t>
      </w:r>
      <w:r w:rsidRPr="004D645D">
        <w:rPr>
          <w:rFonts w:ascii="Times New Roman" w:hAnsi="Times New Roman"/>
        </w:rPr>
        <w:tab/>
        <w:t>The respondent (Stokely-Van Camp, Inc) pay the appellant's (Commissioner of Taxation) costs in relation to special leave application proceeding M71/2024.</w:t>
      </w:r>
    </w:p>
    <w:p w14:paraId="6F3CAD50" w14:textId="2606D8F3"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The orders which should be made in the DPT appeal involving PepsiCo for the year ended 30 June 2019 are:</w:t>
      </w:r>
    </w:p>
    <w:p w14:paraId="05D1C99B" w14:textId="77777777" w:rsidR="00436125" w:rsidRPr="004D645D" w:rsidRDefault="00436125" w:rsidP="004D645D">
      <w:pPr>
        <w:pStyle w:val="leftright"/>
        <w:spacing w:before="0" w:after="260" w:line="280" w:lineRule="exact"/>
        <w:ind w:left="1440" w:right="0" w:hanging="720"/>
        <w:jc w:val="both"/>
        <w:rPr>
          <w:rFonts w:ascii="Times New Roman" w:hAnsi="Times New Roman"/>
        </w:rPr>
      </w:pPr>
      <w:r w:rsidRPr="004D645D">
        <w:rPr>
          <w:rFonts w:ascii="Times New Roman" w:hAnsi="Times New Roman"/>
        </w:rPr>
        <w:t>(1)</w:t>
      </w:r>
      <w:r w:rsidRPr="004D645D">
        <w:rPr>
          <w:rFonts w:ascii="Times New Roman" w:hAnsi="Times New Roman"/>
        </w:rPr>
        <w:tab/>
        <w:t>Appeal allowed.</w:t>
      </w:r>
    </w:p>
    <w:p w14:paraId="5C2FF661" w14:textId="77777777" w:rsidR="00436125" w:rsidRPr="004D645D" w:rsidRDefault="00436125" w:rsidP="004D645D">
      <w:pPr>
        <w:pStyle w:val="leftright"/>
        <w:spacing w:before="0" w:after="260" w:line="280" w:lineRule="exact"/>
        <w:ind w:left="1440" w:right="0" w:hanging="720"/>
        <w:jc w:val="both"/>
        <w:rPr>
          <w:rFonts w:ascii="Times New Roman" w:hAnsi="Times New Roman"/>
        </w:rPr>
      </w:pPr>
      <w:r w:rsidRPr="004D645D">
        <w:rPr>
          <w:rFonts w:ascii="Times New Roman" w:hAnsi="Times New Roman"/>
        </w:rPr>
        <w:t>(2)</w:t>
      </w:r>
      <w:r w:rsidRPr="004D645D">
        <w:rPr>
          <w:rFonts w:ascii="Times New Roman" w:hAnsi="Times New Roman"/>
        </w:rPr>
        <w:tab/>
        <w:t>Set aside the orders made by the Full Court of the Federal Court of Australia on 16 July 2024 in proceeding VID 75 of 2024 and in their place order that:</w:t>
      </w:r>
    </w:p>
    <w:p w14:paraId="370BD47C" w14:textId="77777777" w:rsidR="00436125" w:rsidRPr="004D645D" w:rsidRDefault="00436125" w:rsidP="004D645D">
      <w:pPr>
        <w:pStyle w:val="leftright"/>
        <w:spacing w:before="0" w:after="260" w:line="280" w:lineRule="exact"/>
        <w:ind w:left="1440" w:right="0" w:hanging="720"/>
        <w:jc w:val="both"/>
        <w:rPr>
          <w:rFonts w:ascii="Times New Roman" w:hAnsi="Times New Roman"/>
        </w:rPr>
      </w:pPr>
      <w:r w:rsidRPr="004D645D">
        <w:rPr>
          <w:rFonts w:ascii="Times New Roman" w:hAnsi="Times New Roman"/>
        </w:rPr>
        <w:tab/>
        <w:t>(a)</w:t>
      </w:r>
      <w:r w:rsidRPr="004D645D">
        <w:rPr>
          <w:rFonts w:ascii="Times New Roman" w:hAnsi="Times New Roman"/>
        </w:rPr>
        <w:tab/>
        <w:t>the appeal be allowed;</w:t>
      </w:r>
    </w:p>
    <w:p w14:paraId="5BE36C71" w14:textId="7F3AE362" w:rsidR="00436125" w:rsidRPr="004D645D" w:rsidRDefault="00436125" w:rsidP="004D645D">
      <w:pPr>
        <w:pStyle w:val="leftright"/>
        <w:spacing w:before="0" w:after="260" w:line="280" w:lineRule="exact"/>
        <w:ind w:left="2160" w:right="0" w:hanging="1440"/>
        <w:jc w:val="both"/>
        <w:rPr>
          <w:rFonts w:ascii="Times New Roman" w:hAnsi="Times New Roman"/>
        </w:rPr>
      </w:pPr>
      <w:r w:rsidRPr="004D645D">
        <w:rPr>
          <w:rFonts w:ascii="Times New Roman" w:hAnsi="Times New Roman"/>
        </w:rPr>
        <w:tab/>
        <w:t>(b)</w:t>
      </w:r>
      <w:r w:rsidRPr="004D645D">
        <w:rPr>
          <w:rFonts w:ascii="Times New Roman" w:hAnsi="Times New Roman"/>
        </w:rPr>
        <w:tab/>
        <w:t>the notice of amended diverted profits tax assessment dated 6</w:t>
      </w:r>
      <w:r w:rsidR="00BC4419">
        <w:rPr>
          <w:rFonts w:ascii="Times New Roman" w:hAnsi="Times New Roman"/>
        </w:rPr>
        <w:t> </w:t>
      </w:r>
      <w:r w:rsidRPr="004D645D">
        <w:rPr>
          <w:rFonts w:ascii="Times New Roman" w:hAnsi="Times New Roman"/>
        </w:rPr>
        <w:t xml:space="preserve">March 2023 for the year ended 30 June 2019 be varied so as to reflect the respondent's liability to pay diverted profits </w:t>
      </w:r>
      <w:r w:rsidRPr="004D645D">
        <w:rPr>
          <w:rFonts w:ascii="Times New Roman" w:hAnsi="Times New Roman"/>
        </w:rPr>
        <w:lastRenderedPageBreak/>
        <w:t>tax in the amount of $7,718,552 for the year ended 30 June 2019;</w:t>
      </w:r>
    </w:p>
    <w:p w14:paraId="3EC40B42" w14:textId="77777777" w:rsidR="00436125" w:rsidRPr="004D645D" w:rsidRDefault="00436125" w:rsidP="004D645D">
      <w:pPr>
        <w:pStyle w:val="leftright"/>
        <w:spacing w:before="0" w:after="260" w:line="280" w:lineRule="exact"/>
        <w:ind w:left="2160" w:right="0" w:hanging="1440"/>
        <w:jc w:val="both"/>
        <w:rPr>
          <w:rFonts w:ascii="Times New Roman" w:hAnsi="Times New Roman"/>
        </w:rPr>
      </w:pPr>
      <w:r w:rsidRPr="004D645D">
        <w:rPr>
          <w:rFonts w:ascii="Times New Roman" w:hAnsi="Times New Roman"/>
        </w:rPr>
        <w:tab/>
        <w:t>(c)</w:t>
      </w:r>
      <w:r w:rsidRPr="004D645D">
        <w:rPr>
          <w:rFonts w:ascii="Times New Roman" w:hAnsi="Times New Roman"/>
        </w:rPr>
        <w:tab/>
        <w:t>the respondent (PepsiCo, Inc) pay the appellant's (Commissioner of Taxation) costs.</w:t>
      </w:r>
    </w:p>
    <w:p w14:paraId="01F0C583" w14:textId="77777777" w:rsidR="00436125" w:rsidRPr="004D645D" w:rsidRDefault="00436125" w:rsidP="004D645D">
      <w:pPr>
        <w:pStyle w:val="leftright"/>
        <w:spacing w:before="0" w:after="260" w:line="280" w:lineRule="exact"/>
        <w:ind w:left="1440" w:right="0" w:hanging="720"/>
        <w:jc w:val="both"/>
        <w:rPr>
          <w:rFonts w:ascii="Times New Roman" w:hAnsi="Times New Roman"/>
        </w:rPr>
      </w:pPr>
      <w:r w:rsidRPr="004D645D">
        <w:rPr>
          <w:rFonts w:ascii="Times New Roman" w:hAnsi="Times New Roman"/>
        </w:rPr>
        <w:t>(3)</w:t>
      </w:r>
      <w:r w:rsidRPr="004D645D">
        <w:rPr>
          <w:rFonts w:ascii="Times New Roman" w:hAnsi="Times New Roman"/>
        </w:rPr>
        <w:tab/>
        <w:t>There be no order as to costs in respect of this proceeding, being M101/2024.</w:t>
      </w:r>
    </w:p>
    <w:p w14:paraId="0B6228B0" w14:textId="77777777" w:rsidR="004D645D" w:rsidRDefault="00436125" w:rsidP="004D645D">
      <w:pPr>
        <w:pStyle w:val="leftright"/>
        <w:spacing w:before="0" w:after="260" w:line="280" w:lineRule="exact"/>
        <w:ind w:left="1440" w:right="0" w:hanging="720"/>
        <w:jc w:val="both"/>
        <w:rPr>
          <w:rFonts w:ascii="Times New Roman" w:hAnsi="Times New Roman"/>
        </w:rPr>
      </w:pPr>
      <w:r w:rsidRPr="004D645D">
        <w:rPr>
          <w:rFonts w:ascii="Times New Roman" w:hAnsi="Times New Roman"/>
        </w:rPr>
        <w:t>(4)</w:t>
      </w:r>
      <w:r w:rsidRPr="004D645D">
        <w:rPr>
          <w:rFonts w:ascii="Times New Roman" w:hAnsi="Times New Roman"/>
        </w:rPr>
        <w:tab/>
        <w:t>The respondent (PepsiCo, Inc) pay the appellant's (Commissioner of Taxation) costs in relation to special leave application proceeding M70/2024.</w:t>
      </w:r>
    </w:p>
    <w:p w14:paraId="5E3BA232" w14:textId="12817495" w:rsidR="00436125" w:rsidRPr="004D645D" w:rsidRDefault="00436125" w:rsidP="004D645D">
      <w:pPr>
        <w:pStyle w:val="FixListStyle"/>
        <w:spacing w:after="260" w:line="280" w:lineRule="exact"/>
        <w:ind w:right="0"/>
        <w:jc w:val="both"/>
        <w:rPr>
          <w:rFonts w:ascii="Times New Roman" w:hAnsi="Times New Roman"/>
        </w:rPr>
      </w:pPr>
      <w:r w:rsidRPr="004D645D">
        <w:rPr>
          <w:rFonts w:ascii="Times New Roman" w:hAnsi="Times New Roman"/>
        </w:rPr>
        <w:tab/>
        <w:t>The orders which should be made in the DPT appeal involving SVC for the year ended 30 June 2019 are:</w:t>
      </w:r>
    </w:p>
    <w:p w14:paraId="30CA3F72" w14:textId="77777777" w:rsidR="00436125" w:rsidRPr="004D645D" w:rsidRDefault="00436125" w:rsidP="004D645D">
      <w:pPr>
        <w:pStyle w:val="leftright"/>
        <w:spacing w:before="0" w:after="260" w:line="280" w:lineRule="exact"/>
        <w:ind w:right="0"/>
        <w:jc w:val="both"/>
        <w:rPr>
          <w:rFonts w:ascii="Times New Roman" w:hAnsi="Times New Roman"/>
        </w:rPr>
      </w:pPr>
      <w:r w:rsidRPr="004D645D">
        <w:rPr>
          <w:rFonts w:ascii="Times New Roman" w:hAnsi="Times New Roman"/>
        </w:rPr>
        <w:t>(1)</w:t>
      </w:r>
      <w:r w:rsidRPr="004D645D">
        <w:rPr>
          <w:rFonts w:ascii="Times New Roman" w:hAnsi="Times New Roman"/>
        </w:rPr>
        <w:tab/>
        <w:t>Appeal allowed.</w:t>
      </w:r>
    </w:p>
    <w:p w14:paraId="59F0BED8" w14:textId="77777777" w:rsidR="00436125" w:rsidRPr="004D645D" w:rsidRDefault="00436125" w:rsidP="004D645D">
      <w:pPr>
        <w:pStyle w:val="leftright"/>
        <w:spacing w:before="0" w:after="260" w:line="280" w:lineRule="exact"/>
        <w:ind w:left="1440" w:right="0" w:hanging="720"/>
        <w:jc w:val="both"/>
        <w:rPr>
          <w:rFonts w:ascii="Times New Roman" w:hAnsi="Times New Roman"/>
        </w:rPr>
      </w:pPr>
      <w:r w:rsidRPr="004D645D">
        <w:rPr>
          <w:rFonts w:ascii="Times New Roman" w:hAnsi="Times New Roman"/>
        </w:rPr>
        <w:t>(2)</w:t>
      </w:r>
      <w:r w:rsidRPr="004D645D">
        <w:rPr>
          <w:rFonts w:ascii="Times New Roman" w:hAnsi="Times New Roman"/>
        </w:rPr>
        <w:tab/>
        <w:t>The orders made by the Full Court of the Federal Court of Australia on 16 July 2024 in proceeding VID 77 of 2024 be set aside and in their place order that:</w:t>
      </w:r>
    </w:p>
    <w:p w14:paraId="03D65AC9" w14:textId="77777777" w:rsidR="00436125" w:rsidRPr="004D645D" w:rsidRDefault="00436125" w:rsidP="004D645D">
      <w:pPr>
        <w:pStyle w:val="leftright"/>
        <w:spacing w:before="0" w:after="260" w:line="280" w:lineRule="exact"/>
        <w:ind w:right="0"/>
        <w:jc w:val="both"/>
        <w:rPr>
          <w:rFonts w:ascii="Times New Roman" w:hAnsi="Times New Roman"/>
        </w:rPr>
      </w:pPr>
      <w:r w:rsidRPr="004D645D">
        <w:rPr>
          <w:rFonts w:ascii="Times New Roman" w:hAnsi="Times New Roman"/>
        </w:rPr>
        <w:tab/>
        <w:t>(a)</w:t>
      </w:r>
      <w:r w:rsidRPr="004D645D">
        <w:rPr>
          <w:rFonts w:ascii="Times New Roman" w:hAnsi="Times New Roman"/>
        </w:rPr>
        <w:tab/>
        <w:t>the appeal be allowed;</w:t>
      </w:r>
    </w:p>
    <w:p w14:paraId="51657D3A" w14:textId="2EA05424" w:rsidR="00436125" w:rsidRPr="004D645D" w:rsidRDefault="00436125" w:rsidP="004D645D">
      <w:pPr>
        <w:pStyle w:val="leftright"/>
        <w:spacing w:before="0" w:after="260" w:line="280" w:lineRule="exact"/>
        <w:ind w:left="2160" w:right="0" w:hanging="1440"/>
        <w:jc w:val="both"/>
        <w:rPr>
          <w:rFonts w:ascii="Times New Roman" w:hAnsi="Times New Roman"/>
        </w:rPr>
      </w:pPr>
      <w:r w:rsidRPr="004D645D">
        <w:rPr>
          <w:rFonts w:ascii="Times New Roman" w:hAnsi="Times New Roman"/>
        </w:rPr>
        <w:tab/>
        <w:t>(b)</w:t>
      </w:r>
      <w:r w:rsidRPr="004D645D">
        <w:rPr>
          <w:rFonts w:ascii="Times New Roman" w:hAnsi="Times New Roman"/>
        </w:rPr>
        <w:tab/>
        <w:t>the notice of amended diverted profits tax assessment dated 6</w:t>
      </w:r>
      <w:r w:rsidR="00144F4E">
        <w:rPr>
          <w:rFonts w:ascii="Times New Roman" w:hAnsi="Times New Roman"/>
        </w:rPr>
        <w:t> </w:t>
      </w:r>
      <w:r w:rsidRPr="004D645D">
        <w:rPr>
          <w:rFonts w:ascii="Times New Roman" w:hAnsi="Times New Roman"/>
        </w:rPr>
        <w:t>March 2023 for the year ended 30 June 2019 be varied so as to reflect the respondent's liability to pay diverted profits tax in the amount of $1,553,568 for the year ended 30 June 2019;</w:t>
      </w:r>
    </w:p>
    <w:p w14:paraId="3D81FA5B" w14:textId="77777777" w:rsidR="00436125" w:rsidRPr="004D645D" w:rsidRDefault="00436125" w:rsidP="004D645D">
      <w:pPr>
        <w:pStyle w:val="leftright"/>
        <w:spacing w:before="0" w:after="260" w:line="280" w:lineRule="exact"/>
        <w:ind w:left="2160" w:right="0" w:hanging="1440"/>
        <w:jc w:val="both"/>
        <w:rPr>
          <w:rFonts w:ascii="Times New Roman" w:hAnsi="Times New Roman"/>
        </w:rPr>
      </w:pPr>
      <w:r w:rsidRPr="004D645D">
        <w:rPr>
          <w:rFonts w:ascii="Times New Roman" w:hAnsi="Times New Roman"/>
        </w:rPr>
        <w:tab/>
        <w:t>(c)</w:t>
      </w:r>
      <w:r w:rsidRPr="004D645D">
        <w:rPr>
          <w:rFonts w:ascii="Times New Roman" w:hAnsi="Times New Roman"/>
        </w:rPr>
        <w:tab/>
        <w:t>the respondent (Stokely-Van Camp, Inc) pay the appellant's (Commissioner of Taxation) costs.</w:t>
      </w:r>
    </w:p>
    <w:p w14:paraId="3E6E3832" w14:textId="77777777" w:rsidR="00436125" w:rsidRPr="004D645D" w:rsidRDefault="00436125" w:rsidP="004D645D">
      <w:pPr>
        <w:pStyle w:val="leftright"/>
        <w:spacing w:before="0" w:after="260" w:line="280" w:lineRule="exact"/>
        <w:ind w:left="1440" w:right="0" w:hanging="720"/>
        <w:jc w:val="both"/>
        <w:rPr>
          <w:rFonts w:ascii="Times New Roman" w:hAnsi="Times New Roman"/>
        </w:rPr>
      </w:pPr>
      <w:r w:rsidRPr="004D645D">
        <w:rPr>
          <w:rFonts w:ascii="Times New Roman" w:hAnsi="Times New Roman"/>
        </w:rPr>
        <w:t>(3)</w:t>
      </w:r>
      <w:r w:rsidRPr="004D645D">
        <w:rPr>
          <w:rFonts w:ascii="Times New Roman" w:hAnsi="Times New Roman"/>
        </w:rPr>
        <w:tab/>
        <w:t>There be no order as to costs in respect of this proceeding, being M103/2024.</w:t>
      </w:r>
    </w:p>
    <w:p w14:paraId="636231BA" w14:textId="77777777" w:rsidR="00A143F4" w:rsidRDefault="00436125" w:rsidP="00A143F4">
      <w:pPr>
        <w:pStyle w:val="leftright"/>
        <w:spacing w:before="0" w:after="260" w:line="280" w:lineRule="exact"/>
        <w:ind w:left="1440" w:right="0" w:hanging="720"/>
        <w:jc w:val="both"/>
        <w:rPr>
          <w:rFonts w:ascii="Times New Roman" w:hAnsi="Times New Roman"/>
        </w:rPr>
      </w:pPr>
      <w:r w:rsidRPr="004D645D">
        <w:rPr>
          <w:rFonts w:ascii="Times New Roman" w:hAnsi="Times New Roman"/>
        </w:rPr>
        <w:t>(4)</w:t>
      </w:r>
      <w:r w:rsidRPr="004D645D">
        <w:rPr>
          <w:rFonts w:ascii="Times New Roman" w:hAnsi="Times New Roman"/>
        </w:rPr>
        <w:tab/>
        <w:t>The respondent (Stokely-Van Camp, Inc) pay the appellant's (Commissioner of Taxation) costs in relation to special leave application proceeding M72/2024.</w:t>
      </w:r>
    </w:p>
    <w:p w14:paraId="1A4154B5" w14:textId="77777777" w:rsidR="00A143F4" w:rsidRDefault="00A143F4" w:rsidP="00A143F4">
      <w:pPr>
        <w:pStyle w:val="leftright"/>
        <w:spacing w:before="0" w:after="260" w:line="280" w:lineRule="exact"/>
        <w:ind w:left="1440" w:right="0" w:hanging="720"/>
        <w:jc w:val="both"/>
        <w:rPr>
          <w:rFonts w:ascii="Times New Roman" w:hAnsi="Times New Roman"/>
        </w:rPr>
        <w:sectPr w:rsidR="00A143F4" w:rsidSect="00CD054E">
          <w:headerReference w:type="even" r:id="rId17"/>
          <w:headerReference w:type="default" r:id="rId18"/>
          <w:footerReference w:type="even" r:id="rId19"/>
          <w:footerReference w:type="default" r:id="rId20"/>
          <w:headerReference w:type="first" r:id="rId21"/>
          <w:footerReference w:type="first" r:id="rId22"/>
          <w:pgSz w:w="11907" w:h="16839" w:code="9"/>
          <w:pgMar w:top="1440" w:right="1701" w:bottom="1984" w:left="1701" w:header="720" w:footer="720" w:gutter="0"/>
          <w:pgNumType w:start="1"/>
          <w:cols w:space="720"/>
          <w:titlePg/>
          <w:docGrid w:linePitch="354"/>
        </w:sectPr>
      </w:pPr>
    </w:p>
    <w:p w14:paraId="3F576961" w14:textId="77777777" w:rsidR="00A143F4" w:rsidRPr="00ED2188" w:rsidRDefault="00A143F4" w:rsidP="00ED2188">
      <w:pPr>
        <w:pStyle w:val="FixListStyle"/>
        <w:tabs>
          <w:tab w:val="clear" w:pos="720"/>
          <w:tab w:val="left" w:pos="0"/>
        </w:tabs>
        <w:spacing w:after="260" w:line="280" w:lineRule="exact"/>
        <w:ind w:right="0"/>
        <w:jc w:val="both"/>
        <w:rPr>
          <w:rFonts w:ascii="Times New Roman" w:hAnsi="Times New Roman"/>
        </w:rPr>
      </w:pPr>
      <w:r w:rsidRPr="00ED2188">
        <w:rPr>
          <w:rFonts w:ascii="Times New Roman" w:hAnsi="Times New Roman"/>
        </w:rPr>
        <w:lastRenderedPageBreak/>
        <w:t>GORDON, EDELMAN, STEWARD AND GLEESON JJ.   The PepsiCo Group operates a global beverage business. Two companies resident in the United States of America form part of the PepsiCo Group – PepsiCo, Inc ("PepsiCo") and Stokely-Van Camp, Inc ("SVC"). PepsiCo</w:t>
      </w:r>
      <w:r w:rsidRPr="00ED2188" w:rsidDel="00E5316B">
        <w:rPr>
          <w:rFonts w:ascii="Times New Roman" w:hAnsi="Times New Roman"/>
        </w:rPr>
        <w:t xml:space="preserve"> </w:t>
      </w:r>
      <w:r w:rsidRPr="00ED2188">
        <w:rPr>
          <w:rFonts w:ascii="Times New Roman" w:hAnsi="Times New Roman"/>
        </w:rPr>
        <w:t>is the owner of a world</w:t>
      </w:r>
      <w:r w:rsidRPr="00ED2188">
        <w:rPr>
          <w:rFonts w:ascii="Times New Roman" w:hAnsi="Times New Roman"/>
        </w:rPr>
        <w:noBreakHyphen/>
        <w:t>wide portfolio of trade marks, designs, and other rights and assets relating to the Pepsi and Mountain Dew brands. On or about 3 April 2009, a Restated and Amended Exclusive Bottling Appointment ("the PepsiCo EBA") was entered into between PepsiCo, the Concentrate Manufacturing Company of Ireland ("CMCI") and Schweppes Australia Pty Ltd ("SAPL"), an Australian company owned by Asahi Breweries, under which PepsiCo appointed SAPL "to bottle, sell and distribute" certain beverages, and CMCI appointed SAPL "to bottle, sell and distribute" other beverages, in each case as its sole and exclusive licensee within the</w:t>
      </w:r>
      <w:r>
        <w:rPr>
          <w:rFonts w:ascii="Times New Roman" w:hAnsi="Times New Roman"/>
        </w:rPr>
        <w:t> </w:t>
      </w:r>
      <w:r w:rsidRPr="00ED2188">
        <w:rPr>
          <w:rFonts w:ascii="Times New Roman" w:hAnsi="Times New Roman"/>
        </w:rPr>
        <w:t xml:space="preserve">Commonwealth of Australia ("the Territory"). </w:t>
      </w:r>
    </w:p>
    <w:p w14:paraId="17727439"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SVC is the owner of a world-wide portfolio of trade marks, designs, and other rights and assets relating to the Gatorade and Propel brands. There were separate arrangements between SVC and SAPL recorded in a Restated and Amended Exclusive Bottling Agreement under which SVC appointed SAPL to "manufacture, package, distribute and sell" certain beverages as its exclusive licensee within the Territory ("the SVC EBA").</w:t>
      </w:r>
      <w:r w:rsidRPr="00ED2188" w:rsidDel="00E046A1">
        <w:rPr>
          <w:rFonts w:ascii="Times New Roman" w:hAnsi="Times New Roman"/>
        </w:rPr>
        <w:t xml:space="preserve"> </w:t>
      </w:r>
      <w:r w:rsidRPr="00ED2188">
        <w:rPr>
          <w:rFonts w:ascii="Times New Roman" w:hAnsi="Times New Roman"/>
        </w:rPr>
        <w:t>Throughout these reasons, the</w:t>
      </w:r>
      <w:r>
        <w:rPr>
          <w:rFonts w:ascii="Times New Roman" w:hAnsi="Times New Roman"/>
        </w:rPr>
        <w:t> </w:t>
      </w:r>
      <w:r w:rsidRPr="00ED2188">
        <w:rPr>
          <w:rFonts w:ascii="Times New Roman" w:hAnsi="Times New Roman"/>
        </w:rPr>
        <w:t>world-wide portfolio of trade marks, designs, and other rights and assets owned by PepsiCo and SVC will be collectively referred to as "the PepsiCo Intellectual Property". Similarly, the beverages the subject of the PepsiCo EBA and the SVC EBA will be collectively referred to as "the Beverages".</w:t>
      </w:r>
    </w:p>
    <w:p w14:paraId="1CE17B36"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Central to these appeals is that the PepsiCo EBA, and separately</w:t>
      </w:r>
      <w:r w:rsidRPr="00ED2188" w:rsidDel="00F930E7">
        <w:rPr>
          <w:rFonts w:ascii="Times New Roman" w:hAnsi="Times New Roman"/>
        </w:rPr>
        <w:t xml:space="preserve"> </w:t>
      </w:r>
      <w:r w:rsidRPr="00ED2188">
        <w:rPr>
          <w:rFonts w:ascii="Times New Roman" w:hAnsi="Times New Roman"/>
        </w:rPr>
        <w:t xml:space="preserve">the SVC EBA, provided that PepsiCo or SVC respectively would sell (or cause to be sold by one of its subsidiaries) to SAPL the flavour concentrates for the manufacture of the Beverages by SAPL. At the relevant times, SAPL bought concentrate from, and paid, PepsiCo Beverage Singapore Pty Ltd, a PepsiCo subsidiary incorporated in Australia ("PBS"). SAPL made no payments to PepsiCo or SVC. No provision was made in either EBA for the payment by SAPL to PepsiCo or SVC respectively of a royalty for its use of the PepsiCo Intellectual Property. </w:t>
      </w:r>
    </w:p>
    <w:p w14:paraId="11408B8E"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In December 2020 and January 2022, the appellant ("the Commissioner") issued notices</w:t>
      </w:r>
      <w:r w:rsidRPr="00ED2188" w:rsidDel="00B23305">
        <w:rPr>
          <w:rFonts w:ascii="Times New Roman" w:hAnsi="Times New Roman"/>
        </w:rPr>
        <w:t xml:space="preserve"> of </w:t>
      </w:r>
      <w:r w:rsidRPr="00ED2188">
        <w:rPr>
          <w:rFonts w:ascii="Times New Roman" w:hAnsi="Times New Roman"/>
        </w:rPr>
        <w:t>assessment to each of PepsiCo and SVC for the years ended 30 June 2018 and 30 June 2019.</w:t>
      </w:r>
      <w:r w:rsidRPr="00ED2188">
        <w:rPr>
          <w:rStyle w:val="FootnoteReference"/>
          <w:rFonts w:ascii="Times New Roman" w:hAnsi="Times New Roman"/>
          <w:sz w:val="24"/>
        </w:rPr>
        <w:footnoteReference w:id="128"/>
      </w:r>
      <w:r w:rsidRPr="00ED2188">
        <w:rPr>
          <w:rFonts w:ascii="Times New Roman" w:hAnsi="Times New Roman"/>
        </w:rPr>
        <w:t xml:space="preserve"> The notices were issued on the basis that part </w:t>
      </w:r>
      <w:r w:rsidRPr="00ED2188">
        <w:rPr>
          <w:rFonts w:ascii="Times New Roman" w:hAnsi="Times New Roman"/>
        </w:rPr>
        <w:lastRenderedPageBreak/>
        <w:t xml:space="preserve">of the payments made by SAPL to PBS for the supply of concentrate was a royalty paid to or derived by PepsiCo or SVC on which withholding tax was payable under s 128B(2B) of the </w:t>
      </w:r>
      <w:r w:rsidRPr="00ED2188">
        <w:rPr>
          <w:rFonts w:ascii="Times New Roman" w:hAnsi="Times New Roman"/>
          <w:i/>
          <w:iCs/>
        </w:rPr>
        <w:t xml:space="preserve">Income Tax Assessment Act </w:t>
      </w:r>
      <w:r w:rsidRPr="00ED2188">
        <w:rPr>
          <w:rFonts w:ascii="Times New Roman" w:hAnsi="Times New Roman"/>
          <w:i/>
        </w:rPr>
        <w:t>1936</w:t>
      </w:r>
      <w:r w:rsidRPr="00ED2188">
        <w:rPr>
          <w:rFonts w:ascii="Times New Roman" w:hAnsi="Times New Roman"/>
        </w:rPr>
        <w:t xml:space="preserve"> (Cth) ("the ITAA 1936"), and, in the alternative, effected a diversion of profit which accrued to PepsiCo or SVC for which they were liable to pay diverted profits tax ("DPT") under s 177J in Pt IVA of the ITAA 1936. </w:t>
      </w:r>
    </w:p>
    <w:p w14:paraId="74367E41"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These appeals arise from proceedings brought by PepsiCo and SVC in the Federal Court of Australia challenging the assessments.</w:t>
      </w:r>
      <w:r w:rsidRPr="00ED2188">
        <w:rPr>
          <w:rStyle w:val="FootnoteReference"/>
          <w:rFonts w:ascii="Times New Roman" w:hAnsi="Times New Roman"/>
          <w:sz w:val="24"/>
        </w:rPr>
        <w:footnoteReference w:id="129"/>
      </w:r>
      <w:r w:rsidRPr="00ED2188">
        <w:rPr>
          <w:rFonts w:ascii="Times New Roman" w:hAnsi="Times New Roman"/>
        </w:rPr>
        <w:t xml:space="preserve"> The primary judge held that "the payments were, to some extent, </w:t>
      </w:r>
      <w:r w:rsidRPr="00ED2188">
        <w:rPr>
          <w:rFonts w:ascii="Times New Roman" w:hAnsi="Times New Roman"/>
          <w:i/>
          <w:iCs/>
        </w:rPr>
        <w:t>consideration for</w:t>
      </w:r>
      <w:r w:rsidRPr="00ED2188">
        <w:rPr>
          <w:rFonts w:ascii="Times New Roman" w:hAnsi="Times New Roman"/>
        </w:rPr>
        <w:t xml:space="preserve"> the use of, or the right to use, the relevant trademarks and other intellectual property"</w:t>
      </w:r>
      <w:r w:rsidRPr="00ED2188">
        <w:rPr>
          <w:rStyle w:val="FootnoteReference"/>
          <w:rFonts w:ascii="Times New Roman" w:hAnsi="Times New Roman"/>
          <w:sz w:val="24"/>
        </w:rPr>
        <w:footnoteReference w:id="130"/>
      </w:r>
      <w:r w:rsidRPr="00ED2188">
        <w:rPr>
          <w:rFonts w:ascii="Times New Roman" w:hAnsi="Times New Roman"/>
        </w:rPr>
        <w:t xml:space="preserve"> on which royalty withholding tax was payable, and, alternatively, that DPT was payable. A majority of the Full Federal Court allowed the appeals brought by PepsiCo and SVC.</w:t>
      </w:r>
    </w:p>
    <w:p w14:paraId="6996823D"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The Commissioner pursued three grounds of appeal before this Court: first,</w:t>
      </w:r>
      <w:r>
        <w:rPr>
          <w:rFonts w:ascii="Times New Roman" w:hAnsi="Times New Roman"/>
        </w:rPr>
        <w:t> </w:t>
      </w:r>
      <w:r w:rsidRPr="00ED2188">
        <w:rPr>
          <w:rFonts w:ascii="Times New Roman" w:hAnsi="Times New Roman"/>
        </w:rPr>
        <w:t>that the Full Federal Court ought to have found that payments made by SAPL to PBS included a "royalty" paid "as consideration for" the use of or right to use the PepsiCo Intellectual Property licensed to SAPL, within the meaning of the</w:t>
      </w:r>
      <w:r>
        <w:rPr>
          <w:rFonts w:ascii="Times New Roman" w:hAnsi="Times New Roman"/>
        </w:rPr>
        <w:t> </w:t>
      </w:r>
      <w:r w:rsidRPr="00ED2188">
        <w:rPr>
          <w:rFonts w:ascii="Times New Roman" w:hAnsi="Times New Roman"/>
        </w:rPr>
        <w:t>definition of "royalty" in s 6(1) of the ITAA 1936; second, and related to the</w:t>
      </w:r>
      <w:r>
        <w:rPr>
          <w:rFonts w:ascii="Times New Roman" w:hAnsi="Times New Roman"/>
        </w:rPr>
        <w:t> </w:t>
      </w:r>
      <w:r w:rsidRPr="00ED2188">
        <w:rPr>
          <w:rFonts w:ascii="Times New Roman" w:hAnsi="Times New Roman"/>
        </w:rPr>
        <w:t>first appeal ground, that the Full Federal Court ought to have found that the</w:t>
      </w:r>
      <w:r>
        <w:rPr>
          <w:rFonts w:ascii="Times New Roman" w:hAnsi="Times New Roman"/>
        </w:rPr>
        <w:t> </w:t>
      </w:r>
      <w:r w:rsidRPr="00ED2188">
        <w:rPr>
          <w:rFonts w:ascii="Times New Roman" w:hAnsi="Times New Roman"/>
        </w:rPr>
        <w:t xml:space="preserve">"royalty" was income "derived" by and "paid to" PepsiCo or SVC under s 128B(2B) of the ITAA 1936, and that withholding tax was therefore payable under s 128B(5A); third, and in the alternative, that if no royalty withholding tax was payable by PepsiCo or SVC, the Full Federal Court ought to have found that PepsiCo and SVC were liable for DPT for the purposes of ss 177J and 177P of the ITAA 1936. </w:t>
      </w:r>
    </w:p>
    <w:p w14:paraId="4E0F5D76"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r>
      <w:bookmarkStart w:id="0" w:name="_Ref193732693"/>
      <w:r w:rsidRPr="00ED2188">
        <w:rPr>
          <w:rFonts w:ascii="Times New Roman" w:hAnsi="Times New Roman"/>
        </w:rPr>
        <w:t>The Commissioner's argument ultimately depended on two related ideas: first, that PepsiCo and SVC had licensed SAPL to use the PepsiCo Intellectual Property; and second, that, unless part of the price SAPL paid to PBS for concentrate was a royalty paid to or derived by PepsiCo or SVC, SAPL obtained the licence to use the PepsiCo Intellectual Property for nothing. As these reasons will show, although SAPL did obtain a licence to use the PepsiCo Intellectual Property, no part of the price for the concentrate was payment for that licence. But</w:t>
      </w:r>
      <w:r>
        <w:rPr>
          <w:rFonts w:ascii="Times New Roman" w:hAnsi="Times New Roman"/>
        </w:rPr>
        <w:t> </w:t>
      </w:r>
      <w:r w:rsidRPr="00ED2188">
        <w:rPr>
          <w:rFonts w:ascii="Times New Roman" w:hAnsi="Times New Roman"/>
        </w:rPr>
        <w:t>SAPL did not obtain the licence for nothing.</w:t>
      </w:r>
      <w:r w:rsidRPr="00ED2188" w:rsidDel="00EC1EE2">
        <w:rPr>
          <w:rFonts w:ascii="Times New Roman" w:hAnsi="Times New Roman"/>
        </w:rPr>
        <w:t xml:space="preserve"> </w:t>
      </w:r>
      <w:r w:rsidRPr="00ED2188">
        <w:rPr>
          <w:rFonts w:ascii="Times New Roman" w:hAnsi="Times New Roman"/>
        </w:rPr>
        <w:t xml:space="preserve">The right to use the PepsiCo Intellectual Property was part of a comprehensive commercial arrangement, </w:t>
      </w:r>
      <w:r w:rsidRPr="00ED2188">
        <w:rPr>
          <w:rFonts w:ascii="Times New Roman" w:hAnsi="Times New Roman"/>
        </w:rPr>
        <w:lastRenderedPageBreak/>
        <w:t>an</w:t>
      </w:r>
      <w:r>
        <w:rPr>
          <w:rFonts w:ascii="Times New Roman" w:hAnsi="Times New Roman"/>
        </w:rPr>
        <w:t> </w:t>
      </w:r>
      <w:r w:rsidRPr="00ED2188">
        <w:rPr>
          <w:rFonts w:ascii="Times New Roman" w:hAnsi="Times New Roman"/>
        </w:rPr>
        <w:t>essential element of which obliged SAPL to build PepsiCo's and SVC's brands and strengthen the PepsiCo Intellectual Property. The more successful SAPL was, the more valuable the PepsiCo Intellectual Property became. SAPL's agreement to build the brands was of real value to PepsiCo and SVC. It was not "nothing". The</w:t>
      </w:r>
      <w:r>
        <w:rPr>
          <w:rFonts w:ascii="Times New Roman" w:hAnsi="Times New Roman"/>
        </w:rPr>
        <w:t> </w:t>
      </w:r>
      <w:r w:rsidRPr="00ED2188">
        <w:rPr>
          <w:rFonts w:ascii="Times New Roman" w:hAnsi="Times New Roman"/>
        </w:rPr>
        <w:t>Commissioner was wrong</w:t>
      </w:r>
      <w:r w:rsidRPr="00ED2188" w:rsidDel="0049357B">
        <w:rPr>
          <w:rFonts w:ascii="Times New Roman" w:hAnsi="Times New Roman"/>
        </w:rPr>
        <w:t xml:space="preserve"> </w:t>
      </w:r>
      <w:r w:rsidRPr="00ED2188">
        <w:rPr>
          <w:rFonts w:ascii="Times New Roman" w:hAnsi="Times New Roman"/>
        </w:rPr>
        <w:t>to assert that part of the arm's length price paid by SAPL to PBS for concentrate had to be treated as payment from SAPL to PepsiCo or SVC for the right of SAPL to use the PepsiCo Intellectual Property. There is no legal or economic reason to make that leap in logic. To do so would involve assigning part of the fair price paid for goods to</w:t>
      </w:r>
      <w:r w:rsidRPr="00ED2188" w:rsidDel="00DE34BA">
        <w:rPr>
          <w:rFonts w:ascii="Times New Roman" w:hAnsi="Times New Roman"/>
        </w:rPr>
        <w:t xml:space="preserve"> </w:t>
      </w:r>
      <w:r w:rsidRPr="00ED2188">
        <w:rPr>
          <w:rFonts w:ascii="Times New Roman" w:hAnsi="Times New Roman"/>
        </w:rPr>
        <w:t xml:space="preserve">a different commercial bargain. The Commissioner's appeals to this Court should be dismissed. </w:t>
      </w:r>
    </w:p>
    <w:p w14:paraId="3E816902"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Critical to the resolution of these appeals is the proper construction of the agreements between SAPL and PepsiCo, and between SAPL and SVC. Importantly, the agreements either acknowledged or contained positive obligations upon SAPL to bottle, market, promote, distribute, and sell the Beverages. The PepsiCo EBA recorded that a Performance Agreement regarding the operation of SAPL had been entered into between Pepsi-Cola International, Cork, a subsidiary of PepsiCo, and SAPL ("the Performance Agreement"). The PepsiCo EBA also recorded that SAPL would actively advertise the Beverages and vigorously engage in sales promotion activities for the Beverages in the Territory, and that SAPL and PepsiCo (or one of its subsidiaries) would enter into a Co</w:t>
      </w:r>
      <w:r w:rsidRPr="00ED2188">
        <w:rPr>
          <w:rFonts w:ascii="Times New Roman" w:hAnsi="Times New Roman"/>
        </w:rPr>
        <w:noBreakHyphen/>
        <w:t>operative Advertising and Marketing Agreement which would govern all matters relating to the advertising and marketing of Beverages in the Territory. A representative annual Co</w:t>
      </w:r>
      <w:r w:rsidRPr="00ED2188">
        <w:rPr>
          <w:rFonts w:ascii="Times New Roman" w:hAnsi="Times New Roman"/>
        </w:rPr>
        <w:noBreakHyphen/>
        <w:t>operative Advertising and Marketing Agreement between PBS and SAPL dated 1 January 2017 ("the 2017 Annual Co-op A&amp;M Agreement") was provided to the Court by the parties. The</w:t>
      </w:r>
      <w:r>
        <w:rPr>
          <w:rFonts w:ascii="Times New Roman" w:hAnsi="Times New Roman"/>
        </w:rPr>
        <w:t xml:space="preserve"> </w:t>
      </w:r>
      <w:r w:rsidRPr="00ED2188">
        <w:rPr>
          <w:rFonts w:ascii="Times New Roman" w:hAnsi="Times New Roman"/>
        </w:rPr>
        <w:t>Performance Agreement recorded that the Performance Agreement, the PepsiCo EBA and the annual Co</w:t>
      </w:r>
      <w:r w:rsidRPr="00ED2188">
        <w:rPr>
          <w:rFonts w:ascii="Times New Roman" w:hAnsi="Times New Roman"/>
        </w:rPr>
        <w:noBreakHyphen/>
        <w:t>operative Advertising and Marketing Agreement contained the</w:t>
      </w:r>
      <w:r>
        <w:rPr>
          <w:rFonts w:ascii="Times New Roman" w:hAnsi="Times New Roman"/>
        </w:rPr>
        <w:t> </w:t>
      </w:r>
      <w:r w:rsidRPr="00ED2188">
        <w:rPr>
          <w:rFonts w:ascii="Times New Roman" w:hAnsi="Times New Roman"/>
        </w:rPr>
        <w:t>entire agreement between the parties. That entire agreement will be referred to as "the SAPL Bottler, Seller and Distributor Agreement</w:t>
      </w:r>
      <w:r w:rsidRPr="00ED2188">
        <w:rPr>
          <w:rFonts w:ascii="Times New Roman" w:hAnsi="Times New Roman"/>
          <w:bCs/>
        </w:rPr>
        <w:t>"</w:t>
      </w:r>
      <w:r w:rsidRPr="00ED2188">
        <w:rPr>
          <w:rFonts w:ascii="Times New Roman" w:hAnsi="Times New Roman"/>
        </w:rPr>
        <w:t xml:space="preserve">. </w:t>
      </w:r>
      <w:bookmarkEnd w:id="0"/>
    </w:p>
    <w:p w14:paraId="05A65636"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It was common ground that the SVC EBA included within it, rather than by separate agreement, obligations in not dissimilar terms to those found in the</w:t>
      </w:r>
      <w:r>
        <w:rPr>
          <w:rFonts w:ascii="Times New Roman" w:hAnsi="Times New Roman"/>
        </w:rPr>
        <w:t> </w:t>
      </w:r>
      <w:r w:rsidRPr="00ED2188">
        <w:rPr>
          <w:rFonts w:ascii="Times New Roman" w:hAnsi="Times New Roman"/>
        </w:rPr>
        <w:t>Performance Agreement and the 2017 Annual Co</w:t>
      </w:r>
      <w:r w:rsidRPr="00ED2188">
        <w:rPr>
          <w:rFonts w:ascii="Times New Roman" w:hAnsi="Times New Roman"/>
        </w:rPr>
        <w:noBreakHyphen/>
        <w:t xml:space="preserve">op A&amp;M Agreement. Consistent with the manner in which the parties argued these appeals in this Court, these reasons will address PepsiCo and the </w:t>
      </w:r>
      <w:r w:rsidRPr="00ED2188">
        <w:rPr>
          <w:rFonts w:ascii="Times New Roman" w:hAnsi="Times New Roman"/>
          <w:bCs/>
        </w:rPr>
        <w:t>SAPL Bottler, Seller and Distributor Agreement</w:t>
      </w:r>
      <w:r w:rsidRPr="00ED2188">
        <w:rPr>
          <w:rFonts w:ascii="Times New Roman" w:hAnsi="Times New Roman"/>
        </w:rPr>
        <w:t xml:space="preserve"> and refer only to SVC and the SVC EBA where necessary to do so. These reasons should be taken to apply to SVC and the SVC EBA except where otherwise noted. It is necessary to address the terms of the </w:t>
      </w:r>
      <w:r w:rsidRPr="00ED2188">
        <w:rPr>
          <w:rFonts w:ascii="Times New Roman" w:hAnsi="Times New Roman"/>
          <w:bCs/>
        </w:rPr>
        <w:t>SAPL Bottler, Seller and Distributor Agreement</w:t>
      </w:r>
      <w:r w:rsidRPr="00ED2188" w:rsidDel="002A4FE5">
        <w:rPr>
          <w:rFonts w:ascii="Times New Roman" w:hAnsi="Times New Roman"/>
        </w:rPr>
        <w:t xml:space="preserve"> </w:t>
      </w:r>
      <w:r w:rsidRPr="00ED2188">
        <w:rPr>
          <w:rFonts w:ascii="Times New Roman" w:hAnsi="Times New Roman"/>
        </w:rPr>
        <w:t>in some detail.</w:t>
      </w:r>
    </w:p>
    <w:p w14:paraId="5945F8FB" w14:textId="77777777" w:rsidR="00A143F4" w:rsidRPr="00ED2188" w:rsidRDefault="00A143F4" w:rsidP="00ED2188">
      <w:pPr>
        <w:pStyle w:val="HeadingL1"/>
        <w:spacing w:after="260" w:line="280" w:lineRule="exact"/>
        <w:ind w:right="0"/>
        <w:jc w:val="both"/>
        <w:rPr>
          <w:rFonts w:ascii="Times New Roman" w:hAnsi="Times New Roman"/>
        </w:rPr>
      </w:pPr>
      <w:r w:rsidRPr="00ED2188">
        <w:rPr>
          <w:rFonts w:ascii="Times New Roman" w:hAnsi="Times New Roman"/>
        </w:rPr>
        <w:lastRenderedPageBreak/>
        <w:t>SAPL Bottler, Seller and Distributor Agreement</w:t>
      </w:r>
    </w:p>
    <w:p w14:paraId="6C6DAB31"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The SAPL Bottler, Seller and Distributor Agreement was a composite agreement recorded in three agreements, to be read together: the PepsiCo EBA, the Performance Agreement, and the 2017 Annual Co-op A&amp;M Agreement. The specific contractual rights and obligations of the parties to the SAPL Bottler, Seller and Distributor Agreement are to be construed objectively, by reference to the language used, circumstances addressed and commercial purpose or objects to be secured.</w:t>
      </w:r>
      <w:r w:rsidRPr="00ED2188">
        <w:rPr>
          <w:rStyle w:val="FootnoteReference"/>
          <w:rFonts w:ascii="Times New Roman" w:hAnsi="Times New Roman"/>
          <w:sz w:val="24"/>
        </w:rPr>
        <w:footnoteReference w:id="131"/>
      </w:r>
    </w:p>
    <w:p w14:paraId="464D7A3A"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The PepsiCo EBA restated and amended an earlier Exclusive Bottling Appointment dated 6 December 2000 between SAPL, PepsiCo and CMCl. Under</w:t>
      </w:r>
      <w:r>
        <w:rPr>
          <w:rFonts w:ascii="Times New Roman" w:hAnsi="Times New Roman"/>
        </w:rPr>
        <w:t> </w:t>
      </w:r>
      <w:r w:rsidRPr="00ED2188">
        <w:rPr>
          <w:rFonts w:ascii="Times New Roman" w:hAnsi="Times New Roman"/>
        </w:rPr>
        <w:t>the PepsiCo EBA, SAPL was exclusively appointed by PepsiCo "to bottle, sell and distribute" certain beverages under the trade marks PEPSI, PEPSI MAX, PEPSI LIGHT, PEPSI LIGHT CAFFEINE FREE and MOUNTAIN DEW and by CMCI "to bottle, sell and distribute" certain beverages under the trade mark SEVEN-UP ("the Trade Marks") within the Territory, for ultimate resale within the Territory, on the terms of the PepsiCo EBA.</w:t>
      </w:r>
      <w:r w:rsidRPr="00ED2188">
        <w:rPr>
          <w:rStyle w:val="FootnoteReference"/>
          <w:rFonts w:ascii="Times New Roman" w:hAnsi="Times New Roman"/>
          <w:sz w:val="24"/>
        </w:rPr>
        <w:footnoteReference w:id="132"/>
      </w:r>
      <w:r w:rsidRPr="00ED2188">
        <w:rPr>
          <w:rFonts w:ascii="Times New Roman" w:hAnsi="Times New Roman"/>
        </w:rPr>
        <w:t xml:space="preserve"> SAPL accepted the appointment "to bottle, sell and distribute" the Beverages on the terms of the PepsiCo EBA and agreed that it would do so only for ultimate resale to consumers in the Territory.</w:t>
      </w:r>
      <w:r w:rsidRPr="00ED2188">
        <w:rPr>
          <w:rStyle w:val="FootnoteReference"/>
          <w:rFonts w:ascii="Times New Roman" w:hAnsi="Times New Roman"/>
          <w:sz w:val="24"/>
        </w:rPr>
        <w:footnoteReference w:id="133"/>
      </w:r>
      <w:r w:rsidRPr="00ED2188">
        <w:rPr>
          <w:rFonts w:ascii="Times New Roman" w:hAnsi="Times New Roman"/>
        </w:rPr>
        <w:t xml:space="preserve"> Nothing in the PepsiCo EBA created or was deemed to create any relationship of agency, partnership or joint venture between SAPL and PepsiCo.</w:t>
      </w:r>
      <w:r w:rsidRPr="00ED2188">
        <w:rPr>
          <w:rStyle w:val="FootnoteReference"/>
          <w:rFonts w:ascii="Times New Roman" w:hAnsi="Times New Roman"/>
          <w:sz w:val="24"/>
        </w:rPr>
        <w:footnoteReference w:id="134"/>
      </w:r>
      <w:r w:rsidRPr="00ED2188">
        <w:rPr>
          <w:rFonts w:ascii="Times New Roman" w:hAnsi="Times New Roman"/>
        </w:rPr>
        <w:t xml:space="preserve"> As will be seen, SAPL's appointment is multifaceted and interconnected – to "bottle, sell and distribute". It is necessary to address each aspect of that appointment.</w:t>
      </w:r>
    </w:p>
    <w:p w14:paraId="2556CDA0" w14:textId="77777777" w:rsidR="00A143F4" w:rsidRPr="00ED2188" w:rsidRDefault="00A143F4" w:rsidP="00ED2188">
      <w:pPr>
        <w:pStyle w:val="HeadingL2"/>
        <w:spacing w:after="260" w:line="280" w:lineRule="exact"/>
        <w:ind w:right="0"/>
        <w:jc w:val="both"/>
        <w:rPr>
          <w:rFonts w:ascii="Times New Roman" w:hAnsi="Times New Roman"/>
        </w:rPr>
      </w:pPr>
      <w:r w:rsidRPr="00ED2188">
        <w:rPr>
          <w:rFonts w:ascii="Times New Roman" w:hAnsi="Times New Roman"/>
        </w:rPr>
        <w:t>Bottling</w:t>
      </w:r>
    </w:p>
    <w:p w14:paraId="0E1B42B4"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 xml:space="preserve">Mr Lovorn, the General Manager of PepsiCo Global Concentrate Solutions, whose evidence the primary judge relevantly accepted, gave evidence that bottlers mostly use a standardised and well-known "cold fill process" which involves pouring the ingredients and blends from a concentrate kit into a mixer and adding water, and sometimes sugar or a sweetener, and blending it. That mixture is then put in a bottle or can with carbon dioxide and enclosed in the approved packaging. </w:t>
      </w:r>
      <w:r w:rsidRPr="00ED2188">
        <w:rPr>
          <w:rFonts w:ascii="Times New Roman" w:hAnsi="Times New Roman"/>
        </w:rPr>
        <w:lastRenderedPageBreak/>
        <w:t>Mr Lovorn described the bottling process as "compared to baking a cake using store</w:t>
      </w:r>
      <w:r w:rsidRPr="00ED2188">
        <w:rPr>
          <w:rFonts w:ascii="Times New Roman" w:hAnsi="Times New Roman"/>
        </w:rPr>
        <w:noBreakHyphen/>
        <w:t>bought cake mix because it involves taking a product which is homogenous, blended in specific proportions, engineered to produce a particular kind of cake with a familiar taste, to which the home baker usually adds basic ingredients". Put</w:t>
      </w:r>
      <w:r>
        <w:rPr>
          <w:rFonts w:ascii="Times New Roman" w:hAnsi="Times New Roman"/>
        </w:rPr>
        <w:t> </w:t>
      </w:r>
      <w:r w:rsidRPr="00ED2188">
        <w:rPr>
          <w:rFonts w:ascii="Times New Roman" w:hAnsi="Times New Roman"/>
        </w:rPr>
        <w:t>in different terms, PepsiCo took away all the complexity from the process. PepsiCo provides the ingredient; PepsiCo provides the proprietary formulations; and PepsiCo works with the suppliers in qualifying ingredients that the bottler buys from PepsiCo's qualified suppliers. The bottler manufactures the beverage.</w:t>
      </w:r>
    </w:p>
    <w:p w14:paraId="46DAA31F"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The first aspect of the PepsiCo EBA was the supply of concentrate required for the manufacture of the Beverages. This aspect was the focus of the</w:t>
      </w:r>
      <w:r>
        <w:rPr>
          <w:rFonts w:ascii="Times New Roman" w:hAnsi="Times New Roman"/>
        </w:rPr>
        <w:t> </w:t>
      </w:r>
      <w:r w:rsidRPr="00ED2188">
        <w:rPr>
          <w:rFonts w:ascii="Times New Roman" w:hAnsi="Times New Roman"/>
        </w:rPr>
        <w:t>Commissioner's case against PepsiCo. Under cl 4(a) of the PepsiCo EBA, PepsiCo agreed to "sell or cause to be sold by one of its subsidiaries" ("the Seller") to SAPL and SAPL agreed to "buy only from [the] Seller" all units of concentrate required for the manufacture of the Beverages by SAPL.</w:t>
      </w:r>
    </w:p>
    <w:p w14:paraId="4CB0AAC9" w14:textId="77777777" w:rsidR="00A143F4" w:rsidRPr="00FB752B" w:rsidRDefault="00A143F4" w:rsidP="00ED2188">
      <w:pPr>
        <w:pStyle w:val="FixListStyle"/>
        <w:spacing w:after="260" w:line="280" w:lineRule="exact"/>
        <w:ind w:right="0"/>
        <w:jc w:val="both"/>
        <w:rPr>
          <w:rStyle w:val="CommentReference"/>
          <w:rFonts w:ascii="Times New Roman" w:hAnsi="Times New Roman"/>
          <w:sz w:val="26"/>
          <w:szCs w:val="26"/>
        </w:rPr>
      </w:pPr>
      <w:r w:rsidRPr="00ED2188">
        <w:rPr>
          <w:rFonts w:ascii="Times New Roman" w:hAnsi="Times New Roman"/>
        </w:rPr>
        <w:tab/>
        <w:t>That obligation in cl 4(a), properly construed, was a promise by PepsiCo to sell or cause to be sold by the nominated Seller, and a promise by SAPL to buy from PepsiCo or the nominated Seller, concentrate in the future. Contrary to the</w:t>
      </w:r>
      <w:r>
        <w:rPr>
          <w:rFonts w:ascii="Times New Roman" w:hAnsi="Times New Roman"/>
        </w:rPr>
        <w:t> </w:t>
      </w:r>
      <w:r w:rsidRPr="00ED2188">
        <w:rPr>
          <w:rFonts w:ascii="Times New Roman" w:hAnsi="Times New Roman"/>
        </w:rPr>
        <w:t>submissions of the Commissioner, it was not a "sale clause". It was a promise to enter into future agreements for the sale and purchase of concentrate.</w:t>
      </w:r>
    </w:p>
    <w:p w14:paraId="3094C8A6" w14:textId="77777777" w:rsidR="00A143F4" w:rsidRPr="00ED2188" w:rsidRDefault="00A143F4" w:rsidP="00ED2188">
      <w:pPr>
        <w:pStyle w:val="FixListStyle"/>
        <w:spacing w:after="260" w:line="280" w:lineRule="exact"/>
        <w:ind w:right="0"/>
        <w:jc w:val="both"/>
        <w:rPr>
          <w:rFonts w:ascii="Times New Roman" w:hAnsi="Times New Roman"/>
        </w:rPr>
      </w:pPr>
      <w:r w:rsidRPr="00FB752B">
        <w:rPr>
          <w:rStyle w:val="CommentReference"/>
          <w:rFonts w:ascii="Times New Roman" w:hAnsi="Times New Roman"/>
          <w:sz w:val="26"/>
          <w:szCs w:val="26"/>
        </w:rPr>
        <w:tab/>
        <w:t>I</w:t>
      </w:r>
      <w:r w:rsidRPr="00ED2188">
        <w:rPr>
          <w:rFonts w:ascii="Times New Roman" w:hAnsi="Times New Roman"/>
        </w:rPr>
        <w:t>t may be accepted that the PepsiCo EBA dictated some of the terms of those future sales of concentrate between SAPL and the Seller. For example, the</w:t>
      </w:r>
      <w:r>
        <w:rPr>
          <w:rFonts w:ascii="Times New Roman" w:hAnsi="Times New Roman"/>
        </w:rPr>
        <w:t> </w:t>
      </w:r>
      <w:r w:rsidRPr="00ED2188">
        <w:rPr>
          <w:rFonts w:ascii="Times New Roman" w:hAnsi="Times New Roman"/>
        </w:rPr>
        <w:t>prices per unit of concentrate for the 2009 calendar year were set out in cl 4(a) of the PepsiCo EBA</w:t>
      </w:r>
      <w:r w:rsidRPr="00ED2188">
        <w:rPr>
          <w:rStyle w:val="FootnoteReference"/>
          <w:rFonts w:ascii="Times New Roman" w:hAnsi="Times New Roman"/>
          <w:sz w:val="24"/>
        </w:rPr>
        <w:footnoteReference w:id="135"/>
      </w:r>
      <w:r w:rsidRPr="00ED2188">
        <w:rPr>
          <w:rFonts w:ascii="Times New Roman" w:hAnsi="Times New Roman"/>
        </w:rPr>
        <w:t xml:space="preserve"> and the Seller was required to be paid in full for each order of concentrate within seven days of delivery.</w:t>
      </w:r>
      <w:r w:rsidRPr="00ED2188">
        <w:rPr>
          <w:rStyle w:val="FootnoteReference"/>
          <w:rFonts w:ascii="Times New Roman" w:hAnsi="Times New Roman"/>
          <w:sz w:val="24"/>
        </w:rPr>
        <w:footnoteReference w:id="136"/>
      </w:r>
      <w:r w:rsidRPr="00ED2188">
        <w:rPr>
          <w:rFonts w:ascii="Times New Roman" w:hAnsi="Times New Roman"/>
        </w:rPr>
        <w:t xml:space="preserve"> Although the PepsiCo EBA dictated some of the terms of those future sales of concentrate, cl 4 did not provide for or conclude a sale. Instead, it spoke of obligations (or their terms) in the future: PepsiCo "will sell or cause to be sold" and SAPL will "buy only from [the] Seller ... all units of concentrate". </w:t>
      </w:r>
    </w:p>
    <w:p w14:paraId="56E243CC"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 xml:space="preserve">In the case of the SVC EBA, that proposition is even clearer. Clause 7.1(b) provided: "If the [concentrate] is supplied by a Related Corporation of [SVC] or a Company Affiliate, the terms of this Agreement, to the extent that they are relevant, apply to transactions between [SAPL] and the Related Corporation of [SVC] or Company Affiliate". The reference to "transactions" and to such </w:t>
      </w:r>
      <w:r w:rsidRPr="00ED2188">
        <w:rPr>
          <w:rFonts w:ascii="Times New Roman" w:hAnsi="Times New Roman"/>
        </w:rPr>
        <w:lastRenderedPageBreak/>
        <w:t>transactions being governed by "terms" self-evidently contemplates a series of future contracts for the sale of concentrate.</w:t>
      </w:r>
    </w:p>
    <w:p w14:paraId="414FCB7E"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r>
      <w:r w:rsidRPr="00ED2188" w:rsidDel="004D019B">
        <w:rPr>
          <w:rFonts w:ascii="Times New Roman" w:hAnsi="Times New Roman"/>
        </w:rPr>
        <w:t>Consistent with cl 4(a) of the PepsiCo EBA, on 8 December 2015 SAPL was notified that, with effect from 1 January 2016, the</w:t>
      </w:r>
      <w:r w:rsidRPr="00ED2188">
        <w:rPr>
          <w:rFonts w:ascii="Times New Roman" w:hAnsi="Times New Roman"/>
        </w:rPr>
        <w:t> </w:t>
      </w:r>
      <w:r w:rsidRPr="00ED2188" w:rsidDel="004D019B">
        <w:rPr>
          <w:rFonts w:ascii="Times New Roman" w:hAnsi="Times New Roman"/>
        </w:rPr>
        <w:t xml:space="preserve">Seller of the </w:t>
      </w:r>
      <w:r w:rsidRPr="00ED2188">
        <w:rPr>
          <w:rFonts w:ascii="Times New Roman" w:hAnsi="Times New Roman"/>
        </w:rPr>
        <w:t>c</w:t>
      </w:r>
      <w:r w:rsidRPr="00ED2188" w:rsidDel="004D019B">
        <w:rPr>
          <w:rFonts w:ascii="Times New Roman" w:hAnsi="Times New Roman"/>
        </w:rPr>
        <w:t>oncentrate would change to PBS and that "all</w:t>
      </w:r>
      <w:r w:rsidRPr="00ED2188">
        <w:rPr>
          <w:rFonts w:ascii="Times New Roman" w:hAnsi="Times New Roman"/>
        </w:rPr>
        <w:t> </w:t>
      </w:r>
      <w:r w:rsidRPr="00ED2188" w:rsidDel="004D019B">
        <w:rPr>
          <w:rFonts w:ascii="Times New Roman" w:hAnsi="Times New Roman"/>
        </w:rPr>
        <w:t>purchase orders should be sent to [PBS]". On</w:t>
      </w:r>
      <w:r>
        <w:rPr>
          <w:rFonts w:ascii="Times New Roman" w:hAnsi="Times New Roman"/>
        </w:rPr>
        <w:t> </w:t>
      </w:r>
      <w:r w:rsidRPr="00ED2188" w:rsidDel="004D019B">
        <w:rPr>
          <w:rFonts w:ascii="Times New Roman" w:hAnsi="Times New Roman"/>
        </w:rPr>
        <w:t>11</w:t>
      </w:r>
      <w:r w:rsidRPr="00ED2188">
        <w:rPr>
          <w:rFonts w:ascii="Times New Roman" w:hAnsi="Times New Roman"/>
        </w:rPr>
        <w:t> </w:t>
      </w:r>
      <w:r w:rsidRPr="00ED2188" w:rsidDel="004D019B">
        <w:rPr>
          <w:rFonts w:ascii="Times New Roman" w:hAnsi="Times New Roman"/>
        </w:rPr>
        <w:t xml:space="preserve">January 2016, PBS provided SAPL with its bank account details. From that point, SAPL sent purchase orders to PBS to buy specified quantities of concentrate and SAPL was invoiced by PBS for the concentrate </w:t>
      </w:r>
      <w:r w:rsidRPr="00ED2188">
        <w:rPr>
          <w:rFonts w:ascii="Times New Roman" w:hAnsi="Times New Roman"/>
        </w:rPr>
        <w:t>supplied</w:t>
      </w:r>
      <w:r w:rsidRPr="00ED2188" w:rsidDel="004D019B">
        <w:rPr>
          <w:rFonts w:ascii="Times New Roman" w:hAnsi="Times New Roman"/>
        </w:rPr>
        <w:t>.</w:t>
      </w:r>
      <w:r w:rsidRPr="00ED2188">
        <w:rPr>
          <w:rFonts w:ascii="Times New Roman" w:hAnsi="Times New Roman"/>
        </w:rPr>
        <w:t xml:space="preserve"> Properly construed, each purchase order and invoice evidenced a contract for the supply of concentrates between PBS and SAPL. </w:t>
      </w:r>
    </w:p>
    <w:p w14:paraId="2D3E6735"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SAPL paid PBS for the concentrate invoiced by making payments to PBS' nominated bank account. PBS' financial statements recorded a profit of $59,000 for the year ended 31 December 2018 and a profit of $231,000 for the year ended 31 December 2019. On total sales of concentrate during that period of approximately $240 million, PBS' margin was 0.05 per</w:t>
      </w:r>
      <w:r w:rsidRPr="00ED2188">
        <w:rPr>
          <w:rStyle w:val="CommentReference"/>
          <w:rFonts w:ascii="Times New Roman" w:hAnsi="Times New Roman"/>
        </w:rPr>
        <w:t> </w:t>
      </w:r>
      <w:r w:rsidRPr="00ED2188">
        <w:rPr>
          <w:rFonts w:ascii="Times New Roman" w:hAnsi="Times New Roman"/>
        </w:rPr>
        <w:t>cent.</w:t>
      </w:r>
    </w:p>
    <w:p w14:paraId="4E0A2C34"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b/>
          <w:bCs/>
        </w:rPr>
        <w:tab/>
      </w:r>
      <w:r w:rsidRPr="00ED2188">
        <w:rPr>
          <w:rFonts w:ascii="Times New Roman" w:hAnsi="Times New Roman"/>
        </w:rPr>
        <w:t>PBS, in turn, purchased the concentrate from concentrate manufacturers and, during the relevant period,</w:t>
      </w:r>
      <w:r w:rsidRPr="00ED2188" w:rsidDel="001C29F3">
        <w:rPr>
          <w:rFonts w:ascii="Times New Roman" w:hAnsi="Times New Roman"/>
        </w:rPr>
        <w:t xml:space="preserve"> </w:t>
      </w:r>
      <w:r w:rsidRPr="00ED2188">
        <w:rPr>
          <w:rFonts w:ascii="Times New Roman" w:hAnsi="Times New Roman"/>
        </w:rPr>
        <w:t>purchased the concentrate under a separate Concentrate Distribution Agreement ("the CDA") between PBS and Concentrate Manufacturing (Singapore) Pte Ltd ("CMSPL"), a member of the PepsiCo Group incorporated in Singapore. Under the CDA, effective 1 January 2018, CMSPL</w:t>
      </w:r>
      <w:r>
        <w:rPr>
          <w:rFonts w:ascii="Times New Roman" w:hAnsi="Times New Roman"/>
        </w:rPr>
        <w:t> </w:t>
      </w:r>
      <w:r w:rsidRPr="00ED2188">
        <w:rPr>
          <w:rFonts w:ascii="Times New Roman" w:hAnsi="Times New Roman"/>
        </w:rPr>
        <w:t>produced the concentrate and supplied that concentrate to PBS for distribution to bottlers in Australia, the Republic of Korea, Vietnam and Thailand. PBS purchased the concentrate from CMSPL at the price equal to PBS' sales price less a "Distribution Discount". The Distribution Discount constituted the sole monetary consideration to PBS for distributing the concentrate.</w:t>
      </w:r>
      <w:r w:rsidRPr="00ED2188">
        <w:rPr>
          <w:rStyle w:val="FootnoteReference"/>
          <w:rFonts w:ascii="Times New Roman" w:hAnsi="Times New Roman"/>
          <w:sz w:val="24"/>
        </w:rPr>
        <w:footnoteReference w:id="137"/>
      </w:r>
    </w:p>
    <w:p w14:paraId="774E9975"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PepsiCo licensed certain intellectual property rights to CMSPL for use in connection with the Beverages in the Territory (together "the CDA Intellectual Property"). Subject to the terms of the CDA (including any and all applicable Specifications and Style Standards), and to enable PBS to perform its obligations under the CDA, under s 5.1 of the CDA CMSPL granted PBS a "royalty-free, limited, revocable, temporary ... sub-licensable licence to use and/or to authorize its Approved Resellers</w:t>
      </w:r>
      <w:r w:rsidRPr="00ED2188">
        <w:rPr>
          <w:rFonts w:ascii="Times New Roman" w:hAnsi="Times New Roman"/>
          <w:sz w:val="24"/>
          <w:vertAlign w:val="superscript"/>
        </w:rPr>
        <w:t>[</w:t>
      </w:r>
      <w:r w:rsidRPr="00ED2188">
        <w:rPr>
          <w:rStyle w:val="FootnoteReference"/>
          <w:rFonts w:ascii="Times New Roman" w:hAnsi="Times New Roman"/>
          <w:sz w:val="24"/>
        </w:rPr>
        <w:footnoteReference w:id="138"/>
      </w:r>
      <w:r w:rsidRPr="00ED2188">
        <w:rPr>
          <w:rFonts w:ascii="Times New Roman" w:hAnsi="Times New Roman"/>
          <w:sz w:val="24"/>
          <w:vertAlign w:val="superscript"/>
        </w:rPr>
        <w:t>]</w:t>
      </w:r>
      <w:r w:rsidRPr="00ED2188">
        <w:rPr>
          <w:rFonts w:ascii="Times New Roman" w:hAnsi="Times New Roman"/>
        </w:rPr>
        <w:t xml:space="preserve"> to use the [CDA] Intellectual Property within </w:t>
      </w:r>
      <w:r w:rsidRPr="00ED2188">
        <w:rPr>
          <w:rFonts w:ascii="Times New Roman" w:hAnsi="Times New Roman"/>
        </w:rPr>
        <w:lastRenderedPageBreak/>
        <w:t>the</w:t>
      </w:r>
      <w:r>
        <w:rPr>
          <w:rFonts w:ascii="Times New Roman" w:hAnsi="Times New Roman"/>
        </w:rPr>
        <w:t> </w:t>
      </w:r>
      <w:r w:rsidRPr="00ED2188">
        <w:rPr>
          <w:rFonts w:ascii="Times New Roman" w:hAnsi="Times New Roman"/>
        </w:rPr>
        <w:t>Territory solely in connection with Distribution Activities</w:t>
      </w:r>
      <w:r w:rsidRPr="00ED2188">
        <w:rPr>
          <w:rFonts w:ascii="Times New Roman" w:hAnsi="Times New Roman"/>
          <w:sz w:val="24"/>
          <w:vertAlign w:val="superscript"/>
        </w:rPr>
        <w:t>[</w:t>
      </w:r>
      <w:r w:rsidRPr="00ED2188">
        <w:rPr>
          <w:rStyle w:val="FootnoteReference"/>
          <w:rFonts w:ascii="Times New Roman" w:hAnsi="Times New Roman"/>
          <w:sz w:val="24"/>
        </w:rPr>
        <w:footnoteReference w:id="139"/>
      </w:r>
      <w:r w:rsidRPr="00ED2188">
        <w:rPr>
          <w:rFonts w:ascii="Times New Roman" w:hAnsi="Times New Roman"/>
          <w:sz w:val="24"/>
          <w:vertAlign w:val="superscript"/>
        </w:rPr>
        <w:t>]</w:t>
      </w:r>
      <w:r w:rsidRPr="00ED2188">
        <w:rPr>
          <w:rFonts w:ascii="Times New Roman" w:hAnsi="Times New Roman"/>
        </w:rPr>
        <w:t>".</w:t>
      </w:r>
      <w:r w:rsidRPr="00ED2188">
        <w:rPr>
          <w:rFonts w:ascii="Times New Roman" w:hAnsi="Times New Roman"/>
          <w:b/>
          <w:bCs/>
        </w:rPr>
        <w:t xml:space="preserve"> </w:t>
      </w:r>
      <w:r w:rsidRPr="00ED2188">
        <w:rPr>
          <w:rFonts w:ascii="Times New Roman" w:hAnsi="Times New Roman"/>
        </w:rPr>
        <w:t>PBS agreed with CMSPL that any agreement that PBS entered into with a Bottler and/or Approved Reseller would bind the Bottler and/or Approved Reseller to the same obligations that bound PBS under Art 5 of the CDA in relation to intellectual property.</w:t>
      </w:r>
      <w:r w:rsidRPr="00ED2188">
        <w:rPr>
          <w:rStyle w:val="FootnoteReference"/>
          <w:rFonts w:ascii="Times New Roman" w:hAnsi="Times New Roman"/>
          <w:sz w:val="24"/>
        </w:rPr>
        <w:footnoteReference w:id="140"/>
      </w:r>
    </w:p>
    <w:p w14:paraId="1D622427"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Pausing at this point, the agreements which have been described show that the objective, unchallenged evidence was that SAPL placed orders for and paid for concentrate in accordance with invoices for the sale of concentrate issued by PBS. The concentrate sold by PBS had been purchased by PBS from CMSPL. In</w:t>
      </w:r>
      <w:r>
        <w:rPr>
          <w:rFonts w:ascii="Times New Roman" w:hAnsi="Times New Roman"/>
        </w:rPr>
        <w:t> </w:t>
      </w:r>
      <w:r w:rsidRPr="00ED2188">
        <w:rPr>
          <w:rFonts w:ascii="Times New Roman" w:hAnsi="Times New Roman"/>
        </w:rPr>
        <w:t xml:space="preserve">Australia, PBS returned and reported amounts paid by SAPL to PBS in its Australian income tax returns as income derived by it. </w:t>
      </w:r>
    </w:p>
    <w:p w14:paraId="5911AF61"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But the purchase of the concentrate is not the end of the analysis in relation to the manufacture and bottling of the Beverages. As Mr Lovorn explained, PepsiCo necessarily retained significant control over the manufacture and bottling of the Beverages. SAPL was required to follow "all instructions and directions issued by [the] Seller ... for preparing and bottling Beverages".</w:t>
      </w:r>
      <w:r w:rsidRPr="00ED2188">
        <w:rPr>
          <w:rStyle w:val="FootnoteReference"/>
          <w:rFonts w:ascii="Times New Roman" w:hAnsi="Times New Roman"/>
          <w:sz w:val="24"/>
        </w:rPr>
        <w:footnoteReference w:id="141"/>
      </w:r>
      <w:r w:rsidRPr="00ED2188">
        <w:rPr>
          <w:rFonts w:ascii="Times New Roman" w:hAnsi="Times New Roman"/>
        </w:rPr>
        <w:t xml:space="preserve"> Moreover, SAPL, "in preparing, bottling, selling and distributing" Beverages, was required to use only the concentrate purchased from PBS and the packaging specified by PepsiCo.</w:t>
      </w:r>
      <w:r w:rsidRPr="00ED2188">
        <w:rPr>
          <w:rStyle w:val="FootnoteReference"/>
          <w:rFonts w:ascii="Times New Roman" w:hAnsi="Times New Roman"/>
          <w:sz w:val="24"/>
        </w:rPr>
        <w:footnoteReference w:id="142"/>
      </w:r>
      <w:r w:rsidRPr="00ED2188">
        <w:rPr>
          <w:rFonts w:ascii="Times New Roman" w:hAnsi="Times New Roman"/>
        </w:rPr>
        <w:t xml:space="preserve"> PepsiCo was required to provide to SAPL, from time to time, reasonable specifications on all other materials required for the Beverages (including bottles, cartons, cases and containers) and SAPL was required to only use those materials in preparing, bottling, selling and distributing Beverages.</w:t>
      </w:r>
      <w:r w:rsidRPr="00ED2188">
        <w:rPr>
          <w:rStyle w:val="FootnoteReference"/>
          <w:rFonts w:ascii="Times New Roman" w:hAnsi="Times New Roman"/>
          <w:sz w:val="24"/>
        </w:rPr>
        <w:footnoteReference w:id="143"/>
      </w:r>
    </w:p>
    <w:p w14:paraId="1681F375"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In addition to being required to follow all instructions and directions issued by PepsiCo for preparing and bottling Beverages, SAPL was required to "maintain and operate in the Territory one or more bottling plants, properly and adequately equipped and staffed to bottle, sell and distribute sufficient Beverages".</w:t>
      </w:r>
      <w:r w:rsidRPr="00ED2188">
        <w:rPr>
          <w:rStyle w:val="FootnoteReference"/>
          <w:rFonts w:ascii="Times New Roman" w:hAnsi="Times New Roman"/>
          <w:sz w:val="24"/>
        </w:rPr>
        <w:footnoteReference w:id="144"/>
      </w:r>
      <w:r w:rsidRPr="00ED2188">
        <w:rPr>
          <w:rFonts w:ascii="Times New Roman" w:hAnsi="Times New Roman"/>
        </w:rPr>
        <w:t xml:space="preserve"> SAPL</w:t>
      </w:r>
      <w:r>
        <w:rPr>
          <w:rFonts w:ascii="Times New Roman" w:hAnsi="Times New Roman"/>
        </w:rPr>
        <w:t> </w:t>
      </w:r>
      <w:r w:rsidRPr="00ED2188">
        <w:rPr>
          <w:rFonts w:ascii="Times New Roman" w:hAnsi="Times New Roman"/>
        </w:rPr>
        <w:t xml:space="preserve">was required to conform to the standards dictated by PepsiCo in other ways. </w:t>
      </w:r>
      <w:r w:rsidRPr="00ED2188">
        <w:rPr>
          <w:rFonts w:ascii="Times New Roman" w:hAnsi="Times New Roman"/>
        </w:rPr>
        <w:lastRenderedPageBreak/>
        <w:t>For example, SAPL was required to keep the bottling plant or plants and all equipment used in a clean and sanitary condition</w:t>
      </w:r>
      <w:r w:rsidRPr="00ED2188">
        <w:rPr>
          <w:rStyle w:val="FootnoteReference"/>
          <w:rFonts w:ascii="Times New Roman" w:hAnsi="Times New Roman"/>
          <w:sz w:val="24"/>
        </w:rPr>
        <w:footnoteReference w:id="145"/>
      </w:r>
      <w:r w:rsidRPr="00ED2188">
        <w:rPr>
          <w:rFonts w:ascii="Times New Roman" w:hAnsi="Times New Roman"/>
        </w:rPr>
        <w:t xml:space="preserve"> and to filter all water used in bottling the Beverages through a method specified in the PepsiCo EBA or from time to time by PepsiCo.</w:t>
      </w:r>
      <w:r w:rsidRPr="00ED2188">
        <w:rPr>
          <w:rStyle w:val="FootnoteReference"/>
          <w:rFonts w:ascii="Times New Roman" w:hAnsi="Times New Roman"/>
          <w:sz w:val="24"/>
        </w:rPr>
        <w:footnoteReference w:id="146"/>
      </w:r>
      <w:r w:rsidRPr="00ED2188">
        <w:rPr>
          <w:rFonts w:ascii="Times New Roman" w:hAnsi="Times New Roman"/>
        </w:rPr>
        <w:t xml:space="preserve"> SAPL was also required to provide PepsiCo with adequate samples of the Beverages and of the water used in bottling the</w:t>
      </w:r>
      <w:r>
        <w:rPr>
          <w:rFonts w:ascii="Times New Roman" w:hAnsi="Times New Roman"/>
        </w:rPr>
        <w:t> </w:t>
      </w:r>
      <w:r w:rsidRPr="00ED2188">
        <w:rPr>
          <w:rFonts w:ascii="Times New Roman" w:hAnsi="Times New Roman"/>
        </w:rPr>
        <w:t>Beverages;</w:t>
      </w:r>
      <w:r w:rsidRPr="00ED2188">
        <w:rPr>
          <w:rStyle w:val="FootnoteReference"/>
          <w:rFonts w:ascii="Times New Roman" w:hAnsi="Times New Roman"/>
          <w:sz w:val="24"/>
        </w:rPr>
        <w:footnoteReference w:id="147"/>
      </w:r>
      <w:r w:rsidRPr="00ED2188">
        <w:rPr>
          <w:rFonts w:ascii="Times New Roman" w:hAnsi="Times New Roman"/>
        </w:rPr>
        <w:t xml:space="preserve"> to permit agents of PepsiCo to enter SAPL's plant to inspect the</w:t>
      </w:r>
      <w:r>
        <w:rPr>
          <w:rFonts w:ascii="Times New Roman" w:hAnsi="Times New Roman"/>
        </w:rPr>
        <w:t> </w:t>
      </w:r>
      <w:r w:rsidRPr="00ED2188">
        <w:rPr>
          <w:rFonts w:ascii="Times New Roman" w:hAnsi="Times New Roman"/>
        </w:rPr>
        <w:t>facilities, equipment and materials used in preparing, bottling, selling and distributing the Beverages, to check operations and methods and to take samples;</w:t>
      </w:r>
      <w:r w:rsidRPr="00ED2188">
        <w:rPr>
          <w:rStyle w:val="FootnoteReference"/>
          <w:rFonts w:ascii="Times New Roman" w:hAnsi="Times New Roman"/>
          <w:sz w:val="24"/>
        </w:rPr>
        <w:footnoteReference w:id="148"/>
      </w:r>
      <w:r w:rsidRPr="00ED2188">
        <w:rPr>
          <w:rFonts w:ascii="Times New Roman" w:hAnsi="Times New Roman"/>
        </w:rPr>
        <w:t xml:space="preserve"> to keep complete records of all tests made of the bottling, sale and distribution of the Beverages;</w:t>
      </w:r>
      <w:r w:rsidRPr="00ED2188">
        <w:rPr>
          <w:rStyle w:val="FootnoteReference"/>
          <w:rFonts w:ascii="Times New Roman" w:hAnsi="Times New Roman"/>
          <w:sz w:val="24"/>
        </w:rPr>
        <w:footnoteReference w:id="149"/>
      </w:r>
      <w:r w:rsidRPr="00ED2188">
        <w:rPr>
          <w:rFonts w:ascii="Times New Roman" w:hAnsi="Times New Roman"/>
        </w:rPr>
        <w:t xml:space="preserve"> and to maintain sufficient inventory of bottles, cartons, containers and cases as may be required "to meet [PepsiCo's] standards of quality and appearance as may be reasonably specified to [SAPL] from time to time".</w:t>
      </w:r>
      <w:r w:rsidRPr="00ED2188">
        <w:rPr>
          <w:rStyle w:val="FootnoteReference"/>
          <w:rFonts w:ascii="Times New Roman" w:hAnsi="Times New Roman"/>
          <w:sz w:val="24"/>
        </w:rPr>
        <w:footnoteReference w:id="150"/>
      </w:r>
    </w:p>
    <w:p w14:paraId="12659378" w14:textId="77777777" w:rsidR="00A143F4" w:rsidRPr="00ED2188" w:rsidRDefault="00A143F4" w:rsidP="00ED2188">
      <w:pPr>
        <w:pStyle w:val="HeadingL2"/>
        <w:spacing w:after="260" w:line="280" w:lineRule="exact"/>
        <w:ind w:right="0"/>
        <w:jc w:val="both"/>
        <w:rPr>
          <w:rFonts w:ascii="Times New Roman" w:hAnsi="Times New Roman"/>
        </w:rPr>
      </w:pPr>
      <w:r w:rsidRPr="00ED2188">
        <w:rPr>
          <w:rFonts w:ascii="Times New Roman" w:hAnsi="Times New Roman"/>
        </w:rPr>
        <w:t xml:space="preserve">Selling and distributing </w:t>
      </w:r>
    </w:p>
    <w:p w14:paraId="5DD70C67"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Under the PepsiCo EBA, SAPL was appointed as a seller and distributor of the Beverages. In discharging its appointment as seller and distributor, SAPL was required to "sell Beverages in the Territory in agreed packages and proprietary packages as [PepsiCo] may from time to time specify".</w:t>
      </w:r>
      <w:r w:rsidRPr="00ED2188">
        <w:rPr>
          <w:rStyle w:val="FootnoteReference"/>
          <w:rFonts w:ascii="Times New Roman" w:hAnsi="Times New Roman"/>
          <w:sz w:val="24"/>
        </w:rPr>
        <w:footnoteReference w:id="151"/>
      </w:r>
      <w:r w:rsidRPr="00ED2188">
        <w:rPr>
          <w:rFonts w:ascii="Times New Roman" w:hAnsi="Times New Roman"/>
        </w:rPr>
        <w:t xml:space="preserve"> PepsiCo anticipated that SAPL would sell the Beverages in the Territory at prevailing competitive market prices.</w:t>
      </w:r>
      <w:r w:rsidRPr="00ED2188">
        <w:rPr>
          <w:rStyle w:val="FootnoteReference"/>
          <w:rFonts w:ascii="Times New Roman" w:hAnsi="Times New Roman"/>
          <w:sz w:val="24"/>
        </w:rPr>
        <w:footnoteReference w:id="152"/>
      </w:r>
      <w:r w:rsidRPr="00ED2188">
        <w:rPr>
          <w:rFonts w:ascii="Times New Roman" w:hAnsi="Times New Roman"/>
        </w:rPr>
        <w:t xml:space="preserve"> SAPL was required: to use its "reasonable endeavours to maximise the</w:t>
      </w:r>
      <w:r>
        <w:rPr>
          <w:rFonts w:ascii="Times New Roman" w:hAnsi="Times New Roman"/>
        </w:rPr>
        <w:t> </w:t>
      </w:r>
      <w:r w:rsidRPr="00ED2188">
        <w:rPr>
          <w:rFonts w:ascii="Times New Roman" w:hAnsi="Times New Roman"/>
        </w:rPr>
        <w:t xml:space="preserve">sale of Beverages throughout the Territory", including using its reasonable endeavours to "fully meet and increase the demand and share of market for Beverages throughout the Territory"; to "fully exploit new packages, new package sizes and new Beverage opportunities"; to "service all accounts with frequency adequate to keep them at all times fully supplied with Beverages"; to use its own </w:t>
      </w:r>
      <w:r w:rsidRPr="00ED2188">
        <w:rPr>
          <w:rFonts w:ascii="Times New Roman" w:hAnsi="Times New Roman"/>
        </w:rPr>
        <w:lastRenderedPageBreak/>
        <w:t>salespeople and trucks; and to "cooperate in [PepsiCo's] cooperative advertising and sales promotion programs and campaigns".</w:t>
      </w:r>
      <w:r w:rsidRPr="00ED2188">
        <w:rPr>
          <w:rStyle w:val="FootnoteReference"/>
          <w:rFonts w:ascii="Times New Roman" w:hAnsi="Times New Roman"/>
          <w:sz w:val="24"/>
        </w:rPr>
        <w:footnoteReference w:id="153"/>
      </w:r>
    </w:p>
    <w:p w14:paraId="1E03B2E5"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b/>
          <w:bCs/>
        </w:rPr>
        <w:tab/>
      </w:r>
      <w:r w:rsidRPr="00ED2188">
        <w:rPr>
          <w:rFonts w:ascii="Times New Roman" w:hAnsi="Times New Roman"/>
        </w:rPr>
        <w:t>SAPL's permitted activities were to "sell and distribute Beverages under the</w:t>
      </w:r>
      <w:r>
        <w:rPr>
          <w:rFonts w:ascii="Times New Roman" w:hAnsi="Times New Roman"/>
        </w:rPr>
        <w:t> </w:t>
      </w:r>
      <w:r w:rsidRPr="00ED2188">
        <w:rPr>
          <w:rFonts w:ascii="Times New Roman" w:hAnsi="Times New Roman"/>
        </w:rPr>
        <w:t>Trade [M]arks" and SAPL was to make only such representations concerning the Beverages as had been previously authorised in writing by PepsiCo.</w:t>
      </w:r>
      <w:r w:rsidRPr="00ED2188">
        <w:rPr>
          <w:rStyle w:val="FootnoteReference"/>
          <w:rFonts w:ascii="Times New Roman" w:hAnsi="Times New Roman"/>
          <w:sz w:val="24"/>
        </w:rPr>
        <w:footnoteReference w:id="154"/>
      </w:r>
      <w:r w:rsidRPr="00ED2188">
        <w:rPr>
          <w:rFonts w:ascii="Times New Roman" w:hAnsi="Times New Roman"/>
        </w:rPr>
        <w:t xml:space="preserve"> The</w:t>
      </w:r>
      <w:r>
        <w:rPr>
          <w:rFonts w:ascii="Times New Roman" w:hAnsi="Times New Roman"/>
        </w:rPr>
        <w:t> </w:t>
      </w:r>
      <w:r w:rsidRPr="00ED2188">
        <w:rPr>
          <w:rFonts w:ascii="Times New Roman" w:hAnsi="Times New Roman"/>
        </w:rPr>
        <w:t>decision of PepsiCo on all matters concerning the Trade Marks was final and conclusive and not subject to question by SAPL.</w:t>
      </w:r>
      <w:r w:rsidRPr="00ED2188">
        <w:rPr>
          <w:rStyle w:val="FootnoteReference"/>
          <w:rFonts w:ascii="Times New Roman" w:hAnsi="Times New Roman"/>
          <w:sz w:val="24"/>
        </w:rPr>
        <w:footnoteReference w:id="155"/>
      </w:r>
      <w:r w:rsidRPr="00ED2188">
        <w:rPr>
          <w:rFonts w:ascii="Times New Roman" w:hAnsi="Times New Roman"/>
        </w:rPr>
        <w:t xml:space="preserve"> PepsiCo agreed to protect and defend the Trade Marks at its sole cost and expense.</w:t>
      </w:r>
      <w:r w:rsidRPr="00ED2188">
        <w:rPr>
          <w:rStyle w:val="FootnoteReference"/>
          <w:rFonts w:ascii="Times New Roman" w:hAnsi="Times New Roman"/>
          <w:sz w:val="24"/>
        </w:rPr>
        <w:footnoteReference w:id="156"/>
      </w:r>
      <w:r w:rsidRPr="00ED2188">
        <w:rPr>
          <w:rFonts w:ascii="Times New Roman" w:hAnsi="Times New Roman"/>
        </w:rPr>
        <w:t xml:space="preserve"> Despite the SAPL Bottler, Seller and Distributor Agreement, and the PepsiCo EBA in particular, not expressly licensing SAPL to use the PepsiCo Intellectual Property, it was common ground that the agreement contained an implied licence to this effect. As the primary judge held, the agreement could not operate otherwise.</w:t>
      </w:r>
      <w:r w:rsidRPr="00ED2188">
        <w:rPr>
          <w:rStyle w:val="FootnoteReference"/>
          <w:rFonts w:ascii="Times New Roman" w:hAnsi="Times New Roman"/>
          <w:sz w:val="24"/>
        </w:rPr>
        <w:footnoteReference w:id="157"/>
      </w:r>
    </w:p>
    <w:p w14:paraId="0EF2CF1D"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The PepsiCo EBA recorded that SAPL would actively advertise the Beverages and vigorously engage in sales promotion activities for the Beverages in the Territory.</w:t>
      </w:r>
      <w:r w:rsidRPr="00ED2188">
        <w:rPr>
          <w:rStyle w:val="FootnoteReference"/>
          <w:rFonts w:ascii="Times New Roman" w:hAnsi="Times New Roman"/>
          <w:sz w:val="24"/>
        </w:rPr>
        <w:footnoteReference w:id="158"/>
      </w:r>
      <w:r w:rsidRPr="00ED2188">
        <w:rPr>
          <w:rFonts w:ascii="Times New Roman" w:hAnsi="Times New Roman"/>
        </w:rPr>
        <w:t xml:space="preserve"> To ensure consistency of image, SAPL could use only advertising strategies for the Beverages that PepsiCo developed for the Territory and SAPL could use only advertising and promotion materials furnished or caused to be furnished by PepsiCo or approved by PepsiCo.</w:t>
      </w:r>
      <w:r w:rsidRPr="00ED2188">
        <w:rPr>
          <w:rStyle w:val="FootnoteReference"/>
          <w:rFonts w:ascii="Times New Roman" w:hAnsi="Times New Roman"/>
          <w:sz w:val="24"/>
        </w:rPr>
        <w:footnoteReference w:id="159"/>
      </w:r>
    </w:p>
    <w:p w14:paraId="14004FCC"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The PepsiCo EBA also recorded that the Performance Agreement regarding the operation of SAPL had been executed.</w:t>
      </w:r>
      <w:r w:rsidRPr="00ED2188">
        <w:rPr>
          <w:rStyle w:val="FootnoteReference"/>
          <w:rFonts w:ascii="Times New Roman" w:hAnsi="Times New Roman"/>
          <w:sz w:val="24"/>
        </w:rPr>
        <w:footnoteReference w:id="160"/>
      </w:r>
      <w:r w:rsidRPr="00ED2188">
        <w:rPr>
          <w:rFonts w:ascii="Times New Roman" w:hAnsi="Times New Roman"/>
        </w:rPr>
        <w:t xml:space="preserve"> The Performance Agreement was between a subsidiary of PepsiCo and SAPL. It set minimum annual sales </w:t>
      </w:r>
      <w:r w:rsidRPr="00ED2188">
        <w:rPr>
          <w:rFonts w:ascii="Times New Roman" w:hAnsi="Times New Roman"/>
        </w:rPr>
        <w:lastRenderedPageBreak/>
        <w:t>volumes,</w:t>
      </w:r>
      <w:r w:rsidRPr="00ED2188">
        <w:rPr>
          <w:rStyle w:val="FootnoteReference"/>
          <w:rFonts w:ascii="Times New Roman" w:hAnsi="Times New Roman"/>
          <w:sz w:val="24"/>
        </w:rPr>
        <w:footnoteReference w:id="161"/>
      </w:r>
      <w:r w:rsidRPr="00ED2188">
        <w:rPr>
          <w:rFonts w:ascii="Times New Roman" w:hAnsi="Times New Roman"/>
        </w:rPr>
        <w:t xml:space="preserve"> distribution targets,</w:t>
      </w:r>
      <w:r w:rsidRPr="00ED2188">
        <w:rPr>
          <w:rStyle w:val="FootnoteReference"/>
          <w:rFonts w:ascii="Times New Roman" w:hAnsi="Times New Roman"/>
          <w:sz w:val="24"/>
        </w:rPr>
        <w:footnoteReference w:id="162"/>
      </w:r>
      <w:r w:rsidRPr="00ED2188">
        <w:rPr>
          <w:rFonts w:ascii="Times New Roman" w:hAnsi="Times New Roman"/>
        </w:rPr>
        <w:t xml:space="preserve"> and quality standards for the Beverages.</w:t>
      </w:r>
      <w:r w:rsidRPr="00ED2188">
        <w:rPr>
          <w:rStyle w:val="FootnoteReference"/>
          <w:rFonts w:ascii="Times New Roman" w:hAnsi="Times New Roman"/>
          <w:sz w:val="24"/>
        </w:rPr>
        <w:footnoteReference w:id="163"/>
      </w:r>
      <w:r w:rsidRPr="00ED2188">
        <w:rPr>
          <w:rFonts w:ascii="Times New Roman" w:hAnsi="Times New Roman"/>
        </w:rPr>
        <w:t xml:space="preserve"> To</w:t>
      </w:r>
      <w:r>
        <w:rPr>
          <w:rFonts w:ascii="Times New Roman" w:hAnsi="Times New Roman"/>
        </w:rPr>
        <w:t> </w:t>
      </w:r>
      <w:r w:rsidRPr="00ED2188">
        <w:rPr>
          <w:rFonts w:ascii="Times New Roman" w:hAnsi="Times New Roman"/>
        </w:rPr>
        <w:t>facilitate SAPL meeting the performance targets and maximising the sales of PepsiCo products, the Performance Agreement</w:t>
      </w:r>
      <w:r w:rsidRPr="00ED2188">
        <w:rPr>
          <w:rStyle w:val="FootnoteReference"/>
          <w:rFonts w:ascii="Times New Roman" w:hAnsi="Times New Roman"/>
          <w:sz w:val="24"/>
        </w:rPr>
        <w:footnoteReference w:id="164"/>
      </w:r>
      <w:r w:rsidRPr="00ED2188">
        <w:rPr>
          <w:rFonts w:ascii="Times New Roman" w:hAnsi="Times New Roman"/>
        </w:rPr>
        <w:t xml:space="preserve"> (like the PepsiCo EBA</w:t>
      </w:r>
      <w:r w:rsidRPr="00ED2188">
        <w:rPr>
          <w:rStyle w:val="FootnoteReference"/>
          <w:rFonts w:ascii="Times New Roman" w:hAnsi="Times New Roman"/>
          <w:sz w:val="24"/>
        </w:rPr>
        <w:footnoteReference w:id="165"/>
      </w:r>
      <w:r w:rsidRPr="00ED2188">
        <w:rPr>
          <w:rFonts w:ascii="Times New Roman" w:hAnsi="Times New Roman"/>
        </w:rPr>
        <w:t>) provided that, during each calendar year, PepsiCo (or a subsidiary of PepsiCo) and SAPL would discuss in good faith with the intention of entering into a Co</w:t>
      </w:r>
      <w:r>
        <w:rPr>
          <w:rFonts w:ascii="Times New Roman" w:hAnsi="Times New Roman"/>
        </w:rPr>
        <w:noBreakHyphen/>
      </w:r>
      <w:r w:rsidRPr="00ED2188">
        <w:rPr>
          <w:rFonts w:ascii="Times New Roman" w:hAnsi="Times New Roman"/>
        </w:rPr>
        <w:t>operative Advertising and Marketing Agreement (relevantly, the 2017 Annual Co-op A&amp;M Agreement).</w:t>
      </w:r>
    </w:p>
    <w:p w14:paraId="6B020ACA"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The 2017 Annual Co-op A&amp;M Agreement was between PBS and SAPL, being the agreement required under the PepsiCo EBA</w:t>
      </w:r>
      <w:r w:rsidRPr="00ED2188">
        <w:rPr>
          <w:rStyle w:val="FootnoteReference"/>
          <w:rFonts w:ascii="Times New Roman" w:hAnsi="Times New Roman"/>
          <w:sz w:val="24"/>
        </w:rPr>
        <w:footnoteReference w:id="166"/>
      </w:r>
      <w:r w:rsidRPr="00ED2188">
        <w:rPr>
          <w:rFonts w:ascii="Times New Roman" w:hAnsi="Times New Roman"/>
        </w:rPr>
        <w:t xml:space="preserve"> and the Performance Agreement,</w:t>
      </w:r>
      <w:r w:rsidRPr="00ED2188">
        <w:rPr>
          <w:rStyle w:val="FootnoteReference"/>
          <w:rFonts w:ascii="Times New Roman" w:hAnsi="Times New Roman"/>
          <w:sz w:val="24"/>
        </w:rPr>
        <w:footnoteReference w:id="167"/>
      </w:r>
      <w:r w:rsidRPr="00ED2188">
        <w:rPr>
          <w:rFonts w:ascii="Times New Roman" w:hAnsi="Times New Roman"/>
        </w:rPr>
        <w:t xml:space="preserve"> and governed all matters related to the advertising and marketing of Beverages in the Territory.</w:t>
      </w:r>
      <w:r w:rsidRPr="00ED2188">
        <w:rPr>
          <w:rStyle w:val="FootnoteReference"/>
          <w:rFonts w:ascii="Times New Roman" w:hAnsi="Times New Roman"/>
          <w:sz w:val="24"/>
        </w:rPr>
        <w:footnoteReference w:id="168"/>
      </w:r>
      <w:r w:rsidRPr="00ED2188">
        <w:rPr>
          <w:rFonts w:ascii="Times New Roman" w:hAnsi="Times New Roman"/>
        </w:rPr>
        <w:t xml:space="preserve"> The 2017 Annual Co-op A&amp;M Agreement specifically recorded that in consideration of the "mutual promises contained" in the agreement, PBS and SAPL agreed, among other things, to "contribute financially towards the advertising and marketing of the Beverages in the</w:t>
      </w:r>
      <w:r>
        <w:rPr>
          <w:rFonts w:ascii="Times New Roman" w:hAnsi="Times New Roman"/>
        </w:rPr>
        <w:t> </w:t>
      </w:r>
      <w:r w:rsidRPr="00ED2188">
        <w:rPr>
          <w:rFonts w:ascii="Times New Roman" w:hAnsi="Times New Roman"/>
        </w:rPr>
        <w:t>Territory"</w:t>
      </w:r>
      <w:r w:rsidRPr="00ED2188">
        <w:rPr>
          <w:rStyle w:val="FootnoteReference"/>
          <w:rFonts w:ascii="Times New Roman" w:hAnsi="Times New Roman"/>
          <w:sz w:val="24"/>
        </w:rPr>
        <w:footnoteReference w:id="169"/>
      </w:r>
      <w:r w:rsidRPr="00ED2188">
        <w:rPr>
          <w:rFonts w:ascii="Times New Roman" w:hAnsi="Times New Roman"/>
        </w:rPr>
        <w:t xml:space="preserve"> and to a Target Annual Sales Volume and minimum volume of Beverages in the Territory.</w:t>
      </w:r>
      <w:r w:rsidRPr="00ED2188">
        <w:rPr>
          <w:rStyle w:val="FootnoteReference"/>
          <w:rFonts w:ascii="Times New Roman" w:hAnsi="Times New Roman"/>
          <w:sz w:val="24"/>
        </w:rPr>
        <w:footnoteReference w:id="170"/>
      </w:r>
      <w:r w:rsidRPr="00ED2188">
        <w:rPr>
          <w:rFonts w:ascii="Times New Roman" w:hAnsi="Times New Roman"/>
        </w:rPr>
        <w:t xml:space="preserve"> The 2017 Annual Co-op A&amp;M Agreement also recorded the total target amount to be spent by PBS on advertising and marketing of the Beverages in 2017</w:t>
      </w:r>
      <w:r w:rsidRPr="00ED2188">
        <w:rPr>
          <w:rStyle w:val="FootnoteReference"/>
          <w:rFonts w:ascii="Times New Roman" w:hAnsi="Times New Roman"/>
          <w:sz w:val="24"/>
        </w:rPr>
        <w:footnoteReference w:id="171"/>
      </w:r>
      <w:r w:rsidRPr="00ED2188">
        <w:rPr>
          <w:rFonts w:ascii="Times New Roman" w:hAnsi="Times New Roman"/>
        </w:rPr>
        <w:t xml:space="preserve"> as well as the current proposed allocation of </w:t>
      </w:r>
      <w:r w:rsidRPr="00ED2188">
        <w:rPr>
          <w:rFonts w:ascii="Times New Roman" w:hAnsi="Times New Roman"/>
        </w:rPr>
        <w:lastRenderedPageBreak/>
        <w:t>expenditure by SAPL.</w:t>
      </w:r>
      <w:r w:rsidRPr="00ED2188">
        <w:rPr>
          <w:rStyle w:val="FootnoteReference"/>
          <w:rFonts w:ascii="Times New Roman" w:hAnsi="Times New Roman"/>
          <w:sz w:val="24"/>
        </w:rPr>
        <w:footnoteReference w:id="172"/>
      </w:r>
      <w:r w:rsidRPr="00ED2188">
        <w:rPr>
          <w:rFonts w:ascii="Times New Roman" w:hAnsi="Times New Roman"/>
        </w:rPr>
        <w:t xml:space="preserve"> In addition to expenditure on marketing, the 2017 Annual Co</w:t>
      </w:r>
      <w:r w:rsidRPr="00ED2188">
        <w:rPr>
          <w:rFonts w:ascii="Times New Roman" w:hAnsi="Times New Roman"/>
        </w:rPr>
        <w:noBreakHyphen/>
        <w:t>op A&amp;M Agreement recorded that PBS may furnish SAPL with advertising materials relating to the Beverages and that the cost of those materials together with the cost of packaging and shipping such materials to SAPL would form part of PBS' share of the expenditure.</w:t>
      </w:r>
      <w:r w:rsidRPr="00ED2188">
        <w:rPr>
          <w:rStyle w:val="FootnoteReference"/>
          <w:rFonts w:ascii="Times New Roman" w:hAnsi="Times New Roman"/>
          <w:sz w:val="24"/>
        </w:rPr>
        <w:footnoteReference w:id="173"/>
      </w:r>
      <w:r w:rsidRPr="00ED2188">
        <w:rPr>
          <w:rFonts w:ascii="Times New Roman" w:hAnsi="Times New Roman"/>
        </w:rPr>
        <w:t xml:space="preserve"> SAPL agreed not to use any art work depicting images of PepsiCo brands which had not been approved by PBS.</w:t>
      </w:r>
      <w:r w:rsidRPr="00ED2188">
        <w:rPr>
          <w:rStyle w:val="FootnoteReference"/>
          <w:rFonts w:ascii="Times New Roman" w:hAnsi="Times New Roman"/>
          <w:sz w:val="24"/>
        </w:rPr>
        <w:footnoteReference w:id="174"/>
      </w:r>
      <w:r w:rsidRPr="00ED2188">
        <w:rPr>
          <w:rFonts w:ascii="Times New Roman" w:hAnsi="Times New Roman"/>
        </w:rPr>
        <w:t xml:space="preserve"> The agreement also contained processes for reconciliation of spending to ensure no party incurred a "disproportionate share" of expenditure.</w:t>
      </w:r>
      <w:r w:rsidRPr="00ED2188">
        <w:rPr>
          <w:rStyle w:val="FootnoteReference"/>
          <w:rFonts w:ascii="Times New Roman" w:hAnsi="Times New Roman"/>
          <w:sz w:val="24"/>
        </w:rPr>
        <w:footnoteReference w:id="175"/>
      </w:r>
    </w:p>
    <w:p w14:paraId="4864E4BD"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Clause 16 of the 2017 Annual Co-op A&amp;M Agreement provided that "[SAPL] acknowledges that its contribution to the Expenditure is for the purposes of improving its sales of the Beverages, not to build the brands of the Beverages". As PepsiCo submitted, this was a "lawyer's clause" inserted to protect PepsiCo, similar to and consistent with the terms of cl 5(d) of the PepsiCo EBA, which</w:t>
      </w:r>
      <w:r>
        <w:rPr>
          <w:rFonts w:ascii="Times New Roman" w:hAnsi="Times New Roman"/>
        </w:rPr>
        <w:t> </w:t>
      </w:r>
      <w:r w:rsidRPr="00ED2188">
        <w:rPr>
          <w:rFonts w:ascii="Times New Roman" w:hAnsi="Times New Roman"/>
        </w:rPr>
        <w:t>provided that nothing in the PepsiCo EBA was to be construed as conferring upon SAPL any right or interest in the Trade Marks used in connection with the</w:t>
      </w:r>
      <w:r>
        <w:rPr>
          <w:rFonts w:ascii="Times New Roman" w:hAnsi="Times New Roman"/>
        </w:rPr>
        <w:t> </w:t>
      </w:r>
      <w:r w:rsidRPr="00ED2188">
        <w:rPr>
          <w:rFonts w:ascii="Times New Roman" w:hAnsi="Times New Roman"/>
        </w:rPr>
        <w:t>Beverages. Contrary to the Commissioner's contention, cl 16 of the</w:t>
      </w:r>
      <w:r>
        <w:rPr>
          <w:rFonts w:ascii="Times New Roman" w:hAnsi="Times New Roman"/>
        </w:rPr>
        <w:t> </w:t>
      </w:r>
      <w:r w:rsidRPr="00ED2188">
        <w:rPr>
          <w:rFonts w:ascii="Times New Roman" w:hAnsi="Times New Roman"/>
        </w:rPr>
        <w:t>2017 Annual Co-op A&amp;M Agreement did not support the proposition that SAPL specifically acknowledged that, when making contributions pursuant to those arrangements, it was doing so in a way that "does not constitute a payment for the</w:t>
      </w:r>
      <w:r>
        <w:rPr>
          <w:rFonts w:ascii="Times New Roman" w:hAnsi="Times New Roman"/>
        </w:rPr>
        <w:t> </w:t>
      </w:r>
      <w:r w:rsidRPr="00ED2188">
        <w:rPr>
          <w:rFonts w:ascii="Times New Roman" w:hAnsi="Times New Roman"/>
        </w:rPr>
        <w:t>use of the brands". That proposition is otherwise inconsistent with the</w:t>
      </w:r>
      <w:r>
        <w:rPr>
          <w:rFonts w:ascii="Times New Roman" w:hAnsi="Times New Roman"/>
        </w:rPr>
        <w:t> </w:t>
      </w:r>
      <w:r w:rsidRPr="00ED2188">
        <w:rPr>
          <w:rFonts w:ascii="Times New Roman" w:hAnsi="Times New Roman"/>
        </w:rPr>
        <w:t xml:space="preserve">SAPL Bottler, Seller and Distributor Agreement. </w:t>
      </w:r>
    </w:p>
    <w:p w14:paraId="61A7FC27" w14:textId="77777777" w:rsidR="00A143F4" w:rsidRPr="00ED2188" w:rsidRDefault="00A143F4" w:rsidP="00ED2188">
      <w:pPr>
        <w:pStyle w:val="HeadingL2"/>
        <w:spacing w:after="260" w:line="280" w:lineRule="exact"/>
        <w:ind w:right="0"/>
        <w:jc w:val="both"/>
        <w:rPr>
          <w:rFonts w:ascii="Times New Roman" w:hAnsi="Times New Roman"/>
        </w:rPr>
      </w:pPr>
      <w:r w:rsidRPr="00ED2188">
        <w:rPr>
          <w:rFonts w:ascii="Times New Roman" w:hAnsi="Times New Roman"/>
        </w:rPr>
        <w:t>Termination</w:t>
      </w:r>
    </w:p>
    <w:p w14:paraId="048147AD"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b/>
          <w:bCs/>
        </w:rPr>
        <w:tab/>
      </w:r>
      <w:r w:rsidRPr="00ED2188">
        <w:rPr>
          <w:rFonts w:ascii="Times New Roman" w:hAnsi="Times New Roman"/>
        </w:rPr>
        <w:t>The mutuality of the promises in the SAPL Bottler, Seller and Distributor Agreement necessarily gave rise to the ability to terminate for breach. So, for example, cl 22(b) of the PepsiCo EBA provided that PepsiCo, not PBS, indemnified SAPL from any loss resulting from any breach of or deemed breach of the PepsiCo EBA, the 2017 Annual Co</w:t>
      </w:r>
      <w:r w:rsidRPr="00ED2188">
        <w:rPr>
          <w:rFonts w:ascii="Times New Roman" w:hAnsi="Times New Roman"/>
        </w:rPr>
        <w:noBreakHyphen/>
        <w:t xml:space="preserve">op A&amp;M Agreement or the Performance Agreement by PepsiCo or PBS including "any breach of the warranty contained in clause 5(a) [dealing with the Trade Marks] or resulting from defective concentrate", provided that the indemnity in respect of the concentrate would arise only if SAPL had strictly complied with PepsiCo's instructions for the handling, </w:t>
      </w:r>
      <w:r w:rsidRPr="00ED2188">
        <w:rPr>
          <w:rFonts w:ascii="Times New Roman" w:hAnsi="Times New Roman"/>
        </w:rPr>
        <w:lastRenderedPageBreak/>
        <w:t xml:space="preserve">storage, and usage of the concentrate, and for the bottling of the Beverages. </w:t>
      </w:r>
      <w:r w:rsidRPr="00ED2188">
        <w:rPr>
          <w:rFonts w:ascii="Times New Roman" w:hAnsi="Times New Roman"/>
          <w:bCs/>
        </w:rPr>
        <w:t xml:space="preserve">On the other hand, </w:t>
      </w:r>
      <w:r w:rsidRPr="00ED2188">
        <w:rPr>
          <w:rFonts w:ascii="Times New Roman" w:hAnsi="Times New Roman"/>
        </w:rPr>
        <w:t>the PepsiCo EBA, for example, could be terminated by one month's written notice to SAPL if SAPL failed to perform or comply with one or more of the material terms or conditions of the PepsiCo EBA and such failure was not remedied</w:t>
      </w:r>
      <w:r w:rsidRPr="00ED2188">
        <w:rPr>
          <w:rStyle w:val="FootnoteReference"/>
          <w:rFonts w:ascii="Times New Roman" w:hAnsi="Times New Roman"/>
          <w:sz w:val="24"/>
        </w:rPr>
        <w:footnoteReference w:id="176"/>
      </w:r>
      <w:r w:rsidRPr="00ED2188">
        <w:rPr>
          <w:rFonts w:ascii="Times New Roman" w:hAnsi="Times New Roman"/>
        </w:rPr>
        <w:t xml:space="preserve"> and, in addition to that right and all other rights and remedies under the</w:t>
      </w:r>
      <w:r>
        <w:rPr>
          <w:rFonts w:ascii="Times New Roman" w:hAnsi="Times New Roman"/>
        </w:rPr>
        <w:t> </w:t>
      </w:r>
      <w:r w:rsidRPr="00ED2188">
        <w:rPr>
          <w:rFonts w:ascii="Times New Roman" w:hAnsi="Times New Roman"/>
        </w:rPr>
        <w:t>PepsiCo EBA, in the event that any party "failed to make timely payment under [the PepsiCo EBA] or any related agreement", that party was liable for the payment of interest for any such amounts outstanding.</w:t>
      </w:r>
      <w:r w:rsidRPr="00ED2188">
        <w:rPr>
          <w:rStyle w:val="FootnoteReference"/>
          <w:rFonts w:ascii="Times New Roman" w:hAnsi="Times New Roman"/>
          <w:sz w:val="24"/>
        </w:rPr>
        <w:footnoteReference w:id="177"/>
      </w:r>
    </w:p>
    <w:p w14:paraId="6EA773B6" w14:textId="77777777" w:rsidR="00A143F4" w:rsidRPr="00ED2188" w:rsidRDefault="00A143F4" w:rsidP="00ED2188">
      <w:pPr>
        <w:pStyle w:val="HeadingL2"/>
        <w:spacing w:after="260" w:line="280" w:lineRule="exact"/>
        <w:ind w:right="0"/>
        <w:jc w:val="both"/>
        <w:rPr>
          <w:rFonts w:ascii="Times New Roman" w:hAnsi="Times New Roman"/>
        </w:rPr>
      </w:pPr>
      <w:r w:rsidRPr="00ED2188">
        <w:rPr>
          <w:rFonts w:ascii="Times New Roman" w:hAnsi="Times New Roman"/>
        </w:rPr>
        <w:t>Conclusion</w:t>
      </w:r>
    </w:p>
    <w:p w14:paraId="290F1257"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b/>
          <w:bCs/>
        </w:rPr>
        <w:tab/>
      </w:r>
      <w:r w:rsidRPr="00ED2188">
        <w:rPr>
          <w:rFonts w:ascii="Times New Roman" w:hAnsi="Times New Roman"/>
        </w:rPr>
        <w:t>In sum, the use of a local bottler such as SAPL was mutually beneficial for both PepsiCo and the bottler. SAPL was able to leverage the PepsiCo Group's innovation and marketing capabilities and PepsiCo received the benefit of SAPL's local investment in bottling and distribution equipment and capabilities. Another</w:t>
      </w:r>
      <w:r>
        <w:rPr>
          <w:rFonts w:ascii="Times New Roman" w:hAnsi="Times New Roman"/>
        </w:rPr>
        <w:t> </w:t>
      </w:r>
      <w:r w:rsidRPr="00ED2188">
        <w:rPr>
          <w:rFonts w:ascii="Times New Roman" w:hAnsi="Times New Roman"/>
        </w:rPr>
        <w:t>mutually beneficial aspect of the SAPL Bottler, Seller and Distributor Agreement was described by Mr Williams, who had worked for the PepsiCo Group in marketing and bottling franchise</w:t>
      </w:r>
      <w:r w:rsidRPr="00ED2188">
        <w:rPr>
          <w:rFonts w:ascii="Times New Roman" w:hAnsi="Times New Roman"/>
        </w:rPr>
        <w:noBreakHyphen/>
        <w:t>related roles for over 35 years and ultimately became President of the PepsiCo Group's Global Beverage Group and the Franchise Team. Mr Williams said in evidence that the bottler helped build the</w:t>
      </w:r>
      <w:r>
        <w:rPr>
          <w:rFonts w:ascii="Times New Roman" w:hAnsi="Times New Roman"/>
        </w:rPr>
        <w:t> </w:t>
      </w:r>
      <w:r w:rsidRPr="00ED2188">
        <w:rPr>
          <w:rFonts w:ascii="Times New Roman" w:hAnsi="Times New Roman"/>
        </w:rPr>
        <w:t>brand of the Beverages. Under the SAPL Bottler, Seller and Distributor Agreement, SAPL was appointed and accepted appointment as the exclusive bottler, seller and distributor of the Beverages as part of a comprehensive arrangement involving an exchange of promises, on an arm's length basis, which</w:t>
      </w:r>
      <w:r>
        <w:rPr>
          <w:rFonts w:ascii="Times New Roman" w:hAnsi="Times New Roman"/>
        </w:rPr>
        <w:t> </w:t>
      </w:r>
      <w:r w:rsidRPr="00ED2188">
        <w:rPr>
          <w:rFonts w:ascii="Times New Roman" w:hAnsi="Times New Roman"/>
        </w:rPr>
        <w:t>included the promise in cl 4(a) to purchase concentrate at agreed prices which were not disproportionately high, as well as the conferral of intellectual property rights.</w:t>
      </w:r>
    </w:p>
    <w:p w14:paraId="423F6BF2"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The exchange of promises in the SAPL Bottler, Seller and Distributor Agreement between PepsiCo and SAPL was separate</w:t>
      </w:r>
      <w:r w:rsidRPr="00ED2188" w:rsidDel="00A01B68">
        <w:rPr>
          <w:rFonts w:ascii="Times New Roman" w:hAnsi="Times New Roman"/>
        </w:rPr>
        <w:t xml:space="preserve"> </w:t>
      </w:r>
      <w:r w:rsidRPr="00ED2188">
        <w:rPr>
          <w:rFonts w:ascii="Times New Roman" w:hAnsi="Times New Roman"/>
        </w:rPr>
        <w:t>from the future agreements that may be, and were, entered into by SAPL for the sale and purchase of concentrate. Indeed, as the PepsiCo EBA contemplated, the future contracts for the purchase of concentrate by SAPL were not with PepsiCo but were with PBS, as</w:t>
      </w:r>
      <w:r>
        <w:rPr>
          <w:rFonts w:ascii="Times New Roman" w:hAnsi="Times New Roman"/>
        </w:rPr>
        <w:t> </w:t>
      </w:r>
      <w:r w:rsidRPr="00ED2188">
        <w:rPr>
          <w:rFonts w:ascii="Times New Roman" w:hAnsi="Times New Roman"/>
        </w:rPr>
        <w:t xml:space="preserve">the nominated Seller. PBS, which had no need for the PepsiCo Intellectual Property other than to sell the concentrate to SAPL, sold the concentrate to SAPL with a margin of 0.05 per cent. The Commissioner did not allege that the transactions for the sale of concentrate by PBS to SAPL were a sham or that PBS received any part of the payments from SAPL for the concentrate as agent or trustee for PepsiCo. </w:t>
      </w:r>
      <w:r w:rsidRPr="00ED2188">
        <w:rPr>
          <w:rFonts w:ascii="Times New Roman" w:hAnsi="Times New Roman"/>
        </w:rPr>
        <w:lastRenderedPageBreak/>
        <w:t xml:space="preserve">The price paid by SAPL to PBS for the concentrate did not move the transfer of the PepsiCo Intellectual Property from PepsiCo to SAPL.  </w:t>
      </w:r>
    </w:p>
    <w:p w14:paraId="161D02AD"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It is then necessary to consider the two issues – royalty withholding tax and DPT.</w:t>
      </w:r>
    </w:p>
    <w:p w14:paraId="71FC5F91" w14:textId="77777777" w:rsidR="00A143F4" w:rsidRPr="00ED2188" w:rsidRDefault="00A143F4" w:rsidP="00ED2188">
      <w:pPr>
        <w:pStyle w:val="HeadingL1"/>
        <w:spacing w:after="260" w:line="280" w:lineRule="exact"/>
        <w:ind w:right="0"/>
        <w:jc w:val="both"/>
        <w:rPr>
          <w:rFonts w:ascii="Times New Roman" w:hAnsi="Times New Roman"/>
        </w:rPr>
      </w:pPr>
      <w:r w:rsidRPr="00ED2188">
        <w:rPr>
          <w:rFonts w:ascii="Times New Roman" w:hAnsi="Times New Roman"/>
        </w:rPr>
        <w:t>Royalty withholding tax</w:t>
      </w:r>
    </w:p>
    <w:p w14:paraId="79EB2AC5"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Division 11A of Pt III of the ITAA 1936 imposes, amongst other things, royalty withholding tax on non-residents. A non</w:t>
      </w:r>
      <w:r w:rsidRPr="00ED2188">
        <w:rPr>
          <w:rFonts w:ascii="Times New Roman" w:hAnsi="Times New Roman"/>
        </w:rPr>
        <w:noBreakHyphen/>
        <w:t xml:space="preserve">resident who derives income which consists of a "royalty" that is </w:t>
      </w:r>
      <w:r w:rsidRPr="00ED2188">
        <w:rPr>
          <w:rFonts w:ascii="Times New Roman" w:hAnsi="Times New Roman"/>
          <w:bCs/>
        </w:rPr>
        <w:t>paid to</w:t>
      </w:r>
      <w:r w:rsidRPr="00ED2188">
        <w:rPr>
          <w:rFonts w:ascii="Times New Roman" w:hAnsi="Times New Roman"/>
        </w:rPr>
        <w:t xml:space="preserve"> the non</w:t>
      </w:r>
      <w:r w:rsidRPr="00ED2188">
        <w:rPr>
          <w:rFonts w:ascii="Times New Roman" w:hAnsi="Times New Roman"/>
        </w:rPr>
        <w:noBreakHyphen/>
        <w:t>resident by a person to whom s 128B in Div 11A applies</w:t>
      </w:r>
      <w:r w:rsidRPr="00ED2188">
        <w:rPr>
          <w:rStyle w:val="FootnoteReference"/>
          <w:rFonts w:ascii="Times New Roman" w:hAnsi="Times New Roman"/>
          <w:sz w:val="24"/>
        </w:rPr>
        <w:footnoteReference w:id="178"/>
      </w:r>
      <w:r w:rsidRPr="00ED2188">
        <w:rPr>
          <w:rFonts w:ascii="Times New Roman" w:hAnsi="Times New Roman"/>
        </w:rPr>
        <w:t xml:space="preserve"> and is not an outgoing wholly incurred by that person in carrying on business in a foreign country is liable to pay income tax in Australia.</w:t>
      </w:r>
      <w:r w:rsidRPr="00ED2188">
        <w:rPr>
          <w:rStyle w:val="FootnoteReference"/>
          <w:rFonts w:ascii="Times New Roman" w:hAnsi="Times New Roman"/>
          <w:sz w:val="24"/>
        </w:rPr>
        <w:footnoteReference w:id="179"/>
      </w:r>
      <w:r w:rsidRPr="00ED2188">
        <w:rPr>
          <w:rFonts w:ascii="Times New Roman" w:hAnsi="Times New Roman"/>
        </w:rPr>
        <w:t xml:space="preserve"> A "royalty" is "deemed to have been paid by a person to another person although it is not actually paid over to the other person but is ... otherwise dealt with on behalf of the other person or as the other person directs".</w:t>
      </w:r>
      <w:r w:rsidRPr="00ED2188">
        <w:rPr>
          <w:rStyle w:val="FootnoteReference"/>
          <w:rFonts w:ascii="Times New Roman" w:hAnsi="Times New Roman"/>
          <w:sz w:val="24"/>
        </w:rPr>
        <w:footnoteReference w:id="180"/>
      </w:r>
    </w:p>
    <w:p w14:paraId="4DD4B363"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The legislative machinery is not in dispute. Rather, what is in dispute is whether, as the Commissioner contended, part of the payments made by SAPL to PBS for concentrate constituted a royalty derived by PepsiCo for the use by SAPL of the PepsiCo Intellectual Property. The answer to that question turns upon the</w:t>
      </w:r>
      <w:r>
        <w:rPr>
          <w:rFonts w:ascii="Times New Roman" w:hAnsi="Times New Roman"/>
        </w:rPr>
        <w:t> </w:t>
      </w:r>
      <w:r w:rsidRPr="00ED2188">
        <w:rPr>
          <w:rFonts w:ascii="Times New Roman" w:hAnsi="Times New Roman"/>
        </w:rPr>
        <w:t>definition of the words "royalty" and "royalties" in s 6(1) of the ITAA 1936, which relevantly is in the following terms:</w:t>
      </w:r>
    </w:p>
    <w:p w14:paraId="73F2C57D" w14:textId="77777777" w:rsidR="00A143F4" w:rsidRPr="00ED2188" w:rsidRDefault="00A143F4" w:rsidP="00ED2188">
      <w:pPr>
        <w:pStyle w:val="LeftrightafterHC"/>
        <w:spacing w:before="0" w:after="260" w:line="280" w:lineRule="exact"/>
        <w:ind w:right="0"/>
        <w:jc w:val="both"/>
        <w:rPr>
          <w:rFonts w:ascii="Times New Roman" w:hAnsi="Times New Roman"/>
        </w:rPr>
      </w:pPr>
      <w:r w:rsidRPr="00ED2188">
        <w:rPr>
          <w:rFonts w:ascii="Times New Roman" w:hAnsi="Times New Roman"/>
        </w:rPr>
        <w:t>"</w:t>
      </w:r>
      <w:r w:rsidRPr="00ED2188">
        <w:rPr>
          <w:rFonts w:ascii="Times New Roman" w:hAnsi="Times New Roman"/>
          <w:b/>
          <w:i/>
          <w:iCs/>
        </w:rPr>
        <w:t>royalty</w:t>
      </w:r>
      <w:r w:rsidRPr="00ED2188">
        <w:rPr>
          <w:rFonts w:ascii="Times New Roman" w:hAnsi="Times New Roman"/>
        </w:rPr>
        <w:t xml:space="preserve"> or </w:t>
      </w:r>
      <w:r w:rsidRPr="00ED2188">
        <w:rPr>
          <w:rFonts w:ascii="Times New Roman" w:hAnsi="Times New Roman"/>
          <w:b/>
          <w:i/>
          <w:iCs/>
        </w:rPr>
        <w:t>royalties</w:t>
      </w:r>
      <w:r w:rsidRPr="00ED2188">
        <w:rPr>
          <w:rFonts w:ascii="Times New Roman" w:hAnsi="Times New Roman"/>
        </w:rPr>
        <w:t xml:space="preserve"> includes any amount paid or credited, however described or computed, and whether the payment or credit is periodical or not, to the extent to which it is paid or credited, as the case may be, as</w:t>
      </w:r>
      <w:r>
        <w:rPr>
          <w:rFonts w:ascii="Times New Roman" w:hAnsi="Times New Roman"/>
        </w:rPr>
        <w:t> </w:t>
      </w:r>
      <w:r w:rsidRPr="00ED2188">
        <w:rPr>
          <w:rFonts w:ascii="Times New Roman" w:hAnsi="Times New Roman"/>
        </w:rPr>
        <w:t>consideration for:</w:t>
      </w:r>
    </w:p>
    <w:p w14:paraId="438F3529" w14:textId="77777777" w:rsidR="00A143F4" w:rsidRPr="00ED2188" w:rsidRDefault="00A143F4" w:rsidP="00ED2188">
      <w:pPr>
        <w:pStyle w:val="leftright"/>
        <w:spacing w:before="0" w:after="260" w:line="280" w:lineRule="exact"/>
        <w:ind w:left="1440" w:right="0" w:hanging="720"/>
        <w:jc w:val="both"/>
        <w:rPr>
          <w:rFonts w:ascii="Times New Roman" w:hAnsi="Times New Roman"/>
        </w:rPr>
      </w:pPr>
      <w:r w:rsidRPr="00ED2188">
        <w:rPr>
          <w:rFonts w:ascii="Times New Roman" w:hAnsi="Times New Roman"/>
        </w:rPr>
        <w:t>(a)</w:t>
      </w:r>
      <w:r w:rsidRPr="00ED2188">
        <w:rPr>
          <w:rFonts w:ascii="Times New Roman" w:hAnsi="Times New Roman"/>
        </w:rPr>
        <w:tab/>
        <w:t>the use of, or the right to use, any copyright, patent, design or model, plan, secret formula or process, trade mark, or other like property or right;</w:t>
      </w:r>
    </w:p>
    <w:p w14:paraId="67F73D55" w14:textId="77777777" w:rsidR="00A143F4" w:rsidRPr="00ED2188" w:rsidRDefault="00A143F4" w:rsidP="00ED2188">
      <w:pPr>
        <w:pStyle w:val="leftright"/>
        <w:spacing w:before="0" w:after="260" w:line="280" w:lineRule="exact"/>
        <w:ind w:right="0"/>
        <w:jc w:val="both"/>
        <w:rPr>
          <w:rFonts w:ascii="Times New Roman" w:hAnsi="Times New Roman"/>
        </w:rPr>
      </w:pPr>
      <w:r w:rsidRPr="00ED2188">
        <w:rPr>
          <w:rFonts w:ascii="Times New Roman" w:hAnsi="Times New Roman"/>
        </w:rPr>
        <w:t>...</w:t>
      </w:r>
    </w:p>
    <w:p w14:paraId="12F8E51C" w14:textId="77777777" w:rsidR="00A143F4" w:rsidRDefault="00A143F4" w:rsidP="00ED2188">
      <w:pPr>
        <w:pStyle w:val="leftright"/>
        <w:spacing w:before="0" w:after="260" w:line="280" w:lineRule="exact"/>
        <w:ind w:left="1440" w:right="0" w:hanging="720"/>
        <w:jc w:val="both"/>
        <w:rPr>
          <w:rFonts w:ascii="Times New Roman" w:hAnsi="Times New Roman"/>
        </w:rPr>
      </w:pPr>
      <w:r w:rsidRPr="00ED2188">
        <w:rPr>
          <w:rFonts w:ascii="Times New Roman" w:hAnsi="Times New Roman"/>
        </w:rPr>
        <w:lastRenderedPageBreak/>
        <w:t>(d)</w:t>
      </w:r>
      <w:r w:rsidRPr="00ED2188">
        <w:rPr>
          <w:rFonts w:ascii="Times New Roman" w:hAnsi="Times New Roman"/>
        </w:rPr>
        <w:tab/>
        <w:t>the supply of any assistance that is ancillary and subsidiary to, and</w:t>
      </w:r>
      <w:r>
        <w:rPr>
          <w:rFonts w:ascii="Times New Roman" w:hAnsi="Times New Roman"/>
        </w:rPr>
        <w:t> </w:t>
      </w:r>
      <w:r w:rsidRPr="00ED2188">
        <w:rPr>
          <w:rFonts w:ascii="Times New Roman" w:hAnsi="Times New Roman"/>
        </w:rPr>
        <w:t xml:space="preserve">is furnished as a means of enabling the application or enjoyment of, any such property or right as is mentioned in paragraph (a) ..." </w:t>
      </w:r>
    </w:p>
    <w:p w14:paraId="717A26FB" w14:textId="77777777" w:rsidR="00A143F4" w:rsidRPr="00ED2188" w:rsidRDefault="00A143F4" w:rsidP="00ED2188">
      <w:pPr>
        <w:pStyle w:val="NormalBody"/>
        <w:spacing w:after="260" w:line="280" w:lineRule="exact"/>
        <w:ind w:right="0"/>
        <w:jc w:val="both"/>
        <w:rPr>
          <w:rFonts w:ascii="Times New Roman" w:hAnsi="Times New Roman"/>
        </w:rPr>
      </w:pPr>
      <w:r w:rsidRPr="00ED2188">
        <w:rPr>
          <w:rFonts w:ascii="Times New Roman" w:hAnsi="Times New Roman"/>
        </w:rPr>
        <w:t>There was no dispute that if, properly construed, SAPL's obligation to pay for concentrate under the SAPL Bottler, Seller and Distributor Agreement included, in part, a payment which was consideration for the use of the PepsiCo Intellectual Property, then such a payment would be a "royalty" within the meaning of that defined term in s 6(1) of the ITAA 1936.</w:t>
      </w:r>
    </w:p>
    <w:p w14:paraId="763653C8"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There were therefore two questions. First, were the payments made by SAPL to PBS "consideration for" the use of the PepsiCo Intellectual Property and therefore a "royalty" within the meaning of that defined term in s 6(1) of the</w:t>
      </w:r>
      <w:r>
        <w:rPr>
          <w:rFonts w:ascii="Times New Roman" w:hAnsi="Times New Roman"/>
        </w:rPr>
        <w:t> </w:t>
      </w:r>
      <w:r w:rsidRPr="00ED2188">
        <w:rPr>
          <w:rFonts w:ascii="Times New Roman" w:hAnsi="Times New Roman"/>
        </w:rPr>
        <w:t>ITAA 1936 and, second, if so, was that "royalty" "derived by" and "paid or credited" to PepsiCo?</w:t>
      </w:r>
    </w:p>
    <w:p w14:paraId="1D390F60" w14:textId="77777777" w:rsidR="00A143F4" w:rsidRPr="00ED2188" w:rsidRDefault="00A143F4" w:rsidP="00ED2188">
      <w:pPr>
        <w:pStyle w:val="HeadingL2"/>
        <w:spacing w:after="260" w:line="280" w:lineRule="exact"/>
        <w:ind w:right="0"/>
        <w:jc w:val="both"/>
        <w:rPr>
          <w:rFonts w:ascii="Times New Roman" w:hAnsi="Times New Roman"/>
        </w:rPr>
      </w:pPr>
      <w:r w:rsidRPr="00ED2188">
        <w:rPr>
          <w:rFonts w:ascii="Times New Roman" w:hAnsi="Times New Roman"/>
        </w:rPr>
        <w:t>Decisions below</w:t>
      </w:r>
    </w:p>
    <w:p w14:paraId="310FA91F"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 xml:space="preserve">In relation to the first question, the primary judge held that 5.88 per cent of the amounts paid was a royalty. The primary judge primarily relied on decisions of this Court in </w:t>
      </w:r>
      <w:r w:rsidRPr="00ED2188">
        <w:rPr>
          <w:rFonts w:ascii="Times New Roman" w:hAnsi="Times New Roman"/>
          <w:i/>
          <w:iCs/>
        </w:rPr>
        <w:t>Chief Commissioner of State Revenue (NSW) v Dick Smith Electronics Holdings Pty Ltd</w:t>
      </w:r>
      <w:r w:rsidRPr="00ED2188">
        <w:rPr>
          <w:rStyle w:val="FootnoteReference"/>
          <w:rFonts w:ascii="Times New Roman" w:hAnsi="Times New Roman"/>
          <w:sz w:val="24"/>
        </w:rPr>
        <w:footnoteReference w:id="181"/>
      </w:r>
      <w:r w:rsidRPr="00ED2188">
        <w:rPr>
          <w:rFonts w:ascii="Times New Roman" w:hAnsi="Times New Roman"/>
        </w:rPr>
        <w:t xml:space="preserve"> and </w:t>
      </w:r>
      <w:r w:rsidRPr="00ED2188">
        <w:rPr>
          <w:rFonts w:ascii="Times New Roman" w:hAnsi="Times New Roman"/>
          <w:i/>
          <w:iCs/>
        </w:rPr>
        <w:t>Commissioner of State Revenue (Vic) v Lend Lease Development Pty Ltd</w:t>
      </w:r>
      <w:r w:rsidRPr="00ED2188">
        <w:rPr>
          <w:rFonts w:ascii="Times New Roman" w:hAnsi="Times New Roman"/>
        </w:rPr>
        <w:t>.</w:t>
      </w:r>
      <w:r w:rsidRPr="00ED2188">
        <w:rPr>
          <w:rStyle w:val="FootnoteReference"/>
          <w:rFonts w:ascii="Times New Roman" w:hAnsi="Times New Roman"/>
          <w:sz w:val="24"/>
        </w:rPr>
        <w:footnoteReference w:id="182"/>
      </w:r>
      <w:r w:rsidRPr="00ED2188">
        <w:rPr>
          <w:rFonts w:ascii="Times New Roman" w:hAnsi="Times New Roman"/>
        </w:rPr>
        <w:t xml:space="preserve"> It will be necessary to address those decisions below.</w:t>
      </w:r>
    </w:p>
    <w:p w14:paraId="40D7DC89"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The primary judge's conclusion that 5.88 per cent of the amounts paid by SAPL was a royalty was explained by reference to the following matters: one of the parties to the PepsiCo EBA – PepsiCo</w:t>
      </w:r>
      <w:r w:rsidRPr="00ED2188" w:rsidDel="00A0507D">
        <w:rPr>
          <w:rFonts w:ascii="Times New Roman" w:hAnsi="Times New Roman"/>
        </w:rPr>
        <w:t xml:space="preserve"> </w:t>
      </w:r>
      <w:r w:rsidRPr="00ED2188">
        <w:rPr>
          <w:rFonts w:ascii="Times New Roman" w:hAnsi="Times New Roman"/>
        </w:rPr>
        <w:t>– was the owner of the PepsiCo Intellectual Property whereas the Seller of the concentrate, PBS, was not a party to the PepsiCo EBA; the PepsiCo EBA contained an implied licence by PepsiCo to</w:t>
      </w:r>
      <w:r>
        <w:rPr>
          <w:rFonts w:ascii="Times New Roman" w:hAnsi="Times New Roman"/>
        </w:rPr>
        <w:t> </w:t>
      </w:r>
      <w:r w:rsidRPr="00ED2188">
        <w:rPr>
          <w:rFonts w:ascii="Times New Roman" w:hAnsi="Times New Roman"/>
        </w:rPr>
        <w:t>SAPL to use the PepsiCo Intellectual Property; the licence of the PepsiCo Intellectual Property was fundamental to the PepsiCo EBA because, without the licence, SAPL would not be able to package and sell the Beverages; a failure by SAPL to perform its payment obligations could result in the termination of the</w:t>
      </w:r>
      <w:r>
        <w:rPr>
          <w:rFonts w:ascii="Times New Roman" w:hAnsi="Times New Roman"/>
        </w:rPr>
        <w:t> </w:t>
      </w:r>
      <w:r w:rsidRPr="00ED2188">
        <w:rPr>
          <w:rFonts w:ascii="Times New Roman" w:hAnsi="Times New Roman"/>
        </w:rPr>
        <w:t xml:space="preserve">PepsiCo EBA and therefore the licence; and it would be "very surprising" if PepsiCo would be willing to license the PepsiCo Intellectual Property, which </w:t>
      </w:r>
      <w:r>
        <w:rPr>
          <w:rFonts w:ascii="Times New Roman" w:hAnsi="Times New Roman"/>
        </w:rPr>
        <w:t>is</w:t>
      </w:r>
      <w:r w:rsidRPr="00ED2188">
        <w:rPr>
          <w:rFonts w:ascii="Times New Roman" w:hAnsi="Times New Roman"/>
        </w:rPr>
        <w:t xml:space="preserve"> </w:t>
      </w:r>
      <w:r w:rsidRPr="00ED2188">
        <w:rPr>
          <w:rFonts w:ascii="Times New Roman" w:hAnsi="Times New Roman"/>
        </w:rPr>
        <w:lastRenderedPageBreak/>
        <w:t>some of the strongest and most valuable in the global beverage industry, "for</w:t>
      </w:r>
      <w:r>
        <w:rPr>
          <w:rFonts w:ascii="Times New Roman" w:hAnsi="Times New Roman"/>
        </w:rPr>
        <w:t> </w:t>
      </w:r>
      <w:r w:rsidRPr="00ED2188">
        <w:rPr>
          <w:rFonts w:ascii="Times New Roman" w:hAnsi="Times New Roman"/>
        </w:rPr>
        <w:t>nothing".</w:t>
      </w:r>
    </w:p>
    <w:p w14:paraId="3434382E"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In relation to the second question – whether the royalty income had been derived by and paid to PepsiCo for the purposes of s 128B(2B) – the primary judge dismissed PepsiCo's submission that it had not derived the relevant income. The</w:t>
      </w:r>
      <w:r>
        <w:rPr>
          <w:rFonts w:ascii="Times New Roman" w:hAnsi="Times New Roman"/>
        </w:rPr>
        <w:t> </w:t>
      </w:r>
      <w:r w:rsidRPr="00ED2188">
        <w:rPr>
          <w:rFonts w:ascii="Times New Roman" w:hAnsi="Times New Roman"/>
        </w:rPr>
        <w:t>primary judge also considered that, because PepsiCo had nominated PBS as the Seller of the concentrate, PepsiCo had thereby directed SAPL to pay PBS and, as a result, the royalty components were "dealt with on behalf of [PepsiCo]" or dealt with "as [PepsiCo] directs". The primary judge therefore held that the</w:t>
      </w:r>
      <w:r>
        <w:rPr>
          <w:rFonts w:ascii="Times New Roman" w:hAnsi="Times New Roman"/>
        </w:rPr>
        <w:t> </w:t>
      </w:r>
      <w:r w:rsidRPr="00ED2188">
        <w:rPr>
          <w:rFonts w:ascii="Times New Roman" w:hAnsi="Times New Roman"/>
        </w:rPr>
        <w:t>relevant portions of the payments were deemed to have been paid to PepsiCo.</w:t>
      </w:r>
    </w:p>
    <w:p w14:paraId="525C1055"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 xml:space="preserve">In the Full Federal Court, the majority rejected the proposition that SAPL obtained the benefit of the PepsiCo Intellectual Property "for nothing" on the basis that a complete view of the licence granted by PepsiCo to SAPL was one which acknowledged not merely (a) the benefits obtained by SAPL in being permitted to use the goodwill attaching to the Trade Marks but also (b) the restrictions as to both product and marketing imposed on SAPL in its utilisation of that goodwill, (c) the burdens placed upon SAPL in complying with testing and inspection regimes, and (d) the benefits obtained by PepsiCo in having SAPL sustain and promote its goodwill in Australia. In short, the licence obtained by SAPL was part of a package involving substantial obligations upon SAPL and substantial benefits to PepsiCo and not merely benefits to SAPL. The majority found that, once that complete view of the licence was appreciated, the Commissioner's submission that PepsiCo was giving away the right to use the PepsiCo Intellectual Property for nothing, unless some element of the price for the concentrate was seen as embedding some value for the licence, must be rejected. The decisions in </w:t>
      </w:r>
      <w:r w:rsidRPr="00ED2188">
        <w:rPr>
          <w:rFonts w:ascii="Times New Roman" w:hAnsi="Times New Roman"/>
          <w:i/>
          <w:iCs/>
        </w:rPr>
        <w:t>Dick</w:t>
      </w:r>
      <w:r>
        <w:rPr>
          <w:rFonts w:ascii="Times New Roman" w:hAnsi="Times New Roman"/>
          <w:i/>
          <w:iCs/>
        </w:rPr>
        <w:t> </w:t>
      </w:r>
      <w:r w:rsidRPr="00ED2188">
        <w:rPr>
          <w:rFonts w:ascii="Times New Roman" w:hAnsi="Times New Roman"/>
          <w:i/>
          <w:iCs/>
        </w:rPr>
        <w:t>Smith</w:t>
      </w:r>
      <w:r w:rsidRPr="00ED2188">
        <w:rPr>
          <w:rFonts w:ascii="Times New Roman" w:hAnsi="Times New Roman"/>
        </w:rPr>
        <w:t xml:space="preserve"> and </w:t>
      </w:r>
      <w:r w:rsidRPr="00ED2188">
        <w:rPr>
          <w:rFonts w:ascii="Times New Roman" w:hAnsi="Times New Roman"/>
          <w:i/>
          <w:iCs/>
        </w:rPr>
        <w:t>Lend Lease</w:t>
      </w:r>
      <w:r w:rsidRPr="00ED2188">
        <w:rPr>
          <w:rFonts w:ascii="Times New Roman" w:hAnsi="Times New Roman"/>
        </w:rPr>
        <w:t xml:space="preserve"> were distinguished by the majority. Those cases, it was said, concerned agreements where multiple promises for the payment of money or for the performance of other obligations constituted, in aggregate, the</w:t>
      </w:r>
      <w:r>
        <w:rPr>
          <w:rFonts w:ascii="Times New Roman" w:hAnsi="Times New Roman"/>
        </w:rPr>
        <w:t> </w:t>
      </w:r>
      <w:r w:rsidRPr="00ED2188">
        <w:rPr>
          <w:rFonts w:ascii="Times New Roman" w:hAnsi="Times New Roman"/>
        </w:rPr>
        <w:t xml:space="preserve">consideration for the transfer of shares (in </w:t>
      </w:r>
      <w:r w:rsidRPr="00ED2188">
        <w:rPr>
          <w:rFonts w:ascii="Times New Roman" w:hAnsi="Times New Roman"/>
          <w:i/>
          <w:iCs/>
        </w:rPr>
        <w:t>Dick Smith</w:t>
      </w:r>
      <w:r w:rsidRPr="00ED2188">
        <w:rPr>
          <w:rFonts w:ascii="Times New Roman" w:hAnsi="Times New Roman"/>
        </w:rPr>
        <w:t>) and parcels of land (in</w:t>
      </w:r>
      <w:r>
        <w:rPr>
          <w:rFonts w:ascii="Times New Roman" w:hAnsi="Times New Roman"/>
        </w:rPr>
        <w:t> </w:t>
      </w:r>
      <w:r w:rsidRPr="00ED2188">
        <w:rPr>
          <w:rFonts w:ascii="Times New Roman" w:hAnsi="Times New Roman"/>
          <w:i/>
          <w:iCs/>
        </w:rPr>
        <w:t>Lend</w:t>
      </w:r>
      <w:r>
        <w:rPr>
          <w:rFonts w:ascii="Times New Roman" w:hAnsi="Times New Roman"/>
          <w:i/>
          <w:iCs/>
        </w:rPr>
        <w:t> </w:t>
      </w:r>
      <w:r w:rsidRPr="00ED2188">
        <w:rPr>
          <w:rFonts w:ascii="Times New Roman" w:hAnsi="Times New Roman"/>
          <w:i/>
          <w:iCs/>
        </w:rPr>
        <w:t>Lease</w:t>
      </w:r>
      <w:r w:rsidRPr="00ED2188">
        <w:rPr>
          <w:rFonts w:ascii="Times New Roman" w:hAnsi="Times New Roman"/>
        </w:rPr>
        <w:t>). In contrast, the majority construed SAPL's promise to pay for concentrate as a promise for the transfer of those goods, and for nothing else.</w:t>
      </w:r>
    </w:p>
    <w:p w14:paraId="30EB5BA1"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 xml:space="preserve">Given the conclusion reached on the first question, the majority recognised that it was strictly unnecessary for them to consider whether any amount received by PBS from SAPL could be income which was derived by PepsiCo. Nevertheless, the majority held that PepsiCo did not derive any of the amounts paid by SAPL to PBS. The majority accepted that a direction by a creditor to a debtor to pay a third </w:t>
      </w:r>
      <w:r w:rsidRPr="00ED2188">
        <w:rPr>
          <w:rFonts w:ascii="Times New Roman" w:hAnsi="Times New Roman"/>
        </w:rPr>
        <w:lastRenderedPageBreak/>
        <w:t>party constitutes a payment to the creditor</w:t>
      </w:r>
      <w:r w:rsidRPr="00ED2188">
        <w:rPr>
          <w:rStyle w:val="FootnoteReference"/>
          <w:rFonts w:ascii="Times New Roman" w:hAnsi="Times New Roman"/>
          <w:sz w:val="24"/>
        </w:rPr>
        <w:footnoteReference w:id="183"/>
      </w:r>
      <w:r w:rsidRPr="00ED2188">
        <w:rPr>
          <w:rFonts w:ascii="Times New Roman" w:hAnsi="Times New Roman"/>
        </w:rPr>
        <w:t xml:space="preserve"> but held that there can be no payment by direction unless there is an antecedent monetary obligation.</w:t>
      </w:r>
      <w:r w:rsidRPr="00ED2188">
        <w:rPr>
          <w:rStyle w:val="FootnoteReference"/>
          <w:rFonts w:ascii="Times New Roman" w:hAnsi="Times New Roman"/>
          <w:sz w:val="24"/>
        </w:rPr>
        <w:footnoteReference w:id="184"/>
      </w:r>
      <w:r w:rsidRPr="00ED2188">
        <w:rPr>
          <w:rFonts w:ascii="Times New Roman" w:hAnsi="Times New Roman"/>
        </w:rPr>
        <w:t xml:space="preserve"> The majority held that there was no antecedent monetary obligation owed by SAPL to PepsiCo and that, properly construed, the PepsiCo EBA did not create a monetary obligation owed by SAPL to PepsiCo. Rather, the PepsiCo EBA contemplated that PepsiCo would be the Seller of concentrate, or would cause one of its subsidiaries or company affiliates to be the Seller of concentrate, the latter of which is what happened when PBS sold concentrate to SAPL. In addition, the majority held that the payments made by SAPL to PBS were not income derived by PepsiCo because the payments did not "come home" to PepsiCo.</w:t>
      </w:r>
      <w:r w:rsidRPr="00ED2188">
        <w:rPr>
          <w:rStyle w:val="FootnoteReference"/>
          <w:rFonts w:ascii="Times New Roman" w:hAnsi="Times New Roman"/>
          <w:sz w:val="24"/>
        </w:rPr>
        <w:footnoteReference w:id="185"/>
      </w:r>
    </w:p>
    <w:p w14:paraId="502705A8"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In this Court, the Commissioner sought to reagitate both questions. For the reasons that follow, the answer to both questions should be "No". The payments made by SAPL to PBS were for concentrate and did not include any component which was a "royalty" for the use of the PepsiCo Intellectual Property. The</w:t>
      </w:r>
      <w:r>
        <w:rPr>
          <w:rFonts w:ascii="Times New Roman" w:hAnsi="Times New Roman"/>
        </w:rPr>
        <w:t> </w:t>
      </w:r>
      <w:r w:rsidRPr="00ED2188">
        <w:rPr>
          <w:rFonts w:ascii="Times New Roman" w:hAnsi="Times New Roman"/>
        </w:rPr>
        <w:t xml:space="preserve">payments made by SAPL to PBS were not made "as consideration for" the use of the PepsiCo Intellectual Property and therefore did not include a "royalty" within the definition of that term in s 6(1) of the ITAA 1936. And, in any event, the payments were received by PBS on its own account. The payments were not paid to and cannot be said to have been paid to PepsiCo. Put simply, the payments made by SAPL to PBS were not brought to tax under s 128B(2B) because there was no "royalty" as required by s 128B(2B)(b) and the payments made by SAPL to PBS were not "income ... derived by" PepsiCo within the meaning of s 128B(2B)(a). Each question will be considered in turn. </w:t>
      </w:r>
    </w:p>
    <w:p w14:paraId="0410D387" w14:textId="77777777" w:rsidR="00A143F4" w:rsidRPr="00ED2188" w:rsidRDefault="00A143F4" w:rsidP="00ED2188">
      <w:pPr>
        <w:pStyle w:val="HeadingL2"/>
        <w:spacing w:after="260" w:line="280" w:lineRule="exact"/>
        <w:ind w:right="0"/>
        <w:jc w:val="both"/>
        <w:rPr>
          <w:rFonts w:ascii="Times New Roman" w:hAnsi="Times New Roman"/>
        </w:rPr>
      </w:pPr>
      <w:r w:rsidRPr="00ED2188">
        <w:rPr>
          <w:rFonts w:ascii="Times New Roman" w:hAnsi="Times New Roman"/>
        </w:rPr>
        <w:t>Payment not "consideration for" right to use PepsiCo Intellectual Property</w:t>
      </w:r>
    </w:p>
    <w:p w14:paraId="148F9F30"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 xml:space="preserve">Whether the payments for concentrate from SAPL to PBS were in part "consideration for" the right of SAPL to use the PepsiCo Intellectual Property turns on the proper construction of the whole SAPL Bottler, Seller and Distributor Agreement of which the PepsiCo EBA formed a part – what the parties had agreed, </w:t>
      </w:r>
      <w:r w:rsidRPr="00ED2188">
        <w:rPr>
          <w:rFonts w:ascii="Times New Roman" w:hAnsi="Times New Roman"/>
        </w:rPr>
        <w:lastRenderedPageBreak/>
        <w:t>ascertained objectively.</w:t>
      </w:r>
      <w:r w:rsidRPr="00ED2188">
        <w:rPr>
          <w:rStyle w:val="FootnoteReference"/>
          <w:rFonts w:ascii="Times New Roman" w:hAnsi="Times New Roman"/>
          <w:sz w:val="24"/>
        </w:rPr>
        <w:footnoteReference w:id="186"/>
      </w:r>
      <w:r w:rsidRPr="00ED2188">
        <w:rPr>
          <w:rFonts w:ascii="Times New Roman" w:hAnsi="Times New Roman"/>
        </w:rPr>
        <w:t xml:space="preserve"> Did the parties bargain that the payments made by SAPL to PBS for concentrate were in part to be a recompense to PepsiCo for the right to use the PepsiCo Intellectual Property? </w:t>
      </w:r>
    </w:p>
    <w:p w14:paraId="64DAB04E" w14:textId="77777777" w:rsidR="00A143F4" w:rsidRPr="00ED2188" w:rsidRDefault="00A143F4" w:rsidP="00ED2188">
      <w:pPr>
        <w:pStyle w:val="HeadingL3"/>
        <w:spacing w:after="260" w:line="280" w:lineRule="exact"/>
        <w:ind w:right="0"/>
        <w:jc w:val="both"/>
        <w:rPr>
          <w:rFonts w:ascii="Times New Roman" w:hAnsi="Times New Roman"/>
        </w:rPr>
      </w:pPr>
      <w:r w:rsidRPr="00ED2188">
        <w:rPr>
          <w:rFonts w:ascii="Times New Roman" w:hAnsi="Times New Roman"/>
        </w:rPr>
        <w:t>"Consideration for"</w:t>
      </w:r>
    </w:p>
    <w:p w14:paraId="34AA7F32"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The word "consideration" has multiple meanings and shades of meaning. In</w:t>
      </w:r>
      <w:r>
        <w:rPr>
          <w:rFonts w:ascii="Times New Roman" w:hAnsi="Times New Roman"/>
        </w:rPr>
        <w:t> </w:t>
      </w:r>
      <w:r w:rsidRPr="00ED2188">
        <w:rPr>
          <w:rFonts w:ascii="Times New Roman" w:hAnsi="Times New Roman"/>
        </w:rPr>
        <w:t>the modern law of contract, "consideration" has developed as a concern with reciprocity,</w:t>
      </w:r>
      <w:r w:rsidRPr="00ED2188">
        <w:rPr>
          <w:rStyle w:val="FootnoteReference"/>
          <w:rFonts w:ascii="Times New Roman" w:hAnsi="Times New Roman"/>
          <w:sz w:val="24"/>
        </w:rPr>
        <w:footnoteReference w:id="187"/>
      </w:r>
      <w:r w:rsidRPr="00ED2188">
        <w:rPr>
          <w:rFonts w:ascii="Times New Roman" w:hAnsi="Times New Roman"/>
        </w:rPr>
        <w:t xml:space="preserve"> or a "</w:t>
      </w:r>
      <w:r w:rsidRPr="00ED2188">
        <w:rPr>
          <w:rFonts w:ascii="Times New Roman" w:hAnsi="Times New Roman"/>
          <w:i/>
          <w:iCs/>
        </w:rPr>
        <w:t>quid pro quo</w:t>
      </w:r>
      <w:r w:rsidRPr="00ED2188">
        <w:rPr>
          <w:rFonts w:ascii="Times New Roman" w:hAnsi="Times New Roman"/>
        </w:rPr>
        <w:t>" between an offered promise and acceptance.</w:t>
      </w:r>
      <w:r w:rsidRPr="00ED2188">
        <w:rPr>
          <w:rStyle w:val="FootnoteReference"/>
          <w:rFonts w:ascii="Times New Roman" w:hAnsi="Times New Roman"/>
          <w:sz w:val="24"/>
        </w:rPr>
        <w:footnoteReference w:id="188"/>
      </w:r>
      <w:r w:rsidRPr="00ED2188">
        <w:rPr>
          <w:rFonts w:ascii="Times New Roman" w:hAnsi="Times New Roman"/>
        </w:rPr>
        <w:t xml:space="preserve"> But another meaning of consideration which applied in circumstances broader than modern contracts, such as a conveyance or the making of a payment, was a "moving cause" or a "material cause" for the payment.</w:t>
      </w:r>
      <w:r w:rsidRPr="00ED2188">
        <w:rPr>
          <w:rStyle w:val="FootnoteReference"/>
          <w:rFonts w:ascii="Times New Roman" w:hAnsi="Times New Roman"/>
          <w:sz w:val="24"/>
        </w:rPr>
        <w:footnoteReference w:id="189"/>
      </w:r>
      <w:r w:rsidRPr="00ED2188">
        <w:rPr>
          <w:rFonts w:ascii="Times New Roman" w:hAnsi="Times New Roman"/>
        </w:rPr>
        <w:t xml:space="preserve"> In this broader, alternative sense, the "consideration" for a payment was the "purpose" of the payment or conveyance,</w:t>
      </w:r>
      <w:r w:rsidRPr="00ED2188">
        <w:rPr>
          <w:rStyle w:val="FootnoteReference"/>
          <w:rFonts w:ascii="Times New Roman" w:hAnsi="Times New Roman"/>
          <w:sz w:val="24"/>
        </w:rPr>
        <w:footnoteReference w:id="190"/>
      </w:r>
      <w:r w:rsidRPr="00ED2188">
        <w:rPr>
          <w:rFonts w:ascii="Times New Roman" w:hAnsi="Times New Roman"/>
        </w:rPr>
        <w:t xml:space="preserve"> or the "basis" or "condition" upon which it is made.</w:t>
      </w:r>
      <w:r w:rsidRPr="00ED2188">
        <w:rPr>
          <w:rStyle w:val="FootnoteReference"/>
          <w:rFonts w:ascii="Times New Roman" w:hAnsi="Times New Roman"/>
          <w:sz w:val="24"/>
        </w:rPr>
        <w:footnoteReference w:id="191"/>
      </w:r>
      <w:r w:rsidRPr="00ED2188">
        <w:rPr>
          <w:rFonts w:ascii="Times New Roman" w:hAnsi="Times New Roman"/>
        </w:rPr>
        <w:t xml:space="preserve"> </w:t>
      </w:r>
    </w:p>
    <w:p w14:paraId="0BDE795C" w14:textId="144C8736"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 xml:space="preserve">In </w:t>
      </w:r>
      <w:r w:rsidRPr="00ED2188">
        <w:rPr>
          <w:rFonts w:ascii="Times New Roman" w:hAnsi="Times New Roman"/>
          <w:i/>
          <w:iCs/>
        </w:rPr>
        <w:t>Archibald Howie Pty Ltd v Commissioner of Stamp Duties (NSW)</w:t>
      </w:r>
      <w:r w:rsidRPr="00ED2188">
        <w:rPr>
          <w:rFonts w:ascii="Times New Roman" w:hAnsi="Times New Roman"/>
        </w:rPr>
        <w:t xml:space="preserve">, Dixon J explained that in s 66 of the </w:t>
      </w:r>
      <w:r w:rsidRPr="00ED2188">
        <w:rPr>
          <w:rFonts w:ascii="Times New Roman" w:hAnsi="Times New Roman"/>
          <w:i/>
          <w:iCs/>
        </w:rPr>
        <w:t xml:space="preserve">Stamp Duties Act </w:t>
      </w:r>
      <w:r w:rsidRPr="000200E3">
        <w:rPr>
          <w:rFonts w:ascii="Times New Roman" w:hAnsi="Times New Roman"/>
          <w:i/>
          <w:iCs/>
        </w:rPr>
        <w:t>1920-1940</w:t>
      </w:r>
      <w:r w:rsidRPr="00ED2188">
        <w:rPr>
          <w:rFonts w:ascii="Times New Roman" w:hAnsi="Times New Roman"/>
        </w:rPr>
        <w:t xml:space="preserve"> (NSW) the word "consideration" refers to the "money or value passing which moves the conveyance or transfer",</w:t>
      </w:r>
      <w:r w:rsidRPr="00ED2188">
        <w:rPr>
          <w:rStyle w:val="FootnoteReference"/>
          <w:rFonts w:ascii="Times New Roman" w:hAnsi="Times New Roman"/>
          <w:sz w:val="24"/>
        </w:rPr>
        <w:footnoteReference w:id="192"/>
      </w:r>
      <w:r w:rsidRPr="00ED2188">
        <w:rPr>
          <w:rFonts w:ascii="Times New Roman" w:hAnsi="Times New Roman"/>
        </w:rPr>
        <w:t xml:space="preserve"> not simply a consequence or aspect of an offer and acceptance. Similarly, the phrase "consideration for" in the definition of "royalty" in s 6(1) of the ITAA 1936 is unlikely to be confined to whether there is a </w:t>
      </w:r>
      <w:r w:rsidRPr="00ED2188">
        <w:rPr>
          <w:rFonts w:ascii="Times New Roman" w:hAnsi="Times New Roman"/>
          <w:i/>
          <w:iCs/>
        </w:rPr>
        <w:t>quid pro quo</w:t>
      </w:r>
      <w:r w:rsidRPr="00ED2188">
        <w:rPr>
          <w:rFonts w:ascii="Times New Roman" w:hAnsi="Times New Roman"/>
        </w:rPr>
        <w:t xml:space="preserve"> in the</w:t>
      </w:r>
      <w:r>
        <w:rPr>
          <w:rFonts w:ascii="Times New Roman" w:hAnsi="Times New Roman"/>
        </w:rPr>
        <w:t> </w:t>
      </w:r>
      <w:r w:rsidRPr="00ED2188">
        <w:rPr>
          <w:rFonts w:ascii="Times New Roman" w:hAnsi="Times New Roman"/>
        </w:rPr>
        <w:t xml:space="preserve">making of an offer and acceptance of that offer. The definition of "royalty" refers to an amount "however described or computed" and to an amount "to the extent to which" it is paid as consideration for the right to use intellectual property. The phrase "consideration for" in the definition of "royalty" in s 6(1) of </w:t>
      </w:r>
      <w:r w:rsidRPr="00ED2188">
        <w:rPr>
          <w:rFonts w:ascii="Times New Roman" w:hAnsi="Times New Roman"/>
        </w:rPr>
        <w:lastRenderedPageBreak/>
        <w:t>the</w:t>
      </w:r>
      <w:r>
        <w:rPr>
          <w:rFonts w:ascii="Times New Roman" w:hAnsi="Times New Roman"/>
        </w:rPr>
        <w:t> </w:t>
      </w:r>
      <w:r w:rsidRPr="00ED2188">
        <w:rPr>
          <w:rFonts w:ascii="Times New Roman" w:hAnsi="Times New Roman"/>
        </w:rPr>
        <w:t>ITAA 1936 extends to the "basis", "purpose", or "condition" for a transaction by which one party confers a benefit upon another.</w:t>
      </w:r>
      <w:r w:rsidRPr="00ED2188">
        <w:rPr>
          <w:rStyle w:val="FootnoteReference"/>
          <w:rFonts w:ascii="Times New Roman" w:hAnsi="Times New Roman"/>
          <w:sz w:val="24"/>
        </w:rPr>
        <w:footnoteReference w:id="193"/>
      </w:r>
      <w:r w:rsidRPr="00ED2188">
        <w:rPr>
          <w:rFonts w:ascii="Times New Roman" w:hAnsi="Times New Roman"/>
        </w:rPr>
        <w:t xml:space="preserve"> Of course, whether a payment is a basis, purpose or condition "for" the conferral of the use of intellectual property will always depend upon what the parties have agreed. In that respect, the</w:t>
      </w:r>
      <w:r w:rsidR="00DD79B2">
        <w:rPr>
          <w:rFonts w:ascii="Times New Roman" w:hAnsi="Times New Roman"/>
        </w:rPr>
        <w:t> </w:t>
      </w:r>
      <w:r w:rsidRPr="00ED2188">
        <w:rPr>
          <w:rFonts w:ascii="Times New Roman" w:hAnsi="Times New Roman"/>
        </w:rPr>
        <w:t>word "for" connotes a causal connection between the making of a promise to pay or confer some other benefit and the receipt of a right to use the intellectual property. That connection will be satisfied when the giving of the promise can be seen to be the basis for, or a condition of, that receipt. In the present case, it cannot.</w:t>
      </w:r>
    </w:p>
    <w:p w14:paraId="70E269E1" w14:textId="77777777" w:rsidR="00A143F4" w:rsidRPr="00ED2188" w:rsidRDefault="00A143F4" w:rsidP="00ED2188">
      <w:pPr>
        <w:pStyle w:val="HeadingL3"/>
        <w:spacing w:after="260" w:line="280" w:lineRule="exact"/>
        <w:ind w:right="0"/>
        <w:jc w:val="both"/>
        <w:rPr>
          <w:rFonts w:ascii="Times New Roman" w:hAnsi="Times New Roman"/>
        </w:rPr>
      </w:pPr>
      <w:r w:rsidRPr="00ED2188">
        <w:rPr>
          <w:rFonts w:ascii="Times New Roman" w:hAnsi="Times New Roman"/>
        </w:rPr>
        <w:t>SAPL Bottler, Seller and Distributor Agreement</w:t>
      </w:r>
    </w:p>
    <w:p w14:paraId="3904C411"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The composite SAPL Bottler, Seller and Distributor Agreement, including the PepsiCo EBA, was not an agreement for the sale of goods or an agreement to sell goods in the future.</w:t>
      </w:r>
      <w:r w:rsidRPr="00ED2188">
        <w:rPr>
          <w:rStyle w:val="FootnoteReference"/>
          <w:rFonts w:ascii="Times New Roman" w:hAnsi="Times New Roman"/>
          <w:sz w:val="24"/>
        </w:rPr>
        <w:footnoteReference w:id="194"/>
      </w:r>
      <w:r w:rsidRPr="00ED2188">
        <w:rPr>
          <w:rFonts w:ascii="Times New Roman" w:hAnsi="Times New Roman"/>
        </w:rPr>
        <w:t xml:space="preserve"> It was an agreement that SAPL would manufacture, bottle, sell and distribute the Beverages in the Territory and, to facilitate those functions, PepsiCo licensed SAPL to use the PepsiCo Intellectual Property.</w:t>
      </w:r>
      <w:r w:rsidRPr="00ED2188">
        <w:rPr>
          <w:rStyle w:val="FootnoteReference"/>
          <w:rFonts w:ascii="Times New Roman" w:hAnsi="Times New Roman"/>
          <w:sz w:val="24"/>
        </w:rPr>
        <w:footnoteReference w:id="195"/>
      </w:r>
      <w:r w:rsidRPr="00ED2188">
        <w:rPr>
          <w:rFonts w:ascii="Times New Roman" w:hAnsi="Times New Roman"/>
        </w:rPr>
        <w:t xml:space="preserve"> By way of contrast, the contracts between SAPL and PBS, at arm's length, were for the sale and purchase of concentrate. </w:t>
      </w:r>
    </w:p>
    <w:p w14:paraId="06E2863D"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Although the licence for the PepsiCo Intellectual Property was a significant part of the architecture of the entire SAPL Bottler, Seller and Distributor Agreement, the Commissioner's contention that the payments for concentrate from SAPL to PBS were in part "consideration for" the right of SAPL to use the PepsiCo Intellectual Property must be rejected. There was no basis for concluding that the PepsiCo Intellectual Property was given away for "nothing", or that PepsiCo was not being properly compensated for the use of the PepsiCo Intellectual Property. The "consideration" in the sense of the basis for, or a condition of, the use by SAPL of the PepsiCo Intellectual Property was the performance of the monetary and non</w:t>
      </w:r>
      <w:r>
        <w:rPr>
          <w:rFonts w:ascii="Times New Roman" w:hAnsi="Times New Roman"/>
        </w:rPr>
        <w:noBreakHyphen/>
      </w:r>
      <w:r w:rsidRPr="00ED2188">
        <w:rPr>
          <w:rFonts w:ascii="Times New Roman" w:hAnsi="Times New Roman"/>
        </w:rPr>
        <w:t>monetary undertakings by SAPL</w:t>
      </w:r>
      <w:r w:rsidRPr="00ED2188" w:rsidDel="00D101CE">
        <w:rPr>
          <w:rFonts w:ascii="Times New Roman" w:hAnsi="Times New Roman"/>
        </w:rPr>
        <w:t xml:space="preserve"> </w:t>
      </w:r>
      <w:r w:rsidRPr="00ED2188">
        <w:rPr>
          <w:rFonts w:ascii="Times New Roman" w:hAnsi="Times New Roman"/>
        </w:rPr>
        <w:t>under the composite SAPL Bottler, Seller and Distributor Agreement, including the performance of undertakings or exchange of promises in cl 4 of the PepsiCo EBA, one of which was SAPL's promise to pay agreed unit prices for concentrate.</w:t>
      </w:r>
      <w:r w:rsidRPr="00ED2188">
        <w:rPr>
          <w:rStyle w:val="FootnoteReference"/>
          <w:rFonts w:ascii="Times New Roman" w:hAnsi="Times New Roman"/>
          <w:sz w:val="24"/>
        </w:rPr>
        <w:footnoteReference w:id="196"/>
      </w:r>
    </w:p>
    <w:p w14:paraId="3B447F45"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lastRenderedPageBreak/>
        <w:tab/>
        <w:t>The Commissioner submitted that the PepsiCo EBA should be construed as recording the true bargain of the parties with part of the payments made by SAPL to PBS being the consideration for the use of the PepsiCo Intellectual Property. Any other construction, the Commissioner submitted, would be commercially unrealistic given that SAPL made one payment but received in return both the concentrate and the use of the PepsiCo Intellectual Property; without the latter, it</w:t>
      </w:r>
      <w:r>
        <w:rPr>
          <w:rFonts w:ascii="Times New Roman" w:hAnsi="Times New Roman"/>
        </w:rPr>
        <w:t> </w:t>
      </w:r>
      <w:r w:rsidRPr="00ED2188">
        <w:rPr>
          <w:rFonts w:ascii="Times New Roman" w:hAnsi="Times New Roman"/>
        </w:rPr>
        <w:t>was emphasised, SAPL would not have a viable business. This argument was reflected in the following reasons of Colvin J, in dissent below:</w:t>
      </w:r>
    </w:p>
    <w:p w14:paraId="4DD33AE1" w14:textId="77777777" w:rsidR="00A143F4" w:rsidRDefault="00A143F4" w:rsidP="00ED2188">
      <w:pPr>
        <w:pStyle w:val="LeftrightafterHC"/>
        <w:spacing w:before="0" w:after="260" w:line="280" w:lineRule="exact"/>
        <w:ind w:right="0"/>
        <w:jc w:val="both"/>
        <w:rPr>
          <w:rFonts w:ascii="Times New Roman" w:hAnsi="Times New Roman"/>
        </w:rPr>
      </w:pPr>
      <w:r w:rsidRPr="00ED2188">
        <w:rPr>
          <w:rFonts w:ascii="Times New Roman" w:hAnsi="Times New Roman"/>
        </w:rPr>
        <w:tab/>
        <w:t>"Importantly, the trade marks are known to the parties to be strong and valuable. That is to say they have considerable existing goodwill. If the amount that is required to be paid under the EBAs is for the concentrate alone then the right to distribute the branded products is being afforded without any part of the monetary consideration being attributable to the</w:t>
      </w:r>
      <w:r>
        <w:rPr>
          <w:rFonts w:ascii="Times New Roman" w:hAnsi="Times New Roman"/>
        </w:rPr>
        <w:t> </w:t>
      </w:r>
      <w:r w:rsidRPr="00ED2188">
        <w:rPr>
          <w:rFonts w:ascii="Times New Roman" w:hAnsi="Times New Roman"/>
        </w:rPr>
        <w:t>licence to use the valuable brands of PepsiCo. That is a commercially unreasonable view of the terms of the EBAs considered as a whole."</w:t>
      </w:r>
    </w:p>
    <w:p w14:paraId="3B86A826"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In the case of the PepsiCo EBA, the Commissioner principally relied on three textual considerations. The first was that cl 4 of the PepsiCo EBA did not expressly confine the listed prices as being the consideration for the acquisition of concentrate. The second was that cl 24(a)(i) gave PepsiCo a right to terminate the</w:t>
      </w:r>
      <w:r>
        <w:rPr>
          <w:rFonts w:ascii="Times New Roman" w:hAnsi="Times New Roman"/>
        </w:rPr>
        <w:t> </w:t>
      </w:r>
      <w:r w:rsidRPr="00ED2188">
        <w:rPr>
          <w:rFonts w:ascii="Times New Roman" w:hAnsi="Times New Roman"/>
        </w:rPr>
        <w:t>contract on the failure by SAPL, amongst other things, to make the payments specified by cl 4. And the third was cl 27(a), which provided that, upon</w:t>
      </w:r>
      <w:r>
        <w:rPr>
          <w:rFonts w:ascii="Times New Roman" w:hAnsi="Times New Roman"/>
        </w:rPr>
        <w:t> </w:t>
      </w:r>
      <w:r w:rsidRPr="00ED2188">
        <w:rPr>
          <w:rFonts w:ascii="Times New Roman" w:hAnsi="Times New Roman"/>
        </w:rPr>
        <w:t>termination, SAPL would be unable to use any of the "Trade [M]arks, marks, names, symbols, slogans, emblems, insignia or other designs". These clauses demonstrated, it was submitted, a clear link between the making of the cl 4 payments and the continuing right of SAPL to use the PepsiCo Intellectual Property. It followed, the Commissioner submitted, that the parties must have agreed to make the payments a condition of the grant of the intellectual property rights.</w:t>
      </w:r>
      <w:r w:rsidRPr="00ED2188">
        <w:rPr>
          <w:rStyle w:val="FootnoteReference"/>
          <w:rFonts w:ascii="Times New Roman" w:hAnsi="Times New Roman"/>
          <w:sz w:val="24"/>
        </w:rPr>
        <w:footnoteReference w:id="197"/>
      </w:r>
    </w:p>
    <w:p w14:paraId="37ED8E8D"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That analysis oversimplifies what the parties agreed and misconceives the</w:t>
      </w:r>
      <w:r>
        <w:rPr>
          <w:rFonts w:ascii="Times New Roman" w:hAnsi="Times New Roman"/>
        </w:rPr>
        <w:t> </w:t>
      </w:r>
      <w:r w:rsidRPr="00ED2188">
        <w:rPr>
          <w:rFonts w:ascii="Times New Roman" w:hAnsi="Times New Roman"/>
        </w:rPr>
        <w:t>overall arrangement and hence the basis or condition for the licence to SAPL to use the PepsiCo Intellectual Property. The SAPL Bottler, Seller and Distributor Agreement constituted a complex exchange of valuable promises. Clause 4(a) of the PepsiCo EBA contained one such exchange of promises.</w:t>
      </w:r>
      <w:r w:rsidRPr="00ED2188">
        <w:rPr>
          <w:rFonts w:ascii="Times New Roman" w:hAnsi="Times New Roman"/>
          <w:b/>
          <w:bCs/>
        </w:rPr>
        <w:t xml:space="preserve"> </w:t>
      </w:r>
      <w:r w:rsidRPr="00ED2188">
        <w:rPr>
          <w:rFonts w:ascii="Times New Roman" w:hAnsi="Times New Roman"/>
        </w:rPr>
        <w:t xml:space="preserve">As its heading stated, this clause was concerned with the supply of concentrate. It was clearly forward looking. It provided that PepsiCo "will sell or cause to be sold by one of its subsidiaries" and SAPL "will buy" "units of concentrate" "at the following prices", which were then specified on a per unit basis. Such language contradicts the </w:t>
      </w:r>
      <w:r w:rsidRPr="00ED2188">
        <w:rPr>
          <w:rFonts w:ascii="Times New Roman" w:hAnsi="Times New Roman"/>
        </w:rPr>
        <w:lastRenderedPageBreak/>
        <w:t>Commissioner's case. It reflects a bargain made, within the context of the broader exchange of promises contained in the SAPL Bottler, Seller and Distributor Agreement, as to what the prices for concentrate would be and no more. In other words, it specified the monetary condition for the transfer of units of concentrate by PepsiCo (or the nominated Seller) to SAPL.</w:t>
      </w:r>
    </w:p>
    <w:p w14:paraId="2F827B69"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Critically, the Commissioner did not contend that these prices were incorrect or had been inflated to hide some secret royalty outlay. Different</w:t>
      </w:r>
      <w:r>
        <w:rPr>
          <w:rFonts w:ascii="Times New Roman" w:hAnsi="Times New Roman"/>
        </w:rPr>
        <w:t> </w:t>
      </w:r>
      <w:r w:rsidRPr="00ED2188">
        <w:rPr>
          <w:rFonts w:ascii="Times New Roman" w:hAnsi="Times New Roman"/>
        </w:rPr>
        <w:t xml:space="preserve">Beverages were, unsurprisingly, listed at different prices. Clause 4(b) provided for those prices to be adjusted annually. Clause 4(c) addressed the delivery of the units and allocated responsibility for the payment of customs duty, GST, import licences and permits. Clause 4(d) obliged SAPL to carry a certain inventory of minimum units. Self-evidently, the subject matter of these clauses was the sale of concentrate and nothing else. </w:t>
      </w:r>
    </w:p>
    <w:p w14:paraId="3BC529DC"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The invoices sent by PBS to SAPL do not support the Commissioner's argument. A sample was produced to this Court. They show a detailed breakdown of different unit prices for different concentrates, such as "Pepsi Flavor" and "Black Raspberry" flavour. It was never contended that these prices, which</w:t>
      </w:r>
      <w:r>
        <w:rPr>
          <w:rFonts w:ascii="Times New Roman" w:hAnsi="Times New Roman"/>
        </w:rPr>
        <w:t> </w:t>
      </w:r>
      <w:r w:rsidRPr="00ED2188">
        <w:rPr>
          <w:rFonts w:ascii="Times New Roman" w:hAnsi="Times New Roman"/>
        </w:rPr>
        <w:t>inferentially accord with the prices set out in the PepsiCo EBA (as adjusted), were inflated or had embedded in them some form of royalty. In the circumstances here, and in the absence of evidence to the contrary, they may be taken to be the accurate business records of PBS,</w:t>
      </w:r>
      <w:r w:rsidRPr="00ED2188">
        <w:rPr>
          <w:rStyle w:val="FootnoteReference"/>
          <w:rFonts w:ascii="Times New Roman" w:hAnsi="Times New Roman"/>
          <w:sz w:val="24"/>
        </w:rPr>
        <w:footnoteReference w:id="198"/>
      </w:r>
      <w:r w:rsidRPr="00ED2188">
        <w:rPr>
          <w:rFonts w:ascii="Times New Roman" w:hAnsi="Times New Roman"/>
        </w:rPr>
        <w:t xml:space="preserve"> and, as such, they contradict the Commissioner's case.</w:t>
      </w:r>
    </w:p>
    <w:p w14:paraId="15E3B80A"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SAPL also agreed to make annual payments for the marketing of the</w:t>
      </w:r>
      <w:r>
        <w:rPr>
          <w:rFonts w:ascii="Times New Roman" w:hAnsi="Times New Roman"/>
        </w:rPr>
        <w:t> </w:t>
      </w:r>
      <w:r w:rsidRPr="00ED2188">
        <w:rPr>
          <w:rFonts w:ascii="Times New Roman" w:hAnsi="Times New Roman"/>
        </w:rPr>
        <w:t>Beverages in circumstances where</w:t>
      </w:r>
      <w:r w:rsidRPr="00ED2188" w:rsidDel="00F96379">
        <w:rPr>
          <w:rFonts w:ascii="Times New Roman" w:hAnsi="Times New Roman"/>
        </w:rPr>
        <w:t xml:space="preserve"> </w:t>
      </w:r>
      <w:r w:rsidRPr="00ED2188">
        <w:rPr>
          <w:rFonts w:ascii="Times New Roman" w:hAnsi="Times New Roman"/>
        </w:rPr>
        <w:t>the marketing enhanced the ongoing value of the PepsiCo Group business and its brands but did not permanently enhance the</w:t>
      </w:r>
      <w:r>
        <w:rPr>
          <w:rFonts w:ascii="Times New Roman" w:hAnsi="Times New Roman"/>
        </w:rPr>
        <w:t> </w:t>
      </w:r>
      <w:r w:rsidRPr="00ED2188">
        <w:rPr>
          <w:rFonts w:ascii="Times New Roman" w:hAnsi="Times New Roman"/>
        </w:rPr>
        <w:t>value of SAPL's business as SAPL could not own the brands and related intellectual property. Indeed, it was agreed that upon termination of the PepsiCo EBA SAPL would lose the right to use or have any interest in the PepsiCo Intellectual Property. That was to be expected. Why, in such circumstances, would the PepsiCo EBA be construed as requiring the payment of a royalty? As the</w:t>
      </w:r>
      <w:r>
        <w:rPr>
          <w:rFonts w:ascii="Times New Roman" w:hAnsi="Times New Roman"/>
        </w:rPr>
        <w:t> </w:t>
      </w:r>
      <w:r w:rsidRPr="00ED2188">
        <w:rPr>
          <w:rFonts w:ascii="Times New Roman" w:hAnsi="Times New Roman"/>
        </w:rPr>
        <w:t>majority of the Full Federal Court correctly observed below:</w:t>
      </w:r>
    </w:p>
    <w:p w14:paraId="5C180650" w14:textId="77777777" w:rsidR="00A143F4" w:rsidRDefault="00A143F4" w:rsidP="00ED2188">
      <w:pPr>
        <w:pStyle w:val="LeftrightafterHC"/>
        <w:spacing w:before="0" w:after="260" w:line="280" w:lineRule="exact"/>
        <w:ind w:right="0"/>
        <w:jc w:val="both"/>
        <w:rPr>
          <w:rFonts w:ascii="Times New Roman" w:hAnsi="Times New Roman"/>
        </w:rPr>
      </w:pPr>
      <w:r w:rsidRPr="00ED2188">
        <w:rPr>
          <w:rFonts w:ascii="Times New Roman" w:hAnsi="Times New Roman"/>
        </w:rPr>
        <w:t xml:space="preserve">"The licence rights did not exist in isolation. Rather, they were intertwined with [SAPL's] obligations to distribute the beverages in Australia under the Pepsi, Mountain Dew and Gatorade trade marks using PepsiCo/SVC's can and bottle designs and to do so under the strict quality control of </w:t>
      </w:r>
      <w:r w:rsidRPr="00ED2188">
        <w:rPr>
          <w:rFonts w:ascii="Times New Roman" w:hAnsi="Times New Roman"/>
        </w:rPr>
        <w:lastRenderedPageBreak/>
        <w:t>PepsiCo/SVC and in accordance with its detailed stipulations about how the trade marks were to be used."</w:t>
      </w:r>
    </w:p>
    <w:p w14:paraId="20B70B1F" w14:textId="77777777" w:rsidR="00A143F4" w:rsidRPr="00ED2188" w:rsidRDefault="00A143F4" w:rsidP="00ED2188">
      <w:pPr>
        <w:pStyle w:val="HeadingL3"/>
        <w:spacing w:after="260" w:line="280" w:lineRule="exact"/>
        <w:ind w:right="0"/>
        <w:jc w:val="both"/>
        <w:rPr>
          <w:rFonts w:ascii="Times New Roman" w:hAnsi="Times New Roman"/>
        </w:rPr>
      </w:pPr>
      <w:r w:rsidRPr="00ED2188">
        <w:rPr>
          <w:rFonts w:ascii="Times New Roman" w:hAnsi="Times New Roman"/>
          <w:i/>
          <w:iCs/>
        </w:rPr>
        <w:t>Duties Act</w:t>
      </w:r>
      <w:r w:rsidRPr="00ED2188">
        <w:rPr>
          <w:rFonts w:ascii="Times New Roman" w:hAnsi="Times New Roman"/>
        </w:rPr>
        <w:t xml:space="preserve"> cases</w:t>
      </w:r>
    </w:p>
    <w:p w14:paraId="293278DC"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 xml:space="preserve">This Court's decisions in </w:t>
      </w:r>
      <w:r w:rsidRPr="00ED2188">
        <w:rPr>
          <w:rFonts w:ascii="Times New Roman" w:hAnsi="Times New Roman"/>
          <w:i/>
          <w:iCs/>
        </w:rPr>
        <w:t>Dick Smith</w:t>
      </w:r>
      <w:r w:rsidRPr="00ED2188">
        <w:rPr>
          <w:rFonts w:ascii="Times New Roman" w:hAnsi="Times New Roman"/>
        </w:rPr>
        <w:t xml:space="preserve"> and </w:t>
      </w:r>
      <w:r w:rsidRPr="00ED2188">
        <w:rPr>
          <w:rFonts w:ascii="Times New Roman" w:hAnsi="Times New Roman"/>
          <w:i/>
          <w:iCs/>
        </w:rPr>
        <w:t>Lend Lease</w:t>
      </w:r>
      <w:r w:rsidRPr="00ED2188">
        <w:rPr>
          <w:rFonts w:ascii="Times New Roman" w:hAnsi="Times New Roman"/>
        </w:rPr>
        <w:t xml:space="preserve"> require no contrary conclusion. </w:t>
      </w:r>
      <w:r w:rsidRPr="00ED2188">
        <w:rPr>
          <w:rFonts w:ascii="Times New Roman" w:hAnsi="Times New Roman"/>
          <w:i/>
          <w:iCs/>
        </w:rPr>
        <w:t>Dick Smith</w:t>
      </w:r>
      <w:r w:rsidRPr="00ED2188">
        <w:rPr>
          <w:rFonts w:ascii="Times New Roman" w:hAnsi="Times New Roman"/>
        </w:rPr>
        <w:t xml:space="preserve"> concerned the taxation of a dutiable transaction for the</w:t>
      </w:r>
      <w:r>
        <w:rPr>
          <w:rFonts w:ascii="Times New Roman" w:hAnsi="Times New Roman"/>
        </w:rPr>
        <w:t> </w:t>
      </w:r>
      <w:r w:rsidRPr="00ED2188">
        <w:rPr>
          <w:rFonts w:ascii="Times New Roman" w:hAnsi="Times New Roman"/>
        </w:rPr>
        <w:t xml:space="preserve">purposes of the </w:t>
      </w:r>
      <w:r w:rsidRPr="00ED2188">
        <w:rPr>
          <w:rFonts w:ascii="Times New Roman" w:hAnsi="Times New Roman"/>
          <w:i/>
          <w:iCs/>
        </w:rPr>
        <w:t>Duties Act 1997</w:t>
      </w:r>
      <w:r w:rsidRPr="00ED2188">
        <w:rPr>
          <w:rFonts w:ascii="Times New Roman" w:hAnsi="Times New Roman"/>
        </w:rPr>
        <w:t> (NSW), being a sale of shares. That Act charged duty on the dutiable value of dutiable property;</w:t>
      </w:r>
      <w:r w:rsidRPr="00ED2188">
        <w:rPr>
          <w:rStyle w:val="FootnoteReference"/>
          <w:rFonts w:ascii="Times New Roman" w:hAnsi="Times New Roman"/>
          <w:sz w:val="24"/>
        </w:rPr>
        <w:footnoteReference w:id="199"/>
      </w:r>
      <w:r w:rsidRPr="00ED2188">
        <w:rPr>
          <w:rFonts w:ascii="Times New Roman" w:hAnsi="Times New Roman"/>
        </w:rPr>
        <w:t xml:space="preserve"> under the Act, the</w:t>
      </w:r>
      <w:r>
        <w:rPr>
          <w:rFonts w:ascii="Times New Roman" w:hAnsi="Times New Roman"/>
        </w:rPr>
        <w:t> </w:t>
      </w:r>
      <w:r w:rsidRPr="00ED2188">
        <w:rPr>
          <w:rFonts w:ascii="Times New Roman" w:hAnsi="Times New Roman"/>
        </w:rPr>
        <w:t>dutiable value was determined, relevantly, as the consideration for the dutiable transaction.</w:t>
      </w:r>
      <w:r w:rsidRPr="00ED2188">
        <w:rPr>
          <w:rStyle w:val="FootnoteReference"/>
          <w:rFonts w:ascii="Times New Roman" w:hAnsi="Times New Roman"/>
          <w:sz w:val="24"/>
        </w:rPr>
        <w:footnoteReference w:id="200"/>
      </w:r>
      <w:r w:rsidRPr="00ED2188">
        <w:rPr>
          <w:rFonts w:ascii="Times New Roman" w:hAnsi="Times New Roman"/>
        </w:rPr>
        <w:t xml:space="preserve"> The issue was whether the performance of two distinct promises made by the purchaser in favour of the vendors constituted the consideration for the transfer of shares. Applying the broader</w:t>
      </w:r>
      <w:r w:rsidRPr="00ED2188" w:rsidDel="009A7FC8">
        <w:rPr>
          <w:rFonts w:ascii="Times New Roman" w:hAnsi="Times New Roman"/>
        </w:rPr>
        <w:t xml:space="preserve"> </w:t>
      </w:r>
      <w:r w:rsidRPr="00ED2188">
        <w:rPr>
          <w:rFonts w:ascii="Times New Roman" w:hAnsi="Times New Roman"/>
        </w:rPr>
        <w:t>meaning of the word "consideration" in conveyancing rather than the sense in simple contracts, a majority of this Court held that the performance of both promises was needed to "move" the transfers.</w:t>
      </w:r>
      <w:r w:rsidRPr="00ED2188">
        <w:rPr>
          <w:rStyle w:val="FootnoteReference"/>
          <w:rFonts w:ascii="Times New Roman" w:hAnsi="Times New Roman"/>
          <w:sz w:val="24"/>
        </w:rPr>
        <w:footnoteReference w:id="201"/>
      </w:r>
    </w:p>
    <w:p w14:paraId="1053462C"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r>
      <w:r w:rsidRPr="00ED2188">
        <w:rPr>
          <w:rFonts w:ascii="Times New Roman" w:hAnsi="Times New Roman"/>
          <w:i/>
          <w:iCs/>
        </w:rPr>
        <w:t>Lend Lease</w:t>
      </w:r>
      <w:r w:rsidRPr="00ED2188">
        <w:rPr>
          <w:rFonts w:ascii="Times New Roman" w:hAnsi="Times New Roman"/>
        </w:rPr>
        <w:t xml:space="preserve"> was another State </w:t>
      </w:r>
      <w:r w:rsidRPr="00ED2188">
        <w:rPr>
          <w:rFonts w:ascii="Times New Roman" w:hAnsi="Times New Roman"/>
          <w:i/>
          <w:iCs/>
        </w:rPr>
        <w:t>Duties Act</w:t>
      </w:r>
      <w:r w:rsidRPr="00ED2188">
        <w:rPr>
          <w:rFonts w:ascii="Times New Roman" w:hAnsi="Times New Roman"/>
        </w:rPr>
        <w:t xml:space="preserve"> case. The dutiable transaction was the sale of parcels of land. The purchaser had made a number of contractually distinct promises to pay the vendor. Once again, the issue for determination was the correct identification of the consideration for those sales.</w:t>
      </w:r>
      <w:r w:rsidRPr="00ED2188">
        <w:rPr>
          <w:rStyle w:val="FootnoteReference"/>
          <w:rFonts w:ascii="Times New Roman" w:hAnsi="Times New Roman"/>
          <w:sz w:val="24"/>
        </w:rPr>
        <w:footnoteReference w:id="202"/>
      </w:r>
      <w:r w:rsidRPr="00ED2188">
        <w:rPr>
          <w:rFonts w:ascii="Times New Roman" w:hAnsi="Times New Roman"/>
        </w:rPr>
        <w:t xml:space="preserve"> This Court decided that the consideration which moved the transfers by the vendor to the purchaser was the performance, by the purchaser, of all the promises it had given to pay the</w:t>
      </w:r>
      <w:r>
        <w:rPr>
          <w:rFonts w:ascii="Times New Roman" w:hAnsi="Times New Roman"/>
        </w:rPr>
        <w:t> </w:t>
      </w:r>
      <w:r w:rsidRPr="00ED2188">
        <w:rPr>
          <w:rFonts w:ascii="Times New Roman" w:hAnsi="Times New Roman"/>
        </w:rPr>
        <w:t>vendor.</w:t>
      </w:r>
      <w:r w:rsidRPr="00ED2188">
        <w:rPr>
          <w:rStyle w:val="FootnoteReference"/>
          <w:rFonts w:ascii="Times New Roman" w:hAnsi="Times New Roman"/>
          <w:sz w:val="24"/>
        </w:rPr>
        <w:footnoteReference w:id="203"/>
      </w:r>
    </w:p>
    <w:p w14:paraId="65B7CCF1"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The Commissioner relied on those cases to contend that it was necessary for the Court to look beyond the construction of the agreement to the whole of the</w:t>
      </w:r>
      <w:r>
        <w:rPr>
          <w:rFonts w:ascii="Times New Roman" w:hAnsi="Times New Roman"/>
        </w:rPr>
        <w:t> </w:t>
      </w:r>
      <w:r w:rsidRPr="00ED2188">
        <w:rPr>
          <w:rFonts w:ascii="Times New Roman" w:hAnsi="Times New Roman"/>
        </w:rPr>
        <w:t xml:space="preserve">arrangement and commercial dealing between the parties, including the value of the PepsiCo Intellectual Property and the pricing model adopted in other jurisdictions for other products, in order to characterise the consideration. </w:t>
      </w:r>
      <w:r w:rsidRPr="00ED2188">
        <w:rPr>
          <w:rFonts w:ascii="Times New Roman" w:hAnsi="Times New Roman"/>
        </w:rPr>
        <w:lastRenderedPageBreak/>
        <w:t>Both</w:t>
      </w:r>
      <w:r>
        <w:rPr>
          <w:rFonts w:ascii="Times New Roman" w:hAnsi="Times New Roman"/>
        </w:rPr>
        <w:t> </w:t>
      </w:r>
      <w:r w:rsidRPr="00ED2188">
        <w:rPr>
          <w:rFonts w:ascii="Times New Roman" w:hAnsi="Times New Roman"/>
        </w:rPr>
        <w:t xml:space="preserve">cases turn upon an application of a State </w:t>
      </w:r>
      <w:r w:rsidRPr="00ED2188">
        <w:rPr>
          <w:rFonts w:ascii="Times New Roman" w:hAnsi="Times New Roman"/>
          <w:i/>
          <w:iCs/>
        </w:rPr>
        <w:t>Duties Act</w:t>
      </w:r>
      <w:r w:rsidRPr="00ED2188">
        <w:rPr>
          <w:rFonts w:ascii="Times New Roman" w:hAnsi="Times New Roman"/>
        </w:rPr>
        <w:t xml:space="preserve"> to their particular facts.</w:t>
      </w:r>
      <w:r w:rsidRPr="00ED2188">
        <w:rPr>
          <w:rStyle w:val="FootnoteReference"/>
          <w:rFonts w:ascii="Times New Roman" w:hAnsi="Times New Roman"/>
          <w:sz w:val="24"/>
        </w:rPr>
        <w:footnoteReference w:id="204"/>
      </w:r>
      <w:r w:rsidRPr="00ED2188">
        <w:rPr>
          <w:rFonts w:ascii="Times New Roman" w:hAnsi="Times New Roman"/>
        </w:rPr>
        <w:t xml:space="preserve"> And neither case involved looking outside the terms of the arrangements and the</w:t>
      </w:r>
      <w:r>
        <w:rPr>
          <w:rFonts w:ascii="Times New Roman" w:hAnsi="Times New Roman"/>
        </w:rPr>
        <w:t> </w:t>
      </w:r>
      <w:r w:rsidRPr="00ED2188">
        <w:rPr>
          <w:rFonts w:ascii="Times New Roman" w:hAnsi="Times New Roman"/>
        </w:rPr>
        <w:t>transactions involved. Neither case supports the Commissioner's contentions.</w:t>
      </w:r>
    </w:p>
    <w:p w14:paraId="573E13EA"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 xml:space="preserve">The consideration given by SAPL for the licence to use the PepsiCo Intellectual Property was </w:t>
      </w:r>
      <w:r w:rsidRPr="00ED2188">
        <w:rPr>
          <w:rFonts w:ascii="Times New Roman" w:hAnsi="Times New Roman"/>
          <w:i/>
          <w:iCs/>
        </w:rPr>
        <w:t xml:space="preserve">not </w:t>
      </w:r>
      <w:r w:rsidRPr="00ED2188">
        <w:rPr>
          <w:rFonts w:ascii="Times New Roman" w:hAnsi="Times New Roman"/>
        </w:rPr>
        <w:t>the payments SAPL made to PBS for the sale and</w:t>
      </w:r>
      <w:r w:rsidRPr="00ED2188" w:rsidDel="00D20A15">
        <w:rPr>
          <w:rFonts w:ascii="Times New Roman" w:hAnsi="Times New Roman"/>
        </w:rPr>
        <w:t xml:space="preserve"> </w:t>
      </w:r>
      <w:r w:rsidRPr="00ED2188">
        <w:rPr>
          <w:rFonts w:ascii="Times New Roman" w:hAnsi="Times New Roman"/>
        </w:rPr>
        <w:t>supply of concentrate. The basis or condition for those payments was only the receipt of the concentrate. But, the basis or condition that moved PepsiCo to provide the licence for SAPL to use the PepsiCo Intellectual Property was the</w:t>
      </w:r>
      <w:r>
        <w:rPr>
          <w:rFonts w:ascii="Times New Roman" w:hAnsi="Times New Roman"/>
        </w:rPr>
        <w:t> </w:t>
      </w:r>
      <w:r w:rsidRPr="00ED2188">
        <w:rPr>
          <w:rFonts w:ascii="Times New Roman" w:hAnsi="Times New Roman"/>
        </w:rPr>
        <w:t>performance of monetary and non-monetary undertakings by SAPL under the</w:t>
      </w:r>
      <w:r>
        <w:rPr>
          <w:rFonts w:ascii="Times New Roman" w:hAnsi="Times New Roman"/>
        </w:rPr>
        <w:t> </w:t>
      </w:r>
      <w:r w:rsidRPr="00ED2188">
        <w:rPr>
          <w:rFonts w:ascii="Times New Roman" w:hAnsi="Times New Roman"/>
        </w:rPr>
        <w:t>SAPL Bottler, Seller and Distributor Agreement, including the entry by SAPL into</w:t>
      </w:r>
      <w:r w:rsidRPr="00ED2188" w:rsidDel="002B7E3A">
        <w:rPr>
          <w:rFonts w:ascii="Times New Roman" w:hAnsi="Times New Roman"/>
        </w:rPr>
        <w:t xml:space="preserve"> </w:t>
      </w:r>
      <w:r w:rsidRPr="00ED2188">
        <w:rPr>
          <w:rFonts w:ascii="Times New Roman" w:hAnsi="Times New Roman"/>
        </w:rPr>
        <w:t xml:space="preserve">separate arrangements for the sale and purchase of concentrate from PepsiCo or a nominated Seller. Contrary to the approach taken in </w:t>
      </w:r>
      <w:r w:rsidRPr="00ED2188">
        <w:rPr>
          <w:rFonts w:ascii="Times New Roman" w:hAnsi="Times New Roman"/>
          <w:i/>
          <w:iCs/>
        </w:rPr>
        <w:t>Dick Smith</w:t>
      </w:r>
      <w:r w:rsidRPr="00ED2188">
        <w:rPr>
          <w:rFonts w:ascii="Times New Roman" w:hAnsi="Times New Roman"/>
        </w:rPr>
        <w:t xml:space="preserve"> and </w:t>
      </w:r>
      <w:r w:rsidRPr="00ED2188">
        <w:rPr>
          <w:rFonts w:ascii="Times New Roman" w:hAnsi="Times New Roman"/>
          <w:i/>
          <w:iCs/>
        </w:rPr>
        <w:t>Lend</w:t>
      </w:r>
      <w:r>
        <w:rPr>
          <w:rFonts w:ascii="Times New Roman" w:hAnsi="Times New Roman"/>
          <w:i/>
          <w:iCs/>
        </w:rPr>
        <w:t> </w:t>
      </w:r>
      <w:r w:rsidRPr="00ED2188">
        <w:rPr>
          <w:rFonts w:ascii="Times New Roman" w:hAnsi="Times New Roman"/>
          <w:i/>
          <w:iCs/>
        </w:rPr>
        <w:t>Lease</w:t>
      </w:r>
      <w:r w:rsidRPr="00ED2188">
        <w:rPr>
          <w:rFonts w:ascii="Times New Roman" w:hAnsi="Times New Roman"/>
        </w:rPr>
        <w:t xml:space="preserve">, it is the Commissioner who here seeks to isolate the performance of one of the promises given by SAPL, and wrongly seeks to allocate the performance of that promise as the consideration for all that SAPL obtained. </w:t>
      </w:r>
      <w:r w:rsidRPr="00ED2188">
        <w:rPr>
          <w:rFonts w:ascii="Times New Roman" w:hAnsi="Times New Roman"/>
          <w:i/>
          <w:iCs/>
        </w:rPr>
        <w:t>Dick Smith</w:t>
      </w:r>
      <w:r w:rsidRPr="00ED2188">
        <w:rPr>
          <w:rFonts w:ascii="Times New Roman" w:hAnsi="Times New Roman"/>
        </w:rPr>
        <w:t xml:space="preserve"> and </w:t>
      </w:r>
      <w:r w:rsidRPr="00ED2188">
        <w:rPr>
          <w:rFonts w:ascii="Times New Roman" w:hAnsi="Times New Roman"/>
          <w:i/>
          <w:iCs/>
        </w:rPr>
        <w:t>Lend Lease</w:t>
      </w:r>
      <w:r w:rsidRPr="00ED2188">
        <w:rPr>
          <w:rFonts w:ascii="Times New Roman" w:hAnsi="Times New Roman"/>
        </w:rPr>
        <w:t xml:space="preserve"> do not support such a narrow approach.</w:t>
      </w:r>
    </w:p>
    <w:p w14:paraId="038ED419" w14:textId="77777777" w:rsidR="00A143F4" w:rsidRPr="00ED2188" w:rsidRDefault="00A143F4" w:rsidP="00ED2188">
      <w:pPr>
        <w:pStyle w:val="HeadingL3"/>
        <w:spacing w:after="260" w:line="280" w:lineRule="exact"/>
        <w:ind w:right="0"/>
        <w:jc w:val="both"/>
        <w:rPr>
          <w:rFonts w:ascii="Times New Roman" w:hAnsi="Times New Roman"/>
        </w:rPr>
      </w:pPr>
      <w:r w:rsidRPr="00ED2188">
        <w:rPr>
          <w:rFonts w:ascii="Times New Roman" w:hAnsi="Times New Roman"/>
        </w:rPr>
        <w:t>Conclusion</w:t>
      </w:r>
    </w:p>
    <w:p w14:paraId="196B7FA0"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The contractual price paid by SAPL to PBS for the concentrate was the price paid for goods sold and delivered. The Commissioner did not dispute that it was an arm's length price, or a fair price, or that it was not disproportionately high. When the price paid for goods has those characteristics, it cannot be said that a part of the price paid for those goods is payment of a royalty for the use of intellectual property applied to products partly made with those goods. Observing that the sale of the products produced using the goods increased the value of the PepsiCo Intellectual Property does not show that SAPL paid any part of the amount paid for concentrate to, or for the benefit of, PepsiCo for using the PepsiCo Intellectual Property. The majority of the Full Federal Court were correct to conclude the</w:t>
      </w:r>
      <w:r>
        <w:rPr>
          <w:rFonts w:ascii="Times New Roman" w:hAnsi="Times New Roman"/>
        </w:rPr>
        <w:t> </w:t>
      </w:r>
      <w:r w:rsidRPr="00ED2188">
        <w:rPr>
          <w:rFonts w:ascii="Times New Roman" w:hAnsi="Times New Roman"/>
        </w:rPr>
        <w:t>amounts paid by SAPL to PBS for concentrate were not "consideration for" the</w:t>
      </w:r>
      <w:r>
        <w:rPr>
          <w:rFonts w:ascii="Times New Roman" w:hAnsi="Times New Roman"/>
        </w:rPr>
        <w:t> </w:t>
      </w:r>
      <w:r w:rsidRPr="00ED2188">
        <w:rPr>
          <w:rFonts w:ascii="Times New Roman" w:hAnsi="Times New Roman"/>
        </w:rPr>
        <w:t>use of the PepsiCo Intellectual Property.</w:t>
      </w:r>
    </w:p>
    <w:p w14:paraId="4C0BEDF9" w14:textId="77777777" w:rsidR="00A143F4" w:rsidRPr="00ED2188" w:rsidRDefault="00A143F4" w:rsidP="00ED2188">
      <w:pPr>
        <w:pStyle w:val="HeadingL2"/>
        <w:spacing w:after="260" w:line="280" w:lineRule="exact"/>
        <w:ind w:right="0"/>
        <w:jc w:val="both"/>
        <w:rPr>
          <w:rFonts w:ascii="Times New Roman" w:hAnsi="Times New Roman"/>
        </w:rPr>
      </w:pPr>
      <w:r w:rsidRPr="00ED2188">
        <w:rPr>
          <w:rFonts w:ascii="Times New Roman" w:hAnsi="Times New Roman"/>
        </w:rPr>
        <w:t>Payments not derived by, or paid or credited to, PepsiCo</w:t>
      </w:r>
    </w:p>
    <w:p w14:paraId="00B542ED"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 xml:space="preserve">Irrespective of whether part of the payments made by SAPL to PBS for concentrate was a "royalty" within the definition of that term in s 6(1) of </w:t>
      </w:r>
      <w:r w:rsidRPr="00ED2188">
        <w:rPr>
          <w:rFonts w:ascii="Times New Roman" w:hAnsi="Times New Roman"/>
        </w:rPr>
        <w:lastRenderedPageBreak/>
        <w:t>the</w:t>
      </w:r>
      <w:r>
        <w:rPr>
          <w:rFonts w:ascii="Times New Roman" w:hAnsi="Times New Roman"/>
        </w:rPr>
        <w:t> </w:t>
      </w:r>
      <w:r w:rsidRPr="00ED2188">
        <w:rPr>
          <w:rFonts w:ascii="Times New Roman" w:hAnsi="Times New Roman"/>
        </w:rPr>
        <w:t>ITAA 1936, no part of those payments was "derived by", or "paid or credited" to, PepsiCo, that latter requirement being an essential element of liability for royalty withholding tax in s 128B(2B) in Div 11A of Pt III of the ITAA 1936, read with the definition of "royalty" in s 6(1).</w:t>
      </w:r>
    </w:p>
    <w:p w14:paraId="44D52CEE" w14:textId="77777777" w:rsidR="00A143F4" w:rsidRPr="00ED2188" w:rsidRDefault="00A143F4" w:rsidP="00ED2188">
      <w:pPr>
        <w:pStyle w:val="HeadingL3"/>
        <w:spacing w:after="260" w:line="280" w:lineRule="exact"/>
        <w:ind w:right="0"/>
        <w:jc w:val="both"/>
        <w:rPr>
          <w:rFonts w:ascii="Times New Roman" w:hAnsi="Times New Roman"/>
        </w:rPr>
      </w:pPr>
      <w:r w:rsidRPr="00ED2188">
        <w:rPr>
          <w:rFonts w:ascii="Times New Roman" w:hAnsi="Times New Roman"/>
        </w:rPr>
        <w:t>Commissioner's contentions</w:t>
      </w:r>
    </w:p>
    <w:p w14:paraId="41296E18"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The Commissioner did not deny that all payments were made by SAPL to PBS and that no relevant payment was made to PepsiCo. Instead, the</w:t>
      </w:r>
      <w:r>
        <w:rPr>
          <w:rFonts w:ascii="Times New Roman" w:hAnsi="Times New Roman"/>
        </w:rPr>
        <w:t> </w:t>
      </w:r>
      <w:r w:rsidRPr="00ED2188">
        <w:rPr>
          <w:rFonts w:ascii="Times New Roman" w:hAnsi="Times New Roman"/>
        </w:rPr>
        <w:t>Commissioner reagitated his contention that SAPL's liability to make payments was owed at all times to PepsiCo and that when the payments were made by SAPL to PBS, those payments were made at the direction of PepsiCo within the meaning of s 128A(2) of the ITAA 1936. In this Court, the Commissioner accepted that, for a payment to be made under direction, there must be an antecedent obligation between PepsiCo and SAPL. The Commissioner submitted such an obligation existed.</w:t>
      </w:r>
    </w:p>
    <w:p w14:paraId="6D716688"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Central to that contention, it was contended, was that the contract for sale of the concentrate was the PepsiCo EBA, to which PBS was not a party, and that there had never been any contract or contracts for the sale of concentrate under which PBS was entitled to payment from SAPL. In support of that contention, the</w:t>
      </w:r>
      <w:r>
        <w:rPr>
          <w:rFonts w:ascii="Times New Roman" w:hAnsi="Times New Roman"/>
        </w:rPr>
        <w:t> </w:t>
      </w:r>
      <w:r w:rsidRPr="00ED2188">
        <w:rPr>
          <w:rFonts w:ascii="Times New Roman" w:hAnsi="Times New Roman"/>
        </w:rPr>
        <w:t>Commissioner relied on the fact that cl 4(a) of the PepsiCo EBA contained no promise by SAPL to pay PBS and, indeed, cl 4(c) merely provided for payments to be made within seven days without specifying to whom they were to be made. In short, PepsiCo controlled where the money might go. In addition, the</w:t>
      </w:r>
      <w:r>
        <w:rPr>
          <w:rFonts w:ascii="Times New Roman" w:hAnsi="Times New Roman"/>
        </w:rPr>
        <w:t> </w:t>
      </w:r>
      <w:r w:rsidRPr="00ED2188">
        <w:rPr>
          <w:rFonts w:ascii="Times New Roman" w:hAnsi="Times New Roman"/>
        </w:rPr>
        <w:t>Commissioner relied upon the fact that a failure by SAPL to make payments as required gave PepsiCo a right to terminate the PepsiCo EBA and any failure to make timely payment gave rise to a liability to pay interest, presumably to the</w:t>
      </w:r>
      <w:r>
        <w:rPr>
          <w:rFonts w:ascii="Times New Roman" w:hAnsi="Times New Roman"/>
        </w:rPr>
        <w:t> </w:t>
      </w:r>
      <w:r w:rsidRPr="00ED2188">
        <w:rPr>
          <w:rFonts w:ascii="Times New Roman" w:hAnsi="Times New Roman"/>
        </w:rPr>
        <w:t>counterparty, namely PepsiCo.</w:t>
      </w:r>
      <w:r w:rsidRPr="00ED2188">
        <w:rPr>
          <w:rStyle w:val="FootnoteReference"/>
          <w:rFonts w:ascii="Times New Roman" w:hAnsi="Times New Roman"/>
          <w:sz w:val="24"/>
        </w:rPr>
        <w:footnoteReference w:id="205"/>
      </w:r>
      <w:r w:rsidRPr="00ED2188">
        <w:rPr>
          <w:rFonts w:ascii="Times New Roman" w:hAnsi="Times New Roman"/>
        </w:rPr>
        <w:t xml:space="preserve"> In this sense, the Commissioner submitted it would make no commercial sense for PepsiCo to be entitled to be compensated for a late payment if it did not have an underlying entitlement to be paid. All of this was said by the Commissioner to evidence an existing antecedent monetary obligation owed by SAPL to PepsiCo, as SAPL was contractually obliged to make payment to PepsiCo, or as it directed.</w:t>
      </w:r>
    </w:p>
    <w:p w14:paraId="32776B1D" w14:textId="77777777" w:rsidR="00A143F4" w:rsidRPr="00ED2188" w:rsidRDefault="00A143F4" w:rsidP="00ED2188">
      <w:pPr>
        <w:pStyle w:val="HeadingL3"/>
        <w:spacing w:after="260" w:line="280" w:lineRule="exact"/>
        <w:ind w:right="0"/>
        <w:jc w:val="both"/>
        <w:rPr>
          <w:rFonts w:ascii="Times New Roman" w:hAnsi="Times New Roman"/>
        </w:rPr>
      </w:pPr>
      <w:r w:rsidRPr="00ED2188">
        <w:rPr>
          <w:rFonts w:ascii="Times New Roman" w:hAnsi="Times New Roman"/>
        </w:rPr>
        <w:t>No antecedent monetary obligation owed by SAPL to PepsiCo</w:t>
      </w:r>
    </w:p>
    <w:p w14:paraId="2A550D2E"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 xml:space="preserve">Once again, the proper construction of the SAPL Bottler, Seller and Distributor Agreement provides a complete answer. Contrary to </w:t>
      </w:r>
      <w:r w:rsidRPr="00ED2188">
        <w:rPr>
          <w:rFonts w:ascii="Times New Roman" w:hAnsi="Times New Roman"/>
        </w:rPr>
        <w:lastRenderedPageBreak/>
        <w:t>the</w:t>
      </w:r>
      <w:r>
        <w:rPr>
          <w:rFonts w:ascii="Times New Roman" w:hAnsi="Times New Roman"/>
        </w:rPr>
        <w:t> </w:t>
      </w:r>
      <w:r w:rsidRPr="00ED2188">
        <w:rPr>
          <w:rFonts w:ascii="Times New Roman" w:hAnsi="Times New Roman"/>
        </w:rPr>
        <w:t xml:space="preserve">Commissioner's contention, there was no antecedent monetary obligation owed by SAPL to PepsiCo. </w:t>
      </w:r>
    </w:p>
    <w:p w14:paraId="1BE768CB"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Under the SAPL Bottler, Seller and Distributor Agreement, once PepsiCo nominated a Seller, SAPL was under an obligation to buy from that entity. That</w:t>
      </w:r>
      <w:r>
        <w:rPr>
          <w:rFonts w:ascii="Times New Roman" w:hAnsi="Times New Roman"/>
        </w:rPr>
        <w:t> </w:t>
      </w:r>
      <w:r w:rsidRPr="00ED2188">
        <w:rPr>
          <w:rFonts w:ascii="Times New Roman" w:hAnsi="Times New Roman"/>
        </w:rPr>
        <w:t>remained the case even though some of the terms of that sale were fixed under the SAPL Bottler, Seller and Distributor Agreement.</w:t>
      </w:r>
      <w:r w:rsidRPr="00ED2188">
        <w:rPr>
          <w:rStyle w:val="FootnoteReference"/>
          <w:rFonts w:ascii="Times New Roman" w:hAnsi="Times New Roman"/>
          <w:sz w:val="24"/>
        </w:rPr>
        <w:footnoteReference w:id="206"/>
      </w:r>
      <w:r w:rsidRPr="00ED2188">
        <w:rPr>
          <w:rFonts w:ascii="Times New Roman" w:hAnsi="Times New Roman"/>
        </w:rPr>
        <w:t xml:space="preserve"> It did not matter that PBS was not a party to the SAPL Bottler, Seller and Distributor Agreement. PBS was the nominated Seller. At no point did PepsiCo have title to the concentrate.</w:t>
      </w:r>
      <w:r w:rsidRPr="00ED2188">
        <w:rPr>
          <w:rStyle w:val="FootnoteReference"/>
          <w:rFonts w:ascii="Times New Roman" w:hAnsi="Times New Roman"/>
          <w:sz w:val="24"/>
        </w:rPr>
        <w:footnoteReference w:id="207"/>
      </w:r>
      <w:r w:rsidRPr="00ED2188">
        <w:rPr>
          <w:rFonts w:ascii="Times New Roman" w:hAnsi="Times New Roman"/>
        </w:rPr>
        <w:t xml:space="preserve"> The</w:t>
      </w:r>
      <w:r>
        <w:rPr>
          <w:rFonts w:ascii="Times New Roman" w:hAnsi="Times New Roman"/>
        </w:rPr>
        <w:t> </w:t>
      </w:r>
      <w:r w:rsidRPr="00ED2188">
        <w:rPr>
          <w:rFonts w:ascii="Times New Roman" w:hAnsi="Times New Roman"/>
        </w:rPr>
        <w:t>attempts by the Commissioner to contend there was an antecedent monetary obligation owed by SAPL to PepsiCo cannot sit with the fact that the</w:t>
      </w:r>
      <w:r>
        <w:rPr>
          <w:rFonts w:ascii="Times New Roman" w:hAnsi="Times New Roman"/>
        </w:rPr>
        <w:t> </w:t>
      </w:r>
      <w:r w:rsidRPr="00ED2188">
        <w:rPr>
          <w:rFonts w:ascii="Times New Roman" w:hAnsi="Times New Roman"/>
        </w:rPr>
        <w:t>SAPL Bottler, Seller and Distributor Agreement allowed PepsiCo to sell the</w:t>
      </w:r>
      <w:r>
        <w:rPr>
          <w:rFonts w:ascii="Times New Roman" w:hAnsi="Times New Roman"/>
        </w:rPr>
        <w:t> </w:t>
      </w:r>
      <w:r w:rsidRPr="00ED2188">
        <w:rPr>
          <w:rFonts w:ascii="Times New Roman" w:hAnsi="Times New Roman"/>
        </w:rPr>
        <w:t xml:space="preserve">concentrate itself </w:t>
      </w:r>
      <w:r w:rsidRPr="00ED2188">
        <w:rPr>
          <w:rFonts w:ascii="Times New Roman" w:hAnsi="Times New Roman"/>
          <w:i/>
          <w:iCs/>
        </w:rPr>
        <w:t xml:space="preserve">or </w:t>
      </w:r>
      <w:r w:rsidRPr="00ED2188">
        <w:rPr>
          <w:rFonts w:ascii="Times New Roman" w:hAnsi="Times New Roman"/>
        </w:rPr>
        <w:t>nominate a subsidiary to do so, and that PepsiCo nominated PBS.</w:t>
      </w:r>
    </w:p>
    <w:p w14:paraId="17ABE760"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It is necessary to address the specific matters relied upon by the</w:t>
      </w:r>
      <w:r>
        <w:rPr>
          <w:rFonts w:ascii="Times New Roman" w:hAnsi="Times New Roman"/>
        </w:rPr>
        <w:t> </w:t>
      </w:r>
      <w:r w:rsidRPr="00ED2188">
        <w:rPr>
          <w:rFonts w:ascii="Times New Roman" w:hAnsi="Times New Roman"/>
        </w:rPr>
        <w:t>Commissioner. First, the Commissioner submitted that, as cl 4(c) of the</w:t>
      </w:r>
      <w:r>
        <w:rPr>
          <w:rFonts w:ascii="Times New Roman" w:hAnsi="Times New Roman"/>
        </w:rPr>
        <w:t> </w:t>
      </w:r>
      <w:r w:rsidRPr="00ED2188">
        <w:rPr>
          <w:rFonts w:ascii="Times New Roman" w:hAnsi="Times New Roman"/>
        </w:rPr>
        <w:t>PepsiCo EBA required payment to be made in full within seven days of delivery of the concentrate and did not identify to whom payment was to be made, the obligation to pay must be properly read as owed to PepsiCo as the counterparty to the PepsiCo EBA. That argument impermissibly took and construed cl 4(c) in isolation, rather than as part of cl 4 as a whole, which was titled "Supply of Concentrate" and which identified that concentrate would be sold by the nominated Seller (cl 4(a)), for certain prices (cl 4(b)).</w:t>
      </w:r>
      <w:r w:rsidRPr="00ED2188">
        <w:rPr>
          <w:rStyle w:val="FootnoteReference"/>
          <w:rFonts w:ascii="Times New Roman" w:hAnsi="Times New Roman"/>
          <w:sz w:val="24"/>
        </w:rPr>
        <w:footnoteReference w:id="208"/>
      </w:r>
      <w:r w:rsidRPr="00ED2188">
        <w:rPr>
          <w:rFonts w:ascii="Times New Roman" w:hAnsi="Times New Roman"/>
        </w:rPr>
        <w:t xml:space="preserve"> Under cl 4, there was no ambiguity regarding to whom payment was to be made.</w:t>
      </w:r>
    </w:p>
    <w:p w14:paraId="38D8071F"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Second, the Commissioner made a similar submission in respect of cl 26(a) of the PepsiCo EBA, which provided for interest for late payments.</w:t>
      </w:r>
      <w:r w:rsidRPr="00ED2188">
        <w:rPr>
          <w:rStyle w:val="FootnoteReference"/>
          <w:rFonts w:ascii="Times New Roman" w:hAnsi="Times New Roman"/>
          <w:sz w:val="24"/>
        </w:rPr>
        <w:footnoteReference w:id="209"/>
      </w:r>
      <w:r w:rsidRPr="00ED2188">
        <w:rPr>
          <w:rFonts w:ascii="Times New Roman" w:hAnsi="Times New Roman"/>
          <w:b/>
          <w:bCs/>
        </w:rPr>
        <w:t xml:space="preserve"> </w:t>
      </w:r>
      <w:r w:rsidRPr="00ED2188">
        <w:rPr>
          <w:rFonts w:ascii="Times New Roman" w:hAnsi="Times New Roman"/>
        </w:rPr>
        <w:t>Once again, the submission impermissibly read that part of the clause in isolation, ignoring that it provided for interest where a party "has failed to make timely payment under [the PepsiCo EBA] or any related agreement", recognising that interest would be owed in the context of the composite SAPL Bottler, Seller and Distributor Agreement, subsequent related agreements and the identity of the Seller.</w:t>
      </w:r>
    </w:p>
    <w:p w14:paraId="52960169"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lastRenderedPageBreak/>
        <w:tab/>
        <w:t>Two aspects particular to the SVC EBA were emphasised by the</w:t>
      </w:r>
      <w:r>
        <w:rPr>
          <w:rFonts w:ascii="Times New Roman" w:hAnsi="Times New Roman"/>
        </w:rPr>
        <w:t> </w:t>
      </w:r>
      <w:r w:rsidRPr="00ED2188">
        <w:rPr>
          <w:rFonts w:ascii="Times New Roman" w:hAnsi="Times New Roman"/>
        </w:rPr>
        <w:t xml:space="preserve">Commissioner. The Commissioner submitted that cl 7.4(f) of the SVC EBA, which stated that payment should be made by telegraphic transfer to a USA bank account as specified by SVC or a company affiliate unless the parties agreed otherwise, meant that SVC was free to nominate the recipient of the payment and could direct SAPL to pay any third party nominated. Once again, that submission misconstrues the text and operation of the SVC EBA. It was PBS, as the company affiliate, who provided its bank account details to SAPL. In any event, the owner of the bank account does not transform the nature of the transaction between PBS and SAPL. </w:t>
      </w:r>
      <w:bookmarkStart w:id="1" w:name="_Ref193731970"/>
      <w:r w:rsidRPr="00ED2188">
        <w:rPr>
          <w:rFonts w:ascii="Times New Roman" w:hAnsi="Times New Roman"/>
        </w:rPr>
        <w:t>The conclusion that there is no antecedent monetary obligation owed by SAPL is further strengthened by cl 7.1(b) of the SVC EBA, which stated that, if concentrate was supplied by someone other than SVC, then the terms of the SVC EBA (to the extent they were relevant) applied to transactions between SAPL and the nominated company as if they were parties to the SVC EBA.</w:t>
      </w:r>
      <w:bookmarkEnd w:id="1"/>
    </w:p>
    <w:p w14:paraId="5FC0E81E"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Next, the letter sent by PepsiCo to SAPL in 2015 nominating PBS as the</w:t>
      </w:r>
      <w:r>
        <w:rPr>
          <w:rFonts w:ascii="Times New Roman" w:hAnsi="Times New Roman"/>
        </w:rPr>
        <w:t> </w:t>
      </w:r>
      <w:r w:rsidRPr="00ED2188">
        <w:rPr>
          <w:rFonts w:ascii="Times New Roman" w:hAnsi="Times New Roman"/>
        </w:rPr>
        <w:t>Seller of the concentrate</w:t>
      </w:r>
      <w:r w:rsidRPr="00ED2188">
        <w:rPr>
          <w:rStyle w:val="FootnoteReference"/>
          <w:rFonts w:ascii="Times New Roman" w:hAnsi="Times New Roman"/>
          <w:sz w:val="24"/>
        </w:rPr>
        <w:footnoteReference w:id="210"/>
      </w:r>
      <w:r w:rsidRPr="00ED2188">
        <w:rPr>
          <w:rFonts w:ascii="Times New Roman" w:hAnsi="Times New Roman"/>
        </w:rPr>
        <w:t xml:space="preserve"> did not, contrary to the submissions of the</w:t>
      </w:r>
      <w:r>
        <w:rPr>
          <w:rFonts w:ascii="Times New Roman" w:hAnsi="Times New Roman"/>
        </w:rPr>
        <w:t> </w:t>
      </w:r>
      <w:r w:rsidRPr="00ED2188">
        <w:rPr>
          <w:rFonts w:ascii="Times New Roman" w:hAnsi="Times New Roman"/>
        </w:rPr>
        <w:t>Commissioner, constitute a direction by PepsiCo to pay for the purposes of s 128A(2) of the ITAA 1936. Consistently with the terms of the SAPL Bottler, Seller and Distributor Agreement,</w:t>
      </w:r>
      <w:r w:rsidRPr="00ED2188">
        <w:rPr>
          <w:rStyle w:val="FootnoteReference"/>
          <w:rFonts w:ascii="Times New Roman" w:hAnsi="Times New Roman"/>
          <w:sz w:val="24"/>
        </w:rPr>
        <w:footnoteReference w:id="211"/>
      </w:r>
      <w:r w:rsidRPr="00ED2188">
        <w:rPr>
          <w:rFonts w:ascii="Times New Roman" w:hAnsi="Times New Roman"/>
        </w:rPr>
        <w:t xml:space="preserve"> the letter was notification by PepsiCo of an intention to satisfy its obligations under the PepsiCo EBA to sell or cause to be sold concentrate to SAPL by causing a subsidiary, namely PBS, to make such sales. That is why the letter stated that "the Seller of [concentrate] will change to [PBS]". Thereafter it was PBS, and not PepsiCo, that gave SAPL the details of its own bank account because it was, to use the language of PBS' letter to SAPL, the</w:t>
      </w:r>
      <w:r>
        <w:rPr>
          <w:rFonts w:ascii="Times New Roman" w:hAnsi="Times New Roman"/>
        </w:rPr>
        <w:t> </w:t>
      </w:r>
      <w:r w:rsidRPr="00ED2188">
        <w:rPr>
          <w:rFonts w:ascii="Times New Roman" w:hAnsi="Times New Roman"/>
        </w:rPr>
        <w:t>"Seller of [concentrate] from 1 January 2016". Indeed, each contract for the sale of concentrate between PBS and SAPL was evidenced by SAPL giving purchase orders to PBS, by the giving of invoices by PBS, by the transfer of concentrate by PBS to SAPL, by PBS giving to SAPL its bank account details, and</w:t>
      </w:r>
      <w:r>
        <w:rPr>
          <w:rFonts w:ascii="Times New Roman" w:hAnsi="Times New Roman"/>
        </w:rPr>
        <w:t> </w:t>
      </w:r>
      <w:r w:rsidRPr="00ED2188">
        <w:rPr>
          <w:rFonts w:ascii="Times New Roman" w:hAnsi="Times New Roman"/>
        </w:rPr>
        <w:t>by the payment by SAPL of funds into PBS' bank account in accordance with the invoices it received.</w:t>
      </w:r>
      <w:r w:rsidRPr="00ED2188">
        <w:rPr>
          <w:rStyle w:val="FootnoteReference"/>
          <w:rFonts w:ascii="Times New Roman" w:hAnsi="Times New Roman"/>
          <w:sz w:val="24"/>
        </w:rPr>
        <w:footnoteReference w:id="212"/>
      </w:r>
      <w:r w:rsidRPr="00ED2188">
        <w:rPr>
          <w:rFonts w:ascii="Times New Roman" w:hAnsi="Times New Roman"/>
        </w:rPr>
        <w:t xml:space="preserve"> The objective facts evidence a manifestation of mutual assent between PBS and SAPL to be legally bound to those essential elements of </w:t>
      </w:r>
      <w:r w:rsidRPr="00ED2188">
        <w:rPr>
          <w:rFonts w:ascii="Times New Roman" w:hAnsi="Times New Roman"/>
        </w:rPr>
        <w:lastRenderedPageBreak/>
        <w:t>a contract for the sale of concentrate.</w:t>
      </w:r>
      <w:r w:rsidRPr="00ED2188">
        <w:rPr>
          <w:rStyle w:val="FootnoteReference"/>
          <w:rFonts w:ascii="Times New Roman" w:hAnsi="Times New Roman"/>
          <w:sz w:val="24"/>
        </w:rPr>
        <w:footnoteReference w:id="213"/>
      </w:r>
      <w:r w:rsidRPr="00ED2188">
        <w:rPr>
          <w:rFonts w:ascii="Times New Roman" w:hAnsi="Times New Roman"/>
        </w:rPr>
        <w:t xml:space="preserve"> From the sale of the concentrate, PBS</w:t>
      </w:r>
      <w:r>
        <w:rPr>
          <w:rFonts w:ascii="Times New Roman" w:hAnsi="Times New Roman"/>
        </w:rPr>
        <w:t> </w:t>
      </w:r>
      <w:r w:rsidRPr="00ED2188">
        <w:rPr>
          <w:rFonts w:ascii="Times New Roman" w:hAnsi="Times New Roman"/>
        </w:rPr>
        <w:t>thereby derived the payments made into its bank account by SAPL and correctly returned such income as Australian assessable income for income tax purposes.</w:t>
      </w:r>
      <w:r w:rsidRPr="00ED2188">
        <w:rPr>
          <w:rStyle w:val="FootnoteReference"/>
          <w:rFonts w:ascii="Times New Roman" w:hAnsi="Times New Roman"/>
          <w:sz w:val="24"/>
        </w:rPr>
        <w:footnoteReference w:id="214"/>
      </w:r>
    </w:p>
    <w:p w14:paraId="0695B1FA"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The Commissioner contended that PepsiCo had never pleaded the existence of contracts of sale between PBS and SAPL, and that it should not now be permitted to assert their existence. He submitted that PepsiCo had always contended that sales had taken place under the terms of the PepsiCo EBA. He</w:t>
      </w:r>
      <w:r>
        <w:rPr>
          <w:rFonts w:ascii="Times New Roman" w:hAnsi="Times New Roman"/>
        </w:rPr>
        <w:t> </w:t>
      </w:r>
      <w:r w:rsidRPr="00ED2188">
        <w:rPr>
          <w:rFonts w:ascii="Times New Roman" w:hAnsi="Times New Roman"/>
        </w:rPr>
        <w:t>referred, for example, to the PepsiCo amended statement of claim, which</w:t>
      </w:r>
      <w:r>
        <w:rPr>
          <w:rFonts w:ascii="Times New Roman" w:hAnsi="Times New Roman"/>
        </w:rPr>
        <w:t> </w:t>
      </w:r>
      <w:r w:rsidRPr="00ED2188">
        <w:rPr>
          <w:rFonts w:ascii="Times New Roman" w:hAnsi="Times New Roman"/>
        </w:rPr>
        <w:t>pleaded that the sales took place "in performance of the EBA". The</w:t>
      </w:r>
      <w:r>
        <w:rPr>
          <w:rFonts w:ascii="Times New Roman" w:hAnsi="Times New Roman"/>
        </w:rPr>
        <w:t> </w:t>
      </w:r>
      <w:r w:rsidRPr="00ED2188">
        <w:rPr>
          <w:rFonts w:ascii="Times New Roman" w:hAnsi="Times New Roman"/>
        </w:rPr>
        <w:t>Commissioner's point has no merit. The pleading went on to state that PepsiCo caused PBS to sell units of concentrate to SAPL and that SAPL purchased units from PBS and made payments to PBS. That all of this took place in accordance with the EBA may not be doubted. But that was not the end of the analysis. The</w:t>
      </w:r>
      <w:r>
        <w:rPr>
          <w:rFonts w:ascii="Times New Roman" w:hAnsi="Times New Roman"/>
        </w:rPr>
        <w:t> </w:t>
      </w:r>
      <w:r w:rsidRPr="00ED2188">
        <w:rPr>
          <w:rFonts w:ascii="Times New Roman" w:hAnsi="Times New Roman"/>
        </w:rPr>
        <w:t xml:space="preserve">PepsiCo EBA was not a contract </w:t>
      </w:r>
      <w:r w:rsidRPr="00ED2188">
        <w:rPr>
          <w:rFonts w:ascii="Times New Roman" w:hAnsi="Times New Roman"/>
          <w:i/>
          <w:iCs/>
        </w:rPr>
        <w:t>of</w:t>
      </w:r>
      <w:r w:rsidRPr="00ED2188">
        <w:rPr>
          <w:rFonts w:ascii="Times New Roman" w:hAnsi="Times New Roman"/>
        </w:rPr>
        <w:t xml:space="preserve"> the sale of concentrate, but a contract, amongst other things, </w:t>
      </w:r>
      <w:r w:rsidRPr="00ED2188">
        <w:rPr>
          <w:rFonts w:ascii="Times New Roman" w:hAnsi="Times New Roman"/>
          <w:i/>
          <w:iCs/>
        </w:rPr>
        <w:t>for</w:t>
      </w:r>
      <w:r w:rsidRPr="00ED2188">
        <w:rPr>
          <w:rFonts w:ascii="Times New Roman" w:hAnsi="Times New Roman"/>
        </w:rPr>
        <w:t xml:space="preserve"> the making of such sales in the future, and, if necessary, by PepsiCo causing its subsidiary to be the Seller. The EBA was, in a sense, an</w:t>
      </w:r>
      <w:r>
        <w:rPr>
          <w:rFonts w:ascii="Times New Roman" w:hAnsi="Times New Roman"/>
        </w:rPr>
        <w:t> </w:t>
      </w:r>
      <w:r w:rsidRPr="00ED2188">
        <w:rPr>
          <w:rFonts w:ascii="Times New Roman" w:hAnsi="Times New Roman"/>
        </w:rPr>
        <w:t>umbrella agreement which governed the relations of the parties going forward, and which contemplated the entry into of further agreements, such as the</w:t>
      </w:r>
      <w:r>
        <w:rPr>
          <w:rFonts w:ascii="Times New Roman" w:hAnsi="Times New Roman"/>
        </w:rPr>
        <w:t> </w:t>
      </w:r>
      <w:r w:rsidRPr="00ED2188">
        <w:rPr>
          <w:rFonts w:ascii="Times New Roman" w:hAnsi="Times New Roman"/>
        </w:rPr>
        <w:t xml:space="preserve">Performance Agreement, and the contracts for the sale of concentrate. In that respect, PepsiCo correctly conceded that sales of concentrate took place under and in accordance with the PepsiCo EBA, which gave valuable remedies to PepsiCo. But that conclusion did not deny the entry into contracts </w:t>
      </w:r>
      <w:r w:rsidRPr="00ED2188">
        <w:rPr>
          <w:rFonts w:ascii="Times New Roman" w:hAnsi="Times New Roman"/>
          <w:i/>
          <w:iCs/>
        </w:rPr>
        <w:t>of</w:t>
      </w:r>
      <w:r w:rsidRPr="00ED2188">
        <w:rPr>
          <w:rFonts w:ascii="Times New Roman" w:hAnsi="Times New Roman"/>
        </w:rPr>
        <w:t xml:space="preserve"> sale of concentrate as between SAPL and PBS.</w:t>
      </w:r>
    </w:p>
    <w:p w14:paraId="37D96696" w14:textId="77777777" w:rsidR="00A143F4" w:rsidRPr="00ED2188" w:rsidRDefault="00A143F4" w:rsidP="00ED2188">
      <w:pPr>
        <w:pStyle w:val="HeadingL3"/>
        <w:spacing w:after="260" w:line="280" w:lineRule="exact"/>
        <w:ind w:right="0"/>
        <w:jc w:val="both"/>
        <w:rPr>
          <w:rFonts w:ascii="Times New Roman" w:hAnsi="Times New Roman"/>
        </w:rPr>
      </w:pPr>
      <w:r w:rsidRPr="00ED2188">
        <w:rPr>
          <w:rFonts w:ascii="Times New Roman" w:hAnsi="Times New Roman"/>
        </w:rPr>
        <w:t>Conclusion</w:t>
      </w:r>
    </w:p>
    <w:p w14:paraId="2A416D1F"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No monetary obligation was owed by SAPL, or payment made by SAPL, to PepsiCo for or in respect of the concentrate. That was not what cl 4 of the</w:t>
      </w:r>
      <w:r>
        <w:rPr>
          <w:rFonts w:ascii="Times New Roman" w:hAnsi="Times New Roman"/>
        </w:rPr>
        <w:t> </w:t>
      </w:r>
      <w:r w:rsidRPr="00ED2188">
        <w:rPr>
          <w:rFonts w:ascii="Times New Roman" w:hAnsi="Times New Roman"/>
        </w:rPr>
        <w:t>PepsiCo EBA provided in its terms, substance or effect. Title to the concentrate was never with PepsiCo; title transferred from PBS to SAPL. The Commissioner's reliance on cll 4(a) and 4(c) of the PepsiCo EBA does not alter the fact that, on the</w:t>
      </w:r>
      <w:r>
        <w:rPr>
          <w:rFonts w:ascii="Times New Roman" w:hAnsi="Times New Roman"/>
        </w:rPr>
        <w:t> </w:t>
      </w:r>
      <w:r w:rsidRPr="00ED2188">
        <w:rPr>
          <w:rFonts w:ascii="Times New Roman" w:hAnsi="Times New Roman"/>
        </w:rPr>
        <w:t xml:space="preserve">proper construction of the SAPL Bottler, Seller and Distributor Agreement, cl 4 of the PepsiCo EBA required SAPL in the future to enter into a contract to buy </w:t>
      </w:r>
      <w:r w:rsidRPr="00ED2188">
        <w:rPr>
          <w:rFonts w:ascii="Times New Roman" w:hAnsi="Times New Roman"/>
        </w:rPr>
        <w:lastRenderedPageBreak/>
        <w:t>concentrate where that contract had to include at least the terms set out in the</w:t>
      </w:r>
      <w:r>
        <w:rPr>
          <w:rFonts w:ascii="Times New Roman" w:hAnsi="Times New Roman"/>
        </w:rPr>
        <w:t> </w:t>
      </w:r>
      <w:r w:rsidRPr="00ED2188">
        <w:rPr>
          <w:rFonts w:ascii="Times New Roman" w:hAnsi="Times New Roman"/>
        </w:rPr>
        <w:t>PepsiCo EBA. That clause – imposing those obligations on SAPL – did not change the parties to the subsequent transactions for the sale of concentrate, namely PBS and SAPL. If SAPL failed to pay for the concentrate supplied by PBS, it was PBS as the contracting party that had an action for debt under those sale transactions. Under the PepsiCo EBA, PepsiCo only had an action for specific performance.</w:t>
      </w:r>
    </w:p>
    <w:p w14:paraId="2B0415EE"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The Commissioner's appeal grounds in relation to royalty withholding tax are rejected.</w:t>
      </w:r>
    </w:p>
    <w:p w14:paraId="56CA12DE" w14:textId="77777777" w:rsidR="00A143F4" w:rsidRPr="00ED2188" w:rsidRDefault="00A143F4" w:rsidP="00ED2188">
      <w:pPr>
        <w:pStyle w:val="HeadingL1"/>
        <w:spacing w:after="260" w:line="280" w:lineRule="exact"/>
        <w:ind w:right="0"/>
        <w:jc w:val="both"/>
        <w:rPr>
          <w:rFonts w:ascii="Times New Roman" w:hAnsi="Times New Roman"/>
        </w:rPr>
      </w:pPr>
      <w:r w:rsidRPr="00ED2188">
        <w:rPr>
          <w:rFonts w:ascii="Times New Roman" w:hAnsi="Times New Roman"/>
        </w:rPr>
        <w:t>Diverted profits tax</w:t>
      </w:r>
    </w:p>
    <w:p w14:paraId="2142AC76"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If no royalty withholding tax was payable by PepsiCo or SVC, the</w:t>
      </w:r>
      <w:r>
        <w:rPr>
          <w:rFonts w:ascii="Times New Roman" w:hAnsi="Times New Roman"/>
        </w:rPr>
        <w:t> </w:t>
      </w:r>
      <w:r w:rsidRPr="00ED2188">
        <w:rPr>
          <w:rFonts w:ascii="Times New Roman" w:hAnsi="Times New Roman"/>
        </w:rPr>
        <w:t>Commissioner then sought to reagitate the contention that PepsiCo and SVC were liable under the DPT provisions of Pt IVA of the ITAA 1936. That appeal ground must also be rejected.</w:t>
      </w:r>
    </w:p>
    <w:p w14:paraId="15DEEE3B" w14:textId="77777777" w:rsidR="00A143F4" w:rsidRPr="00ED2188" w:rsidRDefault="00A143F4" w:rsidP="00ED2188">
      <w:pPr>
        <w:pStyle w:val="HeadingL2"/>
        <w:spacing w:after="260" w:line="280" w:lineRule="exact"/>
        <w:ind w:right="0"/>
        <w:jc w:val="both"/>
        <w:rPr>
          <w:rFonts w:ascii="Times New Roman" w:hAnsi="Times New Roman"/>
        </w:rPr>
      </w:pPr>
      <w:r w:rsidRPr="00ED2188">
        <w:rPr>
          <w:rFonts w:ascii="Times New Roman" w:hAnsi="Times New Roman"/>
        </w:rPr>
        <w:t>Legislation</w:t>
      </w:r>
    </w:p>
    <w:p w14:paraId="24660C3A"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The DPT provisions</w:t>
      </w:r>
      <w:r w:rsidRPr="00ED2188">
        <w:rPr>
          <w:rStyle w:val="FootnoteReference"/>
          <w:rFonts w:ascii="Times New Roman" w:hAnsi="Times New Roman"/>
          <w:sz w:val="24"/>
        </w:rPr>
        <w:footnoteReference w:id="215"/>
      </w:r>
      <w:r w:rsidRPr="00ED2188">
        <w:rPr>
          <w:rFonts w:ascii="Times New Roman" w:hAnsi="Times New Roman"/>
        </w:rPr>
        <w:t xml:space="preserve"> are anti-avoidance provisions introduced into Pt IVA of the ITAA 1936 by the </w:t>
      </w:r>
      <w:r w:rsidRPr="00ED2188">
        <w:rPr>
          <w:rFonts w:ascii="Times New Roman" w:hAnsi="Times New Roman"/>
          <w:i/>
          <w:iCs/>
        </w:rPr>
        <w:t>Treasury Laws Amendment (Combating Multinational Tax Avoidance) Act 2017</w:t>
      </w:r>
      <w:r w:rsidRPr="00ED2188">
        <w:rPr>
          <w:rFonts w:ascii="Times New Roman" w:hAnsi="Times New Roman"/>
        </w:rPr>
        <w:t> (Cth). Section 177H(1) in Pt IVA states that the primary objects of the DPT provisions are "(a) to ensure that the Australian tax payable by significant global entities properly reflects the economic substance of the activities that those entities carry on in Australia; and (b) to prevent those entities from reducing the amount of Australian tax they pay by diverting profits offshore through contrived arrangements between related parties".</w:t>
      </w:r>
      <w:r w:rsidRPr="00ED2188">
        <w:rPr>
          <w:rStyle w:val="FootnoteReference"/>
          <w:rFonts w:ascii="Times New Roman" w:hAnsi="Times New Roman"/>
          <w:sz w:val="24"/>
        </w:rPr>
        <w:footnoteReference w:id="216"/>
      </w:r>
    </w:p>
    <w:p w14:paraId="79EFC8C9"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Section 177J(1) states that Pt IVA applies to a scheme, in relation to a tax benefit, defined as "the DPT tax benefit", if a number of elements are met,</w:t>
      </w:r>
      <w:r w:rsidRPr="00ED2188">
        <w:rPr>
          <w:rStyle w:val="FootnoteReference"/>
          <w:rFonts w:ascii="Times New Roman" w:hAnsi="Times New Roman"/>
          <w:sz w:val="24"/>
        </w:rPr>
        <w:footnoteReference w:id="217"/>
      </w:r>
      <w:r w:rsidRPr="00ED2188">
        <w:rPr>
          <w:rFonts w:ascii="Times New Roman" w:hAnsi="Times New Roman"/>
        </w:rPr>
        <w:t xml:space="preserve"> relevantly:</w:t>
      </w:r>
    </w:p>
    <w:p w14:paraId="7EF6BE4D" w14:textId="77777777" w:rsidR="00A143F4" w:rsidRPr="00ED2188" w:rsidRDefault="00A143F4" w:rsidP="00ED2188">
      <w:pPr>
        <w:pStyle w:val="LeftrightafterHC"/>
        <w:spacing w:before="0" w:after="260" w:line="280" w:lineRule="exact"/>
        <w:ind w:left="1440" w:right="0" w:hanging="720"/>
        <w:jc w:val="both"/>
        <w:rPr>
          <w:rFonts w:ascii="Times New Roman" w:hAnsi="Times New Roman"/>
        </w:rPr>
      </w:pPr>
      <w:r w:rsidRPr="00ED2188">
        <w:rPr>
          <w:rFonts w:ascii="Times New Roman" w:hAnsi="Times New Roman"/>
        </w:rPr>
        <w:lastRenderedPageBreak/>
        <w:t>"(a)</w:t>
      </w:r>
      <w:r w:rsidRPr="00ED2188">
        <w:rPr>
          <w:rFonts w:ascii="Times New Roman" w:hAnsi="Times New Roman"/>
        </w:rPr>
        <w:tab/>
        <w:t xml:space="preserve">a taxpayer (a </w:t>
      </w:r>
      <w:r w:rsidRPr="00ED2188">
        <w:rPr>
          <w:rFonts w:ascii="Times New Roman" w:hAnsi="Times New Roman"/>
          <w:b/>
          <w:bCs/>
          <w:i/>
          <w:iCs/>
        </w:rPr>
        <w:t>relevant</w:t>
      </w:r>
      <w:r w:rsidRPr="00ED2188">
        <w:rPr>
          <w:rFonts w:ascii="Times New Roman" w:hAnsi="Times New Roman"/>
          <w:i/>
          <w:iCs/>
        </w:rPr>
        <w:t xml:space="preserve"> </w:t>
      </w:r>
      <w:r w:rsidRPr="00ED2188">
        <w:rPr>
          <w:rFonts w:ascii="Times New Roman" w:hAnsi="Times New Roman"/>
          <w:b/>
          <w:bCs/>
          <w:i/>
          <w:iCs/>
        </w:rPr>
        <w:t>taxpayer</w:t>
      </w:r>
      <w:r w:rsidRPr="00ED2188">
        <w:rPr>
          <w:rFonts w:ascii="Times New Roman" w:hAnsi="Times New Roman"/>
        </w:rPr>
        <w:t>) has obtained, or would but for section 177F obtain, the DPT tax benefit in connection with the</w:t>
      </w:r>
      <w:r>
        <w:rPr>
          <w:rFonts w:ascii="Times New Roman" w:hAnsi="Times New Roman"/>
        </w:rPr>
        <w:t> </w:t>
      </w:r>
      <w:r w:rsidRPr="00ED2188">
        <w:rPr>
          <w:rFonts w:ascii="Times New Roman" w:hAnsi="Times New Roman"/>
        </w:rPr>
        <w:t>scheme, in a year of income; and</w:t>
      </w:r>
    </w:p>
    <w:p w14:paraId="5AEF96C4" w14:textId="77777777" w:rsidR="00A143F4" w:rsidRPr="00ED2188" w:rsidRDefault="00A143F4" w:rsidP="00ED2188">
      <w:pPr>
        <w:pStyle w:val="leftright"/>
        <w:spacing w:before="0" w:after="260" w:line="280" w:lineRule="exact"/>
        <w:ind w:left="1440" w:right="0" w:hanging="720"/>
        <w:jc w:val="both"/>
        <w:rPr>
          <w:rFonts w:ascii="Times New Roman" w:hAnsi="Times New Roman"/>
        </w:rPr>
      </w:pPr>
      <w:r w:rsidRPr="00ED2188">
        <w:rPr>
          <w:rFonts w:ascii="Times New Roman" w:hAnsi="Times New Roman"/>
        </w:rPr>
        <w:t>(b)</w:t>
      </w:r>
      <w:r w:rsidRPr="00ED2188">
        <w:rPr>
          <w:rFonts w:ascii="Times New Roman" w:hAnsi="Times New Roman"/>
        </w:rPr>
        <w:tab/>
        <w:t>it would be concluded (having regard to the matters in subsection (2)) that the person, or one of the persons, who entered into or carried out the scheme or any part of the scheme did so for a principal purpose of, or for more than one principal purpose that includes a purpose of:</w:t>
      </w:r>
    </w:p>
    <w:p w14:paraId="3477D4B7" w14:textId="77777777" w:rsidR="00A143F4" w:rsidRPr="00ED2188" w:rsidRDefault="00A143F4" w:rsidP="00ED2188">
      <w:pPr>
        <w:pStyle w:val="leftright"/>
        <w:spacing w:before="0" w:after="260" w:line="280" w:lineRule="exact"/>
        <w:ind w:left="2160" w:right="0" w:hanging="720"/>
        <w:jc w:val="both"/>
        <w:rPr>
          <w:rFonts w:ascii="Times New Roman" w:hAnsi="Times New Roman"/>
        </w:rPr>
      </w:pPr>
      <w:r w:rsidRPr="00ED2188">
        <w:rPr>
          <w:rFonts w:ascii="Times New Roman" w:hAnsi="Times New Roman"/>
        </w:rPr>
        <w:t>(i)</w:t>
      </w:r>
      <w:r w:rsidRPr="00ED2188">
        <w:rPr>
          <w:rFonts w:ascii="Times New Roman" w:hAnsi="Times New Roman"/>
        </w:rPr>
        <w:tab/>
        <w:t>enabling the relevant taxpayer to obtain a tax benefit, or both to obtain a tax benefit and to reduce one or more of the</w:t>
      </w:r>
      <w:r>
        <w:rPr>
          <w:rFonts w:ascii="Times New Roman" w:hAnsi="Times New Roman"/>
        </w:rPr>
        <w:t> </w:t>
      </w:r>
      <w:r w:rsidRPr="00ED2188">
        <w:rPr>
          <w:rFonts w:ascii="Times New Roman" w:hAnsi="Times New Roman"/>
        </w:rPr>
        <w:t>relevant taxpayer's liabilities to tax under a foreign law, in</w:t>
      </w:r>
      <w:r>
        <w:rPr>
          <w:rFonts w:ascii="Times New Roman" w:hAnsi="Times New Roman"/>
        </w:rPr>
        <w:t> </w:t>
      </w:r>
      <w:r w:rsidRPr="00ED2188">
        <w:rPr>
          <w:rFonts w:ascii="Times New Roman" w:hAnsi="Times New Roman"/>
        </w:rPr>
        <w:t xml:space="preserve">connection with the scheme; or </w:t>
      </w:r>
    </w:p>
    <w:p w14:paraId="74283F74" w14:textId="77777777" w:rsidR="00A143F4" w:rsidRPr="00ED2188" w:rsidRDefault="00A143F4" w:rsidP="00ED2188">
      <w:pPr>
        <w:pStyle w:val="leftright"/>
        <w:spacing w:before="0" w:after="260" w:line="280" w:lineRule="exact"/>
        <w:ind w:left="1440" w:right="0"/>
        <w:jc w:val="both"/>
        <w:rPr>
          <w:rFonts w:ascii="Times New Roman" w:hAnsi="Times New Roman"/>
        </w:rPr>
      </w:pPr>
      <w:r w:rsidRPr="00ED2188">
        <w:rPr>
          <w:rFonts w:ascii="Times New Roman" w:hAnsi="Times New Roman"/>
        </w:rPr>
        <w:t>...</w:t>
      </w:r>
    </w:p>
    <w:p w14:paraId="47173037" w14:textId="77777777" w:rsidR="00A143F4" w:rsidRDefault="00A143F4" w:rsidP="00ED2188">
      <w:pPr>
        <w:pStyle w:val="leftright"/>
        <w:spacing w:before="0" w:after="260" w:line="280" w:lineRule="exact"/>
        <w:ind w:left="1440" w:right="0"/>
        <w:jc w:val="both"/>
        <w:rPr>
          <w:rFonts w:ascii="Times New Roman" w:hAnsi="Times New Roman"/>
        </w:rPr>
      </w:pPr>
      <w:r w:rsidRPr="00ED2188">
        <w:rPr>
          <w:rFonts w:ascii="Times New Roman" w:hAnsi="Times New Roman"/>
        </w:rPr>
        <w:t>whether or not that person who entered into or carried out the scheme or any part of the scheme is the relevant taxpayer ..."</w:t>
      </w:r>
    </w:p>
    <w:p w14:paraId="5FA1772F" w14:textId="77777777" w:rsidR="00A143F4" w:rsidRPr="00ED2188" w:rsidRDefault="00A143F4" w:rsidP="00ED2188">
      <w:pPr>
        <w:pStyle w:val="NormalBody"/>
        <w:spacing w:after="260" w:line="280" w:lineRule="exact"/>
        <w:ind w:right="0"/>
        <w:jc w:val="both"/>
        <w:rPr>
          <w:rFonts w:ascii="Times New Roman" w:hAnsi="Times New Roman"/>
        </w:rPr>
      </w:pPr>
      <w:r w:rsidRPr="00ED2188">
        <w:rPr>
          <w:rFonts w:ascii="Times New Roman" w:hAnsi="Times New Roman"/>
        </w:rPr>
        <w:t>A tax benefit can be, relevantly, a taxpayer not being liable to pay withholding tax on an amount where the taxpayer either would have, or might reasonably be expected to have, been liable to pay withholding tax on the amount if the scheme had not been entered into or carried out.</w:t>
      </w:r>
      <w:r w:rsidRPr="00ED2188">
        <w:rPr>
          <w:rStyle w:val="FootnoteReference"/>
          <w:rFonts w:ascii="Times New Roman" w:hAnsi="Times New Roman"/>
          <w:sz w:val="24"/>
        </w:rPr>
        <w:footnoteReference w:id="218"/>
      </w:r>
    </w:p>
    <w:p w14:paraId="506631AC"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Section 177CB sets out the bases for identifying tax benefits and relevantly provides:</w:t>
      </w:r>
    </w:p>
    <w:p w14:paraId="7B8C6707" w14:textId="77777777" w:rsidR="00A143F4" w:rsidRPr="00ED2188" w:rsidRDefault="00A143F4" w:rsidP="00ED2188">
      <w:pPr>
        <w:pStyle w:val="LeftrightafterHC"/>
        <w:spacing w:before="0" w:after="260" w:line="280" w:lineRule="exact"/>
        <w:ind w:left="1440" w:right="0" w:hanging="720"/>
        <w:jc w:val="both"/>
        <w:rPr>
          <w:rFonts w:ascii="Times New Roman" w:hAnsi="Times New Roman"/>
        </w:rPr>
      </w:pPr>
      <w:r w:rsidRPr="00ED2188">
        <w:rPr>
          <w:rFonts w:ascii="Times New Roman" w:hAnsi="Times New Roman"/>
        </w:rPr>
        <w:t>"(1)</w:t>
      </w:r>
      <w:r w:rsidRPr="00ED2188">
        <w:rPr>
          <w:rFonts w:ascii="Times New Roman" w:hAnsi="Times New Roman"/>
        </w:rPr>
        <w:tab/>
        <w:t>This section applies to deciding, under section 177C, whether any of the following (</w:t>
      </w:r>
      <w:r w:rsidRPr="00ED2188">
        <w:rPr>
          <w:rFonts w:ascii="Times New Roman" w:hAnsi="Times New Roman"/>
          <w:b/>
          <w:bCs/>
          <w:i/>
          <w:iCs/>
        </w:rPr>
        <w:t>tax effects</w:t>
      </w:r>
      <w:r w:rsidRPr="00ED2188">
        <w:rPr>
          <w:rFonts w:ascii="Times New Roman" w:hAnsi="Times New Roman"/>
        </w:rPr>
        <w:t>) would have occurred, or might reasonably be expected to have occurred, if a scheme had not been entered into or carried out:</w:t>
      </w:r>
    </w:p>
    <w:p w14:paraId="545965B0" w14:textId="77777777" w:rsidR="00A143F4" w:rsidRPr="00ED2188" w:rsidRDefault="00A143F4" w:rsidP="00ED2188">
      <w:pPr>
        <w:pStyle w:val="leftright"/>
        <w:spacing w:before="0" w:after="260" w:line="280" w:lineRule="exact"/>
        <w:ind w:left="2160" w:right="0" w:hanging="720"/>
        <w:jc w:val="both"/>
        <w:rPr>
          <w:rFonts w:ascii="Times New Roman" w:hAnsi="Times New Roman"/>
        </w:rPr>
      </w:pPr>
      <w:r w:rsidRPr="00ED2188">
        <w:rPr>
          <w:rFonts w:ascii="Times New Roman" w:hAnsi="Times New Roman"/>
        </w:rPr>
        <w:t>...</w:t>
      </w:r>
    </w:p>
    <w:p w14:paraId="049EEB61" w14:textId="77777777" w:rsidR="00A143F4" w:rsidRPr="00ED2188" w:rsidRDefault="00A143F4" w:rsidP="00ED2188">
      <w:pPr>
        <w:pStyle w:val="leftright"/>
        <w:spacing w:before="0" w:after="260" w:line="280" w:lineRule="exact"/>
        <w:ind w:left="2160" w:right="0" w:hanging="720"/>
        <w:jc w:val="both"/>
        <w:rPr>
          <w:rFonts w:ascii="Times New Roman" w:hAnsi="Times New Roman"/>
        </w:rPr>
      </w:pPr>
      <w:r w:rsidRPr="00ED2188">
        <w:rPr>
          <w:rFonts w:ascii="Times New Roman" w:hAnsi="Times New Roman"/>
        </w:rPr>
        <w:t>(e)</w:t>
      </w:r>
      <w:r w:rsidRPr="00ED2188">
        <w:rPr>
          <w:rFonts w:ascii="Times New Roman" w:hAnsi="Times New Roman"/>
        </w:rPr>
        <w:tab/>
        <w:t>the taxpayer being liable to pay withholding tax on an amount;</w:t>
      </w:r>
    </w:p>
    <w:p w14:paraId="5FB8A4EE" w14:textId="77777777" w:rsidR="00A143F4" w:rsidRPr="00ED2188" w:rsidRDefault="00A143F4" w:rsidP="00ED2188">
      <w:pPr>
        <w:pStyle w:val="leftright"/>
        <w:spacing w:before="0" w:after="260" w:line="280" w:lineRule="exact"/>
        <w:ind w:left="2160" w:right="0" w:hanging="720"/>
        <w:jc w:val="both"/>
        <w:rPr>
          <w:rFonts w:ascii="Times New Roman" w:hAnsi="Times New Roman"/>
        </w:rPr>
      </w:pPr>
      <w:r w:rsidRPr="00ED2188">
        <w:rPr>
          <w:rFonts w:ascii="Times New Roman" w:hAnsi="Times New Roman"/>
        </w:rPr>
        <w:t>...</w:t>
      </w:r>
    </w:p>
    <w:p w14:paraId="499C1D3F" w14:textId="77777777" w:rsidR="00A143F4" w:rsidRPr="00ED2188" w:rsidRDefault="00A143F4" w:rsidP="00ED2188">
      <w:pPr>
        <w:pStyle w:val="leftright"/>
        <w:spacing w:before="0" w:after="260" w:line="280" w:lineRule="exact"/>
        <w:ind w:left="1440" w:right="0" w:hanging="720"/>
        <w:jc w:val="both"/>
        <w:rPr>
          <w:rFonts w:ascii="Times New Roman" w:hAnsi="Times New Roman"/>
        </w:rPr>
      </w:pPr>
      <w:r w:rsidRPr="00ED2188">
        <w:rPr>
          <w:rFonts w:ascii="Times New Roman" w:hAnsi="Times New Roman"/>
        </w:rPr>
        <w:lastRenderedPageBreak/>
        <w:t>(3)</w:t>
      </w:r>
      <w:r w:rsidRPr="00ED2188">
        <w:rPr>
          <w:rFonts w:ascii="Times New Roman" w:hAnsi="Times New Roman"/>
        </w:rPr>
        <w:tab/>
        <w:t xml:space="preserve">A decision that a tax effect might reasonably be expected to have occurred if the scheme had not been entered into or carried out must be based on a postulate that is a reasonable alternative to entering into or carrying out the scheme. </w:t>
      </w:r>
    </w:p>
    <w:p w14:paraId="051ACB1D" w14:textId="77777777" w:rsidR="00A143F4" w:rsidRPr="00ED2188" w:rsidRDefault="00A143F4" w:rsidP="00ED2188">
      <w:pPr>
        <w:pStyle w:val="leftright"/>
        <w:spacing w:before="0" w:after="260" w:line="280" w:lineRule="exact"/>
        <w:ind w:left="1440" w:right="0" w:hanging="720"/>
        <w:jc w:val="both"/>
        <w:rPr>
          <w:rFonts w:ascii="Times New Roman" w:hAnsi="Times New Roman"/>
        </w:rPr>
      </w:pPr>
      <w:r w:rsidRPr="00ED2188">
        <w:rPr>
          <w:rFonts w:ascii="Times New Roman" w:hAnsi="Times New Roman"/>
        </w:rPr>
        <w:t>(4)</w:t>
      </w:r>
      <w:r w:rsidRPr="00ED2188">
        <w:rPr>
          <w:rFonts w:ascii="Times New Roman" w:hAnsi="Times New Roman"/>
        </w:rPr>
        <w:tab/>
        <w:t xml:space="preserve">In determining for the purposes of subsection (3) whether a postulate is such a reasonable alternative: </w:t>
      </w:r>
    </w:p>
    <w:p w14:paraId="6FEEC71D" w14:textId="77777777" w:rsidR="00A143F4" w:rsidRPr="00ED2188" w:rsidRDefault="00A143F4" w:rsidP="00ED2188">
      <w:pPr>
        <w:pStyle w:val="leftright"/>
        <w:spacing w:before="0" w:after="260" w:line="280" w:lineRule="exact"/>
        <w:ind w:left="1440" w:right="0"/>
        <w:jc w:val="both"/>
        <w:rPr>
          <w:rFonts w:ascii="Times New Roman" w:hAnsi="Times New Roman"/>
        </w:rPr>
      </w:pPr>
      <w:r w:rsidRPr="00ED2188">
        <w:rPr>
          <w:rFonts w:ascii="Times New Roman" w:hAnsi="Times New Roman"/>
        </w:rPr>
        <w:t>(a)</w:t>
      </w:r>
      <w:r w:rsidRPr="00ED2188">
        <w:rPr>
          <w:rFonts w:ascii="Times New Roman" w:hAnsi="Times New Roman"/>
        </w:rPr>
        <w:tab/>
        <w:t>have particular regard to:</w:t>
      </w:r>
    </w:p>
    <w:p w14:paraId="36598A7D" w14:textId="77777777" w:rsidR="00A143F4" w:rsidRPr="00ED2188" w:rsidRDefault="00A143F4" w:rsidP="00ED2188">
      <w:pPr>
        <w:pStyle w:val="leftright"/>
        <w:spacing w:before="0" w:after="260" w:line="280" w:lineRule="exact"/>
        <w:ind w:left="2160" w:right="0"/>
        <w:jc w:val="both"/>
        <w:rPr>
          <w:rFonts w:ascii="Times New Roman" w:hAnsi="Times New Roman"/>
        </w:rPr>
      </w:pPr>
      <w:r w:rsidRPr="00ED2188">
        <w:rPr>
          <w:rFonts w:ascii="Times New Roman" w:hAnsi="Times New Roman"/>
        </w:rPr>
        <w:t xml:space="preserve">(i) </w:t>
      </w:r>
      <w:r w:rsidRPr="00ED2188">
        <w:rPr>
          <w:rFonts w:ascii="Times New Roman" w:hAnsi="Times New Roman"/>
        </w:rPr>
        <w:tab/>
        <w:t>the substance of the scheme; and</w:t>
      </w:r>
    </w:p>
    <w:p w14:paraId="2422A711" w14:textId="77777777" w:rsidR="00A143F4" w:rsidRPr="00ED2188" w:rsidRDefault="00A143F4" w:rsidP="00ED2188">
      <w:pPr>
        <w:pStyle w:val="leftright"/>
        <w:spacing w:before="0" w:after="260" w:line="280" w:lineRule="exact"/>
        <w:ind w:left="2880" w:right="0" w:hanging="720"/>
        <w:jc w:val="both"/>
        <w:rPr>
          <w:rFonts w:ascii="Times New Roman" w:hAnsi="Times New Roman"/>
        </w:rPr>
      </w:pPr>
      <w:r w:rsidRPr="00ED2188">
        <w:rPr>
          <w:rFonts w:ascii="Times New Roman" w:hAnsi="Times New Roman"/>
        </w:rPr>
        <w:t>(ii)</w:t>
      </w:r>
      <w:r w:rsidRPr="00ED2188">
        <w:rPr>
          <w:rFonts w:ascii="Times New Roman" w:hAnsi="Times New Roman"/>
        </w:rPr>
        <w:tab/>
        <w:t>any result or consequence for the taxpayer that is or would be achieved by the scheme (other than a result in relation to the operation of this Act); but</w:t>
      </w:r>
    </w:p>
    <w:p w14:paraId="606FFFDB" w14:textId="77777777" w:rsidR="00A143F4" w:rsidRPr="00ED2188" w:rsidRDefault="00A143F4" w:rsidP="00ED2188">
      <w:pPr>
        <w:pStyle w:val="leftright"/>
        <w:spacing w:before="0" w:after="260" w:line="280" w:lineRule="exact"/>
        <w:ind w:left="2160" w:right="0" w:hanging="720"/>
        <w:jc w:val="both"/>
        <w:rPr>
          <w:rFonts w:ascii="Times New Roman" w:hAnsi="Times New Roman"/>
        </w:rPr>
      </w:pPr>
      <w:r w:rsidRPr="00ED2188">
        <w:rPr>
          <w:rFonts w:ascii="Times New Roman" w:hAnsi="Times New Roman"/>
        </w:rPr>
        <w:t xml:space="preserve">(b) </w:t>
      </w:r>
      <w:r w:rsidRPr="00ED2188">
        <w:rPr>
          <w:rFonts w:ascii="Times New Roman" w:hAnsi="Times New Roman"/>
        </w:rPr>
        <w:tab/>
        <w:t>disregard any result in relation to the operation of this Act that would be achieved by the postulate for any person (whether or not a party to the scheme).</w:t>
      </w:r>
    </w:p>
    <w:p w14:paraId="43B755BE" w14:textId="77777777" w:rsidR="00A143F4" w:rsidRPr="00ED2188" w:rsidRDefault="00A143F4" w:rsidP="00ED2188">
      <w:pPr>
        <w:pStyle w:val="leftright"/>
        <w:spacing w:before="0" w:after="260" w:line="280" w:lineRule="exact"/>
        <w:ind w:left="1440" w:right="0" w:hanging="720"/>
        <w:jc w:val="both"/>
        <w:rPr>
          <w:rFonts w:ascii="Times New Roman" w:hAnsi="Times New Roman"/>
        </w:rPr>
      </w:pPr>
      <w:r w:rsidRPr="00ED2188">
        <w:rPr>
          <w:rFonts w:ascii="Times New Roman" w:hAnsi="Times New Roman"/>
        </w:rPr>
        <w:t>(5)</w:t>
      </w:r>
      <w:r w:rsidRPr="00ED2188">
        <w:rPr>
          <w:rFonts w:ascii="Times New Roman" w:hAnsi="Times New Roman"/>
        </w:rPr>
        <w:tab/>
        <w:t>Subsection (4) applies in relation to the scheme as if references in that subsection to the operation of this Act included references to the</w:t>
      </w:r>
      <w:r>
        <w:rPr>
          <w:rFonts w:ascii="Times New Roman" w:hAnsi="Times New Roman"/>
        </w:rPr>
        <w:t> </w:t>
      </w:r>
      <w:r w:rsidRPr="00ED2188">
        <w:rPr>
          <w:rFonts w:ascii="Times New Roman" w:hAnsi="Times New Roman"/>
        </w:rPr>
        <w:t>operation of any foreign law relating to taxation:</w:t>
      </w:r>
    </w:p>
    <w:p w14:paraId="6B61240D" w14:textId="77777777" w:rsidR="00A143F4" w:rsidRPr="00ED2188" w:rsidRDefault="00A143F4" w:rsidP="00ED2188">
      <w:pPr>
        <w:pStyle w:val="leftright"/>
        <w:spacing w:before="0" w:after="260" w:line="280" w:lineRule="exact"/>
        <w:ind w:left="2160" w:right="0" w:hanging="720"/>
        <w:jc w:val="both"/>
        <w:rPr>
          <w:rFonts w:ascii="Times New Roman" w:hAnsi="Times New Roman"/>
        </w:rPr>
      </w:pPr>
      <w:r w:rsidRPr="00ED2188">
        <w:rPr>
          <w:rFonts w:ascii="Times New Roman" w:hAnsi="Times New Roman"/>
        </w:rPr>
        <w:t>(a)</w:t>
      </w:r>
      <w:r w:rsidRPr="00ED2188">
        <w:rPr>
          <w:rFonts w:ascii="Times New Roman" w:hAnsi="Times New Roman"/>
        </w:rPr>
        <w:tab/>
        <w:t>if this Part applies to the scheme because of section ... 177J; or</w:t>
      </w:r>
    </w:p>
    <w:p w14:paraId="08B0F240" w14:textId="77777777" w:rsidR="00A143F4" w:rsidRDefault="00A143F4" w:rsidP="00ED2188">
      <w:pPr>
        <w:pStyle w:val="leftright"/>
        <w:spacing w:before="0" w:after="260" w:line="280" w:lineRule="exact"/>
        <w:ind w:left="2160" w:right="0" w:hanging="720"/>
        <w:jc w:val="both"/>
        <w:rPr>
          <w:rFonts w:ascii="Times New Roman" w:hAnsi="Times New Roman"/>
        </w:rPr>
      </w:pPr>
      <w:r w:rsidRPr="00ED2188">
        <w:rPr>
          <w:rFonts w:ascii="Times New Roman" w:hAnsi="Times New Roman"/>
        </w:rPr>
        <w:t>(b)</w:t>
      </w:r>
      <w:r w:rsidRPr="00ED2188">
        <w:rPr>
          <w:rFonts w:ascii="Times New Roman" w:hAnsi="Times New Roman"/>
        </w:rPr>
        <w:tab/>
        <w:t>for the purposes of determining whether this Part applies to the scheme because of section ... 177J."</w:t>
      </w:r>
    </w:p>
    <w:p w14:paraId="074A278B"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Section 177J(2) then specifies the matters to which regard must be had in applying s 177J(1)(b), namely:</w:t>
      </w:r>
    </w:p>
    <w:p w14:paraId="42DBAC01" w14:textId="77777777" w:rsidR="00A143F4" w:rsidRPr="00ED2188" w:rsidRDefault="00A143F4" w:rsidP="00ED2188">
      <w:pPr>
        <w:pStyle w:val="LeftrightafterHC"/>
        <w:spacing w:before="0" w:after="260" w:line="280" w:lineRule="exact"/>
        <w:ind w:right="0"/>
        <w:jc w:val="both"/>
        <w:rPr>
          <w:rFonts w:ascii="Times New Roman" w:hAnsi="Times New Roman"/>
        </w:rPr>
      </w:pPr>
      <w:r w:rsidRPr="00ED2188">
        <w:rPr>
          <w:rFonts w:ascii="Times New Roman" w:hAnsi="Times New Roman"/>
        </w:rPr>
        <w:t>"(a)</w:t>
      </w:r>
      <w:r w:rsidRPr="00ED2188">
        <w:rPr>
          <w:rFonts w:ascii="Times New Roman" w:hAnsi="Times New Roman"/>
        </w:rPr>
        <w:tab/>
        <w:t>the matters in subsection 177D(2);</w:t>
      </w:r>
    </w:p>
    <w:p w14:paraId="00627829" w14:textId="77777777" w:rsidR="00A143F4" w:rsidRPr="00ED2188" w:rsidRDefault="00A143F4" w:rsidP="00ED2188">
      <w:pPr>
        <w:pStyle w:val="leftright"/>
        <w:spacing w:before="0" w:after="260" w:line="280" w:lineRule="exact"/>
        <w:ind w:left="1440" w:right="0" w:hanging="720"/>
        <w:jc w:val="both"/>
        <w:rPr>
          <w:rFonts w:ascii="Times New Roman" w:hAnsi="Times New Roman"/>
        </w:rPr>
      </w:pPr>
      <w:r w:rsidRPr="00ED2188">
        <w:rPr>
          <w:rFonts w:ascii="Times New Roman" w:hAnsi="Times New Roman"/>
        </w:rPr>
        <w:t>(b)</w:t>
      </w:r>
      <w:r w:rsidRPr="00ED2188">
        <w:rPr>
          <w:rFonts w:ascii="Times New Roman" w:hAnsi="Times New Roman"/>
        </w:rPr>
        <w:tab/>
        <w:t>without limiting subsection 177D(2), the extent to which non-tax financial benefits that are quantifiable have resulted, will result, or</w:t>
      </w:r>
      <w:r>
        <w:rPr>
          <w:rFonts w:ascii="Times New Roman" w:hAnsi="Times New Roman"/>
        </w:rPr>
        <w:t> </w:t>
      </w:r>
      <w:r w:rsidRPr="00ED2188">
        <w:rPr>
          <w:rFonts w:ascii="Times New Roman" w:hAnsi="Times New Roman"/>
        </w:rPr>
        <w:t>may reasonably be expected to result, from the scheme;</w:t>
      </w:r>
    </w:p>
    <w:p w14:paraId="5CA86F8B" w14:textId="77777777" w:rsidR="00A143F4" w:rsidRPr="00ED2188" w:rsidRDefault="00A143F4" w:rsidP="00ED2188">
      <w:pPr>
        <w:pStyle w:val="leftright"/>
        <w:spacing w:before="0" w:after="260" w:line="280" w:lineRule="exact"/>
        <w:ind w:left="1440" w:right="0" w:hanging="720"/>
        <w:jc w:val="both"/>
        <w:rPr>
          <w:rFonts w:ascii="Times New Roman" w:hAnsi="Times New Roman"/>
        </w:rPr>
      </w:pPr>
      <w:r w:rsidRPr="00ED2188">
        <w:rPr>
          <w:rFonts w:ascii="Times New Roman" w:hAnsi="Times New Roman"/>
        </w:rPr>
        <w:t>(c)</w:t>
      </w:r>
      <w:r w:rsidRPr="00ED2188">
        <w:rPr>
          <w:rFonts w:ascii="Times New Roman" w:hAnsi="Times New Roman"/>
        </w:rPr>
        <w:tab/>
        <w:t>the result, in relation to the operation of any foreign law relating to taxation, that (but for this Part) would be achieved by the scheme;</w:t>
      </w:r>
    </w:p>
    <w:p w14:paraId="44CC1F9C" w14:textId="77777777" w:rsidR="00A143F4" w:rsidRDefault="00A143F4" w:rsidP="00ED2188">
      <w:pPr>
        <w:pStyle w:val="leftright"/>
        <w:spacing w:before="0" w:after="260" w:line="280" w:lineRule="exact"/>
        <w:ind w:left="1440" w:right="0" w:hanging="720"/>
        <w:jc w:val="both"/>
        <w:rPr>
          <w:rFonts w:ascii="Times New Roman" w:hAnsi="Times New Roman"/>
        </w:rPr>
      </w:pPr>
      <w:r w:rsidRPr="00ED2188">
        <w:rPr>
          <w:rFonts w:ascii="Times New Roman" w:hAnsi="Times New Roman"/>
        </w:rPr>
        <w:t>(d)</w:t>
      </w:r>
      <w:r w:rsidRPr="00ED2188">
        <w:rPr>
          <w:rFonts w:ascii="Times New Roman" w:hAnsi="Times New Roman"/>
        </w:rPr>
        <w:tab/>
        <w:t>the amount of the tax benefit mentioned in paragraph (1)(b)."</w:t>
      </w:r>
    </w:p>
    <w:p w14:paraId="65E56C0D"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lastRenderedPageBreak/>
        <w:tab/>
        <w:t>In ascertaining the principal purpose of a taxpayer, s 177J(2)(a) requires consideration of the factors listed in s 177D(2). Those factors are:</w:t>
      </w:r>
    </w:p>
    <w:p w14:paraId="2D6F1A65" w14:textId="77777777" w:rsidR="00A143F4" w:rsidRPr="00ED2188" w:rsidRDefault="00A143F4" w:rsidP="00ED2188">
      <w:pPr>
        <w:pStyle w:val="LeftrightafterHC"/>
        <w:spacing w:before="0" w:after="260" w:line="280" w:lineRule="exact"/>
        <w:ind w:left="1440" w:right="0" w:hanging="720"/>
        <w:jc w:val="both"/>
        <w:rPr>
          <w:rFonts w:ascii="Times New Roman" w:hAnsi="Times New Roman"/>
        </w:rPr>
      </w:pPr>
      <w:r w:rsidRPr="00ED2188">
        <w:rPr>
          <w:rFonts w:ascii="Times New Roman" w:hAnsi="Times New Roman"/>
        </w:rPr>
        <w:t>"(a)</w:t>
      </w:r>
      <w:r w:rsidRPr="00ED2188">
        <w:rPr>
          <w:rFonts w:ascii="Times New Roman" w:hAnsi="Times New Roman"/>
        </w:rPr>
        <w:tab/>
        <w:t>the manner in which the scheme was entered into or carried out;</w:t>
      </w:r>
    </w:p>
    <w:p w14:paraId="1A546F35" w14:textId="77777777" w:rsidR="00A143F4" w:rsidRPr="00ED2188" w:rsidRDefault="00A143F4" w:rsidP="00ED2188">
      <w:pPr>
        <w:pStyle w:val="leftright"/>
        <w:spacing w:before="0" w:after="260" w:line="280" w:lineRule="exact"/>
        <w:ind w:left="1440" w:right="0" w:hanging="720"/>
        <w:jc w:val="both"/>
        <w:rPr>
          <w:rFonts w:ascii="Times New Roman" w:hAnsi="Times New Roman"/>
        </w:rPr>
      </w:pPr>
      <w:r w:rsidRPr="00ED2188">
        <w:rPr>
          <w:rFonts w:ascii="Times New Roman" w:hAnsi="Times New Roman"/>
        </w:rPr>
        <w:t>(b)</w:t>
      </w:r>
      <w:r w:rsidRPr="00ED2188">
        <w:rPr>
          <w:rFonts w:ascii="Times New Roman" w:hAnsi="Times New Roman"/>
        </w:rPr>
        <w:tab/>
        <w:t>the form and substance of the scheme;</w:t>
      </w:r>
    </w:p>
    <w:p w14:paraId="343B07EA" w14:textId="77777777" w:rsidR="00A143F4" w:rsidRPr="00ED2188" w:rsidRDefault="00A143F4" w:rsidP="00ED2188">
      <w:pPr>
        <w:pStyle w:val="leftright"/>
        <w:spacing w:before="0" w:after="260" w:line="280" w:lineRule="exact"/>
        <w:ind w:left="1440" w:right="0" w:hanging="720"/>
        <w:jc w:val="both"/>
        <w:rPr>
          <w:rFonts w:ascii="Times New Roman" w:hAnsi="Times New Roman"/>
        </w:rPr>
      </w:pPr>
      <w:r w:rsidRPr="00ED2188">
        <w:rPr>
          <w:rFonts w:ascii="Times New Roman" w:hAnsi="Times New Roman"/>
        </w:rPr>
        <w:t>(c)</w:t>
      </w:r>
      <w:r w:rsidRPr="00ED2188">
        <w:rPr>
          <w:rFonts w:ascii="Times New Roman" w:hAnsi="Times New Roman"/>
        </w:rPr>
        <w:tab/>
        <w:t>the time at which the scheme was entered into and the length of the period during which the scheme was carried out;</w:t>
      </w:r>
    </w:p>
    <w:p w14:paraId="57AB76AC" w14:textId="77777777" w:rsidR="00A143F4" w:rsidRPr="00ED2188" w:rsidRDefault="00A143F4" w:rsidP="00ED2188">
      <w:pPr>
        <w:pStyle w:val="leftright"/>
        <w:spacing w:before="0" w:after="260" w:line="280" w:lineRule="exact"/>
        <w:ind w:left="1440" w:right="0" w:hanging="720"/>
        <w:jc w:val="both"/>
        <w:rPr>
          <w:rFonts w:ascii="Times New Roman" w:hAnsi="Times New Roman"/>
        </w:rPr>
      </w:pPr>
      <w:r w:rsidRPr="00ED2188">
        <w:rPr>
          <w:rFonts w:ascii="Times New Roman" w:hAnsi="Times New Roman"/>
        </w:rPr>
        <w:t>(d)</w:t>
      </w:r>
      <w:r w:rsidRPr="00ED2188">
        <w:rPr>
          <w:rFonts w:ascii="Times New Roman" w:hAnsi="Times New Roman"/>
        </w:rPr>
        <w:tab/>
        <w:t>the result in relation to the operation of this Act that, but for this Part, would be achieved by the scheme;</w:t>
      </w:r>
    </w:p>
    <w:p w14:paraId="67F47614" w14:textId="77777777" w:rsidR="00A143F4" w:rsidRPr="00ED2188" w:rsidRDefault="00A143F4" w:rsidP="00ED2188">
      <w:pPr>
        <w:pStyle w:val="leftright"/>
        <w:spacing w:before="0" w:after="260" w:line="280" w:lineRule="exact"/>
        <w:ind w:left="1440" w:right="0" w:hanging="720"/>
        <w:jc w:val="both"/>
        <w:rPr>
          <w:rFonts w:ascii="Times New Roman" w:hAnsi="Times New Roman"/>
        </w:rPr>
      </w:pPr>
      <w:r w:rsidRPr="00ED2188">
        <w:rPr>
          <w:rFonts w:ascii="Times New Roman" w:hAnsi="Times New Roman"/>
        </w:rPr>
        <w:t>(e)</w:t>
      </w:r>
      <w:r w:rsidRPr="00ED2188">
        <w:rPr>
          <w:rFonts w:ascii="Times New Roman" w:hAnsi="Times New Roman"/>
        </w:rPr>
        <w:tab/>
        <w:t>any change in the financial position of the relevant taxpayer that has resulted, will result, or may reasonably be expected to result, from the scheme;</w:t>
      </w:r>
    </w:p>
    <w:p w14:paraId="2862D60D" w14:textId="77777777" w:rsidR="00A143F4" w:rsidRPr="00ED2188" w:rsidRDefault="00A143F4" w:rsidP="00ED2188">
      <w:pPr>
        <w:pStyle w:val="leftright"/>
        <w:spacing w:before="0" w:after="260" w:line="280" w:lineRule="exact"/>
        <w:ind w:left="1440" w:right="0" w:hanging="720"/>
        <w:jc w:val="both"/>
        <w:rPr>
          <w:rFonts w:ascii="Times New Roman" w:hAnsi="Times New Roman"/>
        </w:rPr>
      </w:pPr>
      <w:r w:rsidRPr="00ED2188">
        <w:rPr>
          <w:rFonts w:ascii="Times New Roman" w:hAnsi="Times New Roman"/>
        </w:rPr>
        <w:t>(f)</w:t>
      </w:r>
      <w:r w:rsidRPr="00ED2188">
        <w:rPr>
          <w:rFonts w:ascii="Times New Roman" w:hAnsi="Times New Roman"/>
        </w:rPr>
        <w:tab/>
        <w:t>any change in the financial position of any person who has, or has had, any connection (whether of a business, family or other nature) with the relevant taxpayer, being a change that has resulted, will result or may reasonably be expected to result, from the scheme;</w:t>
      </w:r>
    </w:p>
    <w:p w14:paraId="72BA8311" w14:textId="77777777" w:rsidR="00A143F4" w:rsidRPr="00ED2188" w:rsidRDefault="00A143F4" w:rsidP="00ED2188">
      <w:pPr>
        <w:pStyle w:val="leftright"/>
        <w:spacing w:before="0" w:after="260" w:line="280" w:lineRule="exact"/>
        <w:ind w:left="1440" w:right="0" w:hanging="720"/>
        <w:jc w:val="both"/>
        <w:rPr>
          <w:rFonts w:ascii="Times New Roman" w:hAnsi="Times New Roman"/>
        </w:rPr>
      </w:pPr>
      <w:r w:rsidRPr="00ED2188">
        <w:rPr>
          <w:rFonts w:ascii="Times New Roman" w:hAnsi="Times New Roman"/>
        </w:rPr>
        <w:t>(g)</w:t>
      </w:r>
      <w:r w:rsidRPr="00ED2188">
        <w:rPr>
          <w:rFonts w:ascii="Times New Roman" w:hAnsi="Times New Roman"/>
        </w:rPr>
        <w:tab/>
        <w:t>any other consequence for the relevant taxpayer, or for any person referred to in paragraph (f), of the scheme having been entered into or carried out;</w:t>
      </w:r>
    </w:p>
    <w:p w14:paraId="784314EA" w14:textId="77777777" w:rsidR="00A143F4" w:rsidRDefault="00A143F4" w:rsidP="00ED2188">
      <w:pPr>
        <w:pStyle w:val="leftright"/>
        <w:spacing w:before="0" w:after="260" w:line="280" w:lineRule="exact"/>
        <w:ind w:left="1440" w:right="0" w:hanging="720"/>
        <w:jc w:val="both"/>
        <w:rPr>
          <w:rFonts w:ascii="Times New Roman" w:hAnsi="Times New Roman"/>
        </w:rPr>
      </w:pPr>
      <w:r w:rsidRPr="00ED2188">
        <w:rPr>
          <w:rFonts w:ascii="Times New Roman" w:hAnsi="Times New Roman"/>
        </w:rPr>
        <w:t>(h)</w:t>
      </w:r>
      <w:r w:rsidRPr="00ED2188">
        <w:rPr>
          <w:rFonts w:ascii="Times New Roman" w:hAnsi="Times New Roman"/>
        </w:rPr>
        <w:tab/>
        <w:t>the nature of any connection (whether of a business, family or other nature) between the relevant taxpayer and any person referred to in paragraph (f)."</w:t>
      </w:r>
    </w:p>
    <w:p w14:paraId="40864B05" w14:textId="77777777" w:rsidR="00A143F4" w:rsidRPr="00ED2188" w:rsidRDefault="00A143F4" w:rsidP="00ED2188">
      <w:pPr>
        <w:pStyle w:val="NormalBody"/>
        <w:spacing w:after="260" w:line="280" w:lineRule="exact"/>
        <w:ind w:right="0"/>
        <w:jc w:val="both"/>
        <w:rPr>
          <w:rFonts w:ascii="Times New Roman" w:hAnsi="Times New Roman"/>
          <w:b/>
          <w:bCs/>
        </w:rPr>
      </w:pPr>
      <w:r w:rsidRPr="00ED2188">
        <w:rPr>
          <w:rFonts w:ascii="Times New Roman" w:hAnsi="Times New Roman"/>
        </w:rPr>
        <w:t>Factors (a) and (b) were the focus of the parties' submissions.</w:t>
      </w:r>
    </w:p>
    <w:p w14:paraId="7AF8DBF3"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Unlike the other aspects of Pt IVA, the DPT provisions do not turn upon the Commissioner making a determination.</w:t>
      </w:r>
      <w:r w:rsidRPr="00ED2188">
        <w:rPr>
          <w:rStyle w:val="FootnoteReference"/>
          <w:rFonts w:ascii="Times New Roman" w:hAnsi="Times New Roman"/>
          <w:sz w:val="24"/>
        </w:rPr>
        <w:footnoteReference w:id="219"/>
      </w:r>
      <w:r w:rsidRPr="00ED2188">
        <w:rPr>
          <w:rFonts w:ascii="Times New Roman" w:hAnsi="Times New Roman"/>
        </w:rPr>
        <w:t xml:space="preserve"> Section 177N(a) provides that, if</w:t>
      </w:r>
      <w:r>
        <w:rPr>
          <w:rFonts w:ascii="Times New Roman" w:hAnsi="Times New Roman"/>
        </w:rPr>
        <w:t> </w:t>
      </w:r>
      <w:r w:rsidRPr="00ED2188">
        <w:rPr>
          <w:rFonts w:ascii="Times New Roman" w:hAnsi="Times New Roman"/>
        </w:rPr>
        <w:t>Pt IVA applies to a scheme because of s 177J, s 177P applies to the relevant taxpayer mentioned in s 177J.</w:t>
      </w:r>
      <w:r w:rsidRPr="00ED2188" w:rsidDel="00097FDA">
        <w:rPr>
          <w:rFonts w:ascii="Times New Roman" w:hAnsi="Times New Roman"/>
        </w:rPr>
        <w:t xml:space="preserve"> </w:t>
      </w:r>
      <w:r w:rsidRPr="00ED2188">
        <w:rPr>
          <w:rFonts w:ascii="Times New Roman" w:hAnsi="Times New Roman"/>
        </w:rPr>
        <w:t>Section 177P then creates the liability to pay the DPT at the rate declared by Parliament, namely 40 per</w:t>
      </w:r>
      <w:r w:rsidRPr="00ED2188">
        <w:rPr>
          <w:rStyle w:val="CommentReference"/>
          <w:rFonts w:ascii="Times New Roman" w:hAnsi="Times New Roman"/>
        </w:rPr>
        <w:t> </w:t>
      </w:r>
      <w:r w:rsidRPr="00ED2188">
        <w:rPr>
          <w:rFonts w:ascii="Times New Roman" w:hAnsi="Times New Roman"/>
        </w:rPr>
        <w:t>cent of the profit diverted.</w:t>
      </w:r>
      <w:r w:rsidRPr="00ED2188">
        <w:rPr>
          <w:rStyle w:val="FootnoteReference"/>
          <w:rFonts w:ascii="Times New Roman" w:hAnsi="Times New Roman"/>
          <w:sz w:val="24"/>
        </w:rPr>
        <w:footnoteReference w:id="220"/>
      </w:r>
    </w:p>
    <w:p w14:paraId="381AF103" w14:textId="77777777" w:rsidR="00A143F4" w:rsidRPr="00ED2188" w:rsidRDefault="00A143F4" w:rsidP="00ED2188">
      <w:pPr>
        <w:pStyle w:val="HeadingL2"/>
        <w:spacing w:after="260" w:line="280" w:lineRule="exact"/>
        <w:ind w:right="0"/>
        <w:jc w:val="both"/>
        <w:rPr>
          <w:rFonts w:ascii="Times New Roman" w:hAnsi="Times New Roman"/>
        </w:rPr>
      </w:pPr>
      <w:r w:rsidRPr="00ED2188">
        <w:rPr>
          <w:rFonts w:ascii="Times New Roman" w:hAnsi="Times New Roman"/>
        </w:rPr>
        <w:lastRenderedPageBreak/>
        <w:t>Scheme, alternative postulates and issues</w:t>
      </w:r>
    </w:p>
    <w:p w14:paraId="7C9CE41E"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The identified schemes for PepsiCo and SVC are relevantly identical. Consistent with the approach in the Full Federal Court, although these reasons should be understood to apply to both PepsiCo and SVC, for ease and unless otherwise specified this section of the reasons will be confined to the scheme alleged in the case of PepsiCo.</w:t>
      </w:r>
    </w:p>
    <w:p w14:paraId="29E83F8C"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The Commissioner's identified scheme was, in substance, entry by PepsiCo into the PepsiCo EBA with SAPL on terms where SAPL bought concentrate and was licensed to use the PepsiCo Intellectual Property but paid no royalty for the</w:t>
      </w:r>
      <w:r>
        <w:rPr>
          <w:rFonts w:ascii="Times New Roman" w:hAnsi="Times New Roman"/>
        </w:rPr>
        <w:t> </w:t>
      </w:r>
      <w:r w:rsidRPr="00ED2188">
        <w:rPr>
          <w:rFonts w:ascii="Times New Roman" w:hAnsi="Times New Roman"/>
        </w:rPr>
        <w:t>use of the PepsiCo Intellectual Property ("the Scheme"). There was no issue about the identification of the Scheme.</w:t>
      </w:r>
      <w:r w:rsidRPr="00ED2188">
        <w:rPr>
          <w:rStyle w:val="FootnoteReference"/>
          <w:rFonts w:ascii="Times New Roman" w:hAnsi="Times New Roman"/>
          <w:sz w:val="24"/>
        </w:rPr>
        <w:footnoteReference w:id="221"/>
      </w:r>
      <w:r w:rsidRPr="00ED2188">
        <w:rPr>
          <w:rFonts w:ascii="Times New Roman" w:hAnsi="Times New Roman"/>
        </w:rPr>
        <w:t xml:space="preserve"> </w:t>
      </w:r>
    </w:p>
    <w:p w14:paraId="4DDAA005"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b/>
          <w:bCs/>
        </w:rPr>
        <w:tab/>
      </w:r>
      <w:r w:rsidRPr="00ED2188">
        <w:rPr>
          <w:rFonts w:ascii="Times New Roman" w:hAnsi="Times New Roman"/>
        </w:rPr>
        <w:t>The Commissioner's case was that, had the Scheme not been entered into or carried out, there were two alternative postulates. The first alternative postulate was that the PepsiCo EBA would or might reasonably be expected to have expressed the payments by SAPL to be for all the property provided by and promises made by the PepsiCo Group entities rather than for concentrate only. The</w:t>
      </w:r>
      <w:r>
        <w:rPr>
          <w:rFonts w:ascii="Times New Roman" w:hAnsi="Times New Roman"/>
        </w:rPr>
        <w:t> </w:t>
      </w:r>
      <w:r w:rsidRPr="00ED2188">
        <w:rPr>
          <w:rFonts w:ascii="Times New Roman" w:hAnsi="Times New Roman"/>
        </w:rPr>
        <w:t>second alternative postulate was that the PepsiCo EBA would or might reasonably be expected to have expressly provided for the payment by SAPL for the concentrate to include a royalty for the provision to SAPL of the PepsiCo Intellectual Property. On either basis, the Commissioner contended that a royalty would or might reasonably be expected to have been paid by SAPL to PepsiCo or to another entity on PepsiCo's behalf, or as PepsiCo directed. PepsiCo contended that neither postulate was reasonable within the meaning of s 177CB(3).</w:t>
      </w:r>
    </w:p>
    <w:p w14:paraId="5739C891"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There were two issues: whether PepsiCo obtained a tax benefit in connection with the Scheme for the purposes of s 177J(1)(a) of the ITAA 1936, and, if so, whether it would be concluded, having regard to the matters in s 177J(2), that the person, or one of the persons, who entered into or carried out the Scheme or any part of the Scheme did so for the principal purpose, or for more than one principal purpose that includes a purpose, of enabling PepsiCo to obtain a tax benefit, or both to obtain a tax benefit and to reduce PepsiCo's liability to tax under a foreign law, in connection with the Scheme.</w:t>
      </w:r>
    </w:p>
    <w:p w14:paraId="5ED039F7" w14:textId="77777777" w:rsidR="00A143F4" w:rsidRPr="00ED2188" w:rsidRDefault="00A143F4" w:rsidP="00ED2188">
      <w:pPr>
        <w:pStyle w:val="HeadingL2"/>
        <w:spacing w:after="260" w:line="280" w:lineRule="exact"/>
        <w:ind w:right="0"/>
        <w:jc w:val="both"/>
        <w:rPr>
          <w:rFonts w:ascii="Times New Roman" w:hAnsi="Times New Roman"/>
        </w:rPr>
      </w:pPr>
      <w:r w:rsidRPr="00ED2188">
        <w:rPr>
          <w:rFonts w:ascii="Times New Roman" w:hAnsi="Times New Roman"/>
        </w:rPr>
        <w:t>Decisions below</w:t>
      </w:r>
    </w:p>
    <w:p w14:paraId="754CAA05"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 xml:space="preserve">The primary judge held that it was reasonable to expect that, but for the Scheme, PepsiCo would have been liable to pay royalty withholding tax. </w:t>
      </w:r>
      <w:r w:rsidRPr="00ED2188">
        <w:rPr>
          <w:rFonts w:ascii="Times New Roman" w:hAnsi="Times New Roman"/>
        </w:rPr>
        <w:lastRenderedPageBreak/>
        <w:t>His Honour considered that each of the Commissioner's alternative postulates was reasonable for a number of reasons. First, the substance of each postulate was the</w:t>
      </w:r>
      <w:r>
        <w:rPr>
          <w:rFonts w:ascii="Times New Roman" w:hAnsi="Times New Roman"/>
        </w:rPr>
        <w:t> </w:t>
      </w:r>
      <w:r w:rsidRPr="00ED2188">
        <w:rPr>
          <w:rFonts w:ascii="Times New Roman" w:hAnsi="Times New Roman"/>
        </w:rPr>
        <w:t>same as the substance of the PepsiCo EBA. Second, the financial and other consequences for PepsiCo under the postulates were comparable to those resulting from the PepsiCo EBA. Third, given the importance of using the brands for SAPL's business, an alternative that provided more clearly for the payment of a royalty as consideration for the use of the PepsiCo Intellectual Property was reasonable. Much of this reasoning was premised on his Honour's view that the PepsiCo EBA in fact required the payment of a royalty.</w:t>
      </w:r>
    </w:p>
    <w:p w14:paraId="1923743C"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 xml:space="preserve">In assessing the principal purpose of PepsiCo in entering into and carrying out the Scheme, the primary judge considered </w:t>
      </w:r>
      <w:r w:rsidRPr="00ED2188" w:rsidDel="001C4952">
        <w:rPr>
          <w:rFonts w:ascii="Times New Roman" w:hAnsi="Times New Roman"/>
        </w:rPr>
        <w:t xml:space="preserve">that </w:t>
      </w:r>
      <w:r w:rsidRPr="00ED2188">
        <w:rPr>
          <w:rFonts w:ascii="Times New Roman" w:hAnsi="Times New Roman"/>
        </w:rPr>
        <w:t>the expression "principal</w:t>
      </w:r>
      <w:r>
        <w:rPr>
          <w:rFonts w:ascii="Times New Roman" w:hAnsi="Times New Roman"/>
        </w:rPr>
        <w:t> </w:t>
      </w:r>
      <w:r w:rsidRPr="00ED2188">
        <w:rPr>
          <w:rFonts w:ascii="Times New Roman" w:hAnsi="Times New Roman"/>
        </w:rPr>
        <w:t>purpose" in s 177J(1)(b) referred to a purpose that is a prominent, leading or main purpose and noted also that there can be more than one such purpose. Neither party disagreed with this. It is also unnecessary to set out his Honour's analysis of each of the factors under s 177D(2). Suffice to say, some</w:t>
      </w:r>
      <w:r>
        <w:rPr>
          <w:rFonts w:ascii="Times New Roman" w:hAnsi="Times New Roman"/>
        </w:rPr>
        <w:t> </w:t>
      </w:r>
      <w:r w:rsidRPr="00ED2188">
        <w:rPr>
          <w:rFonts w:ascii="Times New Roman" w:hAnsi="Times New Roman"/>
        </w:rPr>
        <w:t>favoured PepsiCo</w:t>
      </w:r>
      <w:r w:rsidRPr="00ED2188" w:rsidDel="0087652A">
        <w:rPr>
          <w:rFonts w:ascii="Times New Roman" w:hAnsi="Times New Roman"/>
        </w:rPr>
        <w:t>,</w:t>
      </w:r>
      <w:r w:rsidRPr="00ED2188">
        <w:rPr>
          <w:rFonts w:ascii="Times New Roman" w:hAnsi="Times New Roman"/>
        </w:rPr>
        <w:t xml:space="preserve"> some favoured the Commissioner and yet others were characterised as "neutral". The primary judge reasoned that, in the absence of evidence detailing why the pricing structure was adopted by the parties in 2009, it</w:t>
      </w:r>
      <w:r>
        <w:rPr>
          <w:rFonts w:ascii="Times New Roman" w:hAnsi="Times New Roman"/>
        </w:rPr>
        <w:t> </w:t>
      </w:r>
      <w:r w:rsidRPr="00ED2188">
        <w:rPr>
          <w:rFonts w:ascii="Times New Roman" w:hAnsi="Times New Roman"/>
        </w:rPr>
        <w:t>"would not be safe to assume that tax considerations did not have a role to play". What role they played, and whether they were Australian or American tax considerations, was not set out.</w:t>
      </w:r>
    </w:p>
    <w:p w14:paraId="002EE35D"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The primary judge took into account, as required by s 177J(2)(c), the result, in relation to the operation of any foreign law relating to taxation, that (but for Pt IVA) would be achieved by the Scheme. In that respect, PepsiCo conceded that the Scheme achieved a reduction in the amount of income tax payable in the United States by PepsiCo arising from the non</w:t>
      </w:r>
      <w:r w:rsidRPr="00ED2188">
        <w:rPr>
          <w:rFonts w:ascii="Times New Roman" w:hAnsi="Times New Roman"/>
        </w:rPr>
        <w:noBreakHyphen/>
        <w:t>derivation in that country of royalty income. The primary judge found that this supported the Commissioner's contentions concerning purpose.</w:t>
      </w:r>
      <w:r w:rsidRPr="00ED2188">
        <w:rPr>
          <w:rFonts w:ascii="Times New Roman" w:hAnsi="Times New Roman"/>
          <w:b/>
          <w:bCs/>
        </w:rPr>
        <w:t xml:space="preserve"> </w:t>
      </w:r>
      <w:r w:rsidRPr="00ED2188">
        <w:rPr>
          <w:rFonts w:ascii="Times New Roman" w:hAnsi="Times New Roman"/>
        </w:rPr>
        <w:t>The primary judge ultimately concluded that the</w:t>
      </w:r>
      <w:r>
        <w:rPr>
          <w:rFonts w:ascii="Times New Roman" w:hAnsi="Times New Roman"/>
        </w:rPr>
        <w:t> </w:t>
      </w:r>
      <w:r w:rsidRPr="00ED2188">
        <w:rPr>
          <w:rFonts w:ascii="Times New Roman" w:hAnsi="Times New Roman"/>
        </w:rPr>
        <w:t>terms of the PepsiCo EBA were "contrived" because "payments that [were] ostensibly for concentrate alone [were] in substance for both concentrate and the</w:t>
      </w:r>
      <w:r>
        <w:rPr>
          <w:rFonts w:ascii="Times New Roman" w:hAnsi="Times New Roman"/>
        </w:rPr>
        <w:t> </w:t>
      </w:r>
      <w:r w:rsidRPr="00ED2188">
        <w:rPr>
          <w:rFonts w:ascii="Times New Roman" w:hAnsi="Times New Roman"/>
        </w:rPr>
        <w:t>licence of valuable intellectual property".</w:t>
      </w:r>
      <w:r w:rsidRPr="00ED2188">
        <w:rPr>
          <w:rFonts w:ascii="Times New Roman" w:hAnsi="Times New Roman"/>
          <w:b/>
          <w:bCs/>
        </w:rPr>
        <w:t xml:space="preserve"> </w:t>
      </w:r>
      <w:r w:rsidRPr="00ED2188">
        <w:rPr>
          <w:rFonts w:ascii="Times New Roman" w:hAnsi="Times New Roman"/>
        </w:rPr>
        <w:t>That conclusion could only have been reached on the assumption that the primary judge's earlier conclusion concerning the actual substance of the PepsiCo EBA was correct. As we have seen, it was not.</w:t>
      </w:r>
    </w:p>
    <w:p w14:paraId="21D517CA"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The majority of the Full Federal Court found that the Scheme had been entered into and carried out for the principal purpose of obtaining the tax benefit identified by the primary judge, but nonetheless held that PepsiCo had discharged its onus of demonstrating that it had not obtained any tax benefit. Critical to the</w:t>
      </w:r>
      <w:r>
        <w:rPr>
          <w:rFonts w:ascii="Times New Roman" w:hAnsi="Times New Roman"/>
        </w:rPr>
        <w:t> </w:t>
      </w:r>
      <w:r w:rsidRPr="00ED2188">
        <w:rPr>
          <w:rFonts w:ascii="Times New Roman" w:hAnsi="Times New Roman"/>
        </w:rPr>
        <w:t xml:space="preserve">reasoning of the majority was that the commercial and economic substance of the Scheme was "that the price agreed for concentrate was for concentrate". </w:t>
      </w:r>
      <w:r w:rsidRPr="00ED2188">
        <w:rPr>
          <w:rFonts w:ascii="Times New Roman" w:hAnsi="Times New Roman"/>
        </w:rPr>
        <w:lastRenderedPageBreak/>
        <w:t>That</w:t>
      </w:r>
      <w:r>
        <w:rPr>
          <w:rFonts w:ascii="Times New Roman" w:hAnsi="Times New Roman"/>
        </w:rPr>
        <w:t> </w:t>
      </w:r>
      <w:r w:rsidRPr="00ED2188">
        <w:rPr>
          <w:rFonts w:ascii="Times New Roman" w:hAnsi="Times New Roman"/>
        </w:rPr>
        <w:t>differed from the substance of the two alternative postulates relied upon by the</w:t>
      </w:r>
      <w:r>
        <w:rPr>
          <w:rFonts w:ascii="Times New Roman" w:hAnsi="Times New Roman"/>
        </w:rPr>
        <w:t> </w:t>
      </w:r>
      <w:r w:rsidRPr="00ED2188">
        <w:rPr>
          <w:rFonts w:ascii="Times New Roman" w:hAnsi="Times New Roman"/>
        </w:rPr>
        <w:t>Commissioner, where part of what SAPL might reasonably have been expected to have paid would have been a royalty. It was observed that notable features of these alternatives were that they eschewed either identifying the actual price of the</w:t>
      </w:r>
      <w:r>
        <w:rPr>
          <w:rFonts w:ascii="Times New Roman" w:hAnsi="Times New Roman"/>
        </w:rPr>
        <w:t> </w:t>
      </w:r>
      <w:r w:rsidRPr="00ED2188">
        <w:rPr>
          <w:rFonts w:ascii="Times New Roman" w:hAnsi="Times New Roman"/>
        </w:rPr>
        <w:t>concentrate or advancing an element from which it might be inferred that the</w:t>
      </w:r>
      <w:r>
        <w:rPr>
          <w:rFonts w:ascii="Times New Roman" w:hAnsi="Times New Roman"/>
        </w:rPr>
        <w:t> </w:t>
      </w:r>
      <w:r w:rsidRPr="00ED2188">
        <w:rPr>
          <w:rFonts w:ascii="Times New Roman" w:hAnsi="Times New Roman"/>
        </w:rPr>
        <w:t>concentrate price reflected the value of a licence to use the PepsiCo Intellectual Property. In those</w:t>
      </w:r>
      <w:r w:rsidRPr="00ED2188" w:rsidDel="007C073C">
        <w:rPr>
          <w:rFonts w:ascii="Times New Roman" w:hAnsi="Times New Roman"/>
        </w:rPr>
        <w:t xml:space="preserve"> </w:t>
      </w:r>
      <w:r w:rsidRPr="00ED2188">
        <w:rPr>
          <w:rFonts w:ascii="Times New Roman" w:hAnsi="Times New Roman"/>
        </w:rPr>
        <w:t>circumstances, the majority decided that the Commissioner's postulates were not reasonable, in the sense required by s 177CB(3), and that PepsiCo</w:t>
      </w:r>
      <w:r w:rsidRPr="00ED2188" w:rsidDel="007C073C">
        <w:rPr>
          <w:rFonts w:ascii="Times New Roman" w:hAnsi="Times New Roman"/>
        </w:rPr>
        <w:t xml:space="preserve"> </w:t>
      </w:r>
      <w:r w:rsidRPr="00ED2188">
        <w:rPr>
          <w:rFonts w:ascii="Times New Roman" w:hAnsi="Times New Roman"/>
        </w:rPr>
        <w:t xml:space="preserve">had discharged its onus of showing that no reasonable alternative postulate existed which conformed to the commercial substance of the Scheme identified by the Commissioner. </w:t>
      </w:r>
    </w:p>
    <w:p w14:paraId="06FE7249"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On the question of purpose, the majority considered that it did not warrant "overly close attention"</w:t>
      </w:r>
      <w:r w:rsidRPr="00ED2188">
        <w:rPr>
          <w:rFonts w:ascii="Times New Roman" w:hAnsi="Times New Roman"/>
          <w:b/>
          <w:bCs/>
        </w:rPr>
        <w:t xml:space="preserve"> </w:t>
      </w:r>
      <w:r w:rsidRPr="00ED2188">
        <w:rPr>
          <w:rFonts w:ascii="Times New Roman" w:hAnsi="Times New Roman"/>
        </w:rPr>
        <w:t>because that part of the primary judge's reasons was not dispositive and because the assumptions that needed to be made in order to permit the issue to be examined were "somewhat artificial", namely that the alternative postulates to the Scheme were reasonable and that as a matter of commercial and economic substance the payments made by SAPL included a royalty for the use of the PepsiCo Intellectual Property. Having made those assumptions, however, the</w:t>
      </w:r>
      <w:r>
        <w:rPr>
          <w:rFonts w:ascii="Times New Roman" w:hAnsi="Times New Roman"/>
        </w:rPr>
        <w:t> </w:t>
      </w:r>
      <w:r w:rsidRPr="00ED2188">
        <w:rPr>
          <w:rFonts w:ascii="Times New Roman" w:hAnsi="Times New Roman"/>
        </w:rPr>
        <w:t>majority would have reached the same conclusion as the primary judge and affirmatively answered the question posed by s 177J(1)(b)(i) on the basis that PepsiCo had the purpose of obtaining a tax benefit and also of obtaining a reduction in its liability to tax in the United States.</w:t>
      </w:r>
    </w:p>
    <w:p w14:paraId="6A730A79" w14:textId="77777777" w:rsidR="00A143F4" w:rsidRPr="00ED2188" w:rsidRDefault="00A143F4" w:rsidP="00ED2188">
      <w:pPr>
        <w:pStyle w:val="HeadingL2"/>
        <w:spacing w:after="260" w:line="280" w:lineRule="exact"/>
        <w:ind w:right="0"/>
        <w:jc w:val="both"/>
        <w:rPr>
          <w:rFonts w:ascii="Times New Roman" w:hAnsi="Times New Roman"/>
        </w:rPr>
      </w:pPr>
      <w:r w:rsidRPr="00ED2188">
        <w:rPr>
          <w:rFonts w:ascii="Times New Roman" w:hAnsi="Times New Roman"/>
        </w:rPr>
        <w:t>Issues on appeal</w:t>
      </w:r>
    </w:p>
    <w:p w14:paraId="5A65A763"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The two issues in this Court were: (1) did PepsiCo obtain a "DPT tax benefit" in connection with a scheme within the meaning of s 177J(1)(a); and</w:t>
      </w:r>
      <w:r>
        <w:rPr>
          <w:rFonts w:ascii="Times New Roman" w:hAnsi="Times New Roman"/>
        </w:rPr>
        <w:t> </w:t>
      </w:r>
      <w:r w:rsidRPr="00ED2188">
        <w:rPr>
          <w:rFonts w:ascii="Times New Roman" w:hAnsi="Times New Roman"/>
        </w:rPr>
        <w:t>(2)</w:t>
      </w:r>
      <w:r>
        <w:rPr>
          <w:rFonts w:ascii="Times New Roman" w:hAnsi="Times New Roman"/>
        </w:rPr>
        <w:t> </w:t>
      </w:r>
      <w:r w:rsidRPr="00ED2188">
        <w:rPr>
          <w:rFonts w:ascii="Times New Roman" w:hAnsi="Times New Roman"/>
        </w:rPr>
        <w:t>even if PepsiCo obtained a tax benefit, was the condition in s 177J(1)(b) regarding "principal purpose" satisfied in relation to the scheme in the relevant year of income? The Commissioner's case fails at the first question – PepsiCo did not obtain a tax benefit in connection with the Scheme.</w:t>
      </w:r>
    </w:p>
    <w:p w14:paraId="08D35C3B" w14:textId="77777777" w:rsidR="00A143F4" w:rsidRPr="00ED2188" w:rsidRDefault="00A143F4" w:rsidP="00ED2188">
      <w:pPr>
        <w:pStyle w:val="HeadingL2"/>
        <w:spacing w:after="260" w:line="280" w:lineRule="exact"/>
        <w:ind w:right="0"/>
        <w:jc w:val="both"/>
        <w:rPr>
          <w:rFonts w:ascii="Times New Roman" w:hAnsi="Times New Roman"/>
        </w:rPr>
      </w:pPr>
      <w:r w:rsidRPr="00ED2188">
        <w:rPr>
          <w:rFonts w:ascii="Times New Roman" w:hAnsi="Times New Roman"/>
        </w:rPr>
        <w:t>Tax benefit</w:t>
      </w:r>
    </w:p>
    <w:p w14:paraId="2F86000D"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r>
      <w:bookmarkStart w:id="2" w:name="_Ref193732492"/>
      <w:r w:rsidRPr="00ED2188">
        <w:rPr>
          <w:rFonts w:ascii="Times New Roman" w:hAnsi="Times New Roman"/>
        </w:rPr>
        <w:t>Whether there is a "tax benefit" in connection with a scheme is to be established as an objective fact.</w:t>
      </w:r>
      <w:r w:rsidRPr="00ED2188">
        <w:rPr>
          <w:rStyle w:val="FootnoteReference"/>
          <w:rFonts w:ascii="Times New Roman" w:hAnsi="Times New Roman"/>
          <w:sz w:val="24"/>
        </w:rPr>
        <w:footnoteReference w:id="222"/>
      </w:r>
      <w:r w:rsidRPr="00ED2188">
        <w:rPr>
          <w:rFonts w:ascii="Times New Roman" w:hAnsi="Times New Roman"/>
        </w:rPr>
        <w:t xml:space="preserve"> The inquiry directed by Pt IVA requires a </w:t>
      </w:r>
      <w:r w:rsidRPr="00ED2188">
        <w:rPr>
          <w:rFonts w:ascii="Times New Roman" w:hAnsi="Times New Roman"/>
        </w:rPr>
        <w:lastRenderedPageBreak/>
        <w:t>comparison between the scheme and an alternative postulate.</w:t>
      </w:r>
      <w:r w:rsidRPr="00ED2188">
        <w:rPr>
          <w:rStyle w:val="FootnoteReference"/>
          <w:rFonts w:ascii="Times New Roman" w:hAnsi="Times New Roman"/>
          <w:sz w:val="24"/>
        </w:rPr>
        <w:footnoteReference w:id="223"/>
      </w:r>
      <w:r w:rsidRPr="00ED2188">
        <w:rPr>
          <w:rFonts w:ascii="Times New Roman" w:hAnsi="Times New Roman"/>
        </w:rPr>
        <w:t xml:space="preserve"> Courts must be careful to avoid the false dichotomy between a rational commercial decision and obtaining a tax benefit.</w:t>
      </w:r>
      <w:r w:rsidRPr="00ED2188">
        <w:rPr>
          <w:rStyle w:val="FootnoteReference"/>
          <w:rFonts w:ascii="Times New Roman" w:hAnsi="Times New Roman"/>
          <w:sz w:val="24"/>
        </w:rPr>
        <w:footnoteReference w:id="224"/>
      </w:r>
      <w:bookmarkEnd w:id="2"/>
      <w:r w:rsidRPr="00ED2188">
        <w:rPr>
          <w:rFonts w:ascii="Times New Roman" w:hAnsi="Times New Roman"/>
        </w:rPr>
        <w:t xml:space="preserve"> As the inquiry involves events and circumstances that did not actually happen, "[a] decision that a tax effect might reasonably be expected to have occurred if the scheme had not been entered into or carried out must be based on a postulate that is a reasonable alternative to entering into or carrying out the</w:t>
      </w:r>
      <w:r>
        <w:rPr>
          <w:rFonts w:ascii="Times New Roman" w:hAnsi="Times New Roman"/>
        </w:rPr>
        <w:t> </w:t>
      </w:r>
      <w:r w:rsidRPr="00ED2188">
        <w:rPr>
          <w:rFonts w:ascii="Times New Roman" w:hAnsi="Times New Roman"/>
        </w:rPr>
        <w:t>scheme".</w:t>
      </w:r>
      <w:r w:rsidRPr="00ED2188">
        <w:rPr>
          <w:rStyle w:val="FootnoteReference"/>
          <w:rFonts w:ascii="Times New Roman" w:hAnsi="Times New Roman"/>
          <w:sz w:val="24"/>
        </w:rPr>
        <w:footnoteReference w:id="225"/>
      </w:r>
    </w:p>
    <w:p w14:paraId="42BCCA8A" w14:textId="77777777" w:rsidR="00A143F4" w:rsidRPr="00ED2188" w:rsidRDefault="00A143F4" w:rsidP="00ED2188">
      <w:pPr>
        <w:pStyle w:val="HeadingL3"/>
        <w:spacing w:after="260" w:line="280" w:lineRule="exact"/>
        <w:ind w:right="0"/>
        <w:jc w:val="both"/>
        <w:rPr>
          <w:rFonts w:ascii="Times New Roman" w:hAnsi="Times New Roman"/>
        </w:rPr>
      </w:pPr>
      <w:r w:rsidRPr="00ED2188">
        <w:rPr>
          <w:rFonts w:ascii="Times New Roman" w:hAnsi="Times New Roman"/>
        </w:rPr>
        <w:t>Onus</w:t>
      </w:r>
    </w:p>
    <w:p w14:paraId="5FB2E579"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b/>
          <w:bCs/>
        </w:rPr>
        <w:tab/>
      </w:r>
      <w:r w:rsidRPr="00ED2188">
        <w:rPr>
          <w:rFonts w:ascii="Times New Roman" w:hAnsi="Times New Roman"/>
        </w:rPr>
        <w:t>The majority of the Full Federal Court correctly understood that PepsiCo at all times bore the onus of proving that it had not obtained a tax benefit in connection with the Scheme. As their Honours observed:</w:t>
      </w:r>
    </w:p>
    <w:p w14:paraId="6D1A4EE3" w14:textId="77777777" w:rsidR="00A143F4" w:rsidRDefault="00A143F4" w:rsidP="00ED2188">
      <w:pPr>
        <w:pStyle w:val="LeftrightafterHC"/>
        <w:spacing w:before="0" w:after="260" w:line="280" w:lineRule="exact"/>
        <w:ind w:right="0"/>
        <w:jc w:val="both"/>
        <w:rPr>
          <w:rFonts w:ascii="Times New Roman" w:hAnsi="Times New Roman"/>
        </w:rPr>
      </w:pPr>
      <w:r w:rsidRPr="00ED2188">
        <w:rPr>
          <w:rFonts w:ascii="Times New Roman" w:hAnsi="Times New Roman"/>
        </w:rPr>
        <w:tab/>
        <w:t>"Whilst the Commissioner identifies two postulates which he says are reasonable alternatives to the entry into or carrying out by PepsiCo of the scheme, the question in this Court is not whether the postulates he suggests are unreasonable. In review proceedings of the present kind, it is the taxpayer which bears the burden of proving that the assessments are excessive ... Proving that the Commissioner's postulates are unreasonable does not in itself discharge that burden."</w:t>
      </w:r>
    </w:p>
    <w:p w14:paraId="255144F1" w14:textId="77777777" w:rsidR="00A143F4" w:rsidRPr="00ED2188" w:rsidRDefault="00A143F4" w:rsidP="00ED2188">
      <w:pPr>
        <w:pStyle w:val="NormalBody"/>
        <w:spacing w:after="260" w:line="280" w:lineRule="exact"/>
        <w:ind w:right="0"/>
        <w:jc w:val="both"/>
        <w:rPr>
          <w:rFonts w:ascii="Times New Roman" w:hAnsi="Times New Roman"/>
          <w:b/>
          <w:bCs/>
        </w:rPr>
      </w:pPr>
      <w:r w:rsidRPr="00ED2188">
        <w:rPr>
          <w:rFonts w:ascii="Times New Roman" w:hAnsi="Times New Roman"/>
        </w:rPr>
        <w:t>The question, however,</w:t>
      </w:r>
      <w:r w:rsidRPr="00ED2188" w:rsidDel="00D5632F">
        <w:rPr>
          <w:rFonts w:ascii="Times New Roman" w:hAnsi="Times New Roman"/>
        </w:rPr>
        <w:t xml:space="preserve"> </w:t>
      </w:r>
      <w:r w:rsidRPr="00ED2188">
        <w:rPr>
          <w:rFonts w:ascii="Times New Roman" w:hAnsi="Times New Roman"/>
        </w:rPr>
        <w:t xml:space="preserve">is what a taxpayer must do to discharge the onus, cast upon it by s 14ZZO of the </w:t>
      </w:r>
      <w:r w:rsidRPr="00ED2188">
        <w:rPr>
          <w:rFonts w:ascii="Times New Roman" w:hAnsi="Times New Roman"/>
          <w:i/>
          <w:iCs/>
        </w:rPr>
        <w:t>Taxation Administration Act 1953</w:t>
      </w:r>
      <w:r w:rsidRPr="00ED2188">
        <w:rPr>
          <w:rFonts w:ascii="Times New Roman" w:hAnsi="Times New Roman"/>
        </w:rPr>
        <w:t xml:space="preserve"> (Cth) ("the TAA"), of</w:t>
      </w:r>
      <w:r>
        <w:rPr>
          <w:rFonts w:ascii="Times New Roman" w:hAnsi="Times New Roman"/>
        </w:rPr>
        <w:t> </w:t>
      </w:r>
      <w:r w:rsidRPr="00ED2188">
        <w:rPr>
          <w:rFonts w:ascii="Times New Roman" w:hAnsi="Times New Roman"/>
        </w:rPr>
        <w:t xml:space="preserve">demonstrating that it did not obtain a tax benefit in connection with the scheme. The Commissioner contended that, to discharge that onus, PepsiCo had to prove the existence of an alternative postulate in which it was </w:t>
      </w:r>
      <w:r w:rsidRPr="00ED2188">
        <w:rPr>
          <w:rFonts w:ascii="Times New Roman" w:hAnsi="Times New Roman"/>
          <w:i/>
        </w:rPr>
        <w:t>not</w:t>
      </w:r>
      <w:r w:rsidRPr="00ED2188">
        <w:rPr>
          <w:rFonts w:ascii="Times New Roman" w:hAnsi="Times New Roman"/>
        </w:rPr>
        <w:t xml:space="preserve"> liable to pay royalty withholding tax, and that this postulate had to be reasonable in the sense required by s 177CB(3). It was not sufficient, the Commissioner submitted, for PepsiCo merely to demonstrate that the Commissioner's alternative postulates were not reasonable.</w:t>
      </w:r>
    </w:p>
    <w:p w14:paraId="39CE8960"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lastRenderedPageBreak/>
        <w:tab/>
        <w:t>The Commissioner submitted that the majority of the Full Federal Court misidentified the operation of the onus of proof imposed by s 14ZZO of the TAA in the event that no reasonable alternative to a scheme could be identified on the</w:t>
      </w:r>
      <w:r>
        <w:rPr>
          <w:rFonts w:ascii="Times New Roman" w:hAnsi="Times New Roman"/>
        </w:rPr>
        <w:t> </w:t>
      </w:r>
      <w:r w:rsidRPr="00ED2188">
        <w:rPr>
          <w:rFonts w:ascii="Times New Roman" w:hAnsi="Times New Roman"/>
        </w:rPr>
        <w:t>evidence before the Court. The Commissioner submitted that the majority of the Full Federal Court erred in finding that a taxpayer could discharge the onus by showing that no reasonable postulate existed.</w:t>
      </w:r>
      <w:r w:rsidRPr="00ED2188">
        <w:rPr>
          <w:rFonts w:ascii="Times New Roman" w:hAnsi="Times New Roman"/>
          <w:b/>
          <w:bCs/>
        </w:rPr>
        <w:t xml:space="preserve"> </w:t>
      </w:r>
      <w:r w:rsidRPr="00ED2188">
        <w:rPr>
          <w:rFonts w:ascii="Times New Roman" w:hAnsi="Times New Roman"/>
        </w:rPr>
        <w:t xml:space="preserve">That submission should not be accepted, having regard to both the text of s 177CB(3) and authority. </w:t>
      </w:r>
    </w:p>
    <w:p w14:paraId="4378E7B7"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 xml:space="preserve">The use of the word "must" in s 177CB(3), namely that "[a] decision that a tax effect might reasonably be expected to have occurred if the scheme had not been entered into or carried out </w:t>
      </w:r>
      <w:r w:rsidRPr="00ED2188">
        <w:rPr>
          <w:rFonts w:ascii="Times New Roman" w:hAnsi="Times New Roman"/>
          <w:i/>
          <w:iCs/>
        </w:rPr>
        <w:t>must</w:t>
      </w:r>
      <w:r w:rsidRPr="00ED2188">
        <w:rPr>
          <w:rFonts w:ascii="Times New Roman" w:hAnsi="Times New Roman"/>
        </w:rPr>
        <w:t xml:space="preserve"> be based on a postulate that is a reasonable alternative to entering into or carrying out the scheme",</w:t>
      </w:r>
      <w:r w:rsidRPr="00ED2188">
        <w:rPr>
          <w:rStyle w:val="FootnoteReference"/>
          <w:rFonts w:ascii="Times New Roman" w:hAnsi="Times New Roman"/>
          <w:sz w:val="24"/>
        </w:rPr>
        <w:footnoteReference w:id="226"/>
      </w:r>
      <w:r w:rsidRPr="00ED2188">
        <w:rPr>
          <w:rFonts w:ascii="Times New Roman" w:hAnsi="Times New Roman"/>
        </w:rPr>
        <w:t xml:space="preserve"> mandates that there cannot be a tax benefit if there is no postulate that is a reasonable alternative to a scheme. Put another way, reaching a decision that a "tax effect" in s 177C(1)(bc) might reasonably be expected to have occurred if the scheme had not been entered into or carried out "must" be based and only based on a postulate or postulates that is or are "reasonable". If none exist, no relevant "tax effect" can be demonstrated.</w:t>
      </w:r>
    </w:p>
    <w:p w14:paraId="105E2808"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 xml:space="preserve">The Commissioner also relied upon a number of authorities, including </w:t>
      </w:r>
      <w:r w:rsidRPr="00ED2188">
        <w:rPr>
          <w:rFonts w:ascii="Times New Roman" w:hAnsi="Times New Roman"/>
          <w:i/>
          <w:iCs/>
        </w:rPr>
        <w:t>Federal Commissioner of Taxation v Trail Bros Steel &amp; Plastics Pty Ltd</w:t>
      </w:r>
      <w:r w:rsidRPr="00ED2188">
        <w:rPr>
          <w:rFonts w:ascii="Times New Roman" w:hAnsi="Times New Roman"/>
        </w:rPr>
        <w:t>,</w:t>
      </w:r>
      <w:r w:rsidRPr="00ED2188">
        <w:rPr>
          <w:rStyle w:val="FootnoteReference"/>
          <w:rFonts w:ascii="Times New Roman" w:hAnsi="Times New Roman"/>
          <w:sz w:val="24"/>
        </w:rPr>
        <w:footnoteReference w:id="227"/>
      </w:r>
      <w:r w:rsidRPr="00ED2188">
        <w:rPr>
          <w:rFonts w:ascii="Times New Roman" w:hAnsi="Times New Roman"/>
        </w:rPr>
        <w:t xml:space="preserve"> </w:t>
      </w:r>
      <w:r w:rsidRPr="00ED2188">
        <w:rPr>
          <w:rFonts w:ascii="Times New Roman" w:hAnsi="Times New Roman"/>
          <w:i/>
          <w:iCs/>
        </w:rPr>
        <w:t>RCI Pty Ltd v Federal Commissioner of Taxation</w:t>
      </w:r>
      <w:r w:rsidRPr="00ED2188">
        <w:rPr>
          <w:rFonts w:ascii="Times New Roman" w:hAnsi="Times New Roman"/>
        </w:rPr>
        <w:t>,</w:t>
      </w:r>
      <w:r w:rsidRPr="00ED2188">
        <w:rPr>
          <w:rStyle w:val="FootnoteReference"/>
          <w:rFonts w:ascii="Times New Roman" w:hAnsi="Times New Roman"/>
          <w:sz w:val="24"/>
        </w:rPr>
        <w:footnoteReference w:id="228"/>
      </w:r>
      <w:r w:rsidRPr="00ED2188">
        <w:rPr>
          <w:rFonts w:ascii="Times New Roman" w:hAnsi="Times New Roman"/>
        </w:rPr>
        <w:t xml:space="preserve"> and the more recent decision in </w:t>
      </w:r>
      <w:r w:rsidRPr="00ED2188">
        <w:rPr>
          <w:rFonts w:ascii="Times New Roman" w:hAnsi="Times New Roman"/>
          <w:i/>
          <w:iCs/>
        </w:rPr>
        <w:t>Federal Commissioner of Taxation v Guardian AIT Pty Ltd</w:t>
      </w:r>
      <w:r w:rsidRPr="00ED2188">
        <w:rPr>
          <w:rFonts w:ascii="Times New Roman" w:hAnsi="Times New Roman"/>
        </w:rPr>
        <w:t>,</w:t>
      </w:r>
      <w:r w:rsidRPr="00ED2188">
        <w:rPr>
          <w:rStyle w:val="FootnoteReference"/>
          <w:rFonts w:ascii="Times New Roman" w:hAnsi="Times New Roman"/>
          <w:sz w:val="24"/>
        </w:rPr>
        <w:footnoteReference w:id="229"/>
      </w:r>
      <w:r w:rsidRPr="00ED2188">
        <w:rPr>
          <w:rFonts w:ascii="Times New Roman" w:hAnsi="Times New Roman"/>
        </w:rPr>
        <w:t xml:space="preserve"> in support of the</w:t>
      </w:r>
      <w:r>
        <w:rPr>
          <w:rFonts w:ascii="Times New Roman" w:hAnsi="Times New Roman"/>
        </w:rPr>
        <w:t> </w:t>
      </w:r>
      <w:r w:rsidRPr="00ED2188">
        <w:rPr>
          <w:rFonts w:ascii="Times New Roman" w:hAnsi="Times New Roman"/>
        </w:rPr>
        <w:t>contention that PepsiCo had to prove the existence of an alternative postulate in which PepsiCo was not liable to pay royalty withholding tax, and this postulate had to be reasonable in the sense required by s 177CB(3). Those authorities do not support the Commissioner's contention.</w:t>
      </w:r>
    </w:p>
    <w:p w14:paraId="07327880"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 xml:space="preserve">In </w:t>
      </w:r>
      <w:r w:rsidRPr="00ED2188">
        <w:rPr>
          <w:rFonts w:ascii="Times New Roman" w:hAnsi="Times New Roman"/>
          <w:i/>
          <w:iCs/>
        </w:rPr>
        <w:t>Trail Bros</w:t>
      </w:r>
      <w:r w:rsidRPr="00ED2188">
        <w:rPr>
          <w:rFonts w:ascii="Times New Roman" w:hAnsi="Times New Roman"/>
        </w:rPr>
        <w:t xml:space="preserve">, the plurality of the Full Federal Court observed, in relation to s 177C, that "[t]he legislation requires a comparison between the relevant scheme and an alternative postulate" and that "[t]he alternative postulate requires a 'prediction as to events which would have taken place if the relevant scheme had not been entered into or carried out and that prediction must be sufficiently reliable </w:t>
      </w:r>
      <w:r w:rsidRPr="00ED2188">
        <w:rPr>
          <w:rFonts w:ascii="Times New Roman" w:hAnsi="Times New Roman"/>
        </w:rPr>
        <w:lastRenderedPageBreak/>
        <w:t>for it to be regarded as reasonable'".</w:t>
      </w:r>
      <w:r w:rsidRPr="00ED2188">
        <w:rPr>
          <w:rStyle w:val="FootnoteReference"/>
          <w:rFonts w:ascii="Times New Roman" w:hAnsi="Times New Roman"/>
          <w:sz w:val="24"/>
        </w:rPr>
        <w:footnoteReference w:id="230"/>
      </w:r>
      <w:r w:rsidRPr="00ED2188">
        <w:rPr>
          <w:rFonts w:ascii="Times New Roman" w:hAnsi="Times New Roman"/>
        </w:rPr>
        <w:t xml:space="preserve"> As their Honours stated, "[a] reasonable expectation requires more than a possibility".</w:t>
      </w:r>
      <w:r w:rsidRPr="00ED2188">
        <w:rPr>
          <w:rStyle w:val="FootnoteReference"/>
          <w:rFonts w:ascii="Times New Roman" w:hAnsi="Times New Roman"/>
          <w:sz w:val="24"/>
        </w:rPr>
        <w:footnoteReference w:id="231"/>
      </w:r>
    </w:p>
    <w:p w14:paraId="364585D1"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 xml:space="preserve">In the later decision of the Full Federal Court in </w:t>
      </w:r>
      <w:r w:rsidRPr="00ED2188">
        <w:rPr>
          <w:rFonts w:ascii="Times New Roman" w:hAnsi="Times New Roman"/>
          <w:i/>
          <w:iCs/>
        </w:rPr>
        <w:t>RCI</w:t>
      </w:r>
      <w:r w:rsidRPr="00ED2188">
        <w:rPr>
          <w:rFonts w:ascii="Times New Roman" w:hAnsi="Times New Roman"/>
        </w:rPr>
        <w:t>, the Court put the</w:t>
      </w:r>
      <w:r>
        <w:rPr>
          <w:rFonts w:ascii="Times New Roman" w:hAnsi="Times New Roman"/>
        </w:rPr>
        <w:t> </w:t>
      </w:r>
      <w:r w:rsidRPr="00ED2188">
        <w:rPr>
          <w:rFonts w:ascii="Times New Roman" w:hAnsi="Times New Roman"/>
        </w:rPr>
        <w:t>correct position in these terms:</w:t>
      </w:r>
      <w:r w:rsidRPr="00ED2188">
        <w:rPr>
          <w:rStyle w:val="FootnoteReference"/>
          <w:rFonts w:ascii="Times New Roman" w:hAnsi="Times New Roman"/>
          <w:sz w:val="24"/>
        </w:rPr>
        <w:footnoteReference w:id="232"/>
      </w:r>
    </w:p>
    <w:p w14:paraId="242B6910" w14:textId="77777777" w:rsidR="00A143F4" w:rsidRDefault="00A143F4" w:rsidP="00ED2188">
      <w:pPr>
        <w:pStyle w:val="LeftrightafterHC"/>
        <w:spacing w:before="0" w:after="260" w:line="280" w:lineRule="exact"/>
        <w:ind w:right="0"/>
        <w:jc w:val="both"/>
        <w:rPr>
          <w:rFonts w:ascii="Times New Roman" w:hAnsi="Times New Roman"/>
        </w:rPr>
      </w:pPr>
      <w:r w:rsidRPr="00ED2188">
        <w:rPr>
          <w:rFonts w:ascii="Times New Roman" w:hAnsi="Times New Roman"/>
        </w:rPr>
        <w:t>"Even if a taxpayer establishes that the Commissioner's counterfactual is unreasonable, it will not necessarily follow that [the taxpayer] has established that the assessment is excessive. That is because the issue is not whether the Commissioner puts forward a reasonable counterfactual or not; it is a question of the court determining objectively, and on all of the</w:t>
      </w:r>
      <w:r>
        <w:rPr>
          <w:rFonts w:ascii="Times New Roman" w:hAnsi="Times New Roman"/>
        </w:rPr>
        <w:t> </w:t>
      </w:r>
      <w:r w:rsidRPr="00ED2188">
        <w:rPr>
          <w:rFonts w:ascii="Times New Roman" w:hAnsi="Times New Roman"/>
        </w:rPr>
        <w:t>evidence, including inferences open on the evidence, as well as the</w:t>
      </w:r>
      <w:r>
        <w:rPr>
          <w:rFonts w:ascii="Times New Roman" w:hAnsi="Times New Roman"/>
        </w:rPr>
        <w:t> </w:t>
      </w:r>
      <w:r w:rsidRPr="00ED2188">
        <w:rPr>
          <w:rFonts w:ascii="Times New Roman" w:hAnsi="Times New Roman"/>
        </w:rPr>
        <w:t>apparent logic of events, what would have or might reasonably be expected to have occurred if the scheme had not been entered into."</w:t>
      </w:r>
    </w:p>
    <w:p w14:paraId="306A3EE4"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It can be accepted that a taxpayer who merely demonstrates that the</w:t>
      </w:r>
      <w:r>
        <w:rPr>
          <w:rFonts w:ascii="Times New Roman" w:hAnsi="Times New Roman"/>
        </w:rPr>
        <w:t> </w:t>
      </w:r>
      <w:r w:rsidRPr="00ED2188">
        <w:rPr>
          <w:rFonts w:ascii="Times New Roman" w:hAnsi="Times New Roman"/>
        </w:rPr>
        <w:t>postulate relied upon by the Commissioner is unreasonable does not demonstrate that it has not obtained a tax benefit. But it does not follow that the</w:t>
      </w:r>
      <w:r>
        <w:rPr>
          <w:rFonts w:ascii="Times New Roman" w:hAnsi="Times New Roman"/>
        </w:rPr>
        <w:t> </w:t>
      </w:r>
      <w:r w:rsidRPr="00ED2188">
        <w:rPr>
          <w:rFonts w:ascii="Times New Roman" w:hAnsi="Times New Roman"/>
        </w:rPr>
        <w:t xml:space="preserve">only way a taxpayer can discharge its onus of proof is to lead evidence of another reasonable postulate in which the taxpayer obtains no tax benefit. The question, relevantly posed by s 177C(1)(bc), is whether the taxpayer would have, or might reasonably be expected to have, been liable to pay withholding tax if the scheme identified by the Commissioner had not been entered into or carried out. As the Full Federal Court said in </w:t>
      </w:r>
      <w:r w:rsidRPr="00ED2188">
        <w:rPr>
          <w:rFonts w:ascii="Times New Roman" w:hAnsi="Times New Roman"/>
          <w:i/>
          <w:iCs/>
        </w:rPr>
        <w:t>RCI</w:t>
      </w:r>
      <w:r w:rsidRPr="00ED2188">
        <w:rPr>
          <w:rFonts w:ascii="Times New Roman" w:hAnsi="Times New Roman"/>
        </w:rPr>
        <w:t>, that is a question to be determined objectively on all of the evidence "including inferences open on the evidence, as</w:t>
      </w:r>
      <w:r>
        <w:rPr>
          <w:rFonts w:ascii="Times New Roman" w:hAnsi="Times New Roman"/>
        </w:rPr>
        <w:t> </w:t>
      </w:r>
      <w:r w:rsidRPr="00ED2188">
        <w:rPr>
          <w:rFonts w:ascii="Times New Roman" w:hAnsi="Times New Roman"/>
        </w:rPr>
        <w:t>well as the apparent logic of events", and it is for the taxpayer to answer it.</w:t>
      </w:r>
      <w:r w:rsidRPr="00ED2188">
        <w:rPr>
          <w:rStyle w:val="FootnoteReference"/>
          <w:rFonts w:ascii="Times New Roman" w:hAnsi="Times New Roman"/>
          <w:sz w:val="24"/>
        </w:rPr>
        <w:footnoteReference w:id="233"/>
      </w:r>
    </w:p>
    <w:p w14:paraId="76FB6D84"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 xml:space="preserve">In that respect, it can be accepted that a taxpayer may more usually demonstrate the absence of a tax benefit by identifying, on the evidence, a postulate or counterfactual which shows what it might reasonably be expected to have done, had it not entered into or carried out a relevant scheme. Such a postulate must be </w:t>
      </w:r>
      <w:r w:rsidRPr="00ED2188">
        <w:rPr>
          <w:rFonts w:ascii="Times New Roman" w:hAnsi="Times New Roman"/>
        </w:rPr>
        <w:lastRenderedPageBreak/>
        <w:t xml:space="preserve">a reasonable one, its reasonableness being measured, in accordance with s 177CB(4), by reference to the substance of the scheme, and any result or consequence for that taxpayer achieved by the scheme. Nevertheless, in unusual cases, a taxpayer may demonstrate the absence of a tax benefit by establishing that there is no postulate that is a reasonable alternative to entering into or carrying out the scheme.  </w:t>
      </w:r>
    </w:p>
    <w:p w14:paraId="26A5661A" w14:textId="77777777" w:rsidR="00A143F4" w:rsidRPr="00ED2188" w:rsidRDefault="00A143F4" w:rsidP="00ED2188">
      <w:pPr>
        <w:pStyle w:val="HeadingL3"/>
        <w:spacing w:after="260" w:line="280" w:lineRule="exact"/>
        <w:ind w:right="0"/>
        <w:jc w:val="both"/>
        <w:rPr>
          <w:rFonts w:ascii="Times New Roman" w:hAnsi="Times New Roman"/>
        </w:rPr>
      </w:pPr>
      <w:r w:rsidRPr="00ED2188">
        <w:rPr>
          <w:rFonts w:ascii="Times New Roman" w:hAnsi="Times New Roman"/>
        </w:rPr>
        <w:t>Substance of the Scheme</w:t>
      </w:r>
    </w:p>
    <w:p w14:paraId="324AC4BE"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The DPT provisions direct attention to the "economic substance" of the</w:t>
      </w:r>
      <w:r>
        <w:rPr>
          <w:rFonts w:ascii="Times New Roman" w:hAnsi="Times New Roman"/>
        </w:rPr>
        <w:t> </w:t>
      </w:r>
      <w:r w:rsidRPr="00ED2188">
        <w:rPr>
          <w:rFonts w:ascii="Times New Roman" w:hAnsi="Times New Roman"/>
        </w:rPr>
        <w:t>activities in Australia of "significant global entities" and the diversion by such entities of profits offshore "through contrived arrangements between related parties" with a consequential reduction in Australian tax.</w:t>
      </w:r>
      <w:r w:rsidRPr="00ED2188">
        <w:rPr>
          <w:rStyle w:val="FootnoteReference"/>
          <w:rFonts w:ascii="Times New Roman" w:hAnsi="Times New Roman"/>
          <w:sz w:val="24"/>
        </w:rPr>
        <w:footnoteReference w:id="234"/>
      </w:r>
    </w:p>
    <w:p w14:paraId="796A89EE"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A correct understanding of the economic substance of the contractual arrangements is important to an application of the DPT provisions. It is important in relation to the identification of a tax benefit because in determining, for the</w:t>
      </w:r>
      <w:r>
        <w:rPr>
          <w:rFonts w:ascii="Times New Roman" w:hAnsi="Times New Roman"/>
        </w:rPr>
        <w:t> </w:t>
      </w:r>
      <w:r w:rsidRPr="00ED2188">
        <w:rPr>
          <w:rFonts w:ascii="Times New Roman" w:hAnsi="Times New Roman"/>
        </w:rPr>
        <w:t>purposes of s 177CB(3), whether a given postulate is a reasonable alternative, s 177CB(4) requires a consideration of the "substance of the scheme"</w:t>
      </w:r>
      <w:r w:rsidRPr="00ED2188">
        <w:rPr>
          <w:rStyle w:val="FootnoteReference"/>
          <w:rFonts w:ascii="Times New Roman" w:hAnsi="Times New Roman"/>
          <w:sz w:val="24"/>
        </w:rPr>
        <w:footnoteReference w:id="235"/>
      </w:r>
      <w:r w:rsidRPr="00ED2188">
        <w:rPr>
          <w:rFonts w:ascii="Times New Roman" w:hAnsi="Times New Roman"/>
        </w:rPr>
        <w:t xml:space="preserve"> and "any result or consequence for the taxpayer that is or would be achieved by the</w:t>
      </w:r>
      <w:r>
        <w:rPr>
          <w:rFonts w:ascii="Times New Roman" w:hAnsi="Times New Roman"/>
        </w:rPr>
        <w:t> </w:t>
      </w:r>
      <w:r w:rsidRPr="00ED2188">
        <w:rPr>
          <w:rFonts w:ascii="Times New Roman" w:hAnsi="Times New Roman"/>
        </w:rPr>
        <w:t>scheme".</w:t>
      </w:r>
      <w:r w:rsidRPr="00ED2188">
        <w:rPr>
          <w:rStyle w:val="FootnoteReference"/>
          <w:rFonts w:ascii="Times New Roman" w:hAnsi="Times New Roman"/>
          <w:sz w:val="24"/>
        </w:rPr>
        <w:footnoteReference w:id="236"/>
      </w:r>
      <w:r w:rsidRPr="00ED2188">
        <w:rPr>
          <w:rFonts w:ascii="Times New Roman" w:hAnsi="Times New Roman"/>
        </w:rPr>
        <w:t xml:space="preserve"> It is also important in relation</w:t>
      </w:r>
      <w:r w:rsidRPr="00ED2188" w:rsidDel="006C6DD0">
        <w:rPr>
          <w:rFonts w:ascii="Times New Roman" w:hAnsi="Times New Roman"/>
        </w:rPr>
        <w:t xml:space="preserve"> </w:t>
      </w:r>
      <w:r w:rsidRPr="00ED2188">
        <w:rPr>
          <w:rFonts w:ascii="Times New Roman" w:hAnsi="Times New Roman"/>
        </w:rPr>
        <w:t xml:space="preserve">to the question of purpose because s 177D(2)(b) requires the form and substance of a scheme to be considered. </w:t>
      </w:r>
    </w:p>
    <w:p w14:paraId="073A78A9" w14:textId="42087E98"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In these appeals, the central question is the economic and commercial substance of the Scheme, as distinct from its legal shape or form.</w:t>
      </w:r>
      <w:r w:rsidRPr="00ED2188">
        <w:rPr>
          <w:rStyle w:val="FootnoteReference"/>
          <w:rFonts w:ascii="Times New Roman" w:hAnsi="Times New Roman"/>
          <w:sz w:val="24"/>
        </w:rPr>
        <w:footnoteReference w:id="237"/>
      </w:r>
      <w:r w:rsidRPr="00ED2188">
        <w:rPr>
          <w:rFonts w:ascii="Times New Roman" w:hAnsi="Times New Roman"/>
        </w:rPr>
        <w:t xml:space="preserve"> The</w:t>
      </w:r>
      <w:r>
        <w:rPr>
          <w:rFonts w:ascii="Times New Roman" w:hAnsi="Times New Roman"/>
        </w:rPr>
        <w:t> </w:t>
      </w:r>
      <w:r w:rsidRPr="00ED2188">
        <w:rPr>
          <w:rFonts w:ascii="Times New Roman" w:hAnsi="Times New Roman"/>
        </w:rPr>
        <w:t>Commissioner submitted that the economic and commercial substance of the</w:t>
      </w:r>
      <w:r>
        <w:rPr>
          <w:rFonts w:ascii="Times New Roman" w:hAnsi="Times New Roman"/>
        </w:rPr>
        <w:t> </w:t>
      </w:r>
      <w:r w:rsidRPr="00ED2188">
        <w:rPr>
          <w:rFonts w:ascii="Times New Roman" w:hAnsi="Times New Roman"/>
        </w:rPr>
        <w:t xml:space="preserve">Scheme was that, in return for the making of each payment from SAPL to PBS, SAPL received two valuable </w:t>
      </w:r>
      <w:r>
        <w:rPr>
          <w:rFonts w:ascii="Times New Roman" w:hAnsi="Times New Roman"/>
        </w:rPr>
        <w:t>benefits</w:t>
      </w:r>
      <w:r w:rsidRPr="00ED2188">
        <w:rPr>
          <w:rFonts w:ascii="Times New Roman" w:hAnsi="Times New Roman"/>
        </w:rPr>
        <w:t xml:space="preserve"> – the concentrate and the PepsiCo Intellectual Property. In this respect, the Commissioner submitted that the allocation of the</w:t>
      </w:r>
      <w:r>
        <w:rPr>
          <w:rFonts w:ascii="Times New Roman" w:hAnsi="Times New Roman"/>
        </w:rPr>
        <w:t> </w:t>
      </w:r>
      <w:r w:rsidRPr="00ED2188">
        <w:rPr>
          <w:rFonts w:ascii="Times New Roman" w:hAnsi="Times New Roman"/>
        </w:rPr>
        <w:t xml:space="preserve">total contract price to concentrate was not the substance of the Scheme but was only a means and form to give it effect. As explained above, </w:t>
      </w:r>
      <w:r w:rsidRPr="00ED2188">
        <w:rPr>
          <w:rFonts w:ascii="Times New Roman" w:hAnsi="Times New Roman"/>
        </w:rPr>
        <w:lastRenderedPageBreak/>
        <w:t>that</w:t>
      </w:r>
      <w:r w:rsidR="00B052E6">
        <w:rPr>
          <w:rFonts w:ascii="Times New Roman" w:hAnsi="Times New Roman"/>
        </w:rPr>
        <w:t> </w:t>
      </w:r>
      <w:r w:rsidRPr="00ED2188">
        <w:rPr>
          <w:rFonts w:ascii="Times New Roman" w:hAnsi="Times New Roman"/>
        </w:rPr>
        <w:t xml:space="preserve">misconceives and oversimplifies the composite SAPL Bottler, Seller and Distributor Agreement. </w:t>
      </w:r>
    </w:p>
    <w:p w14:paraId="69338EFC"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The true economic and commercial substance of the composite SAPL Bottler, Seller and Distributor Agreement was that SAPL was appointed and accepted appointment as the exclusive bottler, seller and distributor of the</w:t>
      </w:r>
      <w:r>
        <w:rPr>
          <w:rFonts w:ascii="Times New Roman" w:hAnsi="Times New Roman"/>
        </w:rPr>
        <w:t> </w:t>
      </w:r>
      <w:r w:rsidRPr="00ED2188">
        <w:rPr>
          <w:rFonts w:ascii="Times New Roman" w:hAnsi="Times New Roman"/>
        </w:rPr>
        <w:t>Beverages as part of a comprehensive arrangement involving an exchange of promises, on an arm's length basis, which included the promise to purchase concentrate at agreed prices which were not disproportionately high, as well as the</w:t>
      </w:r>
      <w:r>
        <w:rPr>
          <w:rFonts w:ascii="Times New Roman" w:hAnsi="Times New Roman"/>
        </w:rPr>
        <w:t> </w:t>
      </w:r>
      <w:r w:rsidRPr="00ED2188">
        <w:rPr>
          <w:rFonts w:ascii="Times New Roman" w:hAnsi="Times New Roman"/>
        </w:rPr>
        <w:t>conferral of intellectual property rights. That conferral of rights did not take place "for nothing". Under the SAPL Bottler, Seller and Distributor Agreement, other monetary and non</w:t>
      </w:r>
      <w:r w:rsidRPr="00ED2188">
        <w:rPr>
          <w:rFonts w:ascii="Times New Roman" w:hAnsi="Times New Roman"/>
        </w:rPr>
        <w:noBreakHyphen/>
        <w:t>monetary consideration, including the exchange of promises in cl 4 of the PepsiCo EBA, flowed in exchange for the PepsiCo Intellectual Property.</w:t>
      </w:r>
      <w:r w:rsidRPr="00ED2188">
        <w:rPr>
          <w:rStyle w:val="FootnoteReference"/>
          <w:rFonts w:ascii="Times New Roman" w:hAnsi="Times New Roman"/>
          <w:sz w:val="24"/>
        </w:rPr>
        <w:footnoteReference w:id="238"/>
      </w:r>
      <w:r w:rsidRPr="00ED2188">
        <w:rPr>
          <w:rFonts w:ascii="Times New Roman" w:hAnsi="Times New Roman"/>
        </w:rPr>
        <w:t xml:space="preserve"> In particular, SAPL agreed to build the PepsiCo brands. The PepsiCo Intellectual Property was essential for SAPL to perform that obligation including for the benefit of PepsiCo.</w:t>
      </w:r>
    </w:p>
    <w:p w14:paraId="7A013E19" w14:textId="77777777" w:rsidR="00A143F4" w:rsidRPr="00ED2188" w:rsidRDefault="00A143F4" w:rsidP="00ED2188">
      <w:pPr>
        <w:pStyle w:val="HeadingL3"/>
        <w:spacing w:after="260" w:line="280" w:lineRule="exact"/>
        <w:ind w:right="0"/>
        <w:jc w:val="both"/>
        <w:rPr>
          <w:rFonts w:ascii="Times New Roman" w:hAnsi="Times New Roman"/>
        </w:rPr>
      </w:pPr>
      <w:r w:rsidRPr="00ED2188">
        <w:rPr>
          <w:rFonts w:ascii="Times New Roman" w:hAnsi="Times New Roman"/>
        </w:rPr>
        <w:t>Commissioner's alternative postulates not reasonable</w:t>
      </w:r>
    </w:p>
    <w:p w14:paraId="1CB83C25"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It is then necessary to consider the Commissioner's two identified alternative postulates, which the Commissioner contended were reasonable because they exhibited the same commercial and economic substance as that which he contended subsisted under the PepsiCo EBA. In sum, the Commissioner submitted that under the identified alternative postulates SAPL receives the same property (the concentrate and the PepsiCo Intellectual Property) and pays the same amounts as under the PepsiCo EBA. The only difference, it was said, between the</w:t>
      </w:r>
      <w:r>
        <w:rPr>
          <w:rFonts w:ascii="Times New Roman" w:hAnsi="Times New Roman"/>
        </w:rPr>
        <w:t> </w:t>
      </w:r>
      <w:r w:rsidRPr="00ED2188">
        <w:rPr>
          <w:rFonts w:ascii="Times New Roman" w:hAnsi="Times New Roman"/>
        </w:rPr>
        <w:t>PepsiCo EBA and the alternative postulates is a minor textual change in the</w:t>
      </w:r>
      <w:r>
        <w:rPr>
          <w:rFonts w:ascii="Times New Roman" w:hAnsi="Times New Roman"/>
        </w:rPr>
        <w:t> </w:t>
      </w:r>
      <w:r w:rsidRPr="00ED2188">
        <w:rPr>
          <w:rFonts w:ascii="Times New Roman" w:hAnsi="Times New Roman"/>
        </w:rPr>
        <w:t>form of the clauses dealing with payment. In contrast, it was said, the majority below confused the economic substance of the Scheme with the form or mechanism by which the Scheme was implemented. It was also said that the</w:t>
      </w:r>
      <w:r>
        <w:rPr>
          <w:rFonts w:ascii="Times New Roman" w:hAnsi="Times New Roman"/>
        </w:rPr>
        <w:t> </w:t>
      </w:r>
      <w:r w:rsidRPr="00ED2188">
        <w:rPr>
          <w:rFonts w:ascii="Times New Roman" w:hAnsi="Times New Roman"/>
        </w:rPr>
        <w:t>majority ignored the Commissioner's expert who opined that, given that the</w:t>
      </w:r>
      <w:r>
        <w:rPr>
          <w:rFonts w:ascii="Times New Roman" w:hAnsi="Times New Roman"/>
        </w:rPr>
        <w:t> </w:t>
      </w:r>
      <w:r w:rsidRPr="00ED2188">
        <w:rPr>
          <w:rFonts w:ascii="Times New Roman" w:hAnsi="Times New Roman"/>
        </w:rPr>
        <w:t>intellectual property was of value, it was reasonable to expect that appropriate compensation would have been paid for it.</w:t>
      </w:r>
    </w:p>
    <w:p w14:paraId="62E8230B"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As just explained, the problem with the Commissioner's position, and the</w:t>
      </w:r>
      <w:r>
        <w:rPr>
          <w:rFonts w:ascii="Times New Roman" w:hAnsi="Times New Roman"/>
        </w:rPr>
        <w:t> </w:t>
      </w:r>
      <w:r w:rsidRPr="00ED2188">
        <w:rPr>
          <w:rFonts w:ascii="Times New Roman" w:hAnsi="Times New Roman"/>
        </w:rPr>
        <w:t>reason that his alternative postulates were not reasonable, is that he misconceived the economic and commercial substance of the Scheme. As</w:t>
      </w:r>
      <w:r>
        <w:rPr>
          <w:rFonts w:ascii="Times New Roman" w:hAnsi="Times New Roman"/>
        </w:rPr>
        <w:t> </w:t>
      </w:r>
      <w:r w:rsidRPr="00ED2188">
        <w:rPr>
          <w:rFonts w:ascii="Times New Roman" w:hAnsi="Times New Roman"/>
        </w:rPr>
        <w:t>the</w:t>
      </w:r>
      <w:r>
        <w:rPr>
          <w:rFonts w:ascii="Times New Roman" w:hAnsi="Times New Roman"/>
        </w:rPr>
        <w:t> </w:t>
      </w:r>
      <w:r w:rsidRPr="00ED2188">
        <w:rPr>
          <w:rFonts w:ascii="Times New Roman" w:hAnsi="Times New Roman"/>
        </w:rPr>
        <w:t xml:space="preserve">majority of the Full Federal Court rightly observed, for a postulate to be a reasonable alternative it "should correspond to the substance of the scheme". It was not the case that the payments made by SAPL to PBS were consideration for </w:t>
      </w:r>
      <w:r w:rsidRPr="00ED2188">
        <w:rPr>
          <w:rFonts w:ascii="Times New Roman" w:hAnsi="Times New Roman"/>
        </w:rPr>
        <w:lastRenderedPageBreak/>
        <w:t>the</w:t>
      </w:r>
      <w:r>
        <w:rPr>
          <w:rFonts w:ascii="Times New Roman" w:hAnsi="Times New Roman"/>
        </w:rPr>
        <w:t> </w:t>
      </w:r>
      <w:r w:rsidRPr="00ED2188">
        <w:rPr>
          <w:rFonts w:ascii="Times New Roman" w:hAnsi="Times New Roman"/>
        </w:rPr>
        <w:t>receipt of two benefits. Rather, as the majority below correctly concluded, "[t]he commercial and economic substance of the [S]cheme was that the price agreed for concentrate was for concentrate". Adjusting the SAPL Bottler, Seller and Distributor Agreement, and the PepsiCo EBA in particular, to provide for some part of that price to be also a royalty involves far more than a simple textual change. It involves the entry into a fundamentally different arrangement.</w:t>
      </w:r>
    </w:p>
    <w:p w14:paraId="7E954166"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Critical facts, unique to these appeals, enabled PepsiCo to demonstrate that there were no other reasonable alternative postulates and therefore no relevant tax effect. The first is that the substance of the Scheme (as properly construed and characterised) included that the price paid for concentrate was for concentrate and nothing else. The second is that the Scheme was a product of arm's length dealings between unrelated parties.</w:t>
      </w:r>
    </w:p>
    <w:p w14:paraId="3EFACF2E"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Third, the absence of a royalty was market standard, a substantive element of the business model which was adopted by the PepsiCo Group.</w:t>
      </w:r>
      <w:r w:rsidRPr="00ED2188">
        <w:rPr>
          <w:rStyle w:val="FootnoteReference"/>
          <w:rFonts w:ascii="Times New Roman" w:hAnsi="Times New Roman"/>
          <w:sz w:val="24"/>
        </w:rPr>
        <w:footnoteReference w:id="239"/>
      </w:r>
      <w:r w:rsidRPr="00ED2188">
        <w:rPr>
          <w:rFonts w:ascii="Times New Roman" w:hAnsi="Times New Roman"/>
        </w:rPr>
        <w:t xml:space="preserve"> There was evidence before the primary judge, largely accepted by his Honour, that PepsiCo (and other beverage competitors) used a "franchise</w:t>
      </w:r>
      <w:r w:rsidRPr="00ED2188">
        <w:rPr>
          <w:rFonts w:ascii="Times New Roman" w:hAnsi="Times New Roman"/>
        </w:rPr>
        <w:noBreakHyphen/>
        <w:t>owned bottling operation" or "FOBO" model. This commenced in the early 1900s when the Pepsi-Cola Company started to sell Pepsi syrup to third party bottling companies within the</w:t>
      </w:r>
      <w:r>
        <w:rPr>
          <w:rFonts w:ascii="Times New Roman" w:hAnsi="Times New Roman"/>
        </w:rPr>
        <w:t> </w:t>
      </w:r>
      <w:r w:rsidRPr="00ED2188">
        <w:rPr>
          <w:rFonts w:ascii="Times New Roman" w:hAnsi="Times New Roman"/>
        </w:rPr>
        <w:t>United States.</w:t>
      </w:r>
    </w:p>
    <w:p w14:paraId="36EAEB8E"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The FOBO model requires joint investment by both PepsiCo and the bottler to develop, manufacture, bottle and distribute the beverages and to engage in marketing to promote sales, using both "push" and "pull" strategies. Generally</w:t>
      </w:r>
      <w:r>
        <w:rPr>
          <w:rFonts w:ascii="Times New Roman" w:hAnsi="Times New Roman"/>
        </w:rPr>
        <w:t> </w:t>
      </w:r>
      <w:r w:rsidRPr="00ED2188">
        <w:rPr>
          <w:rFonts w:ascii="Times New Roman" w:hAnsi="Times New Roman"/>
        </w:rPr>
        <w:t>speaking, the franchise bottler makes substantial contributions to the cost of local advertising and marketing and is responsible for "pushing" the brand in the local stores, by addressing the pricing, the display of the product, and its location in stores, as well as trade promotions. In contrast, the PepsiCo Group is responsible for strategies that encourage the consumer to "pull the brand off the</w:t>
      </w:r>
      <w:r>
        <w:rPr>
          <w:rFonts w:ascii="Times New Roman" w:hAnsi="Times New Roman"/>
        </w:rPr>
        <w:t> </w:t>
      </w:r>
      <w:r w:rsidRPr="00ED2188">
        <w:rPr>
          <w:rFonts w:ascii="Times New Roman" w:hAnsi="Times New Roman"/>
        </w:rPr>
        <w:t>shelf". This includes advertising, sponsorship and sampling. The foregoing permits the</w:t>
      </w:r>
      <w:r>
        <w:rPr>
          <w:rFonts w:ascii="Times New Roman" w:hAnsi="Times New Roman"/>
        </w:rPr>
        <w:t> </w:t>
      </w:r>
      <w:r w:rsidRPr="00ED2188">
        <w:rPr>
          <w:rFonts w:ascii="Times New Roman" w:hAnsi="Times New Roman"/>
        </w:rPr>
        <w:t>PepsiCo Group to carry out what it does best, such as the innovation and development of the "brands", which includes the trade marks, the get-up, and the</w:t>
      </w:r>
      <w:r>
        <w:rPr>
          <w:rFonts w:ascii="Times New Roman" w:hAnsi="Times New Roman"/>
        </w:rPr>
        <w:t> </w:t>
      </w:r>
      <w:r w:rsidRPr="00ED2188">
        <w:rPr>
          <w:rFonts w:ascii="Times New Roman" w:hAnsi="Times New Roman"/>
        </w:rPr>
        <w:t>shape of the bottle, leaving the local bottler to focus on the business of bottling, selling and distributing finished beverages. These features of the FOBO model are carefully reflected in the terms of the SAPL Bottler, Seller and Distributor Agreement and, as explained above, benefit both PepsiCo and SAPL.</w:t>
      </w:r>
    </w:p>
    <w:p w14:paraId="6D5B8A3D"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lastRenderedPageBreak/>
        <w:tab/>
        <w:t>Under the FOBO model, it could not be doubted that the</w:t>
      </w:r>
      <w:r>
        <w:rPr>
          <w:rFonts w:ascii="Times New Roman" w:hAnsi="Times New Roman"/>
        </w:rPr>
        <w:t xml:space="preserve"> </w:t>
      </w:r>
      <w:r w:rsidRPr="00ED2188">
        <w:rPr>
          <w:rFonts w:ascii="Times New Roman" w:hAnsi="Times New Roman"/>
        </w:rPr>
        <w:t>PepsiCo brands were critical to the sale of the Beverages. As the primary judge accepted, the</w:t>
      </w:r>
      <w:r>
        <w:rPr>
          <w:rFonts w:ascii="Times New Roman" w:hAnsi="Times New Roman"/>
        </w:rPr>
        <w:t> </w:t>
      </w:r>
      <w:r w:rsidRPr="00ED2188">
        <w:rPr>
          <w:rFonts w:ascii="Times New Roman" w:hAnsi="Times New Roman"/>
        </w:rPr>
        <w:t>concentrate and the brands "always go together".</w:t>
      </w:r>
      <w:r w:rsidRPr="00ED2188">
        <w:rPr>
          <w:rFonts w:ascii="Times New Roman" w:hAnsi="Times New Roman"/>
          <w:b/>
          <w:bCs/>
        </w:rPr>
        <w:t xml:space="preserve"> </w:t>
      </w:r>
      <w:r w:rsidRPr="00ED2188">
        <w:rPr>
          <w:rFonts w:ascii="Times New Roman" w:hAnsi="Times New Roman"/>
        </w:rPr>
        <w:t>PepsiCo got the benefit of SAPL's knowledge of the local market and access to its distribution equipment, capacities and network, sales force, leadership, and relationships with traders and regulators. In return, SAPL got access to the PepsiCo Group's innovation and marketing capabilities, and the benefit of its brand recognition in the local market. Nonetheless, the terms of the SAPL Bottler, Seller and Distributor Agreement – including that SAPL could only purchase concentrate from a nominated Seller and could not, subject to express exclusions, bottle and distribute any rival product – protected the PepsiCo brands and reputation.</w:t>
      </w:r>
    </w:p>
    <w:p w14:paraId="6BD33653"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b/>
          <w:bCs/>
        </w:rPr>
        <w:tab/>
      </w:r>
      <w:r w:rsidRPr="00ED2188">
        <w:rPr>
          <w:rFonts w:ascii="Times New Roman" w:hAnsi="Times New Roman"/>
        </w:rPr>
        <w:t>The primary judge found, however, and this was not challenged, that</w:t>
      </w:r>
      <w:r>
        <w:rPr>
          <w:rFonts w:ascii="Times New Roman" w:hAnsi="Times New Roman"/>
        </w:rPr>
        <w:t> </w:t>
      </w:r>
      <w:r w:rsidRPr="00ED2188">
        <w:rPr>
          <w:rFonts w:ascii="Times New Roman" w:hAnsi="Times New Roman"/>
        </w:rPr>
        <w:t>the</w:t>
      </w:r>
      <w:r>
        <w:rPr>
          <w:rFonts w:ascii="Times New Roman" w:hAnsi="Times New Roman"/>
        </w:rPr>
        <w:t> </w:t>
      </w:r>
      <w:r w:rsidRPr="00ED2188">
        <w:rPr>
          <w:rFonts w:ascii="Times New Roman" w:hAnsi="Times New Roman"/>
        </w:rPr>
        <w:t>FOBO model did not deploy a fixed template. The evidence showed that there was considerable scope for variation in exclusive bottling agreements, including pricing terms, and that the pricing terms could have some complexity. In that respect, the Commissioner relied upon three bottling agreements in which a royalty was charged by the PepsiCo Group for the right to use the intellectual property in Vietnam, Thailand and Korea. Although a royalty was charged in those agreements, none of them involved the sale of concentrate. Rather, they involved the sale of a water product and of juice. The relevance of these alternative contracts, concerning as they do the sale of different products, is doubtful, and cannot in any event be the basis for any analogy without an analysis of the full suite of contracts and legislative arrangements in those countries.</w:t>
      </w:r>
      <w:r w:rsidRPr="00ED2188">
        <w:rPr>
          <w:rStyle w:val="FootnoteReference"/>
          <w:rFonts w:ascii="Times New Roman" w:hAnsi="Times New Roman"/>
          <w:sz w:val="24"/>
        </w:rPr>
        <w:footnoteReference w:id="240"/>
      </w:r>
      <w:r w:rsidRPr="00ED2188">
        <w:rPr>
          <w:rFonts w:ascii="Times New Roman" w:hAnsi="Times New Roman"/>
        </w:rPr>
        <w:t xml:space="preserve"> The fact remains that PepsiCo used a FOBO model and the essential features of that model were deployed here with the appointment of SAPL under the SAPL Bottler, Seller and Distributor Agreement as bottler, seller and distributor. That agreement, as</w:t>
      </w:r>
      <w:r>
        <w:rPr>
          <w:rFonts w:ascii="Times New Roman" w:hAnsi="Times New Roman"/>
        </w:rPr>
        <w:t> </w:t>
      </w:r>
      <w:r w:rsidRPr="00ED2188">
        <w:rPr>
          <w:rFonts w:ascii="Times New Roman" w:hAnsi="Times New Roman"/>
        </w:rPr>
        <w:t>the</w:t>
      </w:r>
      <w:r>
        <w:rPr>
          <w:rFonts w:ascii="Times New Roman" w:hAnsi="Times New Roman"/>
        </w:rPr>
        <w:t> </w:t>
      </w:r>
      <w:r w:rsidRPr="00ED2188">
        <w:rPr>
          <w:rFonts w:ascii="Times New Roman" w:hAnsi="Times New Roman"/>
        </w:rPr>
        <w:t>primary judge found, was a contemporary example of the application of PepsiCo's standard way of conducting a beverage business internationally, namely</w:t>
      </w:r>
      <w:r>
        <w:rPr>
          <w:rFonts w:ascii="Times New Roman" w:hAnsi="Times New Roman"/>
        </w:rPr>
        <w:t> </w:t>
      </w:r>
      <w:r w:rsidRPr="00ED2188">
        <w:rPr>
          <w:rFonts w:ascii="Times New Roman" w:hAnsi="Times New Roman"/>
        </w:rPr>
        <w:t>FOBO.</w:t>
      </w:r>
    </w:p>
    <w:p w14:paraId="20D80B36"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 xml:space="preserve">Based on those facts, and also the logic of the events, PepsiCo showed that it was probable that no different arrangement might reasonably be expected to have been entered into. PepsiCo demonstrated that any postulate in which the payments for concentrate are seen as made in part for the grant of the right to </w:t>
      </w:r>
      <w:r>
        <w:rPr>
          <w:rFonts w:ascii="Times New Roman" w:hAnsi="Times New Roman"/>
        </w:rPr>
        <w:t xml:space="preserve">use </w:t>
      </w:r>
      <w:r w:rsidRPr="00ED2188">
        <w:rPr>
          <w:rFonts w:ascii="Times New Roman" w:hAnsi="Times New Roman"/>
        </w:rPr>
        <w:t xml:space="preserve">the PepsiCo Intellectual Property was not a reasonable expectation. As this Court observed in </w:t>
      </w:r>
      <w:r w:rsidRPr="00ED2188">
        <w:rPr>
          <w:rFonts w:ascii="Times New Roman" w:hAnsi="Times New Roman"/>
          <w:i/>
          <w:iCs/>
        </w:rPr>
        <w:t>Federal Commissioner of Taxation v Peabody</w:t>
      </w:r>
      <w:r w:rsidRPr="00ED2188">
        <w:rPr>
          <w:rFonts w:ascii="Times New Roman" w:hAnsi="Times New Roman"/>
        </w:rPr>
        <w:t>, "[a] reasonable expectation requires more than a possibility".</w:t>
      </w:r>
      <w:r w:rsidRPr="00ED2188">
        <w:rPr>
          <w:rStyle w:val="FootnoteReference"/>
          <w:rFonts w:ascii="Times New Roman" w:hAnsi="Times New Roman"/>
          <w:sz w:val="24"/>
        </w:rPr>
        <w:footnoteReference w:id="241"/>
      </w:r>
      <w:r w:rsidRPr="00ED2188">
        <w:rPr>
          <w:rFonts w:ascii="Times New Roman" w:hAnsi="Times New Roman"/>
        </w:rPr>
        <w:t xml:space="preserve"> In other words, the only postulate here that </w:t>
      </w:r>
      <w:r w:rsidRPr="00ED2188">
        <w:rPr>
          <w:rFonts w:ascii="Times New Roman" w:hAnsi="Times New Roman"/>
        </w:rPr>
        <w:lastRenderedPageBreak/>
        <w:t>might have exhibited the same substance and achieved the same results as that found in the Scheme was the SAPL Bottler, Seller and Distributor Agreement. Where the substance of the Scheme does not permit the conclusion to be drawn that the price for concentrate included a royalty, that conclusion is not reasonably open.</w:t>
      </w:r>
    </w:p>
    <w:p w14:paraId="1B32D03D"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For those reasons the majority of the Full Federal Court were correct in concluding that PepsiCo obtained no tax benefit.</w:t>
      </w:r>
    </w:p>
    <w:p w14:paraId="076B81CA" w14:textId="77777777" w:rsidR="00A143F4" w:rsidRPr="00ED2188" w:rsidRDefault="00A143F4" w:rsidP="00ED2188">
      <w:pPr>
        <w:pStyle w:val="HeadingL2"/>
        <w:spacing w:after="260" w:line="280" w:lineRule="exact"/>
        <w:ind w:right="0"/>
        <w:jc w:val="both"/>
        <w:rPr>
          <w:rFonts w:ascii="Times New Roman" w:hAnsi="Times New Roman"/>
        </w:rPr>
      </w:pPr>
      <w:r w:rsidRPr="00ED2188">
        <w:rPr>
          <w:rFonts w:ascii="Times New Roman" w:hAnsi="Times New Roman"/>
        </w:rPr>
        <w:t>Principal purpose</w:t>
      </w:r>
    </w:p>
    <w:p w14:paraId="425EDCC1"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 xml:space="preserve">Given the conclusions reached in relation to the lack of reasonable alternative postulates, it is unnecessary to address the question of principal purpose or the notices of contention filed by PepsiCo and SVC </w:t>
      </w:r>
      <w:r w:rsidRPr="00ED2188">
        <w:rPr>
          <w:rFonts w:ascii="Times New Roman" w:hAnsi="Times New Roman"/>
          <w:bCs/>
        </w:rPr>
        <w:t xml:space="preserve">seeking to contend </w:t>
      </w:r>
      <w:r w:rsidRPr="00ED2188">
        <w:rPr>
          <w:rFonts w:ascii="Times New Roman" w:hAnsi="Times New Roman"/>
        </w:rPr>
        <w:t>that the</w:t>
      </w:r>
      <w:r>
        <w:rPr>
          <w:rFonts w:ascii="Times New Roman" w:hAnsi="Times New Roman"/>
        </w:rPr>
        <w:t> </w:t>
      </w:r>
      <w:r w:rsidRPr="00ED2188">
        <w:rPr>
          <w:rFonts w:ascii="Times New Roman" w:hAnsi="Times New Roman"/>
        </w:rPr>
        <w:t>Full Federal Court's decision that Pt IVA of the ITAA 1936 did not apply to the Scheme should be affirmed on the additional or alternative ground that, even if PepsiCo obtained a "DPT tax benefit" in connection with the Scheme within the</w:t>
      </w:r>
      <w:r>
        <w:rPr>
          <w:rFonts w:ascii="Times New Roman" w:hAnsi="Times New Roman"/>
        </w:rPr>
        <w:t> </w:t>
      </w:r>
      <w:r w:rsidRPr="00ED2188">
        <w:rPr>
          <w:rFonts w:ascii="Times New Roman" w:hAnsi="Times New Roman"/>
        </w:rPr>
        <w:t xml:space="preserve">meaning of s 177J(1)(a), the condition in s 177J(1)(b) (regarding "principal purpose") was not satisfied in relation to the Scheme in the relevant year of income. It is, however, appropriate to make the following observations. </w:t>
      </w:r>
    </w:p>
    <w:p w14:paraId="4C479EB2"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In considering whether a scheme was entered into for the principal purpose of enabling the taxpayer to obtain the tax benefit as required by s 177J(1)(b)(i), the</w:t>
      </w:r>
      <w:r>
        <w:rPr>
          <w:rFonts w:ascii="Times New Roman" w:hAnsi="Times New Roman"/>
        </w:rPr>
        <w:t> </w:t>
      </w:r>
      <w:r w:rsidRPr="00ED2188">
        <w:rPr>
          <w:rFonts w:ascii="Times New Roman" w:hAnsi="Times New Roman"/>
        </w:rPr>
        <w:t>Court has regard to the matters in ss 177J(2) and 177D(2). The parties' submissions primarily focussed on two matters – (1) the manner of entry into the</w:t>
      </w:r>
      <w:r>
        <w:rPr>
          <w:rFonts w:ascii="Times New Roman" w:hAnsi="Times New Roman"/>
        </w:rPr>
        <w:t> </w:t>
      </w:r>
      <w:r w:rsidRPr="00ED2188">
        <w:rPr>
          <w:rFonts w:ascii="Times New Roman" w:hAnsi="Times New Roman"/>
        </w:rPr>
        <w:t xml:space="preserve">scheme (s 177D(2)(a)) and (2) the form and substance of the scheme (s 177D(2)(b)). </w:t>
      </w:r>
    </w:p>
    <w:p w14:paraId="729FF08C" w14:textId="77777777" w:rsidR="00A143F4" w:rsidRPr="00ED2188" w:rsidRDefault="00A143F4" w:rsidP="00ED2188">
      <w:pPr>
        <w:pStyle w:val="HeadingL3"/>
        <w:spacing w:after="260" w:line="280" w:lineRule="exact"/>
        <w:ind w:right="0"/>
        <w:jc w:val="both"/>
        <w:rPr>
          <w:rFonts w:ascii="Times New Roman" w:hAnsi="Times New Roman"/>
        </w:rPr>
      </w:pPr>
      <w:r w:rsidRPr="00ED2188">
        <w:rPr>
          <w:rFonts w:ascii="Times New Roman" w:hAnsi="Times New Roman"/>
        </w:rPr>
        <w:t>Manner in which the Scheme was entered into or carried out</w:t>
      </w:r>
    </w:p>
    <w:p w14:paraId="7CDC1B8C"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The primary judge found that the manner in which the Scheme was entered into or carried out supported PepsiCo's case, "but only slightly". The</w:t>
      </w:r>
      <w:r>
        <w:rPr>
          <w:rFonts w:ascii="Times New Roman" w:hAnsi="Times New Roman"/>
        </w:rPr>
        <w:t> </w:t>
      </w:r>
      <w:r w:rsidRPr="00ED2188">
        <w:rPr>
          <w:rFonts w:ascii="Times New Roman" w:hAnsi="Times New Roman"/>
        </w:rPr>
        <w:t>Commissioner's submissions on this issue may be characterised as having been faintly put. He submitted that the historical practices of the PepsiCo Group, including the FOBO model, were not relevant in seeking to identify the principal purpose of the Scheme on the basis that the Scheme was entered into in 2009 at a time when the royalty withholding tax provisions were in place. The Commissioner, in that respect, embraced the primary judge's observation that it would not be safe to assume that tax considerations did not have a role to play here.</w:t>
      </w:r>
    </w:p>
    <w:p w14:paraId="2319D142"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 xml:space="preserve">The primary judge's observation is plainly correct. It would be unthinkable to suppose that sophisticated commercial operators did not take tax outcomes into </w:t>
      </w:r>
      <w:r w:rsidRPr="00ED2188">
        <w:rPr>
          <w:rFonts w:ascii="Times New Roman" w:hAnsi="Times New Roman"/>
        </w:rPr>
        <w:lastRenderedPageBreak/>
        <w:t xml:space="preserve">consideration in negotiating the form of a transaction. As this Court observed in </w:t>
      </w:r>
      <w:r w:rsidRPr="00ED2188">
        <w:rPr>
          <w:rFonts w:ascii="Times New Roman" w:hAnsi="Times New Roman"/>
          <w:i/>
          <w:iCs/>
        </w:rPr>
        <w:t>Federal Commissioner of Taxation v Spotless Services Ltd</w:t>
      </w:r>
      <w:r w:rsidRPr="00ED2188">
        <w:rPr>
          <w:rFonts w:ascii="Times New Roman" w:hAnsi="Times New Roman"/>
        </w:rPr>
        <w:t>, "tax laws are one part of the legal order within which commerce is fostered and protected".</w:t>
      </w:r>
      <w:r w:rsidRPr="00ED2188">
        <w:rPr>
          <w:rStyle w:val="FootnoteReference"/>
          <w:rFonts w:ascii="Times New Roman" w:hAnsi="Times New Roman"/>
          <w:sz w:val="24"/>
        </w:rPr>
        <w:footnoteReference w:id="242"/>
      </w:r>
      <w:r w:rsidRPr="00ED2188">
        <w:rPr>
          <w:rFonts w:ascii="Times New Roman" w:hAnsi="Times New Roman"/>
        </w:rPr>
        <w:t xml:space="preserve"> But taking tax outcomes into account does not necessarily justify an application of Pt IVA of the ITAA 1936, or, indeed, the imposition of DPT. The choice of leasing rather than buying business premises, as described by Gleeson CJ and McHugh J in </w:t>
      </w:r>
      <w:r w:rsidRPr="00ED2188">
        <w:rPr>
          <w:rFonts w:ascii="Times New Roman" w:hAnsi="Times New Roman"/>
          <w:i/>
          <w:iCs/>
        </w:rPr>
        <w:t>Federal Commissioner of Taxation v Hart</w:t>
      </w:r>
      <w:r w:rsidRPr="00ED2188">
        <w:rPr>
          <w:rFonts w:ascii="Times New Roman" w:hAnsi="Times New Roman"/>
        </w:rPr>
        <w:t>,</w:t>
      </w:r>
      <w:r w:rsidRPr="00ED2188">
        <w:rPr>
          <w:rStyle w:val="FootnoteReference"/>
          <w:rFonts w:ascii="Times New Roman" w:hAnsi="Times New Roman"/>
          <w:sz w:val="24"/>
        </w:rPr>
        <w:footnoteReference w:id="243"/>
      </w:r>
      <w:r w:rsidRPr="00ED2188">
        <w:rPr>
          <w:rFonts w:ascii="Times New Roman" w:hAnsi="Times New Roman"/>
        </w:rPr>
        <w:t xml:space="preserve"> illustrates that reality.</w:t>
      </w:r>
    </w:p>
    <w:p w14:paraId="307D8D25"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The most significant features about the manner in which PepsiCo entered into and carried out the Scheme are three-fold. First, the Scheme was the product of an arm's length negotiation between experienced and large commercial enterprises. Second, the Scheme produced a price payable for concentrate that was not disproportionately high and which was paid to an Australian resident taxpayer. Third, the Scheme followed broadly a pre-existing and entirely commercial way of doing business: namely the FOBO model. It follows that a consideration "of</w:t>
      </w:r>
      <w:r>
        <w:rPr>
          <w:rFonts w:ascii="Times New Roman" w:hAnsi="Times New Roman"/>
        </w:rPr>
        <w:t> </w:t>
      </w:r>
      <w:r w:rsidRPr="00ED2188">
        <w:rPr>
          <w:rFonts w:ascii="Times New Roman" w:hAnsi="Times New Roman"/>
        </w:rPr>
        <w:t>the</w:t>
      </w:r>
      <w:r>
        <w:rPr>
          <w:rFonts w:ascii="Times New Roman" w:hAnsi="Times New Roman"/>
        </w:rPr>
        <w:t> </w:t>
      </w:r>
      <w:r w:rsidRPr="00ED2188">
        <w:rPr>
          <w:rFonts w:ascii="Times New Roman" w:hAnsi="Times New Roman"/>
        </w:rPr>
        <w:t>way in which and method or procedure by which the particular scheme in question was established"</w:t>
      </w:r>
      <w:r w:rsidRPr="00ED2188">
        <w:rPr>
          <w:rStyle w:val="FootnoteReference"/>
          <w:rFonts w:ascii="Times New Roman" w:hAnsi="Times New Roman"/>
          <w:sz w:val="24"/>
        </w:rPr>
        <w:footnoteReference w:id="244"/>
      </w:r>
      <w:r w:rsidRPr="00ED2188">
        <w:rPr>
          <w:rFonts w:ascii="Times New Roman" w:hAnsi="Times New Roman"/>
        </w:rPr>
        <w:t xml:space="preserve"> and then carried out does not support the conclusion that PepsiCo had a principal purpose of enabling it to obtain a tax benefit.</w:t>
      </w:r>
    </w:p>
    <w:p w14:paraId="5B9C98CF" w14:textId="77777777" w:rsidR="00A143F4" w:rsidRPr="00ED2188" w:rsidRDefault="00A143F4" w:rsidP="00ED2188">
      <w:pPr>
        <w:pStyle w:val="HeadingL3"/>
        <w:spacing w:after="260" w:line="280" w:lineRule="exact"/>
        <w:ind w:right="0"/>
        <w:jc w:val="both"/>
        <w:rPr>
          <w:rFonts w:ascii="Times New Roman" w:hAnsi="Times New Roman"/>
        </w:rPr>
      </w:pPr>
      <w:r w:rsidRPr="00ED2188">
        <w:rPr>
          <w:rFonts w:ascii="Times New Roman" w:hAnsi="Times New Roman"/>
        </w:rPr>
        <w:t>Form and substance of the Scheme</w:t>
      </w:r>
    </w:p>
    <w:p w14:paraId="219F2B45"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 xml:space="preserve">The Commissioner submitted that the form and substance of the Scheme did not match and that this difference strongly supported the Scheme having been entered into for the principal purpose of enabling PepsiCo to obtain the tax benefit. He contended that the substance of the Scheme was a commercial bargain under which SAPL was provided with the means to manufacture and sell the Beverages for which SAPL paid amounts of money. By way of contrast, it was said, the form of the Scheme was that SAPL paid amounts as consideration for concentrate alone, and no part of that payment was for the right to use </w:t>
      </w:r>
      <w:r>
        <w:rPr>
          <w:rFonts w:ascii="Times New Roman" w:hAnsi="Times New Roman"/>
        </w:rPr>
        <w:t xml:space="preserve">the </w:t>
      </w:r>
      <w:r w:rsidRPr="00ED2188">
        <w:rPr>
          <w:rFonts w:ascii="Times New Roman" w:hAnsi="Times New Roman"/>
        </w:rPr>
        <w:t>PepsiCo Intellectual Property even though those intellectual property rights were indispensable to SAPL's business.</w:t>
      </w:r>
    </w:p>
    <w:p w14:paraId="724BC962"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 xml:space="preserve">For the reasons already given, the Commissioner's argument is flawed because it misstates the true economic and commercial substance of the Scheme. In reality, because the price agreed for concentrate was for concentrate and nothing else, the form and substance of the Scheme were the same. In other words, </w:t>
      </w:r>
      <w:r w:rsidRPr="00ED2188">
        <w:rPr>
          <w:rFonts w:ascii="Times New Roman" w:hAnsi="Times New Roman"/>
        </w:rPr>
        <w:lastRenderedPageBreak/>
        <w:t>the</w:t>
      </w:r>
      <w:r>
        <w:rPr>
          <w:rFonts w:ascii="Times New Roman" w:hAnsi="Times New Roman"/>
        </w:rPr>
        <w:t> </w:t>
      </w:r>
      <w:r w:rsidRPr="00ED2188">
        <w:rPr>
          <w:rFonts w:ascii="Times New Roman" w:hAnsi="Times New Roman"/>
        </w:rPr>
        <w:t>composite SAPL Bottler, Seller and Distributor Agreement was a correct and accurate record of the bargain ultimately struck by the parties. It follows that this factor strongly favours the conclusion that the Scheme was not entered into for the</w:t>
      </w:r>
      <w:r>
        <w:rPr>
          <w:rFonts w:ascii="Times New Roman" w:hAnsi="Times New Roman"/>
        </w:rPr>
        <w:t> </w:t>
      </w:r>
      <w:r w:rsidRPr="00ED2188">
        <w:rPr>
          <w:rFonts w:ascii="Times New Roman" w:hAnsi="Times New Roman"/>
        </w:rPr>
        <w:t>principal purpose of enabling PepsiCo to obtain the tax benefit.</w:t>
      </w:r>
    </w:p>
    <w:p w14:paraId="6079B434" w14:textId="77777777" w:rsidR="00A143F4" w:rsidRPr="00ED2188" w:rsidRDefault="00A143F4" w:rsidP="00ED2188">
      <w:pPr>
        <w:pStyle w:val="HeadingL3"/>
        <w:spacing w:after="260" w:line="280" w:lineRule="exact"/>
        <w:ind w:right="0"/>
        <w:jc w:val="both"/>
        <w:rPr>
          <w:rFonts w:ascii="Times New Roman" w:hAnsi="Times New Roman"/>
        </w:rPr>
      </w:pPr>
      <w:r w:rsidRPr="00ED2188">
        <w:rPr>
          <w:rFonts w:ascii="Times New Roman" w:hAnsi="Times New Roman"/>
        </w:rPr>
        <w:t>Other s 177D(2) matters</w:t>
      </w:r>
    </w:p>
    <w:p w14:paraId="3803159E"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The other matters set out in s 177D(2) were not the subject of oral argument and assumed less importance in the written submissions. Indeed, no submissions were made by the Commissioner concerning the result in relation to the operation of the ITAA 1936 that would be achieved but for an application of Pt IVA (s 177D(2)(d)) and neither party made any submission about the time when the</w:t>
      </w:r>
      <w:r>
        <w:rPr>
          <w:rFonts w:ascii="Times New Roman" w:hAnsi="Times New Roman"/>
        </w:rPr>
        <w:t> </w:t>
      </w:r>
      <w:r w:rsidRPr="00ED2188">
        <w:rPr>
          <w:rFonts w:ascii="Times New Roman" w:hAnsi="Times New Roman"/>
        </w:rPr>
        <w:t>scheme was entered into and carried out (s 177D(2)(c)). As for the former, as PepsiCo submitted, the royalty withholding tax said to have been avoided represented about one per</w:t>
      </w:r>
      <w:r w:rsidRPr="00ED2188">
        <w:rPr>
          <w:rStyle w:val="CommentReference"/>
          <w:rFonts w:ascii="Times New Roman" w:hAnsi="Times New Roman"/>
        </w:rPr>
        <w:t> </w:t>
      </w:r>
      <w:r w:rsidRPr="00ED2188">
        <w:rPr>
          <w:rFonts w:ascii="Times New Roman" w:hAnsi="Times New Roman"/>
        </w:rPr>
        <w:t>cent of the total payments made by SAPL; this is a negligible sum for such large commercial enterprises. That fact militates strongly against the presence of the required principal purpose. As for the issue of timing, it was not suggested that when the composite SAPL Bottler, Seller and Distributor Agreement was entered into was affected by considerations about withholding tax.</w:t>
      </w:r>
    </w:p>
    <w:p w14:paraId="6961295C"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 xml:space="preserve">As for any change in financial position of the relevant taxpayer or any person who has or has had any connection with the relevant taxpayer (s 177D(2)(e) and (f)), PepsiCo submitted that the composite SAPL Bottler, Seller and Distributor Agreement was a </w:t>
      </w:r>
      <w:r w:rsidRPr="00ED2188">
        <w:rPr>
          <w:rFonts w:ascii="Times New Roman" w:hAnsi="Times New Roman"/>
          <w:iCs/>
        </w:rPr>
        <w:t>restated</w:t>
      </w:r>
      <w:r w:rsidRPr="00ED2188">
        <w:rPr>
          <w:rFonts w:ascii="Times New Roman" w:hAnsi="Times New Roman"/>
        </w:rPr>
        <w:t xml:space="preserve"> exclusive bottling appointment which did not result in any immediate financial change as it provided for the continuation of an existing business arrangement. The Commissioner submitted that under this factor a comparison should be made with the financial position under the</w:t>
      </w:r>
      <w:r>
        <w:rPr>
          <w:rFonts w:ascii="Times New Roman" w:hAnsi="Times New Roman"/>
        </w:rPr>
        <w:t> </w:t>
      </w:r>
      <w:r w:rsidRPr="00ED2188">
        <w:rPr>
          <w:rFonts w:ascii="Times New Roman" w:hAnsi="Times New Roman"/>
        </w:rPr>
        <w:t>alternative postulates he posed.</w:t>
      </w:r>
      <w:r w:rsidRPr="00ED2188">
        <w:rPr>
          <w:rStyle w:val="FootnoteReference"/>
          <w:rFonts w:ascii="Times New Roman" w:hAnsi="Times New Roman"/>
          <w:sz w:val="24"/>
        </w:rPr>
        <w:footnoteReference w:id="245"/>
      </w:r>
      <w:r w:rsidRPr="00ED2188">
        <w:rPr>
          <w:rFonts w:ascii="Times New Roman" w:hAnsi="Times New Roman"/>
        </w:rPr>
        <w:t xml:space="preserve"> However, as these are not reasonable alternative postulates, such a comparison is of no utility. This factor favours PepsiCo.</w:t>
      </w:r>
    </w:p>
    <w:p w14:paraId="4F7C9BE4"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 xml:space="preserve">As for the nature of any connection between the relevant taxpayer and any person who has had a change in financial position as a result of the scheme (s 177D(2)(h)), the Commissioner accepted that SAPL was independent of PepsiCo, but nonetheless submitted that the parties did not act at arm's length in relation to the allocation of the amounts paid by SAPL as being for concentrate only. The Commissioner referred to </w:t>
      </w:r>
      <w:r w:rsidRPr="00ED2188">
        <w:rPr>
          <w:rFonts w:ascii="Times New Roman" w:hAnsi="Times New Roman"/>
          <w:i/>
          <w:iCs/>
        </w:rPr>
        <w:t>Collis v Federal Commissioner of Taxation</w:t>
      </w:r>
      <w:r w:rsidRPr="00ED2188">
        <w:rPr>
          <w:rFonts w:ascii="Times New Roman" w:hAnsi="Times New Roman"/>
        </w:rPr>
        <w:t>.</w:t>
      </w:r>
      <w:r w:rsidRPr="00ED2188">
        <w:rPr>
          <w:rStyle w:val="FootnoteReference"/>
          <w:rFonts w:ascii="Times New Roman" w:hAnsi="Times New Roman"/>
          <w:sz w:val="24"/>
        </w:rPr>
        <w:footnoteReference w:id="246"/>
      </w:r>
      <w:r w:rsidRPr="00ED2188">
        <w:rPr>
          <w:rFonts w:ascii="Times New Roman" w:hAnsi="Times New Roman"/>
        </w:rPr>
        <w:t xml:space="preserve"> It is unnecessary to address that decision as the Commissioner's contention was </w:t>
      </w:r>
      <w:r w:rsidRPr="00ED2188">
        <w:rPr>
          <w:rFonts w:ascii="Times New Roman" w:hAnsi="Times New Roman"/>
        </w:rPr>
        <w:lastRenderedPageBreak/>
        <w:t>not supported by any finding made by the primary judge or by the Full Federal Court that the parties had not dealt with the issue of pricing of concentrate at arm's length, and it was squarely contradicted by the Commissioner not disputing that it was an arm's length price, or a fair price, or a price that was not disproportionately high. Otherwise this factor, which highlights the arm's length dealing which had taken place between the parties, favours PepsiCo's position.</w:t>
      </w:r>
    </w:p>
    <w:p w14:paraId="7A756220"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It should finally be noted that the Commissioner also relied upon a finding below that less tax was paid in the United States by PepsiCo. The relevance of any reduction in foreign tax is mandated by s 177J(1)(b). As has been explained, a</w:t>
      </w:r>
      <w:r>
        <w:rPr>
          <w:rFonts w:ascii="Times New Roman" w:hAnsi="Times New Roman"/>
        </w:rPr>
        <w:t> </w:t>
      </w:r>
      <w:r w:rsidRPr="00ED2188">
        <w:rPr>
          <w:rFonts w:ascii="Times New Roman" w:hAnsi="Times New Roman"/>
        </w:rPr>
        <w:t>saving in tax in the United States was conceded by PepsiCo, but no actual amount of tax saved was determined below, save that the savings before December 2017 were said to appear to be "substantial". It follows that this factor must favour the</w:t>
      </w:r>
      <w:r>
        <w:rPr>
          <w:rFonts w:ascii="Times New Roman" w:hAnsi="Times New Roman"/>
        </w:rPr>
        <w:t> </w:t>
      </w:r>
      <w:r w:rsidRPr="00ED2188">
        <w:rPr>
          <w:rFonts w:ascii="Times New Roman" w:hAnsi="Times New Roman"/>
        </w:rPr>
        <w:t>Commissioner.</w:t>
      </w:r>
    </w:p>
    <w:p w14:paraId="04425FD6" w14:textId="77777777" w:rsidR="00A143F4" w:rsidRPr="00ED2188" w:rsidRDefault="00A143F4" w:rsidP="00ED2188">
      <w:pPr>
        <w:pStyle w:val="FixListStyle"/>
        <w:spacing w:after="260" w:line="280" w:lineRule="exact"/>
        <w:ind w:right="0"/>
        <w:jc w:val="both"/>
        <w:rPr>
          <w:rFonts w:ascii="Times New Roman" w:hAnsi="Times New Roman"/>
        </w:rPr>
      </w:pPr>
      <w:r w:rsidRPr="00ED2188">
        <w:rPr>
          <w:rFonts w:ascii="Times New Roman" w:hAnsi="Times New Roman"/>
        </w:rPr>
        <w:tab/>
        <w:t>All of the s 177D(2) factors, save for the last, strongly support the</w:t>
      </w:r>
      <w:r>
        <w:rPr>
          <w:rFonts w:ascii="Times New Roman" w:hAnsi="Times New Roman"/>
        </w:rPr>
        <w:t> </w:t>
      </w:r>
      <w:r w:rsidRPr="00ED2188">
        <w:rPr>
          <w:rFonts w:ascii="Times New Roman" w:hAnsi="Times New Roman"/>
        </w:rPr>
        <w:t>conclusion that the principal purpose of PepsiCo in entering into and carrying out the Scheme was not to obtain the tax benefit identified by the Commissioner. In</w:t>
      </w:r>
      <w:r>
        <w:rPr>
          <w:rFonts w:ascii="Times New Roman" w:hAnsi="Times New Roman"/>
        </w:rPr>
        <w:t> </w:t>
      </w:r>
      <w:r w:rsidRPr="00ED2188">
        <w:rPr>
          <w:rFonts w:ascii="Times New Roman" w:hAnsi="Times New Roman"/>
        </w:rPr>
        <w:t>any event, for the reasons already given no such tax benefit was ever obtained.</w:t>
      </w:r>
    </w:p>
    <w:p w14:paraId="0163521D" w14:textId="77777777" w:rsidR="00A143F4" w:rsidRPr="00ED2188" w:rsidRDefault="00A143F4" w:rsidP="00ED2188">
      <w:pPr>
        <w:pStyle w:val="HeadingL1"/>
        <w:spacing w:after="260" w:line="280" w:lineRule="exact"/>
        <w:ind w:right="0"/>
        <w:jc w:val="both"/>
        <w:rPr>
          <w:rFonts w:ascii="Times New Roman" w:hAnsi="Times New Roman"/>
        </w:rPr>
      </w:pPr>
      <w:r w:rsidRPr="00ED2188">
        <w:rPr>
          <w:rFonts w:ascii="Times New Roman" w:hAnsi="Times New Roman"/>
        </w:rPr>
        <w:t>Conclusion and orders</w:t>
      </w:r>
    </w:p>
    <w:p w14:paraId="26300AF7" w14:textId="55A4F4D8" w:rsidR="00A73989" w:rsidRPr="00A143F4" w:rsidRDefault="00A143F4" w:rsidP="00A143F4">
      <w:pPr>
        <w:pStyle w:val="FixListStyle"/>
        <w:spacing w:after="260" w:line="280" w:lineRule="exact"/>
        <w:ind w:right="0"/>
        <w:jc w:val="both"/>
        <w:rPr>
          <w:rFonts w:ascii="Times New Roman" w:hAnsi="Times New Roman"/>
        </w:rPr>
      </w:pPr>
      <w:r w:rsidRPr="00ED2188">
        <w:rPr>
          <w:rFonts w:ascii="Times New Roman" w:hAnsi="Times New Roman"/>
        </w:rPr>
        <w:tab/>
        <w:t>For those reasons, each appeal is dismissed with costs.</w:t>
      </w:r>
    </w:p>
    <w:sectPr w:rsidR="00A73989" w:rsidRPr="00A143F4" w:rsidSect="00A143F4">
      <w:headerReference w:type="even" r:id="rId23"/>
      <w:headerReference w:type="default" r:id="rId24"/>
      <w:headerReference w:type="first" r:id="rId25"/>
      <w:pgSz w:w="11907" w:h="16839" w:code="9"/>
      <w:pgMar w:top="1440" w:right="1701" w:bottom="1984" w:left="1701"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0F43A" w14:textId="77777777" w:rsidR="00C869F8" w:rsidRDefault="00C869F8">
      <w:pPr>
        <w:spacing w:line="240" w:lineRule="auto"/>
      </w:pPr>
      <w:r>
        <w:separator/>
      </w:r>
    </w:p>
  </w:endnote>
  <w:endnote w:type="continuationSeparator" w:id="0">
    <w:p w14:paraId="0C9E27B7" w14:textId="77777777" w:rsidR="00C869F8" w:rsidRDefault="00C869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Univers"/>
    <w:panose1 w:val="020B0603020202030204"/>
    <w:charset w:val="00"/>
    <w:family w:val="swiss"/>
    <w:pitch w:val="variable"/>
    <w:sig w:usb0="8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5BC65" w14:textId="77777777" w:rsidR="00CD054E" w:rsidRDefault="00CD05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AC6D8" w14:textId="77777777" w:rsidR="00CD054E" w:rsidRDefault="00CD05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63F5" w14:textId="77777777" w:rsidR="00CD054E" w:rsidRDefault="00CD05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937F8" w14:textId="77777777" w:rsidR="00CD054E" w:rsidRDefault="00CD054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27789" w14:textId="77777777" w:rsidR="00CD054E" w:rsidRDefault="00CD054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A864" w14:textId="77777777" w:rsidR="00CD054E" w:rsidRDefault="00CD0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5196D" w14:textId="77777777" w:rsidR="00C869F8" w:rsidRPr="004D645D" w:rsidRDefault="00C869F8" w:rsidP="004D645D">
      <w:pPr>
        <w:pStyle w:val="Footer"/>
        <w:spacing w:before="120" w:after="20"/>
        <w:ind w:right="0"/>
        <w:rPr>
          <w:rFonts w:ascii="Times New Roman" w:hAnsi="Times New Roman"/>
        </w:rPr>
      </w:pPr>
      <w:r>
        <w:continuationSeparator/>
      </w:r>
    </w:p>
  </w:footnote>
  <w:footnote w:type="continuationSeparator" w:id="0">
    <w:p w14:paraId="5C741337" w14:textId="77777777" w:rsidR="00C869F8" w:rsidRPr="004D645D" w:rsidRDefault="00C869F8" w:rsidP="004D645D">
      <w:pPr>
        <w:pStyle w:val="Footer"/>
        <w:spacing w:before="120" w:after="20"/>
        <w:ind w:right="0"/>
        <w:rPr>
          <w:rFonts w:ascii="Times New Roman" w:hAnsi="Times New Roman"/>
        </w:rPr>
      </w:pPr>
      <w:r w:rsidRPr="004D645D">
        <w:rPr>
          <w:rFonts w:ascii="Times New Roman" w:hAnsi="Times New Roman"/>
        </w:rPr>
        <w:continuationSeparator/>
      </w:r>
    </w:p>
  </w:footnote>
  <w:footnote w:type="continuationNotice" w:id="1">
    <w:p w14:paraId="0CE1C801" w14:textId="77777777" w:rsidR="00C869F8" w:rsidRPr="00A143F4" w:rsidRDefault="00C869F8">
      <w:pPr>
        <w:jc w:val="right"/>
        <w:rPr>
          <w:rFonts w:ascii="Times New Roman" w:hAnsi="Times New Roman"/>
          <w:sz w:val="24"/>
        </w:rPr>
      </w:pPr>
    </w:p>
  </w:footnote>
  <w:footnote w:id="2">
    <w:p w14:paraId="20F2F897"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t>As in force in the relevant income years ending 30 June 2018 and 30 June 2019.</w:t>
      </w:r>
    </w:p>
  </w:footnote>
  <w:footnote w:id="3">
    <w:p w14:paraId="243788A8"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Commissioner of Taxation</w:t>
      </w:r>
      <w:r w:rsidRPr="004D645D">
        <w:rPr>
          <w:rFonts w:ascii="Times New Roman" w:hAnsi="Times New Roman"/>
          <w:sz w:val="24"/>
        </w:rPr>
        <w:t xml:space="preserve"> (2023) 117 ATR 328 at 333-334 [18].</w:t>
      </w:r>
    </w:p>
  </w:footnote>
  <w:footnote w:id="4">
    <w:p w14:paraId="018259AB"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Federal Commissioner of Taxation</w:t>
      </w:r>
      <w:r w:rsidRPr="004D645D">
        <w:rPr>
          <w:rFonts w:ascii="Times New Roman" w:hAnsi="Times New Roman"/>
          <w:sz w:val="24"/>
        </w:rPr>
        <w:t xml:space="preserve"> (2024) 303 FCR 1 at 12-13 [37], 14 [44]-[46], 25-26 [101]. </w:t>
      </w:r>
    </w:p>
  </w:footnote>
  <w:footnote w:id="5">
    <w:p w14:paraId="00B6B749"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Federal Commissioner of Taxation</w:t>
      </w:r>
      <w:r w:rsidRPr="004D645D">
        <w:rPr>
          <w:rFonts w:ascii="Times New Roman" w:hAnsi="Times New Roman"/>
          <w:sz w:val="24"/>
        </w:rPr>
        <w:t xml:space="preserve"> (2024) 303 FCR 1 at 47 [203].</w:t>
      </w:r>
    </w:p>
  </w:footnote>
  <w:footnote w:id="6">
    <w:p w14:paraId="7CA22DE7"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Federal Commissioner of Taxation</w:t>
      </w:r>
      <w:r w:rsidRPr="004D645D">
        <w:rPr>
          <w:rFonts w:ascii="Times New Roman" w:hAnsi="Times New Roman"/>
          <w:sz w:val="24"/>
        </w:rPr>
        <w:t xml:space="preserve"> (2024) 303 FCR 1 at 48 [206].</w:t>
      </w:r>
    </w:p>
  </w:footnote>
  <w:footnote w:id="7">
    <w:p w14:paraId="74C80012"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Federal Commissioner of Taxation</w:t>
      </w:r>
      <w:r w:rsidRPr="004D645D">
        <w:rPr>
          <w:rFonts w:ascii="Times New Roman" w:hAnsi="Times New Roman"/>
          <w:sz w:val="24"/>
        </w:rPr>
        <w:t xml:space="preserve"> (2024) 303 FCR 1 at 48 [207]-[208].</w:t>
      </w:r>
    </w:p>
  </w:footnote>
  <w:footnote w:id="8">
    <w:p w14:paraId="37B79B84"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Federal Commissioner of Taxation</w:t>
      </w:r>
      <w:r w:rsidRPr="004D645D">
        <w:rPr>
          <w:rFonts w:ascii="Times New Roman" w:hAnsi="Times New Roman"/>
          <w:sz w:val="24"/>
        </w:rPr>
        <w:t xml:space="preserve"> (2024) 303 FCR 1 at 49 [218].</w:t>
      </w:r>
    </w:p>
  </w:footnote>
  <w:footnote w:id="9">
    <w:p w14:paraId="19D5DCDD"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t>PepsiCo EBA, cl 3(a); SVC EBA, cl 3(a).</w:t>
      </w:r>
    </w:p>
  </w:footnote>
  <w:footnote w:id="10">
    <w:p w14:paraId="3C86CFD2"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t>PepsiCo EBA, cl 4; SVC EBA, cll 7.1, 7.2 and 7.3.</w:t>
      </w:r>
    </w:p>
  </w:footnote>
  <w:footnote w:id="11">
    <w:p w14:paraId="1ADF7459"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t>PepsiCo EBA, cl 5; SVC EBA, cl 6.3.</w:t>
      </w:r>
    </w:p>
  </w:footnote>
  <w:footnote w:id="12">
    <w:p w14:paraId="097F31A2"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t>PepsiCo EBA, cll 6 and 7; SVC EBA, cl 5.</w:t>
      </w:r>
    </w:p>
  </w:footnote>
  <w:footnote w:id="13">
    <w:p w14:paraId="6F9FC946"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t>PepsiCo EBA, cl 8; SVC EBA, cl 5.4(a).</w:t>
      </w:r>
    </w:p>
  </w:footnote>
  <w:footnote w:id="14">
    <w:p w14:paraId="5FF96FD3"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t>PepsiCo EBA, cl 9; SVC EBA, cl 5.4(b).</w:t>
      </w:r>
    </w:p>
  </w:footnote>
  <w:footnote w:id="15">
    <w:p w14:paraId="7F43D2FB"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t>PepsiCo EBA, cl 11; SVC EBA, cll 9.1 and 9.2.</w:t>
      </w:r>
    </w:p>
  </w:footnote>
  <w:footnote w:id="16">
    <w:p w14:paraId="6801E583"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t>SVC EBA, cl 4.</w:t>
      </w:r>
    </w:p>
  </w:footnote>
  <w:footnote w:id="17">
    <w:p w14:paraId="2BCEB605"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t>PepsiCo EBA, cl 5; SVC EBA, cl 6.1.</w:t>
      </w:r>
    </w:p>
  </w:footnote>
  <w:footnote w:id="18">
    <w:p w14:paraId="3429B915"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t>PepsiCo EBA, cll 18 and 19.</w:t>
      </w:r>
    </w:p>
  </w:footnote>
  <w:footnote w:id="19">
    <w:p w14:paraId="3FAE173F"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t>SVC EBA, cll 10 and 11.</w:t>
      </w:r>
    </w:p>
  </w:footnote>
  <w:footnote w:id="20">
    <w:p w14:paraId="14BEA3B5"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t>SVC EBA, cl 16.</w:t>
      </w:r>
    </w:p>
  </w:footnote>
  <w:footnote w:id="21">
    <w:p w14:paraId="709B05BB"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t>PepsiCo EBA, cl 4(c).</w:t>
      </w:r>
    </w:p>
  </w:footnote>
  <w:footnote w:id="22">
    <w:p w14:paraId="0637D2DE"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t>PepsiCo EBA, cl 26(a).</w:t>
      </w:r>
    </w:p>
  </w:footnote>
  <w:footnote w:id="23">
    <w:p w14:paraId="26A152E9"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t>SVC EBA, cl 7.1(b).</w:t>
      </w:r>
    </w:p>
  </w:footnote>
  <w:footnote w:id="24">
    <w:p w14:paraId="15F67A55"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t>SVC EBA, cl 7.4(f) and (g).</w:t>
      </w:r>
    </w:p>
  </w:footnote>
  <w:footnote w:id="25">
    <w:p w14:paraId="2BBFBF82"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t>SVC EBA, cl 7.5.</w:t>
      </w:r>
    </w:p>
  </w:footnote>
  <w:footnote w:id="26">
    <w:p w14:paraId="7622B3A4"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t>CDA, s 1.5.</w:t>
      </w:r>
    </w:p>
  </w:footnote>
  <w:footnote w:id="27">
    <w:p w14:paraId="2C529D7B"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t>CDA, ss 1.2, 1.4, 1.16 and Sch A.</w:t>
      </w:r>
    </w:p>
  </w:footnote>
  <w:footnote w:id="28">
    <w:p w14:paraId="787037BF"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t>CDA, s 2.1.</w:t>
      </w:r>
    </w:p>
  </w:footnote>
  <w:footnote w:id="29">
    <w:p w14:paraId="04177FD8"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t>CDA, s 2.2.</w:t>
      </w:r>
    </w:p>
  </w:footnote>
  <w:footnote w:id="30">
    <w:p w14:paraId="149032D9"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t>CDA, s 3.1.</w:t>
      </w:r>
    </w:p>
  </w:footnote>
  <w:footnote w:id="31">
    <w:p w14:paraId="7AFB7D34"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t>CDA, s 3.2.</w:t>
      </w:r>
    </w:p>
  </w:footnote>
  <w:footnote w:id="32">
    <w:p w14:paraId="1CFF33F2"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t>CDA, s 4.5.</w:t>
      </w:r>
    </w:p>
  </w:footnote>
  <w:footnote w:id="33">
    <w:p w14:paraId="05788EBA"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Commissioner of Taxation</w:t>
      </w:r>
      <w:r w:rsidRPr="004D645D">
        <w:rPr>
          <w:rFonts w:ascii="Times New Roman" w:hAnsi="Times New Roman"/>
          <w:sz w:val="24"/>
        </w:rPr>
        <w:t xml:space="preserve"> (2023) 117 ATR 328 at 331 [7], 352 [119]-[125].</w:t>
      </w:r>
    </w:p>
  </w:footnote>
  <w:footnote w:id="34">
    <w:p w14:paraId="7D0837CE"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Commissioner of Taxation</w:t>
      </w:r>
      <w:r w:rsidRPr="004D645D">
        <w:rPr>
          <w:rFonts w:ascii="Times New Roman" w:hAnsi="Times New Roman"/>
          <w:sz w:val="24"/>
        </w:rPr>
        <w:t xml:space="preserve"> (2023) 117 ATR 328 at 356 [155]-[156], 357 [159].</w:t>
      </w:r>
    </w:p>
  </w:footnote>
  <w:footnote w:id="35">
    <w:p w14:paraId="3F51C98E"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Commissioner of Taxation</w:t>
      </w:r>
      <w:r w:rsidRPr="004D645D">
        <w:rPr>
          <w:rFonts w:ascii="Times New Roman" w:hAnsi="Times New Roman"/>
          <w:sz w:val="24"/>
        </w:rPr>
        <w:t xml:space="preserve"> (2023) 117 ATR 328 at 358 [168].</w:t>
      </w:r>
    </w:p>
  </w:footnote>
  <w:footnote w:id="36">
    <w:p w14:paraId="3FAE1FD5"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Commissioner of Taxation</w:t>
      </w:r>
      <w:r w:rsidRPr="004D645D">
        <w:rPr>
          <w:rFonts w:ascii="Times New Roman" w:hAnsi="Times New Roman"/>
          <w:sz w:val="24"/>
        </w:rPr>
        <w:t xml:space="preserve"> (2023) 117 ATR 328 at 359 [169].</w:t>
      </w:r>
    </w:p>
  </w:footnote>
  <w:footnote w:id="37">
    <w:p w14:paraId="160800A7"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Commissioner of Taxation</w:t>
      </w:r>
      <w:r w:rsidRPr="004D645D">
        <w:rPr>
          <w:rFonts w:ascii="Times New Roman" w:hAnsi="Times New Roman"/>
          <w:sz w:val="24"/>
        </w:rPr>
        <w:t xml:space="preserve"> (2023) 117 ATR 328 at 359 [173].</w:t>
      </w:r>
    </w:p>
  </w:footnote>
  <w:footnote w:id="38">
    <w:p w14:paraId="4C0DCB14"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Commissioner of Taxation</w:t>
      </w:r>
      <w:r w:rsidRPr="004D645D">
        <w:rPr>
          <w:rFonts w:ascii="Times New Roman" w:hAnsi="Times New Roman"/>
          <w:sz w:val="24"/>
        </w:rPr>
        <w:t xml:space="preserve"> (2023) 117 ATR 328 at 359-360 [175].</w:t>
      </w:r>
    </w:p>
  </w:footnote>
  <w:footnote w:id="39">
    <w:p w14:paraId="483491E3"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Commissioner of Taxation</w:t>
      </w:r>
      <w:r w:rsidRPr="004D645D">
        <w:rPr>
          <w:rFonts w:ascii="Times New Roman" w:hAnsi="Times New Roman"/>
          <w:sz w:val="24"/>
        </w:rPr>
        <w:t xml:space="preserve"> (2023) 117 ATR 328 at 359-360 [174]-[176].</w:t>
      </w:r>
    </w:p>
  </w:footnote>
  <w:footnote w:id="40">
    <w:p w14:paraId="23CD8037"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Commissioner of Taxation</w:t>
      </w:r>
      <w:r w:rsidRPr="004D645D">
        <w:rPr>
          <w:rFonts w:ascii="Times New Roman" w:hAnsi="Times New Roman"/>
          <w:sz w:val="24"/>
        </w:rPr>
        <w:t xml:space="preserve"> (2023) 117 ATR 328 at 362-363 [186]-[188].</w:t>
      </w:r>
    </w:p>
  </w:footnote>
  <w:footnote w:id="41">
    <w:p w14:paraId="1DBC9427"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Commissioner of Taxation</w:t>
      </w:r>
      <w:r w:rsidRPr="004D645D">
        <w:rPr>
          <w:rFonts w:ascii="Times New Roman" w:hAnsi="Times New Roman"/>
          <w:sz w:val="24"/>
        </w:rPr>
        <w:t xml:space="preserve"> (2023) 117 ATR 328 at 362 [182].</w:t>
      </w:r>
    </w:p>
  </w:footnote>
  <w:footnote w:id="42">
    <w:p w14:paraId="668C4B4C"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Commissioner of Taxation</w:t>
      </w:r>
      <w:r w:rsidRPr="004D645D">
        <w:rPr>
          <w:rFonts w:ascii="Times New Roman" w:hAnsi="Times New Roman"/>
          <w:sz w:val="24"/>
        </w:rPr>
        <w:t xml:space="preserve"> (2023) 117 ATR 328 at 376-377 [244], [245] (emphasis added and omitted).</w:t>
      </w:r>
    </w:p>
  </w:footnote>
  <w:footnote w:id="43">
    <w:p w14:paraId="2F31861E"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Federal Commissioner of Taxation</w:t>
      </w:r>
      <w:r w:rsidRPr="004D645D">
        <w:rPr>
          <w:rFonts w:ascii="Times New Roman" w:hAnsi="Times New Roman"/>
          <w:sz w:val="24"/>
        </w:rPr>
        <w:t xml:space="preserve"> (2024) 303 FCR 1 at 10 [24].</w:t>
      </w:r>
    </w:p>
  </w:footnote>
  <w:footnote w:id="44">
    <w:p w14:paraId="19F2E8C5"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Federal Commissioner of Taxation</w:t>
      </w:r>
      <w:r w:rsidRPr="004D645D">
        <w:rPr>
          <w:rFonts w:ascii="Times New Roman" w:hAnsi="Times New Roman"/>
          <w:sz w:val="24"/>
        </w:rPr>
        <w:t xml:space="preserve"> (2024) 303 FCR 1 at 10 [27].</w:t>
      </w:r>
    </w:p>
  </w:footnote>
  <w:footnote w:id="45">
    <w:p w14:paraId="16D88611"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t>(1948) 77 CLR 143.</w:t>
      </w:r>
    </w:p>
  </w:footnote>
  <w:footnote w:id="46">
    <w:p w14:paraId="0B9BEC02"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t>(1958) 100 CLR 392.</w:t>
      </w:r>
    </w:p>
  </w:footnote>
  <w:footnote w:id="47">
    <w:p w14:paraId="77B9B42F"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t>(2005) 221 CLR 496.</w:t>
      </w:r>
    </w:p>
  </w:footnote>
  <w:footnote w:id="48">
    <w:p w14:paraId="2A425667"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t>(2014) 254 CLR 142.</w:t>
      </w:r>
    </w:p>
  </w:footnote>
  <w:footnote w:id="49">
    <w:p w14:paraId="4DF9737A" w14:textId="77777777" w:rsidR="00436125" w:rsidRPr="004D645D" w:rsidRDefault="00436125" w:rsidP="004D645D">
      <w:pPr>
        <w:pStyle w:val="FootnoteText"/>
        <w:spacing w:line="280" w:lineRule="exact"/>
        <w:ind w:right="0"/>
        <w:jc w:val="both"/>
        <w:rPr>
          <w:rFonts w:ascii="Times New Roman" w:hAnsi="Times New Roman"/>
          <w:i/>
          <w:iCs/>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Federal Commissioner of Taxation</w:t>
      </w:r>
      <w:r w:rsidRPr="004D645D">
        <w:rPr>
          <w:rFonts w:ascii="Times New Roman" w:hAnsi="Times New Roman"/>
          <w:sz w:val="24"/>
        </w:rPr>
        <w:t xml:space="preserve"> (2024) 303 FCR 1 at 12 [33].</w:t>
      </w:r>
    </w:p>
  </w:footnote>
  <w:footnote w:id="50">
    <w:p w14:paraId="75CFE2CA"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Federal Commissioner of Taxation</w:t>
      </w:r>
      <w:r w:rsidRPr="004D645D">
        <w:rPr>
          <w:rFonts w:ascii="Times New Roman" w:hAnsi="Times New Roman"/>
          <w:sz w:val="24"/>
        </w:rPr>
        <w:t xml:space="preserve"> (2024) 303 FCR 1 at 12 [36].</w:t>
      </w:r>
    </w:p>
  </w:footnote>
  <w:footnote w:id="51">
    <w:p w14:paraId="433C468F"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Federal Commissioner of Taxation</w:t>
      </w:r>
      <w:r w:rsidRPr="004D645D">
        <w:rPr>
          <w:rFonts w:ascii="Times New Roman" w:hAnsi="Times New Roman"/>
          <w:sz w:val="24"/>
        </w:rPr>
        <w:t xml:space="preserve"> (2024) 303 FCR 1 at 45 [193].</w:t>
      </w:r>
    </w:p>
  </w:footnote>
  <w:footnote w:id="52">
    <w:p w14:paraId="7A6BBA6E"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Federal Commissioner of Taxation</w:t>
      </w:r>
      <w:r w:rsidRPr="004D645D">
        <w:rPr>
          <w:rFonts w:ascii="Times New Roman" w:hAnsi="Times New Roman"/>
          <w:sz w:val="24"/>
        </w:rPr>
        <w:t xml:space="preserve"> (2024) 303 FCR 1 at 45-46 [197].</w:t>
      </w:r>
    </w:p>
  </w:footnote>
  <w:footnote w:id="53">
    <w:p w14:paraId="11DC100A"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Archibald Howie Pty Ltd v Commissioner of Stamp Duties (NSW)</w:t>
      </w:r>
      <w:r w:rsidRPr="004D645D">
        <w:rPr>
          <w:rFonts w:ascii="Times New Roman" w:hAnsi="Times New Roman"/>
          <w:sz w:val="24"/>
        </w:rPr>
        <w:t xml:space="preserve"> (1948) 77 CLR 143 at 152.</w:t>
      </w:r>
    </w:p>
  </w:footnote>
  <w:footnote w:id="54">
    <w:p w14:paraId="42600FB2"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 xml:space="preserve">Davis Investments Pty Ltd v Commissioner of Stamp Duties (NSW) </w:t>
      </w:r>
      <w:r w:rsidRPr="004D645D">
        <w:rPr>
          <w:rFonts w:ascii="Times New Roman" w:hAnsi="Times New Roman"/>
          <w:sz w:val="24"/>
        </w:rPr>
        <w:t>(1958) 100 CLR 392 at 407-408.</w:t>
      </w:r>
    </w:p>
  </w:footnote>
  <w:footnote w:id="55">
    <w:p w14:paraId="7A47051D"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 xml:space="preserve">Davis Investments Pty Ltd v Commissioner of Stamp Duties (NSW) </w:t>
      </w:r>
      <w:r w:rsidRPr="004D645D">
        <w:rPr>
          <w:rFonts w:ascii="Times New Roman" w:hAnsi="Times New Roman"/>
          <w:sz w:val="24"/>
        </w:rPr>
        <w:t>(1958) 100 CLR 392 at 408-409.</w:t>
      </w:r>
    </w:p>
  </w:footnote>
  <w:footnote w:id="56">
    <w:p w14:paraId="119C277E"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Chief Commissioner of State Revenue (NSW) v Dick Smith Electronics Holdings Pty Ltd</w:t>
      </w:r>
      <w:r w:rsidRPr="004D645D">
        <w:rPr>
          <w:rFonts w:ascii="Times New Roman" w:hAnsi="Times New Roman"/>
          <w:sz w:val="24"/>
        </w:rPr>
        <w:t xml:space="preserve"> (2005) 221 CLR 496 at 518 [71]-[72], quoting </w:t>
      </w:r>
      <w:r w:rsidRPr="004D645D">
        <w:rPr>
          <w:rFonts w:ascii="Times New Roman" w:hAnsi="Times New Roman"/>
          <w:i/>
          <w:iCs/>
          <w:sz w:val="24"/>
        </w:rPr>
        <w:t xml:space="preserve">Archibald Howie Pty Ltd v Commissioner of Stamp Duties (NSW) </w:t>
      </w:r>
      <w:r w:rsidRPr="004D645D">
        <w:rPr>
          <w:rFonts w:ascii="Times New Roman" w:hAnsi="Times New Roman"/>
          <w:sz w:val="24"/>
        </w:rPr>
        <w:t>(1948) 77 CLR 143 at 152.</w:t>
      </w:r>
    </w:p>
  </w:footnote>
  <w:footnote w:id="57">
    <w:p w14:paraId="2EA3CD4A"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Chief Commissioner of State Revenue (NSW) v Dick Smith Electronics Holdings Pty Ltd</w:t>
      </w:r>
      <w:r w:rsidRPr="004D645D">
        <w:rPr>
          <w:rFonts w:ascii="Times New Roman" w:hAnsi="Times New Roman"/>
          <w:sz w:val="24"/>
        </w:rPr>
        <w:t xml:space="preserve"> (2005) 221 CLR 496 at 514 [58]-[59], 518 [72]-[73].</w:t>
      </w:r>
    </w:p>
  </w:footnote>
  <w:footnote w:id="58">
    <w:p w14:paraId="5D07526B"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Commissioner of State Revenue (Vic) v Lend Lease Development Pty Ltd</w:t>
      </w:r>
      <w:r w:rsidRPr="004D645D">
        <w:rPr>
          <w:rFonts w:ascii="Times New Roman" w:hAnsi="Times New Roman"/>
          <w:sz w:val="24"/>
        </w:rPr>
        <w:t xml:space="preserve"> (2014) 254 CLR 142 at 159-163 [49]-[62].</w:t>
      </w:r>
    </w:p>
  </w:footnote>
  <w:footnote w:id="59">
    <w:p w14:paraId="7CF1B819"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Archibald Howie Pty Ltd v Commissioner of Stamp Duties (NSW)</w:t>
      </w:r>
      <w:r w:rsidRPr="004D645D">
        <w:rPr>
          <w:rFonts w:ascii="Times New Roman" w:hAnsi="Times New Roman"/>
          <w:sz w:val="24"/>
        </w:rPr>
        <w:t xml:space="preserve"> (1948) 77 CLR 143 at 151; </w:t>
      </w:r>
      <w:r w:rsidRPr="004D645D">
        <w:rPr>
          <w:rFonts w:ascii="Times New Roman" w:hAnsi="Times New Roman"/>
          <w:i/>
          <w:iCs/>
          <w:sz w:val="24"/>
        </w:rPr>
        <w:t xml:space="preserve">Davis Investments Pty Ltd v Commissioner of Stamp Duties (NSW) </w:t>
      </w:r>
      <w:r w:rsidRPr="004D645D">
        <w:rPr>
          <w:rFonts w:ascii="Times New Roman" w:hAnsi="Times New Roman"/>
          <w:sz w:val="24"/>
        </w:rPr>
        <w:t>(1958) 100 CLR 392 at 406.</w:t>
      </w:r>
    </w:p>
  </w:footnote>
  <w:footnote w:id="60">
    <w:p w14:paraId="60308021"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Chief Commissioner of State Revenue (NSW) v Dick Smith Electronics Holdings Pty Ltd</w:t>
      </w:r>
      <w:r w:rsidRPr="004D645D">
        <w:rPr>
          <w:rFonts w:ascii="Times New Roman" w:hAnsi="Times New Roman"/>
          <w:sz w:val="24"/>
        </w:rPr>
        <w:t xml:space="preserve"> (2005) 221 CLR 496 at 516 [67]; </w:t>
      </w:r>
      <w:r w:rsidRPr="004D645D">
        <w:rPr>
          <w:rFonts w:ascii="Times New Roman" w:hAnsi="Times New Roman"/>
          <w:i/>
          <w:iCs/>
          <w:sz w:val="24"/>
        </w:rPr>
        <w:t>Commissioner of State Revenue (Vic) v Lend Lease Development Pty Ltd</w:t>
      </w:r>
      <w:r w:rsidRPr="004D645D">
        <w:rPr>
          <w:rFonts w:ascii="Times New Roman" w:hAnsi="Times New Roman"/>
          <w:sz w:val="24"/>
        </w:rPr>
        <w:t xml:space="preserve"> (2014) 254 CLR 142 at 147 [1].</w:t>
      </w:r>
    </w:p>
  </w:footnote>
  <w:footnote w:id="61">
    <w:p w14:paraId="3FB0654E"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 xml:space="preserve">Income Tax Assessment Amendment Act 1980 </w:t>
      </w:r>
      <w:r w:rsidRPr="004D645D">
        <w:rPr>
          <w:rFonts w:ascii="Times New Roman" w:hAnsi="Times New Roman"/>
          <w:sz w:val="24"/>
        </w:rPr>
        <w:t>(Cth), s 3(1).</w:t>
      </w:r>
    </w:p>
  </w:footnote>
  <w:footnote w:id="62">
    <w:p w14:paraId="6D2B29B7"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t xml:space="preserve">Australia, House of Representatives, </w:t>
      </w:r>
      <w:r w:rsidRPr="004D645D">
        <w:rPr>
          <w:rFonts w:ascii="Times New Roman" w:hAnsi="Times New Roman"/>
          <w:i/>
          <w:iCs/>
          <w:sz w:val="24"/>
        </w:rPr>
        <w:t>Parliamentary Debates</w:t>
      </w:r>
      <w:r w:rsidRPr="004D645D">
        <w:rPr>
          <w:rFonts w:ascii="Times New Roman" w:hAnsi="Times New Roman"/>
          <w:sz w:val="24"/>
        </w:rPr>
        <w:t xml:space="preserve"> (Hansard), 20 March 1980 at 1030.</w:t>
      </w:r>
    </w:p>
  </w:footnote>
  <w:footnote w:id="63">
    <w:p w14:paraId="2BEC3D27"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t>(1978) 36 FLR 334.</w:t>
      </w:r>
    </w:p>
  </w:footnote>
  <w:footnote w:id="64">
    <w:p w14:paraId="20F2DBC2"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t xml:space="preserve">Australia, House of Representatives, </w:t>
      </w:r>
      <w:r w:rsidRPr="004D645D">
        <w:rPr>
          <w:rFonts w:ascii="Times New Roman" w:hAnsi="Times New Roman"/>
          <w:i/>
          <w:iCs/>
          <w:sz w:val="24"/>
        </w:rPr>
        <w:t>Income Tax Assessment Amendment Bill 1980</w:t>
      </w:r>
      <w:r w:rsidRPr="004D645D">
        <w:rPr>
          <w:rFonts w:ascii="Times New Roman" w:hAnsi="Times New Roman"/>
          <w:sz w:val="24"/>
        </w:rPr>
        <w:t xml:space="preserve"> and </w:t>
      </w:r>
      <w:r w:rsidRPr="004D645D">
        <w:rPr>
          <w:rFonts w:ascii="Times New Roman" w:hAnsi="Times New Roman"/>
          <w:i/>
          <w:iCs/>
          <w:sz w:val="24"/>
        </w:rPr>
        <w:t>Income Tax (International Agreements) Amendment Bill 1980</w:t>
      </w:r>
      <w:r w:rsidRPr="004D645D">
        <w:rPr>
          <w:rFonts w:ascii="Times New Roman" w:hAnsi="Times New Roman"/>
          <w:sz w:val="24"/>
        </w:rPr>
        <w:t>, Explanatory Memorandum at 5.</w:t>
      </w:r>
    </w:p>
  </w:footnote>
  <w:footnote w:id="65">
    <w:p w14:paraId="1FE56C1C"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Federal Commissioner of Taxation</w:t>
      </w:r>
      <w:r w:rsidRPr="004D645D">
        <w:rPr>
          <w:rFonts w:ascii="Times New Roman" w:hAnsi="Times New Roman"/>
          <w:sz w:val="24"/>
        </w:rPr>
        <w:t xml:space="preserve"> (2024) 303 FCR 1 at 8 [18]. </w:t>
      </w:r>
    </w:p>
  </w:footnote>
  <w:footnote w:id="66">
    <w:p w14:paraId="3F711E5A"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Federal Commissioner of Taxation</w:t>
      </w:r>
      <w:r w:rsidRPr="004D645D">
        <w:rPr>
          <w:rFonts w:ascii="Times New Roman" w:hAnsi="Times New Roman"/>
          <w:sz w:val="24"/>
        </w:rPr>
        <w:t xml:space="preserve"> (2024) 303 FCR 1 at 9 [21].</w:t>
      </w:r>
    </w:p>
  </w:footnote>
  <w:footnote w:id="67">
    <w:p w14:paraId="71A634AA"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 xml:space="preserve">Commissioner of State Revenue (Vic) v Lend Lease Development Pty Ltd </w:t>
      </w:r>
      <w:r w:rsidRPr="004D645D">
        <w:rPr>
          <w:rFonts w:ascii="Times New Roman" w:hAnsi="Times New Roman"/>
          <w:sz w:val="24"/>
        </w:rPr>
        <w:t>(2014) 254 CLR 142 at 163 [62].</w:t>
      </w:r>
    </w:p>
  </w:footnote>
  <w:footnote w:id="68">
    <w:p w14:paraId="103F5306"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t xml:space="preserve">eg, </w:t>
      </w:r>
      <w:r w:rsidRPr="004D645D">
        <w:rPr>
          <w:rFonts w:ascii="Times New Roman" w:hAnsi="Times New Roman"/>
          <w:i/>
          <w:iCs/>
          <w:sz w:val="24"/>
        </w:rPr>
        <w:t>Electricity Generation Corporation v Woodside Energy Ltd</w:t>
      </w:r>
      <w:r w:rsidRPr="004D645D">
        <w:rPr>
          <w:rFonts w:ascii="Times New Roman" w:hAnsi="Times New Roman"/>
          <w:sz w:val="24"/>
        </w:rPr>
        <w:t xml:space="preserve"> (2014) 251 CLR 640 at 656-657 [35].</w:t>
      </w:r>
    </w:p>
  </w:footnote>
  <w:footnote w:id="69">
    <w:p w14:paraId="6860CAFE"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 xml:space="preserve">Commissioner of State Revenue (Vic) v Lend Lease Development Pty Ltd </w:t>
      </w:r>
      <w:r w:rsidRPr="004D645D">
        <w:rPr>
          <w:rFonts w:ascii="Times New Roman" w:hAnsi="Times New Roman"/>
          <w:sz w:val="24"/>
        </w:rPr>
        <w:t>(2014) 254 CLR 142 at 155 [33].</w:t>
      </w:r>
    </w:p>
  </w:footnote>
  <w:footnote w:id="70">
    <w:p w14:paraId="64586CDB"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Federal Commissioner of Taxation</w:t>
      </w:r>
      <w:r w:rsidRPr="004D645D">
        <w:rPr>
          <w:rFonts w:ascii="Times New Roman" w:hAnsi="Times New Roman"/>
          <w:sz w:val="24"/>
        </w:rPr>
        <w:t xml:space="preserve"> (2024) 303 FCR 1 at 37 [158].</w:t>
      </w:r>
    </w:p>
  </w:footnote>
  <w:footnote w:id="71">
    <w:p w14:paraId="2F54EDB1"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Federal Commissioner of Taxation</w:t>
      </w:r>
      <w:r w:rsidRPr="004D645D">
        <w:rPr>
          <w:rFonts w:ascii="Times New Roman" w:hAnsi="Times New Roman"/>
          <w:sz w:val="24"/>
        </w:rPr>
        <w:t xml:space="preserve"> (2024) 303 FCR 1 at 37 [158].</w:t>
      </w:r>
    </w:p>
  </w:footnote>
  <w:footnote w:id="72">
    <w:p w14:paraId="682F7ADC"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Federal Commissioner of Taxation</w:t>
      </w:r>
      <w:r w:rsidRPr="004D645D">
        <w:rPr>
          <w:rFonts w:ascii="Times New Roman" w:hAnsi="Times New Roman"/>
          <w:sz w:val="24"/>
        </w:rPr>
        <w:t xml:space="preserve"> (2024) 303 FCR 1 at 10 [24].</w:t>
      </w:r>
    </w:p>
  </w:footnote>
  <w:footnote w:id="73">
    <w:p w14:paraId="008948C8"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 xml:space="preserve">Davis Investments Pty Ltd v Commissioner of Stamp Duties (NSW) </w:t>
      </w:r>
      <w:r w:rsidRPr="004D645D">
        <w:rPr>
          <w:rFonts w:ascii="Times New Roman" w:hAnsi="Times New Roman"/>
          <w:sz w:val="24"/>
        </w:rPr>
        <w:t>(1958) 100 CLR 392 at 408.</w:t>
      </w:r>
    </w:p>
  </w:footnote>
  <w:footnote w:id="74">
    <w:p w14:paraId="2DB9C1A0"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t>ITAA, s 128B(2B)(a).</w:t>
      </w:r>
    </w:p>
  </w:footnote>
  <w:footnote w:id="75">
    <w:p w14:paraId="4A45EDF8"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t>ITAA, s 128B(2B)(b)(i).</w:t>
      </w:r>
    </w:p>
  </w:footnote>
  <w:footnote w:id="76">
    <w:p w14:paraId="77C71613"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 xml:space="preserve">PepsiCo Inc v Commissioner of Taxation </w:t>
      </w:r>
      <w:r w:rsidRPr="004D645D">
        <w:rPr>
          <w:rFonts w:ascii="Times New Roman" w:hAnsi="Times New Roman"/>
          <w:sz w:val="24"/>
        </w:rPr>
        <w:t>(2023) 117 ATR 328 at 378 [255].</w:t>
      </w:r>
    </w:p>
  </w:footnote>
  <w:footnote w:id="77">
    <w:p w14:paraId="2BA6CA4B"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 xml:space="preserve">PepsiCo Inc v Commissioner of Taxation </w:t>
      </w:r>
      <w:r w:rsidRPr="004D645D">
        <w:rPr>
          <w:rFonts w:ascii="Times New Roman" w:hAnsi="Times New Roman"/>
          <w:sz w:val="24"/>
        </w:rPr>
        <w:t>(2023) 117 ATR 328 at 378 [256].</w:t>
      </w:r>
    </w:p>
  </w:footnote>
  <w:footnote w:id="78">
    <w:p w14:paraId="38AB6E99"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Federal Commissioner of Taxation</w:t>
      </w:r>
      <w:r w:rsidRPr="004D645D">
        <w:rPr>
          <w:rFonts w:ascii="Times New Roman" w:hAnsi="Times New Roman"/>
          <w:sz w:val="24"/>
        </w:rPr>
        <w:t xml:space="preserve"> (2024) 303 FCR 1 at 13 [40]-[41].</w:t>
      </w:r>
    </w:p>
  </w:footnote>
  <w:footnote w:id="79">
    <w:p w14:paraId="23BEA4C6"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Commissioner of Taxes (SA) v Executor Trustee and Agency Co of South Australia Ltd</w:t>
      </w:r>
      <w:r w:rsidRPr="004D645D">
        <w:rPr>
          <w:rFonts w:ascii="Times New Roman" w:hAnsi="Times New Roman"/>
          <w:sz w:val="24"/>
        </w:rPr>
        <w:t xml:space="preserve"> (1938) 63 CLR 108 at 155.</w:t>
      </w:r>
    </w:p>
  </w:footnote>
  <w:footnote w:id="80">
    <w:p w14:paraId="63C3F474"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Arthur Murray (NSW) Pty Ltd v Federal Commissioner of Taxation</w:t>
      </w:r>
      <w:r w:rsidRPr="004D645D">
        <w:rPr>
          <w:rFonts w:ascii="Times New Roman" w:hAnsi="Times New Roman"/>
          <w:sz w:val="24"/>
        </w:rPr>
        <w:t xml:space="preserve"> (1965) 114 CLR 314 at 318. </w:t>
      </w:r>
    </w:p>
  </w:footnote>
  <w:footnote w:id="81">
    <w:p w14:paraId="6F85ECA4"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Arthur Murray (NSW) Pty Ltd v Federal Commissioner of Taxation</w:t>
      </w:r>
      <w:r w:rsidRPr="004D645D">
        <w:rPr>
          <w:rFonts w:ascii="Times New Roman" w:hAnsi="Times New Roman"/>
          <w:sz w:val="24"/>
        </w:rPr>
        <w:t xml:space="preserve"> (1965) 114 CLR 314 at 318.</w:t>
      </w:r>
    </w:p>
  </w:footnote>
  <w:footnote w:id="82">
    <w:p w14:paraId="7FD43BFF"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t>Subject to cl 7.1(b) of the SVC EBA.</w:t>
      </w:r>
    </w:p>
  </w:footnote>
  <w:footnote w:id="83">
    <w:p w14:paraId="0C0E9F8C"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t>ITAA, s 177J(1)(a).</w:t>
      </w:r>
    </w:p>
  </w:footnote>
  <w:footnote w:id="84">
    <w:p w14:paraId="280B85B8"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t>ITAA, s 177P(1)(a).</w:t>
      </w:r>
    </w:p>
  </w:footnote>
  <w:footnote w:id="85">
    <w:p w14:paraId="5D159EBC"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t>A "scheme" means "(a) any agreement, arrangement, understanding, promise or undertaking, whether express or implied and whether or not enforceable, or intended to be enforceable, by legal proceedings; and (b) any scheme, plan, proposal, action, course of action or course of conduct": ITAA, s 177A(1).</w:t>
      </w:r>
    </w:p>
  </w:footnote>
  <w:footnote w:id="86">
    <w:p w14:paraId="217789A9"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t>Defined in ITAA, s 177A(1) to include ss 177H, 177J, 177N and 177P.</w:t>
      </w:r>
    </w:p>
  </w:footnote>
  <w:footnote w:id="87">
    <w:p w14:paraId="01E8D970"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Federal Commissioner of Taxation</w:t>
      </w:r>
      <w:r w:rsidRPr="004D645D">
        <w:rPr>
          <w:rFonts w:ascii="Times New Roman" w:hAnsi="Times New Roman"/>
          <w:sz w:val="24"/>
        </w:rPr>
        <w:t xml:space="preserve"> (2024) 303 FCR 1 at 20 [67]-[68], referring to </w:t>
      </w:r>
      <w:r w:rsidRPr="004D645D">
        <w:rPr>
          <w:rFonts w:ascii="Times New Roman" w:hAnsi="Times New Roman"/>
          <w:i/>
          <w:iCs/>
          <w:sz w:val="24"/>
        </w:rPr>
        <w:t xml:space="preserve">Federal Commissioner of Taxation v Guardian AIT Pty Ltd </w:t>
      </w:r>
      <w:r w:rsidRPr="004D645D">
        <w:rPr>
          <w:rFonts w:ascii="Times New Roman" w:hAnsi="Times New Roman"/>
          <w:sz w:val="24"/>
        </w:rPr>
        <w:t xml:space="preserve">(2023) 115 ATR 316 at 351 [156]-[157] and </w:t>
      </w:r>
      <w:r w:rsidRPr="004D645D">
        <w:rPr>
          <w:rFonts w:ascii="Times New Roman" w:hAnsi="Times New Roman"/>
          <w:i/>
          <w:iCs/>
          <w:sz w:val="24"/>
        </w:rPr>
        <w:t>RCI Pty Ltd v Federal Commissioner of Taxation</w:t>
      </w:r>
      <w:r w:rsidRPr="004D645D">
        <w:rPr>
          <w:rFonts w:ascii="Times New Roman" w:hAnsi="Times New Roman"/>
          <w:sz w:val="24"/>
        </w:rPr>
        <w:t xml:space="preserve"> (2011) 84 ATR 785 at 842-843 [128]-[131].</w:t>
      </w:r>
    </w:p>
  </w:footnote>
  <w:footnote w:id="88">
    <w:p w14:paraId="5CEA4446"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t xml:space="preserve">Australia, House of Representatives, </w:t>
      </w:r>
      <w:r w:rsidRPr="004D645D">
        <w:rPr>
          <w:rFonts w:ascii="Times New Roman" w:hAnsi="Times New Roman"/>
          <w:i/>
          <w:iCs/>
          <w:sz w:val="24"/>
        </w:rPr>
        <w:t>Tax Laws Amendment (Countering Tax Avoidance and Multinational Profit Shifting) Bill 2013</w:t>
      </w:r>
      <w:r w:rsidRPr="004D645D">
        <w:rPr>
          <w:rFonts w:ascii="Times New Roman" w:hAnsi="Times New Roman"/>
          <w:sz w:val="24"/>
        </w:rPr>
        <w:t>, Explanatory Memorandum at 21 [1.86]-[1.87].</w:t>
      </w:r>
    </w:p>
  </w:footnote>
  <w:footnote w:id="89">
    <w:p w14:paraId="224A202E"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t>(1994) 181 CLR 359 at 385.</w:t>
      </w:r>
    </w:p>
  </w:footnote>
  <w:footnote w:id="90">
    <w:p w14:paraId="10C13AAA"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t xml:space="preserve">Australia, House of Representatives, </w:t>
      </w:r>
      <w:r w:rsidRPr="004D645D">
        <w:rPr>
          <w:rFonts w:ascii="Times New Roman" w:hAnsi="Times New Roman"/>
          <w:i/>
          <w:iCs/>
          <w:sz w:val="24"/>
        </w:rPr>
        <w:t>Tax Laws Amendment (Countering Tax Avoidance and Multinational Profit Shifting) Bill 2013</w:t>
      </w:r>
      <w:r w:rsidRPr="004D645D">
        <w:rPr>
          <w:rFonts w:ascii="Times New Roman" w:hAnsi="Times New Roman"/>
          <w:sz w:val="24"/>
        </w:rPr>
        <w:t>, Explanatory Memorandum at 24 [1.103], [1.106].</w:t>
      </w:r>
    </w:p>
  </w:footnote>
  <w:footnote w:id="91">
    <w:p w14:paraId="5FF436D7"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t xml:space="preserve">Australia, House of Representatives, </w:t>
      </w:r>
      <w:r w:rsidRPr="004D645D">
        <w:rPr>
          <w:rFonts w:ascii="Times New Roman" w:hAnsi="Times New Roman"/>
          <w:i/>
          <w:iCs/>
          <w:sz w:val="24"/>
        </w:rPr>
        <w:t>Tax Laws Amendment (Countering Tax Avoidance and Multinational Profit Shifting) Bill 2013</w:t>
      </w:r>
      <w:r w:rsidRPr="004D645D">
        <w:rPr>
          <w:rFonts w:ascii="Times New Roman" w:hAnsi="Times New Roman"/>
          <w:sz w:val="24"/>
        </w:rPr>
        <w:t>, Explanatory Memorandum at 25 [1.110].</w:t>
      </w:r>
    </w:p>
  </w:footnote>
  <w:footnote w:id="92">
    <w:p w14:paraId="36E8C0F4"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t xml:space="preserve">See Australia, House of Representatives, </w:t>
      </w:r>
      <w:r w:rsidRPr="004D645D">
        <w:rPr>
          <w:rFonts w:ascii="Times New Roman" w:hAnsi="Times New Roman"/>
          <w:i/>
          <w:iCs/>
          <w:sz w:val="24"/>
        </w:rPr>
        <w:t>Treasury Laws Amendment (Combating Multinational Tax Avoidance) Bill 2017</w:t>
      </w:r>
      <w:r w:rsidRPr="004D645D">
        <w:rPr>
          <w:rFonts w:ascii="Times New Roman" w:hAnsi="Times New Roman"/>
          <w:sz w:val="24"/>
        </w:rPr>
        <w:t xml:space="preserve"> and </w:t>
      </w:r>
      <w:r w:rsidRPr="004D645D">
        <w:rPr>
          <w:rFonts w:ascii="Times New Roman" w:hAnsi="Times New Roman"/>
          <w:i/>
          <w:iCs/>
          <w:sz w:val="24"/>
        </w:rPr>
        <w:t>Diverted Profits Tax Bill 2017</w:t>
      </w:r>
      <w:r w:rsidRPr="004D645D">
        <w:rPr>
          <w:rFonts w:ascii="Times New Roman" w:hAnsi="Times New Roman"/>
          <w:sz w:val="24"/>
        </w:rPr>
        <w:t>, Explanatory Memorandum at 21 [1.45]-[1.47].</w:t>
      </w:r>
    </w:p>
  </w:footnote>
  <w:footnote w:id="93">
    <w:p w14:paraId="1A3F2B3B"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Federal Commissioner of Taxation v Hart</w:t>
      </w:r>
      <w:r w:rsidRPr="004D645D">
        <w:rPr>
          <w:rFonts w:ascii="Times New Roman" w:hAnsi="Times New Roman"/>
          <w:sz w:val="24"/>
        </w:rPr>
        <w:t xml:space="preserve"> (2004) 217 CLR 216 at 233 [37].</w:t>
      </w:r>
    </w:p>
  </w:footnote>
  <w:footnote w:id="94">
    <w:p w14:paraId="046A4111"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 xml:space="preserve">PepsiCo Inc v Federal Commissioner of Taxation </w:t>
      </w:r>
      <w:r w:rsidRPr="004D645D">
        <w:rPr>
          <w:rFonts w:ascii="Times New Roman" w:hAnsi="Times New Roman"/>
          <w:sz w:val="24"/>
        </w:rPr>
        <w:t>(2024) 303 FCR 1 at 18 [60].</w:t>
      </w:r>
    </w:p>
  </w:footnote>
  <w:footnote w:id="95">
    <w:p w14:paraId="7B4ED95A"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Commissioner of Taxation</w:t>
      </w:r>
      <w:r w:rsidRPr="004D645D">
        <w:rPr>
          <w:rFonts w:ascii="Times New Roman" w:hAnsi="Times New Roman"/>
          <w:sz w:val="24"/>
        </w:rPr>
        <w:t xml:space="preserve"> (2023) 117 ATR 328 at 415 [430].</w:t>
      </w:r>
    </w:p>
  </w:footnote>
  <w:footnote w:id="96">
    <w:p w14:paraId="1AF54A08"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t xml:space="preserve">Australia, House of Representatives, </w:t>
      </w:r>
      <w:r w:rsidRPr="004D645D">
        <w:rPr>
          <w:rFonts w:ascii="Times New Roman" w:hAnsi="Times New Roman"/>
          <w:i/>
          <w:iCs/>
          <w:sz w:val="24"/>
        </w:rPr>
        <w:t>Treasury Laws Amendment (Combating Multinational Tax Avoidance) Bill 2017</w:t>
      </w:r>
      <w:r w:rsidRPr="004D645D">
        <w:rPr>
          <w:rFonts w:ascii="Times New Roman" w:hAnsi="Times New Roman"/>
          <w:sz w:val="24"/>
        </w:rPr>
        <w:t xml:space="preserve"> and </w:t>
      </w:r>
      <w:r w:rsidRPr="004D645D">
        <w:rPr>
          <w:rFonts w:ascii="Times New Roman" w:hAnsi="Times New Roman"/>
          <w:i/>
          <w:iCs/>
          <w:sz w:val="24"/>
        </w:rPr>
        <w:t>Diverted Profits Tax Bill 2017</w:t>
      </w:r>
      <w:r w:rsidRPr="004D645D">
        <w:rPr>
          <w:rFonts w:ascii="Times New Roman" w:hAnsi="Times New Roman"/>
          <w:sz w:val="24"/>
        </w:rPr>
        <w:t>, Explanatory Memorandum at 21 [1.45]-[1.46].</w:t>
      </w:r>
    </w:p>
  </w:footnote>
  <w:footnote w:id="97">
    <w:p w14:paraId="4F25E3F4"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Commissioner of Taxation</w:t>
      </w:r>
      <w:r w:rsidRPr="004D645D">
        <w:rPr>
          <w:rFonts w:ascii="Times New Roman" w:hAnsi="Times New Roman"/>
          <w:sz w:val="24"/>
        </w:rPr>
        <w:t xml:space="preserve"> (2023) 117 ATR 328 at 417 [443] (emphasis omitted).</w:t>
      </w:r>
    </w:p>
  </w:footnote>
  <w:footnote w:id="98">
    <w:p w14:paraId="7BA6F9AE"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Commissioner of Taxation</w:t>
      </w:r>
      <w:r w:rsidRPr="004D645D">
        <w:rPr>
          <w:rFonts w:ascii="Times New Roman" w:hAnsi="Times New Roman"/>
          <w:sz w:val="24"/>
        </w:rPr>
        <w:t xml:space="preserve"> (2023) 117 ATR 328 at 421 [465].</w:t>
      </w:r>
    </w:p>
  </w:footnote>
  <w:footnote w:id="99">
    <w:p w14:paraId="4FC57395"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Commissioner of Taxation</w:t>
      </w:r>
      <w:r w:rsidRPr="004D645D">
        <w:rPr>
          <w:rFonts w:ascii="Times New Roman" w:hAnsi="Times New Roman"/>
          <w:sz w:val="24"/>
        </w:rPr>
        <w:t xml:space="preserve"> (2023) 117 ATR 328 at 421 [466].</w:t>
      </w:r>
    </w:p>
  </w:footnote>
  <w:footnote w:id="100">
    <w:p w14:paraId="64F00035"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 xml:space="preserve">PepsiCo Inc v Federal Commissioner of Taxation </w:t>
      </w:r>
      <w:r w:rsidRPr="004D645D">
        <w:rPr>
          <w:rFonts w:ascii="Times New Roman" w:hAnsi="Times New Roman"/>
          <w:sz w:val="24"/>
        </w:rPr>
        <w:t>(2024) 303 FCR 1 at 22 [79].</w:t>
      </w:r>
    </w:p>
  </w:footnote>
  <w:footnote w:id="101">
    <w:p w14:paraId="6644CC5D"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 xml:space="preserve">PepsiCo Inc v Federal Commissioner of Taxation </w:t>
      </w:r>
      <w:r w:rsidRPr="004D645D">
        <w:rPr>
          <w:rFonts w:ascii="Times New Roman" w:hAnsi="Times New Roman"/>
          <w:sz w:val="24"/>
        </w:rPr>
        <w:t>(2024) 303 FCR 1 at 23 [86]-[87], 24 [93].</w:t>
      </w:r>
    </w:p>
  </w:footnote>
  <w:footnote w:id="102">
    <w:p w14:paraId="78610730"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 xml:space="preserve">PepsiCo Inc v Federal Commissioner of Taxation </w:t>
      </w:r>
      <w:r w:rsidRPr="004D645D">
        <w:rPr>
          <w:rFonts w:ascii="Times New Roman" w:hAnsi="Times New Roman"/>
          <w:sz w:val="24"/>
        </w:rPr>
        <w:t>(2024) 303 FCR 1 at 25 [100].</w:t>
      </w:r>
    </w:p>
  </w:footnote>
  <w:footnote w:id="103">
    <w:p w14:paraId="3D5DC2DC"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 xml:space="preserve">PepsiCo Inc v Federal Commissioner of Taxation </w:t>
      </w:r>
      <w:r w:rsidRPr="004D645D">
        <w:rPr>
          <w:rFonts w:ascii="Times New Roman" w:hAnsi="Times New Roman"/>
          <w:sz w:val="24"/>
        </w:rPr>
        <w:t>(2024) 303 FCR 1 at 25-26 [101].</w:t>
      </w:r>
    </w:p>
  </w:footnote>
  <w:footnote w:id="104">
    <w:p w14:paraId="510946AA"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Federal Commissioner of Taxation</w:t>
      </w:r>
      <w:r w:rsidRPr="004D645D">
        <w:rPr>
          <w:rFonts w:ascii="Times New Roman" w:hAnsi="Times New Roman"/>
          <w:sz w:val="24"/>
        </w:rPr>
        <w:t xml:space="preserve"> (2024) 303 FCR 1 at 26 [101]-[102].</w:t>
      </w:r>
    </w:p>
  </w:footnote>
  <w:footnote w:id="105">
    <w:p w14:paraId="6BE8D24E"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 xml:space="preserve">PepsiCo Inc v Federal Commissioner of Taxation </w:t>
      </w:r>
      <w:r w:rsidRPr="004D645D">
        <w:rPr>
          <w:rFonts w:ascii="Times New Roman" w:hAnsi="Times New Roman"/>
          <w:sz w:val="24"/>
        </w:rPr>
        <w:t>(2024) 303 FCR 1 at 32 [133].</w:t>
      </w:r>
    </w:p>
  </w:footnote>
  <w:footnote w:id="106">
    <w:p w14:paraId="5DD8DF6A"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Federal Commissioner of Taxation</w:t>
      </w:r>
      <w:r w:rsidRPr="004D645D">
        <w:rPr>
          <w:rFonts w:ascii="Times New Roman" w:hAnsi="Times New Roman"/>
          <w:sz w:val="24"/>
        </w:rPr>
        <w:t xml:space="preserve"> (2024) 303 FCR 1 at 48 [209].</w:t>
      </w:r>
    </w:p>
  </w:footnote>
  <w:footnote w:id="107">
    <w:p w14:paraId="63FFC0B2"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Federal Commissioner of Taxation</w:t>
      </w:r>
      <w:r w:rsidRPr="004D645D">
        <w:rPr>
          <w:rFonts w:ascii="Times New Roman" w:hAnsi="Times New Roman"/>
          <w:sz w:val="24"/>
        </w:rPr>
        <w:t xml:space="preserve"> (2024) 303 FCR 1 at 48 [210].</w:t>
      </w:r>
    </w:p>
  </w:footnote>
  <w:footnote w:id="108">
    <w:p w14:paraId="659048AD"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Federal Commissioner of Taxation</w:t>
      </w:r>
      <w:r w:rsidRPr="004D645D">
        <w:rPr>
          <w:rFonts w:ascii="Times New Roman" w:hAnsi="Times New Roman"/>
          <w:sz w:val="24"/>
        </w:rPr>
        <w:t xml:space="preserve"> (2024) 303 FCR 1 at 49</w:t>
      </w:r>
      <w:r w:rsidRPr="004D645D" w:rsidDel="007F0EF0">
        <w:rPr>
          <w:rFonts w:ascii="Times New Roman" w:hAnsi="Times New Roman"/>
          <w:sz w:val="24"/>
        </w:rPr>
        <w:t xml:space="preserve"> </w:t>
      </w:r>
      <w:r w:rsidRPr="004D645D">
        <w:rPr>
          <w:rFonts w:ascii="Times New Roman" w:hAnsi="Times New Roman"/>
          <w:sz w:val="24"/>
        </w:rPr>
        <w:t>[215].</w:t>
      </w:r>
    </w:p>
  </w:footnote>
  <w:footnote w:id="109">
    <w:p w14:paraId="6B40F0C8"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Federal Commissioner of Taxation</w:t>
      </w:r>
      <w:r w:rsidRPr="004D645D">
        <w:rPr>
          <w:rFonts w:ascii="Times New Roman" w:hAnsi="Times New Roman"/>
          <w:sz w:val="24"/>
        </w:rPr>
        <w:t xml:space="preserve"> (2024) 303 FCR 1 at 49</w:t>
      </w:r>
      <w:r w:rsidRPr="004D645D" w:rsidDel="00BB2065">
        <w:rPr>
          <w:rFonts w:ascii="Times New Roman" w:hAnsi="Times New Roman"/>
          <w:sz w:val="24"/>
        </w:rPr>
        <w:t xml:space="preserve"> </w:t>
      </w:r>
      <w:r w:rsidRPr="004D645D">
        <w:rPr>
          <w:rFonts w:ascii="Times New Roman" w:hAnsi="Times New Roman"/>
          <w:sz w:val="24"/>
        </w:rPr>
        <w:t>[217].</w:t>
      </w:r>
    </w:p>
  </w:footnote>
  <w:footnote w:id="110">
    <w:p w14:paraId="356223FD"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Federal Commissioner of Taxation</w:t>
      </w:r>
      <w:r w:rsidRPr="004D645D">
        <w:rPr>
          <w:rFonts w:ascii="Times New Roman" w:hAnsi="Times New Roman"/>
          <w:sz w:val="24"/>
        </w:rPr>
        <w:t xml:space="preserve"> (2024) 303 FCR 1 at 49</w:t>
      </w:r>
      <w:r w:rsidRPr="004D645D" w:rsidDel="00BB2065">
        <w:rPr>
          <w:rFonts w:ascii="Times New Roman" w:hAnsi="Times New Roman"/>
          <w:sz w:val="24"/>
        </w:rPr>
        <w:t xml:space="preserve"> </w:t>
      </w:r>
      <w:r w:rsidRPr="004D645D">
        <w:rPr>
          <w:rFonts w:ascii="Times New Roman" w:hAnsi="Times New Roman"/>
          <w:sz w:val="24"/>
        </w:rPr>
        <w:t>[218].</w:t>
      </w:r>
    </w:p>
  </w:footnote>
  <w:footnote w:id="111">
    <w:p w14:paraId="110B7A27"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R v Hunt; Ex parte Sean Investments Pty Ltd</w:t>
      </w:r>
      <w:r w:rsidRPr="004D645D">
        <w:rPr>
          <w:rFonts w:ascii="Times New Roman" w:hAnsi="Times New Roman"/>
          <w:sz w:val="24"/>
        </w:rPr>
        <w:t xml:space="preserve"> (1979) 180 CLR 322 at 329; </w:t>
      </w:r>
      <w:r w:rsidRPr="004D645D">
        <w:rPr>
          <w:rFonts w:ascii="Times New Roman" w:hAnsi="Times New Roman"/>
          <w:i/>
          <w:iCs/>
          <w:sz w:val="24"/>
        </w:rPr>
        <w:t>Port of Newcastle Operations Pty Ltd v Glencore Coal Assets Australia Pty Ltd</w:t>
      </w:r>
      <w:r w:rsidRPr="004D645D">
        <w:rPr>
          <w:rFonts w:ascii="Times New Roman" w:hAnsi="Times New Roman"/>
          <w:sz w:val="24"/>
        </w:rPr>
        <w:t xml:space="preserve"> (2021) 274 CLR 565 at 601 [113].</w:t>
      </w:r>
    </w:p>
  </w:footnote>
  <w:footnote w:id="112">
    <w:p w14:paraId="0059EA76"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t xml:space="preserve">Australia, House of Representatives, </w:t>
      </w:r>
      <w:r w:rsidRPr="004D645D">
        <w:rPr>
          <w:rFonts w:ascii="Times New Roman" w:hAnsi="Times New Roman"/>
          <w:i/>
          <w:iCs/>
          <w:sz w:val="24"/>
        </w:rPr>
        <w:t>Tax Laws Amendment (Countering Tax Avoidance and Multinational Profit Shifting) Bill 2013</w:t>
      </w:r>
      <w:r w:rsidRPr="004D645D">
        <w:rPr>
          <w:rFonts w:ascii="Times New Roman" w:hAnsi="Times New Roman"/>
          <w:sz w:val="24"/>
        </w:rPr>
        <w:t>, Explanatory Memorandum at 24 [1.106] (emphasis added).</w:t>
      </w:r>
    </w:p>
  </w:footnote>
  <w:footnote w:id="113">
    <w:p w14:paraId="14845E80"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Commissioner of Taxation</w:t>
      </w:r>
      <w:r w:rsidRPr="004D645D">
        <w:rPr>
          <w:rFonts w:ascii="Times New Roman" w:hAnsi="Times New Roman"/>
          <w:sz w:val="24"/>
        </w:rPr>
        <w:t xml:space="preserve"> (2023) 117 ATR 328 at 416 [438].</w:t>
      </w:r>
    </w:p>
  </w:footnote>
  <w:footnote w:id="114">
    <w:p w14:paraId="352A1FBB"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Commissioner of Taxation</w:t>
      </w:r>
      <w:r w:rsidRPr="004D645D">
        <w:rPr>
          <w:rFonts w:ascii="Times New Roman" w:hAnsi="Times New Roman"/>
          <w:sz w:val="24"/>
        </w:rPr>
        <w:t xml:space="preserve"> (2023) 117 ATR 328 at 417 [439].</w:t>
      </w:r>
    </w:p>
  </w:footnote>
  <w:footnote w:id="115">
    <w:p w14:paraId="2C1018DD"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 xml:space="preserve">Federal Commissioner of Taxation v Peabody </w:t>
      </w:r>
      <w:r w:rsidRPr="004D645D">
        <w:rPr>
          <w:rFonts w:ascii="Times New Roman" w:hAnsi="Times New Roman"/>
          <w:sz w:val="24"/>
        </w:rPr>
        <w:t>(1994) 181 CLR 359 at 385.</w:t>
      </w:r>
    </w:p>
  </w:footnote>
  <w:footnote w:id="116">
    <w:p w14:paraId="0096B0BA"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Commissioner of Taxation</w:t>
      </w:r>
      <w:r w:rsidRPr="004D645D">
        <w:rPr>
          <w:rFonts w:ascii="Times New Roman" w:hAnsi="Times New Roman"/>
          <w:sz w:val="24"/>
        </w:rPr>
        <w:t xml:space="preserve"> (2023) 117 ATR 328 at 380 [269].</w:t>
      </w:r>
    </w:p>
  </w:footnote>
  <w:footnote w:id="117">
    <w:p w14:paraId="30068C43"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Commissioner of Taxation</w:t>
      </w:r>
      <w:r w:rsidRPr="004D645D">
        <w:rPr>
          <w:rFonts w:ascii="Times New Roman" w:hAnsi="Times New Roman"/>
          <w:sz w:val="24"/>
        </w:rPr>
        <w:t xml:space="preserve"> (2023) 117 ATR 328 at 417 [443] (emphasis omitted).</w:t>
      </w:r>
    </w:p>
  </w:footnote>
  <w:footnote w:id="118">
    <w:p w14:paraId="063FC521"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Blatch v Archer</w:t>
      </w:r>
      <w:r w:rsidRPr="004D645D">
        <w:rPr>
          <w:rFonts w:ascii="Times New Roman" w:hAnsi="Times New Roman"/>
          <w:sz w:val="24"/>
        </w:rPr>
        <w:t xml:space="preserve"> (1774) 1 Cowp 63 at 65 [98 ER 969 at 970].</w:t>
      </w:r>
    </w:p>
  </w:footnote>
  <w:footnote w:id="119">
    <w:p w14:paraId="577A3959"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Commissioner of Taxation</w:t>
      </w:r>
      <w:r w:rsidRPr="004D645D">
        <w:rPr>
          <w:rFonts w:ascii="Times New Roman" w:hAnsi="Times New Roman"/>
          <w:sz w:val="24"/>
        </w:rPr>
        <w:t xml:space="preserve"> (2023) 117 ATR 328 at 418 [452].</w:t>
      </w:r>
    </w:p>
  </w:footnote>
  <w:footnote w:id="120">
    <w:p w14:paraId="06F6EFED"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Commissioner of Taxation</w:t>
      </w:r>
      <w:r w:rsidRPr="004D645D">
        <w:rPr>
          <w:rFonts w:ascii="Times New Roman" w:hAnsi="Times New Roman"/>
          <w:sz w:val="24"/>
        </w:rPr>
        <w:t xml:space="preserve"> (2023) 117 ATR 328 at 418 [452].</w:t>
      </w:r>
    </w:p>
  </w:footnote>
  <w:footnote w:id="121">
    <w:p w14:paraId="4A5F1823"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Commissioner of Taxation</w:t>
      </w:r>
      <w:r w:rsidRPr="004D645D">
        <w:rPr>
          <w:rFonts w:ascii="Times New Roman" w:hAnsi="Times New Roman"/>
          <w:sz w:val="24"/>
        </w:rPr>
        <w:t xml:space="preserve"> (2023) 117 ATR 328 at 418-419 [453].</w:t>
      </w:r>
    </w:p>
  </w:footnote>
  <w:footnote w:id="122">
    <w:p w14:paraId="3D2DC3AB"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Commissioner of Taxation</w:t>
      </w:r>
      <w:r w:rsidRPr="004D645D">
        <w:rPr>
          <w:rFonts w:ascii="Times New Roman" w:hAnsi="Times New Roman"/>
          <w:sz w:val="24"/>
        </w:rPr>
        <w:t xml:space="preserve"> (2023) 117 ATR 328 at 419 [457].</w:t>
      </w:r>
    </w:p>
  </w:footnote>
  <w:footnote w:id="123">
    <w:p w14:paraId="1FB83F81"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Commissioner of Taxation</w:t>
      </w:r>
      <w:r w:rsidRPr="004D645D">
        <w:rPr>
          <w:rFonts w:ascii="Times New Roman" w:hAnsi="Times New Roman"/>
          <w:sz w:val="24"/>
        </w:rPr>
        <w:t xml:space="preserve"> (2023) 117 ATR 328 at 420 [463].</w:t>
      </w:r>
    </w:p>
  </w:footnote>
  <w:footnote w:id="124">
    <w:p w14:paraId="7A68FD2B"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Commissioner of Taxation</w:t>
      </w:r>
      <w:r w:rsidRPr="004D645D">
        <w:rPr>
          <w:rFonts w:ascii="Times New Roman" w:hAnsi="Times New Roman"/>
          <w:sz w:val="24"/>
        </w:rPr>
        <w:t xml:space="preserve"> (2023) 117 ATR 328 at 421 [464].</w:t>
      </w:r>
    </w:p>
  </w:footnote>
  <w:footnote w:id="125">
    <w:p w14:paraId="28C55B80"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Commissioner of Taxation</w:t>
      </w:r>
      <w:r w:rsidRPr="004D645D">
        <w:rPr>
          <w:rFonts w:ascii="Times New Roman" w:hAnsi="Times New Roman"/>
          <w:sz w:val="24"/>
        </w:rPr>
        <w:t xml:space="preserve"> (2023) 117 ATR 328 at</w:t>
      </w:r>
      <w:r w:rsidRPr="004D645D" w:rsidDel="005D2365">
        <w:rPr>
          <w:rFonts w:ascii="Times New Roman" w:hAnsi="Times New Roman"/>
          <w:sz w:val="24"/>
        </w:rPr>
        <w:t xml:space="preserve"> </w:t>
      </w:r>
      <w:r w:rsidRPr="004D645D">
        <w:rPr>
          <w:rFonts w:ascii="Times New Roman" w:hAnsi="Times New Roman"/>
          <w:sz w:val="24"/>
        </w:rPr>
        <w:t>419 [456].</w:t>
      </w:r>
    </w:p>
  </w:footnote>
  <w:footnote w:id="126">
    <w:p w14:paraId="36540129"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Minerva Financial Group Pty Ltd v Federal Commissioner of Taxation</w:t>
      </w:r>
      <w:r w:rsidRPr="004D645D">
        <w:rPr>
          <w:rFonts w:ascii="Times New Roman" w:hAnsi="Times New Roman"/>
          <w:sz w:val="24"/>
        </w:rPr>
        <w:t xml:space="preserve"> (2024) 302 FCR 52 at</w:t>
      </w:r>
      <w:r w:rsidRPr="004D645D" w:rsidDel="007E65F2">
        <w:rPr>
          <w:rFonts w:ascii="Times New Roman" w:hAnsi="Times New Roman"/>
          <w:sz w:val="24"/>
        </w:rPr>
        <w:t xml:space="preserve"> </w:t>
      </w:r>
      <w:r w:rsidRPr="004D645D">
        <w:rPr>
          <w:rFonts w:ascii="Times New Roman" w:hAnsi="Times New Roman"/>
          <w:sz w:val="24"/>
        </w:rPr>
        <w:t>66 [60(4)-(6)], 73 [99].</w:t>
      </w:r>
    </w:p>
  </w:footnote>
  <w:footnote w:id="127">
    <w:p w14:paraId="4FBD5C8F" w14:textId="77777777" w:rsidR="00436125" w:rsidRPr="004D645D" w:rsidRDefault="00436125" w:rsidP="004D645D">
      <w:pPr>
        <w:pStyle w:val="FootnoteText"/>
        <w:spacing w:line="280" w:lineRule="exact"/>
        <w:ind w:right="0"/>
        <w:jc w:val="both"/>
        <w:rPr>
          <w:rFonts w:ascii="Times New Roman" w:hAnsi="Times New Roman"/>
          <w:sz w:val="24"/>
        </w:rPr>
      </w:pPr>
      <w:r w:rsidRPr="004D645D">
        <w:rPr>
          <w:rStyle w:val="FootnoteReference"/>
          <w:rFonts w:ascii="Times New Roman" w:hAnsi="Times New Roman"/>
          <w:sz w:val="22"/>
          <w:vertAlign w:val="baseline"/>
        </w:rPr>
        <w:footnoteRef/>
      </w:r>
      <w:r w:rsidRPr="004D645D">
        <w:rPr>
          <w:rFonts w:ascii="Times New Roman" w:hAnsi="Times New Roman"/>
          <w:sz w:val="24"/>
        </w:rPr>
        <w:t xml:space="preserve"> </w:t>
      </w:r>
      <w:r w:rsidRPr="004D645D">
        <w:rPr>
          <w:rFonts w:ascii="Times New Roman" w:hAnsi="Times New Roman"/>
          <w:sz w:val="24"/>
        </w:rPr>
        <w:tab/>
      </w:r>
      <w:r w:rsidRPr="004D645D">
        <w:rPr>
          <w:rFonts w:ascii="Times New Roman" w:hAnsi="Times New Roman"/>
          <w:i/>
          <w:iCs/>
          <w:sz w:val="24"/>
        </w:rPr>
        <w:t>PepsiCo Inc v Commissioner of Taxation</w:t>
      </w:r>
      <w:r w:rsidRPr="004D645D">
        <w:rPr>
          <w:rFonts w:ascii="Times New Roman" w:hAnsi="Times New Roman"/>
          <w:sz w:val="24"/>
        </w:rPr>
        <w:t xml:space="preserve"> (2023) 117 ATR 328 at 421 [466].</w:t>
      </w:r>
    </w:p>
  </w:footnote>
  <w:footnote w:id="128">
    <w:p w14:paraId="0F30326A"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 xml:space="preserve">The Commissioner issued amended notices of royalty withholding tax to PepsiCo and SVC on 6 March 2023. The Commissioner also issued amended notices of diverted profits tax assessments on 3 December 2021 to PepsiCo and on 6 March 2023 to PepsiCo and SVC. </w:t>
      </w:r>
    </w:p>
  </w:footnote>
  <w:footnote w:id="129">
    <w:p w14:paraId="470ACAEC"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 xml:space="preserve">Under Pt IVC of the </w:t>
      </w:r>
      <w:r w:rsidRPr="00ED2188">
        <w:rPr>
          <w:rFonts w:ascii="Times New Roman" w:hAnsi="Times New Roman"/>
          <w:i/>
          <w:iCs/>
          <w:sz w:val="24"/>
        </w:rPr>
        <w:t>Taxation Administration Act 1953</w:t>
      </w:r>
      <w:r w:rsidRPr="00ED2188">
        <w:rPr>
          <w:rFonts w:ascii="Times New Roman" w:hAnsi="Times New Roman"/>
          <w:sz w:val="24"/>
        </w:rPr>
        <w:t xml:space="preserve"> (Cth), s 14ZZO(b)(i), PepsiCo and SVC had the burden of proving that each assessment was excessive or otherwise incorrect.</w:t>
      </w:r>
    </w:p>
  </w:footnote>
  <w:footnote w:id="130">
    <w:p w14:paraId="0417A557" w14:textId="77777777" w:rsidR="00A143F4" w:rsidRPr="00ED2188" w:rsidRDefault="00A143F4" w:rsidP="005B75C2">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r>
      <w:r>
        <w:rPr>
          <w:rFonts w:ascii="Times New Roman" w:hAnsi="Times New Roman"/>
          <w:sz w:val="24"/>
        </w:rPr>
        <w:t>Emphasis in original</w:t>
      </w:r>
      <w:r w:rsidRPr="00ED2188">
        <w:rPr>
          <w:rFonts w:ascii="Times New Roman" w:hAnsi="Times New Roman"/>
          <w:sz w:val="24"/>
        </w:rPr>
        <w:t>.</w:t>
      </w:r>
    </w:p>
  </w:footnote>
  <w:footnote w:id="131">
    <w:p w14:paraId="1A2EB9C6"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 xml:space="preserve">See </w:t>
      </w:r>
      <w:r w:rsidRPr="00ED2188">
        <w:rPr>
          <w:rFonts w:ascii="Times New Roman" w:hAnsi="Times New Roman"/>
          <w:i/>
          <w:iCs/>
          <w:sz w:val="24"/>
        </w:rPr>
        <w:t xml:space="preserve">Mount Bruce Mining Pty Ltd v Wright Prospecting Pty Ltd </w:t>
      </w:r>
      <w:r w:rsidRPr="00ED2188">
        <w:rPr>
          <w:rFonts w:ascii="Times New Roman" w:hAnsi="Times New Roman"/>
          <w:sz w:val="24"/>
        </w:rPr>
        <w:t>(2015) 256 CLR 104</w:t>
      </w:r>
      <w:r w:rsidRPr="00ED2188">
        <w:rPr>
          <w:rFonts w:ascii="Times New Roman" w:hAnsi="Times New Roman"/>
          <w:i/>
          <w:iCs/>
          <w:sz w:val="24"/>
        </w:rPr>
        <w:t xml:space="preserve"> </w:t>
      </w:r>
      <w:r w:rsidRPr="00ED2188">
        <w:rPr>
          <w:rFonts w:ascii="Times New Roman" w:hAnsi="Times New Roman"/>
          <w:sz w:val="24"/>
        </w:rPr>
        <w:t>at 116 [46]-[47].</w:t>
      </w:r>
    </w:p>
  </w:footnote>
  <w:footnote w:id="132">
    <w:p w14:paraId="0D999921"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PepsiCo EBA, cll 3(a) and 3(c).</w:t>
      </w:r>
    </w:p>
  </w:footnote>
  <w:footnote w:id="133">
    <w:p w14:paraId="5894434E"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PepsiCo EBA, cl 3(c).</w:t>
      </w:r>
    </w:p>
  </w:footnote>
  <w:footnote w:id="134">
    <w:p w14:paraId="4AE6E9A4"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PepsiCo EBA, cl 21.</w:t>
      </w:r>
    </w:p>
  </w:footnote>
  <w:footnote w:id="135">
    <w:p w14:paraId="179E1E69"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Clause 4(b) of the PepsiCo EBA also recorded that those prices were to be adjusted annually based on the Australian Consumer Price Index.</w:t>
      </w:r>
    </w:p>
  </w:footnote>
  <w:footnote w:id="136">
    <w:p w14:paraId="28014FDA"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PepsiCo EBA, cl 4(c).</w:t>
      </w:r>
    </w:p>
  </w:footnote>
  <w:footnote w:id="137">
    <w:p w14:paraId="55613064"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CDA, s 3.1.</w:t>
      </w:r>
    </w:p>
  </w:footnote>
  <w:footnote w:id="138">
    <w:p w14:paraId="0C8A5023"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Defined to mean "[a]ny party in the Territory to whom PBS may sell Concentrate, as CMSPL may agree to in writing": CDA, s 1.2.</w:t>
      </w:r>
    </w:p>
  </w:footnote>
  <w:footnote w:id="139">
    <w:p w14:paraId="31310018"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Defined to mean "[a]ll distribution, sale, and related activities and materials concerning the Beverages within the Territory": CDA, s 1.7.</w:t>
      </w:r>
    </w:p>
  </w:footnote>
  <w:footnote w:id="140">
    <w:p w14:paraId="3FDD6718"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CDA, s 5.7.</w:t>
      </w:r>
    </w:p>
  </w:footnote>
  <w:footnote w:id="141">
    <w:p w14:paraId="2BC8DD69"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PepsiCo EBA, cl 6.</w:t>
      </w:r>
    </w:p>
  </w:footnote>
  <w:footnote w:id="142">
    <w:p w14:paraId="53E2C8E1"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PepsiCo EBA, cl 7 read with cl 11.</w:t>
      </w:r>
    </w:p>
  </w:footnote>
  <w:footnote w:id="143">
    <w:p w14:paraId="3E41415F"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PepsiCo EBA, cl 7.</w:t>
      </w:r>
    </w:p>
  </w:footnote>
  <w:footnote w:id="144">
    <w:p w14:paraId="6875A6FC"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PepsiCo EBA, cl 8(a).</w:t>
      </w:r>
    </w:p>
  </w:footnote>
  <w:footnote w:id="145">
    <w:p w14:paraId="04940AB6"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PepsiCo EBA, cl 9(a).</w:t>
      </w:r>
    </w:p>
  </w:footnote>
  <w:footnote w:id="146">
    <w:p w14:paraId="3E6B9094"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PepsiCo EBA, cl 9(b).</w:t>
      </w:r>
    </w:p>
  </w:footnote>
  <w:footnote w:id="147">
    <w:p w14:paraId="3F965AE7"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PepsiCo EBA, cl 13.</w:t>
      </w:r>
    </w:p>
  </w:footnote>
  <w:footnote w:id="148">
    <w:p w14:paraId="062A214B"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PepsiCo EBA, cl 14.</w:t>
      </w:r>
    </w:p>
  </w:footnote>
  <w:footnote w:id="149">
    <w:p w14:paraId="194BF7C4"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PepsiCo EBA, cl 15.</w:t>
      </w:r>
    </w:p>
  </w:footnote>
  <w:footnote w:id="150">
    <w:p w14:paraId="126CD28D"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PepsiCo EBA, cl 12.</w:t>
      </w:r>
    </w:p>
  </w:footnote>
  <w:footnote w:id="151">
    <w:p w14:paraId="73D63579"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PepsiCo EBA, cl 11(a).</w:t>
      </w:r>
    </w:p>
  </w:footnote>
  <w:footnote w:id="152">
    <w:p w14:paraId="7BCE6361"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PepsiCo EBA, cl 11(b).</w:t>
      </w:r>
    </w:p>
  </w:footnote>
  <w:footnote w:id="153">
    <w:p w14:paraId="37C78D54"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PepsiCo EBA, cl 11(e).</w:t>
      </w:r>
    </w:p>
  </w:footnote>
  <w:footnote w:id="154">
    <w:p w14:paraId="7D85AA8D"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PepsiCo EBA, cl 17(a) read with cl 5.</w:t>
      </w:r>
    </w:p>
  </w:footnote>
  <w:footnote w:id="155">
    <w:p w14:paraId="0BECD7AA"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PepsiCo EBA, cl 5(b).</w:t>
      </w:r>
    </w:p>
  </w:footnote>
  <w:footnote w:id="156">
    <w:p w14:paraId="181A52BA"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PepsiCo EBA, cl 5(b).</w:t>
      </w:r>
    </w:p>
  </w:footnote>
  <w:footnote w:id="157">
    <w:p w14:paraId="44E4655D"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cf SVC EBA, cl 4.1, which expressly grants an "exclusive royalty-free licence" to use the PepsiCo Intellectual Property.</w:t>
      </w:r>
    </w:p>
  </w:footnote>
  <w:footnote w:id="158">
    <w:p w14:paraId="091178AE"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PepsiCo EBA, cl 18.</w:t>
      </w:r>
    </w:p>
  </w:footnote>
  <w:footnote w:id="159">
    <w:p w14:paraId="7E4F6128"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PepsiCo EBA, cl 20.</w:t>
      </w:r>
    </w:p>
  </w:footnote>
  <w:footnote w:id="160">
    <w:p w14:paraId="464F3357"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PepsiCo EBA, cl 19.</w:t>
      </w:r>
    </w:p>
  </w:footnote>
  <w:footnote w:id="161">
    <w:p w14:paraId="67717B87"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Performance Agreement, cl 3.</w:t>
      </w:r>
    </w:p>
  </w:footnote>
  <w:footnote w:id="162">
    <w:p w14:paraId="079CCB9A"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Performance Agreement, cl 5.</w:t>
      </w:r>
    </w:p>
  </w:footnote>
  <w:footnote w:id="163">
    <w:p w14:paraId="253B9974"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Performance Agreement, cl 6.</w:t>
      </w:r>
    </w:p>
  </w:footnote>
  <w:footnote w:id="164">
    <w:p w14:paraId="7A7ACE0E"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Performance Agreement, cl 7.2.</w:t>
      </w:r>
    </w:p>
  </w:footnote>
  <w:footnote w:id="165">
    <w:p w14:paraId="543FE3E6"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PepsiCo EBA, cl 18.</w:t>
      </w:r>
    </w:p>
  </w:footnote>
  <w:footnote w:id="166">
    <w:p w14:paraId="3216CF4A"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PepsiCo EBA, cl 18.</w:t>
      </w:r>
    </w:p>
  </w:footnote>
  <w:footnote w:id="167">
    <w:p w14:paraId="301B1077"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Performance Agreement, cl 7.2.</w:t>
      </w:r>
    </w:p>
  </w:footnote>
  <w:footnote w:id="168">
    <w:p w14:paraId="1953831E"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PepsiCo EBA, cl 18.</w:t>
      </w:r>
    </w:p>
  </w:footnote>
  <w:footnote w:id="169">
    <w:p w14:paraId="33D9E03A"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2017 Annual Co-op A&amp;M Agreement, cl 2.</w:t>
      </w:r>
    </w:p>
  </w:footnote>
  <w:footnote w:id="170">
    <w:p w14:paraId="487BF21A"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2017 Annual Co-op A&amp;M Agreement, cl 3(a) and (b).</w:t>
      </w:r>
    </w:p>
  </w:footnote>
  <w:footnote w:id="171">
    <w:p w14:paraId="5603B1E6"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2017 Annual Co-op A&amp;M Agreement, cl 3(d).</w:t>
      </w:r>
    </w:p>
  </w:footnote>
  <w:footnote w:id="172">
    <w:p w14:paraId="66CCB851"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2017 Annual Co-op A&amp;M Agreement, cl 8 and Appendix B.</w:t>
      </w:r>
    </w:p>
  </w:footnote>
  <w:footnote w:id="173">
    <w:p w14:paraId="56C7ED9E"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2017 Annual Co-op A&amp;M Agreement, cl 9.</w:t>
      </w:r>
    </w:p>
  </w:footnote>
  <w:footnote w:id="174">
    <w:p w14:paraId="4EF39958"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2017 Annual Co-op A&amp;M Agreement, cl 9.</w:t>
      </w:r>
    </w:p>
  </w:footnote>
  <w:footnote w:id="175">
    <w:p w14:paraId="724EA1BA"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2017 Annual Co-op A&amp;M Agreement, cll 11, 12, 14.</w:t>
      </w:r>
    </w:p>
  </w:footnote>
  <w:footnote w:id="176">
    <w:p w14:paraId="4D9F57D4"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PepsiCo EBA, cl 24(a)(i).</w:t>
      </w:r>
    </w:p>
  </w:footnote>
  <w:footnote w:id="177">
    <w:p w14:paraId="74F93236"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PepsiCo EBA, cl 26(a).</w:t>
      </w:r>
    </w:p>
  </w:footnote>
  <w:footnote w:id="178">
    <w:p w14:paraId="1708256D"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By ITAA 1936, s 128B(1A): "a reference to a person to whom this section applies is a reference to ... a person who is, or persons at least 1 of whom is, a resident".</w:t>
      </w:r>
    </w:p>
  </w:footnote>
  <w:footnote w:id="179">
    <w:p w14:paraId="2E9077FA"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ITAA 1936, s 128B(5A) read with sub-ss (2B)(a) and (2B)(b)(ii).</w:t>
      </w:r>
    </w:p>
  </w:footnote>
  <w:footnote w:id="180">
    <w:p w14:paraId="77578031"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 xml:space="preserve">ITAA 1936, s 128A(2); cf </w:t>
      </w:r>
      <w:r w:rsidRPr="00ED2188">
        <w:rPr>
          <w:rFonts w:ascii="Times New Roman" w:hAnsi="Times New Roman"/>
          <w:i/>
          <w:iCs/>
          <w:sz w:val="24"/>
        </w:rPr>
        <w:t>Income Tax Assessment Act 1997 </w:t>
      </w:r>
      <w:r w:rsidRPr="00ED2188">
        <w:rPr>
          <w:rFonts w:ascii="Times New Roman" w:hAnsi="Times New Roman"/>
          <w:sz w:val="24"/>
        </w:rPr>
        <w:t>(Cth), s 6-5(4).</w:t>
      </w:r>
    </w:p>
  </w:footnote>
  <w:footnote w:id="181">
    <w:p w14:paraId="72DDD7DA"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(2005) 221 CLR 496.</w:t>
      </w:r>
    </w:p>
  </w:footnote>
  <w:footnote w:id="182">
    <w:p w14:paraId="43AEB05E"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(2014) 254 CLR 142.</w:t>
      </w:r>
    </w:p>
  </w:footnote>
  <w:footnote w:id="183">
    <w:p w14:paraId="1FB0EED3"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 xml:space="preserve">See, eg, </w:t>
      </w:r>
      <w:r w:rsidRPr="00ED2188">
        <w:rPr>
          <w:rFonts w:ascii="Times New Roman" w:hAnsi="Times New Roman"/>
          <w:i/>
          <w:iCs/>
          <w:sz w:val="24"/>
        </w:rPr>
        <w:t xml:space="preserve">Roufeil v Tarrant Enterprises Pty Ltd </w:t>
      </w:r>
      <w:r w:rsidRPr="00ED2188">
        <w:rPr>
          <w:rFonts w:ascii="Times New Roman" w:hAnsi="Times New Roman"/>
          <w:sz w:val="24"/>
        </w:rPr>
        <w:t>(2023)</w:t>
      </w:r>
      <w:r w:rsidRPr="00ED2188">
        <w:rPr>
          <w:rFonts w:ascii="Times New Roman" w:hAnsi="Times New Roman"/>
          <w:i/>
          <w:iCs/>
          <w:sz w:val="24"/>
        </w:rPr>
        <w:t xml:space="preserve"> </w:t>
      </w:r>
      <w:r w:rsidRPr="00ED2188">
        <w:rPr>
          <w:rFonts w:ascii="Times New Roman" w:hAnsi="Times New Roman"/>
          <w:sz w:val="24"/>
        </w:rPr>
        <w:t>299 FCR 204 at 212-214 [27]</w:t>
      </w:r>
      <w:r>
        <w:rPr>
          <w:rFonts w:ascii="Times New Roman" w:hAnsi="Times New Roman"/>
          <w:sz w:val="24"/>
        </w:rPr>
        <w:noBreakHyphen/>
      </w:r>
      <w:r w:rsidRPr="00ED2188">
        <w:rPr>
          <w:rFonts w:ascii="Times New Roman" w:hAnsi="Times New Roman"/>
          <w:sz w:val="24"/>
        </w:rPr>
        <w:t>[35].</w:t>
      </w:r>
    </w:p>
  </w:footnote>
  <w:footnote w:id="184">
    <w:p w14:paraId="61C6E4F9"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r>
      <w:r w:rsidRPr="00ED2188">
        <w:rPr>
          <w:rFonts w:ascii="Times New Roman" w:hAnsi="Times New Roman"/>
          <w:i/>
          <w:iCs/>
          <w:sz w:val="24"/>
        </w:rPr>
        <w:t xml:space="preserve">ABB Australia Pty Ltd v Federal Commissioner of Taxation </w:t>
      </w:r>
      <w:r w:rsidRPr="00ED2188">
        <w:rPr>
          <w:rFonts w:ascii="Times New Roman" w:hAnsi="Times New Roman"/>
          <w:sz w:val="24"/>
        </w:rPr>
        <w:t xml:space="preserve">(2007) 162 FCR 189 at 226 [166], citing Goode, </w:t>
      </w:r>
      <w:r w:rsidRPr="00ED2188">
        <w:rPr>
          <w:rFonts w:ascii="Times New Roman" w:hAnsi="Times New Roman"/>
          <w:i/>
          <w:iCs/>
          <w:sz w:val="24"/>
        </w:rPr>
        <w:t xml:space="preserve">Payment Obligations in Commercial and Financial Transactions </w:t>
      </w:r>
      <w:r w:rsidRPr="00ED2188">
        <w:rPr>
          <w:rFonts w:ascii="Times New Roman" w:hAnsi="Times New Roman"/>
          <w:sz w:val="24"/>
        </w:rPr>
        <w:t>(1983) at 11.</w:t>
      </w:r>
    </w:p>
  </w:footnote>
  <w:footnote w:id="185">
    <w:p w14:paraId="264B19DF"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r>
      <w:r w:rsidRPr="00ED2188">
        <w:rPr>
          <w:rFonts w:ascii="Times New Roman" w:hAnsi="Times New Roman"/>
          <w:i/>
          <w:iCs/>
          <w:sz w:val="24"/>
        </w:rPr>
        <w:t>Commissioner of Taxes (SA) v Executor Trustee and Agency Co of South Australia Ltd</w:t>
      </w:r>
      <w:r w:rsidRPr="00ED2188">
        <w:rPr>
          <w:rFonts w:ascii="Times New Roman" w:hAnsi="Times New Roman"/>
          <w:sz w:val="24"/>
        </w:rPr>
        <w:t xml:space="preserve"> (1938) 63 CLR 108 at 155; </w:t>
      </w:r>
      <w:r w:rsidRPr="00ED2188">
        <w:rPr>
          <w:rFonts w:ascii="Times New Roman" w:hAnsi="Times New Roman"/>
          <w:i/>
          <w:iCs/>
          <w:sz w:val="24"/>
        </w:rPr>
        <w:t xml:space="preserve">Arthur Murray (NSW) Pty Ltd v Federal Commissioner of Taxation </w:t>
      </w:r>
      <w:r w:rsidRPr="00ED2188">
        <w:rPr>
          <w:rFonts w:ascii="Times New Roman" w:hAnsi="Times New Roman"/>
          <w:sz w:val="24"/>
        </w:rPr>
        <w:t>(1965) 114 CLR 314 at 318.</w:t>
      </w:r>
    </w:p>
  </w:footnote>
  <w:footnote w:id="186">
    <w:p w14:paraId="2A2C4BB1"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r>
      <w:r w:rsidRPr="00ED2188">
        <w:rPr>
          <w:rFonts w:ascii="Times New Roman" w:hAnsi="Times New Roman"/>
          <w:i/>
          <w:iCs/>
          <w:sz w:val="24"/>
        </w:rPr>
        <w:t xml:space="preserve">Mount Bruce Mining </w:t>
      </w:r>
      <w:r w:rsidRPr="00ED2188">
        <w:rPr>
          <w:rFonts w:ascii="Times New Roman" w:hAnsi="Times New Roman"/>
          <w:sz w:val="24"/>
        </w:rPr>
        <w:t>(2015) 256 CLR 104 at 116 [46]-[47].</w:t>
      </w:r>
    </w:p>
  </w:footnote>
  <w:footnote w:id="187">
    <w:p w14:paraId="00608A50"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 xml:space="preserve">Ibbetson, </w:t>
      </w:r>
      <w:r w:rsidRPr="00ED2188">
        <w:rPr>
          <w:rFonts w:ascii="Times New Roman" w:hAnsi="Times New Roman"/>
          <w:i/>
          <w:iCs/>
          <w:sz w:val="24"/>
        </w:rPr>
        <w:t xml:space="preserve">A Historical Introduction to the Law of Obligations </w:t>
      </w:r>
      <w:r w:rsidRPr="00ED2188">
        <w:rPr>
          <w:rFonts w:ascii="Times New Roman" w:hAnsi="Times New Roman"/>
          <w:sz w:val="24"/>
        </w:rPr>
        <w:t>(2006) at 141-145.</w:t>
      </w:r>
    </w:p>
  </w:footnote>
  <w:footnote w:id="188">
    <w:p w14:paraId="12A6DDB5"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r>
      <w:r w:rsidRPr="00ED2188">
        <w:rPr>
          <w:rFonts w:ascii="Times New Roman" w:hAnsi="Times New Roman"/>
          <w:i/>
          <w:iCs/>
          <w:sz w:val="24"/>
        </w:rPr>
        <w:t>Australian Woollen Mills Pty Ltd v The Commonwealth</w:t>
      </w:r>
      <w:r w:rsidRPr="00ED2188">
        <w:rPr>
          <w:rFonts w:ascii="Times New Roman" w:hAnsi="Times New Roman"/>
          <w:sz w:val="24"/>
        </w:rPr>
        <w:t xml:space="preserve"> (1954) 92 CLR 424 at 456</w:t>
      </w:r>
      <w:r>
        <w:rPr>
          <w:rFonts w:ascii="Times New Roman" w:hAnsi="Times New Roman"/>
          <w:sz w:val="24"/>
        </w:rPr>
        <w:noBreakHyphen/>
      </w:r>
      <w:r w:rsidRPr="00ED2188">
        <w:rPr>
          <w:rFonts w:ascii="Times New Roman" w:hAnsi="Times New Roman"/>
          <w:sz w:val="24"/>
        </w:rPr>
        <w:t>457.</w:t>
      </w:r>
    </w:p>
  </w:footnote>
  <w:footnote w:id="189">
    <w:p w14:paraId="2694168A"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 xml:space="preserve">Simpson, </w:t>
      </w:r>
      <w:r w:rsidRPr="00ED2188">
        <w:rPr>
          <w:rFonts w:ascii="Times New Roman" w:hAnsi="Times New Roman"/>
          <w:i/>
          <w:iCs/>
          <w:sz w:val="24"/>
        </w:rPr>
        <w:t xml:space="preserve">A History of the Common Law of Contract: The Rise of the Action of Assumpsit </w:t>
      </w:r>
      <w:r w:rsidRPr="00ED2188">
        <w:rPr>
          <w:rFonts w:ascii="Times New Roman" w:hAnsi="Times New Roman"/>
          <w:sz w:val="24"/>
        </w:rPr>
        <w:t>(1987)</w:t>
      </w:r>
      <w:r w:rsidRPr="00ED2188">
        <w:rPr>
          <w:rFonts w:ascii="Times New Roman" w:hAnsi="Times New Roman"/>
          <w:i/>
          <w:iCs/>
          <w:sz w:val="24"/>
        </w:rPr>
        <w:t xml:space="preserve"> </w:t>
      </w:r>
      <w:r w:rsidRPr="00ED2188">
        <w:rPr>
          <w:rFonts w:ascii="Times New Roman" w:hAnsi="Times New Roman"/>
          <w:sz w:val="24"/>
        </w:rPr>
        <w:t>at 424-426, 485.</w:t>
      </w:r>
    </w:p>
  </w:footnote>
  <w:footnote w:id="190">
    <w:p w14:paraId="1A316D4E"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r>
      <w:r w:rsidRPr="00ED2188">
        <w:rPr>
          <w:rFonts w:ascii="Times New Roman" w:hAnsi="Times New Roman"/>
          <w:i/>
          <w:iCs/>
          <w:sz w:val="24"/>
        </w:rPr>
        <w:t xml:space="preserve">Roxborough v Rothmans of Pall Mall Australia Ltd </w:t>
      </w:r>
      <w:r w:rsidRPr="00ED2188">
        <w:rPr>
          <w:rFonts w:ascii="Times New Roman" w:hAnsi="Times New Roman"/>
          <w:sz w:val="24"/>
        </w:rPr>
        <w:t xml:space="preserve">(2001) 208 CLR 516 at 556-557 [102]-[103], quoting </w:t>
      </w:r>
      <w:r w:rsidRPr="00ED2188">
        <w:rPr>
          <w:rFonts w:ascii="Times New Roman" w:hAnsi="Times New Roman"/>
          <w:i/>
          <w:iCs/>
          <w:sz w:val="24"/>
        </w:rPr>
        <w:t xml:space="preserve">Martin v Andrews </w:t>
      </w:r>
      <w:r w:rsidRPr="00ED2188">
        <w:rPr>
          <w:rFonts w:ascii="Times New Roman" w:hAnsi="Times New Roman"/>
          <w:sz w:val="24"/>
        </w:rPr>
        <w:t xml:space="preserve">(1856) 7 El and Bl 1 at 4 [119 ER 1148 at 1149]. </w:t>
      </w:r>
    </w:p>
  </w:footnote>
  <w:footnote w:id="191">
    <w:p w14:paraId="753B05BA"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r>
      <w:r w:rsidRPr="00ED2188">
        <w:rPr>
          <w:rFonts w:ascii="Times New Roman" w:hAnsi="Times New Roman"/>
          <w:i/>
          <w:iCs/>
          <w:sz w:val="24"/>
        </w:rPr>
        <w:t>Redland City Council v Kozik</w:t>
      </w:r>
      <w:r w:rsidRPr="00ED2188">
        <w:rPr>
          <w:rFonts w:ascii="Times New Roman" w:hAnsi="Times New Roman"/>
          <w:sz w:val="24"/>
        </w:rPr>
        <w:t xml:space="preserve"> (2024) 98 ALJR 544 at 579 [183]; 418 ALR 1 at 44.</w:t>
      </w:r>
    </w:p>
  </w:footnote>
  <w:footnote w:id="192">
    <w:p w14:paraId="745799D7"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(1948) 77 CLR 143 at 152.</w:t>
      </w:r>
    </w:p>
  </w:footnote>
  <w:footnote w:id="193">
    <w:p w14:paraId="5FB5D540"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 xml:space="preserve">cf </w:t>
      </w:r>
      <w:r w:rsidRPr="00ED2188">
        <w:rPr>
          <w:rFonts w:ascii="Times New Roman" w:hAnsi="Times New Roman"/>
          <w:i/>
          <w:iCs/>
          <w:sz w:val="24"/>
        </w:rPr>
        <w:t xml:space="preserve">Redland City Council </w:t>
      </w:r>
      <w:r w:rsidRPr="00ED2188">
        <w:rPr>
          <w:rFonts w:ascii="Times New Roman" w:hAnsi="Times New Roman"/>
          <w:sz w:val="24"/>
        </w:rPr>
        <w:t>(2024) 98 ALJR 544 at 579 [183]; 418 ALR 1 at 44.</w:t>
      </w:r>
    </w:p>
  </w:footnote>
  <w:footnote w:id="194">
    <w:p w14:paraId="5DC2D3BC"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See [1</w:t>
      </w:r>
      <w:r>
        <w:rPr>
          <w:rFonts w:ascii="Times New Roman" w:hAnsi="Times New Roman"/>
          <w:sz w:val="24"/>
        </w:rPr>
        <w:t>30</w:t>
      </w:r>
      <w:r w:rsidRPr="00ED2188">
        <w:rPr>
          <w:rFonts w:ascii="Times New Roman" w:hAnsi="Times New Roman"/>
          <w:sz w:val="24"/>
        </w:rPr>
        <w:t>]-[1</w:t>
      </w:r>
      <w:r>
        <w:rPr>
          <w:rFonts w:ascii="Times New Roman" w:hAnsi="Times New Roman"/>
          <w:sz w:val="24"/>
        </w:rPr>
        <w:t>31</w:t>
      </w:r>
      <w:r w:rsidRPr="00ED2188">
        <w:rPr>
          <w:rFonts w:ascii="Times New Roman" w:hAnsi="Times New Roman"/>
          <w:sz w:val="24"/>
        </w:rPr>
        <w:t>] above.</w:t>
      </w:r>
    </w:p>
  </w:footnote>
  <w:footnote w:id="195">
    <w:p w14:paraId="1641CB2F"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See [</w:t>
      </w:r>
      <w:r>
        <w:rPr>
          <w:rFonts w:ascii="Times New Roman" w:hAnsi="Times New Roman"/>
          <w:sz w:val="24"/>
        </w:rPr>
        <w:t>141</w:t>
      </w:r>
      <w:r w:rsidRPr="00ED2188">
        <w:rPr>
          <w:rFonts w:ascii="Times New Roman" w:hAnsi="Times New Roman"/>
          <w:sz w:val="24"/>
        </w:rPr>
        <w:t>] above.</w:t>
      </w:r>
    </w:p>
  </w:footnote>
  <w:footnote w:id="196">
    <w:p w14:paraId="751C9586"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See [12</w:t>
      </w:r>
      <w:r>
        <w:rPr>
          <w:rFonts w:ascii="Times New Roman" w:hAnsi="Times New Roman"/>
          <w:sz w:val="24"/>
        </w:rPr>
        <w:t>8</w:t>
      </w:r>
      <w:r w:rsidRPr="00ED2188">
        <w:rPr>
          <w:rFonts w:ascii="Times New Roman" w:hAnsi="Times New Roman"/>
          <w:sz w:val="24"/>
        </w:rPr>
        <w:t>]-[</w:t>
      </w:r>
      <w:r>
        <w:rPr>
          <w:rFonts w:ascii="Times New Roman" w:hAnsi="Times New Roman"/>
          <w:sz w:val="24"/>
        </w:rPr>
        <w:t>148</w:t>
      </w:r>
      <w:r w:rsidRPr="00ED2188">
        <w:rPr>
          <w:rFonts w:ascii="Times New Roman" w:hAnsi="Times New Roman"/>
          <w:sz w:val="24"/>
        </w:rPr>
        <w:t>] above.</w:t>
      </w:r>
    </w:p>
  </w:footnote>
  <w:footnote w:id="197">
    <w:p w14:paraId="64A13282"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Similar clauses existed in the SVC EBA, cll 4.1, 7.4(f), 18.2(a), 18.5(b)(ii).</w:t>
      </w:r>
    </w:p>
  </w:footnote>
  <w:footnote w:id="198">
    <w:p w14:paraId="171B96BF"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r>
      <w:r w:rsidRPr="00ED2188">
        <w:rPr>
          <w:rFonts w:ascii="Times New Roman" w:hAnsi="Times New Roman"/>
          <w:i/>
          <w:sz w:val="24"/>
        </w:rPr>
        <w:t>Corporations Act 2001</w:t>
      </w:r>
      <w:r w:rsidRPr="00ED2188">
        <w:rPr>
          <w:rFonts w:ascii="Times New Roman" w:hAnsi="Times New Roman"/>
          <w:sz w:val="24"/>
        </w:rPr>
        <w:t xml:space="preserve"> (Cth), s 1305. </w:t>
      </w:r>
    </w:p>
  </w:footnote>
  <w:footnote w:id="199">
    <w:p w14:paraId="1872D7FC"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r>
      <w:r w:rsidRPr="00ED2188">
        <w:rPr>
          <w:rFonts w:ascii="Times New Roman" w:hAnsi="Times New Roman"/>
          <w:i/>
          <w:iCs/>
          <w:sz w:val="24"/>
        </w:rPr>
        <w:t>Duties Act 1997</w:t>
      </w:r>
      <w:r w:rsidRPr="00ED2188">
        <w:rPr>
          <w:rFonts w:ascii="Times New Roman" w:hAnsi="Times New Roman"/>
          <w:sz w:val="24"/>
        </w:rPr>
        <w:t xml:space="preserve"> (NSW), s 19.</w:t>
      </w:r>
    </w:p>
  </w:footnote>
  <w:footnote w:id="200">
    <w:p w14:paraId="08D493AD"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r>
      <w:r w:rsidRPr="00ED2188">
        <w:rPr>
          <w:rFonts w:ascii="Times New Roman" w:hAnsi="Times New Roman"/>
          <w:i/>
          <w:iCs/>
          <w:sz w:val="24"/>
        </w:rPr>
        <w:t>Duties Act 1997</w:t>
      </w:r>
      <w:r w:rsidRPr="00ED2188">
        <w:rPr>
          <w:rFonts w:ascii="Times New Roman" w:hAnsi="Times New Roman"/>
          <w:sz w:val="24"/>
        </w:rPr>
        <w:t xml:space="preserve"> (NSW), s 21(1)(a).</w:t>
      </w:r>
    </w:p>
  </w:footnote>
  <w:footnote w:id="201">
    <w:p w14:paraId="5E31FF01"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r>
      <w:r w:rsidRPr="00ED2188">
        <w:rPr>
          <w:rFonts w:ascii="Times New Roman" w:hAnsi="Times New Roman"/>
          <w:i/>
          <w:iCs/>
          <w:sz w:val="24"/>
        </w:rPr>
        <w:t xml:space="preserve">Dick Smith </w:t>
      </w:r>
      <w:r w:rsidRPr="00ED2188">
        <w:rPr>
          <w:rFonts w:ascii="Times New Roman" w:hAnsi="Times New Roman"/>
          <w:sz w:val="24"/>
        </w:rPr>
        <w:t>(2005) 221 CLR 496 at 519 [75].</w:t>
      </w:r>
    </w:p>
  </w:footnote>
  <w:footnote w:id="202">
    <w:p w14:paraId="3F10BB2E"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r>
      <w:r w:rsidRPr="00ED2188">
        <w:rPr>
          <w:rFonts w:ascii="Times New Roman" w:hAnsi="Times New Roman"/>
          <w:i/>
          <w:iCs/>
          <w:sz w:val="24"/>
        </w:rPr>
        <w:t xml:space="preserve">Duties Act 2000 </w:t>
      </w:r>
      <w:r w:rsidRPr="00ED2188">
        <w:rPr>
          <w:rFonts w:ascii="Times New Roman" w:hAnsi="Times New Roman"/>
          <w:sz w:val="24"/>
        </w:rPr>
        <w:t>(Vic), s 20(1)(a).</w:t>
      </w:r>
    </w:p>
  </w:footnote>
  <w:footnote w:id="203">
    <w:p w14:paraId="7FE9AA2D"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r>
      <w:r w:rsidRPr="00ED2188">
        <w:rPr>
          <w:rFonts w:ascii="Times New Roman" w:hAnsi="Times New Roman"/>
          <w:i/>
          <w:iCs/>
          <w:sz w:val="24"/>
        </w:rPr>
        <w:t xml:space="preserve">Lend Lease </w:t>
      </w:r>
      <w:r w:rsidRPr="00ED2188">
        <w:rPr>
          <w:rFonts w:ascii="Times New Roman" w:hAnsi="Times New Roman"/>
          <w:sz w:val="24"/>
        </w:rPr>
        <w:t>(2014) 254 CLR 142 at 159</w:t>
      </w:r>
      <w:r w:rsidRPr="00ED2188">
        <w:rPr>
          <w:rFonts w:ascii="Times New Roman" w:hAnsi="Times New Roman"/>
          <w:sz w:val="24"/>
        </w:rPr>
        <w:noBreakHyphen/>
        <w:t>160 [50].</w:t>
      </w:r>
    </w:p>
  </w:footnote>
  <w:footnote w:id="204">
    <w:p w14:paraId="423271B7"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 xml:space="preserve">The same observation may be made about the Commissioner's reliance upon </w:t>
      </w:r>
      <w:r w:rsidRPr="00ED2188">
        <w:rPr>
          <w:rFonts w:ascii="Times New Roman" w:hAnsi="Times New Roman"/>
          <w:i/>
          <w:iCs/>
          <w:sz w:val="24"/>
        </w:rPr>
        <w:t xml:space="preserve">Freedom Foods Pty Ltd v Blue Diamond Growers </w:t>
      </w:r>
      <w:r w:rsidRPr="00ED2188">
        <w:rPr>
          <w:rFonts w:ascii="Times New Roman" w:hAnsi="Times New Roman"/>
          <w:sz w:val="24"/>
        </w:rPr>
        <w:t>(2021) 286 FCR 437 at 453 [66] in the courts below; those dicta concerned the terms of the particular licence agreement.</w:t>
      </w:r>
    </w:p>
  </w:footnote>
  <w:footnote w:id="205">
    <w:p w14:paraId="24414C94"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PepsiCo EBA, cl 26(a).</w:t>
      </w:r>
    </w:p>
  </w:footnote>
  <w:footnote w:id="206">
    <w:p w14:paraId="78238E19"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See [</w:t>
      </w:r>
      <w:r>
        <w:rPr>
          <w:rFonts w:ascii="Times New Roman" w:hAnsi="Times New Roman"/>
          <w:sz w:val="24"/>
        </w:rPr>
        <w:t>131</w:t>
      </w:r>
      <w:r w:rsidRPr="00ED2188">
        <w:rPr>
          <w:rFonts w:ascii="Times New Roman" w:hAnsi="Times New Roman"/>
          <w:sz w:val="24"/>
        </w:rPr>
        <w:t>] above.</w:t>
      </w:r>
    </w:p>
  </w:footnote>
  <w:footnote w:id="207">
    <w:p w14:paraId="070F481A" w14:textId="77777777" w:rsidR="00A143F4" w:rsidRPr="00ED2188" w:rsidRDefault="00A143F4" w:rsidP="00ED2188">
      <w:pPr>
        <w:pStyle w:val="FootnoteText"/>
        <w:spacing w:line="280" w:lineRule="exact"/>
        <w:ind w:right="0"/>
        <w:jc w:val="both"/>
        <w:rPr>
          <w:rFonts w:ascii="Times New Roman" w:hAnsi="Times New Roman"/>
          <w:b/>
          <w:bCs/>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PepsiCo EBA, cl 4(c).</w:t>
      </w:r>
    </w:p>
  </w:footnote>
  <w:footnote w:id="208">
    <w:p w14:paraId="704DBA06"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See [</w:t>
      </w:r>
      <w:r>
        <w:rPr>
          <w:rFonts w:ascii="Times New Roman" w:hAnsi="Times New Roman"/>
          <w:sz w:val="24"/>
        </w:rPr>
        <w:t>166</w:t>
      </w:r>
      <w:r w:rsidRPr="00ED2188">
        <w:rPr>
          <w:rFonts w:ascii="Times New Roman" w:hAnsi="Times New Roman"/>
          <w:sz w:val="24"/>
        </w:rPr>
        <w:t>] above.</w:t>
      </w:r>
    </w:p>
  </w:footnote>
  <w:footnote w:id="209">
    <w:p w14:paraId="70E67B4D"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See [</w:t>
      </w:r>
      <w:r>
        <w:rPr>
          <w:rFonts w:ascii="Times New Roman" w:hAnsi="Times New Roman"/>
          <w:sz w:val="24"/>
        </w:rPr>
        <w:t>146</w:t>
      </w:r>
      <w:r w:rsidRPr="00ED2188">
        <w:rPr>
          <w:rFonts w:ascii="Times New Roman" w:hAnsi="Times New Roman"/>
          <w:sz w:val="24"/>
        </w:rPr>
        <w:t>] above.</w:t>
      </w:r>
    </w:p>
  </w:footnote>
  <w:footnote w:id="210">
    <w:p w14:paraId="55153461"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See [1</w:t>
      </w:r>
      <w:r>
        <w:rPr>
          <w:rFonts w:ascii="Times New Roman" w:hAnsi="Times New Roman"/>
          <w:sz w:val="24"/>
        </w:rPr>
        <w:t>33</w:t>
      </w:r>
      <w:r w:rsidRPr="00ED2188">
        <w:rPr>
          <w:rFonts w:ascii="Times New Roman" w:hAnsi="Times New Roman"/>
          <w:sz w:val="24"/>
        </w:rPr>
        <w:t>] above.</w:t>
      </w:r>
    </w:p>
  </w:footnote>
  <w:footnote w:id="211">
    <w:p w14:paraId="29874D5F"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See [1</w:t>
      </w:r>
      <w:r>
        <w:rPr>
          <w:rFonts w:ascii="Times New Roman" w:hAnsi="Times New Roman"/>
          <w:sz w:val="24"/>
        </w:rPr>
        <w:t>30</w:t>
      </w:r>
      <w:r w:rsidRPr="00ED2188">
        <w:rPr>
          <w:rFonts w:ascii="Times New Roman" w:hAnsi="Times New Roman"/>
          <w:sz w:val="24"/>
        </w:rPr>
        <w:t>]-[1</w:t>
      </w:r>
      <w:r>
        <w:rPr>
          <w:rFonts w:ascii="Times New Roman" w:hAnsi="Times New Roman"/>
          <w:sz w:val="24"/>
        </w:rPr>
        <w:t>31</w:t>
      </w:r>
      <w:r w:rsidRPr="00ED2188">
        <w:rPr>
          <w:rFonts w:ascii="Times New Roman" w:hAnsi="Times New Roman"/>
          <w:sz w:val="24"/>
        </w:rPr>
        <w:t>] above.</w:t>
      </w:r>
    </w:p>
  </w:footnote>
  <w:footnote w:id="212">
    <w:p w14:paraId="46B01113"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See [1</w:t>
      </w:r>
      <w:r>
        <w:rPr>
          <w:rFonts w:ascii="Times New Roman" w:hAnsi="Times New Roman"/>
          <w:sz w:val="24"/>
        </w:rPr>
        <w:t>33</w:t>
      </w:r>
      <w:r w:rsidRPr="00ED2188">
        <w:rPr>
          <w:rFonts w:ascii="Times New Roman" w:hAnsi="Times New Roman"/>
          <w:sz w:val="24"/>
        </w:rPr>
        <w:t>] above.</w:t>
      </w:r>
    </w:p>
  </w:footnote>
  <w:footnote w:id="213">
    <w:p w14:paraId="6B8BDE64"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r>
      <w:r w:rsidRPr="00ED2188">
        <w:rPr>
          <w:rFonts w:ascii="Times New Roman" w:hAnsi="Times New Roman"/>
          <w:i/>
          <w:iCs/>
          <w:sz w:val="24"/>
        </w:rPr>
        <w:t>Realestate.com.au Pty Ltd v Hardingham</w:t>
      </w:r>
      <w:r w:rsidRPr="00ED2188">
        <w:rPr>
          <w:rFonts w:ascii="Times New Roman" w:hAnsi="Times New Roman"/>
          <w:sz w:val="24"/>
        </w:rPr>
        <w:t xml:space="preserve"> (2022) 277 CLR 115 at 132-134 [43]-[45]; see also 147-148 [82]-[86]. See also </w:t>
      </w:r>
      <w:r w:rsidRPr="00ED2188">
        <w:rPr>
          <w:rFonts w:ascii="Times New Roman" w:hAnsi="Times New Roman"/>
          <w:i/>
          <w:iCs/>
          <w:sz w:val="24"/>
        </w:rPr>
        <w:t>Construction, Forestry, Maritime, Mining and Energy Union v Personnel Contracting Pty Ltd</w:t>
      </w:r>
      <w:r w:rsidRPr="00ED2188">
        <w:rPr>
          <w:rFonts w:ascii="Times New Roman" w:hAnsi="Times New Roman"/>
          <w:sz w:val="24"/>
        </w:rPr>
        <w:t xml:space="preserve"> (2022) 275 CLR 165 at 231-232 [177].</w:t>
      </w:r>
    </w:p>
  </w:footnote>
  <w:footnote w:id="214">
    <w:p w14:paraId="6FDF9005"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See [</w:t>
      </w:r>
      <w:r>
        <w:rPr>
          <w:rFonts w:ascii="Times New Roman" w:hAnsi="Times New Roman"/>
          <w:sz w:val="24"/>
        </w:rPr>
        <w:t>137</w:t>
      </w:r>
      <w:r w:rsidRPr="00ED2188">
        <w:rPr>
          <w:rFonts w:ascii="Times New Roman" w:hAnsi="Times New Roman"/>
          <w:sz w:val="24"/>
        </w:rPr>
        <w:t>] above.</w:t>
      </w:r>
    </w:p>
  </w:footnote>
  <w:footnote w:id="215">
    <w:p w14:paraId="6EA50D05"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ITAA 1936, ss 177H</w:t>
      </w:r>
      <w:r w:rsidRPr="00ED2188">
        <w:rPr>
          <w:rFonts w:ascii="Times New Roman" w:hAnsi="Times New Roman"/>
          <w:sz w:val="24"/>
        </w:rPr>
        <w:noBreakHyphen/>
        <w:t>177R read with, among other provisions, ss 177D and 177F.</w:t>
      </w:r>
    </w:p>
  </w:footnote>
  <w:footnote w:id="216">
    <w:p w14:paraId="4CF166BC"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 xml:space="preserve">See Australia, Senate, </w:t>
      </w:r>
      <w:r w:rsidRPr="00ED2188">
        <w:rPr>
          <w:rFonts w:ascii="Times New Roman" w:hAnsi="Times New Roman"/>
          <w:i/>
          <w:iCs/>
          <w:sz w:val="24"/>
        </w:rPr>
        <w:t>Treasury Laws Amendment (Combating Multinational Tax Avoidance) Bill 2017</w:t>
      </w:r>
      <w:r w:rsidRPr="00ED2188">
        <w:rPr>
          <w:rFonts w:ascii="Times New Roman" w:hAnsi="Times New Roman"/>
          <w:sz w:val="24"/>
        </w:rPr>
        <w:t xml:space="preserve"> and</w:t>
      </w:r>
      <w:r w:rsidRPr="00ED2188">
        <w:rPr>
          <w:rFonts w:ascii="Times New Roman" w:hAnsi="Times New Roman"/>
          <w:i/>
          <w:iCs/>
          <w:sz w:val="24"/>
        </w:rPr>
        <w:t xml:space="preserve"> Diverted Profits Tax Bill 2017</w:t>
      </w:r>
      <w:r w:rsidRPr="00ED2188">
        <w:rPr>
          <w:rFonts w:ascii="Times New Roman" w:hAnsi="Times New Roman"/>
          <w:iCs/>
          <w:sz w:val="24"/>
        </w:rPr>
        <w:t>, Revised Explanatory Memorandum at</w:t>
      </w:r>
      <w:r w:rsidRPr="00ED2188">
        <w:rPr>
          <w:rFonts w:ascii="Times New Roman" w:hAnsi="Times New Roman"/>
          <w:i/>
          <w:iCs/>
          <w:sz w:val="24"/>
        </w:rPr>
        <w:t xml:space="preserve"> </w:t>
      </w:r>
      <w:r w:rsidRPr="00ED2188">
        <w:rPr>
          <w:rFonts w:ascii="Times New Roman" w:hAnsi="Times New Roman"/>
          <w:sz w:val="24"/>
        </w:rPr>
        <w:t>8 [1.10].</w:t>
      </w:r>
    </w:p>
  </w:footnote>
  <w:footnote w:id="217">
    <w:p w14:paraId="63FF261E"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See ITAA 1936, s 177A(1) definition of "DPT tax benefit".</w:t>
      </w:r>
    </w:p>
  </w:footnote>
  <w:footnote w:id="218">
    <w:p w14:paraId="4E663559"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ITAA 1936, s 177C(1)(bc) read with s 177C(1)(g).</w:t>
      </w:r>
    </w:p>
  </w:footnote>
  <w:footnote w:id="219">
    <w:p w14:paraId="4219791D"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cf ITAA 1936, s 177F.</w:t>
      </w:r>
    </w:p>
  </w:footnote>
  <w:footnote w:id="220">
    <w:p w14:paraId="664828F2"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r>
      <w:r w:rsidRPr="00ED2188">
        <w:rPr>
          <w:rFonts w:ascii="Times New Roman" w:hAnsi="Times New Roman"/>
          <w:i/>
          <w:iCs/>
          <w:sz w:val="24"/>
        </w:rPr>
        <w:t>Diverted Profits Tax Act 2017</w:t>
      </w:r>
      <w:r w:rsidRPr="00ED2188">
        <w:rPr>
          <w:rFonts w:ascii="Times New Roman" w:hAnsi="Times New Roman"/>
          <w:sz w:val="24"/>
        </w:rPr>
        <w:t xml:space="preserve"> (Cth), s 4.</w:t>
      </w:r>
    </w:p>
  </w:footnote>
  <w:footnote w:id="221">
    <w:p w14:paraId="7957BCD4"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ITAA 1936, s 177A(1) definition of "scheme".</w:t>
      </w:r>
    </w:p>
  </w:footnote>
  <w:footnote w:id="222">
    <w:p w14:paraId="35F406F4"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r>
      <w:r w:rsidRPr="00ED2188">
        <w:rPr>
          <w:rFonts w:ascii="Times New Roman" w:hAnsi="Times New Roman"/>
          <w:i/>
          <w:iCs/>
          <w:sz w:val="24"/>
        </w:rPr>
        <w:t xml:space="preserve">Federal Commissioner of Taxation v Peabody </w:t>
      </w:r>
      <w:r w:rsidRPr="00ED2188">
        <w:rPr>
          <w:rFonts w:ascii="Times New Roman" w:hAnsi="Times New Roman"/>
          <w:sz w:val="24"/>
        </w:rPr>
        <w:t>(1994) 181 CLR 359 at 382.</w:t>
      </w:r>
    </w:p>
  </w:footnote>
  <w:footnote w:id="223">
    <w:p w14:paraId="6DBB94E1"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r>
      <w:r w:rsidRPr="00ED2188">
        <w:rPr>
          <w:rFonts w:ascii="Times New Roman" w:hAnsi="Times New Roman"/>
          <w:i/>
          <w:iCs/>
          <w:sz w:val="24"/>
        </w:rPr>
        <w:t xml:space="preserve">Federal Commissioner of Taxation v Hart </w:t>
      </w:r>
      <w:r w:rsidRPr="00ED2188">
        <w:rPr>
          <w:rFonts w:ascii="Times New Roman" w:hAnsi="Times New Roman"/>
          <w:sz w:val="24"/>
        </w:rPr>
        <w:t xml:space="preserve">(2004) 217 CLR 216 at 243 [66]. See also </w:t>
      </w:r>
      <w:r w:rsidRPr="00ED2188">
        <w:rPr>
          <w:rFonts w:ascii="Times New Roman" w:hAnsi="Times New Roman"/>
          <w:i/>
          <w:iCs/>
          <w:sz w:val="24"/>
        </w:rPr>
        <w:t>Federal Commissioner of Taxation v</w:t>
      </w:r>
      <w:r w:rsidRPr="00ED2188">
        <w:rPr>
          <w:rFonts w:ascii="Times New Roman" w:hAnsi="Times New Roman"/>
          <w:sz w:val="24"/>
        </w:rPr>
        <w:t xml:space="preserve"> </w:t>
      </w:r>
      <w:r w:rsidRPr="00ED2188">
        <w:rPr>
          <w:rFonts w:ascii="Times New Roman" w:hAnsi="Times New Roman"/>
          <w:i/>
          <w:iCs/>
          <w:sz w:val="24"/>
        </w:rPr>
        <w:t xml:space="preserve">Guardian AIT Pty Ltd </w:t>
      </w:r>
      <w:r w:rsidRPr="00ED2188">
        <w:rPr>
          <w:rFonts w:ascii="Times New Roman" w:hAnsi="Times New Roman"/>
          <w:sz w:val="24"/>
        </w:rPr>
        <w:t>(2023) 115 ATR 316 at 350-351 [155].</w:t>
      </w:r>
    </w:p>
  </w:footnote>
  <w:footnote w:id="224">
    <w:p w14:paraId="504B7E90"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r>
      <w:r w:rsidRPr="00ED2188">
        <w:rPr>
          <w:rFonts w:ascii="Times New Roman" w:hAnsi="Times New Roman"/>
          <w:i/>
          <w:iCs/>
          <w:sz w:val="24"/>
        </w:rPr>
        <w:t xml:space="preserve">Hart </w:t>
      </w:r>
      <w:r w:rsidRPr="00ED2188">
        <w:rPr>
          <w:rFonts w:ascii="Times New Roman" w:hAnsi="Times New Roman"/>
          <w:sz w:val="24"/>
        </w:rPr>
        <w:t xml:space="preserve">(2004) 217 CLR 216 at 243 [64]; </w:t>
      </w:r>
      <w:r w:rsidRPr="00ED2188">
        <w:rPr>
          <w:rFonts w:ascii="Times New Roman" w:hAnsi="Times New Roman"/>
          <w:i/>
          <w:iCs/>
          <w:sz w:val="24"/>
        </w:rPr>
        <w:t>Federal</w:t>
      </w:r>
      <w:r w:rsidRPr="00ED2188">
        <w:rPr>
          <w:rFonts w:ascii="Times New Roman" w:hAnsi="Times New Roman"/>
          <w:sz w:val="24"/>
        </w:rPr>
        <w:t xml:space="preserve"> </w:t>
      </w:r>
      <w:r w:rsidRPr="00ED2188">
        <w:rPr>
          <w:rFonts w:ascii="Times New Roman" w:hAnsi="Times New Roman"/>
          <w:i/>
          <w:iCs/>
          <w:sz w:val="24"/>
        </w:rPr>
        <w:t xml:space="preserve">Commissioner of Taxation v Macquarie Bank Ltd </w:t>
      </w:r>
      <w:r w:rsidRPr="00ED2188">
        <w:rPr>
          <w:rFonts w:ascii="Times New Roman" w:hAnsi="Times New Roman"/>
          <w:sz w:val="24"/>
        </w:rPr>
        <w:t>(2013) 210 FCR 164</w:t>
      </w:r>
      <w:r w:rsidRPr="00ED2188">
        <w:rPr>
          <w:rFonts w:ascii="Times New Roman" w:hAnsi="Times New Roman"/>
          <w:i/>
          <w:iCs/>
          <w:sz w:val="24"/>
        </w:rPr>
        <w:t xml:space="preserve"> </w:t>
      </w:r>
      <w:r w:rsidRPr="00ED2188">
        <w:rPr>
          <w:rFonts w:ascii="Times New Roman" w:hAnsi="Times New Roman"/>
          <w:sz w:val="24"/>
        </w:rPr>
        <w:t xml:space="preserve">at 224-225 [216]. See also </w:t>
      </w:r>
      <w:r w:rsidRPr="00ED2188">
        <w:rPr>
          <w:rFonts w:ascii="Times New Roman" w:hAnsi="Times New Roman"/>
          <w:i/>
          <w:iCs/>
          <w:sz w:val="24"/>
        </w:rPr>
        <w:t>Federal</w:t>
      </w:r>
      <w:r w:rsidRPr="00ED2188">
        <w:rPr>
          <w:rFonts w:ascii="Times New Roman" w:hAnsi="Times New Roman"/>
          <w:sz w:val="24"/>
        </w:rPr>
        <w:t xml:space="preserve"> </w:t>
      </w:r>
      <w:r w:rsidRPr="00ED2188">
        <w:rPr>
          <w:rFonts w:ascii="Times New Roman" w:hAnsi="Times New Roman"/>
          <w:i/>
          <w:iCs/>
          <w:sz w:val="24"/>
        </w:rPr>
        <w:t xml:space="preserve">Commissioner of Taxation v Spotless Services Ltd </w:t>
      </w:r>
      <w:r w:rsidRPr="00ED2188">
        <w:rPr>
          <w:rFonts w:ascii="Times New Roman" w:hAnsi="Times New Roman"/>
          <w:sz w:val="24"/>
        </w:rPr>
        <w:t>(1996) 186 CLR 404 at 415.</w:t>
      </w:r>
    </w:p>
  </w:footnote>
  <w:footnote w:id="225">
    <w:p w14:paraId="7B4339D8"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ITAA 1936, s 177CB(3).</w:t>
      </w:r>
    </w:p>
  </w:footnote>
  <w:footnote w:id="226">
    <w:p w14:paraId="5D0F0402"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Emphasis added.</w:t>
      </w:r>
    </w:p>
  </w:footnote>
  <w:footnote w:id="227">
    <w:p w14:paraId="2419BA56"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(2010) 186 FCR 410.</w:t>
      </w:r>
    </w:p>
  </w:footnote>
  <w:footnote w:id="228">
    <w:p w14:paraId="0A0E4784"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(2011) 84 ATR 785.</w:t>
      </w:r>
    </w:p>
  </w:footnote>
  <w:footnote w:id="229">
    <w:p w14:paraId="60DA575C"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(2023) 115 ATR 316.</w:t>
      </w:r>
    </w:p>
  </w:footnote>
  <w:footnote w:id="230">
    <w:p w14:paraId="33565E68"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ab/>
        <w:t xml:space="preserve">(2010) 186 FCR 410 at 418 [25]-[26] (emphasis omitted), quoting </w:t>
      </w:r>
      <w:r w:rsidRPr="00ED2188">
        <w:rPr>
          <w:rFonts w:ascii="Times New Roman" w:hAnsi="Times New Roman"/>
          <w:i/>
          <w:iCs/>
          <w:sz w:val="24"/>
        </w:rPr>
        <w:t>Federal Commissioner of Taxation v</w:t>
      </w:r>
      <w:r w:rsidRPr="00ED2188">
        <w:rPr>
          <w:rFonts w:ascii="Times New Roman" w:hAnsi="Times New Roman"/>
          <w:sz w:val="24"/>
        </w:rPr>
        <w:t xml:space="preserve"> </w:t>
      </w:r>
      <w:r w:rsidRPr="00ED2188">
        <w:rPr>
          <w:rFonts w:ascii="Times New Roman" w:hAnsi="Times New Roman"/>
          <w:i/>
          <w:iCs/>
          <w:sz w:val="24"/>
        </w:rPr>
        <w:t>Lenzo</w:t>
      </w:r>
      <w:r w:rsidRPr="00ED2188">
        <w:rPr>
          <w:rFonts w:ascii="Times New Roman" w:hAnsi="Times New Roman"/>
          <w:sz w:val="24"/>
        </w:rPr>
        <w:t xml:space="preserve"> (2008) 167 FCR 255 at 278 [122], in turn quoting </w:t>
      </w:r>
      <w:r w:rsidRPr="00ED2188">
        <w:rPr>
          <w:rFonts w:ascii="Times New Roman" w:hAnsi="Times New Roman"/>
          <w:i/>
          <w:iCs/>
          <w:sz w:val="24"/>
        </w:rPr>
        <w:t>Peabody</w:t>
      </w:r>
      <w:r w:rsidRPr="00ED2188">
        <w:rPr>
          <w:rFonts w:ascii="Times New Roman" w:hAnsi="Times New Roman"/>
          <w:sz w:val="24"/>
        </w:rPr>
        <w:t xml:space="preserve"> (1994) 181 CLR 359 at 385.</w:t>
      </w:r>
    </w:p>
  </w:footnote>
  <w:footnote w:id="231">
    <w:p w14:paraId="13708A89"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r>
      <w:r w:rsidRPr="00ED2188">
        <w:rPr>
          <w:rFonts w:ascii="Times New Roman" w:hAnsi="Times New Roman"/>
          <w:i/>
          <w:iCs/>
          <w:sz w:val="24"/>
        </w:rPr>
        <w:t>Trail Bros</w:t>
      </w:r>
      <w:r w:rsidRPr="00ED2188">
        <w:rPr>
          <w:rFonts w:ascii="Times New Roman" w:hAnsi="Times New Roman"/>
          <w:sz w:val="24"/>
        </w:rPr>
        <w:t xml:space="preserve"> (2010) 186 FCR 410 at 418 [26], quoting </w:t>
      </w:r>
      <w:r w:rsidRPr="00ED2188">
        <w:rPr>
          <w:rFonts w:ascii="Times New Roman" w:hAnsi="Times New Roman"/>
          <w:i/>
          <w:iCs/>
          <w:sz w:val="24"/>
        </w:rPr>
        <w:t>Lenzo</w:t>
      </w:r>
      <w:r w:rsidRPr="00ED2188">
        <w:rPr>
          <w:rFonts w:ascii="Times New Roman" w:hAnsi="Times New Roman"/>
          <w:sz w:val="24"/>
        </w:rPr>
        <w:t xml:space="preserve"> (2008) 167 FCR 255 at 278 [122], in turn quoting </w:t>
      </w:r>
      <w:r w:rsidRPr="00ED2188">
        <w:rPr>
          <w:rFonts w:ascii="Times New Roman" w:hAnsi="Times New Roman"/>
          <w:i/>
          <w:iCs/>
          <w:sz w:val="24"/>
        </w:rPr>
        <w:t xml:space="preserve">Peabody </w:t>
      </w:r>
      <w:r w:rsidRPr="00ED2188">
        <w:rPr>
          <w:rFonts w:ascii="Times New Roman" w:hAnsi="Times New Roman"/>
          <w:sz w:val="24"/>
        </w:rPr>
        <w:t xml:space="preserve">(1994) 181 CLR 359 at 385. </w:t>
      </w:r>
    </w:p>
  </w:footnote>
  <w:footnote w:id="232">
    <w:p w14:paraId="5F7F5992"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ab/>
        <w:t>(2011) 84 ATR 785 at 843 [130].</w:t>
      </w:r>
    </w:p>
  </w:footnote>
  <w:footnote w:id="233">
    <w:p w14:paraId="339C31E6"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(2011) 84 ATR 785 at 843 [130].</w:t>
      </w:r>
    </w:p>
  </w:footnote>
  <w:footnote w:id="234">
    <w:p w14:paraId="0A3301B3"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ITAA 1936, s 177H(1).</w:t>
      </w:r>
    </w:p>
  </w:footnote>
  <w:footnote w:id="235">
    <w:p w14:paraId="61D4EBE5"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ITAA 1936, s 177CB(4)(a)(i).</w:t>
      </w:r>
    </w:p>
  </w:footnote>
  <w:footnote w:id="236">
    <w:p w14:paraId="406A8F0D"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ITAA 1936, s 177CB(4)(a)(ii).</w:t>
      </w:r>
    </w:p>
  </w:footnote>
  <w:footnote w:id="237">
    <w:p w14:paraId="52FEBDEA" w14:textId="77777777" w:rsidR="00A143F4" w:rsidRPr="00ED2188" w:rsidRDefault="00A143F4" w:rsidP="00ED2188">
      <w:pPr>
        <w:pStyle w:val="FootnoteText"/>
        <w:spacing w:line="280" w:lineRule="exact"/>
        <w:ind w:right="0"/>
        <w:jc w:val="both"/>
        <w:rPr>
          <w:rFonts w:ascii="Times New Roman" w:hAnsi="Times New Roman"/>
          <w:i/>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 xml:space="preserve">See Australia, House of Representatives, </w:t>
      </w:r>
      <w:r w:rsidRPr="00ED2188">
        <w:rPr>
          <w:rFonts w:ascii="Times New Roman" w:hAnsi="Times New Roman"/>
          <w:i/>
          <w:iCs/>
          <w:sz w:val="24"/>
        </w:rPr>
        <w:t>Tax Laws Amendment (Countering Tax Avoidance and Multinational Profit Shifting) Bill 2013</w:t>
      </w:r>
      <w:r w:rsidRPr="00ED2188">
        <w:rPr>
          <w:rFonts w:ascii="Times New Roman" w:hAnsi="Times New Roman"/>
          <w:sz w:val="24"/>
        </w:rPr>
        <w:t>, Explanatory Memorandum</w:t>
      </w:r>
      <w:r w:rsidRPr="00ED2188">
        <w:rPr>
          <w:rFonts w:ascii="Times New Roman" w:hAnsi="Times New Roman"/>
          <w:i/>
          <w:iCs/>
          <w:sz w:val="24"/>
        </w:rPr>
        <w:t xml:space="preserve"> </w:t>
      </w:r>
      <w:r w:rsidRPr="00ED2188">
        <w:rPr>
          <w:rFonts w:ascii="Times New Roman" w:hAnsi="Times New Roman"/>
          <w:sz w:val="24"/>
        </w:rPr>
        <w:t xml:space="preserve">at 24 [1.103]; see also </w:t>
      </w:r>
      <w:r w:rsidRPr="00ED2188">
        <w:rPr>
          <w:rFonts w:ascii="Times New Roman" w:hAnsi="Times New Roman"/>
          <w:i/>
          <w:iCs/>
          <w:sz w:val="24"/>
        </w:rPr>
        <w:t xml:space="preserve">Hart </w:t>
      </w:r>
      <w:r w:rsidRPr="00ED2188">
        <w:rPr>
          <w:rFonts w:ascii="Times New Roman" w:hAnsi="Times New Roman"/>
          <w:sz w:val="24"/>
        </w:rPr>
        <w:t>(2004)</w:t>
      </w:r>
      <w:r w:rsidRPr="00ED2188">
        <w:rPr>
          <w:rFonts w:ascii="Times New Roman" w:hAnsi="Times New Roman"/>
          <w:i/>
          <w:iCs/>
          <w:sz w:val="24"/>
        </w:rPr>
        <w:t xml:space="preserve"> </w:t>
      </w:r>
      <w:r w:rsidRPr="00ED2188">
        <w:rPr>
          <w:rFonts w:ascii="Times New Roman" w:hAnsi="Times New Roman"/>
          <w:sz w:val="24"/>
        </w:rPr>
        <w:t>217 CLR 216 at 245 [71].</w:t>
      </w:r>
    </w:p>
  </w:footnote>
  <w:footnote w:id="238">
    <w:p w14:paraId="11C88BD5"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See [12</w:t>
      </w:r>
      <w:r>
        <w:rPr>
          <w:rFonts w:ascii="Times New Roman" w:hAnsi="Times New Roman"/>
          <w:sz w:val="24"/>
        </w:rPr>
        <w:t>8</w:t>
      </w:r>
      <w:r w:rsidRPr="00ED2188">
        <w:rPr>
          <w:rFonts w:ascii="Times New Roman" w:hAnsi="Times New Roman"/>
          <w:sz w:val="24"/>
        </w:rPr>
        <w:t>]-[</w:t>
      </w:r>
      <w:r>
        <w:rPr>
          <w:rFonts w:ascii="Times New Roman" w:hAnsi="Times New Roman"/>
          <w:sz w:val="24"/>
        </w:rPr>
        <w:t>148</w:t>
      </w:r>
      <w:r w:rsidRPr="00ED2188">
        <w:rPr>
          <w:rFonts w:ascii="Times New Roman" w:hAnsi="Times New Roman"/>
          <w:sz w:val="24"/>
        </w:rPr>
        <w:t>] above.</w:t>
      </w:r>
    </w:p>
  </w:footnote>
  <w:footnote w:id="239">
    <w:p w14:paraId="55A92B57"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 xml:space="preserve">cf </w:t>
      </w:r>
      <w:r w:rsidRPr="00ED2188">
        <w:rPr>
          <w:rFonts w:ascii="Times New Roman" w:hAnsi="Times New Roman"/>
          <w:i/>
          <w:iCs/>
          <w:sz w:val="24"/>
        </w:rPr>
        <w:t xml:space="preserve">Commissioner of Taxation v Mochkin </w:t>
      </w:r>
      <w:r w:rsidRPr="00ED2188">
        <w:rPr>
          <w:rFonts w:ascii="Times New Roman" w:hAnsi="Times New Roman"/>
          <w:sz w:val="24"/>
        </w:rPr>
        <w:t>(2003) 127 FCR 185 at 209 [102], 216</w:t>
      </w:r>
      <w:r>
        <w:rPr>
          <w:rFonts w:ascii="Times New Roman" w:hAnsi="Times New Roman"/>
          <w:sz w:val="24"/>
        </w:rPr>
        <w:t> </w:t>
      </w:r>
      <w:r w:rsidRPr="00ED2188">
        <w:rPr>
          <w:rFonts w:ascii="Times New Roman" w:hAnsi="Times New Roman"/>
          <w:sz w:val="24"/>
        </w:rPr>
        <w:t xml:space="preserve">[136], [137]. </w:t>
      </w:r>
    </w:p>
  </w:footnote>
  <w:footnote w:id="240">
    <w:p w14:paraId="55F094F3"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 xml:space="preserve">cf </w:t>
      </w:r>
      <w:r w:rsidRPr="00ED2188">
        <w:rPr>
          <w:rFonts w:ascii="Times New Roman" w:hAnsi="Times New Roman"/>
          <w:i/>
          <w:iCs/>
          <w:sz w:val="24"/>
        </w:rPr>
        <w:t>Federal Commissioner of Taxation v Orica Ltd</w:t>
      </w:r>
      <w:r w:rsidRPr="00ED2188">
        <w:rPr>
          <w:rFonts w:ascii="Times New Roman" w:hAnsi="Times New Roman"/>
          <w:sz w:val="24"/>
        </w:rPr>
        <w:t xml:space="preserve"> (1998) 194 CLR 500 at 531 [70].</w:t>
      </w:r>
    </w:p>
  </w:footnote>
  <w:footnote w:id="241">
    <w:p w14:paraId="098F2125"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(1994) 181 CLR 359 at 385.</w:t>
      </w:r>
    </w:p>
  </w:footnote>
  <w:footnote w:id="242">
    <w:p w14:paraId="52F74D60"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(1996) 186 CLR 404 at 416.</w:t>
      </w:r>
    </w:p>
  </w:footnote>
  <w:footnote w:id="243">
    <w:p w14:paraId="746039E8"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(2004) 217 CLR 216 at 227 [15].</w:t>
      </w:r>
    </w:p>
  </w:footnote>
  <w:footnote w:id="244">
    <w:p w14:paraId="2A9A77E9"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r>
      <w:r w:rsidRPr="00ED2188">
        <w:rPr>
          <w:rFonts w:ascii="Times New Roman" w:hAnsi="Times New Roman"/>
          <w:i/>
          <w:iCs/>
          <w:sz w:val="24"/>
        </w:rPr>
        <w:t xml:space="preserve">Spotless </w:t>
      </w:r>
      <w:r w:rsidRPr="00ED2188">
        <w:rPr>
          <w:rFonts w:ascii="Times New Roman" w:hAnsi="Times New Roman"/>
          <w:sz w:val="24"/>
        </w:rPr>
        <w:t>(1996) 186 CLR 404 at 420.</w:t>
      </w:r>
    </w:p>
  </w:footnote>
  <w:footnote w:id="245">
    <w:p w14:paraId="02F6FE97"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 xml:space="preserve">cf </w:t>
      </w:r>
      <w:r w:rsidRPr="00ED2188">
        <w:rPr>
          <w:rFonts w:ascii="Times New Roman" w:hAnsi="Times New Roman"/>
          <w:i/>
          <w:iCs/>
          <w:sz w:val="24"/>
        </w:rPr>
        <w:t xml:space="preserve">Guardian AIT </w:t>
      </w:r>
      <w:r w:rsidRPr="00ED2188">
        <w:rPr>
          <w:rFonts w:ascii="Times New Roman" w:hAnsi="Times New Roman"/>
          <w:sz w:val="24"/>
        </w:rPr>
        <w:t>(2023) 115 ATR 316 at 359 [210]-[212].</w:t>
      </w:r>
    </w:p>
  </w:footnote>
  <w:footnote w:id="246">
    <w:p w14:paraId="58918B45" w14:textId="77777777" w:rsidR="00A143F4" w:rsidRPr="00ED2188" w:rsidRDefault="00A143F4" w:rsidP="00ED2188">
      <w:pPr>
        <w:pStyle w:val="FootnoteText"/>
        <w:spacing w:line="280" w:lineRule="exact"/>
        <w:ind w:right="0"/>
        <w:jc w:val="both"/>
        <w:rPr>
          <w:rFonts w:ascii="Times New Roman" w:hAnsi="Times New Roman"/>
          <w:sz w:val="24"/>
        </w:rPr>
      </w:pPr>
      <w:r w:rsidRPr="00ED2188">
        <w:rPr>
          <w:rStyle w:val="FootnoteReference"/>
          <w:rFonts w:ascii="Times New Roman" w:hAnsi="Times New Roman"/>
          <w:sz w:val="22"/>
          <w:vertAlign w:val="baseline"/>
        </w:rPr>
        <w:footnoteRef/>
      </w:r>
      <w:r w:rsidRPr="00ED2188">
        <w:rPr>
          <w:rFonts w:ascii="Times New Roman" w:hAnsi="Times New Roman"/>
          <w:sz w:val="24"/>
        </w:rPr>
        <w:t xml:space="preserve"> </w:t>
      </w:r>
      <w:r w:rsidRPr="00ED2188">
        <w:rPr>
          <w:rFonts w:ascii="Times New Roman" w:hAnsi="Times New Roman"/>
          <w:sz w:val="24"/>
        </w:rPr>
        <w:tab/>
        <w:t>(1996) 33 ATR 438.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FCC51" w14:textId="77777777" w:rsidR="004D645D" w:rsidRPr="00CD054E" w:rsidRDefault="004D645D" w:rsidP="00CD0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E6823" w14:textId="4DBBE5C3" w:rsidR="004D645D" w:rsidRPr="00CD054E" w:rsidRDefault="00CD054E" w:rsidP="00CD054E">
    <w:pPr>
      <w:pStyle w:val="Head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 (</w:instrText>
    </w:r>
    <w:r>
      <w:rPr>
        <w:rFonts w:ascii="Times New Roman" w:hAnsi="Times New Roman"/>
        <w:sz w:val="22"/>
      </w:rPr>
      <w:fldChar w:fldCharType="begin"/>
    </w:r>
    <w:r>
      <w:rPr>
        <w:rFonts w:ascii="Times New Roman" w:hAnsi="Times New Roman"/>
        <w:sz w:val="22"/>
      </w:rPr>
      <w:instrText xml:space="preserve"> page </w:instrText>
    </w:r>
    <w:r>
      <w:rPr>
        <w:rFonts w:ascii="Times New Roman" w:hAnsi="Times New Roman"/>
        <w:sz w:val="22"/>
      </w:rPr>
      <w:fldChar w:fldCharType="separate"/>
    </w:r>
    <w:r w:rsidR="006F1BF2">
      <w:rPr>
        <w:rFonts w:ascii="Times New Roman" w:hAnsi="Times New Roman"/>
        <w:noProof/>
        <w:sz w:val="22"/>
      </w:rPr>
      <w:instrText>5</w:instrText>
    </w:r>
    <w:r>
      <w:rPr>
        <w:rFonts w:ascii="Times New Roman" w:hAnsi="Times New Roman"/>
        <w:sz w:val="22"/>
      </w:rPr>
      <w:fldChar w:fldCharType="end"/>
    </w:r>
    <w:r>
      <w:rPr>
        <w:rFonts w:ascii="Times New Roman" w:hAnsi="Times New Roman"/>
        <w:sz w:val="22"/>
      </w:rPr>
      <w:instrText xml:space="preserve"> + 1)/2 </w:instrText>
    </w:r>
    <w:r>
      <w:rPr>
        <w:rFonts w:ascii="Times New Roman" w:hAnsi="Times New Roman"/>
        <w:sz w:val="22"/>
      </w:rPr>
      <w:fldChar w:fldCharType="separate"/>
    </w:r>
    <w:r w:rsidR="006F1BF2">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3C7F" w14:textId="2442795D" w:rsidR="000951BF" w:rsidRPr="00CD054E" w:rsidRDefault="000951BF" w:rsidP="00CD05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5AEF" w14:textId="77777777" w:rsidR="00CD054E" w:rsidRPr="004D645D" w:rsidRDefault="00CD054E" w:rsidP="004D645D">
    <w:pPr>
      <w:pStyle w:val="Header"/>
      <w:tabs>
        <w:tab w:val="clear" w:pos="4153"/>
        <w:tab w:val="clear" w:pos="8306"/>
        <w:tab w:val="right" w:pos="1304"/>
      </w:tabs>
      <w:spacing w:line="280" w:lineRule="exact"/>
      <w:ind w:firstLine="0"/>
      <w:rPr>
        <w:rFonts w:ascii="Times New Roman" w:hAnsi="Times New Roman"/>
        <w:i/>
        <w:sz w:val="22"/>
      </w:rPr>
    </w:pPr>
    <w:r w:rsidRPr="004D645D">
      <w:rPr>
        <w:rFonts w:ascii="Times New Roman" w:hAnsi="Times New Roman"/>
        <w:i/>
        <w:sz w:val="22"/>
      </w:rPr>
      <w:t>Gageler</w:t>
    </w:r>
    <w:r w:rsidRPr="004D645D">
      <w:rPr>
        <w:rFonts w:ascii="Times New Roman" w:hAnsi="Times New Roman"/>
        <w:i/>
        <w:sz w:val="22"/>
      </w:rPr>
      <w:tab/>
      <w:t>CJ</w:t>
    </w:r>
  </w:p>
  <w:p w14:paraId="16405FF7" w14:textId="77777777" w:rsidR="00CD054E" w:rsidRPr="004D645D" w:rsidRDefault="00CD054E" w:rsidP="004D645D">
    <w:pPr>
      <w:pStyle w:val="Header"/>
      <w:tabs>
        <w:tab w:val="clear" w:pos="4153"/>
        <w:tab w:val="clear" w:pos="8306"/>
        <w:tab w:val="right" w:pos="1304"/>
      </w:tabs>
      <w:spacing w:line="280" w:lineRule="exact"/>
      <w:ind w:firstLine="0"/>
      <w:rPr>
        <w:rFonts w:ascii="Times New Roman" w:hAnsi="Times New Roman"/>
        <w:i/>
        <w:sz w:val="22"/>
      </w:rPr>
    </w:pPr>
    <w:r w:rsidRPr="004D645D">
      <w:rPr>
        <w:rFonts w:ascii="Times New Roman" w:hAnsi="Times New Roman"/>
        <w:i/>
        <w:sz w:val="22"/>
      </w:rPr>
      <w:t>Jagot</w:t>
    </w:r>
    <w:r w:rsidRPr="004D645D">
      <w:rPr>
        <w:rFonts w:ascii="Times New Roman" w:hAnsi="Times New Roman"/>
        <w:i/>
        <w:sz w:val="22"/>
      </w:rPr>
      <w:tab/>
      <w:t>J</w:t>
    </w:r>
  </w:p>
  <w:p w14:paraId="3EAE31BD" w14:textId="77777777" w:rsidR="00CD054E" w:rsidRDefault="00CD054E" w:rsidP="004D645D">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Beech-Jones</w:t>
    </w:r>
    <w:r>
      <w:rPr>
        <w:rFonts w:ascii="Times New Roman" w:hAnsi="Times New Roman"/>
        <w:i/>
        <w:sz w:val="22"/>
      </w:rPr>
      <w:tab/>
      <w:t>J</w:t>
    </w:r>
  </w:p>
  <w:p w14:paraId="3BB7038A" w14:textId="77777777" w:rsidR="00CD054E" w:rsidRDefault="00CD054E" w:rsidP="004D645D">
    <w:pPr>
      <w:pStyle w:val="Header"/>
      <w:tabs>
        <w:tab w:val="clear" w:pos="4153"/>
        <w:tab w:val="clear" w:pos="8306"/>
        <w:tab w:val="right" w:pos="1304"/>
      </w:tabs>
      <w:spacing w:line="280" w:lineRule="exact"/>
      <w:ind w:firstLine="0"/>
      <w:rPr>
        <w:rFonts w:ascii="Times New Roman" w:hAnsi="Times New Roman"/>
        <w:i/>
        <w:sz w:val="22"/>
      </w:rPr>
    </w:pPr>
  </w:p>
  <w:p w14:paraId="770FA3D7" w14:textId="77777777" w:rsidR="00CD054E" w:rsidRDefault="00CD054E" w:rsidP="004D645D">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2E0D5FB9" w14:textId="77777777" w:rsidR="00CD054E" w:rsidRPr="004D645D" w:rsidRDefault="00CD054E" w:rsidP="004D645D">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46414" w14:textId="77777777" w:rsidR="00CD054E" w:rsidRPr="004D645D" w:rsidRDefault="00CD054E" w:rsidP="004D645D">
    <w:pPr>
      <w:pStyle w:val="Header"/>
      <w:tabs>
        <w:tab w:val="clear" w:pos="4153"/>
        <w:tab w:val="clear" w:pos="8306"/>
        <w:tab w:val="left" w:pos="7200"/>
        <w:tab w:val="right" w:pos="8504"/>
      </w:tabs>
      <w:spacing w:line="280" w:lineRule="exact"/>
      <w:jc w:val="right"/>
      <w:rPr>
        <w:rFonts w:ascii="Times New Roman" w:hAnsi="Times New Roman"/>
        <w:i/>
        <w:sz w:val="22"/>
      </w:rPr>
    </w:pPr>
    <w:r w:rsidRPr="004D645D">
      <w:rPr>
        <w:rFonts w:ascii="Times New Roman" w:hAnsi="Times New Roman"/>
        <w:i/>
        <w:sz w:val="22"/>
      </w:rPr>
      <w:tab/>
      <w:t>Gageler</w:t>
    </w:r>
    <w:r w:rsidRPr="004D645D">
      <w:rPr>
        <w:rFonts w:ascii="Times New Roman" w:hAnsi="Times New Roman"/>
        <w:i/>
        <w:sz w:val="22"/>
      </w:rPr>
      <w:tab/>
      <w:t>CJ</w:t>
    </w:r>
  </w:p>
  <w:p w14:paraId="75305929" w14:textId="77777777" w:rsidR="00CD054E" w:rsidRPr="004D645D" w:rsidRDefault="00CD054E" w:rsidP="004D645D">
    <w:pPr>
      <w:pStyle w:val="Header"/>
      <w:tabs>
        <w:tab w:val="clear" w:pos="4153"/>
        <w:tab w:val="clear" w:pos="8306"/>
        <w:tab w:val="left" w:pos="7200"/>
        <w:tab w:val="right" w:pos="8504"/>
      </w:tabs>
      <w:spacing w:line="280" w:lineRule="exact"/>
      <w:jc w:val="right"/>
      <w:rPr>
        <w:rFonts w:ascii="Times New Roman" w:hAnsi="Times New Roman"/>
        <w:i/>
        <w:sz w:val="22"/>
      </w:rPr>
    </w:pPr>
    <w:r w:rsidRPr="004D645D">
      <w:rPr>
        <w:rFonts w:ascii="Times New Roman" w:hAnsi="Times New Roman"/>
        <w:i/>
        <w:sz w:val="22"/>
      </w:rPr>
      <w:tab/>
      <w:t>Jagot</w:t>
    </w:r>
    <w:r w:rsidRPr="004D645D">
      <w:rPr>
        <w:rFonts w:ascii="Times New Roman" w:hAnsi="Times New Roman"/>
        <w:i/>
        <w:sz w:val="22"/>
      </w:rPr>
      <w:tab/>
      <w:t>J</w:t>
    </w:r>
  </w:p>
  <w:p w14:paraId="5AD96A83" w14:textId="77777777" w:rsidR="00CD054E" w:rsidRDefault="00CD054E" w:rsidP="004D645D">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Beech-Jones</w:t>
    </w:r>
    <w:r>
      <w:rPr>
        <w:rFonts w:ascii="Times New Roman" w:hAnsi="Times New Roman"/>
        <w:i/>
        <w:sz w:val="22"/>
      </w:rPr>
      <w:tab/>
      <w:t>J</w:t>
    </w:r>
  </w:p>
  <w:p w14:paraId="61D7FDBA" w14:textId="77777777" w:rsidR="00CD054E" w:rsidRDefault="00CD054E" w:rsidP="004D645D">
    <w:pPr>
      <w:pStyle w:val="Header"/>
      <w:tabs>
        <w:tab w:val="clear" w:pos="4153"/>
        <w:tab w:val="clear" w:pos="8306"/>
        <w:tab w:val="left" w:pos="7200"/>
        <w:tab w:val="right" w:pos="8504"/>
      </w:tabs>
      <w:spacing w:line="280" w:lineRule="exact"/>
      <w:jc w:val="right"/>
      <w:rPr>
        <w:rFonts w:ascii="Times New Roman" w:hAnsi="Times New Roman"/>
        <w:i/>
        <w:sz w:val="22"/>
      </w:rPr>
    </w:pPr>
  </w:p>
  <w:p w14:paraId="362DB61E" w14:textId="77777777" w:rsidR="00CD054E" w:rsidRDefault="00CD054E" w:rsidP="004D645D">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12B065CF" w14:textId="77777777" w:rsidR="00CD054E" w:rsidRPr="004D645D" w:rsidRDefault="00CD054E" w:rsidP="004D645D">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70AFB" w14:textId="77777777" w:rsidR="00CD054E" w:rsidRDefault="00CD054E" w:rsidP="004D645D">
    <w:pPr>
      <w:pStyle w:val="Header"/>
      <w:tabs>
        <w:tab w:val="clear" w:pos="4153"/>
        <w:tab w:val="clear" w:pos="8306"/>
        <w:tab w:val="center" w:pos="1134"/>
      </w:tabs>
      <w:spacing w:line="280" w:lineRule="exact"/>
      <w:ind w:firstLine="0"/>
      <w:rPr>
        <w:rFonts w:ascii="Times New Roman" w:hAnsi="Times New Roman"/>
        <w:i/>
        <w:sz w:val="22"/>
      </w:rPr>
    </w:pPr>
  </w:p>
  <w:p w14:paraId="299D0385" w14:textId="77777777" w:rsidR="00CD054E" w:rsidRDefault="00CD054E" w:rsidP="004D645D">
    <w:pPr>
      <w:pStyle w:val="Header"/>
      <w:tabs>
        <w:tab w:val="clear" w:pos="4153"/>
        <w:tab w:val="clear" w:pos="8306"/>
        <w:tab w:val="center" w:pos="1134"/>
      </w:tabs>
      <w:spacing w:line="280" w:lineRule="exact"/>
      <w:ind w:firstLine="0"/>
      <w:rPr>
        <w:rFonts w:ascii="Times New Roman" w:hAnsi="Times New Roman"/>
        <w:i/>
        <w:sz w:val="22"/>
      </w:rPr>
    </w:pPr>
  </w:p>
  <w:p w14:paraId="079CD1F9" w14:textId="77777777" w:rsidR="00CD054E" w:rsidRDefault="00CD054E" w:rsidP="004D645D">
    <w:pPr>
      <w:pStyle w:val="Header"/>
      <w:tabs>
        <w:tab w:val="clear" w:pos="4153"/>
        <w:tab w:val="clear" w:pos="8306"/>
        <w:tab w:val="center" w:pos="1134"/>
      </w:tabs>
      <w:spacing w:line="280" w:lineRule="exact"/>
      <w:ind w:firstLine="0"/>
      <w:rPr>
        <w:rFonts w:ascii="Times New Roman" w:hAnsi="Times New Roman"/>
        <w:i/>
        <w:sz w:val="22"/>
      </w:rPr>
    </w:pPr>
  </w:p>
  <w:p w14:paraId="262FE9F7" w14:textId="77777777" w:rsidR="00CD054E" w:rsidRDefault="00CD054E" w:rsidP="004D645D">
    <w:pPr>
      <w:pStyle w:val="Header"/>
      <w:tabs>
        <w:tab w:val="clear" w:pos="4153"/>
        <w:tab w:val="clear" w:pos="8306"/>
        <w:tab w:val="center" w:pos="1134"/>
      </w:tabs>
      <w:spacing w:line="280" w:lineRule="exact"/>
      <w:ind w:firstLine="0"/>
      <w:rPr>
        <w:rFonts w:ascii="Times New Roman" w:hAnsi="Times New Roman"/>
        <w:i/>
        <w:sz w:val="22"/>
      </w:rPr>
    </w:pPr>
  </w:p>
  <w:p w14:paraId="172F7E87" w14:textId="77777777" w:rsidR="00CD054E" w:rsidRDefault="00CD054E" w:rsidP="004D645D">
    <w:pPr>
      <w:pStyle w:val="Header"/>
      <w:tabs>
        <w:tab w:val="clear" w:pos="4153"/>
        <w:tab w:val="clear" w:pos="8306"/>
        <w:tab w:val="center" w:pos="1134"/>
      </w:tabs>
      <w:spacing w:line="280" w:lineRule="exact"/>
      <w:ind w:firstLine="0"/>
      <w:rPr>
        <w:rFonts w:ascii="Times New Roman" w:hAnsi="Times New Roman"/>
        <w:i/>
        <w:sz w:val="22"/>
      </w:rPr>
    </w:pPr>
  </w:p>
  <w:p w14:paraId="1415B3B3" w14:textId="77777777" w:rsidR="00CD054E" w:rsidRPr="004D645D" w:rsidRDefault="00CD054E" w:rsidP="004D645D">
    <w:pPr>
      <w:pStyle w:val="Header"/>
      <w:tabs>
        <w:tab w:val="clear" w:pos="4153"/>
        <w:tab w:val="clear" w:pos="8306"/>
        <w:tab w:val="center" w:pos="1134"/>
      </w:tabs>
      <w:spacing w:line="280" w:lineRule="exact"/>
      <w:ind w:firstLine="0"/>
      <w:rPr>
        <w:rFonts w:ascii="Times New Roman" w:hAnsi="Times New Roman"/>
        <w:i/>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8BA8C" w14:textId="77777777" w:rsidR="00487740" w:rsidRPr="00ED2188" w:rsidRDefault="00581177" w:rsidP="00ED2188">
    <w:pPr>
      <w:pStyle w:val="Header"/>
      <w:tabs>
        <w:tab w:val="clear" w:pos="4153"/>
        <w:tab w:val="clear" w:pos="8306"/>
        <w:tab w:val="right" w:pos="1304"/>
      </w:tabs>
      <w:spacing w:line="280" w:lineRule="exact"/>
      <w:ind w:firstLine="0"/>
      <w:rPr>
        <w:rFonts w:ascii="Times New Roman" w:hAnsi="Times New Roman"/>
        <w:i/>
        <w:sz w:val="22"/>
      </w:rPr>
    </w:pPr>
    <w:r w:rsidRPr="00ED2188">
      <w:rPr>
        <w:rFonts w:ascii="Times New Roman" w:hAnsi="Times New Roman"/>
        <w:i/>
        <w:sz w:val="22"/>
      </w:rPr>
      <w:t>Gordon</w:t>
    </w:r>
    <w:r w:rsidRPr="00ED2188">
      <w:rPr>
        <w:rFonts w:ascii="Times New Roman" w:hAnsi="Times New Roman"/>
        <w:i/>
        <w:sz w:val="22"/>
      </w:rPr>
      <w:tab/>
      <w:t>J</w:t>
    </w:r>
  </w:p>
  <w:p w14:paraId="18396D98" w14:textId="77777777" w:rsidR="00487740" w:rsidRPr="00ED2188" w:rsidRDefault="00581177" w:rsidP="00ED2188">
    <w:pPr>
      <w:pStyle w:val="Header"/>
      <w:tabs>
        <w:tab w:val="clear" w:pos="4153"/>
        <w:tab w:val="clear" w:pos="8306"/>
        <w:tab w:val="right" w:pos="1304"/>
      </w:tabs>
      <w:spacing w:line="280" w:lineRule="exact"/>
      <w:ind w:firstLine="0"/>
      <w:rPr>
        <w:rFonts w:ascii="Times New Roman" w:hAnsi="Times New Roman"/>
        <w:i/>
        <w:sz w:val="22"/>
      </w:rPr>
    </w:pPr>
    <w:r w:rsidRPr="00ED2188">
      <w:rPr>
        <w:rFonts w:ascii="Times New Roman" w:hAnsi="Times New Roman"/>
        <w:i/>
        <w:sz w:val="22"/>
      </w:rPr>
      <w:t>Edelman</w:t>
    </w:r>
    <w:r w:rsidRPr="00ED2188">
      <w:rPr>
        <w:rFonts w:ascii="Times New Roman" w:hAnsi="Times New Roman"/>
        <w:i/>
        <w:sz w:val="22"/>
      </w:rPr>
      <w:tab/>
      <w:t>J</w:t>
    </w:r>
  </w:p>
  <w:p w14:paraId="6E2E26CC" w14:textId="77777777" w:rsidR="00487740" w:rsidRPr="00ED2188" w:rsidRDefault="00581177" w:rsidP="00ED2188">
    <w:pPr>
      <w:pStyle w:val="Header"/>
      <w:tabs>
        <w:tab w:val="clear" w:pos="4153"/>
        <w:tab w:val="clear" w:pos="8306"/>
        <w:tab w:val="right" w:pos="1304"/>
      </w:tabs>
      <w:spacing w:line="280" w:lineRule="exact"/>
      <w:ind w:firstLine="0"/>
      <w:rPr>
        <w:rFonts w:ascii="Times New Roman" w:hAnsi="Times New Roman"/>
        <w:i/>
        <w:sz w:val="22"/>
      </w:rPr>
    </w:pPr>
    <w:r w:rsidRPr="00ED2188">
      <w:rPr>
        <w:rFonts w:ascii="Times New Roman" w:hAnsi="Times New Roman"/>
        <w:i/>
        <w:sz w:val="22"/>
      </w:rPr>
      <w:t>Steward</w:t>
    </w:r>
    <w:r w:rsidRPr="00ED2188">
      <w:rPr>
        <w:rFonts w:ascii="Times New Roman" w:hAnsi="Times New Roman"/>
        <w:i/>
        <w:sz w:val="22"/>
      </w:rPr>
      <w:tab/>
      <w:t>J</w:t>
    </w:r>
  </w:p>
  <w:p w14:paraId="7B93645B" w14:textId="77777777" w:rsidR="00487740" w:rsidRDefault="00581177" w:rsidP="00ED2188">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Gleeson</w:t>
    </w:r>
    <w:r>
      <w:rPr>
        <w:rFonts w:ascii="Times New Roman" w:hAnsi="Times New Roman"/>
        <w:i/>
        <w:sz w:val="22"/>
      </w:rPr>
      <w:tab/>
      <w:t>J</w:t>
    </w:r>
  </w:p>
  <w:p w14:paraId="607DE7D3" w14:textId="77777777" w:rsidR="00487740" w:rsidRDefault="00487740" w:rsidP="00ED2188">
    <w:pPr>
      <w:pStyle w:val="Header"/>
      <w:tabs>
        <w:tab w:val="clear" w:pos="4153"/>
        <w:tab w:val="clear" w:pos="8306"/>
        <w:tab w:val="right" w:pos="1304"/>
      </w:tabs>
      <w:spacing w:line="280" w:lineRule="exact"/>
      <w:ind w:firstLine="0"/>
      <w:rPr>
        <w:rFonts w:ascii="Times New Roman" w:hAnsi="Times New Roman"/>
        <w:i/>
        <w:sz w:val="22"/>
      </w:rPr>
    </w:pPr>
  </w:p>
  <w:p w14:paraId="593371BA" w14:textId="77777777" w:rsidR="00487740" w:rsidRDefault="00581177" w:rsidP="00ED2188">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5</w:t>
    </w:r>
    <w:r>
      <w:rPr>
        <w:rFonts w:ascii="Times New Roman" w:hAnsi="Times New Roman"/>
        <w:sz w:val="22"/>
      </w:rPr>
      <w:fldChar w:fldCharType="end"/>
    </w:r>
    <w:r>
      <w:rPr>
        <w:rFonts w:ascii="Times New Roman" w:hAnsi="Times New Roman"/>
        <w:sz w:val="22"/>
      </w:rPr>
      <w:t>.</w:t>
    </w:r>
  </w:p>
  <w:p w14:paraId="259ED1E0" w14:textId="77777777" w:rsidR="00487740" w:rsidRPr="00ED2188" w:rsidRDefault="00487740" w:rsidP="00ED2188">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62397" w14:textId="77777777" w:rsidR="00487740" w:rsidRPr="00ED2188" w:rsidRDefault="00581177" w:rsidP="00ED2188">
    <w:pPr>
      <w:pStyle w:val="Header"/>
      <w:tabs>
        <w:tab w:val="clear" w:pos="4153"/>
        <w:tab w:val="clear" w:pos="8306"/>
        <w:tab w:val="left" w:pos="7200"/>
        <w:tab w:val="right" w:pos="8504"/>
      </w:tabs>
      <w:spacing w:line="280" w:lineRule="exact"/>
      <w:jc w:val="right"/>
      <w:rPr>
        <w:rFonts w:ascii="Times New Roman" w:hAnsi="Times New Roman"/>
        <w:i/>
        <w:sz w:val="22"/>
      </w:rPr>
    </w:pPr>
    <w:r w:rsidRPr="00ED2188">
      <w:rPr>
        <w:rFonts w:ascii="Times New Roman" w:hAnsi="Times New Roman"/>
        <w:i/>
        <w:sz w:val="22"/>
      </w:rPr>
      <w:tab/>
      <w:t>Gordon</w:t>
    </w:r>
    <w:r w:rsidRPr="00ED2188">
      <w:rPr>
        <w:rFonts w:ascii="Times New Roman" w:hAnsi="Times New Roman"/>
        <w:i/>
        <w:sz w:val="22"/>
      </w:rPr>
      <w:tab/>
      <w:t>J</w:t>
    </w:r>
  </w:p>
  <w:p w14:paraId="0A7012AE" w14:textId="77777777" w:rsidR="00487740" w:rsidRPr="00ED2188" w:rsidRDefault="00581177" w:rsidP="00ED2188">
    <w:pPr>
      <w:pStyle w:val="Header"/>
      <w:tabs>
        <w:tab w:val="clear" w:pos="4153"/>
        <w:tab w:val="clear" w:pos="8306"/>
        <w:tab w:val="left" w:pos="7200"/>
        <w:tab w:val="right" w:pos="8504"/>
      </w:tabs>
      <w:spacing w:line="280" w:lineRule="exact"/>
      <w:jc w:val="right"/>
      <w:rPr>
        <w:rFonts w:ascii="Times New Roman" w:hAnsi="Times New Roman"/>
        <w:i/>
        <w:sz w:val="22"/>
      </w:rPr>
    </w:pPr>
    <w:r w:rsidRPr="00ED2188">
      <w:rPr>
        <w:rFonts w:ascii="Times New Roman" w:hAnsi="Times New Roman"/>
        <w:i/>
        <w:sz w:val="22"/>
      </w:rPr>
      <w:tab/>
      <w:t>Edelman</w:t>
    </w:r>
    <w:r w:rsidRPr="00ED2188">
      <w:rPr>
        <w:rFonts w:ascii="Times New Roman" w:hAnsi="Times New Roman"/>
        <w:i/>
        <w:sz w:val="22"/>
      </w:rPr>
      <w:tab/>
      <w:t>J</w:t>
    </w:r>
  </w:p>
  <w:p w14:paraId="088940E1" w14:textId="77777777" w:rsidR="00487740" w:rsidRPr="00ED2188" w:rsidRDefault="00581177" w:rsidP="00ED2188">
    <w:pPr>
      <w:pStyle w:val="Header"/>
      <w:tabs>
        <w:tab w:val="clear" w:pos="4153"/>
        <w:tab w:val="clear" w:pos="8306"/>
        <w:tab w:val="left" w:pos="7200"/>
        <w:tab w:val="right" w:pos="8504"/>
      </w:tabs>
      <w:spacing w:line="280" w:lineRule="exact"/>
      <w:jc w:val="right"/>
      <w:rPr>
        <w:rFonts w:ascii="Times New Roman" w:hAnsi="Times New Roman"/>
        <w:i/>
        <w:sz w:val="22"/>
      </w:rPr>
    </w:pPr>
    <w:r w:rsidRPr="00ED2188">
      <w:rPr>
        <w:rFonts w:ascii="Times New Roman" w:hAnsi="Times New Roman"/>
        <w:i/>
        <w:sz w:val="22"/>
      </w:rPr>
      <w:tab/>
      <w:t>Steward</w:t>
    </w:r>
    <w:r w:rsidRPr="00ED2188">
      <w:rPr>
        <w:rFonts w:ascii="Times New Roman" w:hAnsi="Times New Roman"/>
        <w:i/>
        <w:sz w:val="22"/>
      </w:rPr>
      <w:tab/>
      <w:t>J</w:t>
    </w:r>
  </w:p>
  <w:p w14:paraId="148ABCE6" w14:textId="77777777" w:rsidR="00487740" w:rsidRDefault="00581177" w:rsidP="00ED2188">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Gleeson</w:t>
    </w:r>
    <w:r>
      <w:rPr>
        <w:rFonts w:ascii="Times New Roman" w:hAnsi="Times New Roman"/>
        <w:i/>
        <w:sz w:val="22"/>
      </w:rPr>
      <w:tab/>
      <w:t>J</w:t>
    </w:r>
  </w:p>
  <w:p w14:paraId="297D9022" w14:textId="77777777" w:rsidR="00487740" w:rsidRDefault="00487740" w:rsidP="00ED2188">
    <w:pPr>
      <w:pStyle w:val="Header"/>
      <w:tabs>
        <w:tab w:val="clear" w:pos="4153"/>
        <w:tab w:val="clear" w:pos="8306"/>
        <w:tab w:val="left" w:pos="7200"/>
        <w:tab w:val="right" w:pos="8504"/>
      </w:tabs>
      <w:spacing w:line="280" w:lineRule="exact"/>
      <w:jc w:val="right"/>
      <w:rPr>
        <w:rFonts w:ascii="Times New Roman" w:hAnsi="Times New Roman"/>
        <w:i/>
        <w:sz w:val="22"/>
      </w:rPr>
    </w:pPr>
  </w:p>
  <w:p w14:paraId="510F3441" w14:textId="77777777" w:rsidR="00487740" w:rsidRDefault="00581177" w:rsidP="00ED2188">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5</w:t>
    </w:r>
    <w:r>
      <w:rPr>
        <w:rFonts w:ascii="Times New Roman" w:hAnsi="Times New Roman"/>
        <w:sz w:val="22"/>
      </w:rPr>
      <w:fldChar w:fldCharType="end"/>
    </w:r>
    <w:r>
      <w:rPr>
        <w:rFonts w:ascii="Times New Roman" w:hAnsi="Times New Roman"/>
        <w:sz w:val="22"/>
      </w:rPr>
      <w:t>.</w:t>
    </w:r>
  </w:p>
  <w:p w14:paraId="4F547B87" w14:textId="77777777" w:rsidR="00487740" w:rsidRPr="00ED2188" w:rsidRDefault="00487740" w:rsidP="00ED2188">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88D8" w14:textId="77777777" w:rsidR="00487740" w:rsidRDefault="00487740" w:rsidP="00ED2188">
    <w:pPr>
      <w:pStyle w:val="Header"/>
      <w:tabs>
        <w:tab w:val="clear" w:pos="4153"/>
        <w:tab w:val="clear" w:pos="8306"/>
        <w:tab w:val="center" w:pos="1134"/>
      </w:tabs>
      <w:spacing w:line="280" w:lineRule="exact"/>
      <w:ind w:firstLine="0"/>
      <w:rPr>
        <w:rFonts w:ascii="Times New Roman" w:hAnsi="Times New Roman"/>
        <w:i/>
        <w:sz w:val="22"/>
      </w:rPr>
    </w:pPr>
  </w:p>
  <w:p w14:paraId="172E9539" w14:textId="77777777" w:rsidR="00487740" w:rsidRDefault="00487740" w:rsidP="00ED2188">
    <w:pPr>
      <w:pStyle w:val="Header"/>
      <w:tabs>
        <w:tab w:val="clear" w:pos="4153"/>
        <w:tab w:val="clear" w:pos="8306"/>
        <w:tab w:val="center" w:pos="1134"/>
      </w:tabs>
      <w:spacing w:line="280" w:lineRule="exact"/>
      <w:ind w:firstLine="0"/>
      <w:rPr>
        <w:rFonts w:ascii="Times New Roman" w:hAnsi="Times New Roman"/>
        <w:i/>
        <w:sz w:val="22"/>
      </w:rPr>
    </w:pPr>
  </w:p>
  <w:p w14:paraId="711F5B82" w14:textId="77777777" w:rsidR="00487740" w:rsidRDefault="00487740" w:rsidP="00ED2188">
    <w:pPr>
      <w:pStyle w:val="Header"/>
      <w:tabs>
        <w:tab w:val="clear" w:pos="4153"/>
        <w:tab w:val="clear" w:pos="8306"/>
        <w:tab w:val="center" w:pos="1134"/>
      </w:tabs>
      <w:spacing w:line="280" w:lineRule="exact"/>
      <w:ind w:firstLine="0"/>
      <w:rPr>
        <w:rFonts w:ascii="Times New Roman" w:hAnsi="Times New Roman"/>
        <w:i/>
        <w:sz w:val="22"/>
      </w:rPr>
    </w:pPr>
  </w:p>
  <w:p w14:paraId="5B068615" w14:textId="77777777" w:rsidR="00487740" w:rsidRDefault="00487740" w:rsidP="00ED2188">
    <w:pPr>
      <w:pStyle w:val="Header"/>
      <w:tabs>
        <w:tab w:val="clear" w:pos="4153"/>
        <w:tab w:val="clear" w:pos="8306"/>
        <w:tab w:val="center" w:pos="1134"/>
      </w:tabs>
      <w:spacing w:line="280" w:lineRule="exact"/>
      <w:ind w:firstLine="0"/>
      <w:rPr>
        <w:rFonts w:ascii="Times New Roman" w:hAnsi="Times New Roman"/>
        <w:i/>
        <w:sz w:val="22"/>
      </w:rPr>
    </w:pPr>
  </w:p>
  <w:p w14:paraId="2452B736" w14:textId="77777777" w:rsidR="00487740" w:rsidRDefault="00487740" w:rsidP="00ED2188">
    <w:pPr>
      <w:pStyle w:val="Header"/>
      <w:tabs>
        <w:tab w:val="clear" w:pos="4153"/>
        <w:tab w:val="clear" w:pos="8306"/>
        <w:tab w:val="center" w:pos="1134"/>
      </w:tabs>
      <w:spacing w:line="280" w:lineRule="exact"/>
      <w:ind w:firstLine="0"/>
      <w:rPr>
        <w:rFonts w:ascii="Times New Roman" w:hAnsi="Times New Roman"/>
        <w:i/>
        <w:sz w:val="22"/>
      </w:rPr>
    </w:pPr>
  </w:p>
  <w:p w14:paraId="144B5575" w14:textId="77777777" w:rsidR="00487740" w:rsidRDefault="00487740" w:rsidP="00ED2188">
    <w:pPr>
      <w:pStyle w:val="Header"/>
      <w:tabs>
        <w:tab w:val="clear" w:pos="4153"/>
        <w:tab w:val="clear" w:pos="8306"/>
        <w:tab w:val="center" w:pos="1134"/>
      </w:tabs>
      <w:spacing w:line="280" w:lineRule="exact"/>
      <w:ind w:firstLine="0"/>
      <w:rPr>
        <w:rFonts w:ascii="Times New Roman" w:hAnsi="Times New Roman"/>
        <w:i/>
        <w:sz w:val="22"/>
      </w:rPr>
    </w:pPr>
  </w:p>
  <w:p w14:paraId="291A1DE1" w14:textId="77777777" w:rsidR="00487740" w:rsidRPr="00ED2188" w:rsidRDefault="00487740" w:rsidP="00ED2188">
    <w:pPr>
      <w:pStyle w:val="Header"/>
      <w:tabs>
        <w:tab w:val="clear" w:pos="4153"/>
        <w:tab w:val="clear" w:pos="8306"/>
        <w:tab w:val="center" w:pos="1134"/>
      </w:tabs>
      <w:spacing w:line="280" w:lineRule="exact"/>
      <w:ind w:firstLine="0"/>
      <w:rPr>
        <w:rFonts w:ascii="Times New Roman" w:hAnsi="Times New Roman"/>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6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80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B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BA88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2BE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82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8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56C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158E9"/>
    <w:multiLevelType w:val="hybridMultilevel"/>
    <w:tmpl w:val="F2E28A58"/>
    <w:lvl w:ilvl="0" w:tplc="3F84F7E0">
      <w:start w:val="1"/>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1EF5578A"/>
    <w:multiLevelType w:val="hybridMultilevel"/>
    <w:tmpl w:val="1576A010"/>
    <w:lvl w:ilvl="0" w:tplc="97AE9906">
      <w:start w:val="1"/>
      <w:numFmt w:val="decimal"/>
      <w:pStyle w:val="NormalHC"/>
      <w:lvlText w:val="%1."/>
      <w:lvlJc w:val="left"/>
      <w:pPr>
        <w:ind w:left="720" w:hanging="144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99F7DFA"/>
    <w:multiLevelType w:val="hybridMultilevel"/>
    <w:tmpl w:val="7CE4C762"/>
    <w:lvl w:ilvl="0" w:tplc="8D92BF5E">
      <w:start w:val="1"/>
      <w:numFmt w:val="decimal"/>
      <w:lvlText w:val="%1."/>
      <w:lvlJc w:val="left"/>
      <w:pPr>
        <w:ind w:left="720" w:hanging="360"/>
      </w:pPr>
    </w:lvl>
    <w:lvl w:ilvl="1" w:tplc="153C00E2">
      <w:start w:val="1"/>
      <w:numFmt w:val="decimal"/>
      <w:lvlText w:val="%2."/>
      <w:lvlJc w:val="left"/>
      <w:pPr>
        <w:ind w:left="720" w:hanging="360"/>
      </w:pPr>
    </w:lvl>
    <w:lvl w:ilvl="2" w:tplc="2F7AC2F2">
      <w:start w:val="1"/>
      <w:numFmt w:val="decimal"/>
      <w:lvlText w:val="%3."/>
      <w:lvlJc w:val="left"/>
      <w:pPr>
        <w:ind w:left="720" w:hanging="360"/>
      </w:pPr>
    </w:lvl>
    <w:lvl w:ilvl="3" w:tplc="747090D6">
      <w:start w:val="1"/>
      <w:numFmt w:val="decimal"/>
      <w:lvlText w:val="%4."/>
      <w:lvlJc w:val="left"/>
      <w:pPr>
        <w:ind w:left="720" w:hanging="360"/>
      </w:pPr>
    </w:lvl>
    <w:lvl w:ilvl="4" w:tplc="DDEC6642">
      <w:start w:val="1"/>
      <w:numFmt w:val="decimal"/>
      <w:lvlText w:val="%5."/>
      <w:lvlJc w:val="left"/>
      <w:pPr>
        <w:ind w:left="720" w:hanging="360"/>
      </w:pPr>
    </w:lvl>
    <w:lvl w:ilvl="5" w:tplc="559A8792">
      <w:start w:val="1"/>
      <w:numFmt w:val="decimal"/>
      <w:lvlText w:val="%6."/>
      <w:lvlJc w:val="left"/>
      <w:pPr>
        <w:ind w:left="720" w:hanging="360"/>
      </w:pPr>
    </w:lvl>
    <w:lvl w:ilvl="6" w:tplc="7AE07B9A">
      <w:start w:val="1"/>
      <w:numFmt w:val="decimal"/>
      <w:lvlText w:val="%7."/>
      <w:lvlJc w:val="left"/>
      <w:pPr>
        <w:ind w:left="720" w:hanging="360"/>
      </w:pPr>
    </w:lvl>
    <w:lvl w:ilvl="7" w:tplc="5CD279AE">
      <w:start w:val="1"/>
      <w:numFmt w:val="decimal"/>
      <w:lvlText w:val="%8."/>
      <w:lvlJc w:val="left"/>
      <w:pPr>
        <w:ind w:left="720" w:hanging="360"/>
      </w:pPr>
    </w:lvl>
    <w:lvl w:ilvl="8" w:tplc="A0BCF9FC">
      <w:start w:val="1"/>
      <w:numFmt w:val="decimal"/>
      <w:lvlText w:val="%9."/>
      <w:lvlJc w:val="left"/>
      <w:pPr>
        <w:ind w:left="720" w:hanging="360"/>
      </w:pPr>
    </w:lvl>
  </w:abstractNum>
  <w:abstractNum w:abstractNumId="14" w15:restartNumberingAfterBreak="0">
    <w:nsid w:val="2E8C6A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52877DE"/>
    <w:multiLevelType w:val="hybridMultilevel"/>
    <w:tmpl w:val="A0042388"/>
    <w:lvl w:ilvl="0" w:tplc="812C1880">
      <w:start w:val="1"/>
      <w:numFmt w:val="decimal"/>
      <w:lvlText w:val="%1."/>
      <w:lvlJc w:val="left"/>
      <w:pPr>
        <w:ind w:left="1020" w:hanging="360"/>
      </w:pPr>
    </w:lvl>
    <w:lvl w:ilvl="1" w:tplc="5210939E">
      <w:start w:val="1"/>
      <w:numFmt w:val="decimal"/>
      <w:lvlText w:val="%2."/>
      <w:lvlJc w:val="left"/>
      <w:pPr>
        <w:ind w:left="1020" w:hanging="360"/>
      </w:pPr>
    </w:lvl>
    <w:lvl w:ilvl="2" w:tplc="95323D96">
      <w:start w:val="1"/>
      <w:numFmt w:val="decimal"/>
      <w:lvlText w:val="%3."/>
      <w:lvlJc w:val="left"/>
      <w:pPr>
        <w:ind w:left="1020" w:hanging="360"/>
      </w:pPr>
    </w:lvl>
    <w:lvl w:ilvl="3" w:tplc="31CE14CE">
      <w:start w:val="1"/>
      <w:numFmt w:val="decimal"/>
      <w:lvlText w:val="%4."/>
      <w:lvlJc w:val="left"/>
      <w:pPr>
        <w:ind w:left="1020" w:hanging="360"/>
      </w:pPr>
    </w:lvl>
    <w:lvl w:ilvl="4" w:tplc="62F2352C">
      <w:start w:val="1"/>
      <w:numFmt w:val="decimal"/>
      <w:lvlText w:val="%5."/>
      <w:lvlJc w:val="left"/>
      <w:pPr>
        <w:ind w:left="1020" w:hanging="360"/>
      </w:pPr>
    </w:lvl>
    <w:lvl w:ilvl="5" w:tplc="34D4FD02">
      <w:start w:val="1"/>
      <w:numFmt w:val="decimal"/>
      <w:lvlText w:val="%6."/>
      <w:lvlJc w:val="left"/>
      <w:pPr>
        <w:ind w:left="1020" w:hanging="360"/>
      </w:pPr>
    </w:lvl>
    <w:lvl w:ilvl="6" w:tplc="BAFE58C8">
      <w:start w:val="1"/>
      <w:numFmt w:val="decimal"/>
      <w:lvlText w:val="%7."/>
      <w:lvlJc w:val="left"/>
      <w:pPr>
        <w:ind w:left="1020" w:hanging="360"/>
      </w:pPr>
    </w:lvl>
    <w:lvl w:ilvl="7" w:tplc="8D80DE3C">
      <w:start w:val="1"/>
      <w:numFmt w:val="decimal"/>
      <w:lvlText w:val="%8."/>
      <w:lvlJc w:val="left"/>
      <w:pPr>
        <w:ind w:left="1020" w:hanging="360"/>
      </w:pPr>
    </w:lvl>
    <w:lvl w:ilvl="8" w:tplc="37729AD6">
      <w:start w:val="1"/>
      <w:numFmt w:val="decimal"/>
      <w:lvlText w:val="%9."/>
      <w:lvlJc w:val="left"/>
      <w:pPr>
        <w:ind w:left="1020" w:hanging="360"/>
      </w:pPr>
    </w:lvl>
  </w:abstractNum>
  <w:abstractNum w:abstractNumId="16" w15:restartNumberingAfterBreak="0">
    <w:nsid w:val="3D151F96"/>
    <w:multiLevelType w:val="hybridMultilevel"/>
    <w:tmpl w:val="CA222870"/>
    <w:lvl w:ilvl="0" w:tplc="3F84F7E0">
      <w:start w:val="1"/>
      <w:numFmt w:val="decimal"/>
      <w:lvlText w:val="%1."/>
      <w:lvlJc w:val="left"/>
      <w:pPr>
        <w:tabs>
          <w:tab w:val="num" w:pos="2160"/>
        </w:tabs>
        <w:ind w:left="216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7" w15:restartNumberingAfterBreak="0">
    <w:nsid w:val="40D57CD0"/>
    <w:multiLevelType w:val="hybridMultilevel"/>
    <w:tmpl w:val="F2B4A496"/>
    <w:lvl w:ilvl="0" w:tplc="777AFA76">
      <w:start w:val="1"/>
      <w:numFmt w:val="bullet"/>
      <w:lvlText w:val=""/>
      <w:lvlJc w:val="left"/>
      <w:pPr>
        <w:ind w:left="1020" w:hanging="360"/>
      </w:pPr>
      <w:rPr>
        <w:rFonts w:ascii="Symbol" w:hAnsi="Symbol"/>
      </w:rPr>
    </w:lvl>
    <w:lvl w:ilvl="1" w:tplc="16449934">
      <w:start w:val="1"/>
      <w:numFmt w:val="bullet"/>
      <w:lvlText w:val=""/>
      <w:lvlJc w:val="left"/>
      <w:pPr>
        <w:ind w:left="1020" w:hanging="360"/>
      </w:pPr>
      <w:rPr>
        <w:rFonts w:ascii="Symbol" w:hAnsi="Symbol"/>
      </w:rPr>
    </w:lvl>
    <w:lvl w:ilvl="2" w:tplc="E2348638">
      <w:start w:val="1"/>
      <w:numFmt w:val="bullet"/>
      <w:lvlText w:val=""/>
      <w:lvlJc w:val="left"/>
      <w:pPr>
        <w:ind w:left="1020" w:hanging="360"/>
      </w:pPr>
      <w:rPr>
        <w:rFonts w:ascii="Symbol" w:hAnsi="Symbol"/>
      </w:rPr>
    </w:lvl>
    <w:lvl w:ilvl="3" w:tplc="BADAD37A">
      <w:start w:val="1"/>
      <w:numFmt w:val="bullet"/>
      <w:lvlText w:val=""/>
      <w:lvlJc w:val="left"/>
      <w:pPr>
        <w:ind w:left="1020" w:hanging="360"/>
      </w:pPr>
      <w:rPr>
        <w:rFonts w:ascii="Symbol" w:hAnsi="Symbol"/>
      </w:rPr>
    </w:lvl>
    <w:lvl w:ilvl="4" w:tplc="7020F152">
      <w:start w:val="1"/>
      <w:numFmt w:val="bullet"/>
      <w:lvlText w:val=""/>
      <w:lvlJc w:val="left"/>
      <w:pPr>
        <w:ind w:left="1020" w:hanging="360"/>
      </w:pPr>
      <w:rPr>
        <w:rFonts w:ascii="Symbol" w:hAnsi="Symbol"/>
      </w:rPr>
    </w:lvl>
    <w:lvl w:ilvl="5" w:tplc="56EC091E">
      <w:start w:val="1"/>
      <w:numFmt w:val="bullet"/>
      <w:lvlText w:val=""/>
      <w:lvlJc w:val="left"/>
      <w:pPr>
        <w:ind w:left="1020" w:hanging="360"/>
      </w:pPr>
      <w:rPr>
        <w:rFonts w:ascii="Symbol" w:hAnsi="Symbol"/>
      </w:rPr>
    </w:lvl>
    <w:lvl w:ilvl="6" w:tplc="13ECBEDE">
      <w:start w:val="1"/>
      <w:numFmt w:val="bullet"/>
      <w:lvlText w:val=""/>
      <w:lvlJc w:val="left"/>
      <w:pPr>
        <w:ind w:left="1020" w:hanging="360"/>
      </w:pPr>
      <w:rPr>
        <w:rFonts w:ascii="Symbol" w:hAnsi="Symbol"/>
      </w:rPr>
    </w:lvl>
    <w:lvl w:ilvl="7" w:tplc="C256D9EE">
      <w:start w:val="1"/>
      <w:numFmt w:val="bullet"/>
      <w:lvlText w:val=""/>
      <w:lvlJc w:val="left"/>
      <w:pPr>
        <w:ind w:left="1020" w:hanging="360"/>
      </w:pPr>
      <w:rPr>
        <w:rFonts w:ascii="Symbol" w:hAnsi="Symbol"/>
      </w:rPr>
    </w:lvl>
    <w:lvl w:ilvl="8" w:tplc="359E66D2">
      <w:start w:val="1"/>
      <w:numFmt w:val="bullet"/>
      <w:lvlText w:val=""/>
      <w:lvlJc w:val="left"/>
      <w:pPr>
        <w:ind w:left="1020" w:hanging="360"/>
      </w:pPr>
      <w:rPr>
        <w:rFonts w:ascii="Symbol" w:hAnsi="Symbol"/>
      </w:rPr>
    </w:lvl>
  </w:abstractNum>
  <w:abstractNum w:abstractNumId="18" w15:restartNumberingAfterBreak="0">
    <w:nsid w:val="4A7943C2"/>
    <w:multiLevelType w:val="hybridMultilevel"/>
    <w:tmpl w:val="77D8FB18"/>
    <w:lvl w:ilvl="0" w:tplc="108C3F1C">
      <w:start w:val="1"/>
      <w:numFmt w:val="decimal"/>
      <w:lvlText w:val="%1"/>
      <w:lvlJc w:val="left"/>
      <w:pPr>
        <w:ind w:left="-360" w:hanging="360"/>
      </w:pPr>
      <w:rPr>
        <w:rFonts w:ascii="Univers" w:hAnsi="Univers"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649A4701"/>
    <w:multiLevelType w:val="hybridMultilevel"/>
    <w:tmpl w:val="5814491A"/>
    <w:lvl w:ilvl="0" w:tplc="D6B0CFA8">
      <w:start w:val="1"/>
      <w:numFmt w:val="bullet"/>
      <w:lvlText w:val=""/>
      <w:lvlJc w:val="left"/>
      <w:pPr>
        <w:ind w:left="1020" w:hanging="360"/>
      </w:pPr>
      <w:rPr>
        <w:rFonts w:ascii="Symbol" w:hAnsi="Symbol"/>
      </w:rPr>
    </w:lvl>
    <w:lvl w:ilvl="1" w:tplc="20F2324E">
      <w:start w:val="1"/>
      <w:numFmt w:val="bullet"/>
      <w:lvlText w:val=""/>
      <w:lvlJc w:val="left"/>
      <w:pPr>
        <w:ind w:left="1020" w:hanging="360"/>
      </w:pPr>
      <w:rPr>
        <w:rFonts w:ascii="Symbol" w:hAnsi="Symbol"/>
      </w:rPr>
    </w:lvl>
    <w:lvl w:ilvl="2" w:tplc="29E20FE8">
      <w:start w:val="1"/>
      <w:numFmt w:val="bullet"/>
      <w:lvlText w:val=""/>
      <w:lvlJc w:val="left"/>
      <w:pPr>
        <w:ind w:left="1020" w:hanging="360"/>
      </w:pPr>
      <w:rPr>
        <w:rFonts w:ascii="Symbol" w:hAnsi="Symbol"/>
      </w:rPr>
    </w:lvl>
    <w:lvl w:ilvl="3" w:tplc="BCCEBDAA">
      <w:start w:val="1"/>
      <w:numFmt w:val="bullet"/>
      <w:lvlText w:val=""/>
      <w:lvlJc w:val="left"/>
      <w:pPr>
        <w:ind w:left="1020" w:hanging="360"/>
      </w:pPr>
      <w:rPr>
        <w:rFonts w:ascii="Symbol" w:hAnsi="Symbol"/>
      </w:rPr>
    </w:lvl>
    <w:lvl w:ilvl="4" w:tplc="BD3C47A4">
      <w:start w:val="1"/>
      <w:numFmt w:val="bullet"/>
      <w:lvlText w:val=""/>
      <w:lvlJc w:val="left"/>
      <w:pPr>
        <w:ind w:left="1020" w:hanging="360"/>
      </w:pPr>
      <w:rPr>
        <w:rFonts w:ascii="Symbol" w:hAnsi="Symbol"/>
      </w:rPr>
    </w:lvl>
    <w:lvl w:ilvl="5" w:tplc="C4880F96">
      <w:start w:val="1"/>
      <w:numFmt w:val="bullet"/>
      <w:lvlText w:val=""/>
      <w:lvlJc w:val="left"/>
      <w:pPr>
        <w:ind w:left="1020" w:hanging="360"/>
      </w:pPr>
      <w:rPr>
        <w:rFonts w:ascii="Symbol" w:hAnsi="Symbol"/>
      </w:rPr>
    </w:lvl>
    <w:lvl w:ilvl="6" w:tplc="2C0AD624">
      <w:start w:val="1"/>
      <w:numFmt w:val="bullet"/>
      <w:lvlText w:val=""/>
      <w:lvlJc w:val="left"/>
      <w:pPr>
        <w:ind w:left="1020" w:hanging="360"/>
      </w:pPr>
      <w:rPr>
        <w:rFonts w:ascii="Symbol" w:hAnsi="Symbol"/>
      </w:rPr>
    </w:lvl>
    <w:lvl w:ilvl="7" w:tplc="CBB43D00">
      <w:start w:val="1"/>
      <w:numFmt w:val="bullet"/>
      <w:lvlText w:val=""/>
      <w:lvlJc w:val="left"/>
      <w:pPr>
        <w:ind w:left="1020" w:hanging="360"/>
      </w:pPr>
      <w:rPr>
        <w:rFonts w:ascii="Symbol" w:hAnsi="Symbol"/>
      </w:rPr>
    </w:lvl>
    <w:lvl w:ilvl="8" w:tplc="973A3ADE">
      <w:start w:val="1"/>
      <w:numFmt w:val="bullet"/>
      <w:lvlText w:val=""/>
      <w:lvlJc w:val="left"/>
      <w:pPr>
        <w:ind w:left="1020" w:hanging="360"/>
      </w:pPr>
      <w:rPr>
        <w:rFonts w:ascii="Symbol" w:hAnsi="Symbol"/>
      </w:rPr>
    </w:lvl>
  </w:abstractNum>
  <w:abstractNum w:abstractNumId="21" w15:restartNumberingAfterBreak="0">
    <w:nsid w:val="7FD97D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596476">
    <w:abstractNumId w:val="10"/>
  </w:num>
  <w:num w:numId="2" w16cid:durableId="375815310">
    <w:abstractNumId w:val="16"/>
  </w:num>
  <w:num w:numId="3" w16cid:durableId="1375159326">
    <w:abstractNumId w:val="21"/>
  </w:num>
  <w:num w:numId="4" w16cid:durableId="1020468450">
    <w:abstractNumId w:val="14"/>
  </w:num>
  <w:num w:numId="5" w16cid:durableId="298609604">
    <w:abstractNumId w:val="19"/>
  </w:num>
  <w:num w:numId="6" w16cid:durableId="1668483507">
    <w:abstractNumId w:val="6"/>
  </w:num>
  <w:num w:numId="7" w16cid:durableId="1277131474">
    <w:abstractNumId w:val="9"/>
  </w:num>
  <w:num w:numId="8" w16cid:durableId="720982448">
    <w:abstractNumId w:val="7"/>
  </w:num>
  <w:num w:numId="9" w16cid:durableId="880166639">
    <w:abstractNumId w:val="5"/>
  </w:num>
  <w:num w:numId="10" w16cid:durableId="1552577615">
    <w:abstractNumId w:val="4"/>
  </w:num>
  <w:num w:numId="11" w16cid:durableId="822114542">
    <w:abstractNumId w:val="8"/>
  </w:num>
  <w:num w:numId="12" w16cid:durableId="868374538">
    <w:abstractNumId w:val="3"/>
  </w:num>
  <w:num w:numId="13" w16cid:durableId="935400494">
    <w:abstractNumId w:val="2"/>
  </w:num>
  <w:num w:numId="14" w16cid:durableId="1552810459">
    <w:abstractNumId w:val="1"/>
  </w:num>
  <w:num w:numId="15" w16cid:durableId="788087333">
    <w:abstractNumId w:val="0"/>
  </w:num>
  <w:num w:numId="16" w16cid:durableId="92282540">
    <w:abstractNumId w:val="12"/>
  </w:num>
  <w:num w:numId="17" w16cid:durableId="952325839">
    <w:abstractNumId w:val="18"/>
  </w:num>
  <w:num w:numId="18" w16cid:durableId="586305847">
    <w:abstractNumId w:val="11"/>
  </w:num>
  <w:num w:numId="19" w16cid:durableId="650985869">
    <w:abstractNumId w:val="11"/>
  </w:num>
  <w:num w:numId="20" w16cid:durableId="1874541294">
    <w:abstractNumId w:val="17"/>
  </w:num>
  <w:num w:numId="21" w16cid:durableId="1645576109">
    <w:abstractNumId w:val="20"/>
  </w:num>
  <w:num w:numId="22" w16cid:durableId="1625572569">
    <w:abstractNumId w:val="13"/>
  </w:num>
  <w:num w:numId="23" w16cid:durableId="11436166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linkStyl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1BF"/>
    <w:rsid w:val="00002069"/>
    <w:rsid w:val="00002CE6"/>
    <w:rsid w:val="0000316A"/>
    <w:rsid w:val="000049B7"/>
    <w:rsid w:val="000141CA"/>
    <w:rsid w:val="00014B34"/>
    <w:rsid w:val="000168C9"/>
    <w:rsid w:val="00016C20"/>
    <w:rsid w:val="00016DBB"/>
    <w:rsid w:val="00017144"/>
    <w:rsid w:val="00022A53"/>
    <w:rsid w:val="000250AF"/>
    <w:rsid w:val="00025490"/>
    <w:rsid w:val="0002561E"/>
    <w:rsid w:val="000268E1"/>
    <w:rsid w:val="0003575A"/>
    <w:rsid w:val="000360EB"/>
    <w:rsid w:val="00037A5F"/>
    <w:rsid w:val="00037D87"/>
    <w:rsid w:val="00042EF3"/>
    <w:rsid w:val="00043D2C"/>
    <w:rsid w:val="00046812"/>
    <w:rsid w:val="00055ACD"/>
    <w:rsid w:val="00056F27"/>
    <w:rsid w:val="000573AF"/>
    <w:rsid w:val="0006169E"/>
    <w:rsid w:val="000626FD"/>
    <w:rsid w:val="0006432B"/>
    <w:rsid w:val="000653D4"/>
    <w:rsid w:val="000719E8"/>
    <w:rsid w:val="00071C35"/>
    <w:rsid w:val="00075F50"/>
    <w:rsid w:val="00080D77"/>
    <w:rsid w:val="0008435D"/>
    <w:rsid w:val="0008558C"/>
    <w:rsid w:val="00085F13"/>
    <w:rsid w:val="000951BF"/>
    <w:rsid w:val="00095C37"/>
    <w:rsid w:val="000A28D4"/>
    <w:rsid w:val="000A2EB4"/>
    <w:rsid w:val="000A3DA3"/>
    <w:rsid w:val="000A63C6"/>
    <w:rsid w:val="000B4630"/>
    <w:rsid w:val="000B497F"/>
    <w:rsid w:val="000B710D"/>
    <w:rsid w:val="000B72BD"/>
    <w:rsid w:val="000B7558"/>
    <w:rsid w:val="000C04DC"/>
    <w:rsid w:val="000C0D98"/>
    <w:rsid w:val="000C1A6F"/>
    <w:rsid w:val="000D25E6"/>
    <w:rsid w:val="000D53C8"/>
    <w:rsid w:val="000E65F7"/>
    <w:rsid w:val="000F1345"/>
    <w:rsid w:val="000F3BB3"/>
    <w:rsid w:val="000F3C65"/>
    <w:rsid w:val="001001B9"/>
    <w:rsid w:val="00102254"/>
    <w:rsid w:val="0010702C"/>
    <w:rsid w:val="00110970"/>
    <w:rsid w:val="00110BC3"/>
    <w:rsid w:val="00111568"/>
    <w:rsid w:val="001120C0"/>
    <w:rsid w:val="001150BF"/>
    <w:rsid w:val="00115EB0"/>
    <w:rsid w:val="001168F2"/>
    <w:rsid w:val="00120207"/>
    <w:rsid w:val="00123C1B"/>
    <w:rsid w:val="00125E3C"/>
    <w:rsid w:val="00133E7E"/>
    <w:rsid w:val="0013456F"/>
    <w:rsid w:val="001379A4"/>
    <w:rsid w:val="00142072"/>
    <w:rsid w:val="00143FCB"/>
    <w:rsid w:val="00144F4E"/>
    <w:rsid w:val="00144FEF"/>
    <w:rsid w:val="00145627"/>
    <w:rsid w:val="00146A41"/>
    <w:rsid w:val="0015031C"/>
    <w:rsid w:val="00151679"/>
    <w:rsid w:val="0015318E"/>
    <w:rsid w:val="00163D92"/>
    <w:rsid w:val="00164144"/>
    <w:rsid w:val="001708DE"/>
    <w:rsid w:val="00172ADE"/>
    <w:rsid w:val="00175703"/>
    <w:rsid w:val="001758DE"/>
    <w:rsid w:val="00176D25"/>
    <w:rsid w:val="0018342E"/>
    <w:rsid w:val="001840C2"/>
    <w:rsid w:val="00184B46"/>
    <w:rsid w:val="00185939"/>
    <w:rsid w:val="001876F6"/>
    <w:rsid w:val="00191E23"/>
    <w:rsid w:val="001953B1"/>
    <w:rsid w:val="001963C0"/>
    <w:rsid w:val="00197956"/>
    <w:rsid w:val="001A409D"/>
    <w:rsid w:val="001A446E"/>
    <w:rsid w:val="001B1676"/>
    <w:rsid w:val="001B17A8"/>
    <w:rsid w:val="001B55C8"/>
    <w:rsid w:val="001B63C6"/>
    <w:rsid w:val="001C48D4"/>
    <w:rsid w:val="001C7C93"/>
    <w:rsid w:val="001D36CD"/>
    <w:rsid w:val="001D4F49"/>
    <w:rsid w:val="001D7982"/>
    <w:rsid w:val="001E1D3D"/>
    <w:rsid w:val="001E47D1"/>
    <w:rsid w:val="001E6A64"/>
    <w:rsid w:val="001E75C5"/>
    <w:rsid w:val="001F1B5F"/>
    <w:rsid w:val="001F3F2A"/>
    <w:rsid w:val="001F69C2"/>
    <w:rsid w:val="002048D1"/>
    <w:rsid w:val="002079CB"/>
    <w:rsid w:val="0021096E"/>
    <w:rsid w:val="00210DE8"/>
    <w:rsid w:val="00211D73"/>
    <w:rsid w:val="00212A3E"/>
    <w:rsid w:val="00214BF2"/>
    <w:rsid w:val="00215A7F"/>
    <w:rsid w:val="00216522"/>
    <w:rsid w:val="00221D19"/>
    <w:rsid w:val="0022545E"/>
    <w:rsid w:val="0022666B"/>
    <w:rsid w:val="0022734D"/>
    <w:rsid w:val="0023447F"/>
    <w:rsid w:val="002350B3"/>
    <w:rsid w:val="0023798E"/>
    <w:rsid w:val="00242EE4"/>
    <w:rsid w:val="0024462E"/>
    <w:rsid w:val="002474FA"/>
    <w:rsid w:val="00253493"/>
    <w:rsid w:val="00253DE9"/>
    <w:rsid w:val="00257AFB"/>
    <w:rsid w:val="0026293D"/>
    <w:rsid w:val="00265982"/>
    <w:rsid w:val="00270154"/>
    <w:rsid w:val="00271F70"/>
    <w:rsid w:val="0027408B"/>
    <w:rsid w:val="00276B56"/>
    <w:rsid w:val="00280F46"/>
    <w:rsid w:val="002819FD"/>
    <w:rsid w:val="0028583A"/>
    <w:rsid w:val="00287368"/>
    <w:rsid w:val="00287873"/>
    <w:rsid w:val="002916CC"/>
    <w:rsid w:val="0029278C"/>
    <w:rsid w:val="00292E65"/>
    <w:rsid w:val="0029697C"/>
    <w:rsid w:val="002979F1"/>
    <w:rsid w:val="00297BF9"/>
    <w:rsid w:val="002A13E1"/>
    <w:rsid w:val="002A3248"/>
    <w:rsid w:val="002A5113"/>
    <w:rsid w:val="002B0846"/>
    <w:rsid w:val="002B1304"/>
    <w:rsid w:val="002C1EDE"/>
    <w:rsid w:val="002C5981"/>
    <w:rsid w:val="002C7307"/>
    <w:rsid w:val="002D0410"/>
    <w:rsid w:val="002D0899"/>
    <w:rsid w:val="002D1707"/>
    <w:rsid w:val="002D17E2"/>
    <w:rsid w:val="002D3F5B"/>
    <w:rsid w:val="002E0EC8"/>
    <w:rsid w:val="002E278F"/>
    <w:rsid w:val="002E3B4D"/>
    <w:rsid w:val="002F0522"/>
    <w:rsid w:val="002F0734"/>
    <w:rsid w:val="0030026A"/>
    <w:rsid w:val="00301975"/>
    <w:rsid w:val="0030542C"/>
    <w:rsid w:val="00310418"/>
    <w:rsid w:val="00312FFC"/>
    <w:rsid w:val="003150BF"/>
    <w:rsid w:val="003150CE"/>
    <w:rsid w:val="00315E92"/>
    <w:rsid w:val="00323B9E"/>
    <w:rsid w:val="00330804"/>
    <w:rsid w:val="00334A6B"/>
    <w:rsid w:val="003366B2"/>
    <w:rsid w:val="00340066"/>
    <w:rsid w:val="0034122D"/>
    <w:rsid w:val="0034288B"/>
    <w:rsid w:val="0034332B"/>
    <w:rsid w:val="0034681C"/>
    <w:rsid w:val="003600A8"/>
    <w:rsid w:val="0036284D"/>
    <w:rsid w:val="00366524"/>
    <w:rsid w:val="00373E58"/>
    <w:rsid w:val="00376073"/>
    <w:rsid w:val="00377452"/>
    <w:rsid w:val="00381223"/>
    <w:rsid w:val="00381849"/>
    <w:rsid w:val="003823A0"/>
    <w:rsid w:val="00384F36"/>
    <w:rsid w:val="00385271"/>
    <w:rsid w:val="0039226E"/>
    <w:rsid w:val="00392CC8"/>
    <w:rsid w:val="00397708"/>
    <w:rsid w:val="003A2017"/>
    <w:rsid w:val="003A48CC"/>
    <w:rsid w:val="003A72EF"/>
    <w:rsid w:val="003A7E21"/>
    <w:rsid w:val="003B4EED"/>
    <w:rsid w:val="003B6B2C"/>
    <w:rsid w:val="003C266A"/>
    <w:rsid w:val="003C602A"/>
    <w:rsid w:val="003D1759"/>
    <w:rsid w:val="003D1896"/>
    <w:rsid w:val="003D3B14"/>
    <w:rsid w:val="003D62F7"/>
    <w:rsid w:val="003E1035"/>
    <w:rsid w:val="003E17F2"/>
    <w:rsid w:val="003E19F7"/>
    <w:rsid w:val="003E1EB2"/>
    <w:rsid w:val="003E492C"/>
    <w:rsid w:val="003E710D"/>
    <w:rsid w:val="003E7A9C"/>
    <w:rsid w:val="003F328F"/>
    <w:rsid w:val="003F37C2"/>
    <w:rsid w:val="003F531A"/>
    <w:rsid w:val="003F7C9E"/>
    <w:rsid w:val="004025E8"/>
    <w:rsid w:val="00402768"/>
    <w:rsid w:val="00404C36"/>
    <w:rsid w:val="00406F38"/>
    <w:rsid w:val="004107CA"/>
    <w:rsid w:val="004111BC"/>
    <w:rsid w:val="004114CB"/>
    <w:rsid w:val="004125F4"/>
    <w:rsid w:val="004126D4"/>
    <w:rsid w:val="00414703"/>
    <w:rsid w:val="00415D2B"/>
    <w:rsid w:val="00416C0A"/>
    <w:rsid w:val="00421941"/>
    <w:rsid w:val="00424DE2"/>
    <w:rsid w:val="00432528"/>
    <w:rsid w:val="00432836"/>
    <w:rsid w:val="00436125"/>
    <w:rsid w:val="004373D1"/>
    <w:rsid w:val="0043778D"/>
    <w:rsid w:val="004454C2"/>
    <w:rsid w:val="00447347"/>
    <w:rsid w:val="00447F33"/>
    <w:rsid w:val="00450A27"/>
    <w:rsid w:val="00451EC2"/>
    <w:rsid w:val="00463357"/>
    <w:rsid w:val="00463A04"/>
    <w:rsid w:val="00465255"/>
    <w:rsid w:val="00466F71"/>
    <w:rsid w:val="00473718"/>
    <w:rsid w:val="00473869"/>
    <w:rsid w:val="0047410E"/>
    <w:rsid w:val="0048054A"/>
    <w:rsid w:val="004818E8"/>
    <w:rsid w:val="00482F67"/>
    <w:rsid w:val="00483006"/>
    <w:rsid w:val="00484915"/>
    <w:rsid w:val="00485961"/>
    <w:rsid w:val="00487387"/>
    <w:rsid w:val="00487740"/>
    <w:rsid w:val="00490E50"/>
    <w:rsid w:val="004919FD"/>
    <w:rsid w:val="004A06FC"/>
    <w:rsid w:val="004A132C"/>
    <w:rsid w:val="004B26D9"/>
    <w:rsid w:val="004B2C5E"/>
    <w:rsid w:val="004B774B"/>
    <w:rsid w:val="004C4629"/>
    <w:rsid w:val="004C4B71"/>
    <w:rsid w:val="004D087E"/>
    <w:rsid w:val="004D19DB"/>
    <w:rsid w:val="004D1E88"/>
    <w:rsid w:val="004D3CD7"/>
    <w:rsid w:val="004D58DE"/>
    <w:rsid w:val="004D63E2"/>
    <w:rsid w:val="004D645D"/>
    <w:rsid w:val="004E3F30"/>
    <w:rsid w:val="004E46F8"/>
    <w:rsid w:val="004E50C8"/>
    <w:rsid w:val="004E653E"/>
    <w:rsid w:val="004E65F5"/>
    <w:rsid w:val="004F2D77"/>
    <w:rsid w:val="004F3C00"/>
    <w:rsid w:val="004F3E28"/>
    <w:rsid w:val="004F621F"/>
    <w:rsid w:val="00502EAE"/>
    <w:rsid w:val="00503A1B"/>
    <w:rsid w:val="0050500F"/>
    <w:rsid w:val="00505279"/>
    <w:rsid w:val="005063E1"/>
    <w:rsid w:val="00507CC5"/>
    <w:rsid w:val="0051239B"/>
    <w:rsid w:val="00516BBB"/>
    <w:rsid w:val="00523E83"/>
    <w:rsid w:val="005248BB"/>
    <w:rsid w:val="005308A5"/>
    <w:rsid w:val="005314E9"/>
    <w:rsid w:val="00531723"/>
    <w:rsid w:val="0053275E"/>
    <w:rsid w:val="0053324F"/>
    <w:rsid w:val="005348BF"/>
    <w:rsid w:val="00541E10"/>
    <w:rsid w:val="00541EF9"/>
    <w:rsid w:val="005431CF"/>
    <w:rsid w:val="00543D0A"/>
    <w:rsid w:val="00544EFB"/>
    <w:rsid w:val="005454F3"/>
    <w:rsid w:val="005455E5"/>
    <w:rsid w:val="0054681B"/>
    <w:rsid w:val="0054779A"/>
    <w:rsid w:val="00547BA1"/>
    <w:rsid w:val="00556101"/>
    <w:rsid w:val="00556C8C"/>
    <w:rsid w:val="00557CB1"/>
    <w:rsid w:val="0056072C"/>
    <w:rsid w:val="0056091E"/>
    <w:rsid w:val="00561371"/>
    <w:rsid w:val="0056172D"/>
    <w:rsid w:val="005635F3"/>
    <w:rsid w:val="0056411C"/>
    <w:rsid w:val="00565B4C"/>
    <w:rsid w:val="005663FF"/>
    <w:rsid w:val="005677E5"/>
    <w:rsid w:val="00570D24"/>
    <w:rsid w:val="00571F64"/>
    <w:rsid w:val="00574C1A"/>
    <w:rsid w:val="00577E4E"/>
    <w:rsid w:val="00580EEB"/>
    <w:rsid w:val="00580FCF"/>
    <w:rsid w:val="00581177"/>
    <w:rsid w:val="00583673"/>
    <w:rsid w:val="00583D08"/>
    <w:rsid w:val="00587BE7"/>
    <w:rsid w:val="00587CBC"/>
    <w:rsid w:val="00595DF1"/>
    <w:rsid w:val="00596524"/>
    <w:rsid w:val="00597D35"/>
    <w:rsid w:val="005A4A36"/>
    <w:rsid w:val="005A6D6D"/>
    <w:rsid w:val="005A7264"/>
    <w:rsid w:val="005B1601"/>
    <w:rsid w:val="005B4CFC"/>
    <w:rsid w:val="005B58B0"/>
    <w:rsid w:val="005B6E0D"/>
    <w:rsid w:val="005C0298"/>
    <w:rsid w:val="005C0769"/>
    <w:rsid w:val="005C360A"/>
    <w:rsid w:val="005C7EE9"/>
    <w:rsid w:val="005D221C"/>
    <w:rsid w:val="005D2A43"/>
    <w:rsid w:val="005D6EA0"/>
    <w:rsid w:val="005E3188"/>
    <w:rsid w:val="005E76E2"/>
    <w:rsid w:val="005E7B36"/>
    <w:rsid w:val="005F02E6"/>
    <w:rsid w:val="005F0A3F"/>
    <w:rsid w:val="005F10F1"/>
    <w:rsid w:val="005F1911"/>
    <w:rsid w:val="005F2CBA"/>
    <w:rsid w:val="005F3216"/>
    <w:rsid w:val="005F4DFE"/>
    <w:rsid w:val="005F4EF9"/>
    <w:rsid w:val="006015AE"/>
    <w:rsid w:val="006017B1"/>
    <w:rsid w:val="0060685F"/>
    <w:rsid w:val="00607066"/>
    <w:rsid w:val="00607197"/>
    <w:rsid w:val="00607A16"/>
    <w:rsid w:val="006109F8"/>
    <w:rsid w:val="006147EA"/>
    <w:rsid w:val="00623075"/>
    <w:rsid w:val="00623910"/>
    <w:rsid w:val="00624A27"/>
    <w:rsid w:val="00624D74"/>
    <w:rsid w:val="0062716D"/>
    <w:rsid w:val="00627AF2"/>
    <w:rsid w:val="00632F94"/>
    <w:rsid w:val="0063632F"/>
    <w:rsid w:val="00640E38"/>
    <w:rsid w:val="00650C56"/>
    <w:rsid w:val="00652858"/>
    <w:rsid w:val="006558DC"/>
    <w:rsid w:val="00656B27"/>
    <w:rsid w:val="00657F8B"/>
    <w:rsid w:val="00660401"/>
    <w:rsid w:val="006618FC"/>
    <w:rsid w:val="00663D00"/>
    <w:rsid w:val="00663E86"/>
    <w:rsid w:val="00664554"/>
    <w:rsid w:val="00671B7E"/>
    <w:rsid w:val="00672D30"/>
    <w:rsid w:val="006767BC"/>
    <w:rsid w:val="00681D75"/>
    <w:rsid w:val="0068242E"/>
    <w:rsid w:val="00684BAF"/>
    <w:rsid w:val="00696EBB"/>
    <w:rsid w:val="006A1F10"/>
    <w:rsid w:val="006A4D4E"/>
    <w:rsid w:val="006B630A"/>
    <w:rsid w:val="006B7C24"/>
    <w:rsid w:val="006C1577"/>
    <w:rsid w:val="006C1A37"/>
    <w:rsid w:val="006C5ACD"/>
    <w:rsid w:val="006C6300"/>
    <w:rsid w:val="006D1544"/>
    <w:rsid w:val="006D36B7"/>
    <w:rsid w:val="006D3A49"/>
    <w:rsid w:val="006D686D"/>
    <w:rsid w:val="006E16F1"/>
    <w:rsid w:val="006E359B"/>
    <w:rsid w:val="006E75BF"/>
    <w:rsid w:val="006F09B5"/>
    <w:rsid w:val="006F1349"/>
    <w:rsid w:val="006F1BF2"/>
    <w:rsid w:val="006F201F"/>
    <w:rsid w:val="006F2C03"/>
    <w:rsid w:val="006F48B3"/>
    <w:rsid w:val="006F48B8"/>
    <w:rsid w:val="006F4ACE"/>
    <w:rsid w:val="006F553C"/>
    <w:rsid w:val="006F5924"/>
    <w:rsid w:val="006F6258"/>
    <w:rsid w:val="006F65E1"/>
    <w:rsid w:val="006F7F8E"/>
    <w:rsid w:val="00701552"/>
    <w:rsid w:val="00704FDE"/>
    <w:rsid w:val="00705448"/>
    <w:rsid w:val="00706EAB"/>
    <w:rsid w:val="007122EC"/>
    <w:rsid w:val="00714504"/>
    <w:rsid w:val="0071742A"/>
    <w:rsid w:val="00730E8F"/>
    <w:rsid w:val="00731D48"/>
    <w:rsid w:val="00733D9F"/>
    <w:rsid w:val="00734484"/>
    <w:rsid w:val="00742076"/>
    <w:rsid w:val="00745136"/>
    <w:rsid w:val="00745A15"/>
    <w:rsid w:val="00745DD2"/>
    <w:rsid w:val="00751354"/>
    <w:rsid w:val="007534F9"/>
    <w:rsid w:val="00756909"/>
    <w:rsid w:val="00760D10"/>
    <w:rsid w:val="00762108"/>
    <w:rsid w:val="00770E38"/>
    <w:rsid w:val="007751DE"/>
    <w:rsid w:val="00776AF1"/>
    <w:rsid w:val="0078133D"/>
    <w:rsid w:val="00781E34"/>
    <w:rsid w:val="00785785"/>
    <w:rsid w:val="00791DED"/>
    <w:rsid w:val="00792AA8"/>
    <w:rsid w:val="00793AAE"/>
    <w:rsid w:val="00794972"/>
    <w:rsid w:val="00796EE7"/>
    <w:rsid w:val="00797022"/>
    <w:rsid w:val="007A3ABE"/>
    <w:rsid w:val="007A4CB0"/>
    <w:rsid w:val="007A5B52"/>
    <w:rsid w:val="007A60F8"/>
    <w:rsid w:val="007A62C3"/>
    <w:rsid w:val="007B341B"/>
    <w:rsid w:val="007B4102"/>
    <w:rsid w:val="007B651A"/>
    <w:rsid w:val="007B6648"/>
    <w:rsid w:val="007B6669"/>
    <w:rsid w:val="007B73A7"/>
    <w:rsid w:val="007C23AC"/>
    <w:rsid w:val="007C311B"/>
    <w:rsid w:val="007C462E"/>
    <w:rsid w:val="007C506B"/>
    <w:rsid w:val="007D0986"/>
    <w:rsid w:val="007D59A7"/>
    <w:rsid w:val="007D698B"/>
    <w:rsid w:val="007D7BB6"/>
    <w:rsid w:val="007E5D35"/>
    <w:rsid w:val="007F52A6"/>
    <w:rsid w:val="007F5789"/>
    <w:rsid w:val="007F68DA"/>
    <w:rsid w:val="008004E7"/>
    <w:rsid w:val="0080276C"/>
    <w:rsid w:val="00804F57"/>
    <w:rsid w:val="008060C8"/>
    <w:rsid w:val="00810F5C"/>
    <w:rsid w:val="008116EB"/>
    <w:rsid w:val="00812723"/>
    <w:rsid w:val="00814A6A"/>
    <w:rsid w:val="00814ED4"/>
    <w:rsid w:val="008152E3"/>
    <w:rsid w:val="0081557C"/>
    <w:rsid w:val="008159B1"/>
    <w:rsid w:val="00820282"/>
    <w:rsid w:val="00820651"/>
    <w:rsid w:val="0082117F"/>
    <w:rsid w:val="0082619C"/>
    <w:rsid w:val="00831A0D"/>
    <w:rsid w:val="00836AD2"/>
    <w:rsid w:val="008375CC"/>
    <w:rsid w:val="008415CC"/>
    <w:rsid w:val="00842862"/>
    <w:rsid w:val="00844A64"/>
    <w:rsid w:val="00845199"/>
    <w:rsid w:val="00847DFE"/>
    <w:rsid w:val="00851111"/>
    <w:rsid w:val="008525CF"/>
    <w:rsid w:val="008542CC"/>
    <w:rsid w:val="00860973"/>
    <w:rsid w:val="00860B77"/>
    <w:rsid w:val="0086183E"/>
    <w:rsid w:val="008648B5"/>
    <w:rsid w:val="00865A78"/>
    <w:rsid w:val="0086641A"/>
    <w:rsid w:val="00867F68"/>
    <w:rsid w:val="008737D3"/>
    <w:rsid w:val="00873E0E"/>
    <w:rsid w:val="00877CBF"/>
    <w:rsid w:val="00882D53"/>
    <w:rsid w:val="00883437"/>
    <w:rsid w:val="008834C5"/>
    <w:rsid w:val="00883C24"/>
    <w:rsid w:val="008853F8"/>
    <w:rsid w:val="008953BD"/>
    <w:rsid w:val="008A4628"/>
    <w:rsid w:val="008B47CB"/>
    <w:rsid w:val="008B6A6C"/>
    <w:rsid w:val="008C15BB"/>
    <w:rsid w:val="008C28E5"/>
    <w:rsid w:val="008C4E5F"/>
    <w:rsid w:val="008C6886"/>
    <w:rsid w:val="008C6C82"/>
    <w:rsid w:val="008D15F7"/>
    <w:rsid w:val="008D1FDE"/>
    <w:rsid w:val="008D351D"/>
    <w:rsid w:val="008E1C45"/>
    <w:rsid w:val="008E242E"/>
    <w:rsid w:val="008E647B"/>
    <w:rsid w:val="008E7710"/>
    <w:rsid w:val="008E7B61"/>
    <w:rsid w:val="008F3AE2"/>
    <w:rsid w:val="008F6221"/>
    <w:rsid w:val="008F722B"/>
    <w:rsid w:val="008F777B"/>
    <w:rsid w:val="008F7CCE"/>
    <w:rsid w:val="009064E2"/>
    <w:rsid w:val="009077C7"/>
    <w:rsid w:val="0091220E"/>
    <w:rsid w:val="0091465A"/>
    <w:rsid w:val="00920216"/>
    <w:rsid w:val="00920463"/>
    <w:rsid w:val="009231E5"/>
    <w:rsid w:val="009238C7"/>
    <w:rsid w:val="00923D68"/>
    <w:rsid w:val="009245CA"/>
    <w:rsid w:val="00926E4D"/>
    <w:rsid w:val="0093352D"/>
    <w:rsid w:val="009376FF"/>
    <w:rsid w:val="00940185"/>
    <w:rsid w:val="00940BCD"/>
    <w:rsid w:val="00941279"/>
    <w:rsid w:val="009462D5"/>
    <w:rsid w:val="00953EB6"/>
    <w:rsid w:val="0095456C"/>
    <w:rsid w:val="009547B3"/>
    <w:rsid w:val="00956905"/>
    <w:rsid w:val="009614C6"/>
    <w:rsid w:val="00962BFB"/>
    <w:rsid w:val="00962E1C"/>
    <w:rsid w:val="0096349D"/>
    <w:rsid w:val="00964954"/>
    <w:rsid w:val="00966DEC"/>
    <w:rsid w:val="00972F53"/>
    <w:rsid w:val="0097673B"/>
    <w:rsid w:val="00977BE8"/>
    <w:rsid w:val="00981BF6"/>
    <w:rsid w:val="00987C7D"/>
    <w:rsid w:val="00990380"/>
    <w:rsid w:val="0099102F"/>
    <w:rsid w:val="009921DB"/>
    <w:rsid w:val="009940EF"/>
    <w:rsid w:val="00994A8D"/>
    <w:rsid w:val="00994D06"/>
    <w:rsid w:val="00997CF0"/>
    <w:rsid w:val="009A0BBC"/>
    <w:rsid w:val="009A5AFD"/>
    <w:rsid w:val="009A6EFD"/>
    <w:rsid w:val="009B39DC"/>
    <w:rsid w:val="009B61E7"/>
    <w:rsid w:val="009C0087"/>
    <w:rsid w:val="009C6E72"/>
    <w:rsid w:val="009D3C3F"/>
    <w:rsid w:val="009D4D67"/>
    <w:rsid w:val="009D635B"/>
    <w:rsid w:val="009D66DC"/>
    <w:rsid w:val="009D7F6F"/>
    <w:rsid w:val="009E0393"/>
    <w:rsid w:val="009E07D3"/>
    <w:rsid w:val="009F06F2"/>
    <w:rsid w:val="009F635E"/>
    <w:rsid w:val="00A02C5D"/>
    <w:rsid w:val="00A140D3"/>
    <w:rsid w:val="00A143F4"/>
    <w:rsid w:val="00A1446B"/>
    <w:rsid w:val="00A167F2"/>
    <w:rsid w:val="00A17EFE"/>
    <w:rsid w:val="00A20C78"/>
    <w:rsid w:val="00A2312E"/>
    <w:rsid w:val="00A24323"/>
    <w:rsid w:val="00A2512C"/>
    <w:rsid w:val="00A2515B"/>
    <w:rsid w:val="00A2588E"/>
    <w:rsid w:val="00A26EDF"/>
    <w:rsid w:val="00A34789"/>
    <w:rsid w:val="00A3630E"/>
    <w:rsid w:val="00A37BB8"/>
    <w:rsid w:val="00A37D74"/>
    <w:rsid w:val="00A41FF8"/>
    <w:rsid w:val="00A42D87"/>
    <w:rsid w:val="00A44BD3"/>
    <w:rsid w:val="00A4521D"/>
    <w:rsid w:val="00A46D6F"/>
    <w:rsid w:val="00A51F0A"/>
    <w:rsid w:val="00A54EF2"/>
    <w:rsid w:val="00A55D48"/>
    <w:rsid w:val="00A57BEB"/>
    <w:rsid w:val="00A61673"/>
    <w:rsid w:val="00A64926"/>
    <w:rsid w:val="00A665CF"/>
    <w:rsid w:val="00A67CA7"/>
    <w:rsid w:val="00A72084"/>
    <w:rsid w:val="00A73989"/>
    <w:rsid w:val="00A7752F"/>
    <w:rsid w:val="00A81374"/>
    <w:rsid w:val="00A85C35"/>
    <w:rsid w:val="00A92061"/>
    <w:rsid w:val="00A94249"/>
    <w:rsid w:val="00A94BC9"/>
    <w:rsid w:val="00A959BC"/>
    <w:rsid w:val="00AA2562"/>
    <w:rsid w:val="00AA3C60"/>
    <w:rsid w:val="00AB2FF4"/>
    <w:rsid w:val="00AB5F9C"/>
    <w:rsid w:val="00AC1AD6"/>
    <w:rsid w:val="00AD64DF"/>
    <w:rsid w:val="00AE1025"/>
    <w:rsid w:val="00AE3F03"/>
    <w:rsid w:val="00AE64F0"/>
    <w:rsid w:val="00AF23C8"/>
    <w:rsid w:val="00AF2AE2"/>
    <w:rsid w:val="00AF2DDC"/>
    <w:rsid w:val="00B0377E"/>
    <w:rsid w:val="00B052E6"/>
    <w:rsid w:val="00B07BA9"/>
    <w:rsid w:val="00B10055"/>
    <w:rsid w:val="00B1141E"/>
    <w:rsid w:val="00B1278B"/>
    <w:rsid w:val="00B17295"/>
    <w:rsid w:val="00B215F5"/>
    <w:rsid w:val="00B26B62"/>
    <w:rsid w:val="00B27A54"/>
    <w:rsid w:val="00B30783"/>
    <w:rsid w:val="00B41F0F"/>
    <w:rsid w:val="00B42560"/>
    <w:rsid w:val="00B455AA"/>
    <w:rsid w:val="00B45778"/>
    <w:rsid w:val="00B457A1"/>
    <w:rsid w:val="00B4630F"/>
    <w:rsid w:val="00B464B1"/>
    <w:rsid w:val="00B47A4A"/>
    <w:rsid w:val="00B47B99"/>
    <w:rsid w:val="00B506F2"/>
    <w:rsid w:val="00B510E3"/>
    <w:rsid w:val="00B521AC"/>
    <w:rsid w:val="00B52702"/>
    <w:rsid w:val="00B5498D"/>
    <w:rsid w:val="00B5501D"/>
    <w:rsid w:val="00B6151E"/>
    <w:rsid w:val="00B64962"/>
    <w:rsid w:val="00B676EC"/>
    <w:rsid w:val="00B7016C"/>
    <w:rsid w:val="00B7039B"/>
    <w:rsid w:val="00B74D1E"/>
    <w:rsid w:val="00B76A18"/>
    <w:rsid w:val="00B84C6C"/>
    <w:rsid w:val="00B92687"/>
    <w:rsid w:val="00B94248"/>
    <w:rsid w:val="00B942A1"/>
    <w:rsid w:val="00B94B4F"/>
    <w:rsid w:val="00B976F6"/>
    <w:rsid w:val="00BA5F41"/>
    <w:rsid w:val="00BA7385"/>
    <w:rsid w:val="00BB187C"/>
    <w:rsid w:val="00BB296B"/>
    <w:rsid w:val="00BB2A9C"/>
    <w:rsid w:val="00BB3622"/>
    <w:rsid w:val="00BB682C"/>
    <w:rsid w:val="00BB7CA9"/>
    <w:rsid w:val="00BC236B"/>
    <w:rsid w:val="00BC2BB4"/>
    <w:rsid w:val="00BC4419"/>
    <w:rsid w:val="00BC65D9"/>
    <w:rsid w:val="00BC7C52"/>
    <w:rsid w:val="00BD0CF6"/>
    <w:rsid w:val="00BD1471"/>
    <w:rsid w:val="00BD14C5"/>
    <w:rsid w:val="00BD196A"/>
    <w:rsid w:val="00BD2081"/>
    <w:rsid w:val="00BD2311"/>
    <w:rsid w:val="00BD6262"/>
    <w:rsid w:val="00BD7EED"/>
    <w:rsid w:val="00BE1FFA"/>
    <w:rsid w:val="00BE4C48"/>
    <w:rsid w:val="00BE61C1"/>
    <w:rsid w:val="00BE64AF"/>
    <w:rsid w:val="00BE6717"/>
    <w:rsid w:val="00BF0381"/>
    <w:rsid w:val="00BF446E"/>
    <w:rsid w:val="00BF6E7B"/>
    <w:rsid w:val="00C01021"/>
    <w:rsid w:val="00C0141F"/>
    <w:rsid w:val="00C048AF"/>
    <w:rsid w:val="00C077E0"/>
    <w:rsid w:val="00C07DE6"/>
    <w:rsid w:val="00C154B5"/>
    <w:rsid w:val="00C17872"/>
    <w:rsid w:val="00C205E9"/>
    <w:rsid w:val="00C212FC"/>
    <w:rsid w:val="00C23F48"/>
    <w:rsid w:val="00C262BD"/>
    <w:rsid w:val="00C30E04"/>
    <w:rsid w:val="00C310C2"/>
    <w:rsid w:val="00C36525"/>
    <w:rsid w:val="00C40EB3"/>
    <w:rsid w:val="00C41A2A"/>
    <w:rsid w:val="00C41BD9"/>
    <w:rsid w:val="00C434FD"/>
    <w:rsid w:val="00C4350E"/>
    <w:rsid w:val="00C46891"/>
    <w:rsid w:val="00C47AC7"/>
    <w:rsid w:val="00C5192E"/>
    <w:rsid w:val="00C52DE6"/>
    <w:rsid w:val="00C55223"/>
    <w:rsid w:val="00C56D72"/>
    <w:rsid w:val="00C6016B"/>
    <w:rsid w:val="00C634A7"/>
    <w:rsid w:val="00C638D7"/>
    <w:rsid w:val="00C638DF"/>
    <w:rsid w:val="00C64720"/>
    <w:rsid w:val="00C6517F"/>
    <w:rsid w:val="00C67BA6"/>
    <w:rsid w:val="00C70DA3"/>
    <w:rsid w:val="00C71920"/>
    <w:rsid w:val="00C72A63"/>
    <w:rsid w:val="00C73ECB"/>
    <w:rsid w:val="00C77A70"/>
    <w:rsid w:val="00C80AE4"/>
    <w:rsid w:val="00C8321C"/>
    <w:rsid w:val="00C857F1"/>
    <w:rsid w:val="00C869F8"/>
    <w:rsid w:val="00C871C4"/>
    <w:rsid w:val="00C97301"/>
    <w:rsid w:val="00CA1130"/>
    <w:rsid w:val="00CA415F"/>
    <w:rsid w:val="00CA529D"/>
    <w:rsid w:val="00CA5EA7"/>
    <w:rsid w:val="00CB026C"/>
    <w:rsid w:val="00CB2C14"/>
    <w:rsid w:val="00CB5A49"/>
    <w:rsid w:val="00CB5C15"/>
    <w:rsid w:val="00CB678B"/>
    <w:rsid w:val="00CC1228"/>
    <w:rsid w:val="00CC1A21"/>
    <w:rsid w:val="00CC66DE"/>
    <w:rsid w:val="00CC7C0C"/>
    <w:rsid w:val="00CD054E"/>
    <w:rsid w:val="00CD5694"/>
    <w:rsid w:val="00CD56B8"/>
    <w:rsid w:val="00CD75E3"/>
    <w:rsid w:val="00CE2627"/>
    <w:rsid w:val="00CE2EB2"/>
    <w:rsid w:val="00CE525D"/>
    <w:rsid w:val="00CE5C99"/>
    <w:rsid w:val="00CF23EE"/>
    <w:rsid w:val="00CF41D3"/>
    <w:rsid w:val="00D03F6D"/>
    <w:rsid w:val="00D11357"/>
    <w:rsid w:val="00D126F7"/>
    <w:rsid w:val="00D129F5"/>
    <w:rsid w:val="00D12ED9"/>
    <w:rsid w:val="00D141DD"/>
    <w:rsid w:val="00D1494A"/>
    <w:rsid w:val="00D21887"/>
    <w:rsid w:val="00D266DE"/>
    <w:rsid w:val="00D31689"/>
    <w:rsid w:val="00D325D3"/>
    <w:rsid w:val="00D355E8"/>
    <w:rsid w:val="00D43DD6"/>
    <w:rsid w:val="00D454EC"/>
    <w:rsid w:val="00D51C2C"/>
    <w:rsid w:val="00D55A36"/>
    <w:rsid w:val="00D5689A"/>
    <w:rsid w:val="00D57072"/>
    <w:rsid w:val="00D61249"/>
    <w:rsid w:val="00D61AE5"/>
    <w:rsid w:val="00D63558"/>
    <w:rsid w:val="00D64636"/>
    <w:rsid w:val="00D668E4"/>
    <w:rsid w:val="00D67466"/>
    <w:rsid w:val="00D7047B"/>
    <w:rsid w:val="00D70735"/>
    <w:rsid w:val="00D729A9"/>
    <w:rsid w:val="00D741F4"/>
    <w:rsid w:val="00D74FEC"/>
    <w:rsid w:val="00D75505"/>
    <w:rsid w:val="00D76695"/>
    <w:rsid w:val="00D77DAB"/>
    <w:rsid w:val="00D80998"/>
    <w:rsid w:val="00D8228F"/>
    <w:rsid w:val="00D83CB1"/>
    <w:rsid w:val="00D862DA"/>
    <w:rsid w:val="00D8640C"/>
    <w:rsid w:val="00D86456"/>
    <w:rsid w:val="00D870BD"/>
    <w:rsid w:val="00D90ED8"/>
    <w:rsid w:val="00D936C9"/>
    <w:rsid w:val="00DA3D7B"/>
    <w:rsid w:val="00DA6721"/>
    <w:rsid w:val="00DA7189"/>
    <w:rsid w:val="00DA7370"/>
    <w:rsid w:val="00DB1190"/>
    <w:rsid w:val="00DB4594"/>
    <w:rsid w:val="00DB48E9"/>
    <w:rsid w:val="00DB4AA3"/>
    <w:rsid w:val="00DB68FF"/>
    <w:rsid w:val="00DB7230"/>
    <w:rsid w:val="00DC06BC"/>
    <w:rsid w:val="00DC32BA"/>
    <w:rsid w:val="00DC5FD8"/>
    <w:rsid w:val="00DD0123"/>
    <w:rsid w:val="00DD6518"/>
    <w:rsid w:val="00DD6537"/>
    <w:rsid w:val="00DD6667"/>
    <w:rsid w:val="00DD66ED"/>
    <w:rsid w:val="00DD74A2"/>
    <w:rsid w:val="00DD79B2"/>
    <w:rsid w:val="00DE383B"/>
    <w:rsid w:val="00DE49BE"/>
    <w:rsid w:val="00DE539D"/>
    <w:rsid w:val="00DE6576"/>
    <w:rsid w:val="00DF4614"/>
    <w:rsid w:val="00DF6D10"/>
    <w:rsid w:val="00DF7B25"/>
    <w:rsid w:val="00E00B67"/>
    <w:rsid w:val="00E04840"/>
    <w:rsid w:val="00E135A1"/>
    <w:rsid w:val="00E1496E"/>
    <w:rsid w:val="00E16EF1"/>
    <w:rsid w:val="00E177A0"/>
    <w:rsid w:val="00E17F63"/>
    <w:rsid w:val="00E368C3"/>
    <w:rsid w:val="00E3764A"/>
    <w:rsid w:val="00E43C06"/>
    <w:rsid w:val="00E449B1"/>
    <w:rsid w:val="00E47B31"/>
    <w:rsid w:val="00E501F7"/>
    <w:rsid w:val="00E5082D"/>
    <w:rsid w:val="00E5221D"/>
    <w:rsid w:val="00E574A9"/>
    <w:rsid w:val="00E61355"/>
    <w:rsid w:val="00E613BC"/>
    <w:rsid w:val="00E61F1E"/>
    <w:rsid w:val="00E66861"/>
    <w:rsid w:val="00E66E21"/>
    <w:rsid w:val="00E67063"/>
    <w:rsid w:val="00E70F38"/>
    <w:rsid w:val="00E710FC"/>
    <w:rsid w:val="00E71915"/>
    <w:rsid w:val="00E80916"/>
    <w:rsid w:val="00E840DF"/>
    <w:rsid w:val="00E8452A"/>
    <w:rsid w:val="00E8560F"/>
    <w:rsid w:val="00E8780A"/>
    <w:rsid w:val="00E957FC"/>
    <w:rsid w:val="00EA0289"/>
    <w:rsid w:val="00EB11D1"/>
    <w:rsid w:val="00EB181B"/>
    <w:rsid w:val="00EB1CA4"/>
    <w:rsid w:val="00EB2DEA"/>
    <w:rsid w:val="00EC341C"/>
    <w:rsid w:val="00ED1657"/>
    <w:rsid w:val="00ED5637"/>
    <w:rsid w:val="00ED6618"/>
    <w:rsid w:val="00EE71C9"/>
    <w:rsid w:val="00EF352D"/>
    <w:rsid w:val="00EF4AEE"/>
    <w:rsid w:val="00EF6E41"/>
    <w:rsid w:val="00F03BF4"/>
    <w:rsid w:val="00F03F3B"/>
    <w:rsid w:val="00F07468"/>
    <w:rsid w:val="00F11DDC"/>
    <w:rsid w:val="00F1302B"/>
    <w:rsid w:val="00F13F76"/>
    <w:rsid w:val="00F153C1"/>
    <w:rsid w:val="00F2176B"/>
    <w:rsid w:val="00F217E8"/>
    <w:rsid w:val="00F22D82"/>
    <w:rsid w:val="00F22FE8"/>
    <w:rsid w:val="00F23A8E"/>
    <w:rsid w:val="00F26D40"/>
    <w:rsid w:val="00F340B6"/>
    <w:rsid w:val="00F361B7"/>
    <w:rsid w:val="00F40BAE"/>
    <w:rsid w:val="00F52F93"/>
    <w:rsid w:val="00F531ED"/>
    <w:rsid w:val="00F54608"/>
    <w:rsid w:val="00F552F2"/>
    <w:rsid w:val="00F55E52"/>
    <w:rsid w:val="00F57EF0"/>
    <w:rsid w:val="00F627E2"/>
    <w:rsid w:val="00F66DFC"/>
    <w:rsid w:val="00F71520"/>
    <w:rsid w:val="00F7590F"/>
    <w:rsid w:val="00F75FE2"/>
    <w:rsid w:val="00F772CC"/>
    <w:rsid w:val="00F8569E"/>
    <w:rsid w:val="00F85A14"/>
    <w:rsid w:val="00F90EB0"/>
    <w:rsid w:val="00F913C6"/>
    <w:rsid w:val="00F94864"/>
    <w:rsid w:val="00F95BDD"/>
    <w:rsid w:val="00FA02EE"/>
    <w:rsid w:val="00FA33A6"/>
    <w:rsid w:val="00FA7B80"/>
    <w:rsid w:val="00FB0B18"/>
    <w:rsid w:val="00FB18EA"/>
    <w:rsid w:val="00FB2ACA"/>
    <w:rsid w:val="00FB673E"/>
    <w:rsid w:val="00FB752B"/>
    <w:rsid w:val="00FB753B"/>
    <w:rsid w:val="00FC3D57"/>
    <w:rsid w:val="00FC3EB4"/>
    <w:rsid w:val="00FC51B8"/>
    <w:rsid w:val="00FC5FD1"/>
    <w:rsid w:val="00FC6C2D"/>
    <w:rsid w:val="00FD16AB"/>
    <w:rsid w:val="00FD2E3A"/>
    <w:rsid w:val="00FD38DC"/>
    <w:rsid w:val="00FD546C"/>
    <w:rsid w:val="00FD6457"/>
    <w:rsid w:val="00FD755E"/>
    <w:rsid w:val="00FD7CD3"/>
    <w:rsid w:val="00FE410C"/>
    <w:rsid w:val="00FE44C5"/>
    <w:rsid w:val="00FF1021"/>
    <w:rsid w:val="00FF141F"/>
    <w:rsid w:val="00FF406D"/>
    <w:rsid w:val="00FF5C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2A5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uiPriority="9"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5"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6F1BF2"/>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qFormat/>
    <w:locked/>
    <w:rsid w:val="006F1BF2"/>
    <w:pPr>
      <w:keepNext/>
      <w:numPr>
        <w:numId w:val="5"/>
      </w:numPr>
      <w:ind w:right="1296"/>
      <w:outlineLvl w:val="0"/>
    </w:pPr>
    <w:rPr>
      <w:u w:val="single"/>
    </w:rPr>
  </w:style>
  <w:style w:type="paragraph" w:styleId="Heading2">
    <w:name w:val="heading 2"/>
    <w:basedOn w:val="Normal"/>
    <w:next w:val="Normal"/>
    <w:uiPriority w:val="99"/>
    <w:qFormat/>
    <w:locked/>
    <w:rsid w:val="006F1BF2"/>
    <w:pPr>
      <w:keepNext/>
      <w:numPr>
        <w:ilvl w:val="1"/>
        <w:numId w:val="5"/>
      </w:numPr>
      <w:spacing w:before="240" w:after="60"/>
      <w:outlineLvl w:val="1"/>
    </w:pPr>
    <w:rPr>
      <w:rFonts w:ascii="Arial" w:hAnsi="Arial"/>
      <w:b/>
      <w:i/>
      <w:sz w:val="24"/>
    </w:rPr>
  </w:style>
  <w:style w:type="paragraph" w:styleId="Heading3">
    <w:name w:val="heading 3"/>
    <w:basedOn w:val="Normal"/>
    <w:next w:val="Normal"/>
    <w:uiPriority w:val="99"/>
    <w:semiHidden/>
    <w:qFormat/>
    <w:locked/>
    <w:rsid w:val="006F1BF2"/>
    <w:pPr>
      <w:keepNext/>
      <w:numPr>
        <w:ilvl w:val="2"/>
        <w:numId w:val="5"/>
      </w:numPr>
      <w:spacing w:before="240" w:after="60"/>
      <w:outlineLvl w:val="2"/>
    </w:pPr>
    <w:rPr>
      <w:rFonts w:ascii="Arial" w:hAnsi="Arial"/>
      <w:sz w:val="24"/>
    </w:rPr>
  </w:style>
  <w:style w:type="character" w:default="1" w:styleId="DefaultParagraphFont">
    <w:name w:val="Default Paragraph Font"/>
    <w:uiPriority w:val="1"/>
    <w:semiHidden/>
    <w:unhideWhenUsed/>
    <w:rsid w:val="006F1BF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F1BF2"/>
  </w:style>
  <w:style w:type="paragraph" w:styleId="Footer">
    <w:name w:val="footer"/>
    <w:basedOn w:val="Normal"/>
    <w:link w:val="FooterChar"/>
    <w:uiPriority w:val="43"/>
    <w:locked/>
    <w:rsid w:val="006F1BF2"/>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6F1BF2"/>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6F1BF2"/>
    <w:pPr>
      <w:spacing w:before="240" w:line="240" w:lineRule="exact"/>
      <w:ind w:left="720" w:right="794" w:firstLine="0"/>
    </w:pPr>
  </w:style>
  <w:style w:type="paragraph" w:styleId="FootnoteText">
    <w:name w:val="footnote text"/>
    <w:basedOn w:val="Normal"/>
    <w:link w:val="FootnoteTextChar"/>
    <w:uiPriority w:val="53"/>
    <w:locked/>
    <w:rsid w:val="006F1BF2"/>
    <w:pPr>
      <w:spacing w:after="240" w:line="240" w:lineRule="exact"/>
      <w:ind w:left="510" w:hanging="510"/>
    </w:pPr>
  </w:style>
  <w:style w:type="character" w:styleId="FootnoteReference">
    <w:name w:val="footnote reference"/>
    <w:uiPriority w:val="51"/>
    <w:locked/>
    <w:rsid w:val="006F1BF2"/>
    <w:rPr>
      <w:b/>
      <w:sz w:val="28"/>
      <w:vertAlign w:val="superscript"/>
    </w:rPr>
  </w:style>
  <w:style w:type="paragraph" w:customStyle="1" w:styleId="FootIndAgain">
    <w:name w:val="FootIndAgain"/>
    <w:basedOn w:val="FootnoteText"/>
    <w:uiPriority w:val="47"/>
    <w:qFormat/>
    <w:locked/>
    <w:rsid w:val="006F1BF2"/>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6F1BF2"/>
    <w:pPr>
      <w:ind w:firstLine="0"/>
    </w:pPr>
  </w:style>
  <w:style w:type="character" w:customStyle="1" w:styleId="Heading1Char">
    <w:name w:val="Heading 1 Char"/>
    <w:uiPriority w:val="99"/>
    <w:locked/>
    <w:rsid w:val="006F1BF2"/>
    <w:rPr>
      <w:rFonts w:ascii="Univers" w:hAnsi="Univers"/>
      <w:sz w:val="26"/>
      <w:u w:val="single"/>
      <w:lang w:val="en-AU"/>
    </w:rPr>
  </w:style>
  <w:style w:type="character" w:customStyle="1" w:styleId="Heading2Char">
    <w:name w:val="Heading 2 Char"/>
    <w:uiPriority w:val="99"/>
    <w:semiHidden/>
    <w:locked/>
    <w:rsid w:val="006F1BF2"/>
    <w:rPr>
      <w:rFonts w:ascii="Arial" w:hAnsi="Arial"/>
      <w:b/>
      <w:i/>
      <w:sz w:val="24"/>
      <w:lang w:val="en-AU"/>
    </w:rPr>
  </w:style>
  <w:style w:type="character" w:customStyle="1" w:styleId="Heading3Char">
    <w:name w:val="Heading 3 Char"/>
    <w:uiPriority w:val="99"/>
    <w:semiHidden/>
    <w:locked/>
    <w:rsid w:val="006F1BF2"/>
    <w:rPr>
      <w:rFonts w:ascii="Arial" w:hAnsi="Arial"/>
      <w:sz w:val="24"/>
      <w:lang w:val="en-AU"/>
    </w:rPr>
  </w:style>
  <w:style w:type="paragraph" w:customStyle="1" w:styleId="NormalHC">
    <w:name w:val="Normal HC"/>
    <w:basedOn w:val="Normal"/>
    <w:uiPriority w:val="27"/>
    <w:qFormat/>
    <w:locked/>
    <w:rsid w:val="006F1BF2"/>
    <w:pPr>
      <w:numPr>
        <w:numId w:val="16"/>
      </w:numPr>
      <w:spacing w:after="480"/>
      <w:ind w:left="0" w:hanging="720"/>
    </w:pPr>
  </w:style>
  <w:style w:type="paragraph" w:customStyle="1" w:styleId="HeadingFirst">
    <w:name w:val="Heading First"/>
    <w:basedOn w:val="NormalHC"/>
    <w:next w:val="HeadingV"/>
    <w:uiPriority w:val="15"/>
    <w:qFormat/>
    <w:locked/>
    <w:rsid w:val="006F1BF2"/>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6F1BF2"/>
    <w:pPr>
      <w:keepNext/>
      <w:numPr>
        <w:numId w:val="0"/>
      </w:numPr>
      <w:outlineLvl w:val="2"/>
    </w:pPr>
    <w:rPr>
      <w:b/>
      <w:szCs w:val="20"/>
    </w:rPr>
  </w:style>
  <w:style w:type="paragraph" w:customStyle="1" w:styleId="HeadingL2">
    <w:name w:val="Heading L2"/>
    <w:basedOn w:val="HeadingL1"/>
    <w:next w:val="NormalHC"/>
    <w:uiPriority w:val="23"/>
    <w:qFormat/>
    <w:locked/>
    <w:rsid w:val="006F1BF2"/>
    <w:pPr>
      <w:outlineLvl w:val="3"/>
    </w:pPr>
    <w:rPr>
      <w:b w:val="0"/>
      <w:i/>
    </w:rPr>
  </w:style>
  <w:style w:type="paragraph" w:customStyle="1" w:styleId="HeadingMatter">
    <w:name w:val="Heading Matter"/>
    <w:basedOn w:val="NormalHC"/>
    <w:next w:val="HeadingFirst"/>
    <w:uiPriority w:val="13"/>
    <w:qFormat/>
    <w:locked/>
    <w:rsid w:val="006F1BF2"/>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6F1BF2"/>
    <w:pPr>
      <w:keepNext w:val="0"/>
    </w:pPr>
  </w:style>
  <w:style w:type="paragraph" w:customStyle="1" w:styleId="HeadingV">
    <w:name w:val="Heading V"/>
    <w:basedOn w:val="HeadingFirst"/>
    <w:next w:val="HeadingSecond"/>
    <w:uiPriority w:val="17"/>
    <w:qFormat/>
    <w:locked/>
    <w:rsid w:val="006F1BF2"/>
    <w:rPr>
      <w:caps w:val="0"/>
      <w:u w:val="none"/>
    </w:rPr>
  </w:style>
  <w:style w:type="paragraph" w:customStyle="1" w:styleId="LeftrightafterHC">
    <w:name w:val="Leftright after HC"/>
    <w:basedOn w:val="Normal"/>
    <w:next w:val="leftright"/>
    <w:uiPriority w:val="31"/>
    <w:qFormat/>
    <w:locked/>
    <w:rsid w:val="006F1BF2"/>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6F1BF2"/>
    <w:pPr>
      <w:ind w:firstLine="720"/>
    </w:pPr>
  </w:style>
  <w:style w:type="paragraph" w:customStyle="1" w:styleId="LeftrightHanging">
    <w:name w:val="LeftrightHanging"/>
    <w:basedOn w:val="NormalHC"/>
    <w:uiPriority w:val="35"/>
    <w:qFormat/>
    <w:locked/>
    <w:rsid w:val="006F1BF2"/>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6F1BF2"/>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6F1BF2"/>
    <w:pPr>
      <w:spacing w:before="200"/>
      <w:ind w:left="2160"/>
    </w:pPr>
  </w:style>
  <w:style w:type="paragraph" w:customStyle="1" w:styleId="NormalafterHd2nd">
    <w:name w:val="Normal after Hd2nd"/>
    <w:basedOn w:val="NormalHC"/>
    <w:next w:val="NormalHC"/>
    <w:uiPriority w:val="29"/>
    <w:locked/>
    <w:rsid w:val="006F1BF2"/>
    <w:pPr>
      <w:numPr>
        <w:numId w:val="0"/>
      </w:numPr>
      <w:spacing w:before="1000"/>
    </w:pPr>
  </w:style>
  <w:style w:type="character" w:customStyle="1" w:styleId="NormalHCChar">
    <w:name w:val="Normal HC Char"/>
    <w:uiPriority w:val="99"/>
    <w:semiHidden/>
    <w:locked/>
    <w:rsid w:val="006F1BF2"/>
    <w:rPr>
      <w:rFonts w:ascii="Univers" w:hAnsi="Univers"/>
      <w:sz w:val="26"/>
      <w:szCs w:val="26"/>
    </w:rPr>
  </w:style>
  <w:style w:type="character" w:customStyle="1" w:styleId="StyleFootnoteReferenceChar">
    <w:name w:val="Style Footnote Reference Char"/>
    <w:uiPriority w:val="99"/>
    <w:semiHidden/>
    <w:locked/>
    <w:rsid w:val="006F1BF2"/>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43"/>
    <w:rsid w:val="006F1BF2"/>
  </w:style>
  <w:style w:type="paragraph" w:customStyle="1" w:styleId="HeadingJudgment">
    <w:name w:val="Heading Judgment"/>
    <w:basedOn w:val="Normal"/>
    <w:uiPriority w:val="59"/>
    <w:qFormat/>
    <w:locked/>
    <w:rsid w:val="006F1BF2"/>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6F1BF2"/>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6F1BF2"/>
    <w:pPr>
      <w:outlineLvl w:val="4"/>
    </w:pPr>
    <w:rPr>
      <w:b w:val="0"/>
    </w:rPr>
  </w:style>
  <w:style w:type="character" w:styleId="PageNumber">
    <w:name w:val="page number"/>
    <w:basedOn w:val="DefaultParagraphFont"/>
    <w:uiPriority w:val="57"/>
    <w:locked/>
    <w:rsid w:val="006F1BF2"/>
  </w:style>
  <w:style w:type="paragraph" w:styleId="BalloonText">
    <w:name w:val="Balloon Text"/>
    <w:basedOn w:val="Normal"/>
    <w:link w:val="BalloonTextChar"/>
    <w:semiHidden/>
    <w:locked/>
    <w:rsid w:val="006F1BF2"/>
    <w:rPr>
      <w:rFonts w:ascii="Tahoma" w:hAnsi="Tahoma" w:cs="Tahoma"/>
      <w:sz w:val="16"/>
      <w:szCs w:val="16"/>
      <w:lang w:eastAsia="en-US"/>
    </w:rPr>
  </w:style>
  <w:style w:type="character" w:customStyle="1" w:styleId="BalloonTextChar">
    <w:name w:val="Balloon Text Char"/>
    <w:basedOn w:val="DefaultParagraphFont"/>
    <w:link w:val="BalloonText"/>
    <w:semiHidden/>
    <w:rsid w:val="006F1BF2"/>
    <w:rPr>
      <w:rFonts w:ascii="Tahoma" w:hAnsi="Tahoma" w:cs="Tahoma"/>
      <w:sz w:val="16"/>
      <w:szCs w:val="16"/>
      <w:lang w:eastAsia="en-US"/>
    </w:rPr>
  </w:style>
  <w:style w:type="paragraph" w:customStyle="1" w:styleId="ClosingText">
    <w:name w:val="Closing Text"/>
    <w:basedOn w:val="Normal"/>
    <w:uiPriority w:val="98"/>
    <w:semiHidden/>
    <w:qFormat/>
    <w:locked/>
    <w:rsid w:val="006F1BF2"/>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6F1BF2"/>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6F1BF2"/>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6F1BF2"/>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6F1BF2"/>
    <w:rPr>
      <w:szCs w:val="20"/>
      <w:lang w:eastAsia="en-US"/>
    </w:rPr>
  </w:style>
  <w:style w:type="paragraph" w:customStyle="1" w:styleId="NormalBody">
    <w:name w:val="Normal Body"/>
    <w:basedOn w:val="NormalHC"/>
    <w:uiPriority w:val="28"/>
    <w:qFormat/>
    <w:locked/>
    <w:rsid w:val="006F1BF2"/>
    <w:pPr>
      <w:numPr>
        <w:numId w:val="0"/>
      </w:numPr>
    </w:pPr>
    <w:rPr>
      <w:lang w:eastAsia="en-US"/>
    </w:rPr>
  </w:style>
  <w:style w:type="paragraph" w:customStyle="1" w:styleId="StyleFootnoteReference">
    <w:name w:val="Style Footnote Reference"/>
    <w:basedOn w:val="Normal"/>
    <w:next w:val="Normal"/>
    <w:semiHidden/>
    <w:rsid w:val="006F1BF2"/>
    <w:rPr>
      <w:vertAlign w:val="superscript"/>
      <w:lang w:eastAsia="en-US"/>
    </w:rPr>
  </w:style>
  <w:style w:type="paragraph" w:styleId="ListNumber">
    <w:name w:val="List Number"/>
    <w:basedOn w:val="Normal"/>
    <w:uiPriority w:val="56"/>
    <w:locked/>
    <w:rsid w:val="006F1BF2"/>
    <w:pPr>
      <w:numPr>
        <w:numId w:val="11"/>
      </w:numPr>
      <w:contextualSpacing/>
    </w:pPr>
  </w:style>
  <w:style w:type="paragraph" w:customStyle="1" w:styleId="FixListStyle">
    <w:name w:val="FixListStyle"/>
    <w:basedOn w:val="Normal"/>
    <w:uiPriority w:val="99"/>
    <w:qFormat/>
    <w:rsid w:val="006F1BF2"/>
    <w:pPr>
      <w:numPr>
        <w:numId w:val="19"/>
      </w:numPr>
      <w:spacing w:after="480"/>
      <w:ind w:left="0" w:hanging="720"/>
    </w:pPr>
  </w:style>
  <w:style w:type="paragraph" w:customStyle="1" w:styleId="CatchwordsBold">
    <w:name w:val="Catchwords Bold"/>
    <w:basedOn w:val="Normal"/>
    <w:link w:val="CatchwordsBoldChar"/>
    <w:qFormat/>
    <w:rsid w:val="006F1BF2"/>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6F1BF2"/>
    <w:rPr>
      <w:rFonts w:ascii="Times New Roman" w:hAnsi="Times New Roman"/>
      <w:b/>
      <w:szCs w:val="20"/>
    </w:rPr>
  </w:style>
  <w:style w:type="paragraph" w:customStyle="1" w:styleId="CatchwordsRight">
    <w:name w:val="Catchwords Right"/>
    <w:basedOn w:val="Normal"/>
    <w:link w:val="CatchwordsRightChar"/>
    <w:qFormat/>
    <w:rsid w:val="006F1BF2"/>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6F1BF2"/>
    <w:rPr>
      <w:rFonts w:ascii="Times New Roman" w:hAnsi="Times New Roman"/>
      <w:szCs w:val="20"/>
    </w:rPr>
  </w:style>
  <w:style w:type="paragraph" w:customStyle="1" w:styleId="CatchwordsText">
    <w:name w:val="Catchwords Text"/>
    <w:basedOn w:val="Normal"/>
    <w:link w:val="CatchwordsTextChar"/>
    <w:qFormat/>
    <w:rsid w:val="006F1BF2"/>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6F1BF2"/>
    <w:rPr>
      <w:rFonts w:ascii="Times New Roman" w:hAnsi="Times New Roman"/>
      <w:szCs w:val="20"/>
    </w:rPr>
  </w:style>
  <w:style w:type="paragraph" w:customStyle="1" w:styleId="CenteredBorder">
    <w:name w:val="Centered Border"/>
    <w:qFormat/>
    <w:rsid w:val="006F1BF2"/>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6F1BF2"/>
    <w:pPr>
      <w:jc w:val="center"/>
    </w:pPr>
    <w:rPr>
      <w:rFonts w:ascii="Times New Roman" w:hAnsi="Times New Roman"/>
      <w:b/>
      <w:bCs/>
      <w:szCs w:val="20"/>
      <w:lang w:val="en-GB"/>
    </w:rPr>
  </w:style>
  <w:style w:type="character" w:customStyle="1" w:styleId="OrderCentred">
    <w:name w:val="Order Centred"/>
    <w:semiHidden/>
    <w:rsid w:val="006F1BF2"/>
    <w:rPr>
      <w:b/>
      <w:bCs/>
      <w:sz w:val="26"/>
    </w:rPr>
  </w:style>
  <w:style w:type="paragraph" w:customStyle="1" w:styleId="OrdersTopLine">
    <w:name w:val="Orders TopLine"/>
    <w:qFormat/>
    <w:rsid w:val="006F1BF2"/>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6F1BF2"/>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6F1BF2"/>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6F1BF2"/>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6F1BF2"/>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6F1BF2"/>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6F1BF2"/>
    <w:rPr>
      <w:rFonts w:ascii="Times New Roman" w:hAnsi="Times New Roman"/>
      <w:i/>
      <w:lang w:eastAsia="en-US"/>
    </w:rPr>
  </w:style>
  <w:style w:type="paragraph" w:customStyle="1" w:styleId="OrdersIndentLevel2i">
    <w:name w:val="Orders Indent Level 2 (i)"/>
    <w:basedOn w:val="Normal"/>
    <w:link w:val="OrdersIndentLevel2iChar"/>
    <w:qFormat/>
    <w:rsid w:val="006F1BF2"/>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6F1BF2"/>
    <w:rPr>
      <w:rFonts w:ascii="Times New Roman" w:hAnsi="Times New Roman"/>
      <w:i/>
      <w:lang w:eastAsia="en-US"/>
    </w:rPr>
  </w:style>
  <w:style w:type="paragraph" w:customStyle="1" w:styleId="OrdersMatter">
    <w:name w:val="Orders Matter"/>
    <w:basedOn w:val="OrderCentreBold"/>
    <w:link w:val="OrdersMatterChar"/>
    <w:qFormat/>
    <w:rsid w:val="006F1BF2"/>
  </w:style>
  <w:style w:type="character" w:customStyle="1" w:styleId="OrdersMatterChar">
    <w:name w:val="Orders Matter Char"/>
    <w:link w:val="OrdersMatter"/>
    <w:rsid w:val="006F1BF2"/>
    <w:rPr>
      <w:rFonts w:ascii="Times New Roman" w:hAnsi="Times New Roman"/>
      <w:b/>
      <w:bCs/>
      <w:szCs w:val="20"/>
      <w:lang w:val="en-GB"/>
    </w:rPr>
  </w:style>
  <w:style w:type="paragraph" w:customStyle="1" w:styleId="OrdersNotice">
    <w:name w:val="Orders Notice"/>
    <w:rsid w:val="006F1BF2"/>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6F1BF2"/>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6F1BF2"/>
    <w:rPr>
      <w:rFonts w:ascii="Times New Roman" w:hAnsi="Times New Roman"/>
      <w:szCs w:val="20"/>
      <w:lang w:eastAsia="en-US"/>
    </w:rPr>
  </w:style>
  <w:style w:type="paragraph" w:customStyle="1" w:styleId="OrdersText">
    <w:name w:val="Orders Text"/>
    <w:basedOn w:val="Normal"/>
    <w:link w:val="OrdersTextChar"/>
    <w:qFormat/>
    <w:rsid w:val="006F1BF2"/>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6F1BF2"/>
    <w:rPr>
      <w:rFonts w:ascii="Times New Roman" w:hAnsi="Times New Roman"/>
      <w:i/>
      <w:lang w:eastAsia="en-US"/>
    </w:rPr>
  </w:style>
  <w:style w:type="paragraph" w:customStyle="1" w:styleId="OrdersCenteredBorder">
    <w:name w:val="Orders Centered Border"/>
    <w:qFormat/>
    <w:rsid w:val="006F1BF2"/>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6F1BF2"/>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6F1BF2"/>
    <w:rPr>
      <w:rFonts w:ascii="Times New Roman" w:hAnsi="Times New Roman"/>
      <w:szCs w:val="20"/>
    </w:rPr>
  </w:style>
  <w:style w:type="paragraph" w:customStyle="1" w:styleId="LRHangingafterHC">
    <w:name w:val="LR Hanging after HC"/>
    <w:basedOn w:val="Normal"/>
    <w:next w:val="LeftrightHanging"/>
    <w:uiPriority w:val="99"/>
    <w:qFormat/>
    <w:rsid w:val="006F1BF2"/>
    <w:pPr>
      <w:spacing w:before="720" w:line="240" w:lineRule="exact"/>
      <w:ind w:left="1440" w:right="794" w:hanging="720"/>
    </w:pPr>
  </w:style>
  <w:style w:type="character" w:customStyle="1" w:styleId="FootnoteTextChar">
    <w:name w:val="Footnote Text Char"/>
    <w:basedOn w:val="DefaultParagraphFont"/>
    <w:link w:val="FootnoteText"/>
    <w:uiPriority w:val="53"/>
    <w:rsid w:val="00436125"/>
  </w:style>
  <w:style w:type="paragraph" w:styleId="Revision">
    <w:name w:val="Revision"/>
    <w:hidden/>
    <w:uiPriority w:val="99"/>
    <w:semiHidden/>
    <w:rsid w:val="00436125"/>
  </w:style>
  <w:style w:type="character" w:styleId="CommentReference">
    <w:name w:val="annotation reference"/>
    <w:basedOn w:val="DefaultParagraphFont"/>
    <w:uiPriority w:val="99"/>
    <w:semiHidden/>
    <w:unhideWhenUsed/>
    <w:locked/>
    <w:rsid w:val="00436125"/>
    <w:rPr>
      <w:sz w:val="16"/>
      <w:szCs w:val="16"/>
    </w:rPr>
  </w:style>
  <w:style w:type="paragraph" w:styleId="CommentText">
    <w:name w:val="annotation text"/>
    <w:basedOn w:val="Normal"/>
    <w:link w:val="CommentTextChar"/>
    <w:uiPriority w:val="99"/>
    <w:unhideWhenUsed/>
    <w:locked/>
    <w:rsid w:val="00436125"/>
    <w:pPr>
      <w:spacing w:line="240" w:lineRule="auto"/>
    </w:pPr>
    <w:rPr>
      <w:sz w:val="20"/>
      <w:szCs w:val="20"/>
    </w:rPr>
  </w:style>
  <w:style w:type="character" w:customStyle="1" w:styleId="CommentTextChar">
    <w:name w:val="Comment Text Char"/>
    <w:basedOn w:val="DefaultParagraphFont"/>
    <w:link w:val="CommentText"/>
    <w:uiPriority w:val="99"/>
    <w:rsid w:val="00436125"/>
    <w:rPr>
      <w:sz w:val="20"/>
      <w:szCs w:val="20"/>
    </w:rPr>
  </w:style>
  <w:style w:type="paragraph" w:styleId="CommentSubject">
    <w:name w:val="annotation subject"/>
    <w:basedOn w:val="CommentText"/>
    <w:next w:val="CommentText"/>
    <w:link w:val="CommentSubjectChar"/>
    <w:uiPriority w:val="99"/>
    <w:semiHidden/>
    <w:unhideWhenUsed/>
    <w:locked/>
    <w:rsid w:val="00436125"/>
    <w:rPr>
      <w:b/>
      <w:bCs/>
    </w:rPr>
  </w:style>
  <w:style w:type="character" w:customStyle="1" w:styleId="CommentSubjectChar">
    <w:name w:val="Comment Subject Char"/>
    <w:basedOn w:val="CommentTextChar"/>
    <w:link w:val="CommentSubject"/>
    <w:uiPriority w:val="99"/>
    <w:semiHidden/>
    <w:rsid w:val="00436125"/>
    <w:rPr>
      <w:b/>
      <w:bCs/>
      <w:sz w:val="20"/>
      <w:szCs w:val="20"/>
    </w:rPr>
  </w:style>
  <w:style w:type="paragraph" w:customStyle="1" w:styleId="NoNorm">
    <w:name w:val="No Norm"/>
    <w:basedOn w:val="Normal"/>
    <w:qFormat/>
    <w:rsid w:val="00A143F4"/>
    <w:pPr>
      <w:tabs>
        <w:tab w:val="clear" w:pos="720"/>
        <w:tab w:val="left" w:pos="709"/>
      </w:tabs>
      <w:spacing w:before="120" w:line="240" w:lineRule="auto"/>
      <w:ind w:left="720" w:hanging="720"/>
      <w:jc w:val="both"/>
    </w:pPr>
    <w:rPr>
      <w:rFonts w:ascii="Arial" w:eastAsia="Calibri" w:hAnsi="Arial" w:cs="Arial"/>
      <w:sz w:val="22"/>
      <w:szCs w:val="22"/>
    </w:rPr>
  </w:style>
  <w:style w:type="paragraph" w:customStyle="1" w:styleId="Noindentnormal">
    <w:name w:val="No indent normal"/>
    <w:basedOn w:val="NoNorm"/>
    <w:qFormat/>
    <w:rsid w:val="00A143F4"/>
    <w:pPr>
      <w:tabs>
        <w:tab w:val="clear" w:pos="1440"/>
        <w:tab w:val="clear" w:pos="2160"/>
        <w:tab w:val="left" w:pos="1418"/>
      </w:tabs>
      <w:ind w:left="1418" w:hanging="709"/>
    </w:pPr>
  </w:style>
  <w:style w:type="paragraph" w:customStyle="1" w:styleId="Indentlista">
    <w:name w:val="Indent list a)"/>
    <w:basedOn w:val="Noindentnormal"/>
    <w:qFormat/>
    <w:rsid w:val="00A143F4"/>
    <w:pPr>
      <w:tabs>
        <w:tab w:val="left" w:pos="2268"/>
      </w:tabs>
      <w:spacing w:before="60"/>
      <w:ind w:left="2268" w:hanging="567"/>
    </w:pPr>
  </w:style>
  <w:style w:type="character" w:customStyle="1" w:styleId="cf01">
    <w:name w:val="cf01"/>
    <w:basedOn w:val="DefaultParagraphFont"/>
    <w:rsid w:val="00A143F4"/>
    <w:rPr>
      <w:rFonts w:ascii="Segoe UI" w:hAnsi="Segoe UI" w:cs="Segoe UI" w:hint="default"/>
      <w:sz w:val="18"/>
      <w:szCs w:val="18"/>
    </w:rPr>
  </w:style>
  <w:style w:type="paragraph" w:customStyle="1" w:styleId="Body">
    <w:name w:val="Body"/>
    <w:basedOn w:val="Normal"/>
    <w:qFormat/>
    <w:rsid w:val="00CD054E"/>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rPr>
  </w:style>
  <w:style w:type="paragraph" w:customStyle="1" w:styleId="BodyHeading">
    <w:name w:val="Body Heading"/>
    <w:basedOn w:val="Normal"/>
    <w:qFormat/>
    <w:rsid w:val="00CD054E"/>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rPr>
  </w:style>
  <w:style w:type="paragraph" w:customStyle="1" w:styleId="Centre">
    <w:name w:val="Centre"/>
    <w:qFormat/>
    <w:rsid w:val="00CD054E"/>
    <w:pPr>
      <w:tabs>
        <w:tab w:val="left" w:pos="720"/>
        <w:tab w:val="left" w:pos="1440"/>
      </w:tabs>
      <w:ind w:right="17"/>
      <w:jc w:val="center"/>
    </w:pPr>
    <w:rPr>
      <w:rFonts w:ascii="Times New Roman" w:hAnsi="Times New Roman"/>
      <w:szCs w:val="20"/>
      <w:lang w:val="en-GB"/>
    </w:rPr>
  </w:style>
  <w:style w:type="paragraph" w:customStyle="1" w:styleId="CentreItalics">
    <w:name w:val="Centre Italics"/>
    <w:basedOn w:val="Normal"/>
    <w:qFormat/>
    <w:rsid w:val="00CD054E"/>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rPr>
  </w:style>
  <w:style w:type="paragraph" w:customStyle="1" w:styleId="Notice">
    <w:name w:val="Notice"/>
    <w:rsid w:val="00CD054E"/>
    <w:pPr>
      <w:tabs>
        <w:tab w:val="left" w:pos="5103"/>
        <w:tab w:val="right" w:pos="7797"/>
      </w:tabs>
      <w:ind w:left="851" w:right="17"/>
      <w:jc w:val="both"/>
    </w:pPr>
    <w:rPr>
      <w:rFonts w:ascii="Times New Roman" w:hAnsi="Times New Roman"/>
      <w:szCs w:val="20"/>
      <w:lang w:val="en-GB"/>
    </w:rPr>
  </w:style>
  <w:style w:type="paragraph" w:customStyle="1" w:styleId="OrderCentre">
    <w:name w:val="Order Centre"/>
    <w:rsid w:val="00CD054E"/>
    <w:pPr>
      <w:jc w:val="center"/>
    </w:pPr>
    <w:rPr>
      <w:rFonts w:ascii="Times New Roman" w:hAnsi="Times New Roman"/>
      <w:bCs/>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20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c3f26d-d9cc-46f3-89c7-f1482de8c8f1">
      <Terms xmlns="http://schemas.microsoft.com/office/infopath/2007/PartnerControls"/>
    </lcf76f155ced4ddcb4097134ff3c332f>
    <TaxCatchAll xmlns="cbc5b7fd-636f-49ec-b8cc-eb8a3f2ba1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32D2EC4F8DE44A8C0C478B82839881" ma:contentTypeVersion="17" ma:contentTypeDescription="Create a new document." ma:contentTypeScope="" ma:versionID="55e577b2349a8dadf7ec6871422a6c62">
  <xsd:schema xmlns:xsd="http://www.w3.org/2001/XMLSchema" xmlns:xs="http://www.w3.org/2001/XMLSchema" xmlns:p="http://schemas.microsoft.com/office/2006/metadata/properties" xmlns:ns2="cbc5b7fd-636f-49ec-b8cc-eb8a3f2ba19e" xmlns:ns3="3cc3f26d-d9cc-46f3-89c7-f1482de8c8f1" targetNamespace="http://schemas.microsoft.com/office/2006/metadata/properties" ma:root="true" ma:fieldsID="af87ad96cab44ce31babe1767aa92500" ns2:_="" ns3:_="">
    <xsd:import namespace="cbc5b7fd-636f-49ec-b8cc-eb8a3f2ba19e"/>
    <xsd:import namespace="3cc3f26d-d9cc-46f3-89c7-f1482de8c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917a95-3fa1-418e-808a-c77197b9d2d6}" ma:internalName="TaxCatchAll" ma:showField="CatchAllData" ma:web="cbc5b7fd-636f-49ec-b8cc-eb8a3f2ba1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c3f26d-d9cc-46f3-89c7-f1482de8c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e3044c-c92f-4775-8f51-280d127767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DD54D-5AB1-4084-B29D-C530544F59D2}">
  <ds:schemaRefs>
    <ds:schemaRef ds:uri="http://schemas.microsoft.com/office/2006/metadata/properties"/>
    <ds:schemaRef ds:uri="http://schemas.microsoft.com/office/infopath/2007/PartnerControls"/>
    <ds:schemaRef ds:uri="3cc3f26d-d9cc-46f3-89c7-f1482de8c8f1"/>
    <ds:schemaRef ds:uri="cbc5b7fd-636f-49ec-b8cc-eb8a3f2ba19e"/>
  </ds:schemaRefs>
</ds:datastoreItem>
</file>

<file path=customXml/itemProps2.xml><?xml version="1.0" encoding="utf-8"?>
<ds:datastoreItem xmlns:ds="http://schemas.openxmlformats.org/officeDocument/2006/customXml" ds:itemID="{C648E584-112A-4781-B6CD-1ED785F01C44}"/>
</file>

<file path=customXml/itemProps3.xml><?xml version="1.0" encoding="utf-8"?>
<ds:datastoreItem xmlns:ds="http://schemas.openxmlformats.org/officeDocument/2006/customXml" ds:itemID="{45EC6EDD-F216-48FC-9330-62E6B57D55A7}">
  <ds:schemaRefs>
    <ds:schemaRef ds:uri="http://schemas.openxmlformats.org/officeDocument/2006/bibliography"/>
  </ds:schemaRefs>
</ds:datastoreItem>
</file>

<file path=customXml/itemProps4.xml><?xml version="1.0" encoding="utf-8"?>
<ds:datastoreItem xmlns:ds="http://schemas.openxmlformats.org/officeDocument/2006/customXml" ds:itemID="{4CF51E2A-5120-49B8-B8A9-580B46FA2A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Chambers V11</Template>
  <TotalTime>0</TotalTime>
  <Pages>92</Pages>
  <Words>27485</Words>
  <Characters>156670</Characters>
  <Application>Microsoft Office Word</Application>
  <DocSecurity>0</DocSecurity>
  <Lines>1305</Lines>
  <Paragraphs>367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2025-08-12T04:17:00Z</dcterms:created>
  <dcterms:modified xsi:type="dcterms:W3CDTF">2025-12-03T04:29:00Z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0x0101001F32D2EC4F8DE44A8C0C478B82839881</vt:lpwstr>
  </property>
  <property fmtid="{D5CDD505-2E9C-101B-9397-08002B2CF9AE}" pid="3" name="MediaServiceImageTags">
    <vt:lpwstr/>
  </property>
</Properties>
</file>