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A9EF" w14:textId="77777777" w:rsidR="007A3534" w:rsidRPr="00704FF8" w:rsidRDefault="007A3534" w:rsidP="00704FF8">
      <w:pPr>
        <w:pStyle w:val="OrdersTopLine"/>
      </w:pPr>
      <w:r w:rsidRPr="00704FF8">
        <w:t>HIGH COURT OF AUSTRALIA</w:t>
      </w:r>
    </w:p>
    <w:p w14:paraId="4024EDDF" w14:textId="77777777" w:rsidR="007A3534" w:rsidRPr="00704FF8" w:rsidRDefault="007A3534" w:rsidP="00704FF8">
      <w:pPr>
        <w:pStyle w:val="OrderCentre"/>
      </w:pPr>
    </w:p>
    <w:p w14:paraId="63C658C1" w14:textId="77777777" w:rsidR="007A3534" w:rsidRPr="00C46004" w:rsidRDefault="007A3534" w:rsidP="00704FF8">
      <w:pPr>
        <w:pStyle w:val="OrderCentre"/>
        <w:rPr>
          <w:spacing w:val="-4"/>
          <w:sz w:val="24"/>
          <w:szCs w:val="24"/>
        </w:rPr>
      </w:pPr>
      <w:r w:rsidRPr="00C46004">
        <w:rPr>
          <w:spacing w:val="-4"/>
          <w:sz w:val="24"/>
          <w:szCs w:val="24"/>
        </w:rPr>
        <w:t xml:space="preserve">GORDON </w:t>
      </w:r>
      <w:r>
        <w:rPr>
          <w:spacing w:val="-4"/>
          <w:sz w:val="24"/>
          <w:szCs w:val="24"/>
        </w:rPr>
        <w:t>A-</w:t>
      </w:r>
      <w:r w:rsidRPr="00C46004">
        <w:rPr>
          <w:spacing w:val="-4"/>
          <w:sz w:val="24"/>
          <w:szCs w:val="24"/>
        </w:rPr>
        <w:t>CJ,</w:t>
      </w:r>
    </w:p>
    <w:p w14:paraId="4B47CEA9" w14:textId="77777777" w:rsidR="007A3534" w:rsidRPr="00704FF8" w:rsidRDefault="007A3534" w:rsidP="00704FF8">
      <w:pPr>
        <w:pStyle w:val="OrderCentre"/>
      </w:pPr>
      <w:r w:rsidRPr="00C46004">
        <w:rPr>
          <w:spacing w:val="-4"/>
          <w:sz w:val="24"/>
          <w:szCs w:val="24"/>
        </w:rPr>
        <w:t>EDELMAN, STEWARD, JAGOT AND BEECH</w:t>
      </w:r>
      <w:r w:rsidRPr="00C46004">
        <w:rPr>
          <w:spacing w:val="-4"/>
          <w:sz w:val="24"/>
          <w:szCs w:val="24"/>
        </w:rPr>
        <w:noBreakHyphen/>
        <w:t>JONES JJ</w:t>
      </w:r>
    </w:p>
    <w:p w14:paraId="1CD00E7A" w14:textId="77777777" w:rsidR="007A3534" w:rsidRPr="00427F3A" w:rsidRDefault="007A3534" w:rsidP="00EE5374">
      <w:pPr>
        <w:pStyle w:val="Centre"/>
        <w:rPr>
          <w:lang w:val="en-AU"/>
        </w:rPr>
      </w:pPr>
    </w:p>
    <w:p w14:paraId="74C81311" w14:textId="77777777" w:rsidR="007A3534" w:rsidRPr="00704FF8" w:rsidRDefault="007A3534" w:rsidP="00704FF8">
      <w:pPr>
        <w:pStyle w:val="OrdersCenteredBorder"/>
      </w:pPr>
    </w:p>
    <w:p w14:paraId="3A906E95" w14:textId="77777777" w:rsidR="007A3534" w:rsidRPr="00704FF8" w:rsidRDefault="007A3534" w:rsidP="0032341F">
      <w:pPr>
        <w:pStyle w:val="OrdersBodyHeading"/>
      </w:pPr>
    </w:p>
    <w:p w14:paraId="51EF2A43" w14:textId="77777777" w:rsidR="007A3534" w:rsidRPr="0032341F" w:rsidRDefault="007A3534" w:rsidP="009362E8">
      <w:pPr>
        <w:pStyle w:val="OrdersPartyName"/>
        <w:ind w:right="-1"/>
      </w:pPr>
      <w:r w:rsidRPr="00D305F8">
        <w:t>COMMONWEALTH OF AUSTRALIA</w:t>
      </w:r>
      <w:r w:rsidRPr="0032341F">
        <w:tab/>
        <w:t>APPELLANT</w:t>
      </w:r>
    </w:p>
    <w:p w14:paraId="5F3527E7" w14:textId="77777777" w:rsidR="007A3534" w:rsidRPr="0032341F" w:rsidRDefault="007A3534" w:rsidP="009362E8">
      <w:pPr>
        <w:pStyle w:val="OrdersPartyName"/>
        <w:ind w:right="-1"/>
      </w:pPr>
    </w:p>
    <w:p w14:paraId="1548A169" w14:textId="77777777" w:rsidR="007A3534" w:rsidRPr="0032341F" w:rsidRDefault="007A3534" w:rsidP="009362E8">
      <w:pPr>
        <w:pStyle w:val="OrdersPartyName"/>
        <w:ind w:right="-1"/>
      </w:pPr>
      <w:r w:rsidRPr="0032341F">
        <w:t>AND</w:t>
      </w:r>
    </w:p>
    <w:p w14:paraId="1E65007B" w14:textId="77777777" w:rsidR="007A3534" w:rsidRPr="0032341F" w:rsidRDefault="007A3534" w:rsidP="009362E8">
      <w:pPr>
        <w:pStyle w:val="OrdersPartyName"/>
        <w:ind w:right="-1"/>
      </w:pPr>
    </w:p>
    <w:p w14:paraId="23D01F2A" w14:textId="77777777" w:rsidR="007A3534" w:rsidRPr="0032341F" w:rsidRDefault="007A3534" w:rsidP="009362E8">
      <w:pPr>
        <w:pStyle w:val="OrdersPartyName"/>
        <w:ind w:right="-1"/>
      </w:pPr>
      <w:r w:rsidRPr="00D305F8">
        <w:t>SANOFI (FORMERLY SANOFI-AVENTIS)</w:t>
      </w:r>
      <w:r>
        <w:t xml:space="preserve"> </w:t>
      </w:r>
      <w:r w:rsidRPr="00D305F8">
        <w:t>&amp; ORS</w:t>
      </w:r>
      <w:r w:rsidRPr="0032341F">
        <w:tab/>
        <w:t>RESPONDENT</w:t>
      </w:r>
      <w:r>
        <w:t>S</w:t>
      </w:r>
    </w:p>
    <w:p w14:paraId="024855BE" w14:textId="77777777" w:rsidR="007A3534" w:rsidRPr="00427F3A" w:rsidRDefault="007A3534" w:rsidP="00AF0A5E">
      <w:pPr>
        <w:pStyle w:val="BodyHeading"/>
      </w:pPr>
    </w:p>
    <w:p w14:paraId="2C0E1871" w14:textId="77777777" w:rsidR="007A3534" w:rsidRPr="00427F3A" w:rsidRDefault="007A3534" w:rsidP="00BE0A6C">
      <w:pPr>
        <w:pStyle w:val="BodyHeading"/>
      </w:pPr>
    </w:p>
    <w:p w14:paraId="33CC664B" w14:textId="77777777" w:rsidR="007A3534" w:rsidRPr="00427F3A" w:rsidRDefault="007A3534" w:rsidP="00EE5374">
      <w:pPr>
        <w:pStyle w:val="CentreItalics"/>
      </w:pPr>
      <w:r w:rsidRPr="00D305F8">
        <w:t>Commonwealth of Australia v Sanofi</w:t>
      </w:r>
    </w:p>
    <w:p w14:paraId="437D216A" w14:textId="77777777" w:rsidR="007A3534" w:rsidRPr="00427F3A" w:rsidRDefault="007A3534" w:rsidP="00E90E4F">
      <w:pPr>
        <w:pStyle w:val="OrdersCentre"/>
      </w:pPr>
      <w:r>
        <w:t>[2024</w:t>
      </w:r>
      <w:r w:rsidRPr="00427F3A">
        <w:t xml:space="preserve">] HCA </w:t>
      </w:r>
      <w:r>
        <w:t>47</w:t>
      </w:r>
    </w:p>
    <w:p w14:paraId="3277B501" w14:textId="77777777" w:rsidR="007A3534" w:rsidRDefault="007A3534" w:rsidP="00E90E4F">
      <w:pPr>
        <w:pStyle w:val="OrdersCentreItalics"/>
      </w:pPr>
      <w:r>
        <w:t xml:space="preserve">Date of Hearing: 4 </w:t>
      </w:r>
      <w:r w:rsidRPr="00D305F8">
        <w:t xml:space="preserve">&amp; </w:t>
      </w:r>
      <w:r>
        <w:t>5</w:t>
      </w:r>
      <w:r w:rsidRPr="00D305F8">
        <w:t xml:space="preserve"> </w:t>
      </w:r>
      <w:r>
        <w:t>September 2024</w:t>
      </w:r>
    </w:p>
    <w:p w14:paraId="3567A481" w14:textId="77777777" w:rsidR="007A3534" w:rsidRPr="00427F3A" w:rsidRDefault="007A3534" w:rsidP="00E90E4F">
      <w:pPr>
        <w:pStyle w:val="OrdersCentreItalics"/>
      </w:pPr>
      <w:r>
        <w:t>Date of Judgment: 11 December 2024</w:t>
      </w:r>
    </w:p>
    <w:p w14:paraId="641ECB18" w14:textId="77777777" w:rsidR="007A3534" w:rsidRDefault="007A3534" w:rsidP="00E90E4F">
      <w:pPr>
        <w:pStyle w:val="OrdersCentre"/>
      </w:pPr>
      <w:r w:rsidRPr="00D305F8">
        <w:t>S169/2023</w:t>
      </w:r>
    </w:p>
    <w:p w14:paraId="0C623695" w14:textId="77777777" w:rsidR="007A3534" w:rsidRPr="00427F3A" w:rsidRDefault="007A3534" w:rsidP="00E90E4F">
      <w:pPr>
        <w:pStyle w:val="OrdersCentre"/>
      </w:pPr>
    </w:p>
    <w:p w14:paraId="2ED4A3F5" w14:textId="77777777" w:rsidR="007A3534" w:rsidRPr="00BE0A6C" w:rsidRDefault="007A3534" w:rsidP="00E90E4F">
      <w:pPr>
        <w:pStyle w:val="OrderCentreBold"/>
      </w:pPr>
      <w:r w:rsidRPr="00BE0A6C">
        <w:t>ORDER</w:t>
      </w:r>
    </w:p>
    <w:p w14:paraId="2EA2BFD4" w14:textId="77777777" w:rsidR="007A3534" w:rsidRPr="00427F3A" w:rsidRDefault="007A3534" w:rsidP="00736C52">
      <w:pPr>
        <w:pStyle w:val="Centre"/>
        <w:rPr>
          <w:lang w:val="en-AU"/>
        </w:rPr>
      </w:pPr>
    </w:p>
    <w:p w14:paraId="34A5E8FB" w14:textId="498BEFA5" w:rsidR="007A3534" w:rsidRDefault="007A3534" w:rsidP="00544B02">
      <w:pPr>
        <w:pStyle w:val="OrdersText"/>
      </w:pPr>
      <w:r>
        <w:t>Appeal dismissed with costs.</w:t>
      </w:r>
    </w:p>
    <w:p w14:paraId="5BE7AB2A" w14:textId="77777777" w:rsidR="007A3534" w:rsidRPr="00427F3A" w:rsidRDefault="007A3534" w:rsidP="00EE5374">
      <w:pPr>
        <w:pStyle w:val="Body"/>
      </w:pPr>
    </w:p>
    <w:p w14:paraId="619E5D1F" w14:textId="77777777" w:rsidR="007A3534" w:rsidRPr="00427F3A" w:rsidRDefault="007A3534" w:rsidP="0032341F">
      <w:pPr>
        <w:pStyle w:val="OrdersBody"/>
      </w:pPr>
      <w:r w:rsidRPr="00427F3A">
        <w:t xml:space="preserve">On appeal from the </w:t>
      </w:r>
      <w:r w:rsidRPr="00D305F8">
        <w:t>Federal Court of Australia</w:t>
      </w:r>
    </w:p>
    <w:p w14:paraId="13675990" w14:textId="77777777" w:rsidR="007A3534" w:rsidRDefault="007A3534" w:rsidP="00EE5374">
      <w:pPr>
        <w:pStyle w:val="Body"/>
      </w:pPr>
    </w:p>
    <w:p w14:paraId="7EE3A0FB" w14:textId="77777777" w:rsidR="007A3534" w:rsidRPr="00427F3A" w:rsidRDefault="007A3534" w:rsidP="00EE5374">
      <w:pPr>
        <w:pStyle w:val="Body"/>
      </w:pPr>
    </w:p>
    <w:p w14:paraId="7DA3BBCF" w14:textId="77777777" w:rsidR="007A3534" w:rsidRPr="00427F3A" w:rsidRDefault="007A3534" w:rsidP="00E90E4F">
      <w:pPr>
        <w:pStyle w:val="OrdersBodyHeading"/>
      </w:pPr>
      <w:r w:rsidRPr="00427F3A">
        <w:t>Representation</w:t>
      </w:r>
    </w:p>
    <w:p w14:paraId="0D68F381" w14:textId="77777777" w:rsidR="007A3534" w:rsidRDefault="007A3534" w:rsidP="00EE5374">
      <w:pPr>
        <w:pStyle w:val="Body"/>
      </w:pPr>
    </w:p>
    <w:p w14:paraId="0E5266B8" w14:textId="77777777" w:rsidR="007A3534" w:rsidRPr="00D305F8" w:rsidRDefault="007A3534" w:rsidP="00E90E4F">
      <w:pPr>
        <w:pStyle w:val="OrdersBody"/>
      </w:pPr>
      <w:r w:rsidRPr="00D305F8">
        <w:t xml:space="preserve">J T Gleeson SC </w:t>
      </w:r>
      <w:r>
        <w:t xml:space="preserve">and </w:t>
      </w:r>
      <w:r w:rsidRPr="00D305F8">
        <w:t>F T Roughley SC</w:t>
      </w:r>
      <w:r>
        <w:t xml:space="preserve"> </w:t>
      </w:r>
      <w:r w:rsidRPr="00D305F8">
        <w:t>with G Watson Keesing and M</w:t>
      </w:r>
      <w:r>
        <w:t> </w:t>
      </w:r>
      <w:r w:rsidRPr="00D305F8">
        <w:t>F</w:t>
      </w:r>
      <w:r>
        <w:t> </w:t>
      </w:r>
      <w:r w:rsidRPr="00D305F8">
        <w:t>Caristo for the appellant (instructed by Corrs Chambers Westgarth)</w:t>
      </w:r>
    </w:p>
    <w:p w14:paraId="0A3B65EE" w14:textId="77777777" w:rsidR="007A3534" w:rsidRPr="00D305F8" w:rsidRDefault="007A3534" w:rsidP="001B3C97">
      <w:pPr>
        <w:pStyle w:val="Body"/>
      </w:pPr>
    </w:p>
    <w:p w14:paraId="41D990DA" w14:textId="518A8FD9" w:rsidR="007A3534" w:rsidRDefault="007A3534" w:rsidP="00EE59D2">
      <w:pPr>
        <w:pStyle w:val="OrdersBody"/>
      </w:pPr>
      <w:r w:rsidRPr="00D305F8">
        <w:t>J C Sheahan KC with J J Hutton SC, S Fitzpatrick and B K Lim for the respondents (instructed by Jones Day)</w:t>
      </w:r>
    </w:p>
    <w:p w14:paraId="7FD0A7EE" w14:textId="5FDB6CA6" w:rsidR="007A3534" w:rsidRDefault="007A3534" w:rsidP="00EE5374">
      <w:pPr>
        <w:pStyle w:val="Body"/>
      </w:pPr>
    </w:p>
    <w:p w14:paraId="6B324F66" w14:textId="77777777" w:rsidR="007A3534" w:rsidRDefault="007A3534" w:rsidP="00EE5374">
      <w:pPr>
        <w:pStyle w:val="Body"/>
      </w:pPr>
    </w:p>
    <w:p w14:paraId="652ED6EE" w14:textId="77777777" w:rsidR="007A3534" w:rsidRDefault="007A3534" w:rsidP="00EE5374">
      <w:pPr>
        <w:pStyle w:val="Body"/>
      </w:pPr>
    </w:p>
    <w:p w14:paraId="516BF0D1" w14:textId="77777777" w:rsidR="007A3534" w:rsidRPr="00427F3A" w:rsidRDefault="007A3534" w:rsidP="00EE5374">
      <w:pPr>
        <w:pStyle w:val="Body"/>
      </w:pPr>
    </w:p>
    <w:p w14:paraId="02C7488E" w14:textId="77777777" w:rsidR="007A3534" w:rsidRPr="00427F3A" w:rsidRDefault="007A3534" w:rsidP="00F9713B">
      <w:pPr>
        <w:pStyle w:val="Notice"/>
        <w:rPr>
          <w:lang w:val="en-AU"/>
        </w:rPr>
      </w:pPr>
      <w:r w:rsidRPr="00427F3A">
        <w:rPr>
          <w:lang w:val="en-AU"/>
        </w:rPr>
        <w:t>Notice:  This copy of the Court's Reasons for Judgment is subject to formal revision prior to publication in the Commonwealth Law Reports.</w:t>
      </w:r>
    </w:p>
    <w:p w14:paraId="7F5998C0" w14:textId="4D4999E6" w:rsidR="007A3534" w:rsidRDefault="007A353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0F246058" w14:textId="77777777" w:rsidR="005D338E" w:rsidRDefault="007A353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D338E" w:rsidSect="007A3534">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0D458E51" w14:textId="77777777" w:rsidR="005D338E" w:rsidRPr="00054C14" w:rsidRDefault="005D338E" w:rsidP="005D338E">
      <w:pPr>
        <w:pStyle w:val="CatchwordsBold"/>
      </w:pPr>
      <w:r w:rsidRPr="00054C14">
        <w:lastRenderedPageBreak/>
        <w:t>CATCHWORDS</w:t>
      </w:r>
    </w:p>
    <w:p w14:paraId="407163E9" w14:textId="77777777" w:rsidR="005D338E" w:rsidRPr="00054C14" w:rsidRDefault="005D338E" w:rsidP="005D338E">
      <w:pPr>
        <w:pStyle w:val="CatchwordsBold"/>
      </w:pPr>
    </w:p>
    <w:p w14:paraId="5912BB1C" w14:textId="77777777" w:rsidR="005D338E" w:rsidRDefault="005D338E" w:rsidP="005D338E">
      <w:pPr>
        <w:pStyle w:val="CatchwordsBold"/>
      </w:pPr>
      <w:r>
        <w:t>Commonwealth of Australia v Sanofi</w:t>
      </w:r>
    </w:p>
    <w:p w14:paraId="3EA0F65E" w14:textId="77777777" w:rsidR="005D338E" w:rsidRDefault="005D338E" w:rsidP="005D338E">
      <w:pPr>
        <w:pStyle w:val="CatchwordsBold"/>
      </w:pPr>
    </w:p>
    <w:p w14:paraId="40183BC8" w14:textId="77777777" w:rsidR="005D338E" w:rsidRDefault="005D338E" w:rsidP="005D338E">
      <w:pPr>
        <w:pStyle w:val="CatchwordsText"/>
      </w:pPr>
      <w:r>
        <w:t xml:space="preserve">Damages </w:t>
      </w:r>
      <w:r w:rsidRPr="007318A6">
        <w:t>–</w:t>
      </w:r>
      <w:r>
        <w:t xml:space="preserve"> Undertaking as to damages </w:t>
      </w:r>
      <w:r w:rsidRPr="007318A6">
        <w:t>–</w:t>
      </w:r>
      <w:r>
        <w:t xml:space="preserve"> Where interlocutory injunction obtained to prevent manufacture or sale of generic pharmaceutical products </w:t>
      </w:r>
      <w:r w:rsidRPr="007318A6">
        <w:t>–</w:t>
      </w:r>
      <w:r>
        <w:t xml:space="preserve"> Where compensation sought for loss suffered as result of </w:t>
      </w:r>
      <w:r w:rsidRPr="00C95A4C">
        <w:t>generic</w:t>
      </w:r>
      <w:r>
        <w:t xml:space="preserve"> products not being listed on Pharmaceutical Benefits Scheme ("</w:t>
      </w:r>
      <w:r w:rsidRPr="00D35D0F">
        <w:t>PBS</w:t>
      </w:r>
      <w:r>
        <w:t xml:space="preserve">") </w:t>
      </w:r>
      <w:r w:rsidRPr="007318A6">
        <w:t>–</w:t>
      </w:r>
      <w:r>
        <w:t xml:space="preserve"> Whether generic products would have been listed on PBS but for interlocutory injunction </w:t>
      </w:r>
      <w:r w:rsidRPr="007318A6">
        <w:t>–</w:t>
      </w:r>
      <w:r>
        <w:t xml:space="preserve"> Counter-factual approach </w:t>
      </w:r>
      <w:r w:rsidRPr="007318A6">
        <w:t>–</w:t>
      </w:r>
      <w:r>
        <w:t xml:space="preserve"> Whether onus of proof discharged.</w:t>
      </w:r>
    </w:p>
    <w:p w14:paraId="7CBA3401" w14:textId="77777777" w:rsidR="005D338E" w:rsidRDefault="005D338E" w:rsidP="005D338E">
      <w:pPr>
        <w:pStyle w:val="CatchwordsText"/>
      </w:pPr>
    </w:p>
    <w:p w14:paraId="0E6A0E17" w14:textId="77777777" w:rsidR="005D338E" w:rsidRDefault="005D338E" w:rsidP="005D338E">
      <w:pPr>
        <w:pStyle w:val="CatchwordsText"/>
      </w:pPr>
      <w:r>
        <w:t xml:space="preserve">Appeals </w:t>
      </w:r>
      <w:r w:rsidRPr="00C56465">
        <w:t>–</w:t>
      </w:r>
      <w:r>
        <w:t xml:space="preserve"> Standard of review </w:t>
      </w:r>
      <w:r w:rsidRPr="00C56465">
        <w:t>–</w:t>
      </w:r>
      <w:r>
        <w:t xml:space="preserve"> Ultimate appellate court </w:t>
      </w:r>
      <w:r w:rsidRPr="00C56465">
        <w:t>–</w:t>
      </w:r>
      <w:r>
        <w:t xml:space="preserve"> Where concurrent factual findings of lower courts </w:t>
      </w:r>
      <w:r w:rsidRPr="00C56465">
        <w:t>–</w:t>
      </w:r>
      <w:r>
        <w:t xml:space="preserve"> Whether special or exceptional circumstances </w:t>
      </w:r>
      <w:r w:rsidRPr="00C56465">
        <w:t>–</w:t>
      </w:r>
      <w:r>
        <w:t xml:space="preserve"> Whether plain injustice or clear error </w:t>
      </w:r>
      <w:r w:rsidRPr="00C56465">
        <w:t>–</w:t>
      </w:r>
      <w:r>
        <w:t xml:space="preserve"> Whether concurrent findings not clearly wrong </w:t>
      </w:r>
      <w:r w:rsidRPr="00C56465">
        <w:t>–</w:t>
      </w:r>
      <w:r>
        <w:t xml:space="preserve"> Whether concurrent findings open and compelling.</w:t>
      </w:r>
    </w:p>
    <w:p w14:paraId="15AB486C" w14:textId="77777777" w:rsidR="005D338E" w:rsidRDefault="005D338E" w:rsidP="005D338E">
      <w:pPr>
        <w:pStyle w:val="CatchwordsText"/>
      </w:pPr>
    </w:p>
    <w:p w14:paraId="67061652" w14:textId="77777777" w:rsidR="005D338E" w:rsidRDefault="005D338E" w:rsidP="005D338E">
      <w:pPr>
        <w:pStyle w:val="CatchwordsText"/>
      </w:pPr>
      <w:r>
        <w:t xml:space="preserve">Onus of proof </w:t>
      </w:r>
      <w:r w:rsidRPr="00C56465">
        <w:t>–</w:t>
      </w:r>
      <w:r>
        <w:t xml:space="preserve"> Shifting evidential onus </w:t>
      </w:r>
      <w:r w:rsidRPr="00C56465">
        <w:t>–</w:t>
      </w:r>
      <w:r>
        <w:t xml:space="preserve"> Whether rigid legal rule applied for proof of loss arising from undertaking as to damages.</w:t>
      </w:r>
    </w:p>
    <w:p w14:paraId="6F9345BE" w14:textId="77777777" w:rsidR="005D338E" w:rsidRDefault="005D338E" w:rsidP="005D338E">
      <w:pPr>
        <w:pStyle w:val="CatchwordsText"/>
      </w:pPr>
    </w:p>
    <w:p w14:paraId="7FE770D2" w14:textId="77777777" w:rsidR="005D338E" w:rsidRDefault="005D338E" w:rsidP="005D338E">
      <w:pPr>
        <w:pStyle w:val="CatchwordsText"/>
      </w:pPr>
      <w:r w:rsidRPr="00294DEA">
        <w:t>Words and phrases –</w:t>
      </w:r>
      <w:r>
        <w:t xml:space="preserve"> "clear error", "concurrent findings", "counter-factual", "evidential onus", "interlocutory injunction", "onus of proof", "plain injustice", "special or exceptional circumstances",</w:t>
      </w:r>
      <w:r w:rsidRPr="00E9375F">
        <w:t xml:space="preserve"> </w:t>
      </w:r>
      <w:r>
        <w:t>"standard of review", "ultimate appellate court", "undertaking as to damages".</w:t>
      </w:r>
    </w:p>
    <w:p w14:paraId="6CE03095" w14:textId="77777777" w:rsidR="005D338E" w:rsidRDefault="005D338E" w:rsidP="005D338E">
      <w:pPr>
        <w:pStyle w:val="CatchwordsText"/>
        <w:rPr>
          <w:i/>
        </w:rPr>
      </w:pPr>
    </w:p>
    <w:p w14:paraId="1BA1F036" w14:textId="4B006AFD" w:rsidR="007A3534" w:rsidRPr="005D338E" w:rsidRDefault="005D338E" w:rsidP="005D338E">
      <w:pPr>
        <w:pStyle w:val="CatchwordsText"/>
        <w:rPr>
          <w:iCs/>
        </w:rPr>
      </w:pPr>
      <w:r w:rsidRPr="005D338E">
        <w:rPr>
          <w:i/>
          <w:iCs/>
        </w:rPr>
        <w:t>National Health Act 1953</w:t>
      </w:r>
      <w:r>
        <w:t xml:space="preserve"> </w:t>
      </w:r>
      <w:r>
        <w:rPr>
          <w:iCs/>
        </w:rPr>
        <w:t>(Cth), ss 99ACB, 99ACH.</w:t>
      </w:r>
    </w:p>
    <w:p w14:paraId="5B6E32DA" w14:textId="0172E9F2" w:rsidR="005D338E" w:rsidRDefault="005D338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308595CC" w14:textId="0FD08563" w:rsidR="005D338E" w:rsidRDefault="005D338E">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4D99D083" w14:textId="77777777" w:rsidR="007A3534" w:rsidRDefault="007A3534" w:rsidP="00B14447">
      <w:pPr>
        <w:pStyle w:val="NormalBody"/>
        <w:tabs>
          <w:tab w:val="clear" w:pos="720"/>
          <w:tab w:val="left" w:pos="0"/>
        </w:tabs>
        <w:spacing w:after="260" w:line="280" w:lineRule="exact"/>
        <w:ind w:right="0"/>
        <w:jc w:val="both"/>
        <w:rPr>
          <w:rFonts w:ascii="Times New Roman" w:hAnsi="Times New Roman"/>
        </w:rPr>
        <w:sectPr w:rsidR="007A3534" w:rsidSect="005D338E">
          <w:pgSz w:w="11907" w:h="16839" w:code="9"/>
          <w:pgMar w:top="1440" w:right="1701" w:bottom="1984" w:left="1701" w:header="720" w:footer="720" w:gutter="0"/>
          <w:pgNumType w:start="1"/>
          <w:cols w:space="720"/>
          <w:titlePg/>
          <w:docGrid w:linePitch="354"/>
        </w:sectPr>
      </w:pPr>
    </w:p>
    <w:p w14:paraId="387F6BAE" w14:textId="245FF113" w:rsidR="00B14447" w:rsidRPr="00B14447" w:rsidRDefault="00B14447" w:rsidP="00B14447">
      <w:pPr>
        <w:pStyle w:val="NormalBody"/>
        <w:tabs>
          <w:tab w:val="clear" w:pos="720"/>
          <w:tab w:val="left" w:pos="0"/>
        </w:tabs>
        <w:spacing w:after="260" w:line="280" w:lineRule="exact"/>
        <w:ind w:right="0"/>
        <w:jc w:val="both"/>
        <w:rPr>
          <w:rFonts w:ascii="Times New Roman" w:hAnsi="Times New Roman"/>
        </w:rPr>
      </w:pPr>
      <w:r w:rsidRPr="00B14447">
        <w:rPr>
          <w:rFonts w:ascii="Times New Roman" w:hAnsi="Times New Roman"/>
        </w:rPr>
        <w:lastRenderedPageBreak/>
        <w:t xml:space="preserve">GORDON A-CJ, EDELMAN AND STEWARD JJ.   </w:t>
      </w:r>
    </w:p>
    <w:p w14:paraId="2DD132EE" w14:textId="12EA1049" w:rsidR="00364C45" w:rsidRPr="00B14447" w:rsidRDefault="00951179" w:rsidP="00B14447">
      <w:pPr>
        <w:pStyle w:val="HeadingL1"/>
        <w:spacing w:after="260" w:line="280" w:lineRule="exact"/>
        <w:ind w:right="0"/>
        <w:jc w:val="both"/>
        <w:rPr>
          <w:rFonts w:ascii="Times New Roman" w:hAnsi="Times New Roman"/>
        </w:rPr>
      </w:pPr>
      <w:r w:rsidRPr="00B14447">
        <w:rPr>
          <w:rFonts w:ascii="Times New Roman" w:hAnsi="Times New Roman"/>
        </w:rPr>
        <w:t>Introduction</w:t>
      </w:r>
      <w:r w:rsidR="00707FD8" w:rsidRPr="00B14447">
        <w:rPr>
          <w:rFonts w:ascii="Times New Roman" w:hAnsi="Times New Roman"/>
        </w:rPr>
        <w:tab/>
      </w:r>
    </w:p>
    <w:p w14:paraId="006A1642" w14:textId="43C8D307" w:rsidR="00D47851" w:rsidRPr="00B14447" w:rsidRDefault="00951179"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4320C9" w:rsidRPr="00B14447">
        <w:rPr>
          <w:rFonts w:ascii="Times New Roman" w:hAnsi="Times New Roman"/>
        </w:rPr>
        <w:t xml:space="preserve">The </w:t>
      </w:r>
      <w:r w:rsidR="0017334D" w:rsidRPr="00B14447">
        <w:rPr>
          <w:rFonts w:ascii="Times New Roman" w:hAnsi="Times New Roman"/>
        </w:rPr>
        <w:t xml:space="preserve">important point </w:t>
      </w:r>
      <w:r w:rsidR="004320C9" w:rsidRPr="00B14447">
        <w:rPr>
          <w:rFonts w:ascii="Times New Roman" w:hAnsi="Times New Roman"/>
        </w:rPr>
        <w:t xml:space="preserve">of law in this appeal </w:t>
      </w:r>
      <w:r w:rsidR="0017334D" w:rsidRPr="00B14447">
        <w:rPr>
          <w:rFonts w:ascii="Times New Roman" w:hAnsi="Times New Roman"/>
        </w:rPr>
        <w:t>is to reaffirm</w:t>
      </w:r>
      <w:r w:rsidR="0010333E" w:rsidRPr="00B14447">
        <w:rPr>
          <w:rFonts w:ascii="Times New Roman" w:hAnsi="Times New Roman"/>
        </w:rPr>
        <w:t xml:space="preserve"> the limited circumstances in which</w:t>
      </w:r>
      <w:r w:rsidR="007C32BA" w:rsidRPr="00B14447">
        <w:rPr>
          <w:rFonts w:ascii="Times New Roman" w:hAnsi="Times New Roman"/>
        </w:rPr>
        <w:t xml:space="preserve"> this Court should </w:t>
      </w:r>
      <w:r w:rsidR="001D3C52" w:rsidRPr="00B14447">
        <w:rPr>
          <w:rFonts w:ascii="Times New Roman" w:hAnsi="Times New Roman"/>
        </w:rPr>
        <w:t xml:space="preserve">review findings of fact </w:t>
      </w:r>
      <w:r w:rsidR="0088228A" w:rsidRPr="00B14447">
        <w:rPr>
          <w:rFonts w:ascii="Times New Roman" w:hAnsi="Times New Roman"/>
        </w:rPr>
        <w:t xml:space="preserve">made </w:t>
      </w:r>
      <w:r w:rsidR="00276C8A" w:rsidRPr="00B14447">
        <w:rPr>
          <w:rFonts w:ascii="Times New Roman" w:hAnsi="Times New Roman"/>
        </w:rPr>
        <w:t xml:space="preserve">by a primary judge, </w:t>
      </w:r>
      <w:r w:rsidR="002F4B25" w:rsidRPr="00B14447">
        <w:rPr>
          <w:rFonts w:ascii="Times New Roman" w:hAnsi="Times New Roman"/>
        </w:rPr>
        <w:t xml:space="preserve">which were </w:t>
      </w:r>
      <w:r w:rsidR="00276C8A" w:rsidRPr="00B14447">
        <w:rPr>
          <w:rFonts w:ascii="Times New Roman" w:hAnsi="Times New Roman"/>
        </w:rPr>
        <w:t xml:space="preserve">not disturbed </w:t>
      </w:r>
      <w:r w:rsidR="00BF0E13" w:rsidRPr="00B14447">
        <w:rPr>
          <w:rFonts w:ascii="Times New Roman" w:hAnsi="Times New Roman"/>
        </w:rPr>
        <w:t>by the intermediate appellate court</w:t>
      </w:r>
      <w:r w:rsidR="001D3C52" w:rsidRPr="00B14447">
        <w:rPr>
          <w:rFonts w:ascii="Times New Roman" w:hAnsi="Times New Roman"/>
        </w:rPr>
        <w:t>.</w:t>
      </w:r>
      <w:r w:rsidR="003D2DB0" w:rsidRPr="00B14447">
        <w:rPr>
          <w:rFonts w:ascii="Times New Roman" w:hAnsi="Times New Roman"/>
        </w:rPr>
        <w:t xml:space="preserve"> </w:t>
      </w:r>
      <w:r w:rsidR="00216AD1" w:rsidRPr="00B14447">
        <w:rPr>
          <w:rFonts w:ascii="Times New Roman" w:hAnsi="Times New Roman"/>
        </w:rPr>
        <w:t xml:space="preserve">The </w:t>
      </w:r>
      <w:r w:rsidR="00476A74" w:rsidRPr="00B14447">
        <w:rPr>
          <w:rFonts w:ascii="Times New Roman" w:hAnsi="Times New Roman"/>
        </w:rPr>
        <w:t xml:space="preserve">principled </w:t>
      </w:r>
      <w:r w:rsidR="00216AD1" w:rsidRPr="00B14447">
        <w:rPr>
          <w:rFonts w:ascii="Times New Roman" w:hAnsi="Times New Roman"/>
        </w:rPr>
        <w:t>approach</w:t>
      </w:r>
      <w:r w:rsidR="008D5CF4" w:rsidRPr="00B14447">
        <w:rPr>
          <w:rFonts w:ascii="Times New Roman" w:hAnsi="Times New Roman"/>
        </w:rPr>
        <w:t xml:space="preserve"> taken by this Court</w:t>
      </w:r>
      <w:r w:rsidR="00CE1A29" w:rsidRPr="00B14447">
        <w:rPr>
          <w:rFonts w:ascii="Times New Roman" w:hAnsi="Times New Roman"/>
        </w:rPr>
        <w:t>,</w:t>
      </w:r>
      <w:r w:rsidR="00216AD1" w:rsidRPr="00B14447">
        <w:rPr>
          <w:rFonts w:ascii="Times New Roman" w:hAnsi="Times New Roman"/>
        </w:rPr>
        <w:t xml:space="preserve"> </w:t>
      </w:r>
      <w:r w:rsidR="00BA201A" w:rsidRPr="00B14447">
        <w:rPr>
          <w:rFonts w:ascii="Times New Roman" w:hAnsi="Times New Roman"/>
        </w:rPr>
        <w:t>reaffirmed in these reasons</w:t>
      </w:r>
      <w:r w:rsidR="00CE1A29" w:rsidRPr="00B14447">
        <w:rPr>
          <w:rFonts w:ascii="Times New Roman" w:hAnsi="Times New Roman"/>
        </w:rPr>
        <w:t>,</w:t>
      </w:r>
      <w:r w:rsidR="00BA201A" w:rsidRPr="00B14447">
        <w:rPr>
          <w:rFonts w:ascii="Times New Roman" w:hAnsi="Times New Roman"/>
        </w:rPr>
        <w:t xml:space="preserve"> is</w:t>
      </w:r>
      <w:r w:rsidR="00216AD1" w:rsidRPr="00B14447">
        <w:rPr>
          <w:rFonts w:ascii="Times New Roman" w:hAnsi="Times New Roman"/>
        </w:rPr>
        <w:t xml:space="preserve"> common to many ultimate appellate courts</w:t>
      </w:r>
      <w:r w:rsidR="00E728ED" w:rsidRPr="00B14447">
        <w:rPr>
          <w:rFonts w:ascii="Times New Roman" w:hAnsi="Times New Roman"/>
        </w:rPr>
        <w:t xml:space="preserve"> in the common law tradition</w:t>
      </w:r>
      <w:r w:rsidR="00512663" w:rsidRPr="00B14447">
        <w:rPr>
          <w:rFonts w:ascii="Times New Roman" w:hAnsi="Times New Roman"/>
        </w:rPr>
        <w:t>. Th</w:t>
      </w:r>
      <w:r w:rsidR="00161BDB" w:rsidRPr="00B14447">
        <w:rPr>
          <w:rFonts w:ascii="Times New Roman" w:hAnsi="Times New Roman"/>
        </w:rPr>
        <w:t>at</w:t>
      </w:r>
      <w:r w:rsidR="00206444" w:rsidRPr="00B14447">
        <w:rPr>
          <w:rFonts w:ascii="Times New Roman" w:hAnsi="Times New Roman"/>
        </w:rPr>
        <w:t xml:space="preserve"> principle</w:t>
      </w:r>
      <w:r w:rsidR="00512663" w:rsidRPr="00B14447">
        <w:rPr>
          <w:rFonts w:ascii="Times New Roman" w:hAnsi="Times New Roman"/>
        </w:rPr>
        <w:t xml:space="preserve"> is that</w:t>
      </w:r>
      <w:r w:rsidR="00B01D0B" w:rsidRPr="00B14447">
        <w:rPr>
          <w:rFonts w:ascii="Times New Roman" w:hAnsi="Times New Roman"/>
        </w:rPr>
        <w:t>,</w:t>
      </w:r>
      <w:r w:rsidR="00512663" w:rsidRPr="00B14447">
        <w:rPr>
          <w:rFonts w:ascii="Times New Roman" w:hAnsi="Times New Roman"/>
        </w:rPr>
        <w:t xml:space="preserve"> </w:t>
      </w:r>
      <w:r w:rsidR="00A400F1" w:rsidRPr="00B14447">
        <w:rPr>
          <w:rFonts w:ascii="Times New Roman" w:hAnsi="Times New Roman"/>
        </w:rPr>
        <w:t xml:space="preserve">absent </w:t>
      </w:r>
      <w:r w:rsidR="00BF0E13" w:rsidRPr="00B14447">
        <w:rPr>
          <w:rFonts w:ascii="Times New Roman" w:hAnsi="Times New Roman"/>
        </w:rPr>
        <w:t xml:space="preserve">special or </w:t>
      </w:r>
      <w:r w:rsidR="00A400F1" w:rsidRPr="00B14447">
        <w:rPr>
          <w:rFonts w:ascii="Times New Roman" w:hAnsi="Times New Roman"/>
        </w:rPr>
        <w:t>exceptional circumstances</w:t>
      </w:r>
      <w:r w:rsidR="00D32DFD" w:rsidRPr="00B14447">
        <w:rPr>
          <w:rFonts w:ascii="Times New Roman" w:hAnsi="Times New Roman"/>
        </w:rPr>
        <w:t xml:space="preserve"> such as plain injustice or clear error</w:t>
      </w:r>
      <w:r w:rsidR="00B01D0B" w:rsidRPr="00B14447">
        <w:rPr>
          <w:rFonts w:ascii="Times New Roman" w:hAnsi="Times New Roman"/>
        </w:rPr>
        <w:t>,</w:t>
      </w:r>
      <w:r w:rsidR="00512663" w:rsidRPr="00B14447">
        <w:rPr>
          <w:rFonts w:ascii="Times New Roman" w:hAnsi="Times New Roman"/>
        </w:rPr>
        <w:t xml:space="preserve"> </w:t>
      </w:r>
      <w:r w:rsidR="006A13DF" w:rsidRPr="00B14447">
        <w:rPr>
          <w:rFonts w:ascii="Times New Roman" w:hAnsi="Times New Roman"/>
        </w:rPr>
        <w:t xml:space="preserve">this Court will not engage in a detailed review of concurrent factual findings of </w:t>
      </w:r>
      <w:r w:rsidR="0004592E" w:rsidRPr="00B14447">
        <w:rPr>
          <w:rFonts w:ascii="Times New Roman" w:hAnsi="Times New Roman"/>
        </w:rPr>
        <w:t xml:space="preserve">lower courts. </w:t>
      </w:r>
      <w:r w:rsidR="0049019C" w:rsidRPr="00B14447">
        <w:rPr>
          <w:rFonts w:ascii="Times New Roman" w:hAnsi="Times New Roman"/>
        </w:rPr>
        <w:t>Th</w:t>
      </w:r>
      <w:r w:rsidR="00161BDB" w:rsidRPr="00B14447">
        <w:rPr>
          <w:rFonts w:ascii="Times New Roman" w:hAnsi="Times New Roman"/>
        </w:rPr>
        <w:t>is</w:t>
      </w:r>
      <w:r w:rsidR="0049019C" w:rsidRPr="00B14447">
        <w:rPr>
          <w:rFonts w:ascii="Times New Roman" w:hAnsi="Times New Roman"/>
        </w:rPr>
        <w:t xml:space="preserve"> </w:t>
      </w:r>
      <w:r w:rsidR="001B3940" w:rsidRPr="00B14447">
        <w:rPr>
          <w:rFonts w:ascii="Times New Roman" w:hAnsi="Times New Roman"/>
        </w:rPr>
        <w:t xml:space="preserve">approach </w:t>
      </w:r>
      <w:r w:rsidR="0049019C" w:rsidRPr="00B14447">
        <w:rPr>
          <w:rFonts w:ascii="Times New Roman" w:hAnsi="Times New Roman"/>
        </w:rPr>
        <w:t xml:space="preserve">applies a fortiori to concurrent findings </w:t>
      </w:r>
      <w:r w:rsidR="00D83816" w:rsidRPr="00B14447">
        <w:rPr>
          <w:rFonts w:ascii="Times New Roman" w:hAnsi="Times New Roman"/>
        </w:rPr>
        <w:t>of fact</w:t>
      </w:r>
      <w:r w:rsidR="00165BA2" w:rsidRPr="00B14447">
        <w:rPr>
          <w:rFonts w:ascii="Times New Roman" w:hAnsi="Times New Roman"/>
        </w:rPr>
        <w:t xml:space="preserve">s and counter-facts </w:t>
      </w:r>
      <w:r w:rsidR="00420030" w:rsidRPr="00B14447">
        <w:rPr>
          <w:rFonts w:ascii="Times New Roman" w:hAnsi="Times New Roman"/>
        </w:rPr>
        <w:t xml:space="preserve">that are made as steps </w:t>
      </w:r>
      <w:r w:rsidR="00165BA2" w:rsidRPr="00B14447">
        <w:rPr>
          <w:rFonts w:ascii="Times New Roman" w:hAnsi="Times New Roman"/>
        </w:rPr>
        <w:t>towards an ultimate finding of</w:t>
      </w:r>
      <w:r w:rsidR="003B2172" w:rsidRPr="00B14447">
        <w:rPr>
          <w:rFonts w:ascii="Times New Roman" w:hAnsi="Times New Roman"/>
        </w:rPr>
        <w:t xml:space="preserve"> facts. </w:t>
      </w:r>
      <w:r w:rsidR="00A65155" w:rsidRPr="00B14447">
        <w:rPr>
          <w:rFonts w:ascii="Times New Roman" w:hAnsi="Times New Roman"/>
        </w:rPr>
        <w:t xml:space="preserve">The principle is a pragmatic </w:t>
      </w:r>
      <w:r w:rsidR="00511C8F" w:rsidRPr="00B14447">
        <w:rPr>
          <w:rFonts w:ascii="Times New Roman" w:hAnsi="Times New Roman"/>
        </w:rPr>
        <w:t xml:space="preserve">one based upon an important need for triage. </w:t>
      </w:r>
      <w:r w:rsidR="00267472" w:rsidRPr="00B14447">
        <w:rPr>
          <w:rFonts w:ascii="Times New Roman" w:hAnsi="Times New Roman"/>
        </w:rPr>
        <w:t>For every appeal that is heard by an</w:t>
      </w:r>
      <w:r w:rsidR="00A65155" w:rsidRPr="00B14447">
        <w:rPr>
          <w:rFonts w:ascii="Times New Roman" w:hAnsi="Times New Roman"/>
        </w:rPr>
        <w:t xml:space="preserve"> ultimate appellate court, with a limited </w:t>
      </w:r>
      <w:r w:rsidR="00267472" w:rsidRPr="00B14447">
        <w:rPr>
          <w:rFonts w:ascii="Times New Roman" w:hAnsi="Times New Roman"/>
        </w:rPr>
        <w:t xml:space="preserve">capacity to hear appeals, </w:t>
      </w:r>
      <w:r w:rsidR="00C24054" w:rsidRPr="00B14447">
        <w:rPr>
          <w:rFonts w:ascii="Times New Roman" w:hAnsi="Times New Roman"/>
        </w:rPr>
        <w:t>another appeal (or</w:t>
      </w:r>
      <w:r w:rsidR="001C2841" w:rsidRPr="00B14447">
        <w:rPr>
          <w:rFonts w:ascii="Times New Roman" w:hAnsi="Times New Roman"/>
        </w:rPr>
        <w:t>, as in this case,</w:t>
      </w:r>
      <w:r w:rsidR="00C24054" w:rsidRPr="00B14447">
        <w:rPr>
          <w:rFonts w:ascii="Times New Roman" w:hAnsi="Times New Roman"/>
        </w:rPr>
        <w:t xml:space="preserve"> sometimes more)</w:t>
      </w:r>
      <w:r w:rsidR="00267472" w:rsidRPr="00B14447">
        <w:rPr>
          <w:rFonts w:ascii="Times New Roman" w:hAnsi="Times New Roman"/>
        </w:rPr>
        <w:t xml:space="preserve"> will not be heard.</w:t>
      </w:r>
    </w:p>
    <w:p w14:paraId="63B60097" w14:textId="3F82DCAE" w:rsidR="008E491A" w:rsidRPr="00B14447" w:rsidRDefault="001665D9" w:rsidP="00B14447">
      <w:pPr>
        <w:pStyle w:val="FixListStyle"/>
        <w:spacing w:after="260" w:line="280" w:lineRule="exact"/>
        <w:ind w:right="0"/>
        <w:jc w:val="both"/>
        <w:rPr>
          <w:rFonts w:ascii="Times New Roman" w:hAnsi="Times New Roman"/>
        </w:rPr>
      </w:pPr>
      <w:r w:rsidRPr="00B14447">
        <w:rPr>
          <w:rFonts w:ascii="Times New Roman" w:hAnsi="Times New Roman"/>
        </w:rPr>
        <w:tab/>
        <w:t>This appeal does not concern any individual rights</w:t>
      </w:r>
      <w:r w:rsidR="00B31F37" w:rsidRPr="00B14447">
        <w:rPr>
          <w:rFonts w:ascii="Times New Roman" w:hAnsi="Times New Roman"/>
        </w:rPr>
        <w:t xml:space="preserve">, </w:t>
      </w:r>
      <w:r w:rsidR="00846C3E" w:rsidRPr="00B14447">
        <w:rPr>
          <w:rFonts w:ascii="Times New Roman" w:hAnsi="Times New Roman"/>
        </w:rPr>
        <w:t xml:space="preserve">nor expose any </w:t>
      </w:r>
      <w:r w:rsidR="00902C55" w:rsidRPr="00B14447">
        <w:rPr>
          <w:rFonts w:ascii="Times New Roman" w:hAnsi="Times New Roman"/>
        </w:rPr>
        <w:t>plain</w:t>
      </w:r>
      <w:r w:rsidRPr="00B14447">
        <w:rPr>
          <w:rFonts w:ascii="Times New Roman" w:hAnsi="Times New Roman"/>
        </w:rPr>
        <w:t xml:space="preserve"> injustice</w:t>
      </w:r>
      <w:r w:rsidR="00B31F37" w:rsidRPr="00B14447">
        <w:rPr>
          <w:rFonts w:ascii="Times New Roman" w:hAnsi="Times New Roman"/>
        </w:rPr>
        <w:t xml:space="preserve"> or clear error</w:t>
      </w:r>
      <w:r w:rsidRPr="00B14447">
        <w:rPr>
          <w:rFonts w:ascii="Times New Roman" w:hAnsi="Times New Roman"/>
        </w:rPr>
        <w:t xml:space="preserve">. </w:t>
      </w:r>
    </w:p>
    <w:p w14:paraId="2DAE47CD" w14:textId="3FB3CC7D" w:rsidR="00FD097D"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C4927" w:rsidRPr="00B14447">
        <w:rPr>
          <w:rFonts w:ascii="Times New Roman" w:hAnsi="Times New Roman"/>
        </w:rPr>
        <w:t>T</w:t>
      </w:r>
      <w:r w:rsidR="005F631A" w:rsidRPr="00B14447">
        <w:rPr>
          <w:rFonts w:ascii="Times New Roman" w:hAnsi="Times New Roman"/>
        </w:rPr>
        <w:t>he first respondent</w:t>
      </w:r>
      <w:r w:rsidR="000E4673" w:rsidRPr="00B14447">
        <w:rPr>
          <w:rFonts w:ascii="Times New Roman" w:hAnsi="Times New Roman"/>
        </w:rPr>
        <w:t xml:space="preserve">, which collectively with the other respondents </w:t>
      </w:r>
      <w:r w:rsidR="00BC545B" w:rsidRPr="00B14447">
        <w:rPr>
          <w:rFonts w:ascii="Times New Roman" w:hAnsi="Times New Roman"/>
        </w:rPr>
        <w:t xml:space="preserve">may be </w:t>
      </w:r>
      <w:r w:rsidR="000E4673" w:rsidRPr="00B14447">
        <w:rPr>
          <w:rFonts w:ascii="Times New Roman" w:hAnsi="Times New Roman"/>
        </w:rPr>
        <w:t>described as</w:t>
      </w:r>
      <w:r w:rsidR="005F631A" w:rsidRPr="00B14447">
        <w:rPr>
          <w:rFonts w:ascii="Times New Roman" w:hAnsi="Times New Roman"/>
        </w:rPr>
        <w:t xml:space="preserve"> </w:t>
      </w:r>
      <w:r w:rsidR="00F83FA5" w:rsidRPr="00B14447">
        <w:rPr>
          <w:rFonts w:ascii="Times New Roman" w:hAnsi="Times New Roman"/>
        </w:rPr>
        <w:t>"</w:t>
      </w:r>
      <w:r w:rsidR="005F631A" w:rsidRPr="00B14447">
        <w:rPr>
          <w:rFonts w:ascii="Times New Roman" w:hAnsi="Times New Roman"/>
          <w:b/>
          <w:bCs/>
        </w:rPr>
        <w:t>Sanofi</w:t>
      </w:r>
      <w:r w:rsidR="00F83FA5" w:rsidRPr="00B14447">
        <w:rPr>
          <w:rFonts w:ascii="Times New Roman" w:hAnsi="Times New Roman"/>
        </w:rPr>
        <w:t>"</w:t>
      </w:r>
      <w:r w:rsidR="00BC545B" w:rsidRPr="00B14447">
        <w:rPr>
          <w:rFonts w:ascii="Times New Roman" w:hAnsi="Times New Roman"/>
        </w:rPr>
        <w:t xml:space="preserve">, </w:t>
      </w:r>
      <w:r w:rsidR="00696211" w:rsidRPr="00B14447">
        <w:rPr>
          <w:rFonts w:ascii="Times New Roman" w:hAnsi="Times New Roman"/>
        </w:rPr>
        <w:t xml:space="preserve">held </w:t>
      </w:r>
      <w:r w:rsidR="00FD097D" w:rsidRPr="00B14447">
        <w:rPr>
          <w:rFonts w:ascii="Times New Roman" w:hAnsi="Times New Roman"/>
        </w:rPr>
        <w:t xml:space="preserve">a patent in a number of jurisdictions including Australia in respect of the drug </w:t>
      </w:r>
      <w:r w:rsidR="005E745A" w:rsidRPr="00B14447">
        <w:rPr>
          <w:rFonts w:ascii="Times New Roman" w:hAnsi="Times New Roman"/>
        </w:rPr>
        <w:t>c</w:t>
      </w:r>
      <w:r w:rsidR="00FD097D" w:rsidRPr="00B14447">
        <w:rPr>
          <w:rFonts w:ascii="Times New Roman" w:hAnsi="Times New Roman"/>
        </w:rPr>
        <w:t xml:space="preserve">lopidogrel which is </w:t>
      </w:r>
      <w:r w:rsidR="005E745A" w:rsidRPr="00B14447">
        <w:rPr>
          <w:rFonts w:ascii="Times New Roman" w:hAnsi="Times New Roman"/>
        </w:rPr>
        <w:t xml:space="preserve">usually </w:t>
      </w:r>
      <w:r w:rsidR="00FD097D" w:rsidRPr="00B14447">
        <w:rPr>
          <w:rFonts w:ascii="Times New Roman" w:hAnsi="Times New Roman"/>
        </w:rPr>
        <w:t xml:space="preserve">prescribed to patients who have suffered, or are at risk of suffering, a heart attack or stroke. Sanofi earned </w:t>
      </w:r>
      <w:r w:rsidR="00755CA7" w:rsidRPr="00B14447">
        <w:rPr>
          <w:rFonts w:ascii="Times New Roman" w:hAnsi="Times New Roman"/>
        </w:rPr>
        <w:t xml:space="preserve">annual </w:t>
      </w:r>
      <w:r w:rsidR="00FD097D" w:rsidRPr="00B14447">
        <w:rPr>
          <w:rFonts w:ascii="Times New Roman" w:hAnsi="Times New Roman"/>
        </w:rPr>
        <w:t xml:space="preserve">worldwide revenue from </w:t>
      </w:r>
      <w:r w:rsidR="00755CA7" w:rsidRPr="00B14447">
        <w:rPr>
          <w:rFonts w:ascii="Times New Roman" w:hAnsi="Times New Roman"/>
        </w:rPr>
        <w:t>sales of c</w:t>
      </w:r>
      <w:r w:rsidR="00FD097D" w:rsidRPr="00B14447">
        <w:rPr>
          <w:rFonts w:ascii="Times New Roman" w:hAnsi="Times New Roman"/>
        </w:rPr>
        <w:t xml:space="preserve">lopidogrel </w:t>
      </w:r>
      <w:r w:rsidR="00D53D1B" w:rsidRPr="00B14447">
        <w:rPr>
          <w:rFonts w:ascii="Times New Roman" w:hAnsi="Times New Roman"/>
        </w:rPr>
        <w:t xml:space="preserve">equivalent to </w:t>
      </w:r>
      <w:r w:rsidR="00FD097D" w:rsidRPr="00B14447">
        <w:rPr>
          <w:rFonts w:ascii="Times New Roman" w:hAnsi="Times New Roman"/>
        </w:rPr>
        <w:t>more than $1</w:t>
      </w:r>
      <w:r w:rsidR="000842AF" w:rsidRPr="00B14447">
        <w:rPr>
          <w:rFonts w:ascii="Times New Roman" w:hAnsi="Times New Roman"/>
        </w:rPr>
        <w:t> </w:t>
      </w:r>
      <w:r w:rsidR="00FD097D" w:rsidRPr="00B14447">
        <w:rPr>
          <w:rFonts w:ascii="Times New Roman" w:hAnsi="Times New Roman"/>
        </w:rPr>
        <w:t xml:space="preserve">billion. Clopidogrel </w:t>
      </w:r>
      <w:r w:rsidR="009D75C5" w:rsidRPr="00B14447">
        <w:rPr>
          <w:rFonts w:ascii="Times New Roman" w:hAnsi="Times New Roman"/>
        </w:rPr>
        <w:t xml:space="preserve">had </w:t>
      </w:r>
      <w:r w:rsidR="00FD097D" w:rsidRPr="00B14447">
        <w:rPr>
          <w:rFonts w:ascii="Times New Roman" w:hAnsi="Times New Roman"/>
        </w:rPr>
        <w:t>been supplied by Sanofi in Australia in tablet form since 1998 and it was first listed on the Pharmaceutical Benefits Scheme ("</w:t>
      </w:r>
      <w:r w:rsidR="00FD097D" w:rsidRPr="00B14447">
        <w:rPr>
          <w:rFonts w:ascii="Times New Roman" w:hAnsi="Times New Roman"/>
          <w:b/>
          <w:bCs/>
        </w:rPr>
        <w:t>PBS</w:t>
      </w:r>
      <w:r w:rsidR="00FD097D" w:rsidRPr="00B14447">
        <w:rPr>
          <w:rFonts w:ascii="Times New Roman" w:hAnsi="Times New Roman"/>
        </w:rPr>
        <w:t xml:space="preserve">") on </w:t>
      </w:r>
      <w:r w:rsidR="000842AF" w:rsidRPr="00B14447">
        <w:rPr>
          <w:rFonts w:ascii="Times New Roman" w:hAnsi="Times New Roman"/>
        </w:rPr>
        <w:t>1 </w:t>
      </w:r>
      <w:r w:rsidR="00FD097D" w:rsidRPr="00B14447">
        <w:rPr>
          <w:rFonts w:ascii="Times New Roman" w:hAnsi="Times New Roman"/>
        </w:rPr>
        <w:t>November 1999.</w:t>
      </w:r>
      <w:r w:rsidR="008829AF" w:rsidRPr="00B14447">
        <w:rPr>
          <w:rFonts w:ascii="Times New Roman" w:hAnsi="Times New Roman"/>
        </w:rPr>
        <w:t xml:space="preserve"> </w:t>
      </w:r>
    </w:p>
    <w:p w14:paraId="46DC541A" w14:textId="0993DB10" w:rsidR="00E344DA" w:rsidRPr="00B14447" w:rsidRDefault="00FD097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34309D" w:rsidRPr="00B14447">
        <w:rPr>
          <w:rFonts w:ascii="Times New Roman" w:hAnsi="Times New Roman"/>
        </w:rPr>
        <w:t xml:space="preserve">The Apotex group of companies was at all material times a substantial manufacturer and distributor of generic medicines worldwide. </w:t>
      </w:r>
      <w:r w:rsidR="00887DAB" w:rsidRPr="00B14447">
        <w:rPr>
          <w:rFonts w:ascii="Times New Roman" w:hAnsi="Times New Roman"/>
        </w:rPr>
        <w:t>It</w:t>
      </w:r>
      <w:r w:rsidR="0034309D" w:rsidRPr="00B14447">
        <w:rPr>
          <w:rFonts w:ascii="Times New Roman" w:hAnsi="Times New Roman"/>
        </w:rPr>
        <w:t xml:space="preserve"> developed a generic clopidogrel product which it sought to bring to market in Australia. </w:t>
      </w:r>
      <w:r w:rsidR="00CC3C27" w:rsidRPr="00B14447">
        <w:rPr>
          <w:rFonts w:ascii="Times New Roman" w:hAnsi="Times New Roman"/>
        </w:rPr>
        <w:t>On 25</w:t>
      </w:r>
      <w:r w:rsidR="00180356" w:rsidRPr="00B14447">
        <w:rPr>
          <w:rFonts w:ascii="Times New Roman" w:hAnsi="Times New Roman"/>
        </w:rPr>
        <w:t> </w:t>
      </w:r>
      <w:r w:rsidR="00CC3C27" w:rsidRPr="00B14447">
        <w:rPr>
          <w:rFonts w:ascii="Times New Roman" w:hAnsi="Times New Roman"/>
        </w:rPr>
        <w:t xml:space="preserve">September 2007, </w:t>
      </w:r>
      <w:r w:rsidR="00F83FA5" w:rsidRPr="00B14447">
        <w:rPr>
          <w:rFonts w:ascii="Times New Roman" w:hAnsi="Times New Roman"/>
        </w:rPr>
        <w:t xml:space="preserve">Sanofi gave </w:t>
      </w:r>
      <w:r w:rsidR="00BD3601" w:rsidRPr="00B14447">
        <w:rPr>
          <w:rFonts w:ascii="Times New Roman" w:hAnsi="Times New Roman"/>
        </w:rPr>
        <w:t xml:space="preserve">the usual </w:t>
      </w:r>
      <w:r w:rsidR="00F83FA5" w:rsidRPr="00B14447">
        <w:rPr>
          <w:rFonts w:ascii="Times New Roman" w:hAnsi="Times New Roman"/>
        </w:rPr>
        <w:t xml:space="preserve">undertaking as to damages </w:t>
      </w:r>
      <w:r w:rsidR="00232E1C" w:rsidRPr="00B14447">
        <w:rPr>
          <w:rFonts w:ascii="Times New Roman" w:hAnsi="Times New Roman"/>
        </w:rPr>
        <w:t xml:space="preserve">in support of an interlocutory injunction </w:t>
      </w:r>
      <w:r w:rsidR="00826553" w:rsidRPr="00B14447">
        <w:rPr>
          <w:rFonts w:ascii="Times New Roman" w:hAnsi="Times New Roman"/>
        </w:rPr>
        <w:t xml:space="preserve">granted by </w:t>
      </w:r>
      <w:r w:rsidR="00E36B5A" w:rsidRPr="00B14447">
        <w:rPr>
          <w:rFonts w:ascii="Times New Roman" w:hAnsi="Times New Roman"/>
        </w:rPr>
        <w:t>Gyles</w:t>
      </w:r>
      <w:r w:rsidR="00BA3FFD" w:rsidRPr="00B14447">
        <w:rPr>
          <w:rFonts w:ascii="Times New Roman" w:hAnsi="Times New Roman"/>
        </w:rPr>
        <w:t> </w:t>
      </w:r>
      <w:r w:rsidR="00E36B5A" w:rsidRPr="00B14447">
        <w:rPr>
          <w:rFonts w:ascii="Times New Roman" w:hAnsi="Times New Roman"/>
        </w:rPr>
        <w:t xml:space="preserve">J of </w:t>
      </w:r>
      <w:r w:rsidR="00826553" w:rsidRPr="00B14447">
        <w:rPr>
          <w:rFonts w:ascii="Times New Roman" w:hAnsi="Times New Roman"/>
        </w:rPr>
        <w:t xml:space="preserve">the Federal Court of Australia </w:t>
      </w:r>
      <w:r w:rsidR="00232E1C" w:rsidRPr="00B14447">
        <w:rPr>
          <w:rFonts w:ascii="Times New Roman" w:hAnsi="Times New Roman"/>
        </w:rPr>
        <w:t xml:space="preserve">that prevented Apotex </w:t>
      </w:r>
      <w:r w:rsidR="00316D86" w:rsidRPr="00B14447">
        <w:rPr>
          <w:rFonts w:ascii="Times New Roman" w:hAnsi="Times New Roman"/>
        </w:rPr>
        <w:t>Pty Ltd</w:t>
      </w:r>
      <w:r w:rsidR="00BE7B3A" w:rsidRPr="00B14447">
        <w:rPr>
          <w:rFonts w:ascii="Times New Roman" w:hAnsi="Times New Roman"/>
        </w:rPr>
        <w:t xml:space="preserve"> </w:t>
      </w:r>
      <w:r w:rsidR="00CD0FB5" w:rsidRPr="00B14447">
        <w:rPr>
          <w:rFonts w:ascii="Times New Roman" w:hAnsi="Times New Roman"/>
        </w:rPr>
        <w:t>("</w:t>
      </w:r>
      <w:r w:rsidR="00CD0FB5" w:rsidRPr="00B14447">
        <w:rPr>
          <w:rFonts w:ascii="Times New Roman" w:hAnsi="Times New Roman"/>
          <w:b/>
          <w:bCs/>
        </w:rPr>
        <w:t>Apotex</w:t>
      </w:r>
      <w:r w:rsidR="00CD0FB5" w:rsidRPr="00B14447">
        <w:rPr>
          <w:rFonts w:ascii="Times New Roman" w:hAnsi="Times New Roman"/>
        </w:rPr>
        <w:t>"</w:t>
      </w:r>
      <w:r w:rsidR="00C608A9" w:rsidRPr="00B14447">
        <w:rPr>
          <w:rFonts w:ascii="Times New Roman" w:hAnsi="Times New Roman"/>
        </w:rPr>
        <w:t xml:space="preserve"> or "</w:t>
      </w:r>
      <w:r w:rsidR="00C608A9" w:rsidRPr="00B14447">
        <w:rPr>
          <w:rFonts w:ascii="Times New Roman" w:hAnsi="Times New Roman"/>
          <w:b/>
          <w:bCs/>
        </w:rPr>
        <w:t>Apotex Australia</w:t>
      </w:r>
      <w:r w:rsidR="00C608A9" w:rsidRPr="00B14447">
        <w:rPr>
          <w:rFonts w:ascii="Times New Roman" w:hAnsi="Times New Roman"/>
        </w:rPr>
        <w:t>"</w:t>
      </w:r>
      <w:r w:rsidR="00CD0FB5" w:rsidRPr="00B14447">
        <w:rPr>
          <w:rFonts w:ascii="Times New Roman" w:hAnsi="Times New Roman"/>
        </w:rPr>
        <w:t xml:space="preserve">) </w:t>
      </w:r>
      <w:r w:rsidR="00BE7B3A" w:rsidRPr="00B14447">
        <w:rPr>
          <w:rFonts w:ascii="Times New Roman" w:hAnsi="Times New Roman"/>
        </w:rPr>
        <w:t xml:space="preserve">from competing with Sanofi by manufacture and sale of a generic competitor to Sanofi's patented drug, </w:t>
      </w:r>
      <w:r w:rsidR="00121CEC" w:rsidRPr="00B14447">
        <w:rPr>
          <w:rFonts w:ascii="Times New Roman" w:hAnsi="Times New Roman"/>
        </w:rPr>
        <w:t>c</w:t>
      </w:r>
      <w:r w:rsidR="00BE7B3A" w:rsidRPr="00B14447">
        <w:rPr>
          <w:rFonts w:ascii="Times New Roman" w:hAnsi="Times New Roman"/>
        </w:rPr>
        <w:t xml:space="preserve">lopidogrel. </w:t>
      </w:r>
      <w:r w:rsidR="00322488" w:rsidRPr="00B14447">
        <w:rPr>
          <w:rFonts w:ascii="Times New Roman" w:hAnsi="Times New Roman"/>
        </w:rPr>
        <w:t xml:space="preserve">That interlocutory order recorded that </w:t>
      </w:r>
      <w:r w:rsidR="00015685" w:rsidRPr="00B14447">
        <w:rPr>
          <w:rFonts w:ascii="Times New Roman" w:hAnsi="Times New Roman"/>
        </w:rPr>
        <w:t>Apotex undert</w:t>
      </w:r>
      <w:r w:rsidR="00E344DA" w:rsidRPr="00B14447">
        <w:rPr>
          <w:rFonts w:ascii="Times New Roman" w:hAnsi="Times New Roman"/>
        </w:rPr>
        <w:t>ook</w:t>
      </w:r>
      <w:r w:rsidR="00015685" w:rsidRPr="00B14447">
        <w:rPr>
          <w:rFonts w:ascii="Times New Roman" w:hAnsi="Times New Roman"/>
        </w:rPr>
        <w:t xml:space="preserve"> not to take steps to obtain PBS listing of its clopidogrel products. </w:t>
      </w:r>
    </w:p>
    <w:p w14:paraId="1697BAD5" w14:textId="0CAAA7CF" w:rsidR="00015685" w:rsidRPr="00B14447" w:rsidRDefault="00E344D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D3601" w:rsidRPr="00B14447">
        <w:rPr>
          <w:rFonts w:ascii="Times New Roman" w:hAnsi="Times New Roman"/>
        </w:rPr>
        <w:t>T</w:t>
      </w:r>
      <w:r w:rsidR="00015685" w:rsidRPr="00B14447">
        <w:rPr>
          <w:rFonts w:ascii="Times New Roman" w:hAnsi="Times New Roman"/>
        </w:rPr>
        <w:t xml:space="preserve">he Federal Court of Australia granted Sanofi a final injunction restraining Apotex </w:t>
      </w:r>
      <w:r w:rsidR="00BD3601" w:rsidRPr="00B14447">
        <w:rPr>
          <w:rFonts w:ascii="Times New Roman" w:hAnsi="Times New Roman"/>
        </w:rPr>
        <w:t xml:space="preserve">on </w:t>
      </w:r>
      <w:r w:rsidR="00180356" w:rsidRPr="00B14447">
        <w:rPr>
          <w:rFonts w:ascii="Times New Roman" w:hAnsi="Times New Roman"/>
        </w:rPr>
        <w:t>19 </w:t>
      </w:r>
      <w:r w:rsidR="00E7394A" w:rsidRPr="00B14447">
        <w:rPr>
          <w:rFonts w:ascii="Times New Roman" w:hAnsi="Times New Roman"/>
        </w:rPr>
        <w:t>August 2008</w:t>
      </w:r>
      <w:r w:rsidR="00015685" w:rsidRPr="00B14447">
        <w:rPr>
          <w:rFonts w:ascii="Times New Roman" w:hAnsi="Times New Roman"/>
        </w:rPr>
        <w:t>.</w:t>
      </w:r>
      <w:r w:rsidR="00966502" w:rsidRPr="00B14447">
        <w:rPr>
          <w:rFonts w:ascii="Times New Roman" w:hAnsi="Times New Roman"/>
        </w:rPr>
        <w:t xml:space="preserve"> That final injunction was set aside by the Full Court of the Federal Court </w:t>
      </w:r>
      <w:r w:rsidR="00F57F0B" w:rsidRPr="00B14447">
        <w:rPr>
          <w:rFonts w:ascii="Times New Roman" w:hAnsi="Times New Roman"/>
        </w:rPr>
        <w:t xml:space="preserve">in accordance with reasons given </w:t>
      </w:r>
      <w:r w:rsidR="00966502" w:rsidRPr="00B14447">
        <w:rPr>
          <w:rFonts w:ascii="Times New Roman" w:hAnsi="Times New Roman"/>
        </w:rPr>
        <w:t>on 29</w:t>
      </w:r>
      <w:r w:rsidR="00864976" w:rsidRPr="00B14447">
        <w:rPr>
          <w:rFonts w:ascii="Times New Roman" w:hAnsi="Times New Roman"/>
        </w:rPr>
        <w:t> </w:t>
      </w:r>
      <w:r w:rsidR="00966502" w:rsidRPr="00B14447">
        <w:rPr>
          <w:rFonts w:ascii="Times New Roman" w:hAnsi="Times New Roman"/>
        </w:rPr>
        <w:t xml:space="preserve">September 2009. The </w:t>
      </w:r>
      <w:r w:rsidR="00BD3601" w:rsidRPr="00B14447">
        <w:rPr>
          <w:rFonts w:ascii="Times New Roman" w:hAnsi="Times New Roman"/>
        </w:rPr>
        <w:t xml:space="preserve">Full </w:t>
      </w:r>
      <w:r w:rsidR="00966502" w:rsidRPr="00B14447">
        <w:rPr>
          <w:rFonts w:ascii="Times New Roman" w:hAnsi="Times New Roman"/>
        </w:rPr>
        <w:t xml:space="preserve">Court made orders </w:t>
      </w:r>
      <w:r w:rsidR="00EA378A" w:rsidRPr="00B14447">
        <w:rPr>
          <w:rFonts w:ascii="Times New Roman" w:hAnsi="Times New Roman"/>
        </w:rPr>
        <w:t xml:space="preserve">to that effect </w:t>
      </w:r>
      <w:r w:rsidR="00F57F0B" w:rsidRPr="00B14447">
        <w:rPr>
          <w:rFonts w:ascii="Times New Roman" w:hAnsi="Times New Roman"/>
        </w:rPr>
        <w:t>on 13 October 2009</w:t>
      </w:r>
      <w:r w:rsidR="005777DA" w:rsidRPr="00B14447">
        <w:rPr>
          <w:rFonts w:ascii="Times New Roman" w:hAnsi="Times New Roman"/>
        </w:rPr>
        <w:t>,</w:t>
      </w:r>
      <w:r w:rsidR="00F57F0B" w:rsidRPr="00B14447">
        <w:rPr>
          <w:rFonts w:ascii="Times New Roman" w:hAnsi="Times New Roman"/>
        </w:rPr>
        <w:t xml:space="preserve"> </w:t>
      </w:r>
      <w:r w:rsidR="00966502" w:rsidRPr="00B14447">
        <w:rPr>
          <w:rFonts w:ascii="Times New Roman" w:hAnsi="Times New Roman"/>
        </w:rPr>
        <w:t xml:space="preserve">allowing Apotex's appeal </w:t>
      </w:r>
      <w:r w:rsidR="00966502" w:rsidRPr="00B14447">
        <w:rPr>
          <w:rFonts w:ascii="Times New Roman" w:hAnsi="Times New Roman"/>
        </w:rPr>
        <w:lastRenderedPageBreak/>
        <w:t>and order</w:t>
      </w:r>
      <w:r w:rsidR="00EA378A" w:rsidRPr="00B14447">
        <w:rPr>
          <w:rFonts w:ascii="Times New Roman" w:hAnsi="Times New Roman"/>
        </w:rPr>
        <w:t>ing</w:t>
      </w:r>
      <w:r w:rsidR="00966502" w:rsidRPr="00B14447">
        <w:rPr>
          <w:rFonts w:ascii="Times New Roman" w:hAnsi="Times New Roman"/>
        </w:rPr>
        <w:t xml:space="preserve"> that Sanofi's patent be revoked</w:t>
      </w:r>
      <w:r w:rsidR="00B75204" w:rsidRPr="00B14447">
        <w:rPr>
          <w:rFonts w:ascii="Times New Roman" w:hAnsi="Times New Roman"/>
        </w:rPr>
        <w:t>.</w:t>
      </w:r>
      <w:r w:rsidR="00966502" w:rsidRPr="00B14447">
        <w:rPr>
          <w:rFonts w:ascii="Times New Roman" w:hAnsi="Times New Roman"/>
        </w:rPr>
        <w:t xml:space="preserve"> Sanofi's application for special leave to appeal </w:t>
      </w:r>
      <w:r w:rsidR="00C205A1" w:rsidRPr="00B14447">
        <w:rPr>
          <w:rFonts w:ascii="Times New Roman" w:hAnsi="Times New Roman"/>
        </w:rPr>
        <w:t xml:space="preserve">was refused by this Court on </w:t>
      </w:r>
      <w:r w:rsidR="00BD3601" w:rsidRPr="00B14447">
        <w:rPr>
          <w:rFonts w:ascii="Times New Roman" w:hAnsi="Times New Roman"/>
        </w:rPr>
        <w:t>12</w:t>
      </w:r>
      <w:r w:rsidR="004A4513" w:rsidRPr="00B14447">
        <w:rPr>
          <w:rFonts w:ascii="Times New Roman" w:hAnsi="Times New Roman"/>
        </w:rPr>
        <w:t> </w:t>
      </w:r>
      <w:r w:rsidR="00BD3601" w:rsidRPr="00B14447">
        <w:rPr>
          <w:rFonts w:ascii="Times New Roman" w:hAnsi="Times New Roman"/>
        </w:rPr>
        <w:t>March 2010</w:t>
      </w:r>
      <w:r w:rsidR="00C205A1" w:rsidRPr="00B14447">
        <w:rPr>
          <w:rFonts w:ascii="Times New Roman" w:hAnsi="Times New Roman"/>
        </w:rPr>
        <w:t>.</w:t>
      </w:r>
    </w:p>
    <w:p w14:paraId="31C361D8" w14:textId="4249E9D1" w:rsidR="00153B82" w:rsidRPr="00B14447" w:rsidRDefault="00015685"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C84006" w:rsidRPr="00B14447">
        <w:rPr>
          <w:rFonts w:ascii="Times New Roman" w:hAnsi="Times New Roman"/>
        </w:rPr>
        <w:t>The</w:t>
      </w:r>
      <w:r w:rsidR="00826553" w:rsidRPr="00B14447">
        <w:rPr>
          <w:rFonts w:ascii="Times New Roman" w:hAnsi="Times New Roman"/>
        </w:rPr>
        <w:t> </w:t>
      </w:r>
      <w:r w:rsidR="00BC545B" w:rsidRPr="00B14447">
        <w:rPr>
          <w:rFonts w:ascii="Times New Roman" w:hAnsi="Times New Roman"/>
        </w:rPr>
        <w:t xml:space="preserve">appellant, the </w:t>
      </w:r>
      <w:r w:rsidR="00C84006" w:rsidRPr="00B14447">
        <w:rPr>
          <w:rFonts w:ascii="Times New Roman" w:hAnsi="Times New Roman"/>
        </w:rPr>
        <w:t xml:space="preserve">Commonwealth </w:t>
      </w:r>
      <w:r w:rsidR="00BC545B" w:rsidRPr="00B14447">
        <w:rPr>
          <w:rFonts w:ascii="Times New Roman" w:hAnsi="Times New Roman"/>
        </w:rPr>
        <w:t>of Australia ("the</w:t>
      </w:r>
      <w:r w:rsidR="00826553" w:rsidRPr="00B14447">
        <w:rPr>
          <w:rFonts w:ascii="Times New Roman" w:hAnsi="Times New Roman"/>
        </w:rPr>
        <w:t> </w:t>
      </w:r>
      <w:r w:rsidR="00BC545B" w:rsidRPr="00B14447">
        <w:rPr>
          <w:rFonts w:ascii="Times New Roman" w:hAnsi="Times New Roman"/>
          <w:b/>
          <w:bCs/>
        </w:rPr>
        <w:t>Commonwealth</w:t>
      </w:r>
      <w:r w:rsidR="00BC545B" w:rsidRPr="00B14447">
        <w:rPr>
          <w:rFonts w:ascii="Times New Roman" w:hAnsi="Times New Roman"/>
        </w:rPr>
        <w:t>")</w:t>
      </w:r>
      <w:r w:rsidR="00B375E6" w:rsidRPr="00B14447">
        <w:rPr>
          <w:rFonts w:ascii="Times New Roman" w:hAnsi="Times New Roman"/>
        </w:rPr>
        <w:t>,</w:t>
      </w:r>
      <w:r w:rsidR="00BC545B" w:rsidRPr="00B14447">
        <w:rPr>
          <w:rFonts w:ascii="Times New Roman" w:hAnsi="Times New Roman"/>
        </w:rPr>
        <w:t xml:space="preserve"> </w:t>
      </w:r>
      <w:r w:rsidR="00C205A1" w:rsidRPr="00B14447">
        <w:rPr>
          <w:rFonts w:ascii="Times New Roman" w:hAnsi="Times New Roman"/>
        </w:rPr>
        <w:t xml:space="preserve">then </w:t>
      </w:r>
      <w:r w:rsidR="00966502" w:rsidRPr="00B14447">
        <w:rPr>
          <w:rFonts w:ascii="Times New Roman" w:hAnsi="Times New Roman"/>
        </w:rPr>
        <w:t xml:space="preserve">sought compensation from Sanofi on the undertaking </w:t>
      </w:r>
      <w:r w:rsidR="007E2A2A" w:rsidRPr="00B14447">
        <w:rPr>
          <w:rFonts w:ascii="Times New Roman" w:hAnsi="Times New Roman"/>
        </w:rPr>
        <w:t xml:space="preserve">as to </w:t>
      </w:r>
      <w:r w:rsidR="00966502" w:rsidRPr="00B14447">
        <w:rPr>
          <w:rFonts w:ascii="Times New Roman" w:hAnsi="Times New Roman"/>
        </w:rPr>
        <w:t xml:space="preserve">damages for loss it says it suffered as a result of Apotex being prevented from supplying clopidogrel generic pharmaceutical products and obtaining PBS listing for those products. The Commonwealth </w:t>
      </w:r>
      <w:r w:rsidR="00C84006" w:rsidRPr="00B14447">
        <w:rPr>
          <w:rFonts w:ascii="Times New Roman" w:hAnsi="Times New Roman"/>
        </w:rPr>
        <w:t>claim</w:t>
      </w:r>
      <w:r w:rsidR="00295C99" w:rsidRPr="00B14447">
        <w:rPr>
          <w:rFonts w:ascii="Times New Roman" w:hAnsi="Times New Roman"/>
        </w:rPr>
        <w:t>ed</w:t>
      </w:r>
      <w:r w:rsidR="00C84006" w:rsidRPr="00B14447">
        <w:rPr>
          <w:rFonts w:ascii="Times New Roman" w:hAnsi="Times New Roman"/>
        </w:rPr>
        <w:t xml:space="preserve"> that without the interlocutory injunction (supported by the undertaking as to damages) Apotex would have obtained listing of its </w:t>
      </w:r>
      <w:r w:rsidRPr="00B14447">
        <w:rPr>
          <w:rFonts w:ascii="Times New Roman" w:hAnsi="Times New Roman"/>
        </w:rPr>
        <w:t xml:space="preserve">clopidogrel </w:t>
      </w:r>
      <w:r w:rsidR="00C84006" w:rsidRPr="00B14447">
        <w:rPr>
          <w:rFonts w:ascii="Times New Roman" w:hAnsi="Times New Roman"/>
        </w:rPr>
        <w:t>product</w:t>
      </w:r>
      <w:r w:rsidRPr="00B14447">
        <w:rPr>
          <w:rFonts w:ascii="Times New Roman" w:hAnsi="Times New Roman"/>
        </w:rPr>
        <w:t>s</w:t>
      </w:r>
      <w:r w:rsidR="00C84006" w:rsidRPr="00B14447">
        <w:rPr>
          <w:rFonts w:ascii="Times New Roman" w:hAnsi="Times New Roman"/>
        </w:rPr>
        <w:t xml:space="preserve"> on the </w:t>
      </w:r>
      <w:r w:rsidRPr="00B14447">
        <w:rPr>
          <w:rFonts w:ascii="Times New Roman" w:hAnsi="Times New Roman"/>
        </w:rPr>
        <w:t xml:space="preserve">PBS </w:t>
      </w:r>
      <w:r w:rsidR="00C84006" w:rsidRPr="00B14447">
        <w:rPr>
          <w:rFonts w:ascii="Times New Roman" w:hAnsi="Times New Roman"/>
        </w:rPr>
        <w:t xml:space="preserve">on </w:t>
      </w:r>
      <w:r w:rsidR="00180356" w:rsidRPr="00B14447">
        <w:rPr>
          <w:rFonts w:ascii="Times New Roman" w:hAnsi="Times New Roman"/>
        </w:rPr>
        <w:t>1 </w:t>
      </w:r>
      <w:r w:rsidR="00C84006" w:rsidRPr="00B14447">
        <w:rPr>
          <w:rFonts w:ascii="Times New Roman" w:hAnsi="Times New Roman"/>
        </w:rPr>
        <w:t>April 2008</w:t>
      </w:r>
      <w:r w:rsidR="00AA5018" w:rsidRPr="00B14447">
        <w:rPr>
          <w:rFonts w:ascii="Times New Roman" w:hAnsi="Times New Roman"/>
        </w:rPr>
        <w:t xml:space="preserve">. </w:t>
      </w:r>
    </w:p>
    <w:p w14:paraId="70549020" w14:textId="039450B1" w:rsidR="000471E1" w:rsidRPr="00B14447" w:rsidRDefault="00153B82"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5F19A9" w:rsidRPr="00B14447">
        <w:rPr>
          <w:rFonts w:ascii="Times New Roman" w:hAnsi="Times New Roman"/>
        </w:rPr>
        <w:t>The Commonwealth allege</w:t>
      </w:r>
      <w:r w:rsidR="00295C99" w:rsidRPr="00B14447">
        <w:rPr>
          <w:rFonts w:ascii="Times New Roman" w:hAnsi="Times New Roman"/>
        </w:rPr>
        <w:t>d</w:t>
      </w:r>
      <w:r w:rsidR="005F19A9" w:rsidRPr="00B14447">
        <w:rPr>
          <w:rFonts w:ascii="Times New Roman" w:hAnsi="Times New Roman"/>
        </w:rPr>
        <w:t xml:space="preserve"> that </w:t>
      </w:r>
      <w:r w:rsidR="00083164" w:rsidRPr="00B14447">
        <w:rPr>
          <w:rFonts w:ascii="Times New Roman" w:hAnsi="Times New Roman"/>
        </w:rPr>
        <w:t xml:space="preserve">Sanofi's conduct </w:t>
      </w:r>
      <w:r w:rsidR="00B337C2" w:rsidRPr="00B14447">
        <w:rPr>
          <w:rFonts w:ascii="Times New Roman" w:hAnsi="Times New Roman"/>
        </w:rPr>
        <w:t xml:space="preserve">in seeking </w:t>
      </w:r>
      <w:r w:rsidR="00F343EE" w:rsidRPr="00B14447">
        <w:rPr>
          <w:rFonts w:ascii="Times New Roman" w:hAnsi="Times New Roman"/>
        </w:rPr>
        <w:t xml:space="preserve">and obtaining </w:t>
      </w:r>
      <w:r w:rsidR="00B337C2" w:rsidRPr="00B14447">
        <w:rPr>
          <w:rFonts w:ascii="Times New Roman" w:hAnsi="Times New Roman"/>
        </w:rPr>
        <w:t>the interlocutory injunction prevented</w:t>
      </w:r>
      <w:r w:rsidR="00083164" w:rsidRPr="00B14447">
        <w:rPr>
          <w:rFonts w:ascii="Times New Roman" w:hAnsi="Times New Roman"/>
        </w:rPr>
        <w:t xml:space="preserve"> </w:t>
      </w:r>
      <w:r w:rsidR="005F19A9" w:rsidRPr="00B14447">
        <w:rPr>
          <w:rFonts w:ascii="Times New Roman" w:hAnsi="Times New Roman"/>
        </w:rPr>
        <w:t xml:space="preserve">reduction in prices </w:t>
      </w:r>
      <w:r w:rsidR="00A652FB" w:rsidRPr="00B14447">
        <w:rPr>
          <w:rFonts w:ascii="Times New Roman" w:hAnsi="Times New Roman"/>
        </w:rPr>
        <w:t xml:space="preserve">for clopidogrel products </w:t>
      </w:r>
      <w:r w:rsidR="005F19A9" w:rsidRPr="00B14447">
        <w:rPr>
          <w:rFonts w:ascii="Times New Roman" w:hAnsi="Times New Roman"/>
        </w:rPr>
        <w:t xml:space="preserve">that would have arisen from Apotex's </w:t>
      </w:r>
      <w:r w:rsidR="00874149" w:rsidRPr="00B14447">
        <w:rPr>
          <w:rFonts w:ascii="Times New Roman" w:hAnsi="Times New Roman"/>
        </w:rPr>
        <w:t xml:space="preserve">PBS </w:t>
      </w:r>
      <w:r w:rsidR="005F19A9" w:rsidRPr="00B14447">
        <w:rPr>
          <w:rFonts w:ascii="Times New Roman" w:hAnsi="Times New Roman"/>
        </w:rPr>
        <w:t xml:space="preserve">listing </w:t>
      </w:r>
      <w:r w:rsidR="00874149" w:rsidRPr="00B14447">
        <w:rPr>
          <w:rFonts w:ascii="Times New Roman" w:hAnsi="Times New Roman"/>
        </w:rPr>
        <w:t xml:space="preserve">of those products </w:t>
      </w:r>
      <w:r w:rsidR="005F19A9" w:rsidRPr="00B14447">
        <w:rPr>
          <w:rFonts w:ascii="Times New Roman" w:hAnsi="Times New Roman"/>
        </w:rPr>
        <w:t xml:space="preserve">on </w:t>
      </w:r>
      <w:r w:rsidR="00180356" w:rsidRPr="00B14447">
        <w:rPr>
          <w:rFonts w:ascii="Times New Roman" w:hAnsi="Times New Roman"/>
        </w:rPr>
        <w:t>1 </w:t>
      </w:r>
      <w:r w:rsidR="005F19A9" w:rsidRPr="00B14447">
        <w:rPr>
          <w:rFonts w:ascii="Times New Roman" w:hAnsi="Times New Roman"/>
        </w:rPr>
        <w:t xml:space="preserve">April 2008 </w:t>
      </w:r>
      <w:r w:rsidR="00096973" w:rsidRPr="00B14447">
        <w:rPr>
          <w:rFonts w:ascii="Times New Roman" w:hAnsi="Times New Roman"/>
        </w:rPr>
        <w:t xml:space="preserve">and </w:t>
      </w:r>
      <w:r w:rsidR="00083164" w:rsidRPr="00B14447">
        <w:rPr>
          <w:rFonts w:ascii="Times New Roman" w:hAnsi="Times New Roman"/>
        </w:rPr>
        <w:t xml:space="preserve">which </w:t>
      </w:r>
      <w:r w:rsidR="001F2287" w:rsidRPr="00B14447">
        <w:rPr>
          <w:rFonts w:ascii="Times New Roman" w:hAnsi="Times New Roman"/>
        </w:rPr>
        <w:t xml:space="preserve">consequently </w:t>
      </w:r>
      <w:r w:rsidR="005F19A9" w:rsidRPr="00B14447">
        <w:rPr>
          <w:rFonts w:ascii="Times New Roman" w:hAnsi="Times New Roman"/>
        </w:rPr>
        <w:t xml:space="preserve">led </w:t>
      </w:r>
      <w:r w:rsidR="00083164" w:rsidRPr="00B14447">
        <w:rPr>
          <w:rFonts w:ascii="Times New Roman" w:hAnsi="Times New Roman"/>
        </w:rPr>
        <w:t>the Commonwealth to suffer</w:t>
      </w:r>
      <w:r w:rsidR="000835C8" w:rsidRPr="00B14447">
        <w:rPr>
          <w:rFonts w:ascii="Times New Roman" w:hAnsi="Times New Roman"/>
        </w:rPr>
        <w:t xml:space="preserve"> approximately</w:t>
      </w:r>
      <w:r w:rsidR="00083164" w:rsidRPr="00B14447">
        <w:rPr>
          <w:rFonts w:ascii="Times New Roman" w:hAnsi="Times New Roman"/>
        </w:rPr>
        <w:t xml:space="preserve"> </w:t>
      </w:r>
      <w:r w:rsidR="005F19A9" w:rsidRPr="00B14447">
        <w:rPr>
          <w:rFonts w:ascii="Times New Roman" w:hAnsi="Times New Roman"/>
        </w:rPr>
        <w:t>$325</w:t>
      </w:r>
      <w:r w:rsidR="00180356" w:rsidRPr="00B14447">
        <w:rPr>
          <w:rFonts w:ascii="Times New Roman" w:hAnsi="Times New Roman"/>
        </w:rPr>
        <w:t> </w:t>
      </w:r>
      <w:r w:rsidR="005F19A9" w:rsidRPr="00B14447">
        <w:rPr>
          <w:rFonts w:ascii="Times New Roman" w:hAnsi="Times New Roman"/>
        </w:rPr>
        <w:t>million in losses</w:t>
      </w:r>
      <w:r w:rsidR="009E5184" w:rsidRPr="00B14447">
        <w:rPr>
          <w:rFonts w:ascii="Times New Roman" w:hAnsi="Times New Roman"/>
        </w:rPr>
        <w:t xml:space="preserve"> (excluding interest and costs)</w:t>
      </w:r>
      <w:r w:rsidR="005F19A9" w:rsidRPr="00B14447">
        <w:rPr>
          <w:rFonts w:ascii="Times New Roman" w:hAnsi="Times New Roman"/>
        </w:rPr>
        <w:t>.</w:t>
      </w:r>
      <w:r w:rsidR="004521EA" w:rsidRPr="00B14447">
        <w:rPr>
          <w:rFonts w:ascii="Times New Roman" w:hAnsi="Times New Roman"/>
        </w:rPr>
        <w:t xml:space="preserve"> </w:t>
      </w:r>
      <w:r w:rsidR="00F83FA5" w:rsidRPr="00B14447">
        <w:rPr>
          <w:rFonts w:ascii="Times New Roman" w:hAnsi="Times New Roman"/>
        </w:rPr>
        <w:t>B</w:t>
      </w:r>
      <w:r w:rsidRPr="00B14447">
        <w:rPr>
          <w:rFonts w:ascii="Times New Roman" w:hAnsi="Times New Roman"/>
        </w:rPr>
        <w:t>ut b</w:t>
      </w:r>
      <w:r w:rsidR="00E73665" w:rsidRPr="00B14447">
        <w:rPr>
          <w:rFonts w:ascii="Times New Roman" w:hAnsi="Times New Roman"/>
        </w:rPr>
        <w:t>ased on findings of the primary judge in the Federal Court of Australia</w:t>
      </w:r>
      <w:r w:rsidR="005F19A9" w:rsidRPr="00B14447">
        <w:rPr>
          <w:rFonts w:ascii="Times New Roman" w:hAnsi="Times New Roman"/>
        </w:rPr>
        <w:t>,</w:t>
      </w:r>
      <w:r w:rsidR="00E73665" w:rsidRPr="00B14447">
        <w:rPr>
          <w:rFonts w:ascii="Times New Roman" w:hAnsi="Times New Roman"/>
        </w:rPr>
        <w:t xml:space="preserve"> which were not </w:t>
      </w:r>
      <w:r w:rsidR="00123A27" w:rsidRPr="00B14447">
        <w:rPr>
          <w:rFonts w:ascii="Times New Roman" w:hAnsi="Times New Roman"/>
        </w:rPr>
        <w:t xml:space="preserve">disturbed </w:t>
      </w:r>
      <w:r w:rsidR="00E73665" w:rsidRPr="00B14447">
        <w:rPr>
          <w:rFonts w:ascii="Times New Roman" w:hAnsi="Times New Roman"/>
        </w:rPr>
        <w:t>by the Full Court of the Federal Court</w:t>
      </w:r>
      <w:r w:rsidR="005A1B70" w:rsidRPr="00B14447">
        <w:rPr>
          <w:rFonts w:ascii="Times New Roman" w:hAnsi="Times New Roman"/>
        </w:rPr>
        <w:t xml:space="preserve"> of Australia ("the </w:t>
      </w:r>
      <w:r w:rsidR="005A1B70" w:rsidRPr="00B14447">
        <w:rPr>
          <w:rFonts w:ascii="Times New Roman" w:hAnsi="Times New Roman"/>
          <w:b/>
          <w:bCs/>
        </w:rPr>
        <w:t>Full Court</w:t>
      </w:r>
      <w:r w:rsidR="005A1B70" w:rsidRPr="00B14447">
        <w:rPr>
          <w:rFonts w:ascii="Times New Roman" w:hAnsi="Times New Roman"/>
        </w:rPr>
        <w:t>")</w:t>
      </w:r>
      <w:r w:rsidR="0024558B" w:rsidRPr="00B14447">
        <w:rPr>
          <w:rFonts w:ascii="Times New Roman" w:hAnsi="Times New Roman"/>
        </w:rPr>
        <w:t>,</w:t>
      </w:r>
      <w:r w:rsidR="00027DC1" w:rsidRPr="00B14447">
        <w:rPr>
          <w:rFonts w:ascii="Times New Roman" w:hAnsi="Times New Roman"/>
        </w:rPr>
        <w:t xml:space="preserve"> </w:t>
      </w:r>
      <w:r w:rsidR="004C0F06" w:rsidRPr="00B14447">
        <w:rPr>
          <w:rFonts w:ascii="Times New Roman" w:hAnsi="Times New Roman"/>
        </w:rPr>
        <w:t xml:space="preserve">and </w:t>
      </w:r>
      <w:r w:rsidRPr="00B14447">
        <w:rPr>
          <w:rFonts w:ascii="Times New Roman" w:hAnsi="Times New Roman"/>
        </w:rPr>
        <w:t xml:space="preserve">were </w:t>
      </w:r>
      <w:r w:rsidR="004C0F06" w:rsidRPr="00B14447">
        <w:rPr>
          <w:rFonts w:ascii="Times New Roman" w:hAnsi="Times New Roman"/>
        </w:rPr>
        <w:t>not in issue in this Court</w:t>
      </w:r>
      <w:r w:rsidR="00E73665" w:rsidRPr="00B14447">
        <w:rPr>
          <w:rFonts w:ascii="Times New Roman" w:hAnsi="Times New Roman"/>
        </w:rPr>
        <w:t>,</w:t>
      </w:r>
      <w:r w:rsidR="00BF1F5E" w:rsidRPr="00B14447">
        <w:rPr>
          <w:rFonts w:ascii="Times New Roman" w:hAnsi="Times New Roman"/>
        </w:rPr>
        <w:t xml:space="preserve"> </w:t>
      </w:r>
      <w:r w:rsidR="004521EA" w:rsidRPr="00B14447">
        <w:rPr>
          <w:rFonts w:ascii="Times New Roman" w:hAnsi="Times New Roman"/>
        </w:rPr>
        <w:t xml:space="preserve">around </w:t>
      </w:r>
      <w:r w:rsidR="00B84304" w:rsidRPr="00B14447">
        <w:rPr>
          <w:rFonts w:ascii="Times New Roman" w:hAnsi="Times New Roman"/>
        </w:rPr>
        <w:t>$314</w:t>
      </w:r>
      <w:r w:rsidR="0024558B" w:rsidRPr="00B14447">
        <w:rPr>
          <w:rFonts w:ascii="Times New Roman" w:hAnsi="Times New Roman"/>
        </w:rPr>
        <w:t> </w:t>
      </w:r>
      <w:r w:rsidR="00B84304" w:rsidRPr="00B14447">
        <w:rPr>
          <w:rFonts w:ascii="Times New Roman" w:hAnsi="Times New Roman"/>
        </w:rPr>
        <w:t xml:space="preserve">million of </w:t>
      </w:r>
      <w:r w:rsidR="00BF1F5E" w:rsidRPr="00B14447">
        <w:rPr>
          <w:rFonts w:ascii="Times New Roman" w:hAnsi="Times New Roman"/>
        </w:rPr>
        <w:t>th</w:t>
      </w:r>
      <w:r w:rsidR="003347FF" w:rsidRPr="00B14447">
        <w:rPr>
          <w:rFonts w:ascii="Times New Roman" w:hAnsi="Times New Roman"/>
        </w:rPr>
        <w:t>e Commonwealth's asserted loss of $325</w:t>
      </w:r>
      <w:r w:rsidR="0024558B" w:rsidRPr="00B14447">
        <w:rPr>
          <w:rFonts w:ascii="Times New Roman" w:hAnsi="Times New Roman"/>
        </w:rPr>
        <w:t> </w:t>
      </w:r>
      <w:r w:rsidR="003347FF" w:rsidRPr="00B14447">
        <w:rPr>
          <w:rFonts w:ascii="Times New Roman" w:hAnsi="Times New Roman"/>
        </w:rPr>
        <w:t>million</w:t>
      </w:r>
      <w:r w:rsidR="0050395D" w:rsidRPr="00B14447">
        <w:rPr>
          <w:rFonts w:ascii="Times New Roman" w:hAnsi="Times New Roman"/>
        </w:rPr>
        <w:t xml:space="preserve"> </w:t>
      </w:r>
      <w:r w:rsidR="004558FF" w:rsidRPr="00B14447">
        <w:rPr>
          <w:rFonts w:ascii="Times New Roman" w:hAnsi="Times New Roman"/>
        </w:rPr>
        <w:t xml:space="preserve">was </w:t>
      </w:r>
      <w:r w:rsidR="00335847" w:rsidRPr="00B14447">
        <w:rPr>
          <w:rFonts w:ascii="Times New Roman" w:hAnsi="Times New Roman"/>
        </w:rPr>
        <w:t xml:space="preserve">found </w:t>
      </w:r>
      <w:r w:rsidR="004558FF" w:rsidRPr="00B14447">
        <w:rPr>
          <w:rFonts w:ascii="Times New Roman" w:hAnsi="Times New Roman"/>
        </w:rPr>
        <w:t xml:space="preserve">not </w:t>
      </w:r>
      <w:r w:rsidR="00335847" w:rsidRPr="00B14447">
        <w:rPr>
          <w:rFonts w:ascii="Times New Roman" w:hAnsi="Times New Roman"/>
        </w:rPr>
        <w:t xml:space="preserve">to be </w:t>
      </w:r>
      <w:r w:rsidR="004558FF" w:rsidRPr="00B14447">
        <w:rPr>
          <w:rFonts w:ascii="Times New Roman" w:hAnsi="Times New Roman"/>
        </w:rPr>
        <w:t>within the scope of the undertaking as to damages</w:t>
      </w:r>
      <w:r w:rsidR="000F11CC" w:rsidRPr="00B14447">
        <w:rPr>
          <w:rFonts w:ascii="Times New Roman" w:hAnsi="Times New Roman"/>
        </w:rPr>
        <w:t>.</w:t>
      </w:r>
      <w:r w:rsidR="00F4406D" w:rsidRPr="00B14447">
        <w:rPr>
          <w:rFonts w:ascii="Times New Roman" w:hAnsi="Times New Roman"/>
        </w:rPr>
        <w:t xml:space="preserve"> </w:t>
      </w:r>
      <w:r w:rsidR="002B5EC9" w:rsidRPr="00B14447">
        <w:rPr>
          <w:rFonts w:ascii="Times New Roman" w:hAnsi="Times New Roman"/>
        </w:rPr>
        <w:t>Specifically</w:t>
      </w:r>
      <w:r w:rsidR="003478D7" w:rsidRPr="00B14447">
        <w:rPr>
          <w:rFonts w:ascii="Times New Roman" w:hAnsi="Times New Roman"/>
        </w:rPr>
        <w:t>, o</w:t>
      </w:r>
      <w:r w:rsidR="00D5287B" w:rsidRPr="00B14447">
        <w:rPr>
          <w:rFonts w:ascii="Times New Roman" w:hAnsi="Times New Roman"/>
        </w:rPr>
        <w:t>ther than in respect of around $11</w:t>
      </w:r>
      <w:r w:rsidR="00D34059" w:rsidRPr="00B14447">
        <w:rPr>
          <w:rFonts w:ascii="Times New Roman" w:hAnsi="Times New Roman"/>
        </w:rPr>
        <w:t> </w:t>
      </w:r>
      <w:r w:rsidR="00D5287B" w:rsidRPr="00B14447">
        <w:rPr>
          <w:rFonts w:ascii="Times New Roman" w:hAnsi="Times New Roman"/>
        </w:rPr>
        <w:t>million of the alleged losses</w:t>
      </w:r>
      <w:r w:rsidR="004B46E3" w:rsidRPr="00B14447">
        <w:rPr>
          <w:rFonts w:ascii="Times New Roman" w:hAnsi="Times New Roman"/>
        </w:rPr>
        <w:t>,</w:t>
      </w:r>
      <w:r w:rsidR="00D5287B" w:rsidRPr="00B14447">
        <w:rPr>
          <w:rFonts w:ascii="Times New Roman" w:hAnsi="Times New Roman"/>
        </w:rPr>
        <w:t xml:space="preserve"> </w:t>
      </w:r>
      <w:r w:rsidR="00977D7B" w:rsidRPr="00B14447">
        <w:rPr>
          <w:rFonts w:ascii="Times New Roman" w:hAnsi="Times New Roman"/>
        </w:rPr>
        <w:t>the interlocutory injunction</w:t>
      </w:r>
      <w:r w:rsidR="008D47F3" w:rsidRPr="00B14447">
        <w:rPr>
          <w:rFonts w:ascii="Times New Roman" w:hAnsi="Times New Roman"/>
        </w:rPr>
        <w:t xml:space="preserve"> and the undertaking given in support of it</w:t>
      </w:r>
      <w:r w:rsidR="00977D7B" w:rsidRPr="00B14447">
        <w:rPr>
          <w:rFonts w:ascii="Times New Roman" w:hAnsi="Times New Roman"/>
        </w:rPr>
        <w:t xml:space="preserve"> w</w:t>
      </w:r>
      <w:r w:rsidR="008D47F3" w:rsidRPr="00B14447">
        <w:rPr>
          <w:rFonts w:ascii="Times New Roman" w:hAnsi="Times New Roman"/>
        </w:rPr>
        <w:t>ere</w:t>
      </w:r>
      <w:r w:rsidR="00977D7B" w:rsidRPr="00B14447">
        <w:rPr>
          <w:rFonts w:ascii="Times New Roman" w:hAnsi="Times New Roman"/>
        </w:rPr>
        <w:t xml:space="preserve"> </w:t>
      </w:r>
      <w:r w:rsidR="00D369E0" w:rsidRPr="00B14447">
        <w:rPr>
          <w:rFonts w:ascii="Times New Roman" w:hAnsi="Times New Roman"/>
        </w:rPr>
        <w:t>"totally eclipsed"</w:t>
      </w:r>
      <w:r w:rsidR="00DB57AF" w:rsidRPr="00B14447">
        <w:rPr>
          <w:rStyle w:val="FootnoteReference"/>
          <w:rFonts w:ascii="Times New Roman" w:hAnsi="Times New Roman"/>
          <w:sz w:val="24"/>
        </w:rPr>
        <w:footnoteReference w:id="2"/>
      </w:r>
      <w:r w:rsidR="00D369E0" w:rsidRPr="00B14447">
        <w:rPr>
          <w:rFonts w:ascii="Times New Roman" w:hAnsi="Times New Roman"/>
        </w:rPr>
        <w:t xml:space="preserve"> </w:t>
      </w:r>
      <w:r w:rsidR="00977D7B" w:rsidRPr="00B14447">
        <w:rPr>
          <w:rFonts w:ascii="Times New Roman" w:hAnsi="Times New Roman"/>
        </w:rPr>
        <w:t xml:space="preserve">by the grant of </w:t>
      </w:r>
      <w:r w:rsidR="00C205A1" w:rsidRPr="00B14447">
        <w:rPr>
          <w:rFonts w:ascii="Times New Roman" w:hAnsi="Times New Roman"/>
        </w:rPr>
        <w:t xml:space="preserve">the </w:t>
      </w:r>
      <w:r w:rsidR="00977D7B" w:rsidRPr="00B14447">
        <w:rPr>
          <w:rFonts w:ascii="Times New Roman" w:hAnsi="Times New Roman"/>
        </w:rPr>
        <w:t>final injunction.</w:t>
      </w:r>
    </w:p>
    <w:p w14:paraId="211DEB86" w14:textId="774A851A" w:rsidR="005D0903" w:rsidRPr="00B14447" w:rsidRDefault="000471E1"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DB0DE9" w:rsidRPr="00B14447">
        <w:rPr>
          <w:rFonts w:ascii="Times New Roman" w:hAnsi="Times New Roman"/>
        </w:rPr>
        <w:t>After a trial that ran for 1</w:t>
      </w:r>
      <w:r w:rsidR="006313F8" w:rsidRPr="00B14447">
        <w:rPr>
          <w:rFonts w:ascii="Times New Roman" w:hAnsi="Times New Roman"/>
        </w:rPr>
        <w:t>7</w:t>
      </w:r>
      <w:r w:rsidR="00DB0DE9" w:rsidRPr="00B14447">
        <w:rPr>
          <w:rFonts w:ascii="Times New Roman" w:hAnsi="Times New Roman"/>
        </w:rPr>
        <w:t xml:space="preserve"> days, </w:t>
      </w:r>
      <w:r w:rsidR="001121EC" w:rsidRPr="00B14447">
        <w:rPr>
          <w:rFonts w:ascii="Times New Roman" w:hAnsi="Times New Roman"/>
        </w:rPr>
        <w:t>t</w:t>
      </w:r>
      <w:r w:rsidRPr="00B14447">
        <w:rPr>
          <w:rFonts w:ascii="Times New Roman" w:hAnsi="Times New Roman"/>
        </w:rPr>
        <w:t xml:space="preserve">he primary judge </w:t>
      </w:r>
      <w:r w:rsidR="00464DAC" w:rsidRPr="00B14447">
        <w:rPr>
          <w:rFonts w:ascii="Times New Roman" w:hAnsi="Times New Roman"/>
        </w:rPr>
        <w:t xml:space="preserve">concluded that </w:t>
      </w:r>
      <w:r w:rsidR="005C3682" w:rsidRPr="00B14447">
        <w:rPr>
          <w:rFonts w:ascii="Times New Roman" w:hAnsi="Times New Roman"/>
        </w:rPr>
        <w:t>the Commonwealth had not discharged its onus</w:t>
      </w:r>
      <w:r w:rsidR="004307C8" w:rsidRPr="00B14447">
        <w:rPr>
          <w:rFonts w:ascii="Times New Roman" w:hAnsi="Times New Roman"/>
        </w:rPr>
        <w:t>,</w:t>
      </w:r>
      <w:r w:rsidR="00BD3601" w:rsidRPr="00B14447">
        <w:rPr>
          <w:rFonts w:ascii="Times New Roman" w:hAnsi="Times New Roman"/>
        </w:rPr>
        <w:t xml:space="preserve"> and </w:t>
      </w:r>
      <w:r w:rsidR="00CA603B" w:rsidRPr="00B14447">
        <w:rPr>
          <w:rFonts w:ascii="Times New Roman" w:hAnsi="Times New Roman"/>
        </w:rPr>
        <w:t>was "not persuaded that</w:t>
      </w:r>
      <w:r w:rsidRPr="00B14447">
        <w:rPr>
          <w:rFonts w:ascii="Times New Roman" w:hAnsi="Times New Roman"/>
        </w:rPr>
        <w:t xml:space="preserve"> Apotex</w:t>
      </w:r>
      <w:r w:rsidR="004C3764" w:rsidRPr="00B14447">
        <w:rPr>
          <w:rFonts w:ascii="Times New Roman" w:hAnsi="Times New Roman"/>
        </w:rPr>
        <w:t xml:space="preserve"> </w:t>
      </w:r>
      <w:r w:rsidR="004307C8" w:rsidRPr="00B14447">
        <w:rPr>
          <w:rFonts w:ascii="Times New Roman" w:hAnsi="Times New Roman"/>
        </w:rPr>
        <w:t>...</w:t>
      </w:r>
      <w:r w:rsidR="004C3764" w:rsidRPr="00B14447">
        <w:rPr>
          <w:rFonts w:ascii="Times New Roman" w:hAnsi="Times New Roman"/>
        </w:rPr>
        <w:t xml:space="preserve"> </w:t>
      </w:r>
      <w:r w:rsidRPr="00B14447">
        <w:rPr>
          <w:rFonts w:ascii="Times New Roman" w:hAnsi="Times New Roman"/>
        </w:rPr>
        <w:t>would have sought and obtained a PBS listing of its clopidogrel products from 1</w:t>
      </w:r>
      <w:r w:rsidR="0044547B" w:rsidRPr="00B14447">
        <w:rPr>
          <w:rFonts w:ascii="Times New Roman" w:hAnsi="Times New Roman"/>
        </w:rPr>
        <w:t> </w:t>
      </w:r>
      <w:r w:rsidRPr="00B14447">
        <w:rPr>
          <w:rFonts w:ascii="Times New Roman" w:hAnsi="Times New Roman"/>
        </w:rPr>
        <w:t>April 2008 even if the interlocutory injunction had not been granted".</w:t>
      </w:r>
      <w:r w:rsidRPr="00B14447">
        <w:rPr>
          <w:rStyle w:val="FootnoteReference"/>
          <w:rFonts w:ascii="Times New Roman" w:hAnsi="Times New Roman"/>
          <w:sz w:val="24"/>
        </w:rPr>
        <w:footnoteReference w:id="3"/>
      </w:r>
      <w:r w:rsidRPr="00B14447">
        <w:rPr>
          <w:rFonts w:ascii="Times New Roman" w:hAnsi="Times New Roman"/>
        </w:rPr>
        <w:t xml:space="preserve"> </w:t>
      </w:r>
      <w:r w:rsidR="002F3DE0" w:rsidRPr="00B14447">
        <w:rPr>
          <w:rFonts w:ascii="Times New Roman" w:hAnsi="Times New Roman"/>
        </w:rPr>
        <w:t xml:space="preserve">This was particularly so </w:t>
      </w:r>
      <w:r w:rsidR="009F2D5C" w:rsidRPr="00B14447">
        <w:rPr>
          <w:rFonts w:ascii="Times New Roman" w:hAnsi="Times New Roman"/>
        </w:rPr>
        <w:t xml:space="preserve">due to the combined effect of </w:t>
      </w:r>
      <w:r w:rsidR="002F3DE0" w:rsidRPr="00B14447">
        <w:rPr>
          <w:rFonts w:ascii="Times New Roman" w:hAnsi="Times New Roman"/>
        </w:rPr>
        <w:t>two important</w:t>
      </w:r>
      <w:r w:rsidR="00EE03E7" w:rsidRPr="00B14447">
        <w:rPr>
          <w:rFonts w:ascii="Times New Roman" w:hAnsi="Times New Roman"/>
        </w:rPr>
        <w:t xml:space="preserve"> events</w:t>
      </w:r>
      <w:r w:rsidR="008B2709" w:rsidRPr="00B14447">
        <w:rPr>
          <w:rFonts w:ascii="Times New Roman" w:hAnsi="Times New Roman"/>
        </w:rPr>
        <w:t xml:space="preserve"> which</w:t>
      </w:r>
      <w:r w:rsidR="002F3DE0" w:rsidRPr="00B14447">
        <w:rPr>
          <w:rFonts w:ascii="Times New Roman" w:hAnsi="Times New Roman"/>
        </w:rPr>
        <w:t xml:space="preserve"> occurred shortly before the interlocutory injunction was granted</w:t>
      </w:r>
      <w:r w:rsidR="00190CB8" w:rsidRPr="00B14447">
        <w:rPr>
          <w:rFonts w:ascii="Times New Roman" w:hAnsi="Times New Roman"/>
        </w:rPr>
        <w:t>.</w:t>
      </w:r>
      <w:r w:rsidR="00D75D3D" w:rsidRPr="00B14447">
        <w:rPr>
          <w:rFonts w:ascii="Times New Roman" w:hAnsi="Times New Roman"/>
        </w:rPr>
        <w:t xml:space="preserve"> </w:t>
      </w:r>
      <w:r w:rsidR="00CE62A5" w:rsidRPr="00B14447">
        <w:rPr>
          <w:rFonts w:ascii="Times New Roman" w:hAnsi="Times New Roman"/>
        </w:rPr>
        <w:t xml:space="preserve">The </w:t>
      </w:r>
      <w:r w:rsidR="00EF2531" w:rsidRPr="00B14447">
        <w:rPr>
          <w:rFonts w:ascii="Times New Roman" w:hAnsi="Times New Roman"/>
        </w:rPr>
        <w:t>second</w:t>
      </w:r>
      <w:r w:rsidR="00CE62A5" w:rsidRPr="00B14447">
        <w:rPr>
          <w:rFonts w:ascii="Times New Roman" w:hAnsi="Times New Roman"/>
        </w:rPr>
        <w:t xml:space="preserve"> event, in combination with the f</w:t>
      </w:r>
      <w:r w:rsidR="00EF2531" w:rsidRPr="00B14447">
        <w:rPr>
          <w:rFonts w:ascii="Times New Roman" w:hAnsi="Times New Roman"/>
        </w:rPr>
        <w:t>irst</w:t>
      </w:r>
      <w:r w:rsidR="00CE62A5" w:rsidRPr="00B14447">
        <w:rPr>
          <w:rFonts w:ascii="Times New Roman" w:hAnsi="Times New Roman"/>
        </w:rPr>
        <w:t xml:space="preserve">, had the potential </w:t>
      </w:r>
      <w:r w:rsidR="00090983" w:rsidRPr="00B14447">
        <w:rPr>
          <w:rFonts w:ascii="Times New Roman" w:hAnsi="Times New Roman"/>
        </w:rPr>
        <w:t>to</w:t>
      </w:r>
      <w:r w:rsidR="00CE62A5" w:rsidRPr="00B14447">
        <w:rPr>
          <w:rFonts w:ascii="Times New Roman" w:hAnsi="Times New Roman"/>
        </w:rPr>
        <w:t xml:space="preserve"> transform </w:t>
      </w:r>
      <w:r w:rsidR="00090983" w:rsidRPr="00B14447">
        <w:rPr>
          <w:rFonts w:ascii="Times New Roman" w:hAnsi="Times New Roman"/>
        </w:rPr>
        <w:t xml:space="preserve">radically </w:t>
      </w:r>
      <w:r w:rsidR="00CE62A5" w:rsidRPr="00B14447">
        <w:rPr>
          <w:rFonts w:ascii="Times New Roman" w:hAnsi="Times New Roman"/>
        </w:rPr>
        <w:t xml:space="preserve">any calculus as to Apotex's </w:t>
      </w:r>
      <w:r w:rsidR="001B0CCD" w:rsidRPr="00B14447">
        <w:rPr>
          <w:rFonts w:ascii="Times New Roman" w:hAnsi="Times New Roman"/>
        </w:rPr>
        <w:t xml:space="preserve">future </w:t>
      </w:r>
      <w:r w:rsidR="00CE62A5" w:rsidRPr="00B14447">
        <w:rPr>
          <w:rFonts w:ascii="Times New Roman" w:hAnsi="Times New Roman"/>
        </w:rPr>
        <w:t>action</w:t>
      </w:r>
      <w:r w:rsidR="00AA139B" w:rsidRPr="00B14447">
        <w:rPr>
          <w:rFonts w:ascii="Times New Roman" w:hAnsi="Times New Roman"/>
        </w:rPr>
        <w:t xml:space="preserve">. </w:t>
      </w:r>
      <w:r w:rsidR="00B0132F" w:rsidRPr="00B14447">
        <w:rPr>
          <w:rFonts w:ascii="Times New Roman" w:hAnsi="Times New Roman"/>
        </w:rPr>
        <w:t>N</w:t>
      </w:r>
      <w:r w:rsidR="00FC78BE" w:rsidRPr="00B14447">
        <w:rPr>
          <w:rFonts w:ascii="Times New Roman" w:hAnsi="Times New Roman"/>
        </w:rPr>
        <w:t xml:space="preserve">o evidence </w:t>
      </w:r>
      <w:r w:rsidR="007120A0" w:rsidRPr="00B14447">
        <w:rPr>
          <w:rFonts w:ascii="Times New Roman" w:hAnsi="Times New Roman"/>
        </w:rPr>
        <w:t xml:space="preserve">about the effect of these </w:t>
      </w:r>
      <w:r w:rsidR="00EF2531" w:rsidRPr="00B14447">
        <w:rPr>
          <w:rFonts w:ascii="Times New Roman" w:hAnsi="Times New Roman"/>
        </w:rPr>
        <w:t xml:space="preserve">two </w:t>
      </w:r>
      <w:r w:rsidR="007120A0" w:rsidRPr="00B14447">
        <w:rPr>
          <w:rFonts w:ascii="Times New Roman" w:hAnsi="Times New Roman"/>
        </w:rPr>
        <w:t xml:space="preserve">events </w:t>
      </w:r>
      <w:r w:rsidR="00842F6E" w:rsidRPr="00B14447">
        <w:rPr>
          <w:rFonts w:ascii="Times New Roman" w:hAnsi="Times New Roman"/>
        </w:rPr>
        <w:t xml:space="preserve">on Apotex </w:t>
      </w:r>
      <w:r w:rsidR="00FC78BE" w:rsidRPr="00B14447">
        <w:rPr>
          <w:rFonts w:ascii="Times New Roman" w:hAnsi="Times New Roman"/>
        </w:rPr>
        <w:t>was called from</w:t>
      </w:r>
      <w:r w:rsidR="00932E43" w:rsidRPr="00B14447">
        <w:rPr>
          <w:rFonts w:ascii="Times New Roman" w:hAnsi="Times New Roman"/>
        </w:rPr>
        <w:t xml:space="preserve"> the central person in the Commonwealth's "camp"</w:t>
      </w:r>
      <w:r w:rsidR="000E0C03" w:rsidRPr="00B14447">
        <w:rPr>
          <w:rFonts w:ascii="Times New Roman" w:hAnsi="Times New Roman"/>
        </w:rPr>
        <w:t>,</w:t>
      </w:r>
      <w:r w:rsidR="00932E43" w:rsidRPr="00B14447">
        <w:rPr>
          <w:rStyle w:val="FootnoteReference"/>
          <w:rFonts w:ascii="Times New Roman" w:hAnsi="Times New Roman"/>
          <w:sz w:val="24"/>
        </w:rPr>
        <w:footnoteReference w:id="4"/>
      </w:r>
      <w:r w:rsidR="00932E43" w:rsidRPr="00B14447">
        <w:rPr>
          <w:rFonts w:ascii="Times New Roman" w:hAnsi="Times New Roman"/>
        </w:rPr>
        <w:t xml:space="preserve"> </w:t>
      </w:r>
      <w:r w:rsidR="008E418C" w:rsidRPr="00B14447">
        <w:rPr>
          <w:rFonts w:ascii="Times New Roman" w:hAnsi="Times New Roman"/>
        </w:rPr>
        <w:lastRenderedPageBreak/>
        <w:t>Dr</w:t>
      </w:r>
      <w:r w:rsidR="00842F6E" w:rsidRPr="00B14447">
        <w:rPr>
          <w:rFonts w:ascii="Times New Roman" w:hAnsi="Times New Roman"/>
        </w:rPr>
        <w:t> </w:t>
      </w:r>
      <w:r w:rsidR="00EF30E7" w:rsidRPr="00B14447">
        <w:rPr>
          <w:rFonts w:ascii="Times New Roman" w:hAnsi="Times New Roman"/>
        </w:rPr>
        <w:t>Bernard (</w:t>
      </w:r>
      <w:r w:rsidR="005E7DB2" w:rsidRPr="00B14447">
        <w:rPr>
          <w:rFonts w:ascii="Times New Roman" w:hAnsi="Times New Roman"/>
        </w:rPr>
        <w:t>known as "</w:t>
      </w:r>
      <w:r w:rsidR="008E418C" w:rsidRPr="00B14447">
        <w:rPr>
          <w:rFonts w:ascii="Times New Roman" w:hAnsi="Times New Roman"/>
        </w:rPr>
        <w:t>Barry</w:t>
      </w:r>
      <w:r w:rsidR="005E7DB2" w:rsidRPr="00B14447">
        <w:rPr>
          <w:rFonts w:ascii="Times New Roman" w:hAnsi="Times New Roman"/>
        </w:rPr>
        <w:t>"</w:t>
      </w:r>
      <w:r w:rsidR="00EF30E7" w:rsidRPr="00B14447">
        <w:rPr>
          <w:rFonts w:ascii="Times New Roman" w:hAnsi="Times New Roman"/>
        </w:rPr>
        <w:t>)</w:t>
      </w:r>
      <w:r w:rsidR="008E418C" w:rsidRPr="00B14447">
        <w:rPr>
          <w:rFonts w:ascii="Times New Roman" w:hAnsi="Times New Roman"/>
        </w:rPr>
        <w:t xml:space="preserve"> Sherman</w:t>
      </w:r>
      <w:r w:rsidR="008A76F1" w:rsidRPr="00B14447">
        <w:rPr>
          <w:rFonts w:ascii="Times New Roman" w:hAnsi="Times New Roman"/>
        </w:rPr>
        <w:t>.</w:t>
      </w:r>
      <w:r w:rsidR="000E0C03" w:rsidRPr="00B14447">
        <w:rPr>
          <w:rFonts w:ascii="Times New Roman" w:hAnsi="Times New Roman"/>
        </w:rPr>
        <w:t xml:space="preserve"> Dr</w:t>
      </w:r>
      <w:r w:rsidR="00045989" w:rsidRPr="00B14447">
        <w:rPr>
          <w:rFonts w:ascii="Times New Roman" w:hAnsi="Times New Roman"/>
        </w:rPr>
        <w:t> </w:t>
      </w:r>
      <w:r w:rsidR="000E0C03" w:rsidRPr="00B14447">
        <w:rPr>
          <w:rFonts w:ascii="Times New Roman" w:hAnsi="Times New Roman"/>
        </w:rPr>
        <w:t>Sherman was</w:t>
      </w:r>
      <w:r w:rsidR="008E418C" w:rsidRPr="00B14447">
        <w:rPr>
          <w:rFonts w:ascii="Times New Roman" w:hAnsi="Times New Roman"/>
        </w:rPr>
        <w:t xml:space="preserve"> the co-founder of</w:t>
      </w:r>
      <w:r w:rsidR="007A721C" w:rsidRPr="00B14447">
        <w:rPr>
          <w:rFonts w:ascii="Times New Roman" w:hAnsi="Times New Roman"/>
        </w:rPr>
        <w:t xml:space="preserve"> Apotex Inc</w:t>
      </w:r>
      <w:r w:rsidR="008E418C" w:rsidRPr="00B14447">
        <w:rPr>
          <w:rFonts w:ascii="Times New Roman" w:hAnsi="Times New Roman"/>
        </w:rPr>
        <w:t xml:space="preserve"> </w:t>
      </w:r>
      <w:r w:rsidR="007A721C" w:rsidRPr="00B14447">
        <w:rPr>
          <w:rFonts w:ascii="Times New Roman" w:hAnsi="Times New Roman"/>
        </w:rPr>
        <w:t>("</w:t>
      </w:r>
      <w:r w:rsidR="008E418C" w:rsidRPr="00B14447">
        <w:rPr>
          <w:rFonts w:ascii="Times New Roman" w:hAnsi="Times New Roman"/>
          <w:b/>
          <w:bCs/>
        </w:rPr>
        <w:t>Apotex Canada</w:t>
      </w:r>
      <w:r w:rsidR="007A721C" w:rsidRPr="00B14447">
        <w:rPr>
          <w:rFonts w:ascii="Times New Roman" w:hAnsi="Times New Roman"/>
        </w:rPr>
        <w:t>")</w:t>
      </w:r>
      <w:r w:rsidR="008E418C" w:rsidRPr="00B14447">
        <w:rPr>
          <w:rFonts w:ascii="Times New Roman" w:hAnsi="Times New Roman"/>
        </w:rPr>
        <w:t>, its Chief Executive Officer and Chairman</w:t>
      </w:r>
      <w:r w:rsidR="000E0C03" w:rsidRPr="00B14447">
        <w:rPr>
          <w:rFonts w:ascii="Times New Roman" w:hAnsi="Times New Roman"/>
        </w:rPr>
        <w:t>,</w:t>
      </w:r>
      <w:r w:rsidR="008E418C" w:rsidRPr="00B14447">
        <w:rPr>
          <w:rFonts w:ascii="Times New Roman" w:hAnsi="Times New Roman"/>
        </w:rPr>
        <w:t xml:space="preserve"> the "ultimate controller"</w:t>
      </w:r>
      <w:r w:rsidR="007E6DCF" w:rsidRPr="00B14447">
        <w:rPr>
          <w:rStyle w:val="FootnoteReference"/>
          <w:rFonts w:ascii="Times New Roman" w:hAnsi="Times New Roman"/>
          <w:sz w:val="24"/>
        </w:rPr>
        <w:footnoteReference w:id="5"/>
      </w:r>
      <w:r w:rsidR="008E418C" w:rsidRPr="00B14447">
        <w:rPr>
          <w:rFonts w:ascii="Times New Roman" w:hAnsi="Times New Roman"/>
        </w:rPr>
        <w:t xml:space="preserve"> of the Apotex group</w:t>
      </w:r>
      <w:r w:rsidR="007A721C" w:rsidRPr="00B14447">
        <w:rPr>
          <w:rFonts w:ascii="Times New Roman" w:hAnsi="Times New Roman"/>
        </w:rPr>
        <w:t xml:space="preserve"> (including Apotex Australia)</w:t>
      </w:r>
      <w:r w:rsidR="000E0C03" w:rsidRPr="00B14447">
        <w:rPr>
          <w:rFonts w:ascii="Times New Roman" w:hAnsi="Times New Roman"/>
        </w:rPr>
        <w:t>, and the person</w:t>
      </w:r>
      <w:r w:rsidR="008E418C" w:rsidRPr="00B14447">
        <w:rPr>
          <w:rFonts w:ascii="Times New Roman" w:hAnsi="Times New Roman"/>
        </w:rPr>
        <w:t xml:space="preserve"> </w:t>
      </w:r>
      <w:r w:rsidR="0027537B" w:rsidRPr="00B14447">
        <w:rPr>
          <w:rFonts w:ascii="Times New Roman" w:hAnsi="Times New Roman"/>
        </w:rPr>
        <w:t xml:space="preserve">who would make the ultimate decision about listing </w:t>
      </w:r>
      <w:r w:rsidR="00A11894" w:rsidRPr="00B14447">
        <w:rPr>
          <w:rFonts w:ascii="Times New Roman" w:hAnsi="Times New Roman"/>
        </w:rPr>
        <w:t>on the PBS</w:t>
      </w:r>
      <w:r w:rsidR="00932E43" w:rsidRPr="00B14447">
        <w:rPr>
          <w:rFonts w:ascii="Times New Roman" w:hAnsi="Times New Roman"/>
        </w:rPr>
        <w:t>.</w:t>
      </w:r>
      <w:r w:rsidR="009F5F59" w:rsidRPr="00B14447">
        <w:rPr>
          <w:rStyle w:val="FootnoteReference"/>
          <w:rFonts w:ascii="Times New Roman" w:hAnsi="Times New Roman"/>
          <w:sz w:val="24"/>
        </w:rPr>
        <w:footnoteReference w:id="6"/>
      </w:r>
      <w:r w:rsidR="00932E43" w:rsidRPr="00B14447">
        <w:rPr>
          <w:rFonts w:ascii="Times New Roman" w:hAnsi="Times New Roman"/>
        </w:rPr>
        <w:t xml:space="preserve"> </w:t>
      </w:r>
      <w:r w:rsidR="0047785C" w:rsidRPr="00B14447">
        <w:rPr>
          <w:rFonts w:ascii="Times New Roman" w:hAnsi="Times New Roman"/>
        </w:rPr>
        <w:t>Th</w:t>
      </w:r>
      <w:r w:rsidR="00606081" w:rsidRPr="00B14447">
        <w:rPr>
          <w:rFonts w:ascii="Times New Roman" w:hAnsi="Times New Roman"/>
        </w:rPr>
        <w:t>e ultimate</w:t>
      </w:r>
      <w:r w:rsidR="0047785C" w:rsidRPr="00B14447">
        <w:rPr>
          <w:rFonts w:ascii="Times New Roman" w:hAnsi="Times New Roman"/>
        </w:rPr>
        <w:t xml:space="preserve"> conclusion</w:t>
      </w:r>
      <w:r w:rsidR="00606081" w:rsidRPr="00B14447">
        <w:rPr>
          <w:rFonts w:ascii="Times New Roman" w:hAnsi="Times New Roman"/>
        </w:rPr>
        <w:t xml:space="preserve"> of the primary judge</w:t>
      </w:r>
      <w:r w:rsidR="0047785C" w:rsidRPr="00B14447">
        <w:rPr>
          <w:rFonts w:ascii="Times New Roman" w:hAnsi="Times New Roman"/>
        </w:rPr>
        <w:t>, a</w:t>
      </w:r>
      <w:r w:rsidR="00606081" w:rsidRPr="00B14447">
        <w:rPr>
          <w:rFonts w:ascii="Times New Roman" w:hAnsi="Times New Roman"/>
        </w:rPr>
        <w:t>s well as his Honour's reasoning</w:t>
      </w:r>
      <w:r w:rsidR="0047785C" w:rsidRPr="00B14447">
        <w:rPr>
          <w:rFonts w:ascii="Times New Roman" w:hAnsi="Times New Roman"/>
        </w:rPr>
        <w:t>, w</w:t>
      </w:r>
      <w:r w:rsidR="00EF21BB" w:rsidRPr="00B14447">
        <w:rPr>
          <w:rFonts w:ascii="Times New Roman" w:hAnsi="Times New Roman"/>
        </w:rPr>
        <w:t xml:space="preserve">as unanimously affirmed by the Full Court </w:t>
      </w:r>
      <w:r w:rsidR="001121EC" w:rsidRPr="00B14447">
        <w:rPr>
          <w:rFonts w:ascii="Times New Roman" w:hAnsi="Times New Roman"/>
        </w:rPr>
        <w:t>after a wide</w:t>
      </w:r>
      <w:r w:rsidR="008049D1" w:rsidRPr="00B14447">
        <w:rPr>
          <w:rFonts w:ascii="Times New Roman" w:hAnsi="Times New Roman"/>
        </w:rPr>
        <w:t>-</w:t>
      </w:r>
      <w:r w:rsidR="001121EC" w:rsidRPr="00B14447">
        <w:rPr>
          <w:rFonts w:ascii="Times New Roman" w:hAnsi="Times New Roman"/>
        </w:rPr>
        <w:t xml:space="preserve">ranging appeal over </w:t>
      </w:r>
      <w:r w:rsidR="00AF78B7" w:rsidRPr="00B14447">
        <w:rPr>
          <w:rFonts w:ascii="Times New Roman" w:hAnsi="Times New Roman"/>
        </w:rPr>
        <w:t xml:space="preserve">seven </w:t>
      </w:r>
      <w:r w:rsidR="001121EC" w:rsidRPr="00B14447">
        <w:rPr>
          <w:rFonts w:ascii="Times New Roman" w:hAnsi="Times New Roman"/>
        </w:rPr>
        <w:t>days</w:t>
      </w:r>
      <w:r w:rsidR="00EF21BB" w:rsidRPr="00B14447">
        <w:rPr>
          <w:rFonts w:ascii="Times New Roman" w:hAnsi="Times New Roman"/>
        </w:rPr>
        <w:t>.</w:t>
      </w:r>
      <w:r w:rsidR="00EE1915" w:rsidRPr="00B14447">
        <w:rPr>
          <w:rFonts w:ascii="Times New Roman" w:hAnsi="Times New Roman"/>
        </w:rPr>
        <w:t xml:space="preserve"> Th</w:t>
      </w:r>
      <w:r w:rsidR="008A1791" w:rsidRPr="00B14447">
        <w:rPr>
          <w:rFonts w:ascii="Times New Roman" w:hAnsi="Times New Roman"/>
        </w:rPr>
        <w:t>at</w:t>
      </w:r>
      <w:r w:rsidR="00EE1915" w:rsidRPr="00B14447">
        <w:rPr>
          <w:rFonts w:ascii="Times New Roman" w:hAnsi="Times New Roman"/>
        </w:rPr>
        <w:t xml:space="preserve"> analysis </w:t>
      </w:r>
      <w:r w:rsidR="000A7335" w:rsidRPr="00B14447">
        <w:rPr>
          <w:rFonts w:ascii="Times New Roman" w:hAnsi="Times New Roman"/>
        </w:rPr>
        <w:t>was</w:t>
      </w:r>
      <w:r w:rsidR="00D602B4" w:rsidRPr="00B14447">
        <w:rPr>
          <w:rFonts w:ascii="Times New Roman" w:hAnsi="Times New Roman"/>
        </w:rPr>
        <w:t xml:space="preserve"> </w:t>
      </w:r>
      <w:r w:rsidR="00E56C15" w:rsidRPr="00B14447">
        <w:rPr>
          <w:rFonts w:ascii="Times New Roman" w:hAnsi="Times New Roman"/>
        </w:rPr>
        <w:t xml:space="preserve">not </w:t>
      </w:r>
      <w:r w:rsidR="00FB0824" w:rsidRPr="00B14447">
        <w:rPr>
          <w:rFonts w:ascii="Times New Roman" w:hAnsi="Times New Roman"/>
        </w:rPr>
        <w:t>clear</w:t>
      </w:r>
      <w:r w:rsidR="00E56C15" w:rsidRPr="00B14447">
        <w:rPr>
          <w:rFonts w:ascii="Times New Roman" w:hAnsi="Times New Roman"/>
        </w:rPr>
        <w:t>ly wrong</w:t>
      </w:r>
      <w:r w:rsidR="00FB0824" w:rsidRPr="00B14447">
        <w:rPr>
          <w:rFonts w:ascii="Times New Roman" w:hAnsi="Times New Roman"/>
        </w:rPr>
        <w:t xml:space="preserve"> </w:t>
      </w:r>
      <w:r w:rsidR="007C70B8" w:rsidRPr="00B14447">
        <w:rPr>
          <w:rFonts w:ascii="Times New Roman" w:hAnsi="Times New Roman"/>
        </w:rPr>
        <w:t>and was not productive of</w:t>
      </w:r>
      <w:r w:rsidR="004C0039" w:rsidRPr="00B14447">
        <w:rPr>
          <w:rFonts w:ascii="Times New Roman" w:hAnsi="Times New Roman"/>
        </w:rPr>
        <w:t xml:space="preserve"> injustice.</w:t>
      </w:r>
    </w:p>
    <w:p w14:paraId="1979E83F" w14:textId="4EC5D533" w:rsidR="00BD0127" w:rsidRPr="00B14447" w:rsidRDefault="005D0903" w:rsidP="00B14447">
      <w:pPr>
        <w:pStyle w:val="FixListStyle"/>
        <w:spacing w:after="260" w:line="280" w:lineRule="exact"/>
        <w:ind w:right="0"/>
        <w:jc w:val="both"/>
        <w:rPr>
          <w:rFonts w:ascii="Times New Roman" w:hAnsi="Times New Roman"/>
        </w:rPr>
      </w:pPr>
      <w:r w:rsidRPr="00B14447">
        <w:rPr>
          <w:rFonts w:ascii="Times New Roman" w:hAnsi="Times New Roman"/>
        </w:rPr>
        <w:tab/>
        <w:t>One submission made by the Commonwealth before the Full Court</w:t>
      </w:r>
      <w:r w:rsidR="00A20015" w:rsidRPr="00B14447">
        <w:rPr>
          <w:rFonts w:ascii="Times New Roman" w:hAnsi="Times New Roman"/>
        </w:rPr>
        <w:t>, which was heavily relied upon in this Court,</w:t>
      </w:r>
      <w:r w:rsidR="00560CF1" w:rsidRPr="00B14447">
        <w:rPr>
          <w:rFonts w:ascii="Times New Roman" w:hAnsi="Times New Roman"/>
        </w:rPr>
        <w:t xml:space="preserve"> was that</w:t>
      </w:r>
      <w:r w:rsidR="006C5B07" w:rsidRPr="00B14447">
        <w:rPr>
          <w:rFonts w:ascii="Times New Roman" w:hAnsi="Times New Roman"/>
        </w:rPr>
        <w:t xml:space="preserve"> at the hearing of the interlocutory injunction, but prior to the second event, </w:t>
      </w:r>
      <w:r w:rsidR="00D27A1E" w:rsidRPr="00B14447">
        <w:rPr>
          <w:rFonts w:ascii="Times New Roman" w:hAnsi="Times New Roman"/>
        </w:rPr>
        <w:t xml:space="preserve">senior counsel for </w:t>
      </w:r>
      <w:r w:rsidR="005F50D5" w:rsidRPr="00B14447">
        <w:rPr>
          <w:rFonts w:ascii="Times New Roman" w:hAnsi="Times New Roman"/>
        </w:rPr>
        <w:t>Apotex</w:t>
      </w:r>
      <w:r w:rsidR="00D27A1E" w:rsidRPr="00B14447">
        <w:rPr>
          <w:rFonts w:ascii="Times New Roman" w:hAnsi="Times New Roman"/>
        </w:rPr>
        <w:t xml:space="preserve"> had told the </w:t>
      </w:r>
      <w:r w:rsidR="00C66DB8" w:rsidRPr="00B14447">
        <w:rPr>
          <w:rFonts w:ascii="Times New Roman" w:hAnsi="Times New Roman"/>
        </w:rPr>
        <w:t>C</w:t>
      </w:r>
      <w:r w:rsidR="006C5B07" w:rsidRPr="00B14447">
        <w:rPr>
          <w:rFonts w:ascii="Times New Roman" w:hAnsi="Times New Roman"/>
        </w:rPr>
        <w:t xml:space="preserve">ourt that </w:t>
      </w:r>
      <w:r w:rsidR="00D44278" w:rsidRPr="00B14447">
        <w:rPr>
          <w:rFonts w:ascii="Times New Roman" w:hAnsi="Times New Roman"/>
        </w:rPr>
        <w:t>Apotex intended to</w:t>
      </w:r>
      <w:r w:rsidR="00565C1E" w:rsidRPr="00B14447">
        <w:rPr>
          <w:rFonts w:ascii="Times New Roman" w:hAnsi="Times New Roman"/>
        </w:rPr>
        <w:t xml:space="preserve"> apply for PBS listing if there w</w:t>
      </w:r>
      <w:r w:rsidR="00476E8F" w:rsidRPr="00B14447">
        <w:rPr>
          <w:rFonts w:ascii="Times New Roman" w:hAnsi="Times New Roman"/>
        </w:rPr>
        <w:t>as</w:t>
      </w:r>
      <w:r w:rsidR="00565C1E" w:rsidRPr="00B14447">
        <w:rPr>
          <w:rFonts w:ascii="Times New Roman" w:hAnsi="Times New Roman"/>
        </w:rPr>
        <w:t xml:space="preserve"> no interlocutory injunction granted</w:t>
      </w:r>
      <w:r w:rsidR="00D44278" w:rsidRPr="00B14447">
        <w:rPr>
          <w:rFonts w:ascii="Times New Roman" w:hAnsi="Times New Roman"/>
        </w:rPr>
        <w:t>.</w:t>
      </w:r>
      <w:r w:rsidR="00CC6C03" w:rsidRPr="00B14447">
        <w:rPr>
          <w:rFonts w:ascii="Times New Roman" w:hAnsi="Times New Roman"/>
        </w:rPr>
        <w:t xml:space="preserve"> An undertaking as to damages was offered by Apotex.</w:t>
      </w:r>
      <w:r w:rsidR="00D44278" w:rsidRPr="00B14447">
        <w:rPr>
          <w:rFonts w:ascii="Times New Roman" w:hAnsi="Times New Roman"/>
        </w:rPr>
        <w:t xml:space="preserve"> The Commonwealth, quite properly, did not </w:t>
      </w:r>
      <w:r w:rsidR="00E2464C" w:rsidRPr="00B14447">
        <w:rPr>
          <w:rFonts w:ascii="Times New Roman" w:hAnsi="Times New Roman"/>
        </w:rPr>
        <w:t>make a submission</w:t>
      </w:r>
      <w:r w:rsidR="00E92076" w:rsidRPr="00B14447">
        <w:rPr>
          <w:rFonts w:ascii="Times New Roman" w:hAnsi="Times New Roman"/>
        </w:rPr>
        <w:t xml:space="preserve"> that </w:t>
      </w:r>
      <w:r w:rsidR="0000161B" w:rsidRPr="00B14447">
        <w:rPr>
          <w:rFonts w:ascii="Times New Roman" w:hAnsi="Times New Roman"/>
        </w:rPr>
        <w:t xml:space="preserve">such a statement </w:t>
      </w:r>
      <w:r w:rsidR="00716E58" w:rsidRPr="00B14447">
        <w:rPr>
          <w:rFonts w:ascii="Times New Roman" w:hAnsi="Times New Roman"/>
        </w:rPr>
        <w:t xml:space="preserve">by </w:t>
      </w:r>
      <w:r w:rsidR="0069544A" w:rsidRPr="00B14447">
        <w:rPr>
          <w:rFonts w:ascii="Times New Roman" w:hAnsi="Times New Roman"/>
        </w:rPr>
        <w:t xml:space="preserve">senior </w:t>
      </w:r>
      <w:r w:rsidR="00716E58" w:rsidRPr="00B14447">
        <w:rPr>
          <w:rFonts w:ascii="Times New Roman" w:hAnsi="Times New Roman"/>
        </w:rPr>
        <w:t xml:space="preserve">counsel </w:t>
      </w:r>
      <w:r w:rsidR="0000161B" w:rsidRPr="00B14447">
        <w:rPr>
          <w:rFonts w:ascii="Times New Roman" w:hAnsi="Times New Roman"/>
        </w:rPr>
        <w:t xml:space="preserve">could somehow create an estoppel </w:t>
      </w:r>
      <w:r w:rsidR="009F6BD4" w:rsidRPr="00B14447">
        <w:rPr>
          <w:rFonts w:ascii="Times New Roman" w:hAnsi="Times New Roman"/>
        </w:rPr>
        <w:t xml:space="preserve">precluding Apotex from arguing that </w:t>
      </w:r>
      <w:r w:rsidR="008442E7" w:rsidRPr="00B14447">
        <w:rPr>
          <w:rFonts w:ascii="Times New Roman" w:hAnsi="Times New Roman"/>
        </w:rPr>
        <w:t>Dr</w:t>
      </w:r>
      <w:r w:rsidR="00BF2D8C" w:rsidRPr="00B14447">
        <w:rPr>
          <w:rFonts w:ascii="Times New Roman" w:hAnsi="Times New Roman"/>
        </w:rPr>
        <w:t> </w:t>
      </w:r>
      <w:r w:rsidR="008442E7" w:rsidRPr="00B14447">
        <w:rPr>
          <w:rFonts w:ascii="Times New Roman" w:hAnsi="Times New Roman"/>
        </w:rPr>
        <w:t xml:space="preserve">Sherman might </w:t>
      </w:r>
      <w:r w:rsidR="00716E58" w:rsidRPr="00B14447">
        <w:rPr>
          <w:rFonts w:ascii="Times New Roman" w:hAnsi="Times New Roman"/>
        </w:rPr>
        <w:t>subsequently have decided not to apply for PBS lis</w:t>
      </w:r>
      <w:r w:rsidR="002E5C13" w:rsidRPr="00B14447">
        <w:rPr>
          <w:rFonts w:ascii="Times New Roman" w:hAnsi="Times New Roman"/>
        </w:rPr>
        <w:t>t</w:t>
      </w:r>
      <w:r w:rsidR="00716E58" w:rsidRPr="00B14447">
        <w:rPr>
          <w:rFonts w:ascii="Times New Roman" w:hAnsi="Times New Roman"/>
        </w:rPr>
        <w:t>ing</w:t>
      </w:r>
      <w:r w:rsidR="00D202FA" w:rsidRPr="00B14447">
        <w:rPr>
          <w:rFonts w:ascii="Times New Roman" w:hAnsi="Times New Roman"/>
        </w:rPr>
        <w:t xml:space="preserve"> despite the second event</w:t>
      </w:r>
      <w:r w:rsidR="00E92076" w:rsidRPr="00B14447">
        <w:rPr>
          <w:rFonts w:ascii="Times New Roman" w:hAnsi="Times New Roman"/>
        </w:rPr>
        <w:t xml:space="preserve">. </w:t>
      </w:r>
      <w:r w:rsidR="00E2464C" w:rsidRPr="00B14447">
        <w:rPr>
          <w:rFonts w:ascii="Times New Roman" w:hAnsi="Times New Roman"/>
        </w:rPr>
        <w:t>Indeed, the Commonwealth</w:t>
      </w:r>
      <w:r w:rsidR="007E288A" w:rsidRPr="00B14447">
        <w:rPr>
          <w:rFonts w:ascii="Times New Roman" w:hAnsi="Times New Roman"/>
        </w:rPr>
        <w:t xml:space="preserve"> </w:t>
      </w:r>
      <w:r w:rsidR="00E2464C" w:rsidRPr="00B14447">
        <w:rPr>
          <w:rFonts w:ascii="Times New Roman" w:hAnsi="Times New Roman"/>
        </w:rPr>
        <w:t xml:space="preserve">conceded that </w:t>
      </w:r>
      <w:r w:rsidR="003212C2" w:rsidRPr="00B14447">
        <w:rPr>
          <w:rFonts w:ascii="Times New Roman" w:hAnsi="Times New Roman"/>
        </w:rPr>
        <w:t xml:space="preserve">subsequent </w:t>
      </w:r>
      <w:r w:rsidR="00675BD4" w:rsidRPr="00B14447">
        <w:rPr>
          <w:rFonts w:ascii="Times New Roman" w:hAnsi="Times New Roman"/>
        </w:rPr>
        <w:t>events (such as a factory burning down) might have led Dr</w:t>
      </w:r>
      <w:r w:rsidR="00F372BF" w:rsidRPr="00B14447">
        <w:rPr>
          <w:rFonts w:ascii="Times New Roman" w:hAnsi="Times New Roman"/>
        </w:rPr>
        <w:t> </w:t>
      </w:r>
      <w:r w:rsidR="00675BD4" w:rsidRPr="00B14447">
        <w:rPr>
          <w:rFonts w:ascii="Times New Roman" w:hAnsi="Times New Roman"/>
        </w:rPr>
        <w:t>Sherman</w:t>
      </w:r>
      <w:r w:rsidR="002E5C13" w:rsidRPr="00B14447">
        <w:rPr>
          <w:rFonts w:ascii="Times New Roman" w:hAnsi="Times New Roman"/>
        </w:rPr>
        <w:t xml:space="preserve"> not to make that application</w:t>
      </w:r>
      <w:r w:rsidR="00675BD4" w:rsidRPr="00B14447">
        <w:rPr>
          <w:rFonts w:ascii="Times New Roman" w:hAnsi="Times New Roman"/>
        </w:rPr>
        <w:t xml:space="preserve">. </w:t>
      </w:r>
      <w:r w:rsidR="00AE5889" w:rsidRPr="00B14447">
        <w:rPr>
          <w:rFonts w:ascii="Times New Roman" w:hAnsi="Times New Roman"/>
        </w:rPr>
        <w:t>Even a</w:t>
      </w:r>
      <w:r w:rsidR="00BA7E33" w:rsidRPr="00B14447">
        <w:rPr>
          <w:rFonts w:ascii="Times New Roman" w:hAnsi="Times New Roman"/>
        </w:rPr>
        <w:t>ssuming that senior counsel's instructions</w:t>
      </w:r>
      <w:r w:rsidR="00E5009D" w:rsidRPr="00B14447">
        <w:rPr>
          <w:rFonts w:ascii="Times New Roman" w:hAnsi="Times New Roman"/>
        </w:rPr>
        <w:t xml:space="preserve"> on this point</w:t>
      </w:r>
      <w:r w:rsidR="00BA7E33" w:rsidRPr="00B14447">
        <w:rPr>
          <w:rFonts w:ascii="Times New Roman" w:hAnsi="Times New Roman"/>
        </w:rPr>
        <w:t xml:space="preserve"> had been given by Dr</w:t>
      </w:r>
      <w:r w:rsidR="008C1551" w:rsidRPr="00B14447">
        <w:rPr>
          <w:rFonts w:ascii="Times New Roman" w:hAnsi="Times New Roman"/>
        </w:rPr>
        <w:t> </w:t>
      </w:r>
      <w:r w:rsidR="00BA7E33" w:rsidRPr="00B14447">
        <w:rPr>
          <w:rFonts w:ascii="Times New Roman" w:hAnsi="Times New Roman"/>
        </w:rPr>
        <w:t xml:space="preserve">Sherman, </w:t>
      </w:r>
      <w:r w:rsidR="00060EB4" w:rsidRPr="00B14447">
        <w:rPr>
          <w:rFonts w:ascii="Times New Roman" w:hAnsi="Times New Roman"/>
        </w:rPr>
        <w:t>Dr</w:t>
      </w:r>
      <w:r w:rsidR="006C7501" w:rsidRPr="00B14447">
        <w:rPr>
          <w:rFonts w:ascii="Times New Roman" w:hAnsi="Times New Roman"/>
        </w:rPr>
        <w:t> </w:t>
      </w:r>
      <w:r w:rsidR="00060EB4" w:rsidRPr="00B14447">
        <w:rPr>
          <w:rFonts w:ascii="Times New Roman" w:hAnsi="Times New Roman"/>
        </w:rPr>
        <w:t xml:space="preserve">Sherman's approach to </w:t>
      </w:r>
      <w:r w:rsidR="001C7597" w:rsidRPr="00B14447">
        <w:rPr>
          <w:rFonts w:ascii="Times New Roman" w:hAnsi="Times New Roman"/>
        </w:rPr>
        <w:t xml:space="preserve">PBS listing after </w:t>
      </w:r>
      <w:r w:rsidR="00060EB4" w:rsidRPr="00B14447">
        <w:rPr>
          <w:rFonts w:ascii="Times New Roman" w:hAnsi="Times New Roman"/>
        </w:rPr>
        <w:t xml:space="preserve">the second event </w:t>
      </w:r>
      <w:r w:rsidR="00B83E24" w:rsidRPr="00B14447">
        <w:rPr>
          <w:rFonts w:ascii="Times New Roman" w:hAnsi="Times New Roman"/>
        </w:rPr>
        <w:t xml:space="preserve">would </w:t>
      </w:r>
      <w:r w:rsidR="001C7597" w:rsidRPr="00B14447">
        <w:rPr>
          <w:rFonts w:ascii="Times New Roman" w:hAnsi="Times New Roman"/>
        </w:rPr>
        <w:t xml:space="preserve">have </w:t>
      </w:r>
      <w:r w:rsidR="00B83E24" w:rsidRPr="00B14447">
        <w:rPr>
          <w:rFonts w:ascii="Times New Roman" w:hAnsi="Times New Roman"/>
        </w:rPr>
        <w:t>depend</w:t>
      </w:r>
      <w:r w:rsidR="001C7597" w:rsidRPr="00B14447">
        <w:rPr>
          <w:rFonts w:ascii="Times New Roman" w:hAnsi="Times New Roman"/>
        </w:rPr>
        <w:t>ed</w:t>
      </w:r>
      <w:r w:rsidR="00B83E24" w:rsidRPr="00B14447">
        <w:rPr>
          <w:rFonts w:ascii="Times New Roman" w:hAnsi="Times New Roman"/>
        </w:rPr>
        <w:t xml:space="preserve"> upon </w:t>
      </w:r>
      <w:r w:rsidR="008C1551" w:rsidRPr="00B14447">
        <w:rPr>
          <w:rFonts w:ascii="Times New Roman" w:hAnsi="Times New Roman"/>
        </w:rPr>
        <w:t>the strength of</w:t>
      </w:r>
      <w:r w:rsidR="009F6BD4" w:rsidRPr="00B14447">
        <w:rPr>
          <w:rFonts w:ascii="Times New Roman" w:hAnsi="Times New Roman"/>
        </w:rPr>
        <w:t xml:space="preserve"> Dr</w:t>
      </w:r>
      <w:r w:rsidR="008C1551" w:rsidRPr="00B14447">
        <w:rPr>
          <w:rFonts w:ascii="Times New Roman" w:hAnsi="Times New Roman"/>
        </w:rPr>
        <w:t> </w:t>
      </w:r>
      <w:r w:rsidR="009F6BD4" w:rsidRPr="00B14447">
        <w:rPr>
          <w:rFonts w:ascii="Times New Roman" w:hAnsi="Times New Roman"/>
        </w:rPr>
        <w:t>Sherman's</w:t>
      </w:r>
      <w:r w:rsidR="00BA7E33" w:rsidRPr="00B14447">
        <w:rPr>
          <w:rFonts w:ascii="Times New Roman" w:hAnsi="Times New Roman"/>
        </w:rPr>
        <w:t xml:space="preserve"> </w:t>
      </w:r>
      <w:r w:rsidR="008D00C7" w:rsidRPr="00B14447">
        <w:rPr>
          <w:rFonts w:ascii="Times New Roman" w:hAnsi="Times New Roman"/>
        </w:rPr>
        <w:t xml:space="preserve">prior </w:t>
      </w:r>
      <w:r w:rsidR="00BA7E33" w:rsidRPr="00B14447">
        <w:rPr>
          <w:rFonts w:ascii="Times New Roman" w:hAnsi="Times New Roman"/>
        </w:rPr>
        <w:t xml:space="preserve">intention </w:t>
      </w:r>
      <w:r w:rsidR="00683303" w:rsidRPr="00B14447">
        <w:rPr>
          <w:rFonts w:ascii="Times New Roman" w:hAnsi="Times New Roman"/>
        </w:rPr>
        <w:t xml:space="preserve">to </w:t>
      </w:r>
      <w:r w:rsidR="00ED2084" w:rsidRPr="00B14447">
        <w:rPr>
          <w:rFonts w:ascii="Times New Roman" w:hAnsi="Times New Roman"/>
        </w:rPr>
        <w:t>apply for PBS listing</w:t>
      </w:r>
      <w:r w:rsidR="00474FCA" w:rsidRPr="00B14447">
        <w:rPr>
          <w:rFonts w:ascii="Times New Roman" w:hAnsi="Times New Roman"/>
        </w:rPr>
        <w:t xml:space="preserve">. </w:t>
      </w:r>
      <w:r w:rsidR="00683303" w:rsidRPr="00B14447">
        <w:rPr>
          <w:rFonts w:ascii="Times New Roman" w:hAnsi="Times New Roman"/>
        </w:rPr>
        <w:t>But Dr</w:t>
      </w:r>
      <w:r w:rsidR="008C1551" w:rsidRPr="00B14447">
        <w:rPr>
          <w:rFonts w:ascii="Times New Roman" w:hAnsi="Times New Roman"/>
        </w:rPr>
        <w:t> </w:t>
      </w:r>
      <w:r w:rsidR="00683303" w:rsidRPr="00B14447">
        <w:rPr>
          <w:rFonts w:ascii="Times New Roman" w:hAnsi="Times New Roman"/>
        </w:rPr>
        <w:t>Sherman was not called</w:t>
      </w:r>
      <w:r w:rsidR="0069544A" w:rsidRPr="00B14447">
        <w:rPr>
          <w:rFonts w:ascii="Times New Roman" w:hAnsi="Times New Roman"/>
        </w:rPr>
        <w:t xml:space="preserve"> </w:t>
      </w:r>
      <w:r w:rsidR="004B6BB1" w:rsidRPr="00B14447">
        <w:rPr>
          <w:rFonts w:ascii="Times New Roman" w:hAnsi="Times New Roman"/>
        </w:rPr>
        <w:t>by the Commonwealth</w:t>
      </w:r>
      <w:r w:rsidR="00683303" w:rsidRPr="00B14447">
        <w:rPr>
          <w:rFonts w:ascii="Times New Roman" w:hAnsi="Times New Roman"/>
        </w:rPr>
        <w:t>.</w:t>
      </w:r>
      <w:r w:rsidR="0069544A" w:rsidRPr="00B14447">
        <w:rPr>
          <w:rFonts w:ascii="Times New Roman" w:hAnsi="Times New Roman"/>
        </w:rPr>
        <w:t xml:space="preserve"> </w:t>
      </w:r>
      <w:r w:rsidR="0095449F" w:rsidRPr="00B14447">
        <w:rPr>
          <w:rFonts w:ascii="Times New Roman" w:hAnsi="Times New Roman"/>
        </w:rPr>
        <w:t xml:space="preserve">And nothing about </w:t>
      </w:r>
      <w:r w:rsidR="00D45AD9" w:rsidRPr="00B14447">
        <w:rPr>
          <w:rFonts w:ascii="Times New Roman" w:hAnsi="Times New Roman"/>
        </w:rPr>
        <w:t xml:space="preserve">the strength of any intention </w:t>
      </w:r>
      <w:r w:rsidR="008C1551" w:rsidRPr="00B14447">
        <w:rPr>
          <w:rFonts w:ascii="Times New Roman" w:hAnsi="Times New Roman"/>
        </w:rPr>
        <w:t>of</w:t>
      </w:r>
      <w:r w:rsidR="00D45AD9" w:rsidRPr="00B14447">
        <w:rPr>
          <w:rFonts w:ascii="Times New Roman" w:hAnsi="Times New Roman"/>
        </w:rPr>
        <w:t xml:space="preserve"> Dr</w:t>
      </w:r>
      <w:r w:rsidR="008C1551" w:rsidRPr="00B14447">
        <w:rPr>
          <w:rFonts w:ascii="Times New Roman" w:hAnsi="Times New Roman"/>
        </w:rPr>
        <w:t> </w:t>
      </w:r>
      <w:r w:rsidR="00D45AD9" w:rsidRPr="00B14447">
        <w:rPr>
          <w:rFonts w:ascii="Times New Roman" w:hAnsi="Times New Roman"/>
        </w:rPr>
        <w:t xml:space="preserve">Sherman could be inferred from Apotex's offer of an undertaking as to damages. If no interlocutory injunction had been granted but Apotex </w:t>
      </w:r>
      <w:r w:rsidR="008D00C7" w:rsidRPr="00B14447">
        <w:rPr>
          <w:rFonts w:ascii="Times New Roman" w:hAnsi="Times New Roman"/>
        </w:rPr>
        <w:t xml:space="preserve">subsequently </w:t>
      </w:r>
      <w:r w:rsidR="00D45AD9" w:rsidRPr="00B14447">
        <w:rPr>
          <w:rFonts w:ascii="Times New Roman" w:hAnsi="Times New Roman"/>
        </w:rPr>
        <w:t>decided not to seek PBS listing</w:t>
      </w:r>
      <w:r w:rsidR="00DA17C0" w:rsidRPr="00B14447">
        <w:rPr>
          <w:rFonts w:ascii="Times New Roman" w:hAnsi="Times New Roman"/>
        </w:rPr>
        <w:t xml:space="preserve"> and undertook not to do so</w:t>
      </w:r>
      <w:r w:rsidR="00D45AD9" w:rsidRPr="00B14447">
        <w:rPr>
          <w:rFonts w:ascii="Times New Roman" w:hAnsi="Times New Roman"/>
        </w:rPr>
        <w:t>, Sanofi would have consent</w:t>
      </w:r>
      <w:r w:rsidR="00DA17C0" w:rsidRPr="00B14447">
        <w:rPr>
          <w:rFonts w:ascii="Times New Roman" w:hAnsi="Times New Roman"/>
        </w:rPr>
        <w:t>ed to orders permitting withdrawal of the undertaking in a heartbeat.</w:t>
      </w:r>
      <w:r w:rsidR="00D85BA3" w:rsidRPr="00B14447">
        <w:rPr>
          <w:rFonts w:ascii="Times New Roman" w:hAnsi="Times New Roman"/>
        </w:rPr>
        <w:t xml:space="preserve"> </w:t>
      </w:r>
    </w:p>
    <w:p w14:paraId="544640B1" w14:textId="7F32FE56" w:rsidR="00F1780D" w:rsidRPr="00B14447" w:rsidRDefault="00BD0127" w:rsidP="00B14447">
      <w:pPr>
        <w:pStyle w:val="FixListStyle"/>
        <w:spacing w:after="260" w:line="280" w:lineRule="exact"/>
        <w:ind w:right="0"/>
        <w:jc w:val="both"/>
        <w:rPr>
          <w:rFonts w:ascii="Times New Roman" w:hAnsi="Times New Roman"/>
        </w:rPr>
      </w:pPr>
      <w:r w:rsidRPr="00B14447">
        <w:rPr>
          <w:rFonts w:ascii="Times New Roman" w:hAnsi="Times New Roman"/>
        </w:rPr>
        <w:tab/>
        <w:t>Since it was common ground that Dr</w:t>
      </w:r>
      <w:r w:rsidR="00806649" w:rsidRPr="00B14447">
        <w:rPr>
          <w:rFonts w:ascii="Times New Roman" w:hAnsi="Times New Roman"/>
        </w:rPr>
        <w:t> </w:t>
      </w:r>
      <w:r w:rsidRPr="00B14447">
        <w:rPr>
          <w:rFonts w:ascii="Times New Roman" w:hAnsi="Times New Roman"/>
        </w:rPr>
        <w:t xml:space="preserve">Sherman's </w:t>
      </w:r>
      <w:r w:rsidR="000E3593" w:rsidRPr="00B14447">
        <w:rPr>
          <w:rFonts w:ascii="Times New Roman" w:hAnsi="Times New Roman"/>
        </w:rPr>
        <w:t xml:space="preserve">intention to apply for PBS listing was </w:t>
      </w:r>
      <w:r w:rsidR="00DB48A0" w:rsidRPr="00B14447">
        <w:rPr>
          <w:rFonts w:ascii="Times New Roman" w:hAnsi="Times New Roman"/>
        </w:rPr>
        <w:t xml:space="preserve">not absolute </w:t>
      </w:r>
      <w:r w:rsidR="007D0126" w:rsidRPr="00B14447">
        <w:rPr>
          <w:rFonts w:ascii="Times New Roman" w:hAnsi="Times New Roman"/>
        </w:rPr>
        <w:t xml:space="preserve">or </w:t>
      </w:r>
      <w:r w:rsidR="00DB48A0" w:rsidRPr="00B14447">
        <w:rPr>
          <w:rFonts w:ascii="Times New Roman" w:hAnsi="Times New Roman"/>
        </w:rPr>
        <w:t xml:space="preserve">fixed, </w:t>
      </w:r>
      <w:r w:rsidR="000A3954" w:rsidRPr="00B14447">
        <w:rPr>
          <w:rFonts w:ascii="Times New Roman" w:hAnsi="Times New Roman"/>
        </w:rPr>
        <w:t>t</w:t>
      </w:r>
      <w:r w:rsidR="00D85BA3" w:rsidRPr="00B14447">
        <w:rPr>
          <w:rFonts w:ascii="Times New Roman" w:hAnsi="Times New Roman"/>
        </w:rPr>
        <w:t>his Court was invited to engage in a minute analysis of the evidence at trial</w:t>
      </w:r>
      <w:r w:rsidR="000A3954" w:rsidRPr="00B14447">
        <w:rPr>
          <w:rFonts w:ascii="Times New Roman" w:hAnsi="Times New Roman"/>
        </w:rPr>
        <w:t xml:space="preserve"> in order to ascertain the nature of Dr</w:t>
      </w:r>
      <w:r w:rsidR="00806649" w:rsidRPr="00B14447">
        <w:rPr>
          <w:rFonts w:ascii="Times New Roman" w:hAnsi="Times New Roman"/>
        </w:rPr>
        <w:t> </w:t>
      </w:r>
      <w:r w:rsidR="000A3954" w:rsidRPr="00B14447">
        <w:rPr>
          <w:rFonts w:ascii="Times New Roman" w:hAnsi="Times New Roman"/>
        </w:rPr>
        <w:t>Sherman's intention in the counter</w:t>
      </w:r>
      <w:r w:rsidR="00BC2504" w:rsidRPr="00B14447">
        <w:rPr>
          <w:rFonts w:ascii="Times New Roman" w:hAnsi="Times New Roman"/>
        </w:rPr>
        <w:t>-</w:t>
      </w:r>
      <w:r w:rsidR="000A3954" w:rsidRPr="00B14447">
        <w:rPr>
          <w:rFonts w:ascii="Times New Roman" w:hAnsi="Times New Roman"/>
        </w:rPr>
        <w:t>factual scenario that the injunction had not been granted. T</w:t>
      </w:r>
      <w:r w:rsidR="00A55C89" w:rsidRPr="00B14447">
        <w:rPr>
          <w:rFonts w:ascii="Times New Roman" w:hAnsi="Times New Roman"/>
        </w:rPr>
        <w:t xml:space="preserve">he </w:t>
      </w:r>
      <w:r w:rsidR="00D12B4B" w:rsidRPr="00B14447">
        <w:rPr>
          <w:rFonts w:ascii="Times New Roman" w:hAnsi="Times New Roman"/>
        </w:rPr>
        <w:t xml:space="preserve">central </w:t>
      </w:r>
      <w:r w:rsidR="0083698C" w:rsidRPr="00B14447">
        <w:rPr>
          <w:rFonts w:ascii="Times New Roman" w:hAnsi="Times New Roman"/>
        </w:rPr>
        <w:t>question</w:t>
      </w:r>
      <w:r w:rsidR="00A55C89" w:rsidRPr="00B14447">
        <w:rPr>
          <w:rFonts w:ascii="Times New Roman" w:hAnsi="Times New Roman"/>
        </w:rPr>
        <w:t xml:space="preserve"> on this appeal is</w:t>
      </w:r>
      <w:r w:rsidR="00DA17C0" w:rsidRPr="00B14447">
        <w:rPr>
          <w:rFonts w:ascii="Times New Roman" w:hAnsi="Times New Roman"/>
        </w:rPr>
        <w:t xml:space="preserve"> </w:t>
      </w:r>
      <w:r w:rsidR="00A55C89" w:rsidRPr="00B14447">
        <w:rPr>
          <w:rFonts w:ascii="Times New Roman" w:hAnsi="Times New Roman"/>
        </w:rPr>
        <w:t>whether this Court should</w:t>
      </w:r>
      <w:r w:rsidR="008049D1" w:rsidRPr="00B14447">
        <w:rPr>
          <w:rFonts w:ascii="Times New Roman" w:hAnsi="Times New Roman"/>
        </w:rPr>
        <w:t xml:space="preserve"> </w:t>
      </w:r>
      <w:r w:rsidR="00A55C89" w:rsidRPr="00B14447">
        <w:rPr>
          <w:rFonts w:ascii="Times New Roman" w:hAnsi="Times New Roman"/>
        </w:rPr>
        <w:t>overturn</w:t>
      </w:r>
      <w:r w:rsidR="008049D1" w:rsidRPr="00B14447">
        <w:rPr>
          <w:rFonts w:ascii="Times New Roman" w:hAnsi="Times New Roman"/>
        </w:rPr>
        <w:t xml:space="preserve"> </w:t>
      </w:r>
      <w:r w:rsidR="009D7227" w:rsidRPr="00B14447">
        <w:rPr>
          <w:rFonts w:ascii="Times New Roman" w:hAnsi="Times New Roman"/>
        </w:rPr>
        <w:t>many</w:t>
      </w:r>
      <w:r w:rsidR="00A55C89" w:rsidRPr="00B14447">
        <w:rPr>
          <w:rFonts w:ascii="Times New Roman" w:hAnsi="Times New Roman"/>
        </w:rPr>
        <w:t xml:space="preserve"> concurrent and unanimous findings of fact in the courts below </w:t>
      </w:r>
      <w:r w:rsidR="000476CF" w:rsidRPr="00B14447">
        <w:rPr>
          <w:rFonts w:ascii="Times New Roman" w:hAnsi="Times New Roman"/>
        </w:rPr>
        <w:t xml:space="preserve">in circumstances </w:t>
      </w:r>
      <w:r w:rsidR="00C24379" w:rsidRPr="00B14447">
        <w:rPr>
          <w:rFonts w:ascii="Times New Roman" w:hAnsi="Times New Roman"/>
        </w:rPr>
        <w:t>where</w:t>
      </w:r>
      <w:r w:rsidR="00417F0A" w:rsidRPr="00B14447">
        <w:rPr>
          <w:rFonts w:ascii="Times New Roman" w:hAnsi="Times New Roman"/>
        </w:rPr>
        <w:t>: (i)</w:t>
      </w:r>
      <w:r w:rsidR="00587EA7" w:rsidRPr="00B14447">
        <w:rPr>
          <w:rFonts w:ascii="Times New Roman" w:hAnsi="Times New Roman"/>
        </w:rPr>
        <w:t> </w:t>
      </w:r>
      <w:r w:rsidR="00604229" w:rsidRPr="00B14447">
        <w:rPr>
          <w:rFonts w:ascii="Times New Roman" w:hAnsi="Times New Roman"/>
        </w:rPr>
        <w:t xml:space="preserve">the </w:t>
      </w:r>
      <w:r w:rsidR="00245D03" w:rsidRPr="00B14447">
        <w:rPr>
          <w:rFonts w:ascii="Times New Roman" w:hAnsi="Times New Roman"/>
        </w:rPr>
        <w:t xml:space="preserve">consequences </w:t>
      </w:r>
      <w:r w:rsidR="00545955" w:rsidRPr="00B14447">
        <w:rPr>
          <w:rFonts w:ascii="Times New Roman" w:hAnsi="Times New Roman"/>
        </w:rPr>
        <w:t xml:space="preserve">for </w:t>
      </w:r>
      <w:r w:rsidR="006043DA" w:rsidRPr="00B14447">
        <w:rPr>
          <w:rFonts w:ascii="Times New Roman" w:hAnsi="Times New Roman"/>
        </w:rPr>
        <w:t>the Commonwealth</w:t>
      </w:r>
      <w:r w:rsidR="00604229" w:rsidRPr="00B14447">
        <w:rPr>
          <w:rFonts w:ascii="Times New Roman" w:hAnsi="Times New Roman"/>
        </w:rPr>
        <w:t xml:space="preserve"> that</w:t>
      </w:r>
      <w:r w:rsidR="006043DA" w:rsidRPr="00B14447">
        <w:rPr>
          <w:rFonts w:ascii="Times New Roman" w:hAnsi="Times New Roman"/>
        </w:rPr>
        <w:t xml:space="preserve"> </w:t>
      </w:r>
      <w:r w:rsidR="00245D03" w:rsidRPr="00B14447">
        <w:rPr>
          <w:rFonts w:ascii="Times New Roman" w:hAnsi="Times New Roman"/>
        </w:rPr>
        <w:t>follow</w:t>
      </w:r>
      <w:r w:rsidR="00627F99" w:rsidRPr="00B14447">
        <w:rPr>
          <w:rFonts w:ascii="Times New Roman" w:hAnsi="Times New Roman"/>
        </w:rPr>
        <w:t xml:space="preserve"> from those findings</w:t>
      </w:r>
      <w:r w:rsidR="00604229" w:rsidRPr="00B14447">
        <w:rPr>
          <w:rFonts w:ascii="Times New Roman" w:hAnsi="Times New Roman"/>
        </w:rPr>
        <w:t xml:space="preserve"> </w:t>
      </w:r>
      <w:r w:rsidR="005140E1" w:rsidRPr="00B14447">
        <w:rPr>
          <w:rFonts w:ascii="Times New Roman" w:hAnsi="Times New Roman"/>
        </w:rPr>
        <w:t>are in</w:t>
      </w:r>
      <w:r w:rsidR="001B3E1A" w:rsidRPr="00B14447">
        <w:rPr>
          <w:rFonts w:ascii="Times New Roman" w:hAnsi="Times New Roman"/>
        </w:rPr>
        <w:t>significant</w:t>
      </w:r>
      <w:r w:rsidR="00763A44" w:rsidRPr="00B14447">
        <w:rPr>
          <w:rFonts w:ascii="Times New Roman" w:hAnsi="Times New Roman"/>
        </w:rPr>
        <w:t xml:space="preserve"> to </w:t>
      </w:r>
      <w:r w:rsidR="00E5471A" w:rsidRPr="00B14447">
        <w:rPr>
          <w:rFonts w:ascii="Times New Roman" w:hAnsi="Times New Roman"/>
        </w:rPr>
        <w:t>it</w:t>
      </w:r>
      <w:r w:rsidR="00417F0A" w:rsidRPr="00B14447">
        <w:rPr>
          <w:rFonts w:ascii="Times New Roman" w:hAnsi="Times New Roman"/>
        </w:rPr>
        <w:t xml:space="preserve">; </w:t>
      </w:r>
      <w:r w:rsidR="00AD023A" w:rsidRPr="00B14447">
        <w:rPr>
          <w:rFonts w:ascii="Times New Roman" w:hAnsi="Times New Roman"/>
        </w:rPr>
        <w:t>(i</w:t>
      </w:r>
      <w:r w:rsidR="00D82B75" w:rsidRPr="00B14447">
        <w:rPr>
          <w:rFonts w:ascii="Times New Roman" w:hAnsi="Times New Roman"/>
        </w:rPr>
        <w:t>i</w:t>
      </w:r>
      <w:r w:rsidR="00AD023A" w:rsidRPr="00B14447">
        <w:rPr>
          <w:rFonts w:ascii="Times New Roman" w:hAnsi="Times New Roman"/>
        </w:rPr>
        <w:t>)</w:t>
      </w:r>
      <w:r w:rsidR="00593EE8" w:rsidRPr="00B14447">
        <w:rPr>
          <w:rFonts w:ascii="Times New Roman" w:hAnsi="Times New Roman"/>
        </w:rPr>
        <w:t> </w:t>
      </w:r>
      <w:r w:rsidR="00CF2348" w:rsidRPr="00B14447">
        <w:rPr>
          <w:rFonts w:ascii="Times New Roman" w:hAnsi="Times New Roman"/>
        </w:rPr>
        <w:t xml:space="preserve">the Commonwealth's grounds </w:t>
      </w:r>
      <w:r w:rsidR="007324FF" w:rsidRPr="00B14447">
        <w:rPr>
          <w:rFonts w:ascii="Times New Roman" w:hAnsi="Times New Roman"/>
        </w:rPr>
        <w:t xml:space="preserve">of appeal </w:t>
      </w:r>
      <w:r w:rsidR="00463A39" w:rsidRPr="00B14447">
        <w:rPr>
          <w:rFonts w:ascii="Times New Roman" w:hAnsi="Times New Roman"/>
        </w:rPr>
        <w:t>in this Court</w:t>
      </w:r>
      <w:r w:rsidR="00827A04" w:rsidRPr="00B14447">
        <w:rPr>
          <w:rFonts w:ascii="Times New Roman" w:hAnsi="Times New Roman"/>
        </w:rPr>
        <w:t>, specifically</w:t>
      </w:r>
      <w:r w:rsidR="00463A39" w:rsidRPr="00B14447">
        <w:rPr>
          <w:rFonts w:ascii="Times New Roman" w:hAnsi="Times New Roman"/>
        </w:rPr>
        <w:t xml:space="preserve"> </w:t>
      </w:r>
      <w:r w:rsidR="0042318B" w:rsidRPr="00B14447">
        <w:rPr>
          <w:rFonts w:ascii="Times New Roman" w:hAnsi="Times New Roman"/>
        </w:rPr>
        <w:t>the broadly expressed second ground of appeal</w:t>
      </w:r>
      <w:r w:rsidR="005C50C3" w:rsidRPr="00B14447">
        <w:rPr>
          <w:rFonts w:ascii="Times New Roman" w:hAnsi="Times New Roman"/>
        </w:rPr>
        <w:t>,</w:t>
      </w:r>
      <w:r w:rsidR="0042318B" w:rsidRPr="00B14447">
        <w:rPr>
          <w:rFonts w:ascii="Times New Roman" w:hAnsi="Times New Roman"/>
        </w:rPr>
        <w:t xml:space="preserve"> cannot be read </w:t>
      </w:r>
      <w:r w:rsidR="0042318B" w:rsidRPr="00B14447">
        <w:rPr>
          <w:rFonts w:ascii="Times New Roman" w:hAnsi="Times New Roman"/>
        </w:rPr>
        <w:lastRenderedPageBreak/>
        <w:t>as a</w:t>
      </w:r>
      <w:r w:rsidR="0004555B" w:rsidRPr="00B14447">
        <w:rPr>
          <w:rFonts w:ascii="Times New Roman" w:hAnsi="Times New Roman"/>
        </w:rPr>
        <w:t xml:space="preserve"> rolled up ground of appeal that </w:t>
      </w:r>
      <w:r w:rsidR="0023741D" w:rsidRPr="00B14447">
        <w:rPr>
          <w:rFonts w:ascii="Times New Roman" w:hAnsi="Times New Roman"/>
        </w:rPr>
        <w:t xml:space="preserve">effectively </w:t>
      </w:r>
      <w:r w:rsidR="0004555B" w:rsidRPr="00B14447">
        <w:rPr>
          <w:rFonts w:ascii="Times New Roman" w:hAnsi="Times New Roman"/>
        </w:rPr>
        <w:t xml:space="preserve">invites this Court to </w:t>
      </w:r>
      <w:r w:rsidR="00EA6E00" w:rsidRPr="00B14447">
        <w:rPr>
          <w:rFonts w:ascii="Times New Roman" w:hAnsi="Times New Roman"/>
        </w:rPr>
        <w:t xml:space="preserve">run a new trial and to </w:t>
      </w:r>
      <w:r w:rsidR="0004555B" w:rsidRPr="00B14447">
        <w:rPr>
          <w:rFonts w:ascii="Times New Roman" w:hAnsi="Times New Roman"/>
        </w:rPr>
        <w:t xml:space="preserve">revisit all </w:t>
      </w:r>
      <w:r w:rsidR="009D1610" w:rsidRPr="00B14447">
        <w:rPr>
          <w:rFonts w:ascii="Times New Roman" w:hAnsi="Times New Roman"/>
        </w:rPr>
        <w:t xml:space="preserve">of </w:t>
      </w:r>
      <w:r w:rsidR="0004555B" w:rsidRPr="00B14447">
        <w:rPr>
          <w:rFonts w:ascii="Times New Roman" w:hAnsi="Times New Roman"/>
        </w:rPr>
        <w:t>the particular</w:t>
      </w:r>
      <w:r w:rsidR="00EA6E00" w:rsidRPr="00B14447">
        <w:rPr>
          <w:rFonts w:ascii="Times New Roman" w:hAnsi="Times New Roman"/>
        </w:rPr>
        <w:t xml:space="preserve"> </w:t>
      </w:r>
      <w:r w:rsidR="0004555B" w:rsidRPr="00B14447">
        <w:rPr>
          <w:rFonts w:ascii="Times New Roman" w:hAnsi="Times New Roman"/>
        </w:rPr>
        <w:t>grounds of appeal before the Full Court which raise</w:t>
      </w:r>
      <w:r w:rsidR="00C168C8" w:rsidRPr="00B14447">
        <w:rPr>
          <w:rFonts w:ascii="Times New Roman" w:hAnsi="Times New Roman"/>
        </w:rPr>
        <w:t>d</w:t>
      </w:r>
      <w:r w:rsidR="0004555B" w:rsidRPr="00B14447">
        <w:rPr>
          <w:rFonts w:ascii="Times New Roman" w:hAnsi="Times New Roman"/>
        </w:rPr>
        <w:t xml:space="preserve"> no point of </w:t>
      </w:r>
      <w:r w:rsidR="00C168C8" w:rsidRPr="00B14447">
        <w:rPr>
          <w:rFonts w:ascii="Times New Roman" w:hAnsi="Times New Roman"/>
        </w:rPr>
        <w:t xml:space="preserve">general </w:t>
      </w:r>
      <w:r w:rsidR="0004555B" w:rsidRPr="00B14447">
        <w:rPr>
          <w:rFonts w:ascii="Times New Roman" w:hAnsi="Times New Roman"/>
        </w:rPr>
        <w:t xml:space="preserve">public importance; </w:t>
      </w:r>
      <w:r w:rsidR="0042318B" w:rsidRPr="00B14447">
        <w:rPr>
          <w:rFonts w:ascii="Times New Roman" w:hAnsi="Times New Roman"/>
        </w:rPr>
        <w:t>(i</w:t>
      </w:r>
      <w:r w:rsidR="00B27AE3" w:rsidRPr="00B14447">
        <w:rPr>
          <w:rFonts w:ascii="Times New Roman" w:hAnsi="Times New Roman"/>
        </w:rPr>
        <w:t>i</w:t>
      </w:r>
      <w:r w:rsidR="00D82B75" w:rsidRPr="00B14447">
        <w:rPr>
          <w:rFonts w:ascii="Times New Roman" w:hAnsi="Times New Roman"/>
        </w:rPr>
        <w:t>i</w:t>
      </w:r>
      <w:r w:rsidR="0042318B" w:rsidRPr="00B14447">
        <w:rPr>
          <w:rFonts w:ascii="Times New Roman" w:hAnsi="Times New Roman"/>
        </w:rPr>
        <w:t>)</w:t>
      </w:r>
      <w:r w:rsidR="00142452" w:rsidRPr="00B14447">
        <w:rPr>
          <w:rFonts w:ascii="Times New Roman" w:hAnsi="Times New Roman"/>
        </w:rPr>
        <w:t> </w:t>
      </w:r>
      <w:r w:rsidR="0042318B" w:rsidRPr="00B14447">
        <w:rPr>
          <w:rFonts w:ascii="Times New Roman" w:hAnsi="Times New Roman"/>
        </w:rPr>
        <w:t>the</w:t>
      </w:r>
      <w:r w:rsidR="00AD023A" w:rsidRPr="00B14447">
        <w:rPr>
          <w:rFonts w:ascii="Times New Roman" w:hAnsi="Times New Roman"/>
        </w:rPr>
        <w:t xml:space="preserve"> </w:t>
      </w:r>
      <w:r w:rsidR="00A07887" w:rsidRPr="00B14447">
        <w:rPr>
          <w:rFonts w:ascii="Times New Roman" w:hAnsi="Times New Roman"/>
        </w:rPr>
        <w:t>record before this Court</w:t>
      </w:r>
      <w:r w:rsidR="00C168C8" w:rsidRPr="00B14447">
        <w:rPr>
          <w:rFonts w:ascii="Times New Roman" w:hAnsi="Times New Roman"/>
        </w:rPr>
        <w:t xml:space="preserve"> of the </w:t>
      </w:r>
      <w:r w:rsidR="00DF723E" w:rsidRPr="00B14447">
        <w:rPr>
          <w:rFonts w:ascii="Times New Roman" w:hAnsi="Times New Roman"/>
        </w:rPr>
        <w:t xml:space="preserve">proceedings </w:t>
      </w:r>
      <w:r w:rsidR="00C168C8" w:rsidRPr="00B14447">
        <w:rPr>
          <w:rFonts w:ascii="Times New Roman" w:hAnsi="Times New Roman"/>
        </w:rPr>
        <w:t xml:space="preserve">in the courts below </w:t>
      </w:r>
      <w:r w:rsidR="00A07887" w:rsidRPr="00B14447">
        <w:rPr>
          <w:rFonts w:ascii="Times New Roman" w:hAnsi="Times New Roman"/>
        </w:rPr>
        <w:t>is incomplete</w:t>
      </w:r>
      <w:r w:rsidR="00F1780D" w:rsidRPr="00B14447">
        <w:rPr>
          <w:rFonts w:ascii="Times New Roman" w:hAnsi="Times New Roman"/>
        </w:rPr>
        <w:t xml:space="preserve"> and involves only a selection of </w:t>
      </w:r>
      <w:r w:rsidR="00CF2348" w:rsidRPr="00B14447">
        <w:rPr>
          <w:rFonts w:ascii="Times New Roman" w:hAnsi="Times New Roman"/>
        </w:rPr>
        <w:t xml:space="preserve">evidence, transcripts and </w:t>
      </w:r>
      <w:r w:rsidR="00F1780D" w:rsidRPr="00B14447">
        <w:rPr>
          <w:rFonts w:ascii="Times New Roman" w:hAnsi="Times New Roman"/>
        </w:rPr>
        <w:t>submissions</w:t>
      </w:r>
      <w:r w:rsidR="00B27AE3" w:rsidRPr="00B14447">
        <w:rPr>
          <w:rFonts w:ascii="Times New Roman" w:hAnsi="Times New Roman"/>
        </w:rPr>
        <w:t>; (i</w:t>
      </w:r>
      <w:r w:rsidR="00D82B75" w:rsidRPr="00B14447">
        <w:rPr>
          <w:rFonts w:ascii="Times New Roman" w:hAnsi="Times New Roman"/>
        </w:rPr>
        <w:t>v</w:t>
      </w:r>
      <w:r w:rsidR="00B27AE3" w:rsidRPr="00B14447">
        <w:rPr>
          <w:rFonts w:ascii="Times New Roman" w:hAnsi="Times New Roman"/>
        </w:rPr>
        <w:t>)</w:t>
      </w:r>
      <w:r w:rsidR="00CF2348" w:rsidRPr="00B14447">
        <w:rPr>
          <w:rFonts w:ascii="Times New Roman" w:hAnsi="Times New Roman"/>
        </w:rPr>
        <w:t> </w:t>
      </w:r>
      <w:r w:rsidR="00B27AE3" w:rsidRPr="00B14447">
        <w:rPr>
          <w:rFonts w:ascii="Times New Roman" w:hAnsi="Times New Roman"/>
        </w:rPr>
        <w:t xml:space="preserve">the findings of the primary judge and the Full Court </w:t>
      </w:r>
      <w:r w:rsidR="00B55184" w:rsidRPr="00B14447">
        <w:rPr>
          <w:rFonts w:ascii="Times New Roman" w:hAnsi="Times New Roman"/>
        </w:rPr>
        <w:t xml:space="preserve">were </w:t>
      </w:r>
      <w:r w:rsidR="00AA7351" w:rsidRPr="00B14447">
        <w:rPr>
          <w:rFonts w:ascii="Times New Roman" w:hAnsi="Times New Roman"/>
        </w:rPr>
        <w:t xml:space="preserve">open and are </w:t>
      </w:r>
      <w:r w:rsidR="002842DC" w:rsidRPr="00B14447">
        <w:rPr>
          <w:rFonts w:ascii="Times New Roman" w:hAnsi="Times New Roman"/>
        </w:rPr>
        <w:t>not clearly wrong</w:t>
      </w:r>
      <w:r w:rsidR="00B27AE3" w:rsidRPr="00B14447">
        <w:rPr>
          <w:rFonts w:ascii="Times New Roman" w:hAnsi="Times New Roman"/>
        </w:rPr>
        <w:t>;</w:t>
      </w:r>
      <w:r w:rsidR="00034F52" w:rsidRPr="00B14447">
        <w:rPr>
          <w:rFonts w:ascii="Times New Roman" w:hAnsi="Times New Roman"/>
        </w:rPr>
        <w:t xml:space="preserve"> and</w:t>
      </w:r>
      <w:r w:rsidR="00B27AE3" w:rsidRPr="00B14447">
        <w:rPr>
          <w:rFonts w:ascii="Times New Roman" w:hAnsi="Times New Roman"/>
        </w:rPr>
        <w:t xml:space="preserve"> </w:t>
      </w:r>
      <w:r w:rsidR="00CF2348" w:rsidRPr="00B14447">
        <w:rPr>
          <w:rFonts w:ascii="Times New Roman" w:hAnsi="Times New Roman"/>
        </w:rPr>
        <w:t>(v</w:t>
      </w:r>
      <w:r w:rsidR="00587EA7" w:rsidRPr="00B14447">
        <w:rPr>
          <w:rFonts w:ascii="Times New Roman" w:hAnsi="Times New Roman"/>
        </w:rPr>
        <w:t>) </w:t>
      </w:r>
      <w:r w:rsidR="00731ECB" w:rsidRPr="00B14447">
        <w:rPr>
          <w:rFonts w:ascii="Times New Roman" w:hAnsi="Times New Roman"/>
        </w:rPr>
        <w:t xml:space="preserve">it is not open </w:t>
      </w:r>
      <w:r w:rsidR="002F007F" w:rsidRPr="00B14447">
        <w:rPr>
          <w:rFonts w:ascii="Times New Roman" w:hAnsi="Times New Roman"/>
        </w:rPr>
        <w:t xml:space="preserve">to the Commonwealth on a third </w:t>
      </w:r>
      <w:r w:rsidR="00B171F3" w:rsidRPr="00B14447">
        <w:rPr>
          <w:rFonts w:ascii="Times New Roman" w:hAnsi="Times New Roman"/>
        </w:rPr>
        <w:t>hearing of the issues</w:t>
      </w:r>
      <w:r w:rsidR="002F007F" w:rsidRPr="00B14447">
        <w:rPr>
          <w:rFonts w:ascii="Times New Roman" w:hAnsi="Times New Roman"/>
        </w:rPr>
        <w:t xml:space="preserve"> to revisit findings of fact</w:t>
      </w:r>
      <w:r w:rsidR="00330BFF" w:rsidRPr="00B14447">
        <w:rPr>
          <w:rFonts w:ascii="Times New Roman" w:hAnsi="Times New Roman"/>
        </w:rPr>
        <w:t xml:space="preserve">. </w:t>
      </w:r>
    </w:p>
    <w:p w14:paraId="5A1FFD4C" w14:textId="27A95CF6" w:rsidR="00BB5CB3" w:rsidRPr="00B14447" w:rsidRDefault="00F1780D" w:rsidP="00B14447">
      <w:pPr>
        <w:pStyle w:val="FixListStyle"/>
        <w:spacing w:after="260" w:line="280" w:lineRule="exact"/>
        <w:ind w:right="0"/>
        <w:jc w:val="both"/>
        <w:rPr>
          <w:rFonts w:ascii="Times New Roman" w:hAnsi="Times New Roman"/>
        </w:rPr>
      </w:pPr>
      <w:r w:rsidRPr="00B14447">
        <w:rPr>
          <w:rFonts w:ascii="Times New Roman" w:hAnsi="Times New Roman"/>
        </w:rPr>
        <w:tab/>
        <w:t>T</w:t>
      </w:r>
      <w:r w:rsidR="00F0112C" w:rsidRPr="00B14447">
        <w:rPr>
          <w:rFonts w:ascii="Times New Roman" w:hAnsi="Times New Roman"/>
        </w:rPr>
        <w:t xml:space="preserve">he answer to the central </w:t>
      </w:r>
      <w:r w:rsidR="0083698C" w:rsidRPr="00B14447">
        <w:rPr>
          <w:rFonts w:ascii="Times New Roman" w:hAnsi="Times New Roman"/>
        </w:rPr>
        <w:t>question</w:t>
      </w:r>
      <w:r w:rsidR="00F0112C" w:rsidRPr="00B14447">
        <w:rPr>
          <w:rFonts w:ascii="Times New Roman" w:hAnsi="Times New Roman"/>
        </w:rPr>
        <w:t xml:space="preserve"> is</w:t>
      </w:r>
      <w:r w:rsidR="00F25CB9" w:rsidRPr="00B14447">
        <w:rPr>
          <w:rFonts w:ascii="Times New Roman" w:hAnsi="Times New Roman"/>
        </w:rPr>
        <w:t>,</w:t>
      </w:r>
      <w:r w:rsidR="00F0112C" w:rsidRPr="00B14447">
        <w:rPr>
          <w:rFonts w:ascii="Times New Roman" w:hAnsi="Times New Roman"/>
        </w:rPr>
        <w:t xml:space="preserve"> emphatic</w:t>
      </w:r>
      <w:r w:rsidR="00F25CB9" w:rsidRPr="00B14447">
        <w:rPr>
          <w:rFonts w:ascii="Times New Roman" w:hAnsi="Times New Roman"/>
        </w:rPr>
        <w:t>ally,</w:t>
      </w:r>
      <w:r w:rsidR="00F0112C" w:rsidRPr="00B14447">
        <w:rPr>
          <w:rFonts w:ascii="Times New Roman" w:hAnsi="Times New Roman"/>
        </w:rPr>
        <w:t xml:space="preserve"> "no".</w:t>
      </w:r>
    </w:p>
    <w:p w14:paraId="3757E419" w14:textId="6A4E99B8" w:rsidR="00A25E65" w:rsidRPr="00B14447" w:rsidRDefault="009E0D7C" w:rsidP="00B14447">
      <w:pPr>
        <w:pStyle w:val="HeadingL1"/>
        <w:spacing w:after="260" w:line="280" w:lineRule="exact"/>
        <w:ind w:right="0"/>
        <w:jc w:val="both"/>
        <w:rPr>
          <w:rFonts w:ascii="Times New Roman" w:hAnsi="Times New Roman"/>
        </w:rPr>
      </w:pPr>
      <w:r w:rsidRPr="00B14447">
        <w:rPr>
          <w:rFonts w:ascii="Times New Roman" w:hAnsi="Times New Roman"/>
        </w:rPr>
        <w:t>Issues and non-issues: the scope of the appeal</w:t>
      </w:r>
    </w:p>
    <w:p w14:paraId="05A32016" w14:textId="7755185B" w:rsidR="00DF485B" w:rsidRPr="00B14447" w:rsidRDefault="00A25E65"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There were two grounds </w:t>
      </w:r>
      <w:r w:rsidR="00DF485B" w:rsidRPr="00B14447">
        <w:rPr>
          <w:rFonts w:ascii="Times New Roman" w:hAnsi="Times New Roman"/>
        </w:rPr>
        <w:t xml:space="preserve">of appeal </w:t>
      </w:r>
      <w:r w:rsidRPr="00B14447">
        <w:rPr>
          <w:rFonts w:ascii="Times New Roman" w:hAnsi="Times New Roman"/>
        </w:rPr>
        <w:t>in th</w:t>
      </w:r>
      <w:r w:rsidR="00DF485B" w:rsidRPr="00B14447">
        <w:rPr>
          <w:rFonts w:ascii="Times New Roman" w:hAnsi="Times New Roman"/>
        </w:rPr>
        <w:t>is Court. Those grounds identif</w:t>
      </w:r>
      <w:r w:rsidR="001938BD" w:rsidRPr="00B14447">
        <w:rPr>
          <w:rFonts w:ascii="Times New Roman" w:hAnsi="Times New Roman"/>
        </w:rPr>
        <w:t>ied</w:t>
      </w:r>
      <w:r w:rsidR="00DF485B" w:rsidRPr="00B14447">
        <w:rPr>
          <w:rFonts w:ascii="Times New Roman" w:hAnsi="Times New Roman"/>
        </w:rPr>
        <w:t xml:space="preserve"> </w:t>
      </w:r>
      <w:r w:rsidR="00403709" w:rsidRPr="00B14447">
        <w:rPr>
          <w:rFonts w:ascii="Times New Roman" w:hAnsi="Times New Roman"/>
        </w:rPr>
        <w:t>the</w:t>
      </w:r>
      <w:r w:rsidR="00DF485B" w:rsidRPr="00B14447">
        <w:rPr>
          <w:rFonts w:ascii="Times New Roman" w:hAnsi="Times New Roman"/>
        </w:rPr>
        <w:t xml:space="preserve"> issue</w:t>
      </w:r>
      <w:r w:rsidR="00403709" w:rsidRPr="00B14447">
        <w:rPr>
          <w:rFonts w:ascii="Times New Roman" w:hAnsi="Times New Roman"/>
        </w:rPr>
        <w:t>s</w:t>
      </w:r>
      <w:r w:rsidR="00DF485B" w:rsidRPr="00B14447">
        <w:rPr>
          <w:rFonts w:ascii="Times New Roman" w:hAnsi="Times New Roman"/>
        </w:rPr>
        <w:t xml:space="preserve"> in this appeal.</w:t>
      </w:r>
      <w:r w:rsidR="00CC3F23" w:rsidRPr="00B14447">
        <w:rPr>
          <w:rFonts w:ascii="Times New Roman" w:hAnsi="Times New Roman"/>
        </w:rPr>
        <w:t xml:space="preserve"> </w:t>
      </w:r>
      <w:r w:rsidR="00EB2B49" w:rsidRPr="00B14447">
        <w:rPr>
          <w:rFonts w:ascii="Times New Roman" w:hAnsi="Times New Roman"/>
        </w:rPr>
        <w:t xml:space="preserve">The scope of the appeal </w:t>
      </w:r>
      <w:r w:rsidR="00593EE8" w:rsidRPr="00B14447">
        <w:rPr>
          <w:rFonts w:ascii="Times New Roman" w:hAnsi="Times New Roman"/>
        </w:rPr>
        <w:t>is</w:t>
      </w:r>
      <w:r w:rsidR="00EB2B49" w:rsidRPr="00B14447">
        <w:rPr>
          <w:rFonts w:ascii="Times New Roman" w:hAnsi="Times New Roman"/>
        </w:rPr>
        <w:t xml:space="preserve"> governed by the grounds</w:t>
      </w:r>
      <w:r w:rsidR="003943DD" w:rsidRPr="00B14447">
        <w:rPr>
          <w:rFonts w:ascii="Times New Roman" w:hAnsi="Times New Roman"/>
        </w:rPr>
        <w:t xml:space="preserve"> of appeal</w:t>
      </w:r>
      <w:r w:rsidR="00EB2B49" w:rsidRPr="00B14447">
        <w:rPr>
          <w:rFonts w:ascii="Times New Roman" w:hAnsi="Times New Roman"/>
        </w:rPr>
        <w:t xml:space="preserve">. </w:t>
      </w:r>
      <w:r w:rsidR="00A6022E" w:rsidRPr="00B14447">
        <w:rPr>
          <w:rFonts w:ascii="Times New Roman" w:hAnsi="Times New Roman"/>
        </w:rPr>
        <w:t>At no point did t</w:t>
      </w:r>
      <w:r w:rsidR="00465E86" w:rsidRPr="00B14447">
        <w:rPr>
          <w:rFonts w:ascii="Times New Roman" w:hAnsi="Times New Roman"/>
        </w:rPr>
        <w:t xml:space="preserve">he Commonwealth seek to amend or enlarge </w:t>
      </w:r>
      <w:r w:rsidR="00EB2B49" w:rsidRPr="00B14447">
        <w:rPr>
          <w:rFonts w:ascii="Times New Roman" w:hAnsi="Times New Roman"/>
        </w:rPr>
        <w:t>its</w:t>
      </w:r>
      <w:r w:rsidR="00465E86" w:rsidRPr="00B14447">
        <w:rPr>
          <w:rFonts w:ascii="Times New Roman" w:hAnsi="Times New Roman"/>
        </w:rPr>
        <w:t xml:space="preserve"> grounds </w:t>
      </w:r>
      <w:r w:rsidR="003943DD" w:rsidRPr="00B14447">
        <w:rPr>
          <w:rFonts w:ascii="Times New Roman" w:hAnsi="Times New Roman"/>
        </w:rPr>
        <w:t xml:space="preserve">of appeal </w:t>
      </w:r>
      <w:r w:rsidR="00465E86" w:rsidRPr="00B14447">
        <w:rPr>
          <w:rFonts w:ascii="Times New Roman" w:hAnsi="Times New Roman"/>
        </w:rPr>
        <w:t>in this Court.</w:t>
      </w:r>
      <w:r w:rsidR="00A6022E" w:rsidRPr="00B14447">
        <w:rPr>
          <w:rFonts w:ascii="Times New Roman" w:hAnsi="Times New Roman"/>
        </w:rPr>
        <w:t xml:space="preserve"> </w:t>
      </w:r>
    </w:p>
    <w:p w14:paraId="3398D57C" w14:textId="20809FF8" w:rsidR="00DF485B" w:rsidRPr="00B14447" w:rsidRDefault="00E16A6E" w:rsidP="00B14447">
      <w:pPr>
        <w:pStyle w:val="HeadingL2"/>
        <w:spacing w:after="260" w:line="280" w:lineRule="exact"/>
        <w:ind w:right="0"/>
        <w:jc w:val="both"/>
        <w:rPr>
          <w:rFonts w:ascii="Times New Roman" w:hAnsi="Times New Roman"/>
        </w:rPr>
      </w:pPr>
      <w:r w:rsidRPr="00B14447">
        <w:rPr>
          <w:rFonts w:ascii="Times New Roman" w:hAnsi="Times New Roman"/>
        </w:rPr>
        <w:t>(1)</w:t>
      </w:r>
      <w:r w:rsidR="00D21873" w:rsidRPr="00B14447">
        <w:rPr>
          <w:rFonts w:ascii="Times New Roman" w:hAnsi="Times New Roman"/>
        </w:rPr>
        <w:tab/>
      </w:r>
      <w:r w:rsidR="00DF485B" w:rsidRPr="00B14447">
        <w:rPr>
          <w:rFonts w:ascii="Times New Roman" w:hAnsi="Times New Roman"/>
        </w:rPr>
        <w:t xml:space="preserve">First ground </w:t>
      </w:r>
      <w:r w:rsidR="000D6BCF" w:rsidRPr="00B14447">
        <w:rPr>
          <w:rFonts w:ascii="Times New Roman" w:hAnsi="Times New Roman"/>
        </w:rPr>
        <w:t xml:space="preserve">of appeal </w:t>
      </w:r>
      <w:r w:rsidR="00833B29" w:rsidRPr="00B14447">
        <w:rPr>
          <w:rFonts w:ascii="Times New Roman" w:hAnsi="Times New Roman"/>
        </w:rPr>
        <w:t>–</w:t>
      </w:r>
      <w:r w:rsidR="00DF485B" w:rsidRPr="00B14447">
        <w:rPr>
          <w:rFonts w:ascii="Times New Roman" w:hAnsi="Times New Roman"/>
        </w:rPr>
        <w:t xml:space="preserve"> question of law</w:t>
      </w:r>
    </w:p>
    <w:p w14:paraId="14496D67" w14:textId="0EF3FBF4" w:rsidR="00BC3E7E" w:rsidRPr="00B14447" w:rsidRDefault="006A29EB"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401D97" w:rsidRPr="00B14447">
        <w:rPr>
          <w:rFonts w:ascii="Times New Roman" w:hAnsi="Times New Roman"/>
        </w:rPr>
        <w:t xml:space="preserve">The first </w:t>
      </w:r>
      <w:r w:rsidR="00844C6F" w:rsidRPr="00B14447">
        <w:rPr>
          <w:rFonts w:ascii="Times New Roman" w:hAnsi="Times New Roman"/>
        </w:rPr>
        <w:t xml:space="preserve">ground of appeal in this Court </w:t>
      </w:r>
      <w:r w:rsidR="00401D97" w:rsidRPr="00B14447">
        <w:rPr>
          <w:rFonts w:ascii="Times New Roman" w:hAnsi="Times New Roman"/>
        </w:rPr>
        <w:t xml:space="preserve">was </w:t>
      </w:r>
      <w:r w:rsidR="00C2061D" w:rsidRPr="00B14447">
        <w:rPr>
          <w:rFonts w:ascii="Times New Roman" w:hAnsi="Times New Roman"/>
        </w:rPr>
        <w:t>principally</w:t>
      </w:r>
      <w:r w:rsidR="00401D97" w:rsidRPr="00B14447">
        <w:rPr>
          <w:rFonts w:ascii="Times New Roman" w:hAnsi="Times New Roman"/>
        </w:rPr>
        <w:t xml:space="preserve"> a question of law. </w:t>
      </w:r>
      <w:r w:rsidR="00DC6810" w:rsidRPr="00B14447">
        <w:rPr>
          <w:rFonts w:ascii="Times New Roman" w:hAnsi="Times New Roman"/>
        </w:rPr>
        <w:t xml:space="preserve">That legal issue, as raised </w:t>
      </w:r>
      <w:r w:rsidR="00271624" w:rsidRPr="00B14447">
        <w:rPr>
          <w:rFonts w:ascii="Times New Roman" w:hAnsi="Times New Roman"/>
        </w:rPr>
        <w:t>in</w:t>
      </w:r>
      <w:r w:rsidR="00DC6810" w:rsidRPr="00B14447">
        <w:rPr>
          <w:rFonts w:ascii="Times New Roman" w:hAnsi="Times New Roman"/>
        </w:rPr>
        <w:t xml:space="preserve"> the special leave application</w:t>
      </w:r>
      <w:r w:rsidR="00271624" w:rsidRPr="00B14447">
        <w:rPr>
          <w:rFonts w:ascii="Times New Roman" w:hAnsi="Times New Roman"/>
        </w:rPr>
        <w:t>,</w:t>
      </w:r>
      <w:r w:rsidR="00DC6810" w:rsidRPr="00B14447">
        <w:rPr>
          <w:rFonts w:ascii="Times New Roman" w:hAnsi="Times New Roman"/>
        </w:rPr>
        <w:t xml:space="preserve"> concerned the onus of proof in a claim made on an undertaking as to damages. </w:t>
      </w:r>
      <w:r w:rsidR="00271624" w:rsidRPr="00B14447">
        <w:rPr>
          <w:rFonts w:ascii="Times New Roman" w:hAnsi="Times New Roman"/>
        </w:rPr>
        <w:t xml:space="preserve">The </w:t>
      </w:r>
      <w:r w:rsidR="00F970A7" w:rsidRPr="00B14447">
        <w:rPr>
          <w:rFonts w:ascii="Times New Roman" w:hAnsi="Times New Roman"/>
        </w:rPr>
        <w:t xml:space="preserve">first </w:t>
      </w:r>
      <w:r w:rsidR="00271624" w:rsidRPr="00B14447">
        <w:rPr>
          <w:rFonts w:ascii="Times New Roman" w:hAnsi="Times New Roman"/>
        </w:rPr>
        <w:t xml:space="preserve">ground </w:t>
      </w:r>
      <w:r w:rsidR="00401D97" w:rsidRPr="00B14447">
        <w:rPr>
          <w:rFonts w:ascii="Times New Roman" w:hAnsi="Times New Roman"/>
        </w:rPr>
        <w:t>alleged that the Full Court</w:t>
      </w:r>
      <w:r w:rsidR="008C3534" w:rsidRPr="00B14447">
        <w:rPr>
          <w:rFonts w:ascii="Times New Roman" w:hAnsi="Times New Roman"/>
        </w:rPr>
        <w:t xml:space="preserve"> </w:t>
      </w:r>
      <w:r w:rsidR="00401D97" w:rsidRPr="00B14447">
        <w:rPr>
          <w:rFonts w:ascii="Times New Roman" w:hAnsi="Times New Roman"/>
        </w:rPr>
        <w:t>erred in failing to hold</w:t>
      </w:r>
      <w:r w:rsidR="00B113FF" w:rsidRPr="00B14447">
        <w:rPr>
          <w:rFonts w:ascii="Times New Roman" w:hAnsi="Times New Roman"/>
        </w:rPr>
        <w:t>:</w:t>
      </w:r>
      <w:r w:rsidR="00401D97" w:rsidRPr="00B14447">
        <w:rPr>
          <w:rFonts w:ascii="Times New Roman" w:hAnsi="Times New Roman"/>
        </w:rPr>
        <w:t xml:space="preserve"> (</w:t>
      </w:r>
      <w:r w:rsidR="00B113FF" w:rsidRPr="00B14447">
        <w:rPr>
          <w:rFonts w:ascii="Times New Roman" w:hAnsi="Times New Roman"/>
        </w:rPr>
        <w:t>i</w:t>
      </w:r>
      <w:r w:rsidR="00401D97" w:rsidRPr="00B14447">
        <w:rPr>
          <w:rFonts w:ascii="Times New Roman" w:hAnsi="Times New Roman"/>
        </w:rPr>
        <w:t>) </w:t>
      </w:r>
      <w:r w:rsidR="001245E0" w:rsidRPr="00B14447">
        <w:rPr>
          <w:rFonts w:ascii="Times New Roman" w:hAnsi="Times New Roman"/>
        </w:rPr>
        <w:t xml:space="preserve">that </w:t>
      </w:r>
      <w:r w:rsidR="00401D97" w:rsidRPr="00B14447">
        <w:rPr>
          <w:rFonts w:ascii="Times New Roman" w:hAnsi="Times New Roman"/>
        </w:rPr>
        <w:t>the</w:t>
      </w:r>
      <w:r w:rsidR="001245E0" w:rsidRPr="00B14447">
        <w:rPr>
          <w:rFonts w:ascii="Times New Roman" w:hAnsi="Times New Roman"/>
        </w:rPr>
        <w:t xml:space="preserve"> </w:t>
      </w:r>
      <w:r w:rsidR="00401D97" w:rsidRPr="00B14447">
        <w:rPr>
          <w:rFonts w:ascii="Times New Roman" w:hAnsi="Times New Roman"/>
        </w:rPr>
        <w:t xml:space="preserve">Commonwealth's evidential burden was to establish a </w:t>
      </w:r>
      <w:r w:rsidR="00401D97" w:rsidRPr="00B14447">
        <w:rPr>
          <w:rFonts w:ascii="Times New Roman" w:hAnsi="Times New Roman"/>
          <w:i/>
          <w:iCs/>
        </w:rPr>
        <w:t xml:space="preserve">prima facie </w:t>
      </w:r>
      <w:r w:rsidR="00401D97" w:rsidRPr="00B14447">
        <w:rPr>
          <w:rFonts w:ascii="Times New Roman" w:hAnsi="Times New Roman"/>
        </w:rPr>
        <w:t>case that its loss flowed directly from the interlocutory injunction</w:t>
      </w:r>
      <w:r w:rsidR="00A17924" w:rsidRPr="00B14447">
        <w:rPr>
          <w:rFonts w:ascii="Times New Roman" w:hAnsi="Times New Roman"/>
        </w:rPr>
        <w:t>;</w:t>
      </w:r>
      <w:r w:rsidR="00401D97" w:rsidRPr="00B14447">
        <w:rPr>
          <w:rFonts w:ascii="Times New Roman" w:hAnsi="Times New Roman"/>
        </w:rPr>
        <w:t xml:space="preserve"> and</w:t>
      </w:r>
      <w:r w:rsidR="00A17924" w:rsidRPr="00B14447">
        <w:rPr>
          <w:rFonts w:ascii="Times New Roman" w:hAnsi="Times New Roman"/>
        </w:rPr>
        <w:t xml:space="preserve"> (ii) </w:t>
      </w:r>
      <w:r w:rsidR="00401D97" w:rsidRPr="00B14447">
        <w:rPr>
          <w:rFonts w:ascii="Times New Roman" w:hAnsi="Times New Roman"/>
        </w:rPr>
        <w:t xml:space="preserve">that, once that was established, an evidential burden shifted to </w:t>
      </w:r>
      <w:r w:rsidR="001453B6" w:rsidRPr="00B14447">
        <w:rPr>
          <w:rFonts w:ascii="Times New Roman" w:hAnsi="Times New Roman"/>
        </w:rPr>
        <w:t>Sanofi</w:t>
      </w:r>
      <w:r w:rsidR="00401D97" w:rsidRPr="00B14447">
        <w:rPr>
          <w:rFonts w:ascii="Times New Roman" w:hAnsi="Times New Roman"/>
        </w:rPr>
        <w:t xml:space="preserve"> to establish that Apotex would not have sought listing on the PBS even if not enjoined (</w:t>
      </w:r>
      <w:r w:rsidR="001453B6" w:rsidRPr="00B14447">
        <w:rPr>
          <w:rFonts w:ascii="Times New Roman" w:hAnsi="Times New Roman"/>
          <w:b/>
          <w:bCs/>
        </w:rPr>
        <w:t>g</w:t>
      </w:r>
      <w:r w:rsidR="00401D97" w:rsidRPr="00B14447">
        <w:rPr>
          <w:rFonts w:ascii="Times New Roman" w:hAnsi="Times New Roman"/>
          <w:b/>
          <w:bCs/>
        </w:rPr>
        <w:t>round</w:t>
      </w:r>
      <w:r w:rsidR="003806E3" w:rsidRPr="00B14447">
        <w:rPr>
          <w:rFonts w:ascii="Times New Roman" w:hAnsi="Times New Roman"/>
          <w:b/>
          <w:bCs/>
        </w:rPr>
        <w:t> </w:t>
      </w:r>
      <w:r w:rsidR="00401D97" w:rsidRPr="00B14447">
        <w:rPr>
          <w:rFonts w:ascii="Times New Roman" w:hAnsi="Times New Roman"/>
          <w:b/>
          <w:bCs/>
        </w:rPr>
        <w:t>1(a)</w:t>
      </w:r>
      <w:r w:rsidR="00401D97" w:rsidRPr="00B14447">
        <w:rPr>
          <w:rFonts w:ascii="Times New Roman" w:hAnsi="Times New Roman"/>
        </w:rPr>
        <w:t>)</w:t>
      </w:r>
      <w:r w:rsidR="009D329A" w:rsidRPr="00B14447">
        <w:rPr>
          <w:rFonts w:ascii="Times New Roman" w:hAnsi="Times New Roman"/>
        </w:rPr>
        <w:t>. The second, and subsidiary, ground of appeal concerned the application to findings of fact of</w:t>
      </w:r>
      <w:r w:rsidR="00684CB3" w:rsidRPr="00B14447">
        <w:rPr>
          <w:rFonts w:ascii="Times New Roman" w:hAnsi="Times New Roman"/>
        </w:rPr>
        <w:t xml:space="preserve"> </w:t>
      </w:r>
      <w:r w:rsidR="009D329A" w:rsidRPr="00B14447">
        <w:rPr>
          <w:rFonts w:ascii="Times New Roman" w:hAnsi="Times New Roman"/>
        </w:rPr>
        <w:t xml:space="preserve">the proper approach to </w:t>
      </w:r>
      <w:r w:rsidR="00F970A7" w:rsidRPr="00B14447">
        <w:rPr>
          <w:rFonts w:ascii="Times New Roman" w:hAnsi="Times New Roman"/>
        </w:rPr>
        <w:t xml:space="preserve">the question of </w:t>
      </w:r>
      <w:r w:rsidR="009D329A" w:rsidRPr="00B14447">
        <w:rPr>
          <w:rFonts w:ascii="Times New Roman" w:hAnsi="Times New Roman"/>
        </w:rPr>
        <w:t>onus</w:t>
      </w:r>
      <w:r w:rsidR="00AE7830" w:rsidRPr="00B14447">
        <w:rPr>
          <w:rFonts w:ascii="Times New Roman" w:hAnsi="Times New Roman"/>
        </w:rPr>
        <w:t>. The</w:t>
      </w:r>
      <w:r w:rsidR="00401D97" w:rsidRPr="00B14447">
        <w:rPr>
          <w:rFonts w:ascii="Times New Roman" w:hAnsi="Times New Roman"/>
        </w:rPr>
        <w:t xml:space="preserve"> Commonwealth </w:t>
      </w:r>
      <w:r w:rsidR="00AE7830" w:rsidRPr="00B14447">
        <w:rPr>
          <w:rFonts w:ascii="Times New Roman" w:hAnsi="Times New Roman"/>
        </w:rPr>
        <w:t xml:space="preserve">submitted that it had </w:t>
      </w:r>
      <w:r w:rsidR="00401D97" w:rsidRPr="00B14447">
        <w:rPr>
          <w:rFonts w:ascii="Times New Roman" w:hAnsi="Times New Roman"/>
        </w:rPr>
        <w:t xml:space="preserve">discharged its evidential burden but </w:t>
      </w:r>
      <w:r w:rsidR="00966502" w:rsidRPr="00B14447">
        <w:rPr>
          <w:rFonts w:ascii="Times New Roman" w:hAnsi="Times New Roman"/>
        </w:rPr>
        <w:t>Sanofi</w:t>
      </w:r>
      <w:r w:rsidR="00401D97" w:rsidRPr="00B14447">
        <w:rPr>
          <w:rFonts w:ascii="Times New Roman" w:hAnsi="Times New Roman"/>
        </w:rPr>
        <w:t xml:space="preserve"> did not</w:t>
      </w:r>
      <w:r w:rsidR="006B29D8" w:rsidRPr="00B14447">
        <w:rPr>
          <w:rFonts w:ascii="Times New Roman" w:hAnsi="Times New Roman"/>
        </w:rPr>
        <w:t xml:space="preserve"> (</w:t>
      </w:r>
      <w:r w:rsidR="001453B6" w:rsidRPr="00B14447">
        <w:rPr>
          <w:rFonts w:ascii="Times New Roman" w:hAnsi="Times New Roman"/>
          <w:b/>
          <w:bCs/>
        </w:rPr>
        <w:t>g</w:t>
      </w:r>
      <w:r w:rsidR="006B29D8" w:rsidRPr="00B14447">
        <w:rPr>
          <w:rFonts w:ascii="Times New Roman" w:hAnsi="Times New Roman"/>
          <w:b/>
          <w:bCs/>
        </w:rPr>
        <w:t>round</w:t>
      </w:r>
      <w:r w:rsidR="003806E3" w:rsidRPr="00B14447">
        <w:rPr>
          <w:rFonts w:ascii="Times New Roman" w:hAnsi="Times New Roman"/>
          <w:b/>
          <w:bCs/>
        </w:rPr>
        <w:t> </w:t>
      </w:r>
      <w:r w:rsidR="006B29D8" w:rsidRPr="00B14447">
        <w:rPr>
          <w:rFonts w:ascii="Times New Roman" w:hAnsi="Times New Roman"/>
          <w:b/>
          <w:bCs/>
        </w:rPr>
        <w:t>1(b)</w:t>
      </w:r>
      <w:r w:rsidR="006B29D8" w:rsidRPr="00B14447">
        <w:rPr>
          <w:rFonts w:ascii="Times New Roman" w:hAnsi="Times New Roman"/>
        </w:rPr>
        <w:t>)</w:t>
      </w:r>
      <w:r w:rsidR="00401D97" w:rsidRPr="00B14447">
        <w:rPr>
          <w:rFonts w:ascii="Times New Roman" w:hAnsi="Times New Roman"/>
        </w:rPr>
        <w:t xml:space="preserve">. </w:t>
      </w:r>
    </w:p>
    <w:p w14:paraId="689AA7E8" w14:textId="3EF2769C" w:rsidR="002F44B1" w:rsidRPr="00B14447" w:rsidRDefault="00BC3E7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C6FEC" w:rsidRPr="00B14447">
        <w:rPr>
          <w:rFonts w:ascii="Times New Roman" w:hAnsi="Times New Roman"/>
        </w:rPr>
        <w:t>If the Commonwealth failed on ground</w:t>
      </w:r>
      <w:r w:rsidR="003806E3" w:rsidRPr="00B14447">
        <w:rPr>
          <w:rFonts w:ascii="Times New Roman" w:hAnsi="Times New Roman"/>
        </w:rPr>
        <w:t> </w:t>
      </w:r>
      <w:r w:rsidR="00AC6FEC" w:rsidRPr="00B14447">
        <w:rPr>
          <w:rFonts w:ascii="Times New Roman" w:hAnsi="Times New Roman"/>
        </w:rPr>
        <w:t>1(a), ground</w:t>
      </w:r>
      <w:r w:rsidR="003806E3" w:rsidRPr="00B14447">
        <w:rPr>
          <w:rFonts w:ascii="Times New Roman" w:hAnsi="Times New Roman"/>
        </w:rPr>
        <w:t> </w:t>
      </w:r>
      <w:r w:rsidR="00AC6FEC" w:rsidRPr="00B14447">
        <w:rPr>
          <w:rFonts w:ascii="Times New Roman" w:hAnsi="Times New Roman"/>
        </w:rPr>
        <w:t xml:space="preserve">1(b) was not reached. </w:t>
      </w:r>
      <w:r w:rsidR="003934B3" w:rsidRPr="00B14447">
        <w:rPr>
          <w:rFonts w:ascii="Times New Roman" w:hAnsi="Times New Roman"/>
        </w:rPr>
        <w:t>At one point in</w:t>
      </w:r>
      <w:r w:rsidR="00A10558" w:rsidRPr="00B14447">
        <w:rPr>
          <w:rFonts w:ascii="Times New Roman" w:hAnsi="Times New Roman"/>
        </w:rPr>
        <w:t xml:space="preserve"> oral submissions, t</w:t>
      </w:r>
      <w:r w:rsidR="001245E0" w:rsidRPr="00B14447">
        <w:rPr>
          <w:rFonts w:ascii="Times New Roman" w:hAnsi="Times New Roman"/>
        </w:rPr>
        <w:t xml:space="preserve">he Commonwealth </w:t>
      </w:r>
      <w:r w:rsidR="00ED2471" w:rsidRPr="00B14447">
        <w:rPr>
          <w:rFonts w:ascii="Times New Roman" w:hAnsi="Times New Roman"/>
        </w:rPr>
        <w:t>all but abandoned ground</w:t>
      </w:r>
      <w:r w:rsidR="00FD27AC" w:rsidRPr="00B14447">
        <w:rPr>
          <w:rFonts w:ascii="Times New Roman" w:hAnsi="Times New Roman"/>
        </w:rPr>
        <w:t> </w:t>
      </w:r>
      <w:r w:rsidR="00ED2471" w:rsidRPr="00B14447">
        <w:rPr>
          <w:rFonts w:ascii="Times New Roman" w:hAnsi="Times New Roman"/>
        </w:rPr>
        <w:t>1(a)</w:t>
      </w:r>
      <w:r w:rsidR="00A10558" w:rsidRPr="00B14447">
        <w:rPr>
          <w:rFonts w:ascii="Times New Roman" w:hAnsi="Times New Roman"/>
        </w:rPr>
        <w:t>.</w:t>
      </w:r>
      <w:r w:rsidR="00FB6ACA" w:rsidRPr="00B14447">
        <w:rPr>
          <w:rFonts w:ascii="Times New Roman" w:hAnsi="Times New Roman"/>
        </w:rPr>
        <w:t xml:space="preserve"> The Commonwealth </w:t>
      </w:r>
      <w:r w:rsidR="00E64637" w:rsidRPr="00B14447">
        <w:rPr>
          <w:rFonts w:ascii="Times New Roman" w:hAnsi="Times New Roman"/>
        </w:rPr>
        <w:t xml:space="preserve">properly </w:t>
      </w:r>
      <w:r w:rsidR="00FB6ACA" w:rsidRPr="00B14447">
        <w:rPr>
          <w:rFonts w:ascii="Times New Roman" w:hAnsi="Times New Roman"/>
        </w:rPr>
        <w:t xml:space="preserve">accepted that </w:t>
      </w:r>
      <w:r w:rsidR="00B25936" w:rsidRPr="00B14447">
        <w:rPr>
          <w:rFonts w:ascii="Times New Roman" w:hAnsi="Times New Roman"/>
        </w:rPr>
        <w:t>adoption of a methodol</w:t>
      </w:r>
      <w:r w:rsidR="00AD44DD" w:rsidRPr="00B14447">
        <w:rPr>
          <w:rFonts w:ascii="Times New Roman" w:hAnsi="Times New Roman"/>
        </w:rPr>
        <w:t>ogical approach</w:t>
      </w:r>
      <w:r w:rsidR="00B25936" w:rsidRPr="00B14447">
        <w:rPr>
          <w:rFonts w:ascii="Times New Roman" w:hAnsi="Times New Roman"/>
        </w:rPr>
        <w:t xml:space="preserve"> </w:t>
      </w:r>
      <w:r w:rsidR="00AB7D5F" w:rsidRPr="00B14447">
        <w:rPr>
          <w:rFonts w:ascii="Times New Roman" w:hAnsi="Times New Roman"/>
        </w:rPr>
        <w:t>based upon a</w:t>
      </w:r>
      <w:r w:rsidR="00FB6ACA" w:rsidRPr="00B14447">
        <w:rPr>
          <w:rFonts w:ascii="Times New Roman" w:hAnsi="Times New Roman"/>
        </w:rPr>
        <w:t xml:space="preserve"> shifting evidential onus</w:t>
      </w:r>
      <w:r w:rsidR="008A7C05" w:rsidRPr="00B14447">
        <w:rPr>
          <w:rFonts w:ascii="Times New Roman" w:hAnsi="Times New Roman"/>
        </w:rPr>
        <w:t xml:space="preserve">, </w:t>
      </w:r>
      <w:r w:rsidR="003936C5" w:rsidRPr="00B14447">
        <w:rPr>
          <w:rFonts w:ascii="Times New Roman" w:hAnsi="Times New Roman"/>
        </w:rPr>
        <w:t>in the sense of a burden of adducing evidence,</w:t>
      </w:r>
      <w:r w:rsidR="003936C5" w:rsidRPr="00B14447">
        <w:rPr>
          <w:rStyle w:val="FootnoteReference"/>
          <w:rFonts w:ascii="Times New Roman" w:hAnsi="Times New Roman"/>
          <w:sz w:val="24"/>
        </w:rPr>
        <w:footnoteReference w:id="7"/>
      </w:r>
      <w:r w:rsidR="00FB6ACA" w:rsidRPr="00B14447">
        <w:rPr>
          <w:rFonts w:ascii="Times New Roman" w:hAnsi="Times New Roman"/>
        </w:rPr>
        <w:t xml:space="preserve"> </w:t>
      </w:r>
      <w:r w:rsidR="00D12420" w:rsidRPr="00B14447">
        <w:rPr>
          <w:rFonts w:ascii="Times New Roman" w:hAnsi="Times New Roman"/>
        </w:rPr>
        <w:t xml:space="preserve">was not required in every case </w:t>
      </w:r>
      <w:r w:rsidR="00AB7D5F" w:rsidRPr="00B14447">
        <w:rPr>
          <w:rFonts w:ascii="Times New Roman" w:hAnsi="Times New Roman"/>
        </w:rPr>
        <w:t>and that the proposed shifting evidential onus</w:t>
      </w:r>
      <w:r w:rsidR="001A1B4B" w:rsidRPr="00B14447">
        <w:rPr>
          <w:rFonts w:ascii="Times New Roman" w:hAnsi="Times New Roman"/>
        </w:rPr>
        <w:t xml:space="preserve">, </w:t>
      </w:r>
      <w:r w:rsidR="00E37B42" w:rsidRPr="00B14447">
        <w:rPr>
          <w:rFonts w:ascii="Times New Roman" w:hAnsi="Times New Roman"/>
        </w:rPr>
        <w:t>after</w:t>
      </w:r>
      <w:r w:rsidR="00ED47B5" w:rsidRPr="00B14447">
        <w:rPr>
          <w:rFonts w:ascii="Times New Roman" w:hAnsi="Times New Roman"/>
        </w:rPr>
        <w:t xml:space="preserve"> a </w:t>
      </w:r>
      <w:r w:rsidR="001A1B4B" w:rsidRPr="00B14447">
        <w:rPr>
          <w:rFonts w:ascii="Times New Roman" w:hAnsi="Times New Roman"/>
        </w:rPr>
        <w:t>prima facie case</w:t>
      </w:r>
      <w:r w:rsidR="00ED47B5" w:rsidRPr="00B14447">
        <w:rPr>
          <w:rFonts w:ascii="Times New Roman" w:hAnsi="Times New Roman"/>
        </w:rPr>
        <w:t xml:space="preserve"> was established</w:t>
      </w:r>
      <w:r w:rsidR="001A1B4B" w:rsidRPr="00B14447">
        <w:rPr>
          <w:rFonts w:ascii="Times New Roman" w:hAnsi="Times New Roman"/>
        </w:rPr>
        <w:t>,</w:t>
      </w:r>
      <w:r w:rsidR="00AB7D5F" w:rsidRPr="00B14447">
        <w:rPr>
          <w:rFonts w:ascii="Times New Roman" w:hAnsi="Times New Roman"/>
        </w:rPr>
        <w:t xml:space="preserve"> was merely a way of undertaking a rigorous counter</w:t>
      </w:r>
      <w:r w:rsidR="00324F65" w:rsidRPr="00B14447">
        <w:rPr>
          <w:rFonts w:ascii="Times New Roman" w:hAnsi="Times New Roman"/>
        </w:rPr>
        <w:t>-</w:t>
      </w:r>
      <w:r w:rsidR="00AB7D5F" w:rsidRPr="00B14447">
        <w:rPr>
          <w:rFonts w:ascii="Times New Roman" w:hAnsi="Times New Roman"/>
        </w:rPr>
        <w:t>factual analysis</w:t>
      </w:r>
      <w:r w:rsidR="00A10558" w:rsidRPr="00B14447">
        <w:rPr>
          <w:rFonts w:ascii="Times New Roman" w:hAnsi="Times New Roman"/>
        </w:rPr>
        <w:t xml:space="preserve">. </w:t>
      </w:r>
      <w:r w:rsidR="00AB7D5F" w:rsidRPr="00B14447">
        <w:rPr>
          <w:rFonts w:ascii="Times New Roman" w:hAnsi="Times New Roman"/>
        </w:rPr>
        <w:t xml:space="preserve">That was correct. </w:t>
      </w:r>
      <w:r w:rsidR="00B95D09" w:rsidRPr="00B14447">
        <w:rPr>
          <w:rFonts w:ascii="Times New Roman" w:hAnsi="Times New Roman"/>
        </w:rPr>
        <w:t>The Commonwealth's proposed shifting evidential onus</w:t>
      </w:r>
      <w:r w:rsidR="008E51A2" w:rsidRPr="00B14447">
        <w:rPr>
          <w:rFonts w:ascii="Times New Roman" w:hAnsi="Times New Roman"/>
        </w:rPr>
        <w:t>, as articulated in ground</w:t>
      </w:r>
      <w:r w:rsidR="006A4A51" w:rsidRPr="00B14447">
        <w:rPr>
          <w:rFonts w:ascii="Times New Roman" w:hAnsi="Times New Roman"/>
        </w:rPr>
        <w:t> </w:t>
      </w:r>
      <w:r w:rsidR="008E51A2" w:rsidRPr="00B14447">
        <w:rPr>
          <w:rFonts w:ascii="Times New Roman" w:hAnsi="Times New Roman"/>
        </w:rPr>
        <w:t>1(a),</w:t>
      </w:r>
      <w:r w:rsidR="00B95D09" w:rsidRPr="00B14447">
        <w:rPr>
          <w:rFonts w:ascii="Times New Roman" w:hAnsi="Times New Roman"/>
        </w:rPr>
        <w:t xml:space="preserve"> </w:t>
      </w:r>
      <w:r w:rsidR="00F4650E" w:rsidRPr="00B14447">
        <w:rPr>
          <w:rFonts w:ascii="Times New Roman" w:hAnsi="Times New Roman"/>
        </w:rPr>
        <w:lastRenderedPageBreak/>
        <w:t xml:space="preserve">is inconsistent with the </w:t>
      </w:r>
      <w:r w:rsidR="00A57136" w:rsidRPr="00B14447">
        <w:rPr>
          <w:rFonts w:ascii="Times New Roman" w:hAnsi="Times New Roman"/>
        </w:rPr>
        <w:t xml:space="preserve">approach of this Court in </w:t>
      </w:r>
      <w:r w:rsidR="000B6182" w:rsidRPr="00B14447">
        <w:rPr>
          <w:rFonts w:ascii="Times New Roman" w:hAnsi="Times New Roman"/>
          <w:i/>
          <w:iCs/>
        </w:rPr>
        <w:t>European Bank Ltd v Evans</w:t>
      </w:r>
      <w:r w:rsidR="007837D5" w:rsidRPr="00B14447">
        <w:rPr>
          <w:rFonts w:ascii="Times New Roman" w:hAnsi="Times New Roman"/>
        </w:rPr>
        <w:t>,</w:t>
      </w:r>
      <w:r w:rsidR="000B6182" w:rsidRPr="00B14447">
        <w:rPr>
          <w:rStyle w:val="FootnoteReference"/>
          <w:rFonts w:ascii="Times New Roman" w:hAnsi="Times New Roman"/>
          <w:sz w:val="24"/>
        </w:rPr>
        <w:footnoteReference w:id="8"/>
      </w:r>
      <w:r w:rsidR="000B6182" w:rsidRPr="00B14447">
        <w:rPr>
          <w:rFonts w:ascii="Times New Roman" w:hAnsi="Times New Roman"/>
          <w:i/>
          <w:iCs/>
        </w:rPr>
        <w:t xml:space="preserve"> </w:t>
      </w:r>
      <w:r w:rsidR="000B6182" w:rsidRPr="00B14447">
        <w:rPr>
          <w:rFonts w:ascii="Times New Roman" w:hAnsi="Times New Roman"/>
        </w:rPr>
        <w:t xml:space="preserve">that the methodology </w:t>
      </w:r>
      <w:r w:rsidR="006741F3" w:rsidRPr="00B14447">
        <w:rPr>
          <w:rFonts w:ascii="Times New Roman" w:hAnsi="Times New Roman"/>
        </w:rPr>
        <w:t xml:space="preserve">of assessment of compensation on an undertaking as to damages "cannot be constrained by a rigid formulation". </w:t>
      </w:r>
      <w:r w:rsidR="00CA2F69" w:rsidRPr="00B14447">
        <w:rPr>
          <w:rFonts w:ascii="Times New Roman" w:hAnsi="Times New Roman"/>
        </w:rPr>
        <w:t>An</w:t>
      </w:r>
      <w:r w:rsidR="00456931" w:rsidRPr="00B14447">
        <w:rPr>
          <w:rFonts w:ascii="Times New Roman" w:hAnsi="Times New Roman"/>
        </w:rPr>
        <w:t> </w:t>
      </w:r>
      <w:r w:rsidR="00CA2F69" w:rsidRPr="00B14447">
        <w:rPr>
          <w:rFonts w:ascii="Times New Roman" w:hAnsi="Times New Roman"/>
        </w:rPr>
        <w:t xml:space="preserve">evidential onus might shift </w:t>
      </w:r>
      <w:r w:rsidR="005128F2" w:rsidRPr="00B14447">
        <w:rPr>
          <w:rFonts w:ascii="Times New Roman" w:hAnsi="Times New Roman"/>
        </w:rPr>
        <w:t>to a defendant in circumstances where the defendant's wrongdoing has made proof of loss difficult or impossible</w:t>
      </w:r>
      <w:r w:rsidR="00487806" w:rsidRPr="00B14447">
        <w:rPr>
          <w:rStyle w:val="FootnoteReference"/>
          <w:rFonts w:ascii="Times New Roman" w:hAnsi="Times New Roman"/>
          <w:sz w:val="24"/>
        </w:rPr>
        <w:footnoteReference w:id="9"/>
      </w:r>
      <w:r w:rsidR="005128F2" w:rsidRPr="00B14447">
        <w:rPr>
          <w:rFonts w:ascii="Times New Roman" w:hAnsi="Times New Roman"/>
        </w:rPr>
        <w:t xml:space="preserve"> </w:t>
      </w:r>
      <w:r w:rsidR="006E4945" w:rsidRPr="00B14447">
        <w:rPr>
          <w:rFonts w:ascii="Times New Roman" w:hAnsi="Times New Roman"/>
        </w:rPr>
        <w:t>or where adducing particular evidence is peculiarly within the power of the defendant.</w:t>
      </w:r>
      <w:r w:rsidR="00487806" w:rsidRPr="00B14447">
        <w:rPr>
          <w:rStyle w:val="FootnoteReference"/>
          <w:rFonts w:ascii="Times New Roman" w:hAnsi="Times New Roman"/>
          <w:sz w:val="24"/>
        </w:rPr>
        <w:footnoteReference w:id="10"/>
      </w:r>
      <w:r w:rsidR="006E4945" w:rsidRPr="00B14447">
        <w:rPr>
          <w:rFonts w:ascii="Times New Roman" w:hAnsi="Times New Roman"/>
        </w:rPr>
        <w:t xml:space="preserve"> But </w:t>
      </w:r>
      <w:r w:rsidR="00602D6C" w:rsidRPr="00B14447">
        <w:rPr>
          <w:rFonts w:ascii="Times New Roman" w:hAnsi="Times New Roman"/>
        </w:rPr>
        <w:t xml:space="preserve">these are flexible principles </w:t>
      </w:r>
      <w:r w:rsidR="00C165BB" w:rsidRPr="00B14447">
        <w:rPr>
          <w:rFonts w:ascii="Times New Roman" w:hAnsi="Times New Roman"/>
        </w:rPr>
        <w:t>of civil proof</w:t>
      </w:r>
      <w:r w:rsidR="004174BD" w:rsidRPr="00B14447">
        <w:rPr>
          <w:rFonts w:ascii="Times New Roman" w:hAnsi="Times New Roman"/>
        </w:rPr>
        <w:t xml:space="preserve"> which did not arise in the circumstances of this case</w:t>
      </w:r>
      <w:r w:rsidR="00C165BB" w:rsidRPr="00B14447">
        <w:rPr>
          <w:rFonts w:ascii="Times New Roman" w:hAnsi="Times New Roman"/>
        </w:rPr>
        <w:t>. Th</w:t>
      </w:r>
      <w:r w:rsidR="000E1549" w:rsidRPr="00B14447">
        <w:rPr>
          <w:rFonts w:ascii="Times New Roman" w:hAnsi="Times New Roman"/>
        </w:rPr>
        <w:t>ose principles</w:t>
      </w:r>
      <w:r w:rsidR="00C165BB" w:rsidRPr="00B14447">
        <w:rPr>
          <w:rFonts w:ascii="Times New Roman" w:hAnsi="Times New Roman"/>
        </w:rPr>
        <w:t xml:space="preserve"> do not justify </w:t>
      </w:r>
      <w:r w:rsidR="00E33CC3" w:rsidRPr="00B14447">
        <w:rPr>
          <w:rFonts w:ascii="Times New Roman" w:hAnsi="Times New Roman"/>
        </w:rPr>
        <w:t xml:space="preserve">a </w:t>
      </w:r>
      <w:r w:rsidR="00927144" w:rsidRPr="00B14447">
        <w:rPr>
          <w:rFonts w:ascii="Times New Roman" w:hAnsi="Times New Roman"/>
        </w:rPr>
        <w:t xml:space="preserve">rigid </w:t>
      </w:r>
      <w:r w:rsidR="00EE2FD9" w:rsidRPr="00B14447">
        <w:rPr>
          <w:rFonts w:ascii="Times New Roman" w:hAnsi="Times New Roman"/>
        </w:rPr>
        <w:t xml:space="preserve">legal rule that </w:t>
      </w:r>
      <w:r w:rsidR="00487806" w:rsidRPr="00B14447">
        <w:rPr>
          <w:rFonts w:ascii="Times New Roman" w:hAnsi="Times New Roman"/>
        </w:rPr>
        <w:t>a party asserting that it has suffered loss</w:t>
      </w:r>
      <w:r w:rsidR="00347D6F" w:rsidRPr="00B14447">
        <w:rPr>
          <w:rFonts w:ascii="Times New Roman" w:hAnsi="Times New Roman"/>
        </w:rPr>
        <w:t xml:space="preserve"> </w:t>
      </w:r>
      <w:r w:rsidR="00923042" w:rsidRPr="00B14447">
        <w:rPr>
          <w:rFonts w:ascii="Times New Roman" w:hAnsi="Times New Roman"/>
        </w:rPr>
        <w:t xml:space="preserve">arising from </w:t>
      </w:r>
      <w:r w:rsidR="00E76CA8" w:rsidRPr="00B14447">
        <w:rPr>
          <w:rFonts w:ascii="Times New Roman" w:hAnsi="Times New Roman"/>
        </w:rPr>
        <w:t>an undertaking as to damages must prove only a prima facie case of loss</w:t>
      </w:r>
      <w:r w:rsidR="00487806" w:rsidRPr="00B14447">
        <w:rPr>
          <w:rFonts w:ascii="Times New Roman" w:hAnsi="Times New Roman"/>
        </w:rPr>
        <w:t xml:space="preserve">. </w:t>
      </w:r>
    </w:p>
    <w:p w14:paraId="48B37994" w14:textId="42D5E87C" w:rsidR="00252573" w:rsidRPr="00B14447" w:rsidRDefault="002F44B1"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6741F3" w:rsidRPr="00B14447">
        <w:rPr>
          <w:rFonts w:ascii="Times New Roman" w:hAnsi="Times New Roman"/>
        </w:rPr>
        <w:t>Further,</w:t>
      </w:r>
      <w:r w:rsidR="00A57136" w:rsidRPr="00B14447">
        <w:rPr>
          <w:rFonts w:ascii="Times New Roman" w:hAnsi="Times New Roman"/>
          <w:i/>
          <w:iCs/>
        </w:rPr>
        <w:t xml:space="preserve"> </w:t>
      </w:r>
      <w:r w:rsidR="006741F3" w:rsidRPr="00B14447">
        <w:rPr>
          <w:rFonts w:ascii="Times New Roman" w:hAnsi="Times New Roman"/>
        </w:rPr>
        <w:t>p</w:t>
      </w:r>
      <w:r w:rsidR="00585B8F" w:rsidRPr="00B14447">
        <w:rPr>
          <w:rFonts w:ascii="Times New Roman" w:hAnsi="Times New Roman"/>
        </w:rPr>
        <w:t>roperly understood</w:t>
      </w:r>
      <w:r w:rsidR="00746579" w:rsidRPr="00B14447">
        <w:rPr>
          <w:rFonts w:ascii="Times New Roman" w:hAnsi="Times New Roman"/>
        </w:rPr>
        <w:t>,</w:t>
      </w:r>
      <w:r w:rsidR="00585B8F" w:rsidRPr="00B14447">
        <w:rPr>
          <w:rFonts w:ascii="Times New Roman" w:hAnsi="Times New Roman"/>
        </w:rPr>
        <w:t xml:space="preserve"> none of the reasons for decision in this Court in </w:t>
      </w:r>
      <w:r w:rsidR="00585B8F" w:rsidRPr="00B14447">
        <w:rPr>
          <w:rFonts w:ascii="Times New Roman" w:hAnsi="Times New Roman"/>
          <w:i/>
          <w:iCs/>
        </w:rPr>
        <w:t>A</w:t>
      </w:r>
      <w:r w:rsidR="00F42C68" w:rsidRPr="00B14447">
        <w:rPr>
          <w:rFonts w:ascii="Times New Roman" w:hAnsi="Times New Roman"/>
          <w:i/>
          <w:iCs/>
        </w:rPr>
        <w:t>ir Express Ltd v Ansett Transport Industries (Operations) Pty Ltd</w:t>
      </w:r>
      <w:r w:rsidR="00F42C68" w:rsidRPr="00B14447">
        <w:rPr>
          <w:rStyle w:val="FootnoteReference"/>
          <w:rFonts w:ascii="Times New Roman" w:hAnsi="Times New Roman"/>
          <w:sz w:val="24"/>
        </w:rPr>
        <w:footnoteReference w:id="11"/>
      </w:r>
      <w:r w:rsidR="007F0612" w:rsidRPr="00B14447">
        <w:rPr>
          <w:rFonts w:ascii="Times New Roman" w:hAnsi="Times New Roman"/>
          <w:i/>
          <w:iCs/>
        </w:rPr>
        <w:t xml:space="preserve"> </w:t>
      </w:r>
      <w:r w:rsidR="007F0612" w:rsidRPr="00B14447">
        <w:rPr>
          <w:rFonts w:ascii="Times New Roman" w:hAnsi="Times New Roman"/>
        </w:rPr>
        <w:t xml:space="preserve">support </w:t>
      </w:r>
      <w:r w:rsidR="00F4650E" w:rsidRPr="00B14447">
        <w:rPr>
          <w:rFonts w:ascii="Times New Roman" w:hAnsi="Times New Roman"/>
        </w:rPr>
        <w:t>the</w:t>
      </w:r>
      <w:r w:rsidR="00E97ADF" w:rsidRPr="00B14447">
        <w:rPr>
          <w:rFonts w:ascii="Times New Roman" w:hAnsi="Times New Roman"/>
        </w:rPr>
        <w:t xml:space="preserve"> Commonwealth's</w:t>
      </w:r>
      <w:r w:rsidR="00F4650E" w:rsidRPr="00B14447">
        <w:rPr>
          <w:rFonts w:ascii="Times New Roman" w:hAnsi="Times New Roman"/>
        </w:rPr>
        <w:t xml:space="preserve"> proposed shifting onus.</w:t>
      </w:r>
      <w:r w:rsidR="007E31D5" w:rsidRPr="00B14447">
        <w:rPr>
          <w:rFonts w:ascii="Times New Roman" w:hAnsi="Times New Roman"/>
        </w:rPr>
        <w:t xml:space="preserve"> </w:t>
      </w:r>
      <w:r w:rsidR="00AF0C80" w:rsidRPr="00B14447">
        <w:rPr>
          <w:rFonts w:ascii="Times New Roman" w:hAnsi="Times New Roman"/>
        </w:rPr>
        <w:t xml:space="preserve">In that case, Air Express sought an inquiry as to damages </w:t>
      </w:r>
      <w:r w:rsidR="00077C32" w:rsidRPr="00B14447">
        <w:rPr>
          <w:rFonts w:ascii="Times New Roman" w:hAnsi="Times New Roman"/>
        </w:rPr>
        <w:t xml:space="preserve">arising from an undertaking as to damages </w:t>
      </w:r>
      <w:r w:rsidR="00AF0C80" w:rsidRPr="00B14447">
        <w:rPr>
          <w:rFonts w:ascii="Times New Roman" w:hAnsi="Times New Roman"/>
        </w:rPr>
        <w:t xml:space="preserve">and compensation </w:t>
      </w:r>
      <w:r w:rsidR="00077C32" w:rsidRPr="00B14447">
        <w:rPr>
          <w:rFonts w:ascii="Times New Roman" w:hAnsi="Times New Roman"/>
        </w:rPr>
        <w:t xml:space="preserve">for losses suffered from the interlocutory injunction that the undertaking had supported. The interlocutory injunction </w:t>
      </w:r>
      <w:r w:rsidR="000A54D5" w:rsidRPr="00B14447">
        <w:rPr>
          <w:rFonts w:ascii="Times New Roman" w:hAnsi="Times New Roman"/>
        </w:rPr>
        <w:t xml:space="preserve">prevented </w:t>
      </w:r>
      <w:r w:rsidR="003753EB" w:rsidRPr="00B14447">
        <w:rPr>
          <w:rFonts w:ascii="Times New Roman" w:hAnsi="Times New Roman"/>
        </w:rPr>
        <w:t>Air Express from being g</w:t>
      </w:r>
      <w:r w:rsidR="00BB3152" w:rsidRPr="00B14447">
        <w:rPr>
          <w:rFonts w:ascii="Times New Roman" w:hAnsi="Times New Roman"/>
        </w:rPr>
        <w:t>ranted</w:t>
      </w:r>
      <w:r w:rsidR="003753EB" w:rsidRPr="00B14447">
        <w:rPr>
          <w:rFonts w:ascii="Times New Roman" w:hAnsi="Times New Roman"/>
        </w:rPr>
        <w:t xml:space="preserve"> permission to </w:t>
      </w:r>
      <w:r w:rsidR="00B21FF6" w:rsidRPr="00B14447">
        <w:rPr>
          <w:rFonts w:ascii="Times New Roman" w:hAnsi="Times New Roman"/>
        </w:rPr>
        <w:t xml:space="preserve">import aircraft into Australia. </w:t>
      </w:r>
      <w:r w:rsidR="00B14AF0" w:rsidRPr="00B14447">
        <w:rPr>
          <w:rFonts w:ascii="Times New Roman" w:hAnsi="Times New Roman"/>
        </w:rPr>
        <w:t>Whilst it may be th</w:t>
      </w:r>
      <w:r w:rsidR="006158F6" w:rsidRPr="00B14447">
        <w:rPr>
          <w:rFonts w:ascii="Times New Roman" w:hAnsi="Times New Roman"/>
        </w:rPr>
        <w:t xml:space="preserve">at a plaintiff who claims compensation under an undertaking as to damages need only show a prima facie case to obtain an </w:t>
      </w:r>
      <w:r w:rsidR="00BA0528" w:rsidRPr="00B14447">
        <w:rPr>
          <w:rFonts w:ascii="Times New Roman" w:hAnsi="Times New Roman"/>
        </w:rPr>
        <w:t>inquiry as to damages,</w:t>
      </w:r>
      <w:r w:rsidR="00BA0528" w:rsidRPr="00B14447">
        <w:rPr>
          <w:rStyle w:val="FootnoteReference"/>
          <w:rFonts w:ascii="Times New Roman" w:hAnsi="Times New Roman"/>
          <w:sz w:val="24"/>
        </w:rPr>
        <w:footnoteReference w:id="12"/>
      </w:r>
      <w:r w:rsidR="00F4650E" w:rsidRPr="00B14447">
        <w:rPr>
          <w:rFonts w:ascii="Times New Roman" w:hAnsi="Times New Roman"/>
        </w:rPr>
        <w:t xml:space="preserve"> </w:t>
      </w:r>
      <w:r w:rsidR="00B21FF6" w:rsidRPr="00B14447">
        <w:rPr>
          <w:rFonts w:ascii="Times New Roman" w:hAnsi="Times New Roman"/>
        </w:rPr>
        <w:t>the primary judge (Aickin</w:t>
      </w:r>
      <w:r w:rsidR="007D710E" w:rsidRPr="00B14447">
        <w:rPr>
          <w:rFonts w:ascii="Times New Roman" w:hAnsi="Times New Roman"/>
        </w:rPr>
        <w:t> </w:t>
      </w:r>
      <w:r w:rsidR="00B21FF6" w:rsidRPr="00B14447">
        <w:rPr>
          <w:rFonts w:ascii="Times New Roman" w:hAnsi="Times New Roman"/>
        </w:rPr>
        <w:t>J) and the majority of the Full Court</w:t>
      </w:r>
      <w:r w:rsidR="003206D3" w:rsidRPr="00B14447">
        <w:rPr>
          <w:rFonts w:ascii="Times New Roman" w:hAnsi="Times New Roman"/>
        </w:rPr>
        <w:t xml:space="preserve"> (Barwick</w:t>
      </w:r>
      <w:r w:rsidR="007D710E" w:rsidRPr="00B14447">
        <w:rPr>
          <w:rFonts w:ascii="Times New Roman" w:hAnsi="Times New Roman"/>
        </w:rPr>
        <w:t> </w:t>
      </w:r>
      <w:r w:rsidR="003206D3" w:rsidRPr="00B14447">
        <w:rPr>
          <w:rFonts w:ascii="Times New Roman" w:hAnsi="Times New Roman"/>
        </w:rPr>
        <w:t xml:space="preserve">CJ, </w:t>
      </w:r>
      <w:r w:rsidR="007D710E" w:rsidRPr="00B14447">
        <w:rPr>
          <w:rFonts w:ascii="Times New Roman" w:hAnsi="Times New Roman"/>
        </w:rPr>
        <w:t xml:space="preserve">Gibbs and </w:t>
      </w:r>
      <w:r w:rsidR="003206D3" w:rsidRPr="00B14447">
        <w:rPr>
          <w:rFonts w:ascii="Times New Roman" w:hAnsi="Times New Roman"/>
        </w:rPr>
        <w:t>Stephen</w:t>
      </w:r>
      <w:r w:rsidR="007D710E" w:rsidRPr="00B14447">
        <w:rPr>
          <w:rFonts w:ascii="Times New Roman" w:hAnsi="Times New Roman"/>
        </w:rPr>
        <w:t> </w:t>
      </w:r>
      <w:r w:rsidR="003206D3" w:rsidRPr="00B14447">
        <w:rPr>
          <w:rFonts w:ascii="Times New Roman" w:hAnsi="Times New Roman"/>
        </w:rPr>
        <w:t>JJ)</w:t>
      </w:r>
      <w:r w:rsidR="00567E2E" w:rsidRPr="00B14447">
        <w:rPr>
          <w:rFonts w:ascii="Times New Roman" w:hAnsi="Times New Roman"/>
        </w:rPr>
        <w:t xml:space="preserve"> held that Air Express was not entitled to compensation because it had not proved that but for the </w:t>
      </w:r>
      <w:r w:rsidR="003A0123" w:rsidRPr="00B14447">
        <w:rPr>
          <w:rFonts w:ascii="Times New Roman" w:hAnsi="Times New Roman"/>
        </w:rPr>
        <w:t xml:space="preserve">interlocutory injunction it would have </w:t>
      </w:r>
      <w:r w:rsidR="006E140B" w:rsidRPr="00B14447">
        <w:rPr>
          <w:rFonts w:ascii="Times New Roman" w:hAnsi="Times New Roman"/>
        </w:rPr>
        <w:t xml:space="preserve">obtained </w:t>
      </w:r>
      <w:r w:rsidR="000E5073" w:rsidRPr="00B14447">
        <w:rPr>
          <w:rFonts w:ascii="Times New Roman" w:hAnsi="Times New Roman"/>
        </w:rPr>
        <w:t xml:space="preserve">the </w:t>
      </w:r>
      <w:r w:rsidR="006E140B" w:rsidRPr="00B14447">
        <w:rPr>
          <w:rFonts w:ascii="Times New Roman" w:hAnsi="Times New Roman"/>
        </w:rPr>
        <w:t xml:space="preserve">permission and </w:t>
      </w:r>
      <w:r w:rsidR="003A0123" w:rsidRPr="00B14447">
        <w:rPr>
          <w:rFonts w:ascii="Times New Roman" w:hAnsi="Times New Roman"/>
        </w:rPr>
        <w:t>imported the aircraft.</w:t>
      </w:r>
      <w:r w:rsidR="005968C6" w:rsidRPr="00B14447">
        <w:rPr>
          <w:rStyle w:val="FootnoteReference"/>
          <w:rFonts w:ascii="Times New Roman" w:hAnsi="Times New Roman"/>
          <w:sz w:val="24"/>
        </w:rPr>
        <w:footnoteReference w:id="13"/>
      </w:r>
      <w:r w:rsidR="003A0123" w:rsidRPr="00B14447">
        <w:rPr>
          <w:rFonts w:ascii="Times New Roman" w:hAnsi="Times New Roman"/>
        </w:rPr>
        <w:t xml:space="preserve"> </w:t>
      </w:r>
      <w:r w:rsidR="003E03C4" w:rsidRPr="00B14447">
        <w:rPr>
          <w:rFonts w:ascii="Times New Roman" w:hAnsi="Times New Roman"/>
        </w:rPr>
        <w:t xml:space="preserve">A prima facie case, or </w:t>
      </w:r>
      <w:r w:rsidR="005968C6" w:rsidRPr="00B14447">
        <w:rPr>
          <w:rFonts w:ascii="Times New Roman" w:hAnsi="Times New Roman"/>
        </w:rPr>
        <w:t>proof of only the possibility of loss, was insufficient</w:t>
      </w:r>
      <w:r w:rsidR="00BF0EFA" w:rsidRPr="00B14447">
        <w:rPr>
          <w:rFonts w:ascii="Times New Roman" w:hAnsi="Times New Roman"/>
        </w:rPr>
        <w:t>;</w:t>
      </w:r>
      <w:r w:rsidR="00AA5641" w:rsidRPr="00B14447">
        <w:rPr>
          <w:rFonts w:ascii="Times New Roman" w:hAnsi="Times New Roman"/>
        </w:rPr>
        <w:t xml:space="preserve"> although the absence of a prima facie case </w:t>
      </w:r>
      <w:r w:rsidR="00302070" w:rsidRPr="00B14447">
        <w:rPr>
          <w:rFonts w:ascii="Times New Roman" w:hAnsi="Times New Roman"/>
        </w:rPr>
        <w:t>would plainly prevent even an inquiry as to damages</w:t>
      </w:r>
      <w:r w:rsidR="005968C6" w:rsidRPr="00B14447">
        <w:rPr>
          <w:rFonts w:ascii="Times New Roman" w:hAnsi="Times New Roman"/>
        </w:rPr>
        <w:t xml:space="preserve">. </w:t>
      </w:r>
      <w:r w:rsidR="00E97ADF" w:rsidRPr="00B14447">
        <w:rPr>
          <w:rFonts w:ascii="Times New Roman" w:hAnsi="Times New Roman"/>
        </w:rPr>
        <w:t>A</w:t>
      </w:r>
      <w:r w:rsidR="00F9304A" w:rsidRPr="00B14447">
        <w:rPr>
          <w:rFonts w:ascii="Times New Roman" w:hAnsi="Times New Roman"/>
        </w:rPr>
        <w:t xml:space="preserve">s </w:t>
      </w:r>
      <w:r w:rsidR="00302070" w:rsidRPr="00B14447">
        <w:rPr>
          <w:rFonts w:ascii="Times New Roman" w:hAnsi="Times New Roman"/>
        </w:rPr>
        <w:t>Gibbs</w:t>
      </w:r>
      <w:r w:rsidR="00BF0EFA" w:rsidRPr="00B14447">
        <w:rPr>
          <w:rFonts w:ascii="Times New Roman" w:hAnsi="Times New Roman"/>
        </w:rPr>
        <w:t> </w:t>
      </w:r>
      <w:r w:rsidR="00F9304A" w:rsidRPr="00B14447">
        <w:rPr>
          <w:rFonts w:ascii="Times New Roman" w:hAnsi="Times New Roman"/>
        </w:rPr>
        <w:t>J said</w:t>
      </w:r>
      <w:r w:rsidR="000F5B4E" w:rsidRPr="00B14447">
        <w:rPr>
          <w:rFonts w:ascii="Times New Roman" w:hAnsi="Times New Roman"/>
        </w:rPr>
        <w:t>, rejecting</w:t>
      </w:r>
      <w:r w:rsidR="00EB6629" w:rsidRPr="00B14447">
        <w:rPr>
          <w:rFonts w:ascii="Times New Roman" w:hAnsi="Times New Roman"/>
        </w:rPr>
        <w:t xml:space="preserve"> a submission that there is a shiftin</w:t>
      </w:r>
      <w:r w:rsidR="00524BC0" w:rsidRPr="00B14447">
        <w:rPr>
          <w:rFonts w:ascii="Times New Roman" w:hAnsi="Times New Roman"/>
        </w:rPr>
        <w:t>g onus</w:t>
      </w:r>
      <w:r w:rsidR="000F5B4E" w:rsidRPr="00B14447">
        <w:rPr>
          <w:rFonts w:ascii="Times New Roman" w:hAnsi="Times New Roman"/>
        </w:rPr>
        <w:t>:</w:t>
      </w:r>
      <w:r w:rsidR="000F512B" w:rsidRPr="00B14447">
        <w:rPr>
          <w:rFonts w:ascii="Times New Roman" w:hAnsi="Times New Roman"/>
        </w:rPr>
        <w:t xml:space="preserve"> the party "who seeks to enforce the </w:t>
      </w:r>
      <w:r w:rsidR="000F512B" w:rsidRPr="00B14447">
        <w:rPr>
          <w:rFonts w:ascii="Times New Roman" w:hAnsi="Times New Roman"/>
        </w:rPr>
        <w:lastRenderedPageBreak/>
        <w:t>undertaking, must prove that the damage he has sustained was caused by the making of the order"</w:t>
      </w:r>
      <w:r w:rsidR="00F9304A" w:rsidRPr="00B14447">
        <w:rPr>
          <w:rFonts w:ascii="Times New Roman" w:hAnsi="Times New Roman"/>
        </w:rPr>
        <w:t>.</w:t>
      </w:r>
      <w:r w:rsidR="00932EDF" w:rsidRPr="00B14447">
        <w:rPr>
          <w:rStyle w:val="FootnoteReference"/>
          <w:rFonts w:ascii="Times New Roman" w:hAnsi="Times New Roman"/>
          <w:sz w:val="24"/>
        </w:rPr>
        <w:footnoteReference w:id="14"/>
      </w:r>
    </w:p>
    <w:p w14:paraId="4A4AB52A" w14:textId="3EF311C8" w:rsidR="00665638" w:rsidRPr="00B14447" w:rsidRDefault="00252573"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C3E42" w:rsidRPr="00B14447">
        <w:rPr>
          <w:rFonts w:ascii="Times New Roman" w:hAnsi="Times New Roman"/>
        </w:rPr>
        <w:t xml:space="preserve">In this case, </w:t>
      </w:r>
      <w:r w:rsidRPr="00B14447">
        <w:rPr>
          <w:rFonts w:ascii="Times New Roman" w:hAnsi="Times New Roman"/>
        </w:rPr>
        <w:t xml:space="preserve">therefore, </w:t>
      </w:r>
      <w:r w:rsidR="00BC3E42" w:rsidRPr="00B14447">
        <w:rPr>
          <w:rFonts w:ascii="Times New Roman" w:hAnsi="Times New Roman"/>
        </w:rPr>
        <w:t>the</w:t>
      </w:r>
      <w:r w:rsidR="001B3161" w:rsidRPr="00B14447">
        <w:rPr>
          <w:rFonts w:ascii="Times New Roman" w:hAnsi="Times New Roman"/>
        </w:rPr>
        <w:t xml:space="preserve"> Commonwealth bore the</w:t>
      </w:r>
      <w:r w:rsidR="00D36F3C" w:rsidRPr="00B14447">
        <w:rPr>
          <w:rFonts w:ascii="Times New Roman" w:hAnsi="Times New Roman"/>
        </w:rPr>
        <w:t xml:space="preserve"> legal and evidentiary onus of proof </w:t>
      </w:r>
      <w:r w:rsidR="006E5D5D" w:rsidRPr="00B14447">
        <w:rPr>
          <w:rFonts w:ascii="Times New Roman" w:hAnsi="Times New Roman"/>
        </w:rPr>
        <w:t>in relation to causation</w:t>
      </w:r>
      <w:r w:rsidR="00665CB5" w:rsidRPr="00B14447">
        <w:rPr>
          <w:rFonts w:ascii="Times New Roman" w:hAnsi="Times New Roman"/>
        </w:rPr>
        <w:t xml:space="preserve"> of loss</w:t>
      </w:r>
      <w:r w:rsidR="00036E0D" w:rsidRPr="00B14447">
        <w:rPr>
          <w:rFonts w:ascii="Times New Roman" w:hAnsi="Times New Roman"/>
        </w:rPr>
        <w:t xml:space="preserve"> within the scope of the undertaking as to damages while the interlocutory injunction persisted</w:t>
      </w:r>
      <w:r w:rsidR="00665CB5" w:rsidRPr="00B14447">
        <w:rPr>
          <w:rFonts w:ascii="Times New Roman" w:hAnsi="Times New Roman"/>
        </w:rPr>
        <w:t xml:space="preserve"> in the period between 25</w:t>
      </w:r>
      <w:r w:rsidR="00B5161C" w:rsidRPr="00B14447">
        <w:rPr>
          <w:rFonts w:ascii="Times New Roman" w:hAnsi="Times New Roman"/>
        </w:rPr>
        <w:t> </w:t>
      </w:r>
      <w:r w:rsidR="00665CB5" w:rsidRPr="00B14447">
        <w:rPr>
          <w:rFonts w:ascii="Times New Roman" w:hAnsi="Times New Roman"/>
        </w:rPr>
        <w:t>September 2007 and 19</w:t>
      </w:r>
      <w:r w:rsidR="00B5161C" w:rsidRPr="00B14447">
        <w:rPr>
          <w:rFonts w:ascii="Times New Roman" w:hAnsi="Times New Roman"/>
        </w:rPr>
        <w:t> </w:t>
      </w:r>
      <w:r w:rsidR="00665CB5" w:rsidRPr="00B14447">
        <w:rPr>
          <w:rFonts w:ascii="Times New Roman" w:hAnsi="Times New Roman"/>
        </w:rPr>
        <w:t>August 2008</w:t>
      </w:r>
      <w:r w:rsidR="006E5D5D" w:rsidRPr="00B14447">
        <w:rPr>
          <w:rFonts w:ascii="Times New Roman" w:hAnsi="Times New Roman"/>
        </w:rPr>
        <w:t xml:space="preserve">. The Commonwealth was required to establish on the balance of probabilities that </w:t>
      </w:r>
      <w:r w:rsidRPr="00B14447">
        <w:rPr>
          <w:rFonts w:ascii="Times New Roman" w:hAnsi="Times New Roman"/>
        </w:rPr>
        <w:t>Apotex would have sought</w:t>
      </w:r>
      <w:r w:rsidR="008A0BEB" w:rsidRPr="00B14447">
        <w:rPr>
          <w:rFonts w:ascii="Times New Roman" w:hAnsi="Times New Roman"/>
        </w:rPr>
        <w:t xml:space="preserve"> and obtained PBS listing </w:t>
      </w:r>
      <w:r w:rsidR="00E578C5" w:rsidRPr="00B14447">
        <w:rPr>
          <w:rFonts w:ascii="Times New Roman" w:hAnsi="Times New Roman"/>
        </w:rPr>
        <w:t>but for the interlocutory injunction.</w:t>
      </w:r>
      <w:r w:rsidR="001B3161" w:rsidRPr="00B14447">
        <w:rPr>
          <w:rFonts w:ascii="Times New Roman" w:hAnsi="Times New Roman"/>
        </w:rPr>
        <w:t xml:space="preserve"> To the extent that ground</w:t>
      </w:r>
      <w:r w:rsidR="00BE1A31" w:rsidRPr="00B14447">
        <w:rPr>
          <w:rFonts w:ascii="Times New Roman" w:hAnsi="Times New Roman"/>
        </w:rPr>
        <w:t> </w:t>
      </w:r>
      <w:r w:rsidR="001B3161" w:rsidRPr="00B14447">
        <w:rPr>
          <w:rFonts w:ascii="Times New Roman" w:hAnsi="Times New Roman"/>
        </w:rPr>
        <w:t>1(a) was not abandoned</w:t>
      </w:r>
      <w:r w:rsidR="00A623D3" w:rsidRPr="00B14447">
        <w:rPr>
          <w:rFonts w:ascii="Times New Roman" w:hAnsi="Times New Roman"/>
        </w:rPr>
        <w:t>,</w:t>
      </w:r>
      <w:r w:rsidR="001B3161" w:rsidRPr="00B14447">
        <w:rPr>
          <w:rFonts w:ascii="Times New Roman" w:hAnsi="Times New Roman"/>
        </w:rPr>
        <w:t xml:space="preserve"> it must be </w:t>
      </w:r>
      <w:r w:rsidR="0039508B" w:rsidRPr="00B14447">
        <w:rPr>
          <w:rFonts w:ascii="Times New Roman" w:hAnsi="Times New Roman"/>
        </w:rPr>
        <w:t>dismissed</w:t>
      </w:r>
      <w:r w:rsidR="00D5447F" w:rsidRPr="00B14447">
        <w:rPr>
          <w:rFonts w:ascii="Times New Roman" w:hAnsi="Times New Roman"/>
        </w:rPr>
        <w:t xml:space="preserve"> and</w:t>
      </w:r>
      <w:r w:rsidR="00582EF2" w:rsidRPr="00B14447">
        <w:rPr>
          <w:rFonts w:ascii="Times New Roman" w:hAnsi="Times New Roman"/>
        </w:rPr>
        <w:t>,</w:t>
      </w:r>
      <w:r w:rsidR="00D5447F" w:rsidRPr="00B14447">
        <w:rPr>
          <w:rFonts w:ascii="Times New Roman" w:hAnsi="Times New Roman"/>
        </w:rPr>
        <w:t xml:space="preserve"> as a result, ground</w:t>
      </w:r>
      <w:r w:rsidR="00BE1A31" w:rsidRPr="00B14447">
        <w:rPr>
          <w:rFonts w:ascii="Times New Roman" w:hAnsi="Times New Roman"/>
        </w:rPr>
        <w:t> </w:t>
      </w:r>
      <w:r w:rsidR="00D5447F" w:rsidRPr="00B14447">
        <w:rPr>
          <w:rFonts w:ascii="Times New Roman" w:hAnsi="Times New Roman"/>
        </w:rPr>
        <w:t>1(b) is not reached</w:t>
      </w:r>
      <w:r w:rsidR="0039508B" w:rsidRPr="00B14447">
        <w:rPr>
          <w:rFonts w:ascii="Times New Roman" w:hAnsi="Times New Roman"/>
        </w:rPr>
        <w:t>.</w:t>
      </w:r>
    </w:p>
    <w:p w14:paraId="3B9A09FB" w14:textId="5563CC6B" w:rsidR="00A10558" w:rsidRPr="00B14447" w:rsidRDefault="00DD62FF" w:rsidP="00B14447">
      <w:pPr>
        <w:pStyle w:val="HeadingL2"/>
        <w:spacing w:after="260" w:line="280" w:lineRule="exact"/>
        <w:ind w:right="0"/>
        <w:jc w:val="both"/>
        <w:rPr>
          <w:rFonts w:ascii="Times New Roman" w:hAnsi="Times New Roman"/>
        </w:rPr>
      </w:pPr>
      <w:r w:rsidRPr="00B14447">
        <w:rPr>
          <w:rFonts w:ascii="Times New Roman" w:hAnsi="Times New Roman"/>
        </w:rPr>
        <w:t>(2)</w:t>
      </w:r>
      <w:r w:rsidR="001251DC" w:rsidRPr="00B14447">
        <w:rPr>
          <w:rFonts w:ascii="Times New Roman" w:hAnsi="Times New Roman"/>
        </w:rPr>
        <w:tab/>
      </w:r>
      <w:r w:rsidR="00DF485B" w:rsidRPr="00B14447">
        <w:rPr>
          <w:rFonts w:ascii="Times New Roman" w:hAnsi="Times New Roman"/>
        </w:rPr>
        <w:t>S</w:t>
      </w:r>
      <w:r w:rsidR="00665638" w:rsidRPr="00B14447">
        <w:rPr>
          <w:rFonts w:ascii="Times New Roman" w:hAnsi="Times New Roman"/>
        </w:rPr>
        <w:t xml:space="preserve">econd ground </w:t>
      </w:r>
      <w:r w:rsidR="00A623D3" w:rsidRPr="00B14447">
        <w:rPr>
          <w:rFonts w:ascii="Times New Roman" w:hAnsi="Times New Roman"/>
        </w:rPr>
        <w:t xml:space="preserve">of appeal </w:t>
      </w:r>
      <w:r w:rsidR="00DF485B" w:rsidRPr="00B14447">
        <w:rPr>
          <w:rFonts w:ascii="Times New Roman" w:hAnsi="Times New Roman"/>
        </w:rPr>
        <w:t xml:space="preserve">– </w:t>
      </w:r>
      <w:r w:rsidR="00833B29" w:rsidRPr="00B14447">
        <w:rPr>
          <w:rFonts w:ascii="Times New Roman" w:hAnsi="Times New Roman"/>
          <w:bCs/>
        </w:rPr>
        <w:t xml:space="preserve">failure to </w:t>
      </w:r>
      <w:r w:rsidR="000908E3" w:rsidRPr="00B14447">
        <w:rPr>
          <w:rFonts w:ascii="Times New Roman" w:hAnsi="Times New Roman"/>
          <w:bCs/>
        </w:rPr>
        <w:t xml:space="preserve">find, by </w:t>
      </w:r>
      <w:r w:rsidR="00833B29" w:rsidRPr="00B14447">
        <w:rPr>
          <w:rFonts w:ascii="Times New Roman" w:hAnsi="Times New Roman"/>
          <w:bCs/>
        </w:rPr>
        <w:t>inference from the evidence</w:t>
      </w:r>
      <w:r w:rsidR="000908E3" w:rsidRPr="00B14447">
        <w:rPr>
          <w:rFonts w:ascii="Times New Roman" w:hAnsi="Times New Roman"/>
          <w:bCs/>
        </w:rPr>
        <w:t>, in the absence of the interlocutory injunction</w:t>
      </w:r>
      <w:r w:rsidR="00B13244" w:rsidRPr="00B14447">
        <w:rPr>
          <w:rFonts w:ascii="Times New Roman" w:hAnsi="Times New Roman"/>
          <w:bCs/>
        </w:rPr>
        <w:t>,</w:t>
      </w:r>
      <w:r w:rsidR="000908E3" w:rsidRPr="00B14447">
        <w:rPr>
          <w:rFonts w:ascii="Times New Roman" w:hAnsi="Times New Roman"/>
          <w:bCs/>
        </w:rPr>
        <w:t xml:space="preserve"> </w:t>
      </w:r>
      <w:r w:rsidR="002559D9" w:rsidRPr="00B14447">
        <w:rPr>
          <w:rFonts w:ascii="Times New Roman" w:hAnsi="Times New Roman"/>
          <w:bCs/>
        </w:rPr>
        <w:t>that Dr</w:t>
      </w:r>
      <w:r w:rsidR="00D62143" w:rsidRPr="00B14447">
        <w:rPr>
          <w:rFonts w:ascii="Times New Roman" w:hAnsi="Times New Roman"/>
          <w:bCs/>
        </w:rPr>
        <w:t> </w:t>
      </w:r>
      <w:r w:rsidR="002559D9" w:rsidRPr="00B14447">
        <w:rPr>
          <w:rFonts w:ascii="Times New Roman" w:hAnsi="Times New Roman"/>
          <w:bCs/>
        </w:rPr>
        <w:t>Sherman would have reconfirmed the plan for Apotex</w:t>
      </w:r>
      <w:r w:rsidR="002559D9" w:rsidRPr="00B14447">
        <w:rPr>
          <w:rFonts w:ascii="Times New Roman" w:hAnsi="Times New Roman"/>
        </w:rPr>
        <w:t xml:space="preserve"> to seek PBS listing</w:t>
      </w:r>
    </w:p>
    <w:p w14:paraId="5CBB6F67" w14:textId="1E471A28" w:rsidR="00C056CF" w:rsidRPr="00B14447" w:rsidRDefault="00401D97"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C6CCF" w:rsidRPr="00B14447">
        <w:rPr>
          <w:rFonts w:ascii="Times New Roman" w:hAnsi="Times New Roman"/>
        </w:rPr>
        <w:t xml:space="preserve">The </w:t>
      </w:r>
      <w:r w:rsidR="00C056CF" w:rsidRPr="00B14447">
        <w:rPr>
          <w:rFonts w:ascii="Times New Roman" w:hAnsi="Times New Roman"/>
        </w:rPr>
        <w:t>only other ground of appeal in this Court</w:t>
      </w:r>
      <w:r w:rsidR="00AC6CCF" w:rsidRPr="00B14447">
        <w:rPr>
          <w:rFonts w:ascii="Times New Roman" w:hAnsi="Times New Roman"/>
        </w:rPr>
        <w:t xml:space="preserve"> was</w:t>
      </w:r>
      <w:r w:rsidRPr="00B14447">
        <w:rPr>
          <w:rFonts w:ascii="Times New Roman" w:hAnsi="Times New Roman"/>
        </w:rPr>
        <w:t xml:space="preserve"> </w:t>
      </w:r>
      <w:r w:rsidR="002E6FE3" w:rsidRPr="00B14447">
        <w:rPr>
          <w:rFonts w:ascii="Times New Roman" w:hAnsi="Times New Roman"/>
        </w:rPr>
        <w:t xml:space="preserve">that </w:t>
      </w:r>
      <w:r w:rsidRPr="00B14447">
        <w:rPr>
          <w:rFonts w:ascii="Times New Roman" w:hAnsi="Times New Roman"/>
        </w:rPr>
        <w:t xml:space="preserve">the Full Court erred in failing to find, </w:t>
      </w:r>
      <w:r w:rsidRPr="00B14447">
        <w:rPr>
          <w:rFonts w:ascii="Times New Roman" w:hAnsi="Times New Roman"/>
          <w:i/>
          <w:iCs/>
        </w:rPr>
        <w:t>by inference from the evidence</w:t>
      </w:r>
      <w:r w:rsidRPr="00B14447">
        <w:rPr>
          <w:rFonts w:ascii="Times New Roman" w:hAnsi="Times New Roman"/>
        </w:rPr>
        <w:t>, that in the absence of the interlocutory injunction, it was likely that Dr</w:t>
      </w:r>
      <w:r w:rsidR="004B6D5B" w:rsidRPr="00B14447">
        <w:rPr>
          <w:rFonts w:ascii="Times New Roman" w:hAnsi="Times New Roman"/>
        </w:rPr>
        <w:t> </w:t>
      </w:r>
      <w:r w:rsidRPr="00B14447">
        <w:rPr>
          <w:rFonts w:ascii="Times New Roman" w:hAnsi="Times New Roman"/>
        </w:rPr>
        <w:t xml:space="preserve">Sherman would have reconfirmed the plan </w:t>
      </w:r>
      <w:r w:rsidR="000A500D" w:rsidRPr="00B14447">
        <w:rPr>
          <w:rFonts w:ascii="Times New Roman" w:hAnsi="Times New Roman"/>
        </w:rPr>
        <w:t xml:space="preserve">for Apotex </w:t>
      </w:r>
      <w:r w:rsidRPr="00B14447">
        <w:rPr>
          <w:rFonts w:ascii="Times New Roman" w:hAnsi="Times New Roman"/>
        </w:rPr>
        <w:t xml:space="preserve">to seek PBS listing. </w:t>
      </w:r>
    </w:p>
    <w:p w14:paraId="72435484" w14:textId="32855525" w:rsidR="00024C1A" w:rsidRPr="00B14447" w:rsidRDefault="00C056CF"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31596F" w:rsidRPr="00B14447">
        <w:rPr>
          <w:rFonts w:ascii="Times New Roman" w:hAnsi="Times New Roman"/>
        </w:rPr>
        <w:t>O</w:t>
      </w:r>
      <w:r w:rsidR="00B25E33" w:rsidRPr="00B14447">
        <w:rPr>
          <w:rFonts w:ascii="Times New Roman" w:hAnsi="Times New Roman"/>
        </w:rPr>
        <w:t>n its face,</w:t>
      </w:r>
      <w:r w:rsidR="009C1B49" w:rsidRPr="00B14447">
        <w:rPr>
          <w:rFonts w:ascii="Times New Roman" w:hAnsi="Times New Roman"/>
        </w:rPr>
        <w:t xml:space="preserve"> </w:t>
      </w:r>
      <w:r w:rsidR="0027105C" w:rsidRPr="00B14447">
        <w:rPr>
          <w:rFonts w:ascii="Times New Roman" w:hAnsi="Times New Roman"/>
        </w:rPr>
        <w:t xml:space="preserve">the second ground </w:t>
      </w:r>
      <w:r w:rsidR="00CF0A27" w:rsidRPr="00B14447">
        <w:rPr>
          <w:rFonts w:ascii="Times New Roman" w:hAnsi="Times New Roman"/>
        </w:rPr>
        <w:t xml:space="preserve">of appeal </w:t>
      </w:r>
      <w:r w:rsidR="00550483" w:rsidRPr="00B14447">
        <w:rPr>
          <w:rFonts w:ascii="Times New Roman" w:hAnsi="Times New Roman"/>
        </w:rPr>
        <w:t xml:space="preserve">may appear </w:t>
      </w:r>
      <w:r w:rsidR="0027105C" w:rsidRPr="00B14447">
        <w:rPr>
          <w:rFonts w:ascii="Times New Roman" w:hAnsi="Times New Roman"/>
        </w:rPr>
        <w:t xml:space="preserve">to be </w:t>
      </w:r>
      <w:r w:rsidR="008C3534" w:rsidRPr="00B14447">
        <w:rPr>
          <w:rFonts w:ascii="Times New Roman" w:hAnsi="Times New Roman"/>
        </w:rPr>
        <w:t>a</w:t>
      </w:r>
      <w:r w:rsidR="0027105C" w:rsidRPr="00B14447">
        <w:rPr>
          <w:rFonts w:ascii="Times New Roman" w:hAnsi="Times New Roman"/>
        </w:rPr>
        <w:t xml:space="preserve">n open-ended invitation for this Court </w:t>
      </w:r>
      <w:r w:rsidR="00727E33" w:rsidRPr="00B14447">
        <w:rPr>
          <w:rFonts w:ascii="Times New Roman" w:hAnsi="Times New Roman"/>
        </w:rPr>
        <w:t xml:space="preserve">to conduct a new trial, albeit without any new evidence, of the central issue that had been decided </w:t>
      </w:r>
      <w:r w:rsidR="008509E8" w:rsidRPr="00B14447">
        <w:rPr>
          <w:rFonts w:ascii="Times New Roman" w:hAnsi="Times New Roman"/>
        </w:rPr>
        <w:t xml:space="preserve">unanimously by the primary judge and the Full Court </w:t>
      </w:r>
      <w:r w:rsidR="003674F5" w:rsidRPr="00B14447">
        <w:rPr>
          <w:rFonts w:ascii="Times New Roman" w:hAnsi="Times New Roman"/>
        </w:rPr>
        <w:t>against the Commonwealth</w:t>
      </w:r>
      <w:r w:rsidR="009C1B49" w:rsidRPr="00B14447">
        <w:rPr>
          <w:rFonts w:ascii="Times New Roman" w:hAnsi="Times New Roman"/>
        </w:rPr>
        <w:t xml:space="preserve">. </w:t>
      </w:r>
      <w:r w:rsidR="007C5ACF" w:rsidRPr="00B14447">
        <w:rPr>
          <w:rFonts w:ascii="Times New Roman" w:hAnsi="Times New Roman"/>
        </w:rPr>
        <w:t>Th</w:t>
      </w:r>
      <w:r w:rsidR="00C02598" w:rsidRPr="00B14447">
        <w:rPr>
          <w:rFonts w:ascii="Times New Roman" w:hAnsi="Times New Roman"/>
        </w:rPr>
        <w:t xml:space="preserve">at </w:t>
      </w:r>
      <w:r w:rsidR="00FA5F20" w:rsidRPr="00B14447">
        <w:rPr>
          <w:rFonts w:ascii="Times New Roman" w:hAnsi="Times New Roman"/>
        </w:rPr>
        <w:t>approach to</w:t>
      </w:r>
      <w:r w:rsidR="00C02598" w:rsidRPr="00B14447">
        <w:rPr>
          <w:rFonts w:ascii="Times New Roman" w:hAnsi="Times New Roman"/>
        </w:rPr>
        <w:t xml:space="preserve"> the</w:t>
      </w:r>
      <w:r w:rsidR="007C5ACF" w:rsidRPr="00B14447">
        <w:rPr>
          <w:rFonts w:ascii="Times New Roman" w:hAnsi="Times New Roman"/>
        </w:rPr>
        <w:t xml:space="preserve"> second ground of appeal was not </w:t>
      </w:r>
      <w:r w:rsidR="00C02598" w:rsidRPr="00B14447">
        <w:rPr>
          <w:rFonts w:ascii="Times New Roman" w:hAnsi="Times New Roman"/>
        </w:rPr>
        <w:t xml:space="preserve">how it was </w:t>
      </w:r>
      <w:r w:rsidR="007C5ACF" w:rsidRPr="00B14447">
        <w:rPr>
          <w:rFonts w:ascii="Times New Roman" w:hAnsi="Times New Roman"/>
        </w:rPr>
        <w:t>initially conceived</w:t>
      </w:r>
      <w:r w:rsidR="00C02598" w:rsidRPr="00B14447">
        <w:rPr>
          <w:rFonts w:ascii="Times New Roman" w:hAnsi="Times New Roman"/>
        </w:rPr>
        <w:t xml:space="preserve"> by the Commonwealth. </w:t>
      </w:r>
      <w:r w:rsidR="0099450B" w:rsidRPr="00B14447">
        <w:rPr>
          <w:rFonts w:ascii="Times New Roman" w:hAnsi="Times New Roman"/>
        </w:rPr>
        <w:t xml:space="preserve">In seeking special leave to appeal, </w:t>
      </w:r>
      <w:r w:rsidR="00486CF7" w:rsidRPr="00B14447">
        <w:rPr>
          <w:rFonts w:ascii="Times New Roman" w:hAnsi="Times New Roman"/>
        </w:rPr>
        <w:t xml:space="preserve">the proposed second </w:t>
      </w:r>
      <w:r w:rsidR="006A24F1" w:rsidRPr="00B14447">
        <w:rPr>
          <w:rFonts w:ascii="Times New Roman" w:hAnsi="Times New Roman"/>
        </w:rPr>
        <w:t>ground</w:t>
      </w:r>
      <w:r w:rsidR="00486CF7" w:rsidRPr="00B14447">
        <w:rPr>
          <w:rFonts w:ascii="Times New Roman" w:hAnsi="Times New Roman"/>
        </w:rPr>
        <w:t xml:space="preserve"> of appeal</w:t>
      </w:r>
      <w:r w:rsidR="002D7C71" w:rsidRPr="00B14447">
        <w:rPr>
          <w:rFonts w:ascii="Times New Roman" w:hAnsi="Times New Roman"/>
        </w:rPr>
        <w:t xml:space="preserve"> </w:t>
      </w:r>
      <w:r w:rsidR="0099450B" w:rsidRPr="00B14447">
        <w:rPr>
          <w:rFonts w:ascii="Times New Roman" w:hAnsi="Times New Roman"/>
        </w:rPr>
        <w:t xml:space="preserve">was framed as </w:t>
      </w:r>
      <w:r w:rsidR="004A40A6" w:rsidRPr="00B14447">
        <w:rPr>
          <w:rFonts w:ascii="Times New Roman" w:hAnsi="Times New Roman"/>
        </w:rPr>
        <w:t xml:space="preserve">a </w:t>
      </w:r>
      <w:r w:rsidR="00BB5247" w:rsidRPr="00B14447">
        <w:rPr>
          <w:rFonts w:ascii="Times New Roman" w:hAnsi="Times New Roman"/>
        </w:rPr>
        <w:t xml:space="preserve">mixed </w:t>
      </w:r>
      <w:r w:rsidR="004A40A6" w:rsidRPr="00B14447">
        <w:rPr>
          <w:rFonts w:ascii="Times New Roman" w:hAnsi="Times New Roman"/>
        </w:rPr>
        <w:t>question of law</w:t>
      </w:r>
      <w:r w:rsidR="00BB5247" w:rsidRPr="00B14447">
        <w:rPr>
          <w:rFonts w:ascii="Times New Roman" w:hAnsi="Times New Roman"/>
        </w:rPr>
        <w:t xml:space="preserve"> and fact</w:t>
      </w:r>
      <w:r w:rsidR="00491AE3" w:rsidRPr="00B14447">
        <w:rPr>
          <w:rFonts w:ascii="Times New Roman" w:hAnsi="Times New Roman"/>
        </w:rPr>
        <w:t xml:space="preserve"> with the second ground as a</w:t>
      </w:r>
      <w:r w:rsidR="004D409F" w:rsidRPr="00B14447">
        <w:rPr>
          <w:rFonts w:ascii="Times New Roman" w:hAnsi="Times New Roman"/>
        </w:rPr>
        <w:t xml:space="preserve"> confined</w:t>
      </w:r>
      <w:r w:rsidR="00C11D95" w:rsidRPr="00B14447">
        <w:rPr>
          <w:rFonts w:ascii="Times New Roman" w:hAnsi="Times New Roman"/>
        </w:rPr>
        <w:t xml:space="preserve"> application of the first ground. </w:t>
      </w:r>
      <w:r w:rsidR="00552D53" w:rsidRPr="00B14447">
        <w:rPr>
          <w:rFonts w:ascii="Times New Roman" w:hAnsi="Times New Roman"/>
        </w:rPr>
        <w:t>And on this appeal, t</w:t>
      </w:r>
      <w:r w:rsidR="004D409F" w:rsidRPr="00B14447">
        <w:rPr>
          <w:rFonts w:ascii="Times New Roman" w:hAnsi="Times New Roman"/>
        </w:rPr>
        <w:t xml:space="preserve">he Commonwealth's written submissions in support of the second ground comprised less than two pages in total. The submissions were properly and understandably short because the second ground of appeal </w:t>
      </w:r>
      <w:r w:rsidR="007D6AD5" w:rsidRPr="00B14447">
        <w:rPr>
          <w:rFonts w:ascii="Times New Roman" w:hAnsi="Times New Roman"/>
        </w:rPr>
        <w:t xml:space="preserve">had been conceived as </w:t>
      </w:r>
      <w:r w:rsidR="00703A40" w:rsidRPr="00B14447">
        <w:rPr>
          <w:rFonts w:ascii="Times New Roman" w:hAnsi="Times New Roman"/>
        </w:rPr>
        <w:t>dependent upon acceptance</w:t>
      </w:r>
      <w:r w:rsidR="004D409F" w:rsidRPr="00B14447">
        <w:rPr>
          <w:rFonts w:ascii="Times New Roman" w:hAnsi="Times New Roman"/>
        </w:rPr>
        <w:t xml:space="preserve"> of the first.</w:t>
      </w:r>
      <w:r w:rsidR="00225988" w:rsidRPr="00B14447">
        <w:rPr>
          <w:rFonts w:ascii="Times New Roman" w:hAnsi="Times New Roman"/>
        </w:rPr>
        <w:t xml:space="preserve"> </w:t>
      </w:r>
      <w:r w:rsidR="002E6FE3" w:rsidRPr="00B14447">
        <w:rPr>
          <w:rFonts w:ascii="Times New Roman" w:hAnsi="Times New Roman"/>
        </w:rPr>
        <w:t>The Commonwealth's written submissions had one sentence which read "[t]he evidence showed that Dr Sherman's decision to launch clopidogrel at risk in Australia was not 'provisional' on 27 June 2007 or at any time before the interlocutory hearing". In support of that sentence, the Commonwealth referred to and relied upon earlier paragraphs in its written submissions which, in turn, referred to other documents and the cross-examination of Mr Millichamp, the Managing Director of Apotex Australi</w:t>
      </w:r>
      <w:r w:rsidR="00F0229F" w:rsidRPr="00B14447">
        <w:rPr>
          <w:rFonts w:ascii="Times New Roman" w:hAnsi="Times New Roman"/>
        </w:rPr>
        <w:t>a</w:t>
      </w:r>
      <w:r w:rsidR="002E6FE3" w:rsidRPr="00B14447">
        <w:rPr>
          <w:rFonts w:ascii="Times New Roman" w:hAnsi="Times New Roman"/>
        </w:rPr>
        <w:t xml:space="preserve"> at all relevant times</w:t>
      </w:r>
      <w:r w:rsidR="0009716B" w:rsidRPr="00B14447">
        <w:rPr>
          <w:rFonts w:ascii="Times New Roman" w:hAnsi="Times New Roman"/>
        </w:rPr>
        <w:t>.</w:t>
      </w:r>
    </w:p>
    <w:p w14:paraId="36118FBC" w14:textId="1893D95B" w:rsidR="008C2FFA" w:rsidRPr="00B14447" w:rsidRDefault="00785CFC"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r>
      <w:r w:rsidR="003E077E" w:rsidRPr="00B14447">
        <w:rPr>
          <w:rFonts w:ascii="Times New Roman" w:hAnsi="Times New Roman"/>
        </w:rPr>
        <w:t>The submissions for the</w:t>
      </w:r>
      <w:r w:rsidR="007D1B41" w:rsidRPr="00B14447">
        <w:rPr>
          <w:rFonts w:ascii="Times New Roman" w:hAnsi="Times New Roman"/>
        </w:rPr>
        <w:t xml:space="preserve"> </w:t>
      </w:r>
      <w:r w:rsidR="003E077E" w:rsidRPr="00B14447">
        <w:rPr>
          <w:rFonts w:ascii="Times New Roman" w:hAnsi="Times New Roman"/>
        </w:rPr>
        <w:t>Commonwealth</w:t>
      </w:r>
      <w:r w:rsidR="007D1B41" w:rsidRPr="00B14447">
        <w:rPr>
          <w:rFonts w:ascii="Times New Roman" w:hAnsi="Times New Roman"/>
        </w:rPr>
        <w:t xml:space="preserve"> were</w:t>
      </w:r>
      <w:r w:rsidR="003E077E" w:rsidRPr="00B14447">
        <w:rPr>
          <w:rFonts w:ascii="Times New Roman" w:hAnsi="Times New Roman"/>
        </w:rPr>
        <w:t xml:space="preserve"> meticulously </w:t>
      </w:r>
      <w:r w:rsidR="0082000E" w:rsidRPr="00B14447">
        <w:rPr>
          <w:rFonts w:ascii="Times New Roman" w:hAnsi="Times New Roman"/>
        </w:rPr>
        <w:t xml:space="preserve">and </w:t>
      </w:r>
      <w:r w:rsidR="006C5A71" w:rsidRPr="00B14447">
        <w:rPr>
          <w:rFonts w:ascii="Times New Roman" w:hAnsi="Times New Roman"/>
        </w:rPr>
        <w:t xml:space="preserve">powerfully </w:t>
      </w:r>
      <w:r w:rsidR="003E077E" w:rsidRPr="00B14447">
        <w:rPr>
          <w:rFonts w:ascii="Times New Roman" w:hAnsi="Times New Roman"/>
        </w:rPr>
        <w:t>presented</w:t>
      </w:r>
      <w:r w:rsidR="00061328" w:rsidRPr="00B14447">
        <w:rPr>
          <w:rFonts w:ascii="Times New Roman" w:hAnsi="Times New Roman"/>
        </w:rPr>
        <w:t xml:space="preserve"> but must be rejected</w:t>
      </w:r>
      <w:r w:rsidR="007D1B41" w:rsidRPr="00B14447">
        <w:rPr>
          <w:rFonts w:ascii="Times New Roman" w:hAnsi="Times New Roman"/>
        </w:rPr>
        <w:t xml:space="preserve">. </w:t>
      </w:r>
      <w:r w:rsidR="00061328" w:rsidRPr="00B14447">
        <w:rPr>
          <w:rFonts w:ascii="Times New Roman" w:hAnsi="Times New Roman"/>
        </w:rPr>
        <w:t xml:space="preserve"> </w:t>
      </w:r>
      <w:r w:rsidR="00024C1A" w:rsidRPr="00B14447">
        <w:rPr>
          <w:rFonts w:ascii="Times New Roman" w:hAnsi="Times New Roman"/>
        </w:rPr>
        <w:t>First, as will be explained, it is contrary to principle to undertake such an inquiry</w:t>
      </w:r>
      <w:r w:rsidR="00344D35" w:rsidRPr="00B14447">
        <w:rPr>
          <w:rFonts w:ascii="Times New Roman" w:hAnsi="Times New Roman"/>
        </w:rPr>
        <w:t xml:space="preserve">, or challenge </w:t>
      </w:r>
      <w:r w:rsidR="004D1EFA" w:rsidRPr="00B14447">
        <w:rPr>
          <w:rFonts w:ascii="Times New Roman" w:hAnsi="Times New Roman"/>
        </w:rPr>
        <w:t>concurrent findings of fact</w:t>
      </w:r>
      <w:r w:rsidR="00D832C7" w:rsidRPr="00B14447">
        <w:rPr>
          <w:rFonts w:ascii="Times New Roman" w:hAnsi="Times New Roman"/>
        </w:rPr>
        <w:t>,</w:t>
      </w:r>
      <w:r w:rsidR="00024C1A" w:rsidRPr="00B14447">
        <w:rPr>
          <w:rFonts w:ascii="Times New Roman" w:hAnsi="Times New Roman"/>
        </w:rPr>
        <w:t xml:space="preserve"> where </w:t>
      </w:r>
      <w:r w:rsidR="000E592D" w:rsidRPr="00B14447">
        <w:rPr>
          <w:rFonts w:ascii="Times New Roman" w:hAnsi="Times New Roman"/>
        </w:rPr>
        <w:t xml:space="preserve">the appeal does not concern any individual rights, nor expose any plain injustice and </w:t>
      </w:r>
      <w:r w:rsidR="00024C1A" w:rsidRPr="00B14447">
        <w:rPr>
          <w:rFonts w:ascii="Times New Roman" w:hAnsi="Times New Roman"/>
        </w:rPr>
        <w:t xml:space="preserve">the </w:t>
      </w:r>
      <w:r w:rsidR="002004FA" w:rsidRPr="00B14447">
        <w:rPr>
          <w:rFonts w:ascii="Times New Roman" w:hAnsi="Times New Roman"/>
        </w:rPr>
        <w:t xml:space="preserve">findings </w:t>
      </w:r>
      <w:r w:rsidR="00024C1A" w:rsidRPr="00B14447">
        <w:rPr>
          <w:rFonts w:ascii="Times New Roman" w:hAnsi="Times New Roman"/>
        </w:rPr>
        <w:t xml:space="preserve">of both courts below were </w:t>
      </w:r>
      <w:r w:rsidR="002004FA" w:rsidRPr="00B14447">
        <w:rPr>
          <w:rFonts w:ascii="Times New Roman" w:hAnsi="Times New Roman"/>
        </w:rPr>
        <w:t xml:space="preserve">open and </w:t>
      </w:r>
      <w:r w:rsidR="00024C1A" w:rsidRPr="00B14447">
        <w:rPr>
          <w:rFonts w:ascii="Times New Roman" w:hAnsi="Times New Roman"/>
        </w:rPr>
        <w:t>not clearly wrong. Second,</w:t>
      </w:r>
      <w:r w:rsidR="0053140B" w:rsidRPr="00B14447">
        <w:rPr>
          <w:rFonts w:ascii="Times New Roman" w:hAnsi="Times New Roman"/>
        </w:rPr>
        <w:t> </w:t>
      </w:r>
      <w:r w:rsidR="00024C1A" w:rsidRPr="00B14447">
        <w:rPr>
          <w:rFonts w:ascii="Times New Roman" w:hAnsi="Times New Roman"/>
        </w:rPr>
        <w:t xml:space="preserve">the Commonwealth's </w:t>
      </w:r>
      <w:r w:rsidR="00B275C2" w:rsidRPr="00B14447">
        <w:rPr>
          <w:rFonts w:ascii="Times New Roman" w:hAnsi="Times New Roman"/>
        </w:rPr>
        <w:t xml:space="preserve">oral submissions and its case as </w:t>
      </w:r>
      <w:r w:rsidR="00617D8F" w:rsidRPr="00B14447">
        <w:rPr>
          <w:rFonts w:ascii="Times New Roman" w:hAnsi="Times New Roman"/>
        </w:rPr>
        <w:t xml:space="preserve">properly </w:t>
      </w:r>
      <w:r w:rsidR="00B275C2" w:rsidRPr="00B14447">
        <w:rPr>
          <w:rFonts w:ascii="Times New Roman" w:hAnsi="Times New Roman"/>
        </w:rPr>
        <w:t xml:space="preserve">framed in </w:t>
      </w:r>
      <w:r w:rsidR="00A41E05" w:rsidRPr="00B14447">
        <w:rPr>
          <w:rFonts w:ascii="Times New Roman" w:hAnsi="Times New Roman"/>
        </w:rPr>
        <w:t>its</w:t>
      </w:r>
      <w:r w:rsidR="00B275C2" w:rsidRPr="00B14447">
        <w:rPr>
          <w:rFonts w:ascii="Times New Roman" w:hAnsi="Times New Roman"/>
        </w:rPr>
        <w:t xml:space="preserve"> special leave application </w:t>
      </w:r>
      <w:r w:rsidR="00AC015C" w:rsidRPr="00B14447">
        <w:rPr>
          <w:rFonts w:ascii="Times New Roman" w:hAnsi="Times New Roman"/>
        </w:rPr>
        <w:t xml:space="preserve">and written appeal submissions </w:t>
      </w:r>
      <w:r w:rsidR="00024C1A" w:rsidRPr="00B14447">
        <w:rPr>
          <w:rFonts w:ascii="Times New Roman" w:hAnsi="Times New Roman"/>
        </w:rPr>
        <w:t>in this Court</w:t>
      </w:r>
      <w:r w:rsidR="00170AC0" w:rsidRPr="00B14447">
        <w:rPr>
          <w:rFonts w:ascii="Times New Roman" w:hAnsi="Times New Roman"/>
        </w:rPr>
        <w:t>,</w:t>
      </w:r>
      <w:r w:rsidR="00024C1A" w:rsidRPr="00B14447">
        <w:rPr>
          <w:rFonts w:ascii="Times New Roman" w:hAnsi="Times New Roman"/>
        </w:rPr>
        <w:t xml:space="preserve"> were inconsistent</w:t>
      </w:r>
      <w:r w:rsidR="004426CF" w:rsidRPr="00B14447">
        <w:rPr>
          <w:rFonts w:ascii="Times New Roman" w:hAnsi="Times New Roman"/>
        </w:rPr>
        <w:t xml:space="preserve"> with such a</w:t>
      </w:r>
      <w:r w:rsidR="00EF4FD8" w:rsidRPr="00B14447">
        <w:rPr>
          <w:rFonts w:ascii="Times New Roman" w:hAnsi="Times New Roman"/>
        </w:rPr>
        <w:t>n</w:t>
      </w:r>
      <w:r w:rsidR="004426CF" w:rsidRPr="00B14447">
        <w:rPr>
          <w:rFonts w:ascii="Times New Roman" w:hAnsi="Times New Roman"/>
        </w:rPr>
        <w:t xml:space="preserve"> </w:t>
      </w:r>
      <w:r w:rsidR="006E3F6B" w:rsidRPr="00B14447">
        <w:rPr>
          <w:rFonts w:ascii="Times New Roman" w:hAnsi="Times New Roman"/>
        </w:rPr>
        <w:t>inquiry</w:t>
      </w:r>
      <w:r w:rsidR="00024C1A" w:rsidRPr="00B14447">
        <w:rPr>
          <w:rFonts w:ascii="Times New Roman" w:hAnsi="Times New Roman"/>
        </w:rPr>
        <w:t xml:space="preserve">. </w:t>
      </w:r>
    </w:p>
    <w:p w14:paraId="04B77696" w14:textId="066CA828" w:rsidR="00C36C99" w:rsidRPr="00B14447" w:rsidRDefault="003A3D5D" w:rsidP="00B14447">
      <w:pPr>
        <w:pStyle w:val="FixListStyle"/>
        <w:spacing w:after="260" w:line="280" w:lineRule="exact"/>
        <w:ind w:right="0"/>
        <w:jc w:val="both"/>
        <w:rPr>
          <w:rFonts w:ascii="Times New Roman" w:hAnsi="Times New Roman"/>
        </w:rPr>
      </w:pPr>
      <w:r w:rsidRPr="00B14447">
        <w:rPr>
          <w:rFonts w:ascii="Times New Roman" w:hAnsi="Times New Roman"/>
        </w:rPr>
        <w:tab/>
        <w:t>T</w:t>
      </w:r>
      <w:r w:rsidR="003240CB" w:rsidRPr="00B14447">
        <w:rPr>
          <w:rFonts w:ascii="Times New Roman" w:hAnsi="Times New Roman"/>
        </w:rPr>
        <w:t xml:space="preserve">wo matters should be </w:t>
      </w:r>
      <w:r w:rsidR="00D231EE" w:rsidRPr="00B14447">
        <w:rPr>
          <w:rFonts w:ascii="Times New Roman" w:hAnsi="Times New Roman"/>
        </w:rPr>
        <w:t>emphasised</w:t>
      </w:r>
      <w:r w:rsidR="003240CB" w:rsidRPr="00B14447">
        <w:rPr>
          <w:rFonts w:ascii="Times New Roman" w:hAnsi="Times New Roman"/>
        </w:rPr>
        <w:t xml:space="preserve"> at the outset</w:t>
      </w:r>
      <w:r w:rsidR="003155A9" w:rsidRPr="00B14447">
        <w:rPr>
          <w:rFonts w:ascii="Times New Roman" w:hAnsi="Times New Roman"/>
        </w:rPr>
        <w:t xml:space="preserve">. </w:t>
      </w:r>
      <w:r w:rsidRPr="00B14447">
        <w:rPr>
          <w:rFonts w:ascii="Times New Roman" w:hAnsi="Times New Roman"/>
        </w:rPr>
        <w:t>First,</w:t>
      </w:r>
      <w:r w:rsidR="008E491A" w:rsidRPr="00B14447">
        <w:rPr>
          <w:rFonts w:ascii="Times New Roman" w:hAnsi="Times New Roman"/>
        </w:rPr>
        <w:t> </w:t>
      </w:r>
      <w:r w:rsidRPr="00B14447">
        <w:rPr>
          <w:rFonts w:ascii="Times New Roman" w:hAnsi="Times New Roman"/>
        </w:rPr>
        <w:t>t</w:t>
      </w:r>
      <w:r w:rsidR="004D6988" w:rsidRPr="00B14447">
        <w:rPr>
          <w:rFonts w:ascii="Times New Roman" w:hAnsi="Times New Roman"/>
        </w:rPr>
        <w:t xml:space="preserve">he Commonwealth's appeal </w:t>
      </w:r>
      <w:r w:rsidR="0038768D" w:rsidRPr="00B14447">
        <w:rPr>
          <w:rFonts w:ascii="Times New Roman" w:hAnsi="Times New Roman"/>
        </w:rPr>
        <w:t xml:space="preserve">to the Full Court </w:t>
      </w:r>
      <w:r w:rsidR="004D6988" w:rsidRPr="00B14447">
        <w:rPr>
          <w:rFonts w:ascii="Times New Roman" w:hAnsi="Times New Roman"/>
        </w:rPr>
        <w:t xml:space="preserve">against the fact finding of the primary judge was not </w:t>
      </w:r>
      <w:r w:rsidR="001234CF" w:rsidRPr="00B14447">
        <w:rPr>
          <w:rFonts w:ascii="Times New Roman" w:hAnsi="Times New Roman"/>
        </w:rPr>
        <w:t xml:space="preserve">simply dismissed. The findings </w:t>
      </w:r>
      <w:r w:rsidR="007725F9" w:rsidRPr="00B14447">
        <w:rPr>
          <w:rFonts w:ascii="Times New Roman" w:hAnsi="Times New Roman"/>
        </w:rPr>
        <w:t xml:space="preserve">of fact </w:t>
      </w:r>
      <w:r w:rsidR="001234CF" w:rsidRPr="00B14447">
        <w:rPr>
          <w:rFonts w:ascii="Times New Roman" w:hAnsi="Times New Roman"/>
        </w:rPr>
        <w:t xml:space="preserve">of the primary judge were </w:t>
      </w:r>
      <w:r w:rsidR="000C440C" w:rsidRPr="00B14447">
        <w:rPr>
          <w:rFonts w:ascii="Times New Roman" w:hAnsi="Times New Roman"/>
        </w:rPr>
        <w:t>relevantly</w:t>
      </w:r>
      <w:r w:rsidR="001234CF" w:rsidRPr="00B14447">
        <w:rPr>
          <w:rFonts w:ascii="Times New Roman" w:hAnsi="Times New Roman"/>
        </w:rPr>
        <w:t xml:space="preserve"> confirmed by the unanimous Full Court.</w:t>
      </w:r>
      <w:r w:rsidR="0038768D" w:rsidRPr="00B14447">
        <w:rPr>
          <w:rFonts w:ascii="Times New Roman" w:hAnsi="Times New Roman"/>
        </w:rPr>
        <w:t xml:space="preserve"> And, second, </w:t>
      </w:r>
      <w:r w:rsidR="00CF0A27" w:rsidRPr="00B14447">
        <w:rPr>
          <w:rFonts w:ascii="Times New Roman" w:hAnsi="Times New Roman"/>
        </w:rPr>
        <w:t xml:space="preserve">neither </w:t>
      </w:r>
      <w:r w:rsidR="0038768D" w:rsidRPr="00B14447">
        <w:rPr>
          <w:rFonts w:ascii="Times New Roman" w:hAnsi="Times New Roman"/>
        </w:rPr>
        <w:t xml:space="preserve">of the Commonwealth's grounds </w:t>
      </w:r>
      <w:r w:rsidR="003943DD" w:rsidRPr="00B14447">
        <w:rPr>
          <w:rFonts w:ascii="Times New Roman" w:hAnsi="Times New Roman"/>
        </w:rPr>
        <w:t xml:space="preserve">of appeal </w:t>
      </w:r>
      <w:r w:rsidR="0038768D" w:rsidRPr="00B14447">
        <w:rPr>
          <w:rFonts w:ascii="Times New Roman" w:hAnsi="Times New Roman"/>
        </w:rPr>
        <w:t>in this Court suggested, let alone asserted, that the Full Court had erred in concluding that the primary judge had addressed, or adequately addressed, one or more of the Commonwealth's submissions at trial or that th</w:t>
      </w:r>
      <w:r w:rsidR="009A5E3D" w:rsidRPr="00B14447">
        <w:rPr>
          <w:rFonts w:ascii="Times New Roman" w:hAnsi="Times New Roman"/>
        </w:rPr>
        <w:t>e</w:t>
      </w:r>
      <w:r w:rsidR="0038768D" w:rsidRPr="00B14447">
        <w:rPr>
          <w:rFonts w:ascii="Times New Roman" w:hAnsi="Times New Roman"/>
        </w:rPr>
        <w:t xml:space="preserve"> Full Court had failed to address one or more of the Commonwealth's submissions on appeal.</w:t>
      </w:r>
      <w:r w:rsidR="00EB3ACB" w:rsidRPr="00B14447">
        <w:rPr>
          <w:rFonts w:ascii="Times New Roman" w:hAnsi="Times New Roman"/>
        </w:rPr>
        <w:t xml:space="preserve"> Nor, unlike the grounds</w:t>
      </w:r>
      <w:r w:rsidR="009A5E3D" w:rsidRPr="00B14447">
        <w:rPr>
          <w:rFonts w:ascii="Times New Roman" w:hAnsi="Times New Roman"/>
        </w:rPr>
        <w:t xml:space="preserve"> of appeal</w:t>
      </w:r>
      <w:r w:rsidR="00EB3ACB" w:rsidRPr="00B14447">
        <w:rPr>
          <w:rFonts w:ascii="Times New Roman" w:hAnsi="Times New Roman"/>
        </w:rPr>
        <w:t xml:space="preserve"> in the Full Court, did the second ground </w:t>
      </w:r>
      <w:r w:rsidR="009A5E3D" w:rsidRPr="00B14447">
        <w:rPr>
          <w:rFonts w:ascii="Times New Roman" w:hAnsi="Times New Roman"/>
        </w:rPr>
        <w:t xml:space="preserve">of appeal </w:t>
      </w:r>
      <w:r w:rsidR="00EB3ACB" w:rsidRPr="00B14447">
        <w:rPr>
          <w:rFonts w:ascii="Times New Roman" w:hAnsi="Times New Roman"/>
        </w:rPr>
        <w:t xml:space="preserve">in this Court </w:t>
      </w:r>
      <w:r w:rsidR="00B562F0" w:rsidRPr="00B14447">
        <w:rPr>
          <w:rFonts w:ascii="Times New Roman" w:hAnsi="Times New Roman"/>
        </w:rPr>
        <w:t xml:space="preserve">expressly </w:t>
      </w:r>
      <w:r w:rsidR="00EB3ACB" w:rsidRPr="00B14447">
        <w:rPr>
          <w:rFonts w:ascii="Times New Roman" w:hAnsi="Times New Roman"/>
        </w:rPr>
        <w:t>challenge the find</w:t>
      </w:r>
      <w:r w:rsidR="000A500D" w:rsidRPr="00B14447">
        <w:rPr>
          <w:rFonts w:ascii="Times New Roman" w:hAnsi="Times New Roman"/>
        </w:rPr>
        <w:t>ing that the Commonwealth had not established that Apotex would have sought and obtained a PBS listing of its clopidog</w:t>
      </w:r>
      <w:r w:rsidR="00491A5A" w:rsidRPr="00B14447">
        <w:rPr>
          <w:rFonts w:ascii="Times New Roman" w:hAnsi="Times New Roman"/>
        </w:rPr>
        <w:t>r</w:t>
      </w:r>
      <w:r w:rsidR="000A500D" w:rsidRPr="00B14447">
        <w:rPr>
          <w:rFonts w:ascii="Times New Roman" w:hAnsi="Times New Roman"/>
        </w:rPr>
        <w:t xml:space="preserve">el products from </w:t>
      </w:r>
      <w:r w:rsidR="00D5351A" w:rsidRPr="00B14447">
        <w:rPr>
          <w:rFonts w:ascii="Times New Roman" w:hAnsi="Times New Roman"/>
        </w:rPr>
        <w:t>1 </w:t>
      </w:r>
      <w:r w:rsidR="000A500D" w:rsidRPr="00B14447">
        <w:rPr>
          <w:rFonts w:ascii="Times New Roman" w:hAnsi="Times New Roman"/>
        </w:rPr>
        <w:t>April 2008 if the interlocutory injunction had not been granted.</w:t>
      </w:r>
    </w:p>
    <w:p w14:paraId="515F672E" w14:textId="31F296C9" w:rsidR="00731ECB" w:rsidRPr="00B14447" w:rsidRDefault="00731ECB"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3A4594" w:rsidRPr="00B14447">
        <w:rPr>
          <w:rFonts w:ascii="Times New Roman" w:hAnsi="Times New Roman"/>
        </w:rPr>
        <w:t xml:space="preserve">The second ground </w:t>
      </w:r>
      <w:r w:rsidR="00136DC8" w:rsidRPr="00B14447">
        <w:rPr>
          <w:rFonts w:ascii="Times New Roman" w:hAnsi="Times New Roman"/>
        </w:rPr>
        <w:t xml:space="preserve">of appeal in this Court </w:t>
      </w:r>
      <w:r w:rsidRPr="00B14447">
        <w:rPr>
          <w:rFonts w:ascii="Times New Roman" w:hAnsi="Times New Roman"/>
        </w:rPr>
        <w:t xml:space="preserve">was an omnibus ground </w:t>
      </w:r>
      <w:r w:rsidR="00136DC8" w:rsidRPr="00B14447">
        <w:rPr>
          <w:rFonts w:ascii="Times New Roman" w:hAnsi="Times New Roman"/>
        </w:rPr>
        <w:t xml:space="preserve">of appeal </w:t>
      </w:r>
      <w:r w:rsidRPr="00B14447">
        <w:rPr>
          <w:rFonts w:ascii="Times New Roman" w:hAnsi="Times New Roman"/>
        </w:rPr>
        <w:t>absent any particularisation. It stood in stark contrast to ground</w:t>
      </w:r>
      <w:r w:rsidR="00810AD5" w:rsidRPr="00B14447">
        <w:rPr>
          <w:rFonts w:ascii="Times New Roman" w:hAnsi="Times New Roman"/>
        </w:rPr>
        <w:t> </w:t>
      </w:r>
      <w:r w:rsidRPr="00B14447">
        <w:rPr>
          <w:rFonts w:ascii="Times New Roman" w:hAnsi="Times New Roman"/>
        </w:rPr>
        <w:t>2 of the notice of appeal filed in the Full Court – that the primary judge erred in concluding that the Commonwealth had not established that Apotex would have sought and obtained a PBS listing of its clopidog</w:t>
      </w:r>
      <w:r w:rsidR="00491A5A" w:rsidRPr="00B14447">
        <w:rPr>
          <w:rFonts w:ascii="Times New Roman" w:hAnsi="Times New Roman"/>
        </w:rPr>
        <w:t>r</w:t>
      </w:r>
      <w:r w:rsidRPr="00B14447">
        <w:rPr>
          <w:rFonts w:ascii="Times New Roman" w:hAnsi="Times New Roman"/>
        </w:rPr>
        <w:t>el products from 1</w:t>
      </w:r>
      <w:r w:rsidR="00103FDF" w:rsidRPr="00B14447">
        <w:rPr>
          <w:rFonts w:ascii="Times New Roman" w:hAnsi="Times New Roman"/>
        </w:rPr>
        <w:t> </w:t>
      </w:r>
      <w:r w:rsidRPr="00B14447">
        <w:rPr>
          <w:rFonts w:ascii="Times New Roman" w:hAnsi="Times New Roman"/>
        </w:rPr>
        <w:t xml:space="preserve">April 2008 </w:t>
      </w:r>
      <w:r w:rsidR="00103FDF" w:rsidRPr="00B14447">
        <w:rPr>
          <w:rFonts w:ascii="Times New Roman" w:hAnsi="Times New Roman"/>
        </w:rPr>
        <w:t xml:space="preserve">if </w:t>
      </w:r>
      <w:r w:rsidRPr="00B14447">
        <w:rPr>
          <w:rFonts w:ascii="Times New Roman" w:hAnsi="Times New Roman"/>
        </w:rPr>
        <w:t>the interlocutory injunction had not been granted.</w:t>
      </w:r>
      <w:r w:rsidR="009C53D5" w:rsidRPr="00B14447">
        <w:rPr>
          <w:rFonts w:ascii="Times New Roman" w:hAnsi="Times New Roman"/>
        </w:rPr>
        <w:t xml:space="preserve"> </w:t>
      </w:r>
      <w:r w:rsidR="001F1FD4" w:rsidRPr="00B14447">
        <w:rPr>
          <w:rFonts w:ascii="Times New Roman" w:hAnsi="Times New Roman"/>
        </w:rPr>
        <w:t>Ground</w:t>
      </w:r>
      <w:r w:rsidR="00810AD5" w:rsidRPr="00B14447">
        <w:rPr>
          <w:rFonts w:ascii="Times New Roman" w:hAnsi="Times New Roman"/>
        </w:rPr>
        <w:t> </w:t>
      </w:r>
      <w:r w:rsidR="001F1FD4" w:rsidRPr="00B14447">
        <w:rPr>
          <w:rFonts w:ascii="Times New Roman" w:hAnsi="Times New Roman"/>
        </w:rPr>
        <w:t xml:space="preserve">2 in the Full Court </w:t>
      </w:r>
      <w:r w:rsidR="009C53D5" w:rsidRPr="00B14447">
        <w:rPr>
          <w:rFonts w:ascii="Times New Roman" w:hAnsi="Times New Roman"/>
        </w:rPr>
        <w:t>contained detailed particulars.</w:t>
      </w:r>
      <w:r w:rsidRPr="00B14447">
        <w:rPr>
          <w:rFonts w:ascii="Times New Roman" w:hAnsi="Times New Roman"/>
        </w:rPr>
        <w:t xml:space="preserve"> Particular</w:t>
      </w:r>
      <w:r w:rsidR="00810AD5" w:rsidRPr="00B14447">
        <w:rPr>
          <w:rFonts w:ascii="Times New Roman" w:hAnsi="Times New Roman"/>
        </w:rPr>
        <w:t> </w:t>
      </w:r>
      <w:r w:rsidRPr="00B14447">
        <w:rPr>
          <w:rFonts w:ascii="Times New Roman" w:hAnsi="Times New Roman"/>
        </w:rPr>
        <w:t xml:space="preserve">(a) was directed to the contention (rerun in this Court) that the primary judge erred in failing to hold that the Commonwealth's </w:t>
      </w:r>
      <w:r w:rsidRPr="00B14447">
        <w:rPr>
          <w:rFonts w:ascii="Times New Roman" w:hAnsi="Times New Roman"/>
          <w:i/>
          <w:iCs/>
        </w:rPr>
        <w:t>onus</w:t>
      </w:r>
      <w:r w:rsidRPr="00B14447">
        <w:rPr>
          <w:rFonts w:ascii="Times New Roman" w:hAnsi="Times New Roman"/>
        </w:rPr>
        <w:t xml:space="preserve"> was to establish a </w:t>
      </w:r>
      <w:r w:rsidRPr="00B14447">
        <w:rPr>
          <w:rFonts w:ascii="Times New Roman" w:hAnsi="Times New Roman"/>
          <w:i/>
        </w:rPr>
        <w:t>prima facie</w:t>
      </w:r>
      <w:r w:rsidRPr="00B14447">
        <w:rPr>
          <w:rFonts w:ascii="Times New Roman" w:hAnsi="Times New Roman"/>
        </w:rPr>
        <w:t xml:space="preserve"> case that its damage flowed directly from the grant of the interlocutory injunction and</w:t>
      </w:r>
      <w:r w:rsidR="00775DEE" w:rsidRPr="00B14447">
        <w:rPr>
          <w:rFonts w:ascii="Times New Roman" w:hAnsi="Times New Roman"/>
        </w:rPr>
        <w:t xml:space="preserve"> in</w:t>
      </w:r>
      <w:r w:rsidRPr="00B14447">
        <w:rPr>
          <w:rFonts w:ascii="Times New Roman" w:hAnsi="Times New Roman"/>
        </w:rPr>
        <w:t xml:space="preserve"> failing to find that the Commonwealth had discharged that onus. That was the subject of ground</w:t>
      </w:r>
      <w:r w:rsidR="00810AD5" w:rsidRPr="00B14447">
        <w:rPr>
          <w:rFonts w:ascii="Times New Roman" w:hAnsi="Times New Roman"/>
        </w:rPr>
        <w:t> </w:t>
      </w:r>
      <w:r w:rsidRPr="00B14447">
        <w:rPr>
          <w:rFonts w:ascii="Times New Roman" w:hAnsi="Times New Roman"/>
        </w:rPr>
        <w:t>1 in this court and has been addressed</w:t>
      </w:r>
      <w:r w:rsidR="000E7441" w:rsidRPr="00B14447">
        <w:rPr>
          <w:rFonts w:ascii="Times New Roman" w:hAnsi="Times New Roman"/>
        </w:rPr>
        <w:t xml:space="preserve"> above</w:t>
      </w:r>
      <w:r w:rsidRPr="00B14447">
        <w:rPr>
          <w:rFonts w:ascii="Times New Roman" w:hAnsi="Times New Roman"/>
        </w:rPr>
        <w:t>.</w:t>
      </w:r>
      <w:r w:rsidRPr="00B14447">
        <w:rPr>
          <w:rStyle w:val="FootnoteReference"/>
          <w:rFonts w:ascii="Times New Roman" w:hAnsi="Times New Roman"/>
          <w:sz w:val="24"/>
        </w:rPr>
        <w:footnoteReference w:id="15"/>
      </w:r>
      <w:r w:rsidRPr="00B14447">
        <w:rPr>
          <w:rFonts w:ascii="Times New Roman" w:hAnsi="Times New Roman"/>
        </w:rPr>
        <w:t xml:space="preserve"> </w:t>
      </w:r>
      <w:r w:rsidR="00B8766D" w:rsidRPr="00B14447">
        <w:rPr>
          <w:rFonts w:ascii="Times New Roman" w:hAnsi="Times New Roman"/>
        </w:rPr>
        <w:t>Particulars</w:t>
      </w:r>
      <w:r w:rsidR="00810AD5" w:rsidRPr="00B14447">
        <w:rPr>
          <w:rFonts w:ascii="Times New Roman" w:hAnsi="Times New Roman"/>
        </w:rPr>
        <w:t> </w:t>
      </w:r>
      <w:r w:rsidR="00B8766D" w:rsidRPr="00B14447">
        <w:rPr>
          <w:rFonts w:ascii="Times New Roman" w:hAnsi="Times New Roman"/>
        </w:rPr>
        <w:t xml:space="preserve">(c) and (d) </w:t>
      </w:r>
      <w:r w:rsidR="00F71847" w:rsidRPr="00B14447">
        <w:rPr>
          <w:rFonts w:ascii="Times New Roman" w:hAnsi="Times New Roman"/>
        </w:rPr>
        <w:t xml:space="preserve">were not repeated in the grounds </w:t>
      </w:r>
      <w:r w:rsidR="003943DD" w:rsidRPr="00B14447">
        <w:rPr>
          <w:rFonts w:ascii="Times New Roman" w:hAnsi="Times New Roman"/>
        </w:rPr>
        <w:t xml:space="preserve">of appeal </w:t>
      </w:r>
      <w:r w:rsidR="00F71847" w:rsidRPr="00B14447">
        <w:rPr>
          <w:rFonts w:ascii="Times New Roman" w:hAnsi="Times New Roman"/>
        </w:rPr>
        <w:t xml:space="preserve">before this Court. </w:t>
      </w:r>
      <w:r w:rsidR="00B8766D" w:rsidRPr="00B14447">
        <w:rPr>
          <w:rFonts w:ascii="Times New Roman" w:hAnsi="Times New Roman"/>
        </w:rPr>
        <w:t>Particular</w:t>
      </w:r>
      <w:r w:rsidR="00810AD5" w:rsidRPr="00B14447">
        <w:rPr>
          <w:rFonts w:ascii="Times New Roman" w:hAnsi="Times New Roman"/>
        </w:rPr>
        <w:t> </w:t>
      </w:r>
      <w:r w:rsidR="00B8766D" w:rsidRPr="00B14447">
        <w:rPr>
          <w:rFonts w:ascii="Times New Roman" w:hAnsi="Times New Roman"/>
        </w:rPr>
        <w:t xml:space="preserve">(c) alleged that the primary judge erred in concluding that the Commonwealth's case </w:t>
      </w:r>
      <w:r w:rsidR="00A11FE4" w:rsidRPr="00B14447">
        <w:rPr>
          <w:rFonts w:ascii="Times New Roman" w:hAnsi="Times New Roman"/>
        </w:rPr>
        <w:t xml:space="preserve">suffered an evidentiary deficiency </w:t>
      </w:r>
      <w:r w:rsidR="00D51826" w:rsidRPr="00B14447">
        <w:rPr>
          <w:rFonts w:ascii="Times New Roman" w:hAnsi="Times New Roman"/>
        </w:rPr>
        <w:t>due to</w:t>
      </w:r>
      <w:r w:rsidR="00A11FE4" w:rsidRPr="00B14447">
        <w:rPr>
          <w:rFonts w:ascii="Times New Roman" w:hAnsi="Times New Roman"/>
        </w:rPr>
        <w:t xml:space="preserve"> </w:t>
      </w:r>
      <w:r w:rsidR="00B8766D" w:rsidRPr="00B14447">
        <w:rPr>
          <w:rFonts w:ascii="Times New Roman" w:hAnsi="Times New Roman"/>
        </w:rPr>
        <w:t>the failure to call Dr</w:t>
      </w:r>
      <w:r w:rsidR="003A1503" w:rsidRPr="00B14447">
        <w:rPr>
          <w:rFonts w:ascii="Times New Roman" w:hAnsi="Times New Roman"/>
        </w:rPr>
        <w:t> </w:t>
      </w:r>
      <w:r w:rsidR="00B8766D" w:rsidRPr="00B14447">
        <w:rPr>
          <w:rFonts w:ascii="Times New Roman" w:hAnsi="Times New Roman"/>
        </w:rPr>
        <w:t>Sherman</w:t>
      </w:r>
      <w:r w:rsidR="00D51826" w:rsidRPr="00B14447">
        <w:rPr>
          <w:rFonts w:ascii="Times New Roman" w:hAnsi="Times New Roman"/>
        </w:rPr>
        <w:t xml:space="preserve"> and </w:t>
      </w:r>
      <w:r w:rsidR="003A1503" w:rsidRPr="00B14447">
        <w:rPr>
          <w:rFonts w:ascii="Times New Roman" w:hAnsi="Times New Roman"/>
        </w:rPr>
        <w:t>in</w:t>
      </w:r>
      <w:r w:rsidR="00D51826" w:rsidRPr="00B14447">
        <w:rPr>
          <w:rFonts w:ascii="Times New Roman" w:hAnsi="Times New Roman"/>
        </w:rPr>
        <w:t xml:space="preserve"> failing to address the Commonwealth's submissions</w:t>
      </w:r>
      <w:r w:rsidR="00AF65BB" w:rsidRPr="00B14447">
        <w:rPr>
          <w:rFonts w:ascii="Times New Roman" w:hAnsi="Times New Roman"/>
        </w:rPr>
        <w:t xml:space="preserve"> </w:t>
      </w:r>
      <w:r w:rsidR="00572556" w:rsidRPr="00B14447">
        <w:rPr>
          <w:rFonts w:ascii="Times New Roman" w:hAnsi="Times New Roman"/>
        </w:rPr>
        <w:t>"in relation thereto"</w:t>
      </w:r>
      <w:r w:rsidR="00B8766D" w:rsidRPr="00B14447">
        <w:rPr>
          <w:rFonts w:ascii="Times New Roman" w:hAnsi="Times New Roman"/>
        </w:rPr>
        <w:t xml:space="preserve">. </w:t>
      </w:r>
      <w:r w:rsidRPr="00B14447">
        <w:rPr>
          <w:rFonts w:ascii="Times New Roman" w:hAnsi="Times New Roman"/>
        </w:rPr>
        <w:t>Particular</w:t>
      </w:r>
      <w:r w:rsidR="00810AD5" w:rsidRPr="00B14447">
        <w:rPr>
          <w:rFonts w:ascii="Times New Roman" w:hAnsi="Times New Roman"/>
        </w:rPr>
        <w:t> </w:t>
      </w:r>
      <w:r w:rsidRPr="00B14447">
        <w:rPr>
          <w:rFonts w:ascii="Times New Roman" w:hAnsi="Times New Roman"/>
        </w:rPr>
        <w:t xml:space="preserve">(d) alleged that the </w:t>
      </w:r>
      <w:r w:rsidR="00FB31DD" w:rsidRPr="00B14447">
        <w:rPr>
          <w:rFonts w:ascii="Times New Roman" w:hAnsi="Times New Roman"/>
        </w:rPr>
        <w:t>"</w:t>
      </w:r>
      <w:r w:rsidRPr="00B14447">
        <w:rPr>
          <w:rFonts w:ascii="Times New Roman" w:hAnsi="Times New Roman"/>
        </w:rPr>
        <w:t>extreme delay</w:t>
      </w:r>
      <w:r w:rsidR="00FB31DD" w:rsidRPr="00B14447">
        <w:rPr>
          <w:rFonts w:ascii="Times New Roman" w:hAnsi="Times New Roman"/>
        </w:rPr>
        <w:t>"</w:t>
      </w:r>
      <w:r w:rsidRPr="00B14447">
        <w:rPr>
          <w:rFonts w:ascii="Times New Roman" w:hAnsi="Times New Roman"/>
        </w:rPr>
        <w:t xml:space="preserve"> by the primary judge in delivering judgment allows an appellate court more readily to conclude that arguments and evidence not addressed by the primary judge were </w:t>
      </w:r>
      <w:r w:rsidRPr="00B14447">
        <w:rPr>
          <w:rFonts w:ascii="Times New Roman" w:hAnsi="Times New Roman"/>
        </w:rPr>
        <w:lastRenderedPageBreak/>
        <w:t>overlooked</w:t>
      </w:r>
      <w:r w:rsidR="007858A8" w:rsidRPr="00B14447">
        <w:rPr>
          <w:rFonts w:ascii="Times New Roman" w:hAnsi="Times New Roman"/>
        </w:rPr>
        <w:t xml:space="preserve"> and to more readily </w:t>
      </w:r>
      <w:r w:rsidR="0025356E" w:rsidRPr="00B14447">
        <w:rPr>
          <w:rFonts w:ascii="Times New Roman" w:hAnsi="Times New Roman"/>
        </w:rPr>
        <w:t>establish</w:t>
      </w:r>
      <w:r w:rsidR="007858A8" w:rsidRPr="00B14447">
        <w:rPr>
          <w:rFonts w:ascii="Times New Roman" w:hAnsi="Times New Roman"/>
        </w:rPr>
        <w:t xml:space="preserve"> that the other errors alleged by the Commonwealth </w:t>
      </w:r>
      <w:r w:rsidR="00A83753" w:rsidRPr="00B14447">
        <w:rPr>
          <w:rFonts w:ascii="Times New Roman" w:hAnsi="Times New Roman"/>
        </w:rPr>
        <w:t>could be</w:t>
      </w:r>
      <w:r w:rsidR="007858A8" w:rsidRPr="00B14447">
        <w:rPr>
          <w:rFonts w:ascii="Times New Roman" w:hAnsi="Times New Roman"/>
        </w:rPr>
        <w:t xml:space="preserve"> made out</w:t>
      </w:r>
      <w:r w:rsidRPr="00B14447">
        <w:rPr>
          <w:rFonts w:ascii="Times New Roman" w:hAnsi="Times New Roman"/>
        </w:rPr>
        <w:t xml:space="preserve">. </w:t>
      </w:r>
    </w:p>
    <w:p w14:paraId="540636BD" w14:textId="2EBBC8C0" w:rsidR="00731ECB" w:rsidRPr="00B14447" w:rsidRDefault="00731ECB" w:rsidP="00B14447">
      <w:pPr>
        <w:pStyle w:val="FixListStyle"/>
        <w:spacing w:after="260" w:line="280" w:lineRule="exact"/>
        <w:ind w:right="0"/>
        <w:jc w:val="both"/>
        <w:rPr>
          <w:rFonts w:ascii="Times New Roman" w:hAnsi="Times New Roman"/>
        </w:rPr>
      </w:pPr>
      <w:r w:rsidRPr="00B14447">
        <w:rPr>
          <w:rFonts w:ascii="Times New Roman" w:hAnsi="Times New Roman"/>
        </w:rPr>
        <w:tab/>
        <w:t>That leaves particular</w:t>
      </w:r>
      <w:r w:rsidR="00897FE3" w:rsidRPr="00B14447">
        <w:rPr>
          <w:rFonts w:ascii="Times New Roman" w:hAnsi="Times New Roman"/>
        </w:rPr>
        <w:t>s</w:t>
      </w:r>
      <w:r w:rsidR="00810AD5" w:rsidRPr="00B14447">
        <w:rPr>
          <w:rFonts w:ascii="Times New Roman" w:hAnsi="Times New Roman"/>
        </w:rPr>
        <w:t> </w:t>
      </w:r>
      <w:r w:rsidRPr="00B14447">
        <w:rPr>
          <w:rFonts w:ascii="Times New Roman" w:hAnsi="Times New Roman"/>
        </w:rPr>
        <w:t>(b)</w:t>
      </w:r>
      <w:r w:rsidR="00897FE3" w:rsidRPr="00B14447">
        <w:rPr>
          <w:rFonts w:ascii="Times New Roman" w:hAnsi="Times New Roman"/>
        </w:rPr>
        <w:t xml:space="preserve"> and (e).</w:t>
      </w:r>
      <w:r w:rsidRPr="00B14447">
        <w:rPr>
          <w:rFonts w:ascii="Times New Roman" w:hAnsi="Times New Roman"/>
        </w:rPr>
        <w:t xml:space="preserve"> </w:t>
      </w:r>
      <w:r w:rsidR="00897FE3" w:rsidRPr="00B14447">
        <w:rPr>
          <w:rFonts w:ascii="Times New Roman" w:hAnsi="Times New Roman"/>
        </w:rPr>
        <w:t>Particular</w:t>
      </w:r>
      <w:r w:rsidR="00810AD5" w:rsidRPr="00B14447">
        <w:rPr>
          <w:rFonts w:ascii="Times New Roman" w:hAnsi="Times New Roman"/>
        </w:rPr>
        <w:t> </w:t>
      </w:r>
      <w:r w:rsidR="00897FE3" w:rsidRPr="00B14447">
        <w:rPr>
          <w:rFonts w:ascii="Times New Roman" w:hAnsi="Times New Roman"/>
        </w:rPr>
        <w:t xml:space="preserve">(b) </w:t>
      </w:r>
      <w:r w:rsidRPr="00B14447">
        <w:rPr>
          <w:rFonts w:ascii="Times New Roman" w:hAnsi="Times New Roman"/>
        </w:rPr>
        <w:t>in substance, alleged that the primary judge erred by</w:t>
      </w:r>
      <w:r w:rsidR="00F03938" w:rsidRPr="00B14447">
        <w:rPr>
          <w:rFonts w:ascii="Times New Roman" w:hAnsi="Times New Roman"/>
        </w:rPr>
        <w:t>:</w:t>
      </w:r>
      <w:r w:rsidRPr="00B14447">
        <w:rPr>
          <w:rFonts w:ascii="Times New Roman" w:hAnsi="Times New Roman"/>
        </w:rPr>
        <w:t xml:space="preserve"> (i)</w:t>
      </w:r>
      <w:r w:rsidR="00F03938" w:rsidRPr="00B14447">
        <w:rPr>
          <w:rFonts w:ascii="Times New Roman" w:hAnsi="Times New Roman"/>
        </w:rPr>
        <w:t> </w:t>
      </w:r>
      <w:r w:rsidRPr="00B14447">
        <w:rPr>
          <w:rFonts w:ascii="Times New Roman" w:hAnsi="Times New Roman"/>
        </w:rPr>
        <w:t>failing to have regard</w:t>
      </w:r>
      <w:r w:rsidR="00D8186C" w:rsidRPr="00B14447">
        <w:rPr>
          <w:rFonts w:ascii="Times New Roman" w:hAnsi="Times New Roman"/>
        </w:rPr>
        <w:t>,</w:t>
      </w:r>
      <w:r w:rsidRPr="00B14447">
        <w:rPr>
          <w:rFonts w:ascii="Times New Roman" w:hAnsi="Times New Roman"/>
        </w:rPr>
        <w:t xml:space="preserve"> when </w:t>
      </w:r>
      <w:r w:rsidR="00D8186C" w:rsidRPr="00B14447">
        <w:rPr>
          <w:rFonts w:ascii="Times New Roman" w:hAnsi="Times New Roman"/>
        </w:rPr>
        <w:t xml:space="preserve">making </w:t>
      </w:r>
      <w:r w:rsidRPr="00B14447">
        <w:rPr>
          <w:rFonts w:ascii="Times New Roman" w:hAnsi="Times New Roman"/>
        </w:rPr>
        <w:t xml:space="preserve">findings of credit in </w:t>
      </w:r>
      <w:r w:rsidR="00235220" w:rsidRPr="00B14447">
        <w:rPr>
          <w:rFonts w:ascii="Times New Roman" w:hAnsi="Times New Roman"/>
        </w:rPr>
        <w:t>ten</w:t>
      </w:r>
      <w:r w:rsidRPr="00B14447">
        <w:rPr>
          <w:rFonts w:ascii="Times New Roman" w:hAnsi="Times New Roman"/>
        </w:rPr>
        <w:t xml:space="preserve"> specific paragraphs of </w:t>
      </w:r>
      <w:r w:rsidR="00D8186C" w:rsidRPr="00B14447">
        <w:rPr>
          <w:rFonts w:ascii="Times New Roman" w:hAnsi="Times New Roman"/>
        </w:rPr>
        <w:t xml:space="preserve">his Honour's </w:t>
      </w:r>
      <w:r w:rsidRPr="00B14447">
        <w:rPr>
          <w:rFonts w:ascii="Times New Roman" w:hAnsi="Times New Roman"/>
        </w:rPr>
        <w:t>reasons</w:t>
      </w:r>
      <w:r w:rsidR="00D8186C" w:rsidRPr="00B14447">
        <w:rPr>
          <w:rFonts w:ascii="Times New Roman" w:hAnsi="Times New Roman"/>
        </w:rPr>
        <w:t>,</w:t>
      </w:r>
      <w:r w:rsidRPr="00B14447">
        <w:rPr>
          <w:rFonts w:ascii="Times New Roman" w:hAnsi="Times New Roman"/>
        </w:rPr>
        <w:t xml:space="preserve"> and </w:t>
      </w:r>
      <w:r w:rsidR="00D8186C" w:rsidRPr="00B14447">
        <w:rPr>
          <w:rFonts w:ascii="Times New Roman" w:hAnsi="Times New Roman"/>
        </w:rPr>
        <w:t xml:space="preserve">when </w:t>
      </w:r>
      <w:r w:rsidR="00190D6E" w:rsidRPr="00B14447">
        <w:rPr>
          <w:rFonts w:ascii="Times New Roman" w:hAnsi="Times New Roman"/>
        </w:rPr>
        <w:t>"</w:t>
      </w:r>
      <w:r w:rsidRPr="00B14447">
        <w:rPr>
          <w:rFonts w:ascii="Times New Roman" w:hAnsi="Times New Roman"/>
        </w:rPr>
        <w:t>speculat</w:t>
      </w:r>
      <w:r w:rsidR="00D8186C" w:rsidRPr="00B14447">
        <w:rPr>
          <w:rFonts w:ascii="Times New Roman" w:hAnsi="Times New Roman"/>
        </w:rPr>
        <w:t>in</w:t>
      </w:r>
      <w:r w:rsidR="00190D6E" w:rsidRPr="00B14447">
        <w:rPr>
          <w:rFonts w:ascii="Times New Roman" w:hAnsi="Times New Roman"/>
        </w:rPr>
        <w:t>g"</w:t>
      </w:r>
      <w:r w:rsidRPr="00B14447">
        <w:rPr>
          <w:rFonts w:ascii="Times New Roman" w:hAnsi="Times New Roman"/>
        </w:rPr>
        <w:t xml:space="preserve"> as to what Apotex might have done had the interlocutory injunction not been granted </w:t>
      </w:r>
      <w:r w:rsidR="007675FD" w:rsidRPr="00B14447">
        <w:rPr>
          <w:rFonts w:ascii="Times New Roman" w:hAnsi="Times New Roman"/>
        </w:rPr>
        <w:t>in</w:t>
      </w:r>
      <w:r w:rsidRPr="00B14447">
        <w:rPr>
          <w:rFonts w:ascii="Times New Roman" w:hAnsi="Times New Roman"/>
        </w:rPr>
        <w:t xml:space="preserve"> 3</w:t>
      </w:r>
      <w:r w:rsidR="00916948" w:rsidRPr="00B14447">
        <w:rPr>
          <w:rFonts w:ascii="Times New Roman" w:hAnsi="Times New Roman"/>
        </w:rPr>
        <w:t>6</w:t>
      </w:r>
      <w:r w:rsidRPr="00B14447">
        <w:rPr>
          <w:rFonts w:ascii="Times New Roman" w:hAnsi="Times New Roman"/>
        </w:rPr>
        <w:t xml:space="preserve"> specific paragraphs of </w:t>
      </w:r>
      <w:r w:rsidR="00190D6E" w:rsidRPr="00B14447">
        <w:rPr>
          <w:rFonts w:ascii="Times New Roman" w:hAnsi="Times New Roman"/>
        </w:rPr>
        <w:t xml:space="preserve">his Honour's </w:t>
      </w:r>
      <w:r w:rsidRPr="00B14447">
        <w:rPr>
          <w:rFonts w:ascii="Times New Roman" w:hAnsi="Times New Roman"/>
        </w:rPr>
        <w:t>reasons, to "relevant, contemporaneous evidence of Apotex's intention to commence selling clopidog</w:t>
      </w:r>
      <w:r w:rsidR="00E323AD" w:rsidRPr="00B14447">
        <w:rPr>
          <w:rFonts w:ascii="Times New Roman" w:hAnsi="Times New Roman"/>
        </w:rPr>
        <w:t>r</w:t>
      </w:r>
      <w:r w:rsidRPr="00B14447">
        <w:rPr>
          <w:rFonts w:ascii="Times New Roman" w:hAnsi="Times New Roman"/>
        </w:rPr>
        <w:t xml:space="preserve">el products and to apply for a PBS listing if no interlocutory injunction </w:t>
      </w:r>
      <w:r w:rsidR="00FD1F2E" w:rsidRPr="00B14447">
        <w:rPr>
          <w:rFonts w:ascii="Times New Roman" w:hAnsi="Times New Roman"/>
        </w:rPr>
        <w:t xml:space="preserve">was </w:t>
      </w:r>
      <w:r w:rsidRPr="00B14447">
        <w:rPr>
          <w:rFonts w:ascii="Times New Roman" w:hAnsi="Times New Roman"/>
        </w:rPr>
        <w:t>granted</w:t>
      </w:r>
      <w:r w:rsidR="00FD1F2E" w:rsidRPr="00B14447">
        <w:rPr>
          <w:rFonts w:ascii="Times New Roman" w:hAnsi="Times New Roman"/>
        </w:rPr>
        <w:t>"</w:t>
      </w:r>
      <w:r w:rsidRPr="00B14447">
        <w:rPr>
          <w:rFonts w:ascii="Times New Roman" w:hAnsi="Times New Roman"/>
        </w:rPr>
        <w:t xml:space="preserve"> and </w:t>
      </w:r>
      <w:r w:rsidR="00FD1F2E" w:rsidRPr="00B14447">
        <w:rPr>
          <w:rFonts w:ascii="Times New Roman" w:hAnsi="Times New Roman"/>
        </w:rPr>
        <w:t>to "</w:t>
      </w:r>
      <w:r w:rsidRPr="00B14447">
        <w:rPr>
          <w:rFonts w:ascii="Times New Roman" w:hAnsi="Times New Roman"/>
        </w:rPr>
        <w:t>relevant evidence from witnesses called by the Commonwealth</w:t>
      </w:r>
      <w:r w:rsidR="00FD1F2E" w:rsidRPr="00B14447">
        <w:rPr>
          <w:rFonts w:ascii="Times New Roman" w:hAnsi="Times New Roman"/>
        </w:rPr>
        <w:t>";</w:t>
      </w:r>
      <w:r w:rsidRPr="00B14447">
        <w:rPr>
          <w:rFonts w:ascii="Times New Roman" w:hAnsi="Times New Roman"/>
        </w:rPr>
        <w:t xml:space="preserve"> and (ii)</w:t>
      </w:r>
      <w:r w:rsidR="007616D8" w:rsidRPr="00B14447">
        <w:rPr>
          <w:rFonts w:ascii="Times New Roman" w:hAnsi="Times New Roman"/>
        </w:rPr>
        <w:t> </w:t>
      </w:r>
      <w:r w:rsidRPr="00B14447">
        <w:rPr>
          <w:rFonts w:ascii="Times New Roman" w:hAnsi="Times New Roman"/>
        </w:rPr>
        <w:t xml:space="preserve">failing to address, either adequately or at all, submissions of the Commonwealth "in relation thereto". The Full Court addressed each aspect of this particular. </w:t>
      </w:r>
      <w:r w:rsidR="00897FE3" w:rsidRPr="00B14447">
        <w:rPr>
          <w:rFonts w:ascii="Times New Roman" w:hAnsi="Times New Roman"/>
        </w:rPr>
        <w:t>Particular</w:t>
      </w:r>
      <w:r w:rsidR="00A54DF6" w:rsidRPr="00B14447">
        <w:rPr>
          <w:rFonts w:ascii="Times New Roman" w:hAnsi="Times New Roman"/>
        </w:rPr>
        <w:t> </w:t>
      </w:r>
      <w:r w:rsidR="00897FE3" w:rsidRPr="00B14447">
        <w:rPr>
          <w:rFonts w:ascii="Times New Roman" w:hAnsi="Times New Roman"/>
        </w:rPr>
        <w:t xml:space="preserve">(e) </w:t>
      </w:r>
      <w:r w:rsidR="00A7195D" w:rsidRPr="00B14447">
        <w:rPr>
          <w:rFonts w:ascii="Times New Roman" w:hAnsi="Times New Roman"/>
        </w:rPr>
        <w:t>was expressed in broader terms, alleging that the primary judge ought to have made positive findings "that, if the interlocutory injunction had not been granted, Apotex would in 2007 have launched and sought listing of its clopidogrel products on the PBS, and would have obtained a PBS listing of its clopidogrel products with effect from 1</w:t>
      </w:r>
      <w:r w:rsidR="00A54DF6" w:rsidRPr="00B14447">
        <w:rPr>
          <w:rFonts w:ascii="Times New Roman" w:hAnsi="Times New Roman"/>
        </w:rPr>
        <w:t> </w:t>
      </w:r>
      <w:r w:rsidR="00A7195D" w:rsidRPr="00B14447">
        <w:rPr>
          <w:rFonts w:ascii="Times New Roman" w:hAnsi="Times New Roman"/>
        </w:rPr>
        <w:t>April 2008</w:t>
      </w:r>
      <w:r w:rsidR="005D3E0E" w:rsidRPr="00B14447">
        <w:rPr>
          <w:rFonts w:ascii="Times New Roman" w:hAnsi="Times New Roman"/>
        </w:rPr>
        <w:t>".</w:t>
      </w:r>
      <w:r w:rsidR="006C688F" w:rsidRPr="00B14447">
        <w:rPr>
          <w:rFonts w:ascii="Times New Roman" w:hAnsi="Times New Roman"/>
        </w:rPr>
        <w:t xml:space="preserve"> The Full Court held that this particular did not arise where the Full Court did "not detect</w:t>
      </w:r>
      <w:r w:rsidR="00EA37E2" w:rsidRPr="00B14447">
        <w:rPr>
          <w:rFonts w:ascii="Times New Roman" w:hAnsi="Times New Roman"/>
        </w:rPr>
        <w:t>[]</w:t>
      </w:r>
      <w:r w:rsidR="006C688F" w:rsidRPr="00B14447">
        <w:rPr>
          <w:rFonts w:ascii="Times New Roman" w:hAnsi="Times New Roman"/>
        </w:rPr>
        <w:t xml:space="preserve"> any error in the trial judge's approach to the issues otherwise raised in Ground</w:t>
      </w:r>
      <w:r w:rsidR="004B1515" w:rsidRPr="00B14447">
        <w:rPr>
          <w:rFonts w:ascii="Times New Roman" w:hAnsi="Times New Roman"/>
        </w:rPr>
        <w:t> </w:t>
      </w:r>
      <w:r w:rsidR="006C688F" w:rsidRPr="00B14447">
        <w:rPr>
          <w:rFonts w:ascii="Times New Roman" w:hAnsi="Times New Roman"/>
        </w:rPr>
        <w:t>2".</w:t>
      </w:r>
      <w:r w:rsidR="006C688F" w:rsidRPr="00B14447">
        <w:rPr>
          <w:rStyle w:val="FootnoteReference"/>
          <w:rFonts w:ascii="Times New Roman" w:hAnsi="Times New Roman"/>
          <w:sz w:val="24"/>
        </w:rPr>
        <w:footnoteReference w:id="16"/>
      </w:r>
    </w:p>
    <w:p w14:paraId="20C5D89F" w14:textId="66323115" w:rsidR="00731ECB" w:rsidRPr="00B14447" w:rsidRDefault="00731ECB"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stark contrast, in this Court, no particulars of the omnibus </w:t>
      </w:r>
      <w:r w:rsidR="00EC37DB" w:rsidRPr="00B14447">
        <w:rPr>
          <w:rFonts w:ascii="Times New Roman" w:hAnsi="Times New Roman"/>
        </w:rPr>
        <w:t xml:space="preserve">second </w:t>
      </w:r>
      <w:r w:rsidRPr="00B14447">
        <w:rPr>
          <w:rFonts w:ascii="Times New Roman" w:hAnsi="Times New Roman"/>
        </w:rPr>
        <w:t xml:space="preserve">ground </w:t>
      </w:r>
      <w:r w:rsidR="00B54753" w:rsidRPr="00B14447">
        <w:rPr>
          <w:rFonts w:ascii="Times New Roman" w:hAnsi="Times New Roman"/>
        </w:rPr>
        <w:t xml:space="preserve">of appeal </w:t>
      </w:r>
      <w:r w:rsidRPr="00B14447">
        <w:rPr>
          <w:rFonts w:ascii="Times New Roman" w:hAnsi="Times New Roman"/>
        </w:rPr>
        <w:t xml:space="preserve">were provided by the Commonwealth. </w:t>
      </w:r>
    </w:p>
    <w:p w14:paraId="5F5A44CF" w14:textId="10BF86AE" w:rsidR="008E491A" w:rsidRPr="00B14447" w:rsidRDefault="0039638B"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position then is this. </w:t>
      </w:r>
      <w:r w:rsidR="009B390E" w:rsidRPr="00B14447">
        <w:rPr>
          <w:rFonts w:ascii="Times New Roman" w:hAnsi="Times New Roman"/>
        </w:rPr>
        <w:t xml:space="preserve">There are concurrent findings of fact by the primary judge and the Full Court. </w:t>
      </w:r>
      <w:r w:rsidR="001604FC" w:rsidRPr="00B14447">
        <w:rPr>
          <w:rFonts w:ascii="Times New Roman" w:hAnsi="Times New Roman"/>
        </w:rPr>
        <w:t>In this appeal</w:t>
      </w:r>
      <w:r w:rsidR="00F14961" w:rsidRPr="00B14447">
        <w:rPr>
          <w:rFonts w:ascii="Times New Roman" w:hAnsi="Times New Roman"/>
        </w:rPr>
        <w:t>, the Commonwealth</w:t>
      </w:r>
      <w:r w:rsidR="00373C41" w:rsidRPr="00B14447">
        <w:rPr>
          <w:rFonts w:ascii="Times New Roman" w:hAnsi="Times New Roman"/>
        </w:rPr>
        <w:t>, by its oral submissions,</w:t>
      </w:r>
      <w:r w:rsidR="00F14961" w:rsidRPr="00B14447">
        <w:rPr>
          <w:rFonts w:ascii="Times New Roman" w:hAnsi="Times New Roman"/>
        </w:rPr>
        <w:t xml:space="preserve"> </w:t>
      </w:r>
      <w:r w:rsidR="00CF1E57" w:rsidRPr="00B14447">
        <w:rPr>
          <w:rFonts w:ascii="Times New Roman" w:hAnsi="Times New Roman"/>
        </w:rPr>
        <w:t xml:space="preserve">seeks for </w:t>
      </w:r>
      <w:r w:rsidR="00F14961" w:rsidRPr="00B14447">
        <w:rPr>
          <w:rFonts w:ascii="Times New Roman" w:hAnsi="Times New Roman"/>
        </w:rPr>
        <w:t xml:space="preserve">this </w:t>
      </w:r>
      <w:r w:rsidR="001604FC" w:rsidRPr="00B14447">
        <w:rPr>
          <w:rFonts w:ascii="Times New Roman" w:hAnsi="Times New Roman"/>
        </w:rPr>
        <w:t>C</w:t>
      </w:r>
      <w:r w:rsidR="00F14961" w:rsidRPr="00B14447">
        <w:rPr>
          <w:rFonts w:ascii="Times New Roman" w:hAnsi="Times New Roman"/>
        </w:rPr>
        <w:t xml:space="preserve">ourt to review and evaluate a vast body of evidence, much of which </w:t>
      </w:r>
      <w:r w:rsidR="009B25AF" w:rsidRPr="00B14447">
        <w:rPr>
          <w:rFonts w:ascii="Times New Roman" w:hAnsi="Times New Roman"/>
        </w:rPr>
        <w:t xml:space="preserve">is </w:t>
      </w:r>
      <w:r w:rsidR="00F14961" w:rsidRPr="00B14447">
        <w:rPr>
          <w:rFonts w:ascii="Times New Roman" w:hAnsi="Times New Roman"/>
        </w:rPr>
        <w:t>in conflict, where the findings of fact</w:t>
      </w:r>
      <w:r w:rsidR="00F01577" w:rsidRPr="00B14447">
        <w:rPr>
          <w:rFonts w:ascii="Times New Roman" w:hAnsi="Times New Roman"/>
        </w:rPr>
        <w:t xml:space="preserve"> and counter</w:t>
      </w:r>
      <w:r w:rsidR="00324F65" w:rsidRPr="00B14447">
        <w:rPr>
          <w:rFonts w:ascii="Times New Roman" w:hAnsi="Times New Roman"/>
        </w:rPr>
        <w:t>-</w:t>
      </w:r>
      <w:r w:rsidR="00F01577" w:rsidRPr="00B14447">
        <w:rPr>
          <w:rFonts w:ascii="Times New Roman" w:hAnsi="Times New Roman"/>
        </w:rPr>
        <w:t>fact</w:t>
      </w:r>
      <w:r w:rsidR="00F14961" w:rsidRPr="00B14447">
        <w:rPr>
          <w:rFonts w:ascii="Times New Roman" w:hAnsi="Times New Roman"/>
        </w:rPr>
        <w:t xml:space="preserve"> of the primary judge have been relevantly confirmed by a unanimous Full Court.</w:t>
      </w:r>
      <w:r w:rsidR="00F14961" w:rsidRPr="00B14447">
        <w:rPr>
          <w:rStyle w:val="FootnoteReference"/>
          <w:rFonts w:ascii="Times New Roman" w:hAnsi="Times New Roman"/>
          <w:sz w:val="24"/>
        </w:rPr>
        <w:footnoteReference w:id="17"/>
      </w:r>
      <w:r w:rsidR="00F14961" w:rsidRPr="00B14447">
        <w:rPr>
          <w:rFonts w:ascii="Times New Roman" w:hAnsi="Times New Roman"/>
        </w:rPr>
        <w:t xml:space="preserve"> </w:t>
      </w:r>
      <w:r w:rsidR="001604FC" w:rsidRPr="00B14447">
        <w:rPr>
          <w:rFonts w:ascii="Times New Roman" w:hAnsi="Times New Roman"/>
        </w:rPr>
        <w:t xml:space="preserve">It is therefore necessary, at the outset, </w:t>
      </w:r>
      <w:r w:rsidR="009B390E" w:rsidRPr="00B14447">
        <w:rPr>
          <w:rFonts w:ascii="Times New Roman" w:hAnsi="Times New Roman"/>
        </w:rPr>
        <w:t>to address</w:t>
      </w:r>
      <w:r w:rsidR="00D45931" w:rsidRPr="00B14447">
        <w:rPr>
          <w:rFonts w:ascii="Times New Roman" w:hAnsi="Times New Roman"/>
        </w:rPr>
        <w:t xml:space="preserve"> the applicable standard of review </w:t>
      </w:r>
      <w:r w:rsidR="00A37BDC" w:rsidRPr="00B14447">
        <w:rPr>
          <w:rFonts w:ascii="Times New Roman" w:hAnsi="Times New Roman"/>
        </w:rPr>
        <w:t>by</w:t>
      </w:r>
      <w:r w:rsidR="003640FE" w:rsidRPr="00B14447">
        <w:rPr>
          <w:rFonts w:ascii="Times New Roman" w:hAnsi="Times New Roman"/>
        </w:rPr>
        <w:t xml:space="preserve"> </w:t>
      </w:r>
      <w:r w:rsidR="00D45931" w:rsidRPr="00B14447">
        <w:rPr>
          <w:rFonts w:ascii="Times New Roman" w:hAnsi="Times New Roman"/>
        </w:rPr>
        <w:t>an ultimate appellate court</w:t>
      </w:r>
      <w:r w:rsidR="00B9517E" w:rsidRPr="00B14447">
        <w:rPr>
          <w:rFonts w:ascii="Times New Roman" w:hAnsi="Times New Roman"/>
        </w:rPr>
        <w:t xml:space="preserve">. </w:t>
      </w:r>
      <w:r w:rsidR="00A37BDC" w:rsidRPr="00B14447">
        <w:rPr>
          <w:rFonts w:ascii="Times New Roman" w:hAnsi="Times New Roman"/>
        </w:rPr>
        <w:t>And as will be explained, t</w:t>
      </w:r>
      <w:r w:rsidR="00B9517E" w:rsidRPr="00B14447">
        <w:rPr>
          <w:rFonts w:ascii="Times New Roman" w:hAnsi="Times New Roman"/>
        </w:rPr>
        <w:t>his appeal did not meet that standard</w:t>
      </w:r>
      <w:r w:rsidR="00DC5CB2" w:rsidRPr="00B14447">
        <w:rPr>
          <w:rFonts w:ascii="Times New Roman" w:hAnsi="Times New Roman"/>
        </w:rPr>
        <w:t xml:space="preserve"> </w:t>
      </w:r>
      <w:r w:rsidR="00DC5CB2" w:rsidRPr="00B14447">
        <w:rPr>
          <w:rFonts w:ascii="Times New Roman" w:hAnsi="Times New Roman"/>
        </w:rPr>
        <w:noBreakHyphen/>
        <w:t xml:space="preserve"> </w:t>
      </w:r>
      <w:r w:rsidR="00D96576" w:rsidRPr="00B14447">
        <w:rPr>
          <w:rFonts w:ascii="Times New Roman" w:hAnsi="Times New Roman"/>
        </w:rPr>
        <w:t xml:space="preserve">it </w:t>
      </w:r>
      <w:r w:rsidR="001F6A22" w:rsidRPr="00B14447">
        <w:rPr>
          <w:rFonts w:ascii="Times New Roman" w:hAnsi="Times New Roman"/>
        </w:rPr>
        <w:t xml:space="preserve">does not concern any individual rights, any injustice </w:t>
      </w:r>
      <w:r w:rsidR="002842DC" w:rsidRPr="00B14447">
        <w:rPr>
          <w:rFonts w:ascii="Times New Roman" w:hAnsi="Times New Roman"/>
        </w:rPr>
        <w:t>and the findings are not clearly wrong</w:t>
      </w:r>
      <w:r w:rsidR="00B9517E" w:rsidRPr="00B14447">
        <w:rPr>
          <w:rFonts w:ascii="Times New Roman" w:hAnsi="Times New Roman"/>
        </w:rPr>
        <w:t>.</w:t>
      </w:r>
      <w:r w:rsidR="003F4147" w:rsidRPr="00B14447">
        <w:rPr>
          <w:rFonts w:ascii="Times New Roman" w:hAnsi="Times New Roman"/>
        </w:rPr>
        <w:t xml:space="preserve"> </w:t>
      </w:r>
      <w:r w:rsidR="0050341F" w:rsidRPr="00B14447">
        <w:rPr>
          <w:rFonts w:ascii="Times New Roman" w:hAnsi="Times New Roman"/>
        </w:rPr>
        <w:t xml:space="preserve">Any assessment of the Commonwealth's </w:t>
      </w:r>
      <w:r w:rsidR="007A06E3" w:rsidRPr="00B14447">
        <w:rPr>
          <w:rFonts w:ascii="Times New Roman" w:hAnsi="Times New Roman"/>
        </w:rPr>
        <w:t xml:space="preserve">collateral attack upon the concurrent findings of fact </w:t>
      </w:r>
      <w:r w:rsidR="0050341F" w:rsidRPr="00B14447">
        <w:rPr>
          <w:rFonts w:ascii="Times New Roman" w:hAnsi="Times New Roman"/>
        </w:rPr>
        <w:t xml:space="preserve">in the courts below would have required </w:t>
      </w:r>
      <w:r w:rsidR="008657CE" w:rsidRPr="00B14447">
        <w:rPr>
          <w:rFonts w:ascii="Times New Roman" w:hAnsi="Times New Roman"/>
        </w:rPr>
        <w:t xml:space="preserve">a far more complete copy before this Court of the record (of evidence, transcript and submissions) showing how the Commonwealth ran its case in the courts below. </w:t>
      </w:r>
      <w:r w:rsidR="006D6F07" w:rsidRPr="00B14447">
        <w:rPr>
          <w:rFonts w:ascii="Times New Roman" w:hAnsi="Times New Roman"/>
        </w:rPr>
        <w:t xml:space="preserve">That material was </w:t>
      </w:r>
      <w:r w:rsidR="00782BC3" w:rsidRPr="00B14447">
        <w:rPr>
          <w:rFonts w:ascii="Times New Roman" w:hAnsi="Times New Roman"/>
        </w:rPr>
        <w:t xml:space="preserve">not before this </w:t>
      </w:r>
      <w:r w:rsidR="006D6F07" w:rsidRPr="00B14447">
        <w:rPr>
          <w:rFonts w:ascii="Times New Roman" w:hAnsi="Times New Roman"/>
        </w:rPr>
        <w:t xml:space="preserve">Court </w:t>
      </w:r>
      <w:r w:rsidR="00782BC3" w:rsidRPr="00B14447">
        <w:rPr>
          <w:rFonts w:ascii="Times New Roman" w:hAnsi="Times New Roman"/>
        </w:rPr>
        <w:t xml:space="preserve">because </w:t>
      </w:r>
      <w:r w:rsidR="00C535F8" w:rsidRPr="00B14447">
        <w:rPr>
          <w:rFonts w:ascii="Times New Roman" w:hAnsi="Times New Roman"/>
        </w:rPr>
        <w:t xml:space="preserve">the Commonwealth had, properly, </w:t>
      </w:r>
      <w:r w:rsidR="00F37EB2" w:rsidRPr="00B14447">
        <w:rPr>
          <w:rFonts w:ascii="Times New Roman" w:hAnsi="Times New Roman"/>
        </w:rPr>
        <w:lastRenderedPageBreak/>
        <w:t>attempted to confine the scope of factual dispute on this appeal</w:t>
      </w:r>
      <w:r w:rsidR="000145B7" w:rsidRPr="00B14447">
        <w:rPr>
          <w:rFonts w:ascii="Times New Roman" w:hAnsi="Times New Roman"/>
        </w:rPr>
        <w:t>.</w:t>
      </w:r>
      <w:r w:rsidR="00291FB2" w:rsidRPr="00B14447">
        <w:rPr>
          <w:rStyle w:val="FootnoteReference"/>
          <w:rFonts w:ascii="Times New Roman" w:hAnsi="Times New Roman"/>
          <w:sz w:val="24"/>
        </w:rPr>
        <w:footnoteReference w:id="18"/>
      </w:r>
      <w:r w:rsidR="000145B7" w:rsidRPr="00B14447">
        <w:rPr>
          <w:rFonts w:ascii="Times New Roman" w:hAnsi="Times New Roman"/>
        </w:rPr>
        <w:t xml:space="preserve"> </w:t>
      </w:r>
      <w:r w:rsidR="0050709A" w:rsidRPr="00B14447">
        <w:rPr>
          <w:rFonts w:ascii="Times New Roman" w:hAnsi="Times New Roman"/>
        </w:rPr>
        <w:t>In</w:t>
      </w:r>
      <w:r w:rsidR="00D96576" w:rsidRPr="00B14447">
        <w:rPr>
          <w:rFonts w:ascii="Times New Roman" w:hAnsi="Times New Roman"/>
        </w:rPr>
        <w:t> </w:t>
      </w:r>
      <w:r w:rsidR="0050709A" w:rsidRPr="00B14447">
        <w:rPr>
          <w:rFonts w:ascii="Times New Roman" w:hAnsi="Times New Roman"/>
        </w:rPr>
        <w:t xml:space="preserve">any event, </w:t>
      </w:r>
      <w:r w:rsidR="00E02A1E" w:rsidRPr="00B14447">
        <w:rPr>
          <w:rFonts w:ascii="Times New Roman" w:hAnsi="Times New Roman"/>
        </w:rPr>
        <w:t>even on the material before this Court, it is not open</w:t>
      </w:r>
      <w:r w:rsidR="00044BA3" w:rsidRPr="00B14447">
        <w:rPr>
          <w:rFonts w:ascii="Times New Roman" w:hAnsi="Times New Roman"/>
        </w:rPr>
        <w:t xml:space="preserve">, based on </w:t>
      </w:r>
      <w:r w:rsidR="00D86F0E" w:rsidRPr="00B14447">
        <w:rPr>
          <w:rFonts w:ascii="Times New Roman" w:hAnsi="Times New Roman"/>
        </w:rPr>
        <w:t xml:space="preserve">the Commonwealth's </w:t>
      </w:r>
      <w:r w:rsidR="00044BA3" w:rsidRPr="00B14447">
        <w:rPr>
          <w:rFonts w:ascii="Times New Roman" w:hAnsi="Times New Roman"/>
        </w:rPr>
        <w:t xml:space="preserve">notice of appeal to this Court and the notice of appeal to the Full Court, </w:t>
      </w:r>
      <w:r w:rsidR="00D86F0E" w:rsidRPr="00B14447">
        <w:rPr>
          <w:rFonts w:ascii="Times New Roman" w:hAnsi="Times New Roman"/>
        </w:rPr>
        <w:t xml:space="preserve">for a </w:t>
      </w:r>
      <w:r w:rsidR="0098027B" w:rsidRPr="00B14447">
        <w:rPr>
          <w:rFonts w:ascii="Times New Roman" w:hAnsi="Times New Roman"/>
        </w:rPr>
        <w:t xml:space="preserve">new case </w:t>
      </w:r>
      <w:r w:rsidR="00D86F0E" w:rsidRPr="00B14447">
        <w:rPr>
          <w:rFonts w:ascii="Times New Roman" w:hAnsi="Times New Roman"/>
        </w:rPr>
        <w:t xml:space="preserve">to </w:t>
      </w:r>
      <w:r w:rsidR="00A21554" w:rsidRPr="00B14447">
        <w:rPr>
          <w:rFonts w:ascii="Times New Roman" w:hAnsi="Times New Roman"/>
        </w:rPr>
        <w:t xml:space="preserve">be </w:t>
      </w:r>
      <w:r w:rsidR="00D86F0E" w:rsidRPr="00B14447">
        <w:rPr>
          <w:rFonts w:ascii="Times New Roman" w:hAnsi="Times New Roman"/>
        </w:rPr>
        <w:t>develop</w:t>
      </w:r>
      <w:r w:rsidR="00A21554" w:rsidRPr="00B14447">
        <w:rPr>
          <w:rFonts w:ascii="Times New Roman" w:hAnsi="Times New Roman"/>
        </w:rPr>
        <w:t>ed</w:t>
      </w:r>
      <w:r w:rsidR="00D86F0E" w:rsidRPr="00B14447">
        <w:rPr>
          <w:rFonts w:ascii="Times New Roman" w:hAnsi="Times New Roman"/>
        </w:rPr>
        <w:t xml:space="preserve"> involving </w:t>
      </w:r>
      <w:r w:rsidR="0098027B" w:rsidRPr="00B14447">
        <w:rPr>
          <w:rFonts w:ascii="Times New Roman" w:hAnsi="Times New Roman"/>
        </w:rPr>
        <w:t>a third</w:t>
      </w:r>
      <w:r w:rsidR="009B25AF" w:rsidRPr="00B14447">
        <w:rPr>
          <w:rFonts w:ascii="Times New Roman" w:hAnsi="Times New Roman"/>
        </w:rPr>
        <w:t xml:space="preserve"> set of</w:t>
      </w:r>
      <w:r w:rsidR="0098027B" w:rsidRPr="00B14447">
        <w:rPr>
          <w:rFonts w:ascii="Times New Roman" w:hAnsi="Times New Roman"/>
        </w:rPr>
        <w:t xml:space="preserve"> finding</w:t>
      </w:r>
      <w:r w:rsidR="009B25AF" w:rsidRPr="00B14447">
        <w:rPr>
          <w:rFonts w:ascii="Times New Roman" w:hAnsi="Times New Roman"/>
        </w:rPr>
        <w:t>s</w:t>
      </w:r>
      <w:r w:rsidR="0098027B" w:rsidRPr="00B14447">
        <w:rPr>
          <w:rFonts w:ascii="Times New Roman" w:hAnsi="Times New Roman"/>
        </w:rPr>
        <w:t xml:space="preserve"> of facts and counter</w:t>
      </w:r>
      <w:r w:rsidR="00324F65" w:rsidRPr="00B14447">
        <w:rPr>
          <w:rFonts w:ascii="Times New Roman" w:hAnsi="Times New Roman"/>
        </w:rPr>
        <w:t>-</w:t>
      </w:r>
      <w:r w:rsidR="0098027B" w:rsidRPr="00B14447">
        <w:rPr>
          <w:rFonts w:ascii="Times New Roman" w:hAnsi="Times New Roman"/>
        </w:rPr>
        <w:t>facts.</w:t>
      </w:r>
      <w:r w:rsidR="006C061F" w:rsidRPr="00B14447">
        <w:rPr>
          <w:rFonts w:ascii="Times New Roman" w:hAnsi="Times New Roman"/>
        </w:rPr>
        <w:t xml:space="preserve">  </w:t>
      </w:r>
    </w:p>
    <w:p w14:paraId="5909B0FE" w14:textId="4D16442A" w:rsidR="001604FC" w:rsidRPr="00B14447" w:rsidRDefault="001604FC" w:rsidP="00B14447">
      <w:pPr>
        <w:pStyle w:val="HeadingL1"/>
        <w:spacing w:after="260" w:line="280" w:lineRule="exact"/>
        <w:ind w:right="0"/>
        <w:jc w:val="both"/>
        <w:rPr>
          <w:rFonts w:ascii="Times New Roman" w:hAnsi="Times New Roman"/>
        </w:rPr>
      </w:pPr>
      <w:r w:rsidRPr="00B14447">
        <w:rPr>
          <w:rFonts w:ascii="Times New Roman" w:hAnsi="Times New Roman"/>
        </w:rPr>
        <w:t>Appellate review of facts</w:t>
      </w:r>
    </w:p>
    <w:p w14:paraId="63D7D53E" w14:textId="2B4E0FD2"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r>
      <w:bookmarkStart w:id="0" w:name="_Ref177742369"/>
      <w:r w:rsidRPr="00B14447">
        <w:rPr>
          <w:rFonts w:ascii="Times New Roman" w:hAnsi="Times New Roman"/>
        </w:rPr>
        <w:t>It is a well-established principle that an ultimate appellate court</w:t>
      </w:r>
      <w:r w:rsidR="00681C89" w:rsidRPr="00B14447">
        <w:rPr>
          <w:rFonts w:ascii="Times New Roman" w:hAnsi="Times New Roman"/>
        </w:rPr>
        <w:t xml:space="preserve"> </w:t>
      </w:r>
      <w:r w:rsidR="00B36C95" w:rsidRPr="00B14447">
        <w:rPr>
          <w:rFonts w:ascii="Times New Roman" w:hAnsi="Times New Roman"/>
        </w:rPr>
        <w:t>—</w:t>
      </w:r>
      <w:r w:rsidR="00681C89" w:rsidRPr="00B14447">
        <w:rPr>
          <w:rFonts w:ascii="Times New Roman" w:hAnsi="Times New Roman"/>
        </w:rPr>
        <w:t xml:space="preserve"> </w:t>
      </w:r>
      <w:r w:rsidRPr="00B14447">
        <w:rPr>
          <w:rFonts w:ascii="Times New Roman" w:hAnsi="Times New Roman"/>
        </w:rPr>
        <w:t>a second appellate court</w:t>
      </w:r>
      <w:r w:rsidR="00681C89" w:rsidRPr="00B14447">
        <w:rPr>
          <w:rFonts w:ascii="Times New Roman" w:hAnsi="Times New Roman"/>
        </w:rPr>
        <w:t xml:space="preserve"> </w:t>
      </w:r>
      <w:r w:rsidR="00B36C95" w:rsidRPr="00B14447">
        <w:rPr>
          <w:rFonts w:ascii="Times New Roman" w:hAnsi="Times New Roman"/>
        </w:rPr>
        <w:t>—</w:t>
      </w:r>
      <w:r w:rsidR="00681C89" w:rsidRPr="00B14447">
        <w:rPr>
          <w:rFonts w:ascii="Times New Roman" w:hAnsi="Times New Roman"/>
        </w:rPr>
        <w:t xml:space="preserve"> </w:t>
      </w:r>
      <w:r w:rsidR="00B36C95" w:rsidRPr="00B14447">
        <w:rPr>
          <w:rFonts w:ascii="Times New Roman" w:hAnsi="Times New Roman"/>
        </w:rPr>
        <w:t>"</w:t>
      </w:r>
      <w:r w:rsidRPr="00B14447">
        <w:rPr>
          <w:rFonts w:ascii="Times New Roman" w:hAnsi="Times New Roman"/>
        </w:rPr>
        <w:t xml:space="preserve">should </w:t>
      </w:r>
      <w:r w:rsidRPr="00B14447">
        <w:rPr>
          <w:rFonts w:ascii="Times New Roman" w:hAnsi="Times New Roman"/>
          <w:i/>
          <w:iCs/>
        </w:rPr>
        <w:t>not</w:t>
      </w:r>
      <w:r w:rsidRPr="00B14447">
        <w:rPr>
          <w:rFonts w:ascii="Times New Roman" w:hAnsi="Times New Roman"/>
        </w:rPr>
        <w:t>, in the absence of special reasons such as plain injustice or clear error"</w:t>
      </w:r>
      <w:r w:rsidRPr="00B14447">
        <w:rPr>
          <w:rStyle w:val="FootnoteReference"/>
          <w:rFonts w:ascii="Times New Roman" w:hAnsi="Times New Roman"/>
          <w:sz w:val="24"/>
        </w:rPr>
        <w:footnoteReference w:id="19"/>
      </w:r>
      <w:r w:rsidRPr="00B14447">
        <w:rPr>
          <w:rFonts w:ascii="Times New Roman" w:hAnsi="Times New Roman"/>
        </w:rPr>
        <w:t xml:space="preserve"> </w:t>
      </w:r>
      <w:r w:rsidR="002525A0" w:rsidRPr="00B14447">
        <w:rPr>
          <w:rFonts w:ascii="Times New Roman" w:hAnsi="Times New Roman"/>
        </w:rPr>
        <w:t>(</w:t>
      </w:r>
      <w:r w:rsidRPr="00B14447">
        <w:rPr>
          <w:rFonts w:ascii="Times New Roman" w:hAnsi="Times New Roman"/>
        </w:rPr>
        <w:t>also referred to as "special circumstances"</w:t>
      </w:r>
      <w:r w:rsidRPr="00B14447">
        <w:rPr>
          <w:rStyle w:val="FootnoteReference"/>
          <w:rFonts w:ascii="Times New Roman" w:hAnsi="Times New Roman"/>
          <w:sz w:val="24"/>
        </w:rPr>
        <w:footnoteReference w:id="20"/>
      </w:r>
      <w:r w:rsidRPr="00B14447">
        <w:rPr>
          <w:rFonts w:ascii="Times New Roman" w:hAnsi="Times New Roman"/>
        </w:rPr>
        <w:t xml:space="preserve"> or "compelling circumstances</w:t>
      </w:r>
      <w:r w:rsidR="003A4C6E" w:rsidRPr="00B14447">
        <w:rPr>
          <w:rFonts w:ascii="Times New Roman" w:hAnsi="Times New Roman"/>
        </w:rPr>
        <w:t>"</w:t>
      </w:r>
      <w:r w:rsidRPr="00B14447">
        <w:rPr>
          <w:rStyle w:val="FootnoteReference"/>
          <w:rFonts w:ascii="Times New Roman" w:hAnsi="Times New Roman"/>
          <w:sz w:val="24"/>
        </w:rPr>
        <w:footnoteReference w:id="21"/>
      </w:r>
      <w:r w:rsidR="003A4C6E" w:rsidRPr="00B14447">
        <w:rPr>
          <w:rFonts w:ascii="Times New Roman" w:hAnsi="Times New Roman"/>
        </w:rPr>
        <w:t>),</w:t>
      </w:r>
      <w:r w:rsidRPr="00B14447">
        <w:rPr>
          <w:rFonts w:ascii="Times New Roman" w:hAnsi="Times New Roman"/>
        </w:rPr>
        <w:t xml:space="preserve"> disturb concurrent findings of fact.</w:t>
      </w:r>
      <w:r w:rsidRPr="00B14447">
        <w:rPr>
          <w:rStyle w:val="FootnoteReference"/>
          <w:rFonts w:ascii="Times New Roman" w:hAnsi="Times New Roman"/>
          <w:sz w:val="24"/>
        </w:rPr>
        <w:footnoteReference w:id="22"/>
      </w:r>
      <w:r w:rsidRPr="00B14447">
        <w:rPr>
          <w:rFonts w:ascii="Times New Roman" w:hAnsi="Times New Roman"/>
        </w:rPr>
        <w:t xml:space="preserve"> </w:t>
      </w:r>
      <w:r w:rsidRPr="00B14447">
        <w:rPr>
          <w:rFonts w:ascii="Times New Roman" w:hAnsi="Times New Roman"/>
          <w:iCs/>
        </w:rPr>
        <w:t>That principle is "long standing". Its importance has not diminished, but rather increased, "in the circumstances of modern litigation".</w:t>
      </w:r>
      <w:r w:rsidRPr="00B14447">
        <w:rPr>
          <w:rStyle w:val="FootnoteReference"/>
          <w:rFonts w:ascii="Times New Roman" w:hAnsi="Times New Roman"/>
          <w:sz w:val="24"/>
        </w:rPr>
        <w:footnoteReference w:id="23"/>
      </w:r>
      <w:bookmarkEnd w:id="0"/>
    </w:p>
    <w:p w14:paraId="6A1C849C" w14:textId="6A48E1FD"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That principle reflects, and is rooted in, the nature of an appeal to this Court. An appeal to an intermediate court of appeal is</w:t>
      </w:r>
      <w:r w:rsidR="003701DD" w:rsidRPr="00B14447">
        <w:rPr>
          <w:rFonts w:ascii="Times New Roman" w:hAnsi="Times New Roman"/>
        </w:rPr>
        <w:t>, typically,</w:t>
      </w:r>
      <w:r w:rsidRPr="00B14447">
        <w:rPr>
          <w:rFonts w:ascii="Times New Roman" w:hAnsi="Times New Roman"/>
        </w:rPr>
        <w:t xml:space="preserve"> an appeal by way of rehearing.</w:t>
      </w:r>
      <w:r w:rsidR="009316E8" w:rsidRPr="00B14447">
        <w:rPr>
          <w:rStyle w:val="FootnoteReference"/>
          <w:rFonts w:ascii="Times New Roman" w:hAnsi="Times New Roman"/>
          <w:iCs/>
          <w:sz w:val="24"/>
        </w:rPr>
        <w:footnoteReference w:id="24"/>
      </w:r>
      <w:r w:rsidRPr="00B14447">
        <w:rPr>
          <w:rFonts w:ascii="Times New Roman" w:hAnsi="Times New Roman"/>
        </w:rPr>
        <w:t xml:space="preserve"> Under s 73 of the </w:t>
      </w:r>
      <w:r w:rsidRPr="00B14447">
        <w:rPr>
          <w:rFonts w:ascii="Times New Roman" w:hAnsi="Times New Roman"/>
          <w:i/>
        </w:rPr>
        <w:t>Constitution</w:t>
      </w:r>
      <w:r w:rsidRPr="00B14447">
        <w:rPr>
          <w:rFonts w:ascii="Times New Roman" w:hAnsi="Times New Roman"/>
        </w:rPr>
        <w:t xml:space="preserve">, an appeal to this Court is different; it </w:t>
      </w:r>
      <w:r w:rsidRPr="00B14447">
        <w:rPr>
          <w:rFonts w:ascii="Times New Roman" w:hAnsi="Times New Roman"/>
        </w:rPr>
        <w:lastRenderedPageBreak/>
        <w:t>is a "strict" appeal concerned with error.</w:t>
      </w:r>
      <w:r w:rsidRPr="00B14447">
        <w:rPr>
          <w:rStyle w:val="FootnoteReference"/>
          <w:rFonts w:ascii="Times New Roman" w:hAnsi="Times New Roman"/>
          <w:iCs/>
          <w:sz w:val="24"/>
        </w:rPr>
        <w:footnoteReference w:id="25"/>
      </w:r>
      <w:r w:rsidRPr="00B14447">
        <w:rPr>
          <w:rFonts w:ascii="Times New Roman" w:hAnsi="Times New Roman"/>
        </w:rPr>
        <w:t xml:space="preserve"> In </w:t>
      </w:r>
      <w:r w:rsidR="0046173E" w:rsidRPr="00B14447">
        <w:rPr>
          <w:rFonts w:ascii="Times New Roman" w:hAnsi="Times New Roman"/>
        </w:rPr>
        <w:t xml:space="preserve">the </w:t>
      </w:r>
      <w:r w:rsidRPr="00B14447">
        <w:rPr>
          <w:rFonts w:ascii="Times New Roman" w:hAnsi="Times New Roman"/>
        </w:rPr>
        <w:t xml:space="preserve">appeal </w:t>
      </w:r>
      <w:r w:rsidR="00EE4B18" w:rsidRPr="00B14447">
        <w:rPr>
          <w:rFonts w:ascii="Times New Roman" w:hAnsi="Times New Roman"/>
        </w:rPr>
        <w:t>before</w:t>
      </w:r>
      <w:r w:rsidRPr="00B14447">
        <w:rPr>
          <w:rFonts w:ascii="Times New Roman" w:hAnsi="Times New Roman"/>
        </w:rPr>
        <w:t xml:space="preserve"> this Court, the "strict" appeal is </w:t>
      </w:r>
      <w:r w:rsidR="009D1ED9" w:rsidRPr="00B14447">
        <w:rPr>
          <w:rFonts w:ascii="Times New Roman" w:hAnsi="Times New Roman"/>
        </w:rPr>
        <w:t xml:space="preserve">brought </w:t>
      </w:r>
      <w:r w:rsidRPr="00B14447">
        <w:rPr>
          <w:rFonts w:ascii="Times New Roman" w:hAnsi="Times New Roman"/>
        </w:rPr>
        <w:t>after the appellant has had a trial of the issues of fact and law following which the primary judge made findings of fact, and then after</w:t>
      </w:r>
      <w:r w:rsidR="0046173E" w:rsidRPr="00B14447">
        <w:rPr>
          <w:rFonts w:ascii="Times New Roman" w:hAnsi="Times New Roman"/>
        </w:rPr>
        <w:t xml:space="preserve"> </w:t>
      </w:r>
      <w:r w:rsidR="00C21EBE" w:rsidRPr="00B14447">
        <w:rPr>
          <w:rFonts w:ascii="Times New Roman" w:hAnsi="Times New Roman"/>
        </w:rPr>
        <w:t>that</w:t>
      </w:r>
      <w:r w:rsidR="00B20E73" w:rsidRPr="00B14447">
        <w:rPr>
          <w:rFonts w:ascii="Times New Roman" w:hAnsi="Times New Roman"/>
        </w:rPr>
        <w:t>,</w:t>
      </w:r>
      <w:r w:rsidRPr="00B14447">
        <w:rPr>
          <w:rFonts w:ascii="Times New Roman" w:hAnsi="Times New Roman"/>
        </w:rPr>
        <w:t xml:space="preserve"> the appellant has had an appeal to the intermediate court </w:t>
      </w:r>
      <w:r w:rsidR="0046173E" w:rsidRPr="00B14447">
        <w:rPr>
          <w:rFonts w:ascii="Times New Roman" w:hAnsi="Times New Roman"/>
        </w:rPr>
        <w:t xml:space="preserve">of appeal, </w:t>
      </w:r>
      <w:r w:rsidRPr="00B14447">
        <w:rPr>
          <w:rFonts w:ascii="Times New Roman" w:hAnsi="Times New Roman"/>
        </w:rPr>
        <w:t>by way of rehearing</w:t>
      </w:r>
      <w:r w:rsidR="0046173E" w:rsidRPr="00B14447">
        <w:rPr>
          <w:rFonts w:ascii="Times New Roman" w:hAnsi="Times New Roman"/>
        </w:rPr>
        <w:t>,</w:t>
      </w:r>
      <w:r w:rsidRPr="00B14447">
        <w:rPr>
          <w:rFonts w:ascii="Times New Roman" w:hAnsi="Times New Roman"/>
        </w:rPr>
        <w:t xml:space="preserve"> where the intermediate court made</w:t>
      </w:r>
      <w:r w:rsidR="00453101" w:rsidRPr="00B14447">
        <w:rPr>
          <w:rFonts w:ascii="Times New Roman" w:hAnsi="Times New Roman"/>
        </w:rPr>
        <w:t xml:space="preserve"> substantially</w:t>
      </w:r>
      <w:r w:rsidRPr="00B14447">
        <w:rPr>
          <w:rFonts w:ascii="Times New Roman" w:hAnsi="Times New Roman"/>
        </w:rPr>
        <w:t xml:space="preserve"> the same relevant findings of </w:t>
      </w:r>
      <w:r w:rsidR="00B93C7E" w:rsidRPr="00B14447">
        <w:rPr>
          <w:rFonts w:ascii="Times New Roman" w:hAnsi="Times New Roman"/>
        </w:rPr>
        <w:t>f</w:t>
      </w:r>
      <w:r w:rsidRPr="00B14447">
        <w:rPr>
          <w:rFonts w:ascii="Times New Roman" w:hAnsi="Times New Roman"/>
        </w:rPr>
        <w:t xml:space="preserve">act </w:t>
      </w:r>
      <w:r w:rsidR="004A1774" w:rsidRPr="00B14447">
        <w:rPr>
          <w:rFonts w:ascii="Times New Roman" w:hAnsi="Times New Roman"/>
        </w:rPr>
        <w:t xml:space="preserve">as </w:t>
      </w:r>
      <w:r w:rsidRPr="00B14447">
        <w:rPr>
          <w:rFonts w:ascii="Times New Roman" w:hAnsi="Times New Roman"/>
        </w:rPr>
        <w:t>the primary judge made. As Gleeson</w:t>
      </w:r>
      <w:r w:rsidR="009316E8" w:rsidRPr="00B14447">
        <w:rPr>
          <w:rFonts w:ascii="Times New Roman" w:hAnsi="Times New Roman"/>
        </w:rPr>
        <w:t> </w:t>
      </w:r>
      <w:r w:rsidRPr="00B14447">
        <w:rPr>
          <w:rFonts w:ascii="Times New Roman" w:hAnsi="Times New Roman"/>
        </w:rPr>
        <w:t xml:space="preserve">CJ said in </w:t>
      </w:r>
      <w:r w:rsidRPr="00B14447">
        <w:rPr>
          <w:rFonts w:ascii="Times New Roman" w:hAnsi="Times New Roman"/>
          <w:i/>
        </w:rPr>
        <w:t>Road</w:t>
      </w:r>
      <w:r w:rsidR="00E944C7" w:rsidRPr="00B14447">
        <w:rPr>
          <w:rFonts w:ascii="Times New Roman" w:hAnsi="Times New Roman"/>
          <w:i/>
        </w:rPr>
        <w:t>s</w:t>
      </w:r>
      <w:r w:rsidRPr="00B14447">
        <w:rPr>
          <w:rFonts w:ascii="Times New Roman" w:hAnsi="Times New Roman"/>
          <w:i/>
        </w:rPr>
        <w:t xml:space="preserve"> and Traffic Authority of New South Wales v Dederer</w:t>
      </w:r>
      <w:r w:rsidRPr="00B14447">
        <w:rPr>
          <w:rFonts w:ascii="Times New Roman" w:hAnsi="Times New Roman"/>
        </w:rPr>
        <w:t>,</w:t>
      </w:r>
      <w:r w:rsidRPr="00B14447">
        <w:rPr>
          <w:rStyle w:val="FootnoteReference"/>
          <w:rFonts w:ascii="Times New Roman" w:hAnsi="Times New Roman"/>
          <w:sz w:val="24"/>
        </w:rPr>
        <w:footnoteReference w:id="26"/>
      </w:r>
      <w:r w:rsidRPr="00B14447">
        <w:rPr>
          <w:rFonts w:ascii="Times New Roman" w:hAnsi="Times New Roman"/>
        </w:rPr>
        <w:t xml:space="preserve"> </w:t>
      </w:r>
      <w:r w:rsidR="00357AA7" w:rsidRPr="00B14447">
        <w:rPr>
          <w:rFonts w:ascii="Times New Roman" w:hAnsi="Times New Roman"/>
        </w:rPr>
        <w:t>"</w:t>
      </w:r>
      <w:r w:rsidRPr="00B14447">
        <w:rPr>
          <w:rFonts w:ascii="Times New Roman" w:hAnsi="Times New Roman"/>
        </w:rPr>
        <w:t>[i]n an appeal of this nature, the function of this Court, as a second appellate court and a court of final resort, is not simply to give a well-resourced litigant a third opportunity to persuade a tribunal to take a view of the facts favourable to that litigant"</w:t>
      </w:r>
      <w:r w:rsidR="00F16AF4" w:rsidRPr="00B14447">
        <w:rPr>
          <w:rFonts w:ascii="Times New Roman" w:hAnsi="Times New Roman"/>
        </w:rPr>
        <w:t>.</w:t>
      </w:r>
      <w:r w:rsidRPr="00B14447">
        <w:rPr>
          <w:rFonts w:ascii="Times New Roman" w:hAnsi="Times New Roman"/>
        </w:rPr>
        <w:t xml:space="preserve"> </w:t>
      </w:r>
    </w:p>
    <w:p w14:paraId="631853C0" w14:textId="70B1DC75"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Concurrent findings may exist at different levels of particularity</w:t>
      </w:r>
      <w:r w:rsidR="008E1467" w:rsidRPr="00B14447">
        <w:rPr>
          <w:rFonts w:ascii="Times New Roman" w:hAnsi="Times New Roman"/>
        </w:rPr>
        <w:t xml:space="preserve"> </w:t>
      </w:r>
      <w:r w:rsidR="004A1774" w:rsidRPr="00B14447">
        <w:rPr>
          <w:rFonts w:ascii="Times New Roman" w:hAnsi="Times New Roman"/>
        </w:rPr>
        <w:t>—</w:t>
      </w:r>
      <w:r w:rsidR="008E1467" w:rsidRPr="00B14447">
        <w:rPr>
          <w:rFonts w:ascii="Times New Roman" w:hAnsi="Times New Roman"/>
        </w:rPr>
        <w:t xml:space="preserve"> </w:t>
      </w:r>
      <w:r w:rsidRPr="00B14447">
        <w:rPr>
          <w:rFonts w:ascii="Times New Roman" w:hAnsi="Times New Roman"/>
        </w:rPr>
        <w:t>with or without an element of normative judgment.</w:t>
      </w:r>
      <w:r w:rsidRPr="00B14447">
        <w:rPr>
          <w:rStyle w:val="FootnoteReference"/>
          <w:rFonts w:ascii="Times New Roman" w:hAnsi="Times New Roman"/>
          <w:sz w:val="24"/>
        </w:rPr>
        <w:footnoteReference w:id="27"/>
      </w:r>
      <w:r w:rsidRPr="00B14447">
        <w:rPr>
          <w:rFonts w:ascii="Times New Roman" w:hAnsi="Times New Roman"/>
        </w:rPr>
        <w:t xml:space="preserve"> This appeal is concerned with concurrent findings of fact that involved no value judgment. In the application of the "clear error" principle, it is immaterial that the concurrent findings of fact were of primary fact or involved conclusions and inferences drawn from primary facts.</w:t>
      </w:r>
      <w:r w:rsidRPr="00B14447">
        <w:rPr>
          <w:rStyle w:val="FootnoteReference"/>
          <w:rFonts w:ascii="Times New Roman" w:hAnsi="Times New Roman"/>
          <w:sz w:val="24"/>
        </w:rPr>
        <w:footnoteReference w:id="28"/>
      </w:r>
      <w:r w:rsidRPr="00B14447">
        <w:rPr>
          <w:rFonts w:ascii="Times New Roman" w:hAnsi="Times New Roman"/>
        </w:rPr>
        <w:t xml:space="preserve"> </w:t>
      </w:r>
    </w:p>
    <w:p w14:paraId="3751C8FD" w14:textId="6327C495"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In challenging concurrent findings of fact in this Court, an appellant confronts a high bar</w:t>
      </w:r>
      <w:r w:rsidR="003E0429" w:rsidRPr="00B14447">
        <w:rPr>
          <w:rFonts w:ascii="Times New Roman" w:hAnsi="Times New Roman"/>
        </w:rPr>
        <w:t xml:space="preserve"> </w:t>
      </w:r>
      <w:r w:rsidR="007A3E31" w:rsidRPr="00B14447">
        <w:rPr>
          <w:rFonts w:ascii="Times New Roman" w:hAnsi="Times New Roman"/>
        </w:rPr>
        <w:t>—</w:t>
      </w:r>
      <w:r w:rsidR="003E0429" w:rsidRPr="00B14447">
        <w:rPr>
          <w:rFonts w:ascii="Times New Roman" w:hAnsi="Times New Roman"/>
        </w:rPr>
        <w:t xml:space="preserve"> </w:t>
      </w:r>
      <w:r w:rsidRPr="00B14447">
        <w:rPr>
          <w:rFonts w:ascii="Times New Roman" w:hAnsi="Times New Roman"/>
        </w:rPr>
        <w:t>a difficult task</w:t>
      </w:r>
      <w:r w:rsidR="004E1108" w:rsidRPr="00B14447">
        <w:rPr>
          <w:rFonts w:ascii="Times New Roman" w:hAnsi="Times New Roman"/>
        </w:rPr>
        <w:t>.</w:t>
      </w:r>
      <w:r w:rsidRPr="00B14447">
        <w:rPr>
          <w:rStyle w:val="FootnoteReference"/>
          <w:rFonts w:ascii="Times New Roman" w:hAnsi="Times New Roman"/>
          <w:sz w:val="24"/>
        </w:rPr>
        <w:footnoteReference w:id="29"/>
      </w:r>
      <w:r w:rsidRPr="00B14447">
        <w:rPr>
          <w:rFonts w:ascii="Times New Roman" w:hAnsi="Times New Roman"/>
        </w:rPr>
        <w:t xml:space="preserve"> The appellant carries the burden of establishing "special reasons such as plain injustice or clear error".</w:t>
      </w:r>
      <w:r w:rsidRPr="00B14447">
        <w:rPr>
          <w:rStyle w:val="FootnoteReference"/>
          <w:rFonts w:ascii="Times New Roman" w:hAnsi="Times New Roman"/>
          <w:sz w:val="24"/>
        </w:rPr>
        <w:footnoteReference w:id="30"/>
      </w:r>
      <w:r w:rsidRPr="00B14447">
        <w:rPr>
          <w:rFonts w:ascii="Times New Roman" w:hAnsi="Times New Roman"/>
        </w:rPr>
        <w:t xml:space="preserve"> The high bar is implicit in the requirement that there be </w:t>
      </w:r>
      <w:r w:rsidRPr="00B14447">
        <w:rPr>
          <w:rFonts w:ascii="Times New Roman" w:hAnsi="Times New Roman"/>
          <w:i/>
        </w:rPr>
        <w:t>plain injustice</w:t>
      </w:r>
      <w:r w:rsidRPr="00B14447">
        <w:rPr>
          <w:rFonts w:ascii="Times New Roman" w:hAnsi="Times New Roman"/>
        </w:rPr>
        <w:t xml:space="preserve"> or </w:t>
      </w:r>
      <w:r w:rsidRPr="00B14447">
        <w:rPr>
          <w:rFonts w:ascii="Times New Roman" w:hAnsi="Times New Roman"/>
          <w:i/>
        </w:rPr>
        <w:t>clear error</w:t>
      </w:r>
      <w:r w:rsidRPr="00B14447">
        <w:rPr>
          <w:rFonts w:ascii="Times New Roman" w:hAnsi="Times New Roman"/>
        </w:rPr>
        <w:t>, not merely error.</w:t>
      </w:r>
      <w:r w:rsidRPr="00B14447">
        <w:rPr>
          <w:rStyle w:val="FootnoteReference"/>
          <w:rFonts w:ascii="Times New Roman" w:hAnsi="Times New Roman"/>
          <w:sz w:val="24"/>
        </w:rPr>
        <w:footnoteReference w:id="31"/>
      </w:r>
      <w:r w:rsidRPr="00B14447">
        <w:rPr>
          <w:rFonts w:ascii="Times New Roman" w:hAnsi="Times New Roman"/>
        </w:rPr>
        <w:t xml:space="preserve"> If the findings of fact made in the courts below </w:t>
      </w:r>
      <w:r w:rsidRPr="00B14447">
        <w:rPr>
          <w:rFonts w:ascii="Times New Roman" w:hAnsi="Times New Roman"/>
          <w:i/>
        </w:rPr>
        <w:t>appear</w:t>
      </w:r>
      <w:r w:rsidRPr="00B14447">
        <w:rPr>
          <w:rFonts w:ascii="Times New Roman" w:hAnsi="Times New Roman"/>
        </w:rPr>
        <w:t xml:space="preserve"> to be correct, the </w:t>
      </w:r>
      <w:r w:rsidRPr="00B14447">
        <w:rPr>
          <w:rFonts w:ascii="Times New Roman" w:hAnsi="Times New Roman"/>
        </w:rPr>
        <w:lastRenderedPageBreak/>
        <w:t>high bar is not cleared and the appella</w:t>
      </w:r>
      <w:r w:rsidR="00260229" w:rsidRPr="00B14447">
        <w:rPr>
          <w:rFonts w:ascii="Times New Roman" w:hAnsi="Times New Roman"/>
        </w:rPr>
        <w:t>n</w:t>
      </w:r>
      <w:r w:rsidRPr="00B14447">
        <w:rPr>
          <w:rFonts w:ascii="Times New Roman" w:hAnsi="Times New Roman"/>
        </w:rPr>
        <w:t>t will not have discharged its burden.</w:t>
      </w:r>
      <w:r w:rsidRPr="00B14447">
        <w:rPr>
          <w:rStyle w:val="FootnoteReference"/>
          <w:rFonts w:ascii="Times New Roman" w:hAnsi="Times New Roman"/>
          <w:sz w:val="24"/>
        </w:rPr>
        <w:footnoteReference w:id="32"/>
      </w:r>
      <w:r w:rsidRPr="00B14447">
        <w:rPr>
          <w:rFonts w:ascii="Times New Roman" w:hAnsi="Times New Roman"/>
        </w:rPr>
        <w:t xml:space="preserve"> The point that the ultimate appellate court must reach is that it holds a "clear conviction"</w:t>
      </w:r>
      <w:r w:rsidRPr="00B14447">
        <w:rPr>
          <w:rStyle w:val="FootnoteReference"/>
          <w:rFonts w:ascii="Times New Roman" w:hAnsi="Times New Roman"/>
          <w:sz w:val="24"/>
        </w:rPr>
        <w:footnoteReference w:id="33"/>
      </w:r>
      <w:r w:rsidRPr="00B14447">
        <w:rPr>
          <w:rFonts w:ascii="Times New Roman" w:hAnsi="Times New Roman"/>
        </w:rPr>
        <w:t xml:space="preserve"> that the findings made at trial </w:t>
      </w:r>
      <w:r w:rsidRPr="00B14447">
        <w:rPr>
          <w:rFonts w:ascii="Times New Roman" w:hAnsi="Times New Roman"/>
          <w:i/>
        </w:rPr>
        <w:t xml:space="preserve">and </w:t>
      </w:r>
      <w:r w:rsidRPr="00B14447">
        <w:rPr>
          <w:rFonts w:ascii="Times New Roman" w:hAnsi="Times New Roman"/>
        </w:rPr>
        <w:t>confirmed by the intermediate appellate court</w:t>
      </w:r>
      <w:r w:rsidR="00477358" w:rsidRPr="00B14447">
        <w:rPr>
          <w:rFonts w:ascii="Times New Roman" w:hAnsi="Times New Roman"/>
        </w:rPr>
        <w:t>,</w:t>
      </w:r>
      <w:r w:rsidRPr="00B14447">
        <w:rPr>
          <w:rFonts w:ascii="Times New Roman" w:hAnsi="Times New Roman"/>
        </w:rPr>
        <w:t xml:space="preserve"> understood in light of the arguments put by the parties at trial and </w:t>
      </w:r>
      <w:r w:rsidR="00477358" w:rsidRPr="00B14447">
        <w:rPr>
          <w:rFonts w:ascii="Times New Roman" w:hAnsi="Times New Roman"/>
        </w:rPr>
        <w:t xml:space="preserve">on </w:t>
      </w:r>
      <w:r w:rsidRPr="00B14447">
        <w:rPr>
          <w:rFonts w:ascii="Times New Roman" w:hAnsi="Times New Roman"/>
        </w:rPr>
        <w:t>appeal</w:t>
      </w:r>
      <w:r w:rsidR="00477358" w:rsidRPr="00B14447">
        <w:rPr>
          <w:rFonts w:ascii="Times New Roman" w:hAnsi="Times New Roman"/>
        </w:rPr>
        <w:t>,</w:t>
      </w:r>
      <w:r w:rsidRPr="00B14447">
        <w:rPr>
          <w:rFonts w:ascii="Times New Roman" w:hAnsi="Times New Roman"/>
        </w:rPr>
        <w:t xml:space="preserve"> are clearly wrong.</w:t>
      </w:r>
      <w:r w:rsidRPr="00B14447">
        <w:rPr>
          <w:rStyle w:val="FootnoteReference"/>
          <w:rFonts w:ascii="Times New Roman" w:hAnsi="Times New Roman"/>
          <w:sz w:val="24"/>
        </w:rPr>
        <w:footnoteReference w:id="34"/>
      </w:r>
      <w:r w:rsidRPr="00B14447">
        <w:rPr>
          <w:rFonts w:ascii="Times New Roman" w:hAnsi="Times New Roman"/>
        </w:rPr>
        <w:t xml:space="preserve"> It is not enough that an ultimate appellate court would simply reach a different conclusion of its own.</w:t>
      </w:r>
      <w:r w:rsidRPr="00B14447">
        <w:rPr>
          <w:rStyle w:val="FootnoteReference"/>
          <w:rFonts w:ascii="Times New Roman" w:hAnsi="Times New Roman"/>
          <w:sz w:val="24"/>
        </w:rPr>
        <w:footnoteReference w:id="35"/>
      </w:r>
      <w:r w:rsidRPr="00B14447">
        <w:rPr>
          <w:rFonts w:ascii="Times New Roman" w:hAnsi="Times New Roman"/>
        </w:rPr>
        <w:t xml:space="preserve"> It is irrelevant if there were differences in the reasoning of the primary judge and the </w:t>
      </w:r>
      <w:r w:rsidR="007A18AE" w:rsidRPr="00B14447">
        <w:rPr>
          <w:rFonts w:ascii="Times New Roman" w:hAnsi="Times New Roman"/>
        </w:rPr>
        <w:t xml:space="preserve">intermediate </w:t>
      </w:r>
      <w:r w:rsidRPr="00B14447">
        <w:rPr>
          <w:rFonts w:ascii="Times New Roman" w:hAnsi="Times New Roman"/>
        </w:rPr>
        <w:t xml:space="preserve">appellate court, or </w:t>
      </w:r>
      <w:r w:rsidR="00EF4945" w:rsidRPr="00B14447">
        <w:rPr>
          <w:rFonts w:ascii="Times New Roman" w:hAnsi="Times New Roman"/>
        </w:rPr>
        <w:t xml:space="preserve">if </w:t>
      </w:r>
      <w:r w:rsidRPr="00B14447">
        <w:rPr>
          <w:rFonts w:ascii="Times New Roman" w:hAnsi="Times New Roman"/>
        </w:rPr>
        <w:t xml:space="preserve">there was a dissentient in the </w:t>
      </w:r>
      <w:r w:rsidR="00EF4945" w:rsidRPr="00B14447">
        <w:rPr>
          <w:rFonts w:ascii="Times New Roman" w:hAnsi="Times New Roman"/>
        </w:rPr>
        <w:t xml:space="preserve">intermediate </w:t>
      </w:r>
      <w:r w:rsidRPr="00B14447">
        <w:rPr>
          <w:rFonts w:ascii="Times New Roman" w:hAnsi="Times New Roman"/>
        </w:rPr>
        <w:t>appellate court.</w:t>
      </w:r>
      <w:r w:rsidRPr="00B14447">
        <w:rPr>
          <w:rStyle w:val="FootnoteReference"/>
          <w:rFonts w:ascii="Times New Roman" w:hAnsi="Times New Roman"/>
          <w:sz w:val="24"/>
        </w:rPr>
        <w:footnoteReference w:id="36"/>
      </w:r>
      <w:r w:rsidRPr="00B14447">
        <w:rPr>
          <w:rFonts w:ascii="Times New Roman" w:hAnsi="Times New Roman"/>
        </w:rPr>
        <w:t xml:space="preserve"> By contrast, where the errors made in the courts below lay in fundamental errors of law, then concurrent findings of fact are no insulation.</w:t>
      </w:r>
      <w:r w:rsidRPr="00B14447">
        <w:rPr>
          <w:rStyle w:val="FootnoteReference"/>
          <w:rFonts w:ascii="Times New Roman" w:hAnsi="Times New Roman"/>
          <w:sz w:val="24"/>
        </w:rPr>
        <w:footnoteReference w:id="37"/>
      </w:r>
      <w:r w:rsidRPr="00B14447">
        <w:rPr>
          <w:rFonts w:ascii="Times New Roman" w:hAnsi="Times New Roman"/>
        </w:rPr>
        <w:t xml:space="preserve"> </w:t>
      </w:r>
    </w:p>
    <w:p w14:paraId="57985C63" w14:textId="33350078"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Nothing is gained by parsing and analysing the phrase</w:t>
      </w:r>
      <w:r w:rsidR="00EF4945" w:rsidRPr="00B14447">
        <w:rPr>
          <w:rFonts w:ascii="Times New Roman" w:hAnsi="Times New Roman"/>
        </w:rPr>
        <w:t>s</w:t>
      </w:r>
      <w:r w:rsidRPr="00B14447">
        <w:rPr>
          <w:rFonts w:ascii="Times New Roman" w:hAnsi="Times New Roman"/>
        </w:rPr>
        <w:t xml:space="preserve"> "plain injustice" or "clear error". Both are expressed in emphatic terms. In many cases </w:t>
      </w:r>
      <w:r w:rsidR="00036468" w:rsidRPr="00B14447">
        <w:rPr>
          <w:rFonts w:ascii="Times New Roman" w:hAnsi="Times New Roman"/>
        </w:rPr>
        <w:t xml:space="preserve">clear error will bespeak </w:t>
      </w:r>
      <w:r w:rsidRPr="00B14447">
        <w:rPr>
          <w:rFonts w:ascii="Times New Roman" w:hAnsi="Times New Roman"/>
        </w:rPr>
        <w:t xml:space="preserve">plain injustice. In other cases, the subject matter of the issues at trial, or the findings made, may </w:t>
      </w:r>
      <w:r w:rsidR="00036468" w:rsidRPr="00B14447">
        <w:rPr>
          <w:rFonts w:ascii="Times New Roman" w:hAnsi="Times New Roman"/>
        </w:rPr>
        <w:t xml:space="preserve">permit </w:t>
      </w:r>
      <w:r w:rsidRPr="00B14447">
        <w:rPr>
          <w:rFonts w:ascii="Times New Roman" w:hAnsi="Times New Roman"/>
        </w:rPr>
        <w:t xml:space="preserve">close attention to </w:t>
      </w:r>
      <w:r w:rsidR="00315662" w:rsidRPr="00B14447">
        <w:rPr>
          <w:rFonts w:ascii="Times New Roman" w:hAnsi="Times New Roman"/>
        </w:rPr>
        <w:t xml:space="preserve">whether error has been </w:t>
      </w:r>
      <w:r w:rsidR="00315662" w:rsidRPr="00B14447">
        <w:rPr>
          <w:rFonts w:ascii="Times New Roman" w:hAnsi="Times New Roman"/>
        </w:rPr>
        <w:lastRenderedPageBreak/>
        <w:t>demonstrated</w:t>
      </w:r>
      <w:r w:rsidRPr="00B14447">
        <w:rPr>
          <w:rFonts w:ascii="Times New Roman" w:hAnsi="Times New Roman"/>
        </w:rPr>
        <w:t>. Such cases may include ones concerning liberty,</w:t>
      </w:r>
      <w:r w:rsidRPr="00B14447">
        <w:rPr>
          <w:rStyle w:val="FootnoteReference"/>
          <w:rFonts w:ascii="Times New Roman" w:hAnsi="Times New Roman"/>
          <w:sz w:val="24"/>
        </w:rPr>
        <w:footnoteReference w:id="38"/>
      </w:r>
      <w:r w:rsidRPr="00B14447">
        <w:rPr>
          <w:rFonts w:ascii="Times New Roman" w:hAnsi="Times New Roman"/>
        </w:rPr>
        <w:t xml:space="preserve"> bodily integrity,</w:t>
      </w:r>
      <w:r w:rsidR="00DD159A" w:rsidRPr="00B14447">
        <w:rPr>
          <w:rStyle w:val="FootnoteReference"/>
          <w:rFonts w:ascii="Times New Roman" w:hAnsi="Times New Roman"/>
          <w:sz w:val="24"/>
        </w:rPr>
        <w:footnoteReference w:id="39"/>
      </w:r>
      <w:r w:rsidRPr="00B14447">
        <w:rPr>
          <w:rFonts w:ascii="Times New Roman" w:hAnsi="Times New Roman"/>
        </w:rPr>
        <w:t xml:space="preserve"> reputation</w:t>
      </w:r>
      <w:r w:rsidRPr="00B14447">
        <w:rPr>
          <w:rStyle w:val="FootnoteReference"/>
          <w:rFonts w:ascii="Times New Roman" w:hAnsi="Times New Roman"/>
          <w:sz w:val="24"/>
        </w:rPr>
        <w:footnoteReference w:id="40"/>
      </w:r>
      <w:r w:rsidRPr="00B14447">
        <w:rPr>
          <w:rFonts w:ascii="Times New Roman" w:hAnsi="Times New Roman"/>
        </w:rPr>
        <w:t xml:space="preserve"> or </w:t>
      </w:r>
      <w:r w:rsidR="00DD159A" w:rsidRPr="00B14447">
        <w:rPr>
          <w:rFonts w:ascii="Times New Roman" w:hAnsi="Times New Roman"/>
        </w:rPr>
        <w:t xml:space="preserve">potential </w:t>
      </w:r>
      <w:r w:rsidRPr="00B14447">
        <w:rPr>
          <w:rFonts w:ascii="Times New Roman" w:hAnsi="Times New Roman"/>
        </w:rPr>
        <w:t>financial ruin</w:t>
      </w:r>
      <w:r w:rsidR="006C0D58" w:rsidRPr="00B14447">
        <w:rPr>
          <w:rFonts w:ascii="Times New Roman" w:hAnsi="Times New Roman"/>
        </w:rPr>
        <w:t>.</w:t>
      </w:r>
      <w:r w:rsidR="00F2491B" w:rsidRPr="00B14447">
        <w:rPr>
          <w:rStyle w:val="FootnoteReference"/>
          <w:rFonts w:ascii="Times New Roman" w:hAnsi="Times New Roman"/>
          <w:sz w:val="24"/>
        </w:rPr>
        <w:footnoteReference w:id="41"/>
      </w:r>
      <w:r w:rsidR="00967159" w:rsidRPr="00B14447">
        <w:rPr>
          <w:rFonts w:ascii="Times New Roman" w:hAnsi="Times New Roman"/>
        </w:rPr>
        <w:t xml:space="preserve"> </w:t>
      </w:r>
      <w:r w:rsidRPr="00B14447">
        <w:rPr>
          <w:rFonts w:ascii="Times New Roman" w:hAnsi="Times New Roman"/>
        </w:rPr>
        <w:t>What is to be emphasi</w:t>
      </w:r>
      <w:r w:rsidR="00124CF3" w:rsidRPr="00B14447">
        <w:rPr>
          <w:rFonts w:ascii="Times New Roman" w:hAnsi="Times New Roman"/>
        </w:rPr>
        <w:t>s</w:t>
      </w:r>
      <w:r w:rsidRPr="00B14447">
        <w:rPr>
          <w:rFonts w:ascii="Times New Roman" w:hAnsi="Times New Roman"/>
        </w:rPr>
        <w:t xml:space="preserve">ed is that the cases in which this Court overturns concurrent findings of fact will be rare. And the Court will not overturn concurrent findings of fact unless the appellant establishes that </w:t>
      </w:r>
      <w:r w:rsidRPr="00B14447">
        <w:rPr>
          <w:rFonts w:ascii="Times New Roman" w:hAnsi="Times New Roman"/>
          <w:i/>
        </w:rPr>
        <w:t>both</w:t>
      </w:r>
      <w:r w:rsidRPr="00B14447">
        <w:rPr>
          <w:rFonts w:ascii="Times New Roman" w:hAnsi="Times New Roman"/>
        </w:rPr>
        <w:t xml:space="preserve"> the </w:t>
      </w:r>
      <w:r w:rsidR="00B83D9F" w:rsidRPr="00B14447">
        <w:rPr>
          <w:rFonts w:ascii="Times New Roman" w:hAnsi="Times New Roman"/>
        </w:rPr>
        <w:t>primary judge</w:t>
      </w:r>
      <w:r w:rsidRPr="00B14447">
        <w:rPr>
          <w:rFonts w:ascii="Times New Roman" w:hAnsi="Times New Roman"/>
        </w:rPr>
        <w:t xml:space="preserve"> </w:t>
      </w:r>
      <w:r w:rsidRPr="00B14447">
        <w:rPr>
          <w:rFonts w:ascii="Times New Roman" w:hAnsi="Times New Roman"/>
          <w:i/>
        </w:rPr>
        <w:t>and</w:t>
      </w:r>
      <w:r w:rsidRPr="00B14447">
        <w:rPr>
          <w:rFonts w:ascii="Times New Roman" w:hAnsi="Times New Roman"/>
        </w:rPr>
        <w:t xml:space="preserve"> the intermediate court of appeal were clearly wrong to make the findings that they did. This is not such a case. </w:t>
      </w:r>
    </w:p>
    <w:p w14:paraId="0B1D30F0" w14:textId="6C526CC5"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Many decisions of this Court have explained why there is a sense of "trepidation" about interfering in concurrent findings of fact of </w:t>
      </w:r>
      <w:r w:rsidR="00B83D9F" w:rsidRPr="00B14447">
        <w:rPr>
          <w:rFonts w:ascii="Times New Roman" w:hAnsi="Times New Roman"/>
        </w:rPr>
        <w:t xml:space="preserve">a </w:t>
      </w:r>
      <w:r w:rsidRPr="00B14447">
        <w:rPr>
          <w:rFonts w:ascii="Times New Roman" w:hAnsi="Times New Roman"/>
        </w:rPr>
        <w:t xml:space="preserve">primary judge and </w:t>
      </w:r>
      <w:r w:rsidR="00B83D9F" w:rsidRPr="00B14447">
        <w:rPr>
          <w:rFonts w:ascii="Times New Roman" w:hAnsi="Times New Roman"/>
        </w:rPr>
        <w:t xml:space="preserve">an </w:t>
      </w:r>
      <w:r w:rsidRPr="00B14447">
        <w:rPr>
          <w:rFonts w:ascii="Times New Roman" w:hAnsi="Times New Roman"/>
        </w:rPr>
        <w:t>intermediate appellate court</w:t>
      </w:r>
      <w:r w:rsidRPr="00B14447">
        <w:rPr>
          <w:rStyle w:val="FootnoteReference"/>
          <w:rFonts w:ascii="Times New Roman" w:hAnsi="Times New Roman"/>
          <w:sz w:val="24"/>
        </w:rPr>
        <w:footnoteReference w:id="42"/>
      </w:r>
      <w:r w:rsidRPr="00B14447">
        <w:rPr>
          <w:rFonts w:ascii="Times New Roman" w:hAnsi="Times New Roman"/>
        </w:rPr>
        <w:t xml:space="preserve"> and why it is not the function of this Court, a final appellate court, to perform the tasks of fact</w:t>
      </w:r>
      <w:r w:rsidR="006C3224" w:rsidRPr="00B14447">
        <w:rPr>
          <w:rFonts w:ascii="Times New Roman" w:hAnsi="Times New Roman"/>
        </w:rPr>
        <w:t xml:space="preserve"> </w:t>
      </w:r>
      <w:r w:rsidRPr="00B14447">
        <w:rPr>
          <w:rFonts w:ascii="Times New Roman" w:hAnsi="Times New Roman"/>
        </w:rPr>
        <w:t>finding and factual review. The task of th</w:t>
      </w:r>
      <w:r w:rsidR="00B83D9F" w:rsidRPr="00B14447">
        <w:rPr>
          <w:rFonts w:ascii="Times New Roman" w:hAnsi="Times New Roman"/>
        </w:rPr>
        <w:t>is</w:t>
      </w:r>
      <w:r w:rsidRPr="00B14447">
        <w:rPr>
          <w:rFonts w:ascii="Times New Roman" w:hAnsi="Times New Roman"/>
        </w:rPr>
        <w:t xml:space="preserve"> Court, a</w:t>
      </w:r>
      <w:r w:rsidR="00F166F3" w:rsidRPr="00B14447">
        <w:rPr>
          <w:rFonts w:ascii="Times New Roman" w:hAnsi="Times New Roman"/>
        </w:rPr>
        <w:t>n </w:t>
      </w:r>
      <w:r w:rsidRPr="00B14447">
        <w:rPr>
          <w:rFonts w:ascii="Times New Roman" w:hAnsi="Times New Roman"/>
        </w:rPr>
        <w:t xml:space="preserve">ultimate appellate court, is </w:t>
      </w:r>
      <w:r w:rsidRPr="00B14447">
        <w:rPr>
          <w:rFonts w:ascii="Times New Roman" w:hAnsi="Times New Roman"/>
          <w:i/>
        </w:rPr>
        <w:t>not</w:t>
      </w:r>
      <w:r w:rsidRPr="00B14447">
        <w:rPr>
          <w:rFonts w:ascii="Times New Roman" w:hAnsi="Times New Roman"/>
        </w:rPr>
        <w:t xml:space="preserve"> to undertake a</w:t>
      </w:r>
      <w:r w:rsidR="000B1C6E" w:rsidRPr="00B14447">
        <w:rPr>
          <w:rFonts w:ascii="Times New Roman" w:hAnsi="Times New Roman"/>
        </w:rPr>
        <w:t>n</w:t>
      </w:r>
      <w:r w:rsidRPr="00B14447">
        <w:rPr>
          <w:rFonts w:ascii="Times New Roman" w:hAnsi="Times New Roman"/>
        </w:rPr>
        <w:t xml:space="preserve"> inquiry into</w:t>
      </w:r>
      <w:r w:rsidR="00DF028D" w:rsidRPr="00B14447">
        <w:rPr>
          <w:rFonts w:ascii="Times New Roman" w:hAnsi="Times New Roman"/>
        </w:rPr>
        <w:t xml:space="preserve"> a long-concluded</w:t>
      </w:r>
      <w:r w:rsidRPr="00B14447">
        <w:rPr>
          <w:rFonts w:ascii="Times New Roman" w:hAnsi="Times New Roman"/>
        </w:rPr>
        <w:t xml:space="preserve"> trial or to seek to resurrect it. An appeal to this Court is not an appeal by way of rehearing, still less a trial or retrial,</w:t>
      </w:r>
      <w:r w:rsidRPr="00B14447">
        <w:rPr>
          <w:rStyle w:val="FootnoteReference"/>
          <w:rFonts w:ascii="Times New Roman" w:hAnsi="Times New Roman"/>
          <w:sz w:val="24"/>
        </w:rPr>
        <w:footnoteReference w:id="43"/>
      </w:r>
      <w:r w:rsidRPr="00B14447">
        <w:rPr>
          <w:rFonts w:ascii="Times New Roman" w:hAnsi="Times New Roman"/>
        </w:rPr>
        <w:t xml:space="preserve"> but</w:t>
      </w:r>
      <w:r w:rsidR="00F166F3" w:rsidRPr="00B14447">
        <w:rPr>
          <w:rFonts w:ascii="Times New Roman" w:hAnsi="Times New Roman"/>
        </w:rPr>
        <w:t> </w:t>
      </w:r>
      <w:r w:rsidRPr="00B14447">
        <w:rPr>
          <w:rFonts w:ascii="Times New Roman" w:hAnsi="Times New Roman"/>
        </w:rPr>
        <w:t xml:space="preserve">a strict "appeal" concerned with error. </w:t>
      </w:r>
    </w:p>
    <w:p w14:paraId="79EB1B09" w14:textId="3123BB53"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But that is not all. The law values finality</w:t>
      </w:r>
      <w:r w:rsidR="00670458" w:rsidRPr="00B14447">
        <w:rPr>
          <w:rFonts w:ascii="Times New Roman" w:hAnsi="Times New Roman"/>
        </w:rPr>
        <w:t>,</w:t>
      </w:r>
      <w:r w:rsidRPr="00B14447">
        <w:rPr>
          <w:rFonts w:ascii="Times New Roman" w:hAnsi="Times New Roman"/>
        </w:rPr>
        <w:t xml:space="preserve"> a basic principle of our legal system.</w:t>
      </w:r>
      <w:r w:rsidRPr="00B14447">
        <w:rPr>
          <w:rStyle w:val="FootnoteReference"/>
          <w:rFonts w:ascii="Times New Roman" w:hAnsi="Times New Roman"/>
          <w:sz w:val="24"/>
        </w:rPr>
        <w:footnoteReference w:id="44"/>
      </w:r>
      <w:r w:rsidRPr="00B14447">
        <w:rPr>
          <w:rFonts w:ascii="Times New Roman" w:hAnsi="Times New Roman"/>
        </w:rPr>
        <w:t xml:space="preserve"> Appellate restraint in relation to review of fact</w:t>
      </w:r>
      <w:r w:rsidR="006C3224" w:rsidRPr="00B14447">
        <w:rPr>
          <w:rFonts w:ascii="Times New Roman" w:hAnsi="Times New Roman"/>
        </w:rPr>
        <w:t xml:space="preserve"> </w:t>
      </w:r>
      <w:r w:rsidRPr="00B14447">
        <w:rPr>
          <w:rFonts w:ascii="Times New Roman" w:hAnsi="Times New Roman"/>
        </w:rPr>
        <w:t xml:space="preserve">finding promotes </w:t>
      </w:r>
      <w:r w:rsidRPr="00B14447">
        <w:rPr>
          <w:rFonts w:ascii="Times New Roman" w:hAnsi="Times New Roman"/>
        </w:rPr>
        <w:lastRenderedPageBreak/>
        <w:t>finality.</w:t>
      </w:r>
      <w:r w:rsidR="00A05185" w:rsidRPr="00B14447">
        <w:rPr>
          <w:rStyle w:val="FootnoteReference"/>
          <w:rFonts w:ascii="Times New Roman" w:hAnsi="Times New Roman"/>
          <w:sz w:val="24"/>
        </w:rPr>
        <w:footnoteReference w:id="45"/>
      </w:r>
      <w:r w:rsidRPr="00B14447">
        <w:rPr>
          <w:rFonts w:ascii="Times New Roman" w:hAnsi="Times New Roman"/>
        </w:rPr>
        <w:t xml:space="preserve"> Rights of appeal qualify the application of the principle of finality but</w:t>
      </w:r>
      <w:r w:rsidR="00EB4AEF" w:rsidRPr="00B14447">
        <w:rPr>
          <w:rFonts w:ascii="Times New Roman" w:hAnsi="Times New Roman"/>
        </w:rPr>
        <w:t>,</w:t>
      </w:r>
      <w:r w:rsidRPr="00B14447">
        <w:rPr>
          <w:rFonts w:ascii="Times New Roman" w:hAnsi="Times New Roman"/>
        </w:rPr>
        <w:t xml:space="preserve"> </w:t>
      </w:r>
      <w:r w:rsidR="00E015B1" w:rsidRPr="00B14447">
        <w:rPr>
          <w:rFonts w:ascii="Times New Roman" w:hAnsi="Times New Roman"/>
        </w:rPr>
        <w:t xml:space="preserve">absent </w:t>
      </w:r>
      <w:r w:rsidR="00D908E6" w:rsidRPr="00B14447">
        <w:rPr>
          <w:rFonts w:ascii="Times New Roman" w:hAnsi="Times New Roman"/>
        </w:rPr>
        <w:t>the potential for injustice</w:t>
      </w:r>
      <w:r w:rsidR="00EB4AEF" w:rsidRPr="00B14447">
        <w:rPr>
          <w:rFonts w:ascii="Times New Roman" w:hAnsi="Times New Roman"/>
        </w:rPr>
        <w:t>,</w:t>
      </w:r>
      <w:r w:rsidR="00D908E6" w:rsidRPr="00B14447">
        <w:rPr>
          <w:rFonts w:ascii="Times New Roman" w:hAnsi="Times New Roman"/>
        </w:rPr>
        <w:t xml:space="preserve"> </w:t>
      </w:r>
      <w:r w:rsidRPr="00B14447">
        <w:rPr>
          <w:rFonts w:ascii="Times New Roman" w:hAnsi="Times New Roman"/>
        </w:rPr>
        <w:t>that qualification is not expanded to challenges to concurrent findings of fact unless clear error is shown</w:t>
      </w:r>
      <w:r w:rsidR="004F7879" w:rsidRPr="00B14447">
        <w:rPr>
          <w:rFonts w:ascii="Times New Roman" w:hAnsi="Times New Roman"/>
        </w:rPr>
        <w:t xml:space="preserve"> without the need for </w:t>
      </w:r>
      <w:r w:rsidR="006B4B71" w:rsidRPr="00B14447">
        <w:rPr>
          <w:rFonts w:ascii="Times New Roman" w:hAnsi="Times New Roman"/>
        </w:rPr>
        <w:t>minute examination of the facts</w:t>
      </w:r>
      <w:r w:rsidRPr="00B14447">
        <w:rPr>
          <w:rFonts w:ascii="Times New Roman" w:hAnsi="Times New Roman"/>
        </w:rPr>
        <w:t xml:space="preserve">. </w:t>
      </w:r>
    </w:p>
    <w:p w14:paraId="12F9D63B" w14:textId="148BA808" w:rsidR="000238E1"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704A9" w:rsidRPr="00B14447">
        <w:rPr>
          <w:rFonts w:ascii="Times New Roman" w:hAnsi="Times New Roman"/>
        </w:rPr>
        <w:t xml:space="preserve">These foundational principles are sufficient to support the </w:t>
      </w:r>
      <w:r w:rsidR="00C73F28" w:rsidRPr="00B14447">
        <w:rPr>
          <w:rFonts w:ascii="Times New Roman" w:hAnsi="Times New Roman"/>
        </w:rPr>
        <w:t xml:space="preserve">principle of </w:t>
      </w:r>
      <w:r w:rsidR="00C57208" w:rsidRPr="00B14447">
        <w:rPr>
          <w:rFonts w:ascii="Times New Roman" w:hAnsi="Times New Roman"/>
        </w:rPr>
        <w:t>re</w:t>
      </w:r>
      <w:r w:rsidR="00C73F28" w:rsidRPr="00B14447">
        <w:rPr>
          <w:rFonts w:ascii="Times New Roman" w:hAnsi="Times New Roman"/>
        </w:rPr>
        <w:t>straint exercised by this Court</w:t>
      </w:r>
      <w:r w:rsidR="00EB4AEF" w:rsidRPr="00B14447">
        <w:rPr>
          <w:rFonts w:ascii="Times New Roman" w:hAnsi="Times New Roman"/>
        </w:rPr>
        <w:t>,</w:t>
      </w:r>
      <w:r w:rsidR="00C73F28" w:rsidRPr="00B14447">
        <w:rPr>
          <w:rFonts w:ascii="Times New Roman" w:hAnsi="Times New Roman"/>
        </w:rPr>
        <w:t xml:space="preserve"> as a final appellate court</w:t>
      </w:r>
      <w:r w:rsidR="00EB4AEF" w:rsidRPr="00B14447">
        <w:rPr>
          <w:rFonts w:ascii="Times New Roman" w:hAnsi="Times New Roman"/>
        </w:rPr>
        <w:t>,</w:t>
      </w:r>
      <w:r w:rsidR="00C73F28" w:rsidRPr="00B14447">
        <w:rPr>
          <w:rFonts w:ascii="Times New Roman" w:hAnsi="Times New Roman"/>
        </w:rPr>
        <w:t xml:space="preserve"> </w:t>
      </w:r>
      <w:r w:rsidR="00290FA5" w:rsidRPr="00B14447">
        <w:rPr>
          <w:rFonts w:ascii="Times New Roman" w:hAnsi="Times New Roman"/>
        </w:rPr>
        <w:t>in its</w:t>
      </w:r>
      <w:r w:rsidR="00C73F28" w:rsidRPr="00B14447">
        <w:rPr>
          <w:rFonts w:ascii="Times New Roman" w:hAnsi="Times New Roman"/>
        </w:rPr>
        <w:t xml:space="preserve"> focus upon injustice and clear error. </w:t>
      </w:r>
      <w:r w:rsidR="00290FA5" w:rsidRPr="00B14447">
        <w:rPr>
          <w:rFonts w:ascii="Times New Roman" w:hAnsi="Times New Roman"/>
        </w:rPr>
        <w:t>In other words, contrary to submissions that were made orally on this appeal</w:t>
      </w:r>
      <w:r w:rsidR="00EF2A24" w:rsidRPr="00B14447">
        <w:rPr>
          <w:rFonts w:ascii="Times New Roman" w:hAnsi="Times New Roman"/>
        </w:rPr>
        <w:t xml:space="preserve">, the rule does not depend on the </w:t>
      </w:r>
      <w:r w:rsidR="00EF2A24" w:rsidRPr="00B14447">
        <w:rPr>
          <w:rFonts w:ascii="Times New Roman" w:hAnsi="Times New Roman"/>
          <w:i/>
        </w:rPr>
        <w:t xml:space="preserve">capacity </w:t>
      </w:r>
      <w:r w:rsidR="00EF2A24" w:rsidRPr="00B14447">
        <w:rPr>
          <w:rFonts w:ascii="Times New Roman" w:hAnsi="Times New Roman"/>
        </w:rPr>
        <w:t xml:space="preserve">for this Court to revisit findings of fact, such as in circumstances where </w:t>
      </w:r>
      <w:r w:rsidR="009626F3" w:rsidRPr="00B14447">
        <w:rPr>
          <w:rFonts w:ascii="Times New Roman" w:hAnsi="Times New Roman"/>
        </w:rPr>
        <w:t xml:space="preserve">the case is primarily documentary and issues of demeanour are subsidiary. </w:t>
      </w:r>
      <w:r w:rsidR="000238E1" w:rsidRPr="00B14447">
        <w:rPr>
          <w:rFonts w:ascii="Times New Roman" w:hAnsi="Times New Roman"/>
        </w:rPr>
        <w:t>Neverth</w:t>
      </w:r>
      <w:r w:rsidR="001955AC" w:rsidRPr="00B14447">
        <w:rPr>
          <w:rFonts w:ascii="Times New Roman" w:hAnsi="Times New Roman"/>
        </w:rPr>
        <w:t>e</w:t>
      </w:r>
      <w:r w:rsidR="000238E1" w:rsidRPr="00B14447">
        <w:rPr>
          <w:rFonts w:ascii="Times New Roman" w:hAnsi="Times New Roman"/>
        </w:rPr>
        <w:t>less, even in those cases, there are further reasons that support the principle.</w:t>
      </w:r>
    </w:p>
    <w:p w14:paraId="4B791CC8" w14:textId="393838CC" w:rsidR="001604FC" w:rsidRPr="00B14447" w:rsidRDefault="001955AC"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0238E1" w:rsidRPr="00B14447">
        <w:rPr>
          <w:rFonts w:ascii="Times New Roman" w:hAnsi="Times New Roman"/>
        </w:rPr>
        <w:t>T</w:t>
      </w:r>
      <w:r w:rsidR="001604FC" w:rsidRPr="00B14447">
        <w:rPr>
          <w:rFonts w:ascii="Times New Roman" w:hAnsi="Times New Roman"/>
        </w:rPr>
        <w:t xml:space="preserve">he </w:t>
      </w:r>
      <w:r w:rsidR="004102B7" w:rsidRPr="00B14447">
        <w:rPr>
          <w:rFonts w:ascii="Times New Roman" w:hAnsi="Times New Roman"/>
        </w:rPr>
        <w:t>exercise</w:t>
      </w:r>
      <w:r w:rsidR="001604FC" w:rsidRPr="00B14447">
        <w:rPr>
          <w:rFonts w:ascii="Times New Roman" w:hAnsi="Times New Roman"/>
        </w:rPr>
        <w:t xml:space="preserve"> </w:t>
      </w:r>
      <w:r w:rsidR="00B82891" w:rsidRPr="00B14447">
        <w:rPr>
          <w:rFonts w:ascii="Times New Roman" w:hAnsi="Times New Roman"/>
        </w:rPr>
        <w:t xml:space="preserve">of </w:t>
      </w:r>
      <w:r w:rsidR="001604FC" w:rsidRPr="00B14447">
        <w:rPr>
          <w:rFonts w:ascii="Times New Roman" w:hAnsi="Times New Roman"/>
        </w:rPr>
        <w:t>appellate caution in reversing findings of fact, let alone concurrent findings of fact, is more than "professional courtesy".</w:t>
      </w:r>
      <w:r w:rsidR="001604FC" w:rsidRPr="00B14447">
        <w:rPr>
          <w:rStyle w:val="FootnoteReference"/>
          <w:rFonts w:ascii="Times New Roman" w:hAnsi="Times New Roman"/>
          <w:sz w:val="24"/>
        </w:rPr>
        <w:footnoteReference w:id="46"/>
      </w:r>
      <w:r w:rsidR="001604FC" w:rsidRPr="00B14447">
        <w:rPr>
          <w:rFonts w:ascii="Times New Roman" w:hAnsi="Times New Roman"/>
        </w:rPr>
        <w:t xml:space="preserve"> The need for caution recognises, as Lord Hoffman</w:t>
      </w:r>
      <w:r w:rsidR="00A0163F" w:rsidRPr="00B14447">
        <w:rPr>
          <w:rFonts w:ascii="Times New Roman" w:hAnsi="Times New Roman"/>
        </w:rPr>
        <w:t>n</w:t>
      </w:r>
      <w:r w:rsidR="001604FC" w:rsidRPr="00B14447">
        <w:rPr>
          <w:rFonts w:ascii="Times New Roman" w:hAnsi="Times New Roman"/>
        </w:rPr>
        <w:t xml:space="preserve"> once observed, that "specific findings of fact, even by the most meticulous judge, are inherently an incomplete statement of the impression which was made upon [them] by the primary evidence".</w:t>
      </w:r>
      <w:r w:rsidR="001604FC" w:rsidRPr="00B14447">
        <w:rPr>
          <w:rStyle w:val="FootnoteReference"/>
          <w:rFonts w:ascii="Times New Roman" w:hAnsi="Times New Roman"/>
          <w:sz w:val="24"/>
        </w:rPr>
        <w:footnoteReference w:id="47"/>
      </w:r>
      <w:r w:rsidR="001604FC" w:rsidRPr="00B14447">
        <w:rPr>
          <w:rFonts w:ascii="Times New Roman" w:hAnsi="Times New Roman"/>
        </w:rPr>
        <w:t xml:space="preserve"> The "expressed findings are </w:t>
      </w:r>
      <w:r w:rsidR="001604FC" w:rsidRPr="00B14447">
        <w:rPr>
          <w:rFonts w:ascii="Times New Roman" w:hAnsi="Times New Roman"/>
          <w:i/>
        </w:rPr>
        <w:t>always</w:t>
      </w:r>
      <w:r w:rsidR="001604FC" w:rsidRPr="00B14447">
        <w:rPr>
          <w:rFonts w:ascii="Times New Roman" w:hAnsi="Times New Roman"/>
        </w:rPr>
        <w:t xml:space="preserve"> surrounded by a penumbra of imprecision as to emphasis, relative weight, minor qualification and nuance ... of which time and language do not permit exact expression, but which may play an important part in the judge's overall evaluation".</w:t>
      </w:r>
      <w:r w:rsidR="001604FC" w:rsidRPr="00B14447">
        <w:rPr>
          <w:rStyle w:val="FootnoteReference"/>
          <w:rFonts w:ascii="Times New Roman" w:hAnsi="Times New Roman"/>
          <w:sz w:val="24"/>
        </w:rPr>
        <w:footnoteReference w:id="48"/>
      </w:r>
      <w:r w:rsidR="001604FC" w:rsidRPr="00B14447">
        <w:rPr>
          <w:rFonts w:ascii="Times New Roman" w:hAnsi="Times New Roman"/>
        </w:rPr>
        <w:t xml:space="preserve"> That is unsurprising. </w:t>
      </w:r>
      <w:r w:rsidR="00B56667" w:rsidRPr="00B14447">
        <w:rPr>
          <w:rFonts w:ascii="Times New Roman" w:hAnsi="Times New Roman"/>
        </w:rPr>
        <w:t>In civil cases, a</w:t>
      </w:r>
      <w:r w:rsidR="001604FC" w:rsidRPr="00B14447">
        <w:rPr>
          <w:rFonts w:ascii="Times New Roman" w:hAnsi="Times New Roman"/>
        </w:rPr>
        <w:t xml:space="preserve"> court finds that a disputed event occurred if the occurrence of the event is more probable than not. But fact finding is not a science and, in resolving conflicting evidence, there is often scope for legitimate differences of view about what facts have been proved. These observations about the principle of finality and appellate restraint in an ultimate appellate court are "not inconsistent with doing justice to the parties". Justice has "more than one dimension".</w:t>
      </w:r>
      <w:r w:rsidR="001604FC" w:rsidRPr="00B14447">
        <w:rPr>
          <w:rStyle w:val="FootnoteReference"/>
          <w:rFonts w:ascii="Times New Roman" w:hAnsi="Times New Roman"/>
          <w:sz w:val="24"/>
        </w:rPr>
        <w:footnoteReference w:id="49"/>
      </w:r>
      <w:r w:rsidR="001604FC" w:rsidRPr="00B14447">
        <w:rPr>
          <w:rFonts w:ascii="Times New Roman" w:hAnsi="Times New Roman"/>
        </w:rPr>
        <w:t xml:space="preserve"> Reformulation of the facts on an appeal can lead to an inherently unfair situation</w:t>
      </w:r>
      <w:r w:rsidR="00400005" w:rsidRPr="00B14447">
        <w:rPr>
          <w:rFonts w:ascii="Times New Roman" w:hAnsi="Times New Roman"/>
        </w:rPr>
        <w:t xml:space="preserve"> </w:t>
      </w:r>
      <w:r w:rsidR="008D7503" w:rsidRPr="00B14447">
        <w:rPr>
          <w:rFonts w:ascii="Times New Roman" w:hAnsi="Times New Roman"/>
        </w:rPr>
        <w:t>—</w:t>
      </w:r>
      <w:r w:rsidR="00400005" w:rsidRPr="00B14447">
        <w:rPr>
          <w:rFonts w:ascii="Times New Roman" w:hAnsi="Times New Roman"/>
        </w:rPr>
        <w:t xml:space="preserve"> </w:t>
      </w:r>
      <w:r w:rsidR="001604FC" w:rsidRPr="00B14447">
        <w:rPr>
          <w:rFonts w:ascii="Times New Roman" w:hAnsi="Times New Roman"/>
        </w:rPr>
        <w:t xml:space="preserve">a factual decision by </w:t>
      </w:r>
      <w:r w:rsidR="00B3162D" w:rsidRPr="00B14447">
        <w:rPr>
          <w:rFonts w:ascii="Times New Roman" w:hAnsi="Times New Roman"/>
        </w:rPr>
        <w:t xml:space="preserve">an </w:t>
      </w:r>
      <w:r w:rsidR="001604FC" w:rsidRPr="00B14447">
        <w:rPr>
          <w:rFonts w:ascii="Times New Roman" w:hAnsi="Times New Roman"/>
        </w:rPr>
        <w:t xml:space="preserve">ultimate </w:t>
      </w:r>
      <w:r w:rsidR="001604FC" w:rsidRPr="00B14447">
        <w:rPr>
          <w:rFonts w:ascii="Times New Roman" w:hAnsi="Times New Roman"/>
        </w:rPr>
        <w:lastRenderedPageBreak/>
        <w:t xml:space="preserve">appellate court cannot be further appealed if errors of fact or </w:t>
      </w:r>
      <w:r w:rsidR="00B76F75" w:rsidRPr="00B14447">
        <w:rPr>
          <w:rFonts w:ascii="Times New Roman" w:hAnsi="Times New Roman"/>
        </w:rPr>
        <w:t>inference</w:t>
      </w:r>
      <w:r w:rsidR="001604FC" w:rsidRPr="00B14447">
        <w:rPr>
          <w:rFonts w:ascii="Times New Roman" w:hAnsi="Times New Roman"/>
        </w:rPr>
        <w:t xml:space="preserve"> are revealed in the reasons of that court.</w:t>
      </w:r>
      <w:r w:rsidR="001604FC" w:rsidRPr="00B14447">
        <w:rPr>
          <w:rStyle w:val="FootnoteReference"/>
          <w:rFonts w:ascii="Times New Roman" w:hAnsi="Times New Roman"/>
          <w:sz w:val="24"/>
        </w:rPr>
        <w:footnoteReference w:id="50"/>
      </w:r>
      <w:r w:rsidR="001604FC" w:rsidRPr="00B14447">
        <w:rPr>
          <w:rFonts w:ascii="Times New Roman" w:hAnsi="Times New Roman"/>
        </w:rPr>
        <w:t xml:space="preserve"> </w:t>
      </w:r>
    </w:p>
    <w:p w14:paraId="00520FE2" w14:textId="4A3C5DED"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The well-established principle is also consistent with the criteria for granting special leave to appeal to this Court.</w:t>
      </w:r>
      <w:r w:rsidRPr="00B14447">
        <w:rPr>
          <w:rStyle w:val="FootnoteReference"/>
          <w:rFonts w:ascii="Times New Roman" w:hAnsi="Times New Roman"/>
          <w:sz w:val="24"/>
        </w:rPr>
        <w:footnoteReference w:id="51"/>
      </w:r>
      <w:r w:rsidRPr="00B14447">
        <w:rPr>
          <w:rFonts w:ascii="Times New Roman" w:hAnsi="Times New Roman"/>
        </w:rPr>
        <w:t xml:space="preserve"> Concurrent findings of fact that are plainly wrong may justify the grant of special leave having regard to the interests of justice in the particular case. </w:t>
      </w:r>
      <w:r w:rsidR="0083548F" w:rsidRPr="00B14447">
        <w:rPr>
          <w:rFonts w:ascii="Times New Roman" w:hAnsi="Times New Roman"/>
        </w:rPr>
        <w:t>But the less apparent the error</w:t>
      </w:r>
      <w:r w:rsidR="006872FE" w:rsidRPr="00B14447">
        <w:rPr>
          <w:rFonts w:ascii="Times New Roman" w:hAnsi="Times New Roman"/>
        </w:rPr>
        <w:t xml:space="preserve">, and the </w:t>
      </w:r>
      <w:r w:rsidR="00B24521" w:rsidRPr="00B14447">
        <w:rPr>
          <w:rFonts w:ascii="Times New Roman" w:hAnsi="Times New Roman"/>
        </w:rPr>
        <w:t>less the potential for injustice, the less likely it will be that the interests of justice will favour a grant of special leave.</w:t>
      </w:r>
      <w:r w:rsidR="00B875AC" w:rsidRPr="00B14447">
        <w:rPr>
          <w:rFonts w:ascii="Times New Roman" w:hAnsi="Times New Roman"/>
        </w:rPr>
        <w:t xml:space="preserve"> The special leave process will generally operate as the mechanism by which this Court ensures </w:t>
      </w:r>
      <w:r w:rsidR="00734353" w:rsidRPr="00B14447">
        <w:rPr>
          <w:rFonts w:ascii="Times New Roman" w:hAnsi="Times New Roman"/>
        </w:rPr>
        <w:t xml:space="preserve">that </w:t>
      </w:r>
      <w:r w:rsidR="004B5AF2" w:rsidRPr="00B14447">
        <w:rPr>
          <w:rFonts w:ascii="Times New Roman" w:hAnsi="Times New Roman"/>
        </w:rPr>
        <w:t xml:space="preserve">it </w:t>
      </w:r>
      <w:r w:rsidR="00E85D50" w:rsidRPr="00B14447">
        <w:rPr>
          <w:rFonts w:ascii="Times New Roman" w:hAnsi="Times New Roman"/>
        </w:rPr>
        <w:t xml:space="preserve">is only tasked with reconsidering </w:t>
      </w:r>
      <w:r w:rsidR="0068051B" w:rsidRPr="00B14447">
        <w:rPr>
          <w:rFonts w:ascii="Times New Roman" w:hAnsi="Times New Roman"/>
        </w:rPr>
        <w:t xml:space="preserve">concurrent </w:t>
      </w:r>
      <w:r w:rsidR="0058334E" w:rsidRPr="00B14447">
        <w:rPr>
          <w:rFonts w:ascii="Times New Roman" w:hAnsi="Times New Roman"/>
        </w:rPr>
        <w:t xml:space="preserve">factual findings </w:t>
      </w:r>
      <w:r w:rsidR="0068051B" w:rsidRPr="00B14447">
        <w:rPr>
          <w:rFonts w:ascii="Times New Roman" w:hAnsi="Times New Roman"/>
        </w:rPr>
        <w:t>where there are special reasons</w:t>
      </w:r>
      <w:r w:rsidR="006F5B40" w:rsidRPr="00B14447">
        <w:rPr>
          <w:rFonts w:ascii="Times New Roman" w:hAnsi="Times New Roman"/>
        </w:rPr>
        <w:t>,</w:t>
      </w:r>
      <w:r w:rsidR="0068051B" w:rsidRPr="00B14447">
        <w:rPr>
          <w:rFonts w:ascii="Times New Roman" w:hAnsi="Times New Roman"/>
        </w:rPr>
        <w:t xml:space="preserve"> such as plain injustice. However, </w:t>
      </w:r>
      <w:r w:rsidR="00BA08C7" w:rsidRPr="00B14447">
        <w:rPr>
          <w:rFonts w:ascii="Times New Roman" w:hAnsi="Times New Roman"/>
        </w:rPr>
        <w:t>as this case shows, where a</w:t>
      </w:r>
      <w:r w:rsidR="00F80F2A" w:rsidRPr="00B14447">
        <w:rPr>
          <w:rFonts w:ascii="Times New Roman" w:hAnsi="Times New Roman"/>
        </w:rPr>
        <w:t>n appellant</w:t>
      </w:r>
      <w:r w:rsidR="00BA08C7" w:rsidRPr="00B14447">
        <w:rPr>
          <w:rFonts w:ascii="Times New Roman" w:hAnsi="Times New Roman"/>
        </w:rPr>
        <w:t xml:space="preserve"> departs</w:t>
      </w:r>
      <w:r w:rsidR="005A720B" w:rsidRPr="00B14447">
        <w:rPr>
          <w:rFonts w:ascii="Times New Roman" w:hAnsi="Times New Roman"/>
        </w:rPr>
        <w:t xml:space="preserve"> </w:t>
      </w:r>
      <w:r w:rsidR="00BA08C7" w:rsidRPr="00B14447">
        <w:rPr>
          <w:rFonts w:ascii="Times New Roman" w:hAnsi="Times New Roman"/>
        </w:rPr>
        <w:t xml:space="preserve">from </w:t>
      </w:r>
      <w:r w:rsidR="008A6DF4" w:rsidRPr="00B14447">
        <w:rPr>
          <w:rFonts w:ascii="Times New Roman" w:hAnsi="Times New Roman"/>
        </w:rPr>
        <w:t xml:space="preserve">the case presented </w:t>
      </w:r>
      <w:r w:rsidR="00965B24" w:rsidRPr="00B14447">
        <w:rPr>
          <w:rFonts w:ascii="Times New Roman" w:hAnsi="Times New Roman"/>
        </w:rPr>
        <w:t xml:space="preserve">in its special leave application, the Court may be in the position </w:t>
      </w:r>
      <w:r w:rsidR="005A720B" w:rsidRPr="00B14447">
        <w:rPr>
          <w:rFonts w:ascii="Times New Roman" w:hAnsi="Times New Roman"/>
        </w:rPr>
        <w:t xml:space="preserve">of having to consider whether there is "clear error" </w:t>
      </w:r>
      <w:r w:rsidR="000550A9" w:rsidRPr="00B14447">
        <w:rPr>
          <w:rFonts w:ascii="Times New Roman" w:hAnsi="Times New Roman"/>
        </w:rPr>
        <w:t xml:space="preserve">sufficient to </w:t>
      </w:r>
      <w:r w:rsidR="003A4C4F" w:rsidRPr="00B14447">
        <w:rPr>
          <w:rFonts w:ascii="Times New Roman" w:hAnsi="Times New Roman"/>
        </w:rPr>
        <w:t xml:space="preserve">justify disturbing </w:t>
      </w:r>
      <w:r w:rsidR="002C469E" w:rsidRPr="00B14447">
        <w:rPr>
          <w:rFonts w:ascii="Times New Roman" w:hAnsi="Times New Roman"/>
        </w:rPr>
        <w:t>concurrent findings</w:t>
      </w:r>
      <w:r w:rsidR="006C6F44" w:rsidRPr="00B14447">
        <w:rPr>
          <w:rFonts w:ascii="Times New Roman" w:hAnsi="Times New Roman"/>
        </w:rPr>
        <w:t xml:space="preserve"> of fact</w:t>
      </w:r>
      <w:r w:rsidR="002C469E" w:rsidRPr="00B14447">
        <w:rPr>
          <w:rFonts w:ascii="Times New Roman" w:hAnsi="Times New Roman"/>
        </w:rPr>
        <w:t xml:space="preserve">. </w:t>
      </w:r>
    </w:p>
    <w:p w14:paraId="673801CE" w14:textId="5A723820" w:rsidR="001604FC"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These matters, taken together with questions about the deployment of the time required by a final court to undertake such a review</w:t>
      </w:r>
      <w:r w:rsidR="00765628" w:rsidRPr="00B14447">
        <w:rPr>
          <w:rFonts w:ascii="Times New Roman" w:hAnsi="Times New Roman"/>
        </w:rPr>
        <w:t>,</w:t>
      </w:r>
      <w:r w:rsidRPr="00B14447">
        <w:rPr>
          <w:rFonts w:ascii="Times New Roman" w:hAnsi="Times New Roman"/>
        </w:rPr>
        <w:t xml:space="preserve"> combine to reinforce the well-established principle that an ultimate appellate court</w:t>
      </w:r>
      <w:r w:rsidR="004E2DDE" w:rsidRPr="00B14447">
        <w:rPr>
          <w:rFonts w:ascii="Times New Roman" w:hAnsi="Times New Roman"/>
        </w:rPr>
        <w:t xml:space="preserve"> </w:t>
      </w:r>
      <w:r w:rsidR="00765628" w:rsidRPr="00B14447">
        <w:rPr>
          <w:rFonts w:ascii="Times New Roman" w:hAnsi="Times New Roman"/>
        </w:rPr>
        <w:t>—</w:t>
      </w:r>
      <w:r w:rsidR="004E2DDE" w:rsidRPr="00B14447">
        <w:rPr>
          <w:rFonts w:ascii="Times New Roman" w:hAnsi="Times New Roman"/>
        </w:rPr>
        <w:t xml:space="preserve"> </w:t>
      </w:r>
      <w:r w:rsidRPr="00B14447">
        <w:rPr>
          <w:rFonts w:ascii="Times New Roman" w:hAnsi="Times New Roman"/>
        </w:rPr>
        <w:t>a second appellate court</w:t>
      </w:r>
      <w:r w:rsidR="004E2DDE" w:rsidRPr="00B14447">
        <w:rPr>
          <w:rFonts w:ascii="Times New Roman" w:hAnsi="Times New Roman"/>
        </w:rPr>
        <w:t xml:space="preserve"> </w:t>
      </w:r>
      <w:r w:rsidR="00765628" w:rsidRPr="00B14447">
        <w:rPr>
          <w:rFonts w:ascii="Times New Roman" w:hAnsi="Times New Roman"/>
        </w:rPr>
        <w:t>—</w:t>
      </w:r>
      <w:r w:rsidR="004E2DDE" w:rsidRPr="00B14447">
        <w:rPr>
          <w:rFonts w:ascii="Times New Roman" w:hAnsi="Times New Roman"/>
        </w:rPr>
        <w:t xml:space="preserve"> </w:t>
      </w:r>
      <w:r w:rsidRPr="00B14447">
        <w:rPr>
          <w:rFonts w:ascii="Times New Roman" w:hAnsi="Times New Roman"/>
        </w:rPr>
        <w:t xml:space="preserve">should </w:t>
      </w:r>
      <w:r w:rsidRPr="00B14447">
        <w:rPr>
          <w:rFonts w:ascii="Times New Roman" w:hAnsi="Times New Roman"/>
          <w:i/>
        </w:rPr>
        <w:t>not</w:t>
      </w:r>
      <w:r w:rsidRPr="00B14447">
        <w:rPr>
          <w:rFonts w:ascii="Times New Roman" w:hAnsi="Times New Roman"/>
        </w:rPr>
        <w:t xml:space="preserve"> in the absence of "special reasons", such as plain injustice or clear error, disturb concurrent findings of fact. </w:t>
      </w:r>
    </w:p>
    <w:p w14:paraId="17E9C6DE" w14:textId="77777777" w:rsidR="00CA2BB6"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This is no uniquely Australian view. </w:t>
      </w:r>
    </w:p>
    <w:p w14:paraId="6AF7E1E1" w14:textId="73432694" w:rsidR="001604FC" w:rsidRPr="00B14447" w:rsidRDefault="00CA2BB6"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1604FC" w:rsidRPr="00B14447">
        <w:rPr>
          <w:rFonts w:ascii="Times New Roman" w:hAnsi="Times New Roman"/>
        </w:rPr>
        <w:t xml:space="preserve">In Canada, the </w:t>
      </w:r>
      <w:r w:rsidR="003A31DF" w:rsidRPr="00B14447">
        <w:rPr>
          <w:rFonts w:ascii="Times New Roman" w:hAnsi="Times New Roman"/>
        </w:rPr>
        <w:t>standard for intervention</w:t>
      </w:r>
      <w:r w:rsidR="00C55924" w:rsidRPr="00B14447">
        <w:rPr>
          <w:rFonts w:ascii="Times New Roman" w:hAnsi="Times New Roman"/>
        </w:rPr>
        <w:t xml:space="preserve"> has been set out and reaffirmed in an unbroken line of cases for decades.</w:t>
      </w:r>
      <w:r w:rsidR="00C55924" w:rsidRPr="00B14447">
        <w:rPr>
          <w:rStyle w:val="FootnoteReference"/>
          <w:rFonts w:ascii="Times New Roman" w:hAnsi="Times New Roman"/>
          <w:sz w:val="24"/>
        </w:rPr>
        <w:footnoteReference w:id="52"/>
      </w:r>
      <w:r w:rsidR="00D90222" w:rsidRPr="00B14447">
        <w:rPr>
          <w:rFonts w:ascii="Times New Roman" w:hAnsi="Times New Roman"/>
        </w:rPr>
        <w:t xml:space="preserve"> As the </w:t>
      </w:r>
      <w:r w:rsidR="00707B9E" w:rsidRPr="00B14447">
        <w:rPr>
          <w:rFonts w:ascii="Times New Roman" w:hAnsi="Times New Roman"/>
        </w:rPr>
        <w:t>"second level of appeal",</w:t>
      </w:r>
      <w:r w:rsidR="00707B9E" w:rsidRPr="00B14447">
        <w:rPr>
          <w:rStyle w:val="FootnoteReference"/>
          <w:rFonts w:ascii="Times New Roman" w:hAnsi="Times New Roman"/>
          <w:sz w:val="24"/>
        </w:rPr>
        <w:footnoteReference w:id="53"/>
      </w:r>
      <w:r w:rsidR="00707B9E" w:rsidRPr="00B14447">
        <w:rPr>
          <w:rFonts w:ascii="Times New Roman" w:hAnsi="Times New Roman"/>
        </w:rPr>
        <w:t xml:space="preserve"> the Supreme Court of Canada</w:t>
      </w:r>
      <w:r w:rsidR="00431286" w:rsidRPr="00B14447">
        <w:rPr>
          <w:rFonts w:ascii="Times New Roman" w:hAnsi="Times New Roman"/>
        </w:rPr>
        <w:t xml:space="preserve"> adopts a "principle of non</w:t>
      </w:r>
      <w:r w:rsidR="00431286" w:rsidRPr="00B14447">
        <w:rPr>
          <w:rFonts w:ascii="Times New Roman" w:hAnsi="Times New Roman"/>
        </w:rPr>
        <w:noBreakHyphen/>
        <w:t>intervention</w:t>
      </w:r>
      <w:r w:rsidR="00DA0DAB" w:rsidRPr="00B14447">
        <w:rPr>
          <w:rFonts w:ascii="Times New Roman" w:hAnsi="Times New Roman"/>
        </w:rPr>
        <w:t xml:space="preserve">"; </w:t>
      </w:r>
      <w:r w:rsidR="00D05E34" w:rsidRPr="00B14447">
        <w:rPr>
          <w:rFonts w:ascii="Times New Roman" w:hAnsi="Times New Roman"/>
        </w:rPr>
        <w:t xml:space="preserve">the </w:t>
      </w:r>
      <w:r w:rsidR="00594E63" w:rsidRPr="00B14447">
        <w:rPr>
          <w:rFonts w:ascii="Times New Roman" w:hAnsi="Times New Roman"/>
        </w:rPr>
        <w:t>"</w:t>
      </w:r>
      <w:r w:rsidR="001F18F7" w:rsidRPr="00B14447">
        <w:rPr>
          <w:rFonts w:ascii="Times New Roman" w:hAnsi="Times New Roman"/>
        </w:rPr>
        <w:t>C</w:t>
      </w:r>
      <w:r w:rsidR="00D05E34" w:rsidRPr="00B14447">
        <w:rPr>
          <w:rFonts w:ascii="Times New Roman" w:hAnsi="Times New Roman"/>
        </w:rPr>
        <w:t>ourt</w:t>
      </w:r>
      <w:r w:rsidR="00707B9E" w:rsidRPr="00B14447">
        <w:rPr>
          <w:rFonts w:ascii="Times New Roman" w:hAnsi="Times New Roman"/>
        </w:rPr>
        <w:t>'s role</w:t>
      </w:r>
      <w:r w:rsidR="0094176B" w:rsidRPr="00B14447">
        <w:rPr>
          <w:rFonts w:ascii="Times New Roman" w:hAnsi="Times New Roman"/>
        </w:rPr>
        <w:t xml:space="preserve"> is not to </w:t>
      </w:r>
      <w:r w:rsidR="00D05E34" w:rsidRPr="00B14447">
        <w:rPr>
          <w:rFonts w:ascii="Times New Roman" w:hAnsi="Times New Roman"/>
        </w:rPr>
        <w:t xml:space="preserve">reassess </w:t>
      </w:r>
      <w:r w:rsidR="00594E63" w:rsidRPr="00B14447">
        <w:rPr>
          <w:rFonts w:ascii="Times New Roman" w:hAnsi="Times New Roman"/>
        </w:rPr>
        <w:t xml:space="preserve">the </w:t>
      </w:r>
      <w:r w:rsidR="00D05E34" w:rsidRPr="00B14447">
        <w:rPr>
          <w:rFonts w:ascii="Times New Roman" w:hAnsi="Times New Roman"/>
        </w:rPr>
        <w:t xml:space="preserve">findings of </w:t>
      </w:r>
      <w:r w:rsidR="001F18F7" w:rsidRPr="00B14447">
        <w:rPr>
          <w:rFonts w:ascii="Times New Roman" w:hAnsi="Times New Roman"/>
        </w:rPr>
        <w:t xml:space="preserve">fact of </w:t>
      </w:r>
      <w:r w:rsidR="00D05E34" w:rsidRPr="00B14447">
        <w:rPr>
          <w:rFonts w:ascii="Times New Roman" w:hAnsi="Times New Roman"/>
        </w:rPr>
        <w:t xml:space="preserve">a judge </w:t>
      </w:r>
      <w:r w:rsidR="003B5FC2" w:rsidRPr="00B14447">
        <w:rPr>
          <w:rFonts w:ascii="Times New Roman" w:hAnsi="Times New Roman"/>
        </w:rPr>
        <w:t>at the trial level that an appellate court has not questioned"</w:t>
      </w:r>
      <w:r w:rsidR="00326EF6" w:rsidRPr="00B14447">
        <w:rPr>
          <w:rFonts w:ascii="Times New Roman" w:hAnsi="Times New Roman"/>
        </w:rPr>
        <w:t xml:space="preserve">, a </w:t>
      </w:r>
      <w:r w:rsidR="003B5FC2" w:rsidRPr="00B14447">
        <w:rPr>
          <w:rFonts w:ascii="Times New Roman" w:hAnsi="Times New Roman"/>
        </w:rPr>
        <w:t xml:space="preserve">principle "all the stronger in the face of </w:t>
      </w:r>
      <w:r w:rsidR="00301F0A" w:rsidRPr="00B14447">
        <w:rPr>
          <w:rFonts w:ascii="Times New Roman" w:hAnsi="Times New Roman"/>
          <w:i/>
        </w:rPr>
        <w:lastRenderedPageBreak/>
        <w:t>concurrent findings</w:t>
      </w:r>
      <w:r w:rsidR="00301F0A" w:rsidRPr="00B14447">
        <w:rPr>
          <w:rFonts w:ascii="Times New Roman" w:hAnsi="Times New Roman"/>
        </w:rPr>
        <w:t xml:space="preserve"> of </w:t>
      </w:r>
      <w:r w:rsidR="00406987" w:rsidRPr="00B14447">
        <w:rPr>
          <w:rFonts w:ascii="Times New Roman" w:hAnsi="Times New Roman"/>
        </w:rPr>
        <w:t xml:space="preserve">both </w:t>
      </w:r>
      <w:r w:rsidR="00301F0A" w:rsidRPr="00B14447">
        <w:rPr>
          <w:rFonts w:ascii="Times New Roman" w:hAnsi="Times New Roman"/>
        </w:rPr>
        <w:t xml:space="preserve">courts </w:t>
      </w:r>
      <w:r w:rsidR="00406987" w:rsidRPr="00B14447">
        <w:rPr>
          <w:rFonts w:ascii="Times New Roman" w:hAnsi="Times New Roman"/>
        </w:rPr>
        <w:t>below"</w:t>
      </w:r>
      <w:r w:rsidR="00406987" w:rsidRPr="00B14447">
        <w:rPr>
          <w:rStyle w:val="FootnoteReference"/>
          <w:rFonts w:ascii="Times New Roman" w:hAnsi="Times New Roman"/>
          <w:sz w:val="24"/>
        </w:rPr>
        <w:footnoteReference w:id="54"/>
      </w:r>
      <w:r w:rsidR="00406987" w:rsidRPr="00B14447">
        <w:rPr>
          <w:rFonts w:ascii="Times New Roman" w:hAnsi="Times New Roman"/>
        </w:rPr>
        <w:t xml:space="preserve"> </w:t>
      </w:r>
      <w:r w:rsidR="00301F0A" w:rsidRPr="00B14447">
        <w:rPr>
          <w:rFonts w:ascii="Times New Roman" w:hAnsi="Times New Roman"/>
          <w:i/>
        </w:rPr>
        <w:t>unless</w:t>
      </w:r>
      <w:r w:rsidR="00301F0A" w:rsidRPr="00B14447">
        <w:rPr>
          <w:rFonts w:ascii="Times New Roman" w:hAnsi="Times New Roman"/>
        </w:rPr>
        <w:t xml:space="preserve"> there is a </w:t>
      </w:r>
      <w:r w:rsidR="00DF7F16" w:rsidRPr="00B14447">
        <w:rPr>
          <w:rFonts w:ascii="Times New Roman" w:hAnsi="Times New Roman"/>
        </w:rPr>
        <w:t>"</w:t>
      </w:r>
      <w:r w:rsidR="00301F0A" w:rsidRPr="00B14447">
        <w:rPr>
          <w:rFonts w:ascii="Times New Roman" w:hAnsi="Times New Roman"/>
          <w:i/>
        </w:rPr>
        <w:t>palpable and overriding error</w:t>
      </w:r>
      <w:r w:rsidR="00301F0A" w:rsidRPr="00B14447">
        <w:rPr>
          <w:rFonts w:ascii="Times New Roman" w:hAnsi="Times New Roman"/>
        </w:rPr>
        <w:t xml:space="preserve"> in the </w:t>
      </w:r>
      <w:r w:rsidR="007E3CCA" w:rsidRPr="00B14447">
        <w:rPr>
          <w:rFonts w:ascii="Times New Roman" w:hAnsi="Times New Roman"/>
        </w:rPr>
        <w:t xml:space="preserve">... </w:t>
      </w:r>
      <w:r w:rsidR="00301F0A" w:rsidRPr="00B14447">
        <w:rPr>
          <w:rFonts w:ascii="Times New Roman" w:hAnsi="Times New Roman"/>
        </w:rPr>
        <w:t>analysis of the facts</w:t>
      </w:r>
      <w:r w:rsidR="00DF7F16" w:rsidRPr="00B14447">
        <w:rPr>
          <w:rFonts w:ascii="Times New Roman" w:hAnsi="Times New Roman"/>
        </w:rPr>
        <w:t>"</w:t>
      </w:r>
      <w:r w:rsidR="000519EE" w:rsidRPr="00B14447">
        <w:rPr>
          <w:rFonts w:ascii="Times New Roman" w:hAnsi="Times New Roman"/>
        </w:rPr>
        <w:t>.</w:t>
      </w:r>
      <w:r w:rsidR="00301F0A" w:rsidRPr="00B14447">
        <w:rPr>
          <w:rStyle w:val="FootnoteReference"/>
          <w:rFonts w:ascii="Times New Roman" w:hAnsi="Times New Roman"/>
          <w:sz w:val="24"/>
        </w:rPr>
        <w:footnoteReference w:id="55"/>
      </w:r>
      <w:r w:rsidR="00301F0A" w:rsidRPr="00B14447">
        <w:rPr>
          <w:rFonts w:ascii="Times New Roman" w:hAnsi="Times New Roman"/>
        </w:rPr>
        <w:t xml:space="preserve"> </w:t>
      </w:r>
      <w:r w:rsidR="000519EE" w:rsidRPr="00B14447">
        <w:rPr>
          <w:rFonts w:ascii="Times New Roman" w:hAnsi="Times New Roman"/>
        </w:rPr>
        <w:t>"</w:t>
      </w:r>
      <w:r w:rsidR="00C7799A" w:rsidRPr="00B14447">
        <w:rPr>
          <w:rFonts w:ascii="Times New Roman" w:hAnsi="Times New Roman"/>
        </w:rPr>
        <w:t>P</w:t>
      </w:r>
      <w:r w:rsidR="000519EE" w:rsidRPr="00B14447">
        <w:rPr>
          <w:rFonts w:ascii="Times New Roman" w:hAnsi="Times New Roman"/>
        </w:rPr>
        <w:t>alpable and overriding error"</w:t>
      </w:r>
      <w:r w:rsidR="00B83009" w:rsidRPr="00B14447">
        <w:rPr>
          <w:rFonts w:ascii="Times New Roman" w:hAnsi="Times New Roman"/>
        </w:rPr>
        <w:t>, although</w:t>
      </w:r>
      <w:r w:rsidR="00E33C7F" w:rsidRPr="00B14447">
        <w:rPr>
          <w:rFonts w:ascii="Times New Roman" w:hAnsi="Times New Roman"/>
        </w:rPr>
        <w:t xml:space="preserve"> used as "an elegant and expressive description of the entrenched and generally applicable </w:t>
      </w:r>
      <w:r w:rsidR="00142CF6" w:rsidRPr="00B14447">
        <w:rPr>
          <w:rFonts w:ascii="Times New Roman" w:hAnsi="Times New Roman"/>
        </w:rPr>
        <w:t>standard of appellate review of the findings of fact at trial"</w:t>
      </w:r>
      <w:r w:rsidR="00EB6139" w:rsidRPr="00B14447">
        <w:rPr>
          <w:rFonts w:ascii="Times New Roman" w:hAnsi="Times New Roman"/>
        </w:rPr>
        <w:t>,</w:t>
      </w:r>
      <w:r w:rsidR="00142CF6" w:rsidRPr="00B14447">
        <w:rPr>
          <w:rStyle w:val="FootnoteReference"/>
          <w:rFonts w:ascii="Times New Roman" w:hAnsi="Times New Roman"/>
          <w:sz w:val="24"/>
        </w:rPr>
        <w:footnoteReference w:id="56"/>
      </w:r>
      <w:r w:rsidR="00B83009" w:rsidRPr="00B14447">
        <w:rPr>
          <w:rFonts w:ascii="Times New Roman" w:hAnsi="Times New Roman"/>
        </w:rPr>
        <w:t xml:space="preserve"> does not displace alternative formulations of the governing standard </w:t>
      </w:r>
      <w:r w:rsidR="004D7929" w:rsidRPr="00B14447">
        <w:rPr>
          <w:rFonts w:ascii="Times New Roman" w:hAnsi="Times New Roman"/>
        </w:rPr>
        <w:t>of "clearly wrong",</w:t>
      </w:r>
      <w:r w:rsidR="004D7929" w:rsidRPr="00B14447">
        <w:rPr>
          <w:rStyle w:val="FootnoteReference"/>
          <w:rFonts w:ascii="Times New Roman" w:hAnsi="Times New Roman"/>
          <w:sz w:val="24"/>
        </w:rPr>
        <w:footnoteReference w:id="57"/>
      </w:r>
      <w:r w:rsidR="004D7929" w:rsidRPr="00B14447">
        <w:rPr>
          <w:rFonts w:ascii="Times New Roman" w:hAnsi="Times New Roman"/>
        </w:rPr>
        <w:t xml:space="preserve"> </w:t>
      </w:r>
      <w:r w:rsidR="00301F0A" w:rsidRPr="00B14447">
        <w:rPr>
          <w:rFonts w:ascii="Times New Roman" w:hAnsi="Times New Roman"/>
        </w:rPr>
        <w:t>"absolutely wrong"</w:t>
      </w:r>
      <w:r w:rsidR="00301F0A" w:rsidRPr="00B14447">
        <w:rPr>
          <w:rStyle w:val="FootnoteReference"/>
          <w:rFonts w:ascii="Times New Roman" w:hAnsi="Times New Roman"/>
          <w:sz w:val="24"/>
        </w:rPr>
        <w:footnoteReference w:id="58"/>
      </w:r>
      <w:r w:rsidR="00301F0A" w:rsidRPr="00B14447">
        <w:rPr>
          <w:rFonts w:ascii="Times New Roman" w:hAnsi="Times New Roman"/>
        </w:rPr>
        <w:t xml:space="preserve"> or "clearly wrong or erroneous".</w:t>
      </w:r>
      <w:r w:rsidR="00301F0A" w:rsidRPr="00B14447">
        <w:rPr>
          <w:rStyle w:val="FootnoteReference"/>
          <w:rFonts w:ascii="Times New Roman" w:hAnsi="Times New Roman"/>
          <w:sz w:val="24"/>
        </w:rPr>
        <w:footnoteReference w:id="59"/>
      </w:r>
      <w:r w:rsidR="00FB4748" w:rsidRPr="00B14447">
        <w:rPr>
          <w:rFonts w:ascii="Times New Roman" w:hAnsi="Times New Roman"/>
        </w:rPr>
        <w:t xml:space="preserve"> </w:t>
      </w:r>
      <w:r w:rsidR="00E11934" w:rsidRPr="00B14447">
        <w:rPr>
          <w:rFonts w:ascii="Times New Roman" w:hAnsi="Times New Roman"/>
        </w:rPr>
        <w:t>Reflecting the</w:t>
      </w:r>
      <w:r w:rsidR="00C070DB" w:rsidRPr="00B14447">
        <w:rPr>
          <w:rFonts w:ascii="Times New Roman" w:hAnsi="Times New Roman"/>
        </w:rPr>
        <w:t xml:space="preserve"> </w:t>
      </w:r>
      <w:r w:rsidR="00E11934" w:rsidRPr="00B14447">
        <w:rPr>
          <w:rFonts w:ascii="Times New Roman" w:hAnsi="Times New Roman"/>
        </w:rPr>
        <w:t>principle of non</w:t>
      </w:r>
      <w:r w:rsidR="00E11934" w:rsidRPr="00B14447">
        <w:rPr>
          <w:rFonts w:ascii="Times New Roman" w:hAnsi="Times New Roman"/>
        </w:rPr>
        <w:noBreakHyphen/>
        <w:t>intervention, th</w:t>
      </w:r>
      <w:r w:rsidR="002C10A5" w:rsidRPr="00B14447">
        <w:rPr>
          <w:rFonts w:ascii="Times New Roman" w:hAnsi="Times New Roman"/>
        </w:rPr>
        <w:t xml:space="preserve">e Court will not reverse </w:t>
      </w:r>
      <w:r w:rsidR="00C44887" w:rsidRPr="00B14447">
        <w:rPr>
          <w:rFonts w:ascii="Times New Roman" w:hAnsi="Times New Roman"/>
        </w:rPr>
        <w:t xml:space="preserve">concurrent </w:t>
      </w:r>
      <w:r w:rsidR="002C10A5" w:rsidRPr="00B14447">
        <w:rPr>
          <w:rFonts w:ascii="Times New Roman" w:hAnsi="Times New Roman"/>
        </w:rPr>
        <w:t xml:space="preserve">findings </w:t>
      </w:r>
      <w:r w:rsidR="000A7B70" w:rsidRPr="00B14447">
        <w:rPr>
          <w:rFonts w:ascii="Times New Roman" w:hAnsi="Times New Roman"/>
        </w:rPr>
        <w:t>"</w:t>
      </w:r>
      <w:r w:rsidR="002C10A5" w:rsidRPr="00B14447">
        <w:rPr>
          <w:rFonts w:ascii="Times New Roman" w:hAnsi="Times New Roman"/>
        </w:rPr>
        <w:t xml:space="preserve">even </w:t>
      </w:r>
      <w:r w:rsidR="000A7B70" w:rsidRPr="00B14447">
        <w:rPr>
          <w:rFonts w:ascii="Times New Roman" w:hAnsi="Times New Roman"/>
        </w:rPr>
        <w:t>though the evidence on which the courts below based their findings of fact might appear weak".</w:t>
      </w:r>
      <w:r w:rsidR="000A7B70" w:rsidRPr="00B14447">
        <w:rPr>
          <w:rStyle w:val="FootnoteReference"/>
          <w:rFonts w:ascii="Times New Roman" w:hAnsi="Times New Roman"/>
          <w:sz w:val="24"/>
        </w:rPr>
        <w:footnoteReference w:id="60"/>
      </w:r>
    </w:p>
    <w:p w14:paraId="03ED680A" w14:textId="2127BF33" w:rsidR="00401D97" w:rsidRPr="00B14447" w:rsidRDefault="001604FC"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the United States, where judicial review of findings of trial courts does not have the statutory or constitutional limitations </w:t>
      </w:r>
      <w:r w:rsidR="008E47BE" w:rsidRPr="00B14447">
        <w:rPr>
          <w:rFonts w:ascii="Times New Roman" w:hAnsi="Times New Roman"/>
        </w:rPr>
        <w:t>on</w:t>
      </w:r>
      <w:r w:rsidR="00C42BDC" w:rsidRPr="00B14447">
        <w:rPr>
          <w:rFonts w:ascii="Times New Roman" w:hAnsi="Times New Roman"/>
        </w:rPr>
        <w:t xml:space="preserve"> </w:t>
      </w:r>
      <w:r w:rsidRPr="00B14447">
        <w:rPr>
          <w:rFonts w:ascii="Times New Roman" w:hAnsi="Times New Roman"/>
        </w:rPr>
        <w:t xml:space="preserve">judicial review of findings by administrative agencies or by a jury, from at least the 1940s the Supreme Court of the United States has adopted what has been described as </w:t>
      </w:r>
      <w:r w:rsidR="00F874B1" w:rsidRPr="00B14447">
        <w:rPr>
          <w:rFonts w:ascii="Times New Roman" w:hAnsi="Times New Roman"/>
        </w:rPr>
        <w:t>the "heavy burden</w:t>
      </w:r>
      <w:r w:rsidR="008B1CFE" w:rsidRPr="00B14447">
        <w:rPr>
          <w:rFonts w:ascii="Times New Roman" w:hAnsi="Times New Roman"/>
        </w:rPr>
        <w:t xml:space="preserve"> </w:t>
      </w:r>
      <w:r w:rsidR="008B1CFE" w:rsidRPr="00B14447">
        <w:rPr>
          <w:rFonts w:ascii="Times New Roman" w:hAnsi="Times New Roman"/>
        </w:rPr>
        <w:lastRenderedPageBreak/>
        <w:t>under the '</w:t>
      </w:r>
      <w:r w:rsidR="00E8698C" w:rsidRPr="00B14447">
        <w:rPr>
          <w:rFonts w:ascii="Times New Roman" w:hAnsi="Times New Roman"/>
        </w:rPr>
        <w:t>t</w:t>
      </w:r>
      <w:r w:rsidRPr="00B14447">
        <w:rPr>
          <w:rFonts w:ascii="Times New Roman" w:hAnsi="Times New Roman"/>
        </w:rPr>
        <w:t>wo-</w:t>
      </w:r>
      <w:r w:rsidR="00E8698C" w:rsidRPr="00B14447">
        <w:rPr>
          <w:rFonts w:ascii="Times New Roman" w:hAnsi="Times New Roman"/>
        </w:rPr>
        <w:t>c</w:t>
      </w:r>
      <w:r w:rsidRPr="00B14447">
        <w:rPr>
          <w:rFonts w:ascii="Times New Roman" w:hAnsi="Times New Roman"/>
        </w:rPr>
        <w:t xml:space="preserve">ourt </w:t>
      </w:r>
      <w:r w:rsidR="00E8698C" w:rsidRPr="00B14447">
        <w:rPr>
          <w:rFonts w:ascii="Times New Roman" w:hAnsi="Times New Roman"/>
        </w:rPr>
        <w:t>r</w:t>
      </w:r>
      <w:r w:rsidRPr="00B14447">
        <w:rPr>
          <w:rFonts w:ascii="Times New Roman" w:hAnsi="Times New Roman"/>
        </w:rPr>
        <w:t>ule</w:t>
      </w:r>
      <w:r w:rsidR="008B1CFE" w:rsidRPr="00B14447">
        <w:rPr>
          <w:rFonts w:ascii="Times New Roman" w:hAnsi="Times New Roman"/>
        </w:rPr>
        <w:t>'</w:t>
      </w:r>
      <w:r w:rsidRPr="00B14447">
        <w:rPr>
          <w:rFonts w:ascii="Times New Roman" w:hAnsi="Times New Roman"/>
        </w:rPr>
        <w:t>"</w:t>
      </w:r>
      <w:r w:rsidR="00107C04" w:rsidRPr="00B14447">
        <w:rPr>
          <w:rFonts w:ascii="Times New Roman" w:hAnsi="Times New Roman"/>
        </w:rPr>
        <w:t>:</w:t>
      </w:r>
      <w:r w:rsidRPr="00B14447">
        <w:rPr>
          <w:rStyle w:val="FootnoteReference"/>
          <w:rFonts w:ascii="Times New Roman" w:hAnsi="Times New Roman"/>
          <w:sz w:val="24"/>
        </w:rPr>
        <w:footnoteReference w:id="61"/>
      </w:r>
      <w:r w:rsidRPr="00B14447">
        <w:rPr>
          <w:rFonts w:ascii="Times New Roman" w:hAnsi="Times New Roman"/>
        </w:rPr>
        <w:t xml:space="preserve"> "[a] court of law, such as this Court is, rather than a court for correct</w:t>
      </w:r>
      <w:r w:rsidR="00107C04" w:rsidRPr="00B14447">
        <w:rPr>
          <w:rFonts w:ascii="Times New Roman" w:hAnsi="Times New Roman"/>
        </w:rPr>
        <w:t>ion</w:t>
      </w:r>
      <w:r w:rsidRPr="00B14447">
        <w:rPr>
          <w:rFonts w:ascii="Times New Roman" w:hAnsi="Times New Roman"/>
        </w:rPr>
        <w:t xml:space="preserve"> of errors in fact finding, cannot undertake to review concurrent findings of fact by two courts below in the absence of a </w:t>
      </w:r>
      <w:r w:rsidRPr="00B14447">
        <w:rPr>
          <w:rFonts w:ascii="Times New Roman" w:hAnsi="Times New Roman"/>
          <w:i/>
        </w:rPr>
        <w:t>very obvious and exceptional showing of error</w:t>
      </w:r>
      <w:r w:rsidRPr="00B14447">
        <w:rPr>
          <w:rFonts w:ascii="Times New Roman" w:hAnsi="Times New Roman"/>
        </w:rPr>
        <w:t>".</w:t>
      </w:r>
      <w:r w:rsidRPr="00B14447">
        <w:rPr>
          <w:rStyle w:val="FootnoteReference"/>
          <w:rFonts w:ascii="Times New Roman" w:hAnsi="Times New Roman"/>
          <w:sz w:val="24"/>
        </w:rPr>
        <w:footnoteReference w:id="62"/>
      </w:r>
      <w:r w:rsidR="0004001E" w:rsidRPr="00B14447">
        <w:rPr>
          <w:rFonts w:ascii="Times New Roman" w:hAnsi="Times New Roman"/>
        </w:rPr>
        <w:t xml:space="preserve"> </w:t>
      </w:r>
      <w:r w:rsidR="00C32C80" w:rsidRPr="00B14447">
        <w:rPr>
          <w:rFonts w:ascii="Times New Roman" w:hAnsi="Times New Roman"/>
        </w:rPr>
        <w:t xml:space="preserve">The </w:t>
      </w:r>
      <w:r w:rsidR="00487F99" w:rsidRPr="00B14447">
        <w:rPr>
          <w:rFonts w:ascii="Times New Roman" w:hAnsi="Times New Roman"/>
        </w:rPr>
        <w:t>C</w:t>
      </w:r>
      <w:r w:rsidR="00C32C80" w:rsidRPr="00B14447">
        <w:rPr>
          <w:rFonts w:ascii="Times New Roman" w:hAnsi="Times New Roman"/>
        </w:rPr>
        <w:t>ourt must be "left with the definite and firm conviction that a mistake has been committed".</w:t>
      </w:r>
      <w:r w:rsidR="00C32C80" w:rsidRPr="00B14447">
        <w:rPr>
          <w:rStyle w:val="FootnoteReference"/>
          <w:rFonts w:ascii="Times New Roman" w:hAnsi="Times New Roman"/>
          <w:sz w:val="24"/>
        </w:rPr>
        <w:footnoteReference w:id="63"/>
      </w:r>
      <w:r w:rsidR="00C32C80" w:rsidRPr="00B14447">
        <w:rPr>
          <w:rFonts w:ascii="Times New Roman" w:hAnsi="Times New Roman"/>
        </w:rPr>
        <w:t xml:space="preserve"> </w:t>
      </w:r>
      <w:r w:rsidR="000546D7" w:rsidRPr="00B14447">
        <w:rPr>
          <w:rFonts w:ascii="Times New Roman" w:hAnsi="Times New Roman"/>
        </w:rPr>
        <w:t>In </w:t>
      </w:r>
      <w:r w:rsidR="000546D7" w:rsidRPr="00B14447">
        <w:rPr>
          <w:rFonts w:ascii="Times New Roman" w:hAnsi="Times New Roman"/>
          <w:i/>
        </w:rPr>
        <w:t>Goodman v Lukens Steel Co</w:t>
      </w:r>
      <w:r w:rsidR="000546D7" w:rsidRPr="00B14447">
        <w:rPr>
          <w:rFonts w:ascii="Times New Roman" w:hAnsi="Times New Roman"/>
        </w:rPr>
        <w:t>,</w:t>
      </w:r>
      <w:r w:rsidR="00032D73" w:rsidRPr="00B14447">
        <w:rPr>
          <w:rStyle w:val="FootnoteReference"/>
          <w:rFonts w:ascii="Times New Roman" w:hAnsi="Times New Roman"/>
          <w:sz w:val="24"/>
        </w:rPr>
        <w:footnoteReference w:id="64"/>
      </w:r>
      <w:r w:rsidR="000546D7" w:rsidRPr="00B14447">
        <w:rPr>
          <w:rFonts w:ascii="Times New Roman" w:hAnsi="Times New Roman"/>
        </w:rPr>
        <w:t xml:space="preserve"> the Court indicated it was "not inclined to examine the record for ourselves absent some extraordinary reason for undertaking this task" where the appellant provides no compelling reason for the Court to do so. In persuading the Court to exercise its jurisdiction to review concurrent findings of fact, the appellant's burden has been described as "heavy".</w:t>
      </w:r>
      <w:r w:rsidR="000546D7" w:rsidRPr="00B14447">
        <w:rPr>
          <w:rStyle w:val="FootnoteReference"/>
          <w:rFonts w:ascii="Times New Roman" w:hAnsi="Times New Roman"/>
          <w:sz w:val="24"/>
        </w:rPr>
        <w:footnoteReference w:id="65"/>
      </w:r>
      <w:r w:rsidR="000546D7" w:rsidRPr="00B14447">
        <w:rPr>
          <w:rFonts w:ascii="Times New Roman" w:hAnsi="Times New Roman"/>
        </w:rPr>
        <w:t xml:space="preserve"> </w:t>
      </w:r>
      <w:r w:rsidR="0004001E" w:rsidRPr="00B14447">
        <w:rPr>
          <w:rFonts w:ascii="Times New Roman" w:hAnsi="Times New Roman"/>
        </w:rPr>
        <w:t>A</w:t>
      </w:r>
      <w:r w:rsidR="00EF23A4" w:rsidRPr="00B14447">
        <w:rPr>
          <w:rFonts w:ascii="Times New Roman" w:hAnsi="Times New Roman"/>
        </w:rPr>
        <w:t> </w:t>
      </w:r>
      <w:r w:rsidRPr="00B14447">
        <w:rPr>
          <w:rFonts w:ascii="Times New Roman" w:hAnsi="Times New Roman"/>
        </w:rPr>
        <w:t xml:space="preserve">finding is </w:t>
      </w:r>
      <w:r w:rsidR="0004001E" w:rsidRPr="00B14447">
        <w:rPr>
          <w:rFonts w:ascii="Times New Roman" w:hAnsi="Times New Roman"/>
        </w:rPr>
        <w:t xml:space="preserve">not </w:t>
      </w:r>
      <w:r w:rsidR="000E207F" w:rsidRPr="00B14447">
        <w:rPr>
          <w:rFonts w:ascii="Times New Roman" w:hAnsi="Times New Roman"/>
        </w:rPr>
        <w:t>"</w:t>
      </w:r>
      <w:r w:rsidRPr="00B14447">
        <w:rPr>
          <w:rFonts w:ascii="Times New Roman" w:hAnsi="Times New Roman"/>
        </w:rPr>
        <w:t>clearly erroneous</w:t>
      </w:r>
      <w:r w:rsidR="000E207F" w:rsidRPr="00B14447">
        <w:rPr>
          <w:rFonts w:ascii="Times New Roman" w:hAnsi="Times New Roman"/>
        </w:rPr>
        <w:t>"</w:t>
      </w:r>
      <w:r w:rsidRPr="00B14447">
        <w:rPr>
          <w:rFonts w:ascii="Times New Roman" w:hAnsi="Times New Roman"/>
        </w:rPr>
        <w:t xml:space="preserve"> </w:t>
      </w:r>
      <w:r w:rsidR="00EF23A4" w:rsidRPr="00B14447">
        <w:rPr>
          <w:rFonts w:ascii="Times New Roman" w:hAnsi="Times New Roman"/>
        </w:rPr>
        <w:t xml:space="preserve">if </w:t>
      </w:r>
      <w:r w:rsidRPr="00B14447">
        <w:rPr>
          <w:rFonts w:ascii="Times New Roman" w:hAnsi="Times New Roman"/>
        </w:rPr>
        <w:t>there is evidence to support it</w:t>
      </w:r>
      <w:r w:rsidR="00F675B5" w:rsidRPr="00B14447">
        <w:rPr>
          <w:rFonts w:ascii="Times New Roman" w:hAnsi="Times New Roman"/>
        </w:rPr>
        <w:t>.</w:t>
      </w:r>
      <w:r w:rsidR="00EF23A4" w:rsidRPr="00B14447">
        <w:rPr>
          <w:rStyle w:val="FootnoteReference"/>
          <w:rFonts w:ascii="Times New Roman" w:hAnsi="Times New Roman"/>
          <w:sz w:val="24"/>
        </w:rPr>
        <w:footnoteReference w:id="66"/>
      </w:r>
      <w:r w:rsidRPr="00B14447">
        <w:rPr>
          <w:rFonts w:ascii="Times New Roman" w:hAnsi="Times New Roman"/>
        </w:rPr>
        <w:t xml:space="preserve"> </w:t>
      </w:r>
      <w:r w:rsidR="00B13FAA" w:rsidRPr="00B14447">
        <w:rPr>
          <w:rFonts w:ascii="Times New Roman" w:hAnsi="Times New Roman"/>
        </w:rPr>
        <w:t>In its modern application, the Court has been more interventionist where the decision for review concerns denaturalization</w:t>
      </w:r>
      <w:bookmarkStart w:id="1" w:name="_Hlk179198242"/>
      <w:r w:rsidR="00B13FAA" w:rsidRPr="00B14447">
        <w:rPr>
          <w:rStyle w:val="FootnoteReference"/>
          <w:rFonts w:ascii="Times New Roman" w:hAnsi="Times New Roman"/>
          <w:sz w:val="24"/>
        </w:rPr>
        <w:footnoteReference w:id="67"/>
      </w:r>
      <w:bookmarkEnd w:id="1"/>
      <w:r w:rsidR="00B13FAA" w:rsidRPr="00B14447">
        <w:rPr>
          <w:rFonts w:ascii="Times New Roman" w:hAnsi="Times New Roman"/>
        </w:rPr>
        <w:t xml:space="preserve"> or where </w:t>
      </w:r>
      <w:r w:rsidR="00B13FAA" w:rsidRPr="00B14447">
        <w:rPr>
          <w:rFonts w:ascii="Times New Roman" w:hAnsi="Times New Roman"/>
        </w:rPr>
        <w:lastRenderedPageBreak/>
        <w:t>a person's citizenship</w:t>
      </w:r>
      <w:r w:rsidR="00B13FAA" w:rsidRPr="00B14447">
        <w:rPr>
          <w:rStyle w:val="FootnoteReference"/>
          <w:rFonts w:ascii="Times New Roman" w:hAnsi="Times New Roman"/>
          <w:sz w:val="24"/>
        </w:rPr>
        <w:footnoteReference w:id="68"/>
      </w:r>
      <w:r w:rsidR="00B13FAA" w:rsidRPr="00B14447">
        <w:rPr>
          <w:rFonts w:ascii="Times New Roman" w:hAnsi="Times New Roman"/>
        </w:rPr>
        <w:t xml:space="preserve"> or liberty is at stake.</w:t>
      </w:r>
      <w:r w:rsidR="00B13FAA" w:rsidRPr="00B14447">
        <w:rPr>
          <w:rStyle w:val="FootnoteReference"/>
          <w:rFonts w:ascii="Times New Roman" w:hAnsi="Times New Roman"/>
          <w:sz w:val="24"/>
        </w:rPr>
        <w:footnoteReference w:id="69"/>
      </w:r>
      <w:r w:rsidR="00B13FAA" w:rsidRPr="00B14447">
        <w:rPr>
          <w:rFonts w:ascii="Times New Roman" w:hAnsi="Times New Roman"/>
        </w:rPr>
        <w:t xml:space="preserve"> This can be contrasted with the Court's reasoning in </w:t>
      </w:r>
      <w:r w:rsidR="00B13FAA" w:rsidRPr="00B14447">
        <w:rPr>
          <w:rFonts w:ascii="Times New Roman" w:hAnsi="Times New Roman"/>
          <w:i/>
        </w:rPr>
        <w:t>The</w:t>
      </w:r>
      <w:r w:rsidR="00F27459" w:rsidRPr="00B14447">
        <w:rPr>
          <w:rFonts w:ascii="Times New Roman" w:hAnsi="Times New Roman"/>
          <w:i/>
        </w:rPr>
        <w:t> </w:t>
      </w:r>
      <w:r w:rsidR="00B13FAA" w:rsidRPr="00B14447">
        <w:rPr>
          <w:rFonts w:ascii="Times New Roman" w:hAnsi="Times New Roman"/>
          <w:i/>
        </w:rPr>
        <w:t>Conqueror</w:t>
      </w:r>
      <w:r w:rsidR="00B13FAA" w:rsidRPr="00B14447">
        <w:rPr>
          <w:rFonts w:ascii="Times New Roman" w:hAnsi="Times New Roman"/>
        </w:rPr>
        <w:t>,</w:t>
      </w:r>
      <w:r w:rsidR="00B13FAA" w:rsidRPr="00B14447">
        <w:rPr>
          <w:rStyle w:val="FootnoteReference"/>
          <w:rFonts w:ascii="Times New Roman" w:hAnsi="Times New Roman"/>
          <w:sz w:val="24"/>
        </w:rPr>
        <w:footnoteReference w:id="70"/>
      </w:r>
      <w:r w:rsidR="00B13FAA" w:rsidRPr="00B14447">
        <w:rPr>
          <w:rFonts w:ascii="Times New Roman" w:hAnsi="Times New Roman"/>
        </w:rPr>
        <w:t xml:space="preserve"> where it held that the large sum of money involved did not justify the Court's reconsideration of concurrent findings of fact.</w:t>
      </w:r>
    </w:p>
    <w:p w14:paraId="70AF3B6E" w14:textId="2EB2E39A" w:rsidR="00F32351" w:rsidRPr="00B14447" w:rsidRDefault="00F32351" w:rsidP="00B14447">
      <w:pPr>
        <w:pStyle w:val="FixListStyle"/>
        <w:spacing w:after="260" w:line="280" w:lineRule="exact"/>
        <w:ind w:right="0"/>
        <w:jc w:val="both"/>
        <w:rPr>
          <w:rFonts w:ascii="Times New Roman" w:hAnsi="Times New Roman"/>
        </w:rPr>
      </w:pPr>
      <w:r w:rsidRPr="00B14447">
        <w:rPr>
          <w:rFonts w:ascii="Times New Roman" w:hAnsi="Times New Roman"/>
        </w:rPr>
        <w:tab/>
        <w:t>In the United Kingdom, "only in comparatively rare cases" will the Supreme Court of the United Kingdom interfere with concurrent findings of fact by lower courts</w:t>
      </w:r>
      <w:r w:rsidRPr="00B14447">
        <w:rPr>
          <w:rStyle w:val="FootnoteReference"/>
          <w:rFonts w:ascii="Times New Roman" w:hAnsi="Times New Roman"/>
          <w:sz w:val="24"/>
        </w:rPr>
        <w:footnoteReference w:id="71"/>
      </w:r>
      <w:r w:rsidRPr="00B14447">
        <w:rPr>
          <w:rFonts w:ascii="Times New Roman" w:hAnsi="Times New Roman"/>
        </w:rPr>
        <w:t xml:space="preserve"> and then, "only where it can be shown that </w:t>
      </w:r>
      <w:r w:rsidRPr="00B14447">
        <w:rPr>
          <w:rFonts w:ascii="Times New Roman" w:hAnsi="Times New Roman"/>
          <w:i/>
        </w:rPr>
        <w:t>both courts</w:t>
      </w:r>
      <w:r w:rsidRPr="00B14447">
        <w:rPr>
          <w:rFonts w:ascii="Times New Roman" w:hAnsi="Times New Roman"/>
        </w:rPr>
        <w:t xml:space="preserve"> were </w:t>
      </w:r>
      <w:r w:rsidRPr="00B14447">
        <w:rPr>
          <w:rFonts w:ascii="Times New Roman" w:hAnsi="Times New Roman"/>
          <w:i/>
        </w:rPr>
        <w:t>clearly wrong</w:t>
      </w:r>
      <w:r w:rsidRPr="00B14447">
        <w:rPr>
          <w:rFonts w:ascii="Times New Roman" w:hAnsi="Times New Roman"/>
        </w:rPr>
        <w:t>".</w:t>
      </w:r>
      <w:r w:rsidRPr="00B14447">
        <w:rPr>
          <w:rStyle w:val="FootnoteReference"/>
          <w:rFonts w:ascii="Times New Roman" w:hAnsi="Times New Roman"/>
          <w:sz w:val="24"/>
        </w:rPr>
        <w:footnoteReference w:id="72"/>
      </w:r>
      <w:r w:rsidRPr="00B14447">
        <w:rPr>
          <w:rFonts w:ascii="Times New Roman" w:hAnsi="Times New Roman"/>
        </w:rPr>
        <w:t xml:space="preserve"> In the United Kingdom, a range of adverbs have been used – "clearly", "plainly", "blatantly", "palpably" wrong.</w:t>
      </w:r>
      <w:r w:rsidR="00D15582" w:rsidRPr="00B14447">
        <w:rPr>
          <w:rStyle w:val="FootnoteReference"/>
          <w:rFonts w:ascii="Times New Roman" w:hAnsi="Times New Roman"/>
          <w:sz w:val="24"/>
        </w:rPr>
        <w:footnoteReference w:id="73"/>
      </w:r>
    </w:p>
    <w:p w14:paraId="20786929" w14:textId="451E4B94" w:rsidR="00B3483B" w:rsidRPr="00B14447" w:rsidRDefault="00427020" w:rsidP="00B14447">
      <w:pPr>
        <w:pStyle w:val="HeadingL1"/>
        <w:spacing w:after="260" w:line="280" w:lineRule="exact"/>
        <w:ind w:right="0"/>
        <w:jc w:val="both"/>
        <w:rPr>
          <w:rFonts w:ascii="Times New Roman" w:hAnsi="Times New Roman"/>
        </w:rPr>
      </w:pPr>
      <w:r w:rsidRPr="00B14447">
        <w:rPr>
          <w:rFonts w:ascii="Times New Roman" w:hAnsi="Times New Roman"/>
        </w:rPr>
        <w:t>C</w:t>
      </w:r>
      <w:r w:rsidR="006A0FAF" w:rsidRPr="00B14447">
        <w:rPr>
          <w:rFonts w:ascii="Times New Roman" w:hAnsi="Times New Roman"/>
        </w:rPr>
        <w:t>ounter</w:t>
      </w:r>
      <w:r w:rsidR="00561A82" w:rsidRPr="00B14447">
        <w:rPr>
          <w:rFonts w:ascii="Times New Roman" w:hAnsi="Times New Roman"/>
        </w:rPr>
        <w:t>-</w:t>
      </w:r>
      <w:r w:rsidR="006A0FAF" w:rsidRPr="00B14447">
        <w:rPr>
          <w:rFonts w:ascii="Times New Roman" w:hAnsi="Times New Roman"/>
        </w:rPr>
        <w:t xml:space="preserve">factual test </w:t>
      </w:r>
      <w:r w:rsidR="004303D9" w:rsidRPr="00B14447">
        <w:rPr>
          <w:rFonts w:ascii="Times New Roman" w:hAnsi="Times New Roman"/>
        </w:rPr>
        <w:t xml:space="preserve">and the two </w:t>
      </w:r>
      <w:r w:rsidR="00AA7853" w:rsidRPr="00B14447">
        <w:rPr>
          <w:rFonts w:ascii="Times New Roman" w:hAnsi="Times New Roman"/>
        </w:rPr>
        <w:t>issue</w:t>
      </w:r>
      <w:r w:rsidR="004303D9" w:rsidRPr="00B14447">
        <w:rPr>
          <w:rFonts w:ascii="Times New Roman" w:hAnsi="Times New Roman"/>
        </w:rPr>
        <w:t>s for the appeal</w:t>
      </w:r>
    </w:p>
    <w:p w14:paraId="1474E796" w14:textId="5031E4AE" w:rsidR="003569CA" w:rsidRPr="00B14447" w:rsidRDefault="006A0FAF"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E73044" w:rsidRPr="00B14447">
        <w:rPr>
          <w:rFonts w:ascii="Times New Roman" w:hAnsi="Times New Roman"/>
        </w:rPr>
        <w:t>The counter</w:t>
      </w:r>
      <w:r w:rsidR="00561A82" w:rsidRPr="00B14447">
        <w:rPr>
          <w:rFonts w:ascii="Times New Roman" w:hAnsi="Times New Roman"/>
        </w:rPr>
        <w:t>-</w:t>
      </w:r>
      <w:r w:rsidR="00E73044" w:rsidRPr="00B14447">
        <w:rPr>
          <w:rFonts w:ascii="Times New Roman" w:hAnsi="Times New Roman"/>
        </w:rPr>
        <w:t xml:space="preserve">factual question </w:t>
      </w:r>
      <w:r w:rsidR="002834C8" w:rsidRPr="00B14447">
        <w:rPr>
          <w:rFonts w:ascii="Times New Roman" w:hAnsi="Times New Roman"/>
        </w:rPr>
        <w:t xml:space="preserve">at trial </w:t>
      </w:r>
      <w:r w:rsidR="00E73044" w:rsidRPr="00B14447">
        <w:rPr>
          <w:rFonts w:ascii="Times New Roman" w:hAnsi="Times New Roman"/>
        </w:rPr>
        <w:t xml:space="preserve">concerned </w:t>
      </w:r>
      <w:r w:rsidR="00C91CA9" w:rsidRPr="00B14447">
        <w:rPr>
          <w:rFonts w:ascii="Times New Roman" w:hAnsi="Times New Roman"/>
        </w:rPr>
        <w:t xml:space="preserve">whether Apotex would have sought and obtained listing </w:t>
      </w:r>
      <w:r w:rsidR="00BA5E0D" w:rsidRPr="00B14447">
        <w:rPr>
          <w:rFonts w:ascii="Times New Roman" w:hAnsi="Times New Roman"/>
        </w:rPr>
        <w:t xml:space="preserve">of its clopidogrel products </w:t>
      </w:r>
      <w:r w:rsidR="00C91CA9" w:rsidRPr="00B14447">
        <w:rPr>
          <w:rFonts w:ascii="Times New Roman" w:hAnsi="Times New Roman"/>
        </w:rPr>
        <w:t xml:space="preserve">on the PBS </w:t>
      </w:r>
      <w:r w:rsidR="00BA5E0D" w:rsidRPr="00B14447">
        <w:rPr>
          <w:rFonts w:ascii="Times New Roman" w:hAnsi="Times New Roman"/>
        </w:rPr>
        <w:t xml:space="preserve">on </w:t>
      </w:r>
      <w:r w:rsidR="00BF6766" w:rsidRPr="00B14447">
        <w:rPr>
          <w:rFonts w:ascii="Times New Roman" w:hAnsi="Times New Roman"/>
        </w:rPr>
        <w:t>1 </w:t>
      </w:r>
      <w:r w:rsidR="00BA5E0D" w:rsidRPr="00B14447">
        <w:rPr>
          <w:rFonts w:ascii="Times New Roman" w:hAnsi="Times New Roman"/>
        </w:rPr>
        <w:t>April 2008</w:t>
      </w:r>
      <w:r w:rsidR="008934E9" w:rsidRPr="00B14447">
        <w:rPr>
          <w:rFonts w:ascii="Times New Roman" w:hAnsi="Times New Roman"/>
        </w:rPr>
        <w:t>,</w:t>
      </w:r>
      <w:r w:rsidR="00BA5E0D" w:rsidRPr="00B14447">
        <w:rPr>
          <w:rFonts w:ascii="Times New Roman" w:hAnsi="Times New Roman"/>
        </w:rPr>
        <w:t xml:space="preserve"> </w:t>
      </w:r>
      <w:r w:rsidR="00C91CA9" w:rsidRPr="00B14447">
        <w:rPr>
          <w:rFonts w:ascii="Times New Roman" w:hAnsi="Times New Roman"/>
        </w:rPr>
        <w:t xml:space="preserve">and </w:t>
      </w:r>
      <w:r w:rsidR="00FE48C6" w:rsidRPr="00B14447">
        <w:rPr>
          <w:rFonts w:ascii="Times New Roman" w:hAnsi="Times New Roman"/>
        </w:rPr>
        <w:t xml:space="preserve">hence </w:t>
      </w:r>
      <w:r w:rsidR="00C91CA9" w:rsidRPr="00B14447">
        <w:rPr>
          <w:rFonts w:ascii="Times New Roman" w:hAnsi="Times New Roman"/>
        </w:rPr>
        <w:t>launched its generic product</w:t>
      </w:r>
      <w:r w:rsidR="008934E9" w:rsidRPr="00B14447">
        <w:rPr>
          <w:rFonts w:ascii="Times New Roman" w:hAnsi="Times New Roman"/>
        </w:rPr>
        <w:t>,</w:t>
      </w:r>
      <w:r w:rsidR="00C91CA9" w:rsidRPr="00B14447">
        <w:rPr>
          <w:rFonts w:ascii="Times New Roman" w:hAnsi="Times New Roman"/>
        </w:rPr>
        <w:t xml:space="preserve"> if it had not been subject to the interlocutory injunction. </w:t>
      </w:r>
    </w:p>
    <w:p w14:paraId="47BEBCF2" w14:textId="0ED8E989" w:rsidR="00305921" w:rsidRPr="00B14447" w:rsidRDefault="003569CA"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r>
      <w:r w:rsidR="000658EF" w:rsidRPr="00B14447">
        <w:rPr>
          <w:rFonts w:ascii="Times New Roman" w:hAnsi="Times New Roman"/>
        </w:rPr>
        <w:t>When a counter</w:t>
      </w:r>
      <w:r w:rsidR="00561A82" w:rsidRPr="00B14447">
        <w:rPr>
          <w:rFonts w:ascii="Times New Roman" w:hAnsi="Times New Roman"/>
        </w:rPr>
        <w:t>-</w:t>
      </w:r>
      <w:r w:rsidR="000658EF" w:rsidRPr="00B14447">
        <w:rPr>
          <w:rFonts w:ascii="Times New Roman" w:hAnsi="Times New Roman"/>
        </w:rPr>
        <w:t xml:space="preserve">factual </w:t>
      </w:r>
      <w:r w:rsidR="00797342" w:rsidRPr="00B14447">
        <w:rPr>
          <w:rFonts w:ascii="Times New Roman" w:hAnsi="Times New Roman"/>
        </w:rPr>
        <w:t>i</w:t>
      </w:r>
      <w:r w:rsidR="000658EF" w:rsidRPr="00B14447">
        <w:rPr>
          <w:rFonts w:ascii="Times New Roman" w:hAnsi="Times New Roman"/>
        </w:rPr>
        <w:t xml:space="preserve">nquiry is undertaken, the </w:t>
      </w:r>
      <w:r w:rsidR="00EB779D" w:rsidRPr="00B14447">
        <w:rPr>
          <w:rFonts w:ascii="Times New Roman" w:hAnsi="Times New Roman"/>
        </w:rPr>
        <w:t>only</w:t>
      </w:r>
      <w:r w:rsidR="00825274" w:rsidRPr="00B14447">
        <w:rPr>
          <w:rFonts w:ascii="Times New Roman" w:hAnsi="Times New Roman"/>
        </w:rPr>
        <w:t xml:space="preserve"> facts that should be removed from "real world" </w:t>
      </w:r>
      <w:r w:rsidR="007C4B02" w:rsidRPr="00B14447">
        <w:rPr>
          <w:rFonts w:ascii="Times New Roman" w:hAnsi="Times New Roman"/>
        </w:rPr>
        <w:t>lawful activity</w:t>
      </w:r>
      <w:r w:rsidR="00036552" w:rsidRPr="00B14447">
        <w:rPr>
          <w:rFonts w:ascii="Times New Roman" w:hAnsi="Times New Roman"/>
        </w:rPr>
        <w:t xml:space="preserve"> that has taken place</w:t>
      </w:r>
      <w:r w:rsidR="007C4B02" w:rsidRPr="00B14447">
        <w:rPr>
          <w:rFonts w:ascii="Times New Roman" w:hAnsi="Times New Roman"/>
        </w:rPr>
        <w:t xml:space="preserve"> </w:t>
      </w:r>
      <w:r w:rsidR="00EB779D" w:rsidRPr="00B14447">
        <w:rPr>
          <w:rFonts w:ascii="Times New Roman" w:hAnsi="Times New Roman"/>
        </w:rPr>
        <w:t>are those that are necessary for the counter</w:t>
      </w:r>
      <w:r w:rsidR="00561A82" w:rsidRPr="00B14447">
        <w:rPr>
          <w:rFonts w:ascii="Times New Roman" w:hAnsi="Times New Roman"/>
        </w:rPr>
        <w:t>-</w:t>
      </w:r>
      <w:r w:rsidR="00EB779D" w:rsidRPr="00B14447">
        <w:rPr>
          <w:rFonts w:ascii="Times New Roman" w:hAnsi="Times New Roman"/>
        </w:rPr>
        <w:t>factual.</w:t>
      </w:r>
      <w:r w:rsidR="005E7AFD" w:rsidRPr="00B14447">
        <w:rPr>
          <w:rStyle w:val="FootnoteReference"/>
          <w:rFonts w:ascii="Times New Roman" w:hAnsi="Times New Roman"/>
          <w:sz w:val="24"/>
        </w:rPr>
        <w:footnoteReference w:id="74"/>
      </w:r>
      <w:r w:rsidR="00EB779D" w:rsidRPr="00B14447">
        <w:rPr>
          <w:rFonts w:ascii="Times New Roman" w:hAnsi="Times New Roman"/>
        </w:rPr>
        <w:t xml:space="preserve"> As senior counsel for the Commonwealth correctly submitted,</w:t>
      </w:r>
      <w:r w:rsidR="00B1189D" w:rsidRPr="00B14447">
        <w:rPr>
          <w:rFonts w:ascii="Times New Roman" w:hAnsi="Times New Roman"/>
        </w:rPr>
        <w:t xml:space="preserve"> the only facts that should be removed from the </w:t>
      </w:r>
      <w:r w:rsidR="009C136D" w:rsidRPr="00B14447">
        <w:rPr>
          <w:rFonts w:ascii="Times New Roman" w:hAnsi="Times New Roman"/>
        </w:rPr>
        <w:t>i</w:t>
      </w:r>
      <w:r w:rsidR="00B1189D" w:rsidRPr="00B14447">
        <w:rPr>
          <w:rFonts w:ascii="Times New Roman" w:hAnsi="Times New Roman"/>
        </w:rPr>
        <w:t xml:space="preserve">nquiry in this case </w:t>
      </w:r>
      <w:r w:rsidR="00830240" w:rsidRPr="00B14447">
        <w:rPr>
          <w:rFonts w:ascii="Times New Roman" w:hAnsi="Times New Roman"/>
        </w:rPr>
        <w:t>are</w:t>
      </w:r>
      <w:r w:rsidR="00B1189D" w:rsidRPr="00B14447">
        <w:rPr>
          <w:rFonts w:ascii="Times New Roman" w:hAnsi="Times New Roman"/>
        </w:rPr>
        <w:t xml:space="preserve"> th</w:t>
      </w:r>
      <w:r w:rsidR="007766EA" w:rsidRPr="00B14447">
        <w:rPr>
          <w:rFonts w:ascii="Times New Roman" w:hAnsi="Times New Roman"/>
        </w:rPr>
        <w:t xml:space="preserve">e </w:t>
      </w:r>
      <w:r w:rsidR="0072159B" w:rsidRPr="00B14447">
        <w:rPr>
          <w:rFonts w:ascii="Times New Roman" w:hAnsi="Times New Roman"/>
        </w:rPr>
        <w:t>order</w:t>
      </w:r>
      <w:r w:rsidR="007766EA" w:rsidRPr="00B14447">
        <w:rPr>
          <w:rFonts w:ascii="Times New Roman" w:hAnsi="Times New Roman"/>
        </w:rPr>
        <w:t xml:space="preserve"> by Gyles</w:t>
      </w:r>
      <w:r w:rsidR="00180F24" w:rsidRPr="00B14447">
        <w:rPr>
          <w:rFonts w:ascii="Times New Roman" w:hAnsi="Times New Roman"/>
        </w:rPr>
        <w:t> </w:t>
      </w:r>
      <w:r w:rsidR="007766EA" w:rsidRPr="00B14447">
        <w:rPr>
          <w:rFonts w:ascii="Times New Roman" w:hAnsi="Times New Roman"/>
        </w:rPr>
        <w:t xml:space="preserve">J </w:t>
      </w:r>
      <w:r w:rsidR="00EB528E" w:rsidRPr="00B14447">
        <w:rPr>
          <w:rFonts w:ascii="Times New Roman" w:hAnsi="Times New Roman"/>
        </w:rPr>
        <w:t xml:space="preserve">on 25 September 2007 </w:t>
      </w:r>
      <w:r w:rsidR="007766EA" w:rsidRPr="00B14447">
        <w:rPr>
          <w:rFonts w:ascii="Times New Roman" w:hAnsi="Times New Roman"/>
        </w:rPr>
        <w:t>grant</w:t>
      </w:r>
      <w:r w:rsidR="0072159B" w:rsidRPr="00B14447">
        <w:rPr>
          <w:rFonts w:ascii="Times New Roman" w:hAnsi="Times New Roman"/>
        </w:rPr>
        <w:t>ing</w:t>
      </w:r>
      <w:r w:rsidR="007766EA" w:rsidRPr="00B14447">
        <w:rPr>
          <w:rFonts w:ascii="Times New Roman" w:hAnsi="Times New Roman"/>
        </w:rPr>
        <w:t xml:space="preserve"> the interlocutory injunction</w:t>
      </w:r>
      <w:r w:rsidR="00830240" w:rsidRPr="00B14447">
        <w:rPr>
          <w:rFonts w:ascii="Times New Roman" w:hAnsi="Times New Roman"/>
        </w:rPr>
        <w:t xml:space="preserve"> and</w:t>
      </w:r>
      <w:r w:rsidR="007766EA" w:rsidRPr="00B14447">
        <w:rPr>
          <w:rFonts w:ascii="Times New Roman" w:hAnsi="Times New Roman"/>
        </w:rPr>
        <w:t xml:space="preserve"> anything that is in</w:t>
      </w:r>
      <w:r w:rsidR="00D63539" w:rsidRPr="00B14447">
        <w:rPr>
          <w:rFonts w:ascii="Times New Roman" w:hAnsi="Times New Roman"/>
        </w:rPr>
        <w:t xml:space="preserve">extricably </w:t>
      </w:r>
      <w:r w:rsidR="00FE27F7" w:rsidRPr="00B14447">
        <w:rPr>
          <w:rFonts w:ascii="Times New Roman" w:hAnsi="Times New Roman"/>
        </w:rPr>
        <w:t>connected with the order</w:t>
      </w:r>
      <w:r w:rsidR="006F74CF" w:rsidRPr="00B14447">
        <w:rPr>
          <w:rFonts w:ascii="Times New Roman" w:hAnsi="Times New Roman"/>
        </w:rPr>
        <w:t>,</w:t>
      </w:r>
      <w:r w:rsidR="007766EA" w:rsidRPr="00B14447">
        <w:rPr>
          <w:rFonts w:ascii="Times New Roman" w:hAnsi="Times New Roman"/>
        </w:rPr>
        <w:t xml:space="preserve"> such as the reasons that his Honour gave for the decision</w:t>
      </w:r>
      <w:r w:rsidR="0072159B" w:rsidRPr="00B14447">
        <w:rPr>
          <w:rFonts w:ascii="Times New Roman" w:hAnsi="Times New Roman"/>
        </w:rPr>
        <w:t>.</w:t>
      </w:r>
    </w:p>
    <w:p w14:paraId="6B484DDA" w14:textId="609009B7" w:rsidR="0011130D" w:rsidRPr="00B14447" w:rsidRDefault="00305921"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assessing the </w:t>
      </w:r>
      <w:r w:rsidR="00D40032" w:rsidRPr="00B14447">
        <w:rPr>
          <w:rFonts w:ascii="Times New Roman" w:hAnsi="Times New Roman"/>
        </w:rPr>
        <w:t xml:space="preserve">counter-factual by reference to what would have been done in all the circumstances of the real world absent the </w:t>
      </w:r>
      <w:r w:rsidR="000F5C0C" w:rsidRPr="00B14447">
        <w:rPr>
          <w:rFonts w:ascii="Times New Roman" w:hAnsi="Times New Roman"/>
        </w:rPr>
        <w:t>order of Gyles</w:t>
      </w:r>
      <w:r w:rsidR="00180F24" w:rsidRPr="00B14447">
        <w:rPr>
          <w:rFonts w:ascii="Times New Roman" w:hAnsi="Times New Roman"/>
        </w:rPr>
        <w:t> </w:t>
      </w:r>
      <w:r w:rsidR="000F5C0C" w:rsidRPr="00B14447">
        <w:rPr>
          <w:rFonts w:ascii="Times New Roman" w:hAnsi="Times New Roman"/>
        </w:rPr>
        <w:t>J and anything in</w:t>
      </w:r>
      <w:r w:rsidR="00D63539" w:rsidRPr="00B14447">
        <w:rPr>
          <w:rFonts w:ascii="Times New Roman" w:hAnsi="Times New Roman"/>
        </w:rPr>
        <w:t>extricably</w:t>
      </w:r>
      <w:r w:rsidR="000F5C0C" w:rsidRPr="00B14447">
        <w:rPr>
          <w:rFonts w:ascii="Times New Roman" w:hAnsi="Times New Roman"/>
        </w:rPr>
        <w:t xml:space="preserve"> connected with it</w:t>
      </w:r>
      <w:r w:rsidR="00D40032" w:rsidRPr="00B14447">
        <w:rPr>
          <w:rFonts w:ascii="Times New Roman" w:hAnsi="Times New Roman"/>
        </w:rPr>
        <w:t>,</w:t>
      </w:r>
      <w:r w:rsidR="000F5C0C" w:rsidRPr="00B14447">
        <w:rPr>
          <w:rFonts w:ascii="Times New Roman" w:hAnsi="Times New Roman"/>
        </w:rPr>
        <w:t xml:space="preserve"> the focus is upon what Apotex</w:t>
      </w:r>
      <w:r w:rsidR="00E36962" w:rsidRPr="00B14447">
        <w:rPr>
          <w:rFonts w:ascii="Times New Roman" w:hAnsi="Times New Roman"/>
        </w:rPr>
        <w:t xml:space="preserve"> </w:t>
      </w:r>
      <w:r w:rsidR="000F5C0C" w:rsidRPr="00B14447">
        <w:rPr>
          <w:rFonts w:ascii="Times New Roman" w:hAnsi="Times New Roman"/>
        </w:rPr>
        <w:t xml:space="preserve">would have done. </w:t>
      </w:r>
      <w:r w:rsidR="00E36962" w:rsidRPr="00B14447">
        <w:rPr>
          <w:rFonts w:ascii="Times New Roman" w:hAnsi="Times New Roman"/>
        </w:rPr>
        <w:t>A</w:t>
      </w:r>
      <w:r w:rsidR="0029220E" w:rsidRPr="00B14447">
        <w:rPr>
          <w:rFonts w:ascii="Times New Roman" w:hAnsi="Times New Roman"/>
        </w:rPr>
        <w:t>s the Full Court correctly concluded</w:t>
      </w:r>
      <w:r w:rsidR="00E36962" w:rsidRPr="00B14447">
        <w:rPr>
          <w:rFonts w:ascii="Times New Roman" w:hAnsi="Times New Roman"/>
        </w:rPr>
        <w:t xml:space="preserve"> (in rejecting the relevance of opinions of </w:t>
      </w:r>
      <w:r w:rsidR="003F7215" w:rsidRPr="00B14447">
        <w:rPr>
          <w:rFonts w:ascii="Times New Roman" w:hAnsi="Times New Roman"/>
        </w:rPr>
        <w:t>the Managing Director of Sanofi)</w:t>
      </w:r>
      <w:r w:rsidR="0029220E" w:rsidRPr="00B14447">
        <w:rPr>
          <w:rFonts w:ascii="Times New Roman" w:hAnsi="Times New Roman"/>
        </w:rPr>
        <w:t>, the</w:t>
      </w:r>
      <w:r w:rsidR="003F7215" w:rsidRPr="00B14447">
        <w:rPr>
          <w:rFonts w:ascii="Times New Roman" w:hAnsi="Times New Roman"/>
        </w:rPr>
        <w:t xml:space="preserve"> focus is not upon what others, who did not have all the information</w:t>
      </w:r>
      <w:r w:rsidR="00D905D1" w:rsidRPr="00B14447">
        <w:rPr>
          <w:rFonts w:ascii="Times New Roman" w:hAnsi="Times New Roman"/>
        </w:rPr>
        <w:t xml:space="preserve"> and were not in the position of the decision maker</w:t>
      </w:r>
      <w:r w:rsidR="003F7215" w:rsidRPr="00B14447">
        <w:rPr>
          <w:rFonts w:ascii="Times New Roman" w:hAnsi="Times New Roman"/>
        </w:rPr>
        <w:t>, thought that Apotex might have done.</w:t>
      </w:r>
      <w:r w:rsidR="003F7215" w:rsidRPr="00B14447">
        <w:rPr>
          <w:rStyle w:val="FootnoteReference"/>
          <w:rFonts w:ascii="Times New Roman" w:hAnsi="Times New Roman"/>
          <w:sz w:val="24"/>
        </w:rPr>
        <w:footnoteReference w:id="75"/>
      </w:r>
      <w:r w:rsidR="003F7215" w:rsidRPr="00B14447">
        <w:rPr>
          <w:rFonts w:ascii="Times New Roman" w:hAnsi="Times New Roman"/>
        </w:rPr>
        <w:t xml:space="preserve"> </w:t>
      </w:r>
      <w:r w:rsidR="0029220E" w:rsidRPr="00B14447">
        <w:rPr>
          <w:rFonts w:ascii="Times New Roman" w:hAnsi="Times New Roman"/>
        </w:rPr>
        <w:t xml:space="preserve"> </w:t>
      </w:r>
    </w:p>
    <w:p w14:paraId="29336B8F" w14:textId="39181A83" w:rsidR="00BC4075" w:rsidRPr="00B14447" w:rsidRDefault="0011130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926C3" w:rsidRPr="00B14447">
        <w:rPr>
          <w:rFonts w:ascii="Times New Roman" w:hAnsi="Times New Roman"/>
        </w:rPr>
        <w:t xml:space="preserve">In other words, </w:t>
      </w:r>
      <w:r w:rsidRPr="00B14447">
        <w:rPr>
          <w:rFonts w:ascii="Times New Roman" w:hAnsi="Times New Roman"/>
        </w:rPr>
        <w:t xml:space="preserve">in assessing what Apotex would have done if the interlocutory injunction had not been ordered, </w:t>
      </w:r>
      <w:r w:rsidR="00B926C3" w:rsidRPr="00B14447">
        <w:rPr>
          <w:rFonts w:ascii="Times New Roman" w:hAnsi="Times New Roman"/>
        </w:rPr>
        <w:t xml:space="preserve">all facts in the real world fall to be considered in assessing the counter-factual question with the exception of </w:t>
      </w:r>
      <w:r w:rsidR="00F06D49" w:rsidRPr="00B14447">
        <w:rPr>
          <w:rFonts w:ascii="Times New Roman" w:hAnsi="Times New Roman"/>
        </w:rPr>
        <w:t xml:space="preserve">the </w:t>
      </w:r>
      <w:r w:rsidR="00EB528E" w:rsidRPr="00B14447">
        <w:rPr>
          <w:rFonts w:ascii="Times New Roman" w:hAnsi="Times New Roman"/>
        </w:rPr>
        <w:t>order</w:t>
      </w:r>
      <w:r w:rsidR="000B1DDF" w:rsidRPr="00B14447">
        <w:rPr>
          <w:rFonts w:ascii="Times New Roman" w:hAnsi="Times New Roman"/>
        </w:rPr>
        <w:t>,</w:t>
      </w:r>
      <w:r w:rsidR="00EB528E" w:rsidRPr="00B14447">
        <w:rPr>
          <w:rFonts w:ascii="Times New Roman" w:hAnsi="Times New Roman"/>
        </w:rPr>
        <w:t xml:space="preserve"> and then the </w:t>
      </w:r>
      <w:r w:rsidR="00F06D49" w:rsidRPr="00B14447">
        <w:rPr>
          <w:rFonts w:ascii="Times New Roman" w:hAnsi="Times New Roman"/>
        </w:rPr>
        <w:t>reasons for decision given by Gyles</w:t>
      </w:r>
      <w:r w:rsidR="00180F24" w:rsidRPr="00B14447">
        <w:rPr>
          <w:rFonts w:ascii="Times New Roman" w:hAnsi="Times New Roman"/>
        </w:rPr>
        <w:t> </w:t>
      </w:r>
      <w:r w:rsidR="00F06D49" w:rsidRPr="00B14447">
        <w:rPr>
          <w:rFonts w:ascii="Times New Roman" w:hAnsi="Times New Roman"/>
        </w:rPr>
        <w:t>J</w:t>
      </w:r>
      <w:r w:rsidR="000B1DDF" w:rsidRPr="00B14447">
        <w:rPr>
          <w:rFonts w:ascii="Times New Roman" w:hAnsi="Times New Roman"/>
        </w:rPr>
        <w:t>,</w:t>
      </w:r>
      <w:r w:rsidR="00F06D49" w:rsidRPr="00B14447">
        <w:rPr>
          <w:rFonts w:ascii="Times New Roman" w:hAnsi="Times New Roman"/>
        </w:rPr>
        <w:t xml:space="preserve"> and </w:t>
      </w:r>
      <w:r w:rsidR="00227661" w:rsidRPr="00B14447">
        <w:rPr>
          <w:rFonts w:ascii="Times New Roman" w:hAnsi="Times New Roman"/>
        </w:rPr>
        <w:t xml:space="preserve">any other matter inextricably connected with </w:t>
      </w:r>
      <w:r w:rsidR="00F06D49" w:rsidRPr="00B14447">
        <w:rPr>
          <w:rFonts w:ascii="Times New Roman" w:hAnsi="Times New Roman"/>
        </w:rPr>
        <w:t>the decision of Gyles</w:t>
      </w:r>
      <w:r w:rsidR="00180F24" w:rsidRPr="00B14447">
        <w:rPr>
          <w:rFonts w:ascii="Times New Roman" w:hAnsi="Times New Roman"/>
        </w:rPr>
        <w:t> </w:t>
      </w:r>
      <w:r w:rsidR="00F06D49" w:rsidRPr="00B14447">
        <w:rPr>
          <w:rFonts w:ascii="Times New Roman" w:hAnsi="Times New Roman"/>
        </w:rPr>
        <w:t>J concerning the interlocutory injunction.</w:t>
      </w:r>
      <w:r w:rsidR="009619ED" w:rsidRPr="00B14447">
        <w:rPr>
          <w:rFonts w:ascii="Times New Roman" w:hAnsi="Times New Roman"/>
        </w:rPr>
        <w:t xml:space="preserve"> </w:t>
      </w:r>
    </w:p>
    <w:p w14:paraId="0B6500DC" w14:textId="16CD63F0" w:rsidR="002C6850" w:rsidRPr="00B14447" w:rsidRDefault="00BC4075"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9619ED" w:rsidRPr="00B14447">
        <w:rPr>
          <w:rFonts w:ascii="Times New Roman" w:hAnsi="Times New Roman"/>
        </w:rPr>
        <w:t xml:space="preserve">In applying that approach, there are two </w:t>
      </w:r>
      <w:r w:rsidR="00AA7853" w:rsidRPr="00B14447">
        <w:rPr>
          <w:rFonts w:ascii="Times New Roman" w:hAnsi="Times New Roman"/>
        </w:rPr>
        <w:t>issues</w:t>
      </w:r>
      <w:r w:rsidR="003C0EF9" w:rsidRPr="00B14447">
        <w:rPr>
          <w:rFonts w:ascii="Times New Roman" w:hAnsi="Times New Roman"/>
        </w:rPr>
        <w:t xml:space="preserve">. </w:t>
      </w:r>
      <w:r w:rsidR="00D905D1" w:rsidRPr="00B14447">
        <w:rPr>
          <w:rFonts w:ascii="Times New Roman" w:hAnsi="Times New Roman"/>
        </w:rPr>
        <w:t>A</w:t>
      </w:r>
      <w:r w:rsidR="003640FE" w:rsidRPr="00B14447">
        <w:rPr>
          <w:rFonts w:ascii="Times New Roman" w:hAnsi="Times New Roman"/>
        </w:rPr>
        <w:t> </w:t>
      </w:r>
      <w:r w:rsidR="00D905D1" w:rsidRPr="00B14447">
        <w:rPr>
          <w:rFonts w:ascii="Times New Roman" w:hAnsi="Times New Roman"/>
        </w:rPr>
        <w:t>consideration of e</w:t>
      </w:r>
      <w:r w:rsidR="00A77749" w:rsidRPr="00B14447">
        <w:rPr>
          <w:rFonts w:ascii="Times New Roman" w:hAnsi="Times New Roman"/>
        </w:rPr>
        <w:t xml:space="preserve">ach </w:t>
      </w:r>
      <w:r w:rsidR="00D905D1" w:rsidRPr="00B14447">
        <w:rPr>
          <w:rFonts w:ascii="Times New Roman" w:hAnsi="Times New Roman"/>
        </w:rPr>
        <w:t xml:space="preserve">shows </w:t>
      </w:r>
      <w:r w:rsidR="00A77749" w:rsidRPr="00B14447">
        <w:rPr>
          <w:rFonts w:ascii="Times New Roman" w:hAnsi="Times New Roman"/>
        </w:rPr>
        <w:t>that</w:t>
      </w:r>
      <w:r w:rsidR="00236A51" w:rsidRPr="00B14447">
        <w:rPr>
          <w:rFonts w:ascii="Times New Roman" w:hAnsi="Times New Roman"/>
        </w:rPr>
        <w:t xml:space="preserve"> </w:t>
      </w:r>
      <w:r w:rsidR="009619ED" w:rsidRPr="00B14447">
        <w:rPr>
          <w:rFonts w:ascii="Times New Roman" w:hAnsi="Times New Roman"/>
        </w:rPr>
        <w:t xml:space="preserve">this appeal must be dismissed. The first is that the concurrent findings of the primary judge and the Full Court </w:t>
      </w:r>
      <w:r w:rsidR="00D13B89" w:rsidRPr="00B14447">
        <w:rPr>
          <w:rFonts w:ascii="Times New Roman" w:hAnsi="Times New Roman"/>
        </w:rPr>
        <w:t xml:space="preserve">that supported the counter-factual conclusion </w:t>
      </w:r>
      <w:r w:rsidR="009619ED" w:rsidRPr="00B14447">
        <w:rPr>
          <w:rFonts w:ascii="Times New Roman" w:hAnsi="Times New Roman"/>
        </w:rPr>
        <w:t>were</w:t>
      </w:r>
      <w:r w:rsidR="004A4EB5" w:rsidRPr="00B14447">
        <w:rPr>
          <w:rFonts w:ascii="Times New Roman" w:hAnsi="Times New Roman"/>
        </w:rPr>
        <w:t xml:space="preserve"> open</w:t>
      </w:r>
      <w:r w:rsidR="009619ED" w:rsidRPr="00B14447">
        <w:rPr>
          <w:rFonts w:ascii="Times New Roman" w:hAnsi="Times New Roman"/>
        </w:rPr>
        <w:t xml:space="preserve"> and </w:t>
      </w:r>
      <w:r w:rsidR="00255F39" w:rsidRPr="00B14447">
        <w:rPr>
          <w:rFonts w:ascii="Times New Roman" w:hAnsi="Times New Roman"/>
        </w:rPr>
        <w:t xml:space="preserve">are </w:t>
      </w:r>
      <w:r w:rsidR="00747C97" w:rsidRPr="00B14447">
        <w:rPr>
          <w:rFonts w:ascii="Times New Roman" w:hAnsi="Times New Roman"/>
        </w:rPr>
        <w:t xml:space="preserve">not clearly </w:t>
      </w:r>
      <w:r w:rsidR="006068BF" w:rsidRPr="00B14447">
        <w:rPr>
          <w:rFonts w:ascii="Times New Roman" w:hAnsi="Times New Roman"/>
        </w:rPr>
        <w:t>wrong</w:t>
      </w:r>
      <w:r w:rsidR="00747C97" w:rsidRPr="00B14447">
        <w:rPr>
          <w:rFonts w:ascii="Times New Roman" w:hAnsi="Times New Roman"/>
        </w:rPr>
        <w:t>.</w:t>
      </w:r>
      <w:r w:rsidR="00D13B89" w:rsidRPr="00B14447">
        <w:rPr>
          <w:rFonts w:ascii="Times New Roman" w:hAnsi="Times New Roman"/>
        </w:rPr>
        <w:t xml:space="preserve"> The second is that</w:t>
      </w:r>
      <w:r w:rsidR="00093C67" w:rsidRPr="00B14447">
        <w:rPr>
          <w:rFonts w:ascii="Times New Roman" w:hAnsi="Times New Roman"/>
        </w:rPr>
        <w:t>, in any event, it was not open to the Commonwealth on this appeal to revisit many of the factual findings that it sought to reopen.</w:t>
      </w:r>
    </w:p>
    <w:p w14:paraId="46D4DED0" w14:textId="5DB9DD9B" w:rsidR="008E491A" w:rsidRPr="00B14447" w:rsidRDefault="00427020" w:rsidP="00B14447">
      <w:pPr>
        <w:pStyle w:val="HeadingL1"/>
        <w:spacing w:after="260" w:line="280" w:lineRule="exact"/>
        <w:ind w:right="0"/>
        <w:jc w:val="both"/>
        <w:rPr>
          <w:rFonts w:ascii="Times New Roman" w:hAnsi="Times New Roman"/>
        </w:rPr>
      </w:pPr>
      <w:r w:rsidRPr="00B14447">
        <w:rPr>
          <w:rFonts w:ascii="Times New Roman" w:hAnsi="Times New Roman"/>
        </w:rPr>
        <w:t>B</w:t>
      </w:r>
      <w:r w:rsidR="00811A6A" w:rsidRPr="00B14447">
        <w:rPr>
          <w:rFonts w:ascii="Times New Roman" w:hAnsi="Times New Roman"/>
        </w:rPr>
        <w:t xml:space="preserve">asis for the </w:t>
      </w:r>
      <w:r w:rsidR="00685C4A" w:rsidRPr="00B14447">
        <w:rPr>
          <w:rFonts w:ascii="Times New Roman" w:hAnsi="Times New Roman"/>
        </w:rPr>
        <w:t>concurrent findings – in outline</w:t>
      </w:r>
    </w:p>
    <w:p w14:paraId="12926FB8" w14:textId="35D1DFE9" w:rsidR="00D04821" w:rsidRPr="00B14447" w:rsidRDefault="00D04821" w:rsidP="00B14447">
      <w:pPr>
        <w:pStyle w:val="FixListStyle"/>
        <w:spacing w:after="260" w:line="280" w:lineRule="exact"/>
        <w:ind w:right="0"/>
        <w:jc w:val="both"/>
        <w:rPr>
          <w:rFonts w:ascii="Times New Roman" w:hAnsi="Times New Roman"/>
        </w:rPr>
      </w:pPr>
      <w:r w:rsidRPr="00B14447">
        <w:rPr>
          <w:rFonts w:ascii="Times New Roman" w:hAnsi="Times New Roman"/>
        </w:rPr>
        <w:tab/>
        <w:t>The trial before the primary judge ran for 17 days. The primary judge dismissed the Commonwealth's application for compensation. The primary judge's reasons for decision were detailed</w:t>
      </w:r>
      <w:r w:rsidR="006365A8" w:rsidRPr="00B14447">
        <w:rPr>
          <w:rFonts w:ascii="Times New Roman" w:hAnsi="Times New Roman"/>
        </w:rPr>
        <w:t xml:space="preserve"> </w:t>
      </w:r>
      <w:r w:rsidR="000B1DDF" w:rsidRPr="00B14447">
        <w:rPr>
          <w:rFonts w:ascii="Times New Roman" w:hAnsi="Times New Roman"/>
        </w:rPr>
        <w:t>—</w:t>
      </w:r>
      <w:r w:rsidR="006365A8" w:rsidRPr="00B14447">
        <w:rPr>
          <w:rFonts w:ascii="Times New Roman" w:hAnsi="Times New Roman"/>
        </w:rPr>
        <w:t xml:space="preserve"> </w:t>
      </w:r>
      <w:r w:rsidRPr="00B14447">
        <w:rPr>
          <w:rFonts w:ascii="Times New Roman" w:hAnsi="Times New Roman"/>
        </w:rPr>
        <w:t xml:space="preserve">comprising 698 paragraphs and 164 pages. The factual analysis alone took 224 paragraphs and more than </w:t>
      </w:r>
      <w:r w:rsidR="00F8484A" w:rsidRPr="00B14447">
        <w:rPr>
          <w:rFonts w:ascii="Times New Roman" w:hAnsi="Times New Roman"/>
        </w:rPr>
        <w:t>5</w:t>
      </w:r>
      <w:r w:rsidRPr="00B14447">
        <w:rPr>
          <w:rFonts w:ascii="Times New Roman" w:hAnsi="Times New Roman"/>
        </w:rPr>
        <w:t>0 pages. The ultimate conclusion of the primary judge, as well as his Honour's reasoning, w</w:t>
      </w:r>
      <w:r w:rsidR="004D37B9" w:rsidRPr="00B14447">
        <w:rPr>
          <w:rFonts w:ascii="Times New Roman" w:hAnsi="Times New Roman"/>
        </w:rPr>
        <w:t>ere</w:t>
      </w:r>
      <w:r w:rsidRPr="00B14447">
        <w:rPr>
          <w:rFonts w:ascii="Times New Roman" w:hAnsi="Times New Roman"/>
        </w:rPr>
        <w:t xml:space="preserve"> </w:t>
      </w:r>
      <w:r w:rsidR="00236A51" w:rsidRPr="00B14447">
        <w:rPr>
          <w:rFonts w:ascii="Times New Roman" w:hAnsi="Times New Roman"/>
        </w:rPr>
        <w:t xml:space="preserve">relevantly </w:t>
      </w:r>
      <w:r w:rsidRPr="00B14447">
        <w:rPr>
          <w:rFonts w:ascii="Times New Roman" w:hAnsi="Times New Roman"/>
        </w:rPr>
        <w:t>affirmed</w:t>
      </w:r>
      <w:r w:rsidR="004D37B9" w:rsidRPr="00B14447">
        <w:rPr>
          <w:rFonts w:ascii="Times New Roman" w:hAnsi="Times New Roman"/>
        </w:rPr>
        <w:t>,</w:t>
      </w:r>
      <w:r w:rsidRPr="00B14447">
        <w:rPr>
          <w:rFonts w:ascii="Times New Roman" w:hAnsi="Times New Roman"/>
        </w:rPr>
        <w:t xml:space="preserve"> </w:t>
      </w:r>
      <w:r w:rsidR="00236A51" w:rsidRPr="00B14447">
        <w:rPr>
          <w:rFonts w:ascii="Times New Roman" w:hAnsi="Times New Roman"/>
        </w:rPr>
        <w:t>unanimously</w:t>
      </w:r>
      <w:r w:rsidR="004D37B9" w:rsidRPr="00B14447">
        <w:rPr>
          <w:rFonts w:ascii="Times New Roman" w:hAnsi="Times New Roman"/>
        </w:rPr>
        <w:t>,</w:t>
      </w:r>
      <w:r w:rsidR="00236A51" w:rsidRPr="00B14447">
        <w:rPr>
          <w:rFonts w:ascii="Times New Roman" w:hAnsi="Times New Roman"/>
        </w:rPr>
        <w:t xml:space="preserve"> </w:t>
      </w:r>
      <w:r w:rsidRPr="00B14447">
        <w:rPr>
          <w:rFonts w:ascii="Times New Roman" w:hAnsi="Times New Roman"/>
        </w:rPr>
        <w:t xml:space="preserve">by the Full Court after a wide-ranging appeal </w:t>
      </w:r>
      <w:r w:rsidRPr="00B14447">
        <w:rPr>
          <w:rFonts w:ascii="Times New Roman" w:hAnsi="Times New Roman"/>
        </w:rPr>
        <w:lastRenderedPageBreak/>
        <w:t xml:space="preserve">over </w:t>
      </w:r>
      <w:r w:rsidR="004D37B9" w:rsidRPr="00B14447">
        <w:rPr>
          <w:rFonts w:ascii="Times New Roman" w:hAnsi="Times New Roman"/>
        </w:rPr>
        <w:t xml:space="preserve">seven </w:t>
      </w:r>
      <w:r w:rsidRPr="00B14447">
        <w:rPr>
          <w:rFonts w:ascii="Times New Roman" w:hAnsi="Times New Roman"/>
        </w:rPr>
        <w:t xml:space="preserve">days. The Full Court's reasons comprise 392 paragraphs and more than </w:t>
      </w:r>
      <w:r w:rsidR="004D37B9" w:rsidRPr="00B14447">
        <w:rPr>
          <w:rFonts w:ascii="Times New Roman" w:hAnsi="Times New Roman"/>
        </w:rPr>
        <w:t xml:space="preserve">100 </w:t>
      </w:r>
      <w:r w:rsidRPr="00B14447">
        <w:rPr>
          <w:rFonts w:ascii="Times New Roman" w:hAnsi="Times New Roman"/>
        </w:rPr>
        <w:t xml:space="preserve">pages. </w:t>
      </w:r>
    </w:p>
    <w:p w14:paraId="7474551D" w14:textId="2CF3BB3A" w:rsidR="004C2995" w:rsidRPr="00B14447" w:rsidRDefault="00784D48"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E838C7" w:rsidRPr="00B14447">
        <w:rPr>
          <w:rFonts w:ascii="Times New Roman" w:hAnsi="Times New Roman"/>
        </w:rPr>
        <w:t xml:space="preserve">In the Full Court </w:t>
      </w:r>
      <w:r w:rsidR="00682437" w:rsidRPr="00B14447">
        <w:rPr>
          <w:rFonts w:ascii="Times New Roman" w:hAnsi="Times New Roman"/>
        </w:rPr>
        <w:t>in respect of</w:t>
      </w:r>
      <w:r w:rsidR="00E838C7" w:rsidRPr="00B14447">
        <w:rPr>
          <w:rFonts w:ascii="Times New Roman" w:hAnsi="Times New Roman"/>
        </w:rPr>
        <w:t xml:space="preserve"> this part of the appeal</w:t>
      </w:r>
      <w:r w:rsidR="00265024" w:rsidRPr="00B14447">
        <w:rPr>
          <w:rFonts w:ascii="Times New Roman" w:hAnsi="Times New Roman"/>
        </w:rPr>
        <w:t xml:space="preserve"> </w:t>
      </w:r>
      <w:r w:rsidR="00682437" w:rsidRPr="00B14447">
        <w:rPr>
          <w:rFonts w:ascii="Times New Roman" w:hAnsi="Times New Roman"/>
        </w:rPr>
        <w:t>—</w:t>
      </w:r>
      <w:r w:rsidR="00265024" w:rsidRPr="00B14447">
        <w:rPr>
          <w:rFonts w:ascii="Times New Roman" w:hAnsi="Times New Roman"/>
        </w:rPr>
        <w:t xml:space="preserve"> </w:t>
      </w:r>
      <w:r w:rsidR="00682437" w:rsidRPr="00B14447">
        <w:rPr>
          <w:rFonts w:ascii="Times New Roman" w:hAnsi="Times New Roman"/>
        </w:rPr>
        <w:t>ie</w:t>
      </w:r>
      <w:r w:rsidR="00265024" w:rsidRPr="00B14447">
        <w:rPr>
          <w:rFonts w:ascii="Times New Roman" w:hAnsi="Times New Roman"/>
        </w:rPr>
        <w:t> </w:t>
      </w:r>
      <w:r w:rsidR="00E838C7" w:rsidRPr="00B14447">
        <w:rPr>
          <w:rFonts w:ascii="Times New Roman" w:hAnsi="Times New Roman"/>
        </w:rPr>
        <w:t xml:space="preserve">would Apotex have </w:t>
      </w:r>
      <w:r w:rsidR="000613CD" w:rsidRPr="00B14447">
        <w:rPr>
          <w:rFonts w:ascii="Times New Roman" w:hAnsi="Times New Roman"/>
        </w:rPr>
        <w:t>obtained PBS listing of its clopidogrel products on 1</w:t>
      </w:r>
      <w:r w:rsidR="00912EEF" w:rsidRPr="00B14447">
        <w:rPr>
          <w:rFonts w:ascii="Times New Roman" w:hAnsi="Times New Roman"/>
        </w:rPr>
        <w:t> </w:t>
      </w:r>
      <w:r w:rsidR="000613CD" w:rsidRPr="00B14447">
        <w:rPr>
          <w:rFonts w:ascii="Times New Roman" w:hAnsi="Times New Roman"/>
        </w:rPr>
        <w:t xml:space="preserve">April 2008 </w:t>
      </w:r>
      <w:r w:rsidR="00E838C7" w:rsidRPr="00B14447">
        <w:rPr>
          <w:rFonts w:ascii="Times New Roman" w:hAnsi="Times New Roman"/>
        </w:rPr>
        <w:t>if the injunction had not been granted</w:t>
      </w:r>
      <w:r w:rsidR="00265024" w:rsidRPr="00B14447">
        <w:rPr>
          <w:rFonts w:ascii="Times New Roman" w:hAnsi="Times New Roman"/>
        </w:rPr>
        <w:t xml:space="preserve"> </w:t>
      </w:r>
      <w:r w:rsidR="00682437" w:rsidRPr="00B14447">
        <w:rPr>
          <w:rFonts w:ascii="Times New Roman" w:hAnsi="Times New Roman"/>
        </w:rPr>
        <w:t>—</w:t>
      </w:r>
      <w:r w:rsidR="00265024" w:rsidRPr="00B14447">
        <w:rPr>
          <w:rFonts w:ascii="Times New Roman" w:hAnsi="Times New Roman"/>
        </w:rPr>
        <w:t xml:space="preserve"> </w:t>
      </w:r>
      <w:r w:rsidR="00E838C7" w:rsidRPr="00B14447">
        <w:rPr>
          <w:rFonts w:ascii="Times New Roman" w:hAnsi="Times New Roman"/>
        </w:rPr>
        <w:t xml:space="preserve">the parties prepared an agreed chronology which set out the documents and ID references for the documents which the primary judge referred to as well as those </w:t>
      </w:r>
      <w:r w:rsidR="00C866D8" w:rsidRPr="00B14447">
        <w:rPr>
          <w:rFonts w:ascii="Times New Roman" w:hAnsi="Times New Roman"/>
        </w:rPr>
        <w:t>which the primary judge did not refer to ("the</w:t>
      </w:r>
      <w:r w:rsidR="00C866D8" w:rsidRPr="00B14447">
        <w:rPr>
          <w:rFonts w:ascii="Times New Roman" w:hAnsi="Times New Roman"/>
          <w:b/>
          <w:bCs/>
        </w:rPr>
        <w:t xml:space="preserve"> Joint Chronology</w:t>
      </w:r>
      <w:r w:rsidR="001521CF" w:rsidRPr="00B14447">
        <w:rPr>
          <w:rFonts w:ascii="Times New Roman" w:hAnsi="Times New Roman"/>
          <w:b/>
          <w:bCs/>
        </w:rPr>
        <w:t xml:space="preserve"> FC</w:t>
      </w:r>
      <w:r w:rsidR="00C866D8" w:rsidRPr="00B14447">
        <w:rPr>
          <w:rFonts w:ascii="Times New Roman" w:hAnsi="Times New Roman"/>
        </w:rPr>
        <w:t xml:space="preserve">"). </w:t>
      </w:r>
    </w:p>
    <w:p w14:paraId="2BE1E81A" w14:textId="37358162" w:rsidR="00CD19F0" w:rsidRPr="00B14447" w:rsidRDefault="004C2995"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1521CF" w:rsidRPr="00B14447">
        <w:rPr>
          <w:rFonts w:ascii="Times New Roman" w:hAnsi="Times New Roman"/>
        </w:rPr>
        <w:t>In this Court, the parties provided a</w:t>
      </w:r>
      <w:r w:rsidR="00FB4259" w:rsidRPr="00B14447">
        <w:rPr>
          <w:rFonts w:ascii="Times New Roman" w:hAnsi="Times New Roman"/>
        </w:rPr>
        <w:t>n amended</w:t>
      </w:r>
      <w:r w:rsidR="001521CF" w:rsidRPr="00B14447">
        <w:rPr>
          <w:rFonts w:ascii="Times New Roman" w:hAnsi="Times New Roman"/>
        </w:rPr>
        <w:t xml:space="preserve"> </w:t>
      </w:r>
      <w:r w:rsidR="00B031DF" w:rsidRPr="00B14447">
        <w:rPr>
          <w:rFonts w:ascii="Times New Roman" w:hAnsi="Times New Roman"/>
        </w:rPr>
        <w:t>Joint Chronology</w:t>
      </w:r>
      <w:r w:rsidRPr="00B14447">
        <w:rPr>
          <w:rFonts w:ascii="Times New Roman" w:hAnsi="Times New Roman"/>
        </w:rPr>
        <w:t xml:space="preserve"> </w:t>
      </w:r>
      <w:r w:rsidR="00B11E71" w:rsidRPr="00B14447">
        <w:rPr>
          <w:rFonts w:ascii="Times New Roman" w:hAnsi="Times New Roman"/>
        </w:rPr>
        <w:t>signed by senior counsel for both parties</w:t>
      </w:r>
      <w:r w:rsidR="0010257E" w:rsidRPr="00B14447">
        <w:rPr>
          <w:rFonts w:ascii="Times New Roman" w:hAnsi="Times New Roman"/>
        </w:rPr>
        <w:t xml:space="preserve"> ("</w:t>
      </w:r>
      <w:r w:rsidR="00EC7E37" w:rsidRPr="00B14447">
        <w:rPr>
          <w:rFonts w:ascii="Times New Roman" w:hAnsi="Times New Roman"/>
        </w:rPr>
        <w:t xml:space="preserve">the </w:t>
      </w:r>
      <w:r w:rsidR="0010257E" w:rsidRPr="00B14447">
        <w:rPr>
          <w:rFonts w:ascii="Times New Roman" w:hAnsi="Times New Roman"/>
          <w:b/>
          <w:bCs/>
        </w:rPr>
        <w:t>Joint Chronology HC</w:t>
      </w:r>
      <w:r w:rsidR="0010257E" w:rsidRPr="00B14447">
        <w:rPr>
          <w:rFonts w:ascii="Times New Roman" w:hAnsi="Times New Roman"/>
        </w:rPr>
        <w:t>")</w:t>
      </w:r>
      <w:r w:rsidR="00A165A4" w:rsidRPr="00B14447">
        <w:rPr>
          <w:rFonts w:ascii="Times New Roman" w:hAnsi="Times New Roman"/>
        </w:rPr>
        <w:t>.</w:t>
      </w:r>
      <w:r w:rsidR="000460D4" w:rsidRPr="00B14447">
        <w:rPr>
          <w:rStyle w:val="FootnoteReference"/>
          <w:rFonts w:ascii="Times New Roman" w:hAnsi="Times New Roman"/>
          <w:sz w:val="24"/>
        </w:rPr>
        <w:footnoteReference w:id="76"/>
      </w:r>
      <w:r w:rsidR="00A165A4" w:rsidRPr="00B14447">
        <w:rPr>
          <w:rFonts w:ascii="Times New Roman" w:hAnsi="Times New Roman"/>
        </w:rPr>
        <w:t xml:space="preserve"> The</w:t>
      </w:r>
      <w:r w:rsidR="003E6033" w:rsidRPr="00B14447">
        <w:rPr>
          <w:rFonts w:ascii="Times New Roman" w:hAnsi="Times New Roman"/>
        </w:rPr>
        <w:t> </w:t>
      </w:r>
      <w:r w:rsidR="00A165A4" w:rsidRPr="00B14447">
        <w:rPr>
          <w:rFonts w:ascii="Times New Roman" w:hAnsi="Times New Roman"/>
        </w:rPr>
        <w:t>Joint Chronology</w:t>
      </w:r>
      <w:r w:rsidR="00B031DF" w:rsidRPr="00B14447">
        <w:rPr>
          <w:rFonts w:ascii="Times New Roman" w:hAnsi="Times New Roman"/>
        </w:rPr>
        <w:t xml:space="preserve"> </w:t>
      </w:r>
      <w:r w:rsidR="0010257E" w:rsidRPr="00B14447">
        <w:rPr>
          <w:rFonts w:ascii="Times New Roman" w:hAnsi="Times New Roman"/>
        </w:rPr>
        <w:t>HC</w:t>
      </w:r>
      <w:r w:rsidR="00A165A4" w:rsidRPr="00B14447">
        <w:rPr>
          <w:rFonts w:ascii="Times New Roman" w:hAnsi="Times New Roman"/>
        </w:rPr>
        <w:t xml:space="preserve"> only </w:t>
      </w:r>
      <w:r w:rsidR="00D15BC7" w:rsidRPr="00B14447">
        <w:rPr>
          <w:rFonts w:ascii="Times New Roman" w:hAnsi="Times New Roman"/>
        </w:rPr>
        <w:t xml:space="preserve">listed those items relevant to the Commonwealth's grounds of appeal and Sanofi's notice of contention and </w:t>
      </w:r>
      <w:r w:rsidR="00FB4259" w:rsidRPr="00B14447">
        <w:rPr>
          <w:rFonts w:ascii="Times New Roman" w:hAnsi="Times New Roman"/>
        </w:rPr>
        <w:t xml:space="preserve">added </w:t>
      </w:r>
      <w:r w:rsidR="00D15BC7" w:rsidRPr="00B14447">
        <w:rPr>
          <w:rFonts w:ascii="Times New Roman" w:hAnsi="Times New Roman"/>
        </w:rPr>
        <w:t xml:space="preserve">some new items which </w:t>
      </w:r>
      <w:r w:rsidR="003B28B5" w:rsidRPr="00B14447">
        <w:rPr>
          <w:rFonts w:ascii="Times New Roman" w:hAnsi="Times New Roman"/>
        </w:rPr>
        <w:t>were</w:t>
      </w:r>
      <w:r w:rsidR="00402863" w:rsidRPr="00B14447">
        <w:rPr>
          <w:rFonts w:ascii="Times New Roman" w:hAnsi="Times New Roman"/>
        </w:rPr>
        <w:t xml:space="preserve"> either before the Full Court b</w:t>
      </w:r>
      <w:r w:rsidR="003B28B5" w:rsidRPr="00B14447">
        <w:rPr>
          <w:rFonts w:ascii="Times New Roman" w:hAnsi="Times New Roman"/>
        </w:rPr>
        <w:t>u</w:t>
      </w:r>
      <w:r w:rsidR="00402863" w:rsidRPr="00B14447">
        <w:rPr>
          <w:rFonts w:ascii="Times New Roman" w:hAnsi="Times New Roman"/>
        </w:rPr>
        <w:t xml:space="preserve">t not the subject of a discrete </w:t>
      </w:r>
      <w:r w:rsidR="006C27B8" w:rsidRPr="00B14447">
        <w:rPr>
          <w:rFonts w:ascii="Times New Roman" w:hAnsi="Times New Roman"/>
        </w:rPr>
        <w:t>item</w:t>
      </w:r>
      <w:r w:rsidR="00402863" w:rsidRPr="00B14447">
        <w:rPr>
          <w:rFonts w:ascii="Times New Roman" w:hAnsi="Times New Roman"/>
        </w:rPr>
        <w:t xml:space="preserve"> in the Joint Chronology FC </w:t>
      </w:r>
      <w:r w:rsidR="006C27B8" w:rsidRPr="00B14447">
        <w:rPr>
          <w:rFonts w:ascii="Times New Roman" w:hAnsi="Times New Roman"/>
        </w:rPr>
        <w:t xml:space="preserve">or concerned matters relating to the procedural history of the proceedings. </w:t>
      </w:r>
      <w:r w:rsidR="00A165A4" w:rsidRPr="00B14447">
        <w:rPr>
          <w:rFonts w:ascii="Times New Roman" w:hAnsi="Times New Roman"/>
        </w:rPr>
        <w:t>The</w:t>
      </w:r>
      <w:r w:rsidR="003E6033" w:rsidRPr="00B14447">
        <w:rPr>
          <w:rFonts w:ascii="Times New Roman" w:hAnsi="Times New Roman"/>
        </w:rPr>
        <w:t> </w:t>
      </w:r>
      <w:r w:rsidR="00A165A4" w:rsidRPr="00B14447">
        <w:rPr>
          <w:rFonts w:ascii="Times New Roman" w:hAnsi="Times New Roman"/>
        </w:rPr>
        <w:t xml:space="preserve">Joint Chronology </w:t>
      </w:r>
      <w:r w:rsidR="0010257E" w:rsidRPr="00B14447">
        <w:rPr>
          <w:rFonts w:ascii="Times New Roman" w:hAnsi="Times New Roman"/>
        </w:rPr>
        <w:t xml:space="preserve">HC </w:t>
      </w:r>
      <w:r w:rsidR="00A165A4" w:rsidRPr="00B14447">
        <w:rPr>
          <w:rFonts w:ascii="Times New Roman" w:hAnsi="Times New Roman"/>
        </w:rPr>
        <w:t xml:space="preserve">ran for more than 65 pages and included </w:t>
      </w:r>
      <w:r w:rsidR="000F2E68" w:rsidRPr="00B14447">
        <w:rPr>
          <w:rFonts w:ascii="Times New Roman" w:hAnsi="Times New Roman"/>
        </w:rPr>
        <w:t>244</w:t>
      </w:r>
      <w:r w:rsidR="00A165A4" w:rsidRPr="00B14447">
        <w:rPr>
          <w:rFonts w:ascii="Times New Roman" w:hAnsi="Times New Roman"/>
        </w:rPr>
        <w:t xml:space="preserve"> separate items. </w:t>
      </w:r>
      <w:r w:rsidR="003B28B5" w:rsidRPr="00B14447">
        <w:rPr>
          <w:rFonts w:ascii="Times New Roman" w:hAnsi="Times New Roman"/>
        </w:rPr>
        <w:t xml:space="preserve">It </w:t>
      </w:r>
      <w:r w:rsidR="0010257E" w:rsidRPr="00B14447">
        <w:rPr>
          <w:rFonts w:ascii="Times New Roman" w:hAnsi="Times New Roman"/>
        </w:rPr>
        <w:t xml:space="preserve">included cross references to other documents including </w:t>
      </w:r>
      <w:r w:rsidR="00C546BF" w:rsidRPr="00B14447">
        <w:rPr>
          <w:rFonts w:ascii="Times New Roman" w:hAnsi="Times New Roman"/>
        </w:rPr>
        <w:t>affidavits, court documents,</w:t>
      </w:r>
      <w:r w:rsidR="002E2082" w:rsidRPr="00B14447">
        <w:rPr>
          <w:rFonts w:ascii="Times New Roman" w:hAnsi="Times New Roman"/>
        </w:rPr>
        <w:t xml:space="preserve"> extracts of cross-examination, </w:t>
      </w:r>
      <w:r w:rsidR="00233574" w:rsidRPr="00B14447">
        <w:rPr>
          <w:rFonts w:ascii="Times New Roman" w:hAnsi="Times New Roman"/>
        </w:rPr>
        <w:t xml:space="preserve">extracts of </w:t>
      </w:r>
      <w:r w:rsidR="002E2082" w:rsidRPr="00B14447">
        <w:rPr>
          <w:rFonts w:ascii="Times New Roman" w:hAnsi="Times New Roman"/>
        </w:rPr>
        <w:t xml:space="preserve">submissions </w:t>
      </w:r>
      <w:r w:rsidR="00233574" w:rsidRPr="00B14447">
        <w:rPr>
          <w:rFonts w:ascii="Times New Roman" w:hAnsi="Times New Roman"/>
        </w:rPr>
        <w:t>before the primary judge and the Full Court</w:t>
      </w:r>
      <w:r w:rsidR="00D41082" w:rsidRPr="00B14447">
        <w:rPr>
          <w:rFonts w:ascii="Times New Roman" w:hAnsi="Times New Roman"/>
        </w:rPr>
        <w:t>,</w:t>
      </w:r>
      <w:r w:rsidR="00233574" w:rsidRPr="00B14447">
        <w:rPr>
          <w:rFonts w:ascii="Times New Roman" w:hAnsi="Times New Roman"/>
        </w:rPr>
        <w:t xml:space="preserve"> and </w:t>
      </w:r>
      <w:r w:rsidR="0010257E" w:rsidRPr="00B14447">
        <w:rPr>
          <w:rFonts w:ascii="Times New Roman" w:hAnsi="Times New Roman"/>
        </w:rPr>
        <w:t xml:space="preserve">organization charts. </w:t>
      </w:r>
      <w:r w:rsidR="00CD6D72" w:rsidRPr="00B14447">
        <w:rPr>
          <w:rFonts w:ascii="Times New Roman" w:hAnsi="Times New Roman"/>
        </w:rPr>
        <w:t>It was divided into</w:t>
      </w:r>
      <w:r w:rsidRPr="00B14447">
        <w:rPr>
          <w:rFonts w:ascii="Times New Roman" w:hAnsi="Times New Roman"/>
        </w:rPr>
        <w:t xml:space="preserve"> Pts A to J</w:t>
      </w:r>
      <w:r w:rsidR="003B28B5" w:rsidRPr="00B14447">
        <w:rPr>
          <w:rFonts w:ascii="Times New Roman" w:hAnsi="Times New Roman"/>
        </w:rPr>
        <w:t>:</w:t>
      </w:r>
      <w:r w:rsidR="00AD5FCD" w:rsidRPr="00B14447">
        <w:rPr>
          <w:rFonts w:ascii="Times New Roman" w:hAnsi="Times New Roman"/>
        </w:rPr>
        <w:t xml:space="preserve"> </w:t>
      </w:r>
    </w:p>
    <w:p w14:paraId="0AFF371A" w14:textId="6C56B271" w:rsidR="00CD19F0" w:rsidRPr="00B14447" w:rsidRDefault="00AD5FCD" w:rsidP="00B14447">
      <w:pPr>
        <w:pStyle w:val="leftright"/>
        <w:keepNext/>
        <w:spacing w:before="0" w:after="260" w:line="280" w:lineRule="exact"/>
        <w:ind w:right="0"/>
        <w:jc w:val="both"/>
        <w:rPr>
          <w:rFonts w:ascii="Times New Roman" w:hAnsi="Times New Roman"/>
        </w:rPr>
      </w:pPr>
      <w:r w:rsidRPr="00B14447">
        <w:rPr>
          <w:rFonts w:ascii="Times New Roman" w:hAnsi="Times New Roman"/>
        </w:rPr>
        <w:t xml:space="preserve">A: </w:t>
      </w:r>
      <w:r w:rsidR="003E6033" w:rsidRPr="00B14447">
        <w:rPr>
          <w:rFonts w:ascii="Times New Roman" w:hAnsi="Times New Roman"/>
        </w:rPr>
        <w:tab/>
      </w:r>
      <w:r w:rsidRPr="00B14447">
        <w:rPr>
          <w:rFonts w:ascii="Times New Roman" w:hAnsi="Times New Roman"/>
        </w:rPr>
        <w:t xml:space="preserve">Pre 2007; </w:t>
      </w:r>
    </w:p>
    <w:p w14:paraId="5B93F981" w14:textId="098673E9" w:rsidR="00CD19F0" w:rsidRPr="00B14447" w:rsidRDefault="00AD5FCD" w:rsidP="00B14447">
      <w:pPr>
        <w:pStyle w:val="leftright"/>
        <w:spacing w:before="0" w:after="260" w:line="280" w:lineRule="exact"/>
        <w:ind w:left="1440" w:right="0" w:hanging="720"/>
        <w:jc w:val="both"/>
        <w:rPr>
          <w:rFonts w:ascii="Times New Roman" w:hAnsi="Times New Roman"/>
        </w:rPr>
      </w:pPr>
      <w:r w:rsidRPr="00B14447">
        <w:rPr>
          <w:rFonts w:ascii="Times New Roman" w:hAnsi="Times New Roman"/>
        </w:rPr>
        <w:t xml:space="preserve">B: </w:t>
      </w:r>
      <w:r w:rsidR="003E6033" w:rsidRPr="00B14447">
        <w:rPr>
          <w:rFonts w:ascii="Times New Roman" w:hAnsi="Times New Roman"/>
        </w:rPr>
        <w:tab/>
      </w:r>
      <w:r w:rsidRPr="00B14447">
        <w:rPr>
          <w:rFonts w:ascii="Times New Roman" w:hAnsi="Times New Roman"/>
        </w:rPr>
        <w:t>GenR</w:t>
      </w:r>
      <w:r w:rsidR="00674F6E" w:rsidRPr="00B14447">
        <w:rPr>
          <w:rFonts w:ascii="Times New Roman" w:hAnsi="Times New Roman"/>
        </w:rPr>
        <w:t>x</w:t>
      </w:r>
      <w:r w:rsidRPr="00B14447">
        <w:rPr>
          <w:rFonts w:ascii="Times New Roman" w:hAnsi="Times New Roman"/>
        </w:rPr>
        <w:t>/Apotex Canada communicate about a possible launch of clopidog</w:t>
      </w:r>
      <w:r w:rsidR="00674F6E" w:rsidRPr="00B14447">
        <w:rPr>
          <w:rFonts w:ascii="Times New Roman" w:hAnsi="Times New Roman"/>
        </w:rPr>
        <w:t>r</w:t>
      </w:r>
      <w:r w:rsidRPr="00B14447">
        <w:rPr>
          <w:rFonts w:ascii="Times New Roman" w:hAnsi="Times New Roman"/>
        </w:rPr>
        <w:t xml:space="preserve">el in Australia; </w:t>
      </w:r>
    </w:p>
    <w:p w14:paraId="0AA534C5" w14:textId="13CCD3F7" w:rsidR="00CD19F0" w:rsidRPr="00B14447" w:rsidRDefault="00AD5FCD" w:rsidP="00B14447">
      <w:pPr>
        <w:pStyle w:val="leftright"/>
        <w:spacing w:before="0" w:after="260" w:line="280" w:lineRule="exact"/>
        <w:ind w:left="1440" w:right="0" w:hanging="720"/>
        <w:jc w:val="both"/>
        <w:rPr>
          <w:rFonts w:ascii="Times New Roman" w:hAnsi="Times New Roman"/>
        </w:rPr>
      </w:pPr>
      <w:r w:rsidRPr="00B14447">
        <w:rPr>
          <w:rFonts w:ascii="Times New Roman" w:hAnsi="Times New Roman"/>
        </w:rPr>
        <w:t xml:space="preserve">C: </w:t>
      </w:r>
      <w:r w:rsidR="003E6033" w:rsidRPr="00B14447">
        <w:rPr>
          <w:rFonts w:ascii="Times New Roman" w:hAnsi="Times New Roman"/>
        </w:rPr>
        <w:tab/>
      </w:r>
      <w:r w:rsidRPr="00B14447">
        <w:rPr>
          <w:rFonts w:ascii="Times New Roman" w:hAnsi="Times New Roman"/>
        </w:rPr>
        <w:t>GenR</w:t>
      </w:r>
      <w:r w:rsidR="00674F6E" w:rsidRPr="00B14447">
        <w:rPr>
          <w:rFonts w:ascii="Times New Roman" w:hAnsi="Times New Roman"/>
        </w:rPr>
        <w:t>x</w:t>
      </w:r>
      <w:r w:rsidRPr="00B14447">
        <w:rPr>
          <w:rFonts w:ascii="Times New Roman" w:hAnsi="Times New Roman"/>
        </w:rPr>
        <w:t xml:space="preserve"> communicates with the TGA, Sanofi and its customers about a possible launch of clopidog</w:t>
      </w:r>
      <w:r w:rsidR="00674F6E" w:rsidRPr="00B14447">
        <w:rPr>
          <w:rFonts w:ascii="Times New Roman" w:hAnsi="Times New Roman"/>
        </w:rPr>
        <w:t>r</w:t>
      </w:r>
      <w:r w:rsidRPr="00B14447">
        <w:rPr>
          <w:rFonts w:ascii="Times New Roman" w:hAnsi="Times New Roman"/>
        </w:rPr>
        <w:t xml:space="preserve">el </w:t>
      </w:r>
      <w:r w:rsidR="00E361E7" w:rsidRPr="00B14447">
        <w:rPr>
          <w:rFonts w:ascii="Times New Roman" w:hAnsi="Times New Roman"/>
        </w:rPr>
        <w:t xml:space="preserve">and commences patent revocation proceedings against Sanofi; </w:t>
      </w:r>
    </w:p>
    <w:p w14:paraId="48EC68AB" w14:textId="3981842C" w:rsidR="00CD19F0" w:rsidRPr="00B14447" w:rsidRDefault="00E361E7" w:rsidP="00B14447">
      <w:pPr>
        <w:pStyle w:val="leftright"/>
        <w:spacing w:before="0" w:after="260" w:line="280" w:lineRule="exact"/>
        <w:ind w:right="0"/>
        <w:jc w:val="both"/>
        <w:rPr>
          <w:rFonts w:ascii="Times New Roman" w:hAnsi="Times New Roman"/>
        </w:rPr>
      </w:pPr>
      <w:r w:rsidRPr="00B14447">
        <w:rPr>
          <w:rFonts w:ascii="Times New Roman" w:hAnsi="Times New Roman"/>
        </w:rPr>
        <w:t xml:space="preserve">D: </w:t>
      </w:r>
      <w:r w:rsidR="003E6033" w:rsidRPr="00B14447">
        <w:rPr>
          <w:rFonts w:ascii="Times New Roman" w:hAnsi="Times New Roman"/>
        </w:rPr>
        <w:tab/>
      </w:r>
      <w:r w:rsidRPr="00B14447">
        <w:rPr>
          <w:rFonts w:ascii="Times New Roman" w:hAnsi="Times New Roman"/>
        </w:rPr>
        <w:t xml:space="preserve">PBS Listing Application; </w:t>
      </w:r>
    </w:p>
    <w:p w14:paraId="522ECC4D" w14:textId="609562BB" w:rsidR="00CD19F0" w:rsidRPr="00B14447" w:rsidRDefault="00E361E7" w:rsidP="00B14447">
      <w:pPr>
        <w:pStyle w:val="leftright"/>
        <w:spacing w:before="0" w:after="260" w:line="280" w:lineRule="exact"/>
        <w:ind w:right="0"/>
        <w:jc w:val="both"/>
        <w:rPr>
          <w:rFonts w:ascii="Times New Roman" w:hAnsi="Times New Roman"/>
        </w:rPr>
      </w:pPr>
      <w:r w:rsidRPr="00B14447">
        <w:rPr>
          <w:rFonts w:ascii="Times New Roman" w:hAnsi="Times New Roman"/>
        </w:rPr>
        <w:t xml:space="preserve">E: </w:t>
      </w:r>
      <w:r w:rsidR="003E6033" w:rsidRPr="00B14447">
        <w:rPr>
          <w:rFonts w:ascii="Times New Roman" w:hAnsi="Times New Roman"/>
        </w:rPr>
        <w:tab/>
      </w:r>
      <w:r w:rsidRPr="00B14447">
        <w:rPr>
          <w:rFonts w:ascii="Times New Roman" w:hAnsi="Times New Roman"/>
        </w:rPr>
        <w:t xml:space="preserve">Response to interlocutory injunction application; </w:t>
      </w:r>
    </w:p>
    <w:p w14:paraId="5D0207A7" w14:textId="6706952F" w:rsidR="003E6033" w:rsidRPr="00B14447" w:rsidRDefault="00CD19F0" w:rsidP="00B14447">
      <w:pPr>
        <w:pStyle w:val="leftright"/>
        <w:spacing w:before="0" w:after="260" w:line="280" w:lineRule="exact"/>
        <w:ind w:right="0"/>
        <w:jc w:val="both"/>
        <w:rPr>
          <w:rFonts w:ascii="Times New Roman" w:hAnsi="Times New Roman"/>
        </w:rPr>
      </w:pPr>
      <w:r w:rsidRPr="00B14447">
        <w:rPr>
          <w:rFonts w:ascii="Times New Roman" w:hAnsi="Times New Roman"/>
        </w:rPr>
        <w:t xml:space="preserve">F: </w:t>
      </w:r>
      <w:r w:rsidR="003E6033" w:rsidRPr="00B14447">
        <w:rPr>
          <w:rFonts w:ascii="Times New Roman" w:hAnsi="Times New Roman"/>
        </w:rPr>
        <w:tab/>
        <w:t>Interlocutory hearing;</w:t>
      </w:r>
    </w:p>
    <w:p w14:paraId="6B57B475" w14:textId="012398B8" w:rsidR="003E6033" w:rsidRPr="00B14447" w:rsidRDefault="003E6033" w:rsidP="00B14447">
      <w:pPr>
        <w:pStyle w:val="leftright"/>
        <w:spacing w:before="0" w:after="260" w:line="280" w:lineRule="exact"/>
        <w:ind w:left="1440" w:right="0" w:hanging="720"/>
        <w:jc w:val="both"/>
        <w:rPr>
          <w:rFonts w:ascii="Times New Roman" w:hAnsi="Times New Roman"/>
        </w:rPr>
      </w:pPr>
      <w:r w:rsidRPr="00B14447">
        <w:rPr>
          <w:rFonts w:ascii="Times New Roman" w:hAnsi="Times New Roman"/>
        </w:rPr>
        <w:lastRenderedPageBreak/>
        <w:t xml:space="preserve">G: </w:t>
      </w:r>
      <w:r w:rsidRPr="00B14447">
        <w:rPr>
          <w:rFonts w:ascii="Times New Roman" w:hAnsi="Times New Roman"/>
        </w:rPr>
        <w:tab/>
        <w:t>GenR</w:t>
      </w:r>
      <w:r w:rsidR="00DC20E6" w:rsidRPr="00B14447">
        <w:rPr>
          <w:rFonts w:ascii="Times New Roman" w:hAnsi="Times New Roman"/>
        </w:rPr>
        <w:t>x</w:t>
      </w:r>
      <w:r w:rsidRPr="00B14447">
        <w:rPr>
          <w:rFonts w:ascii="Times New Roman" w:hAnsi="Times New Roman"/>
        </w:rPr>
        <w:t xml:space="preserve"> (now known as Apotex) and Apotex Canada communicate between the grant of the interlocutory injunction and judgment in the patent revocation proceedings about how to respond to a final decision by Gyles</w:t>
      </w:r>
      <w:r w:rsidR="00E65B52" w:rsidRPr="00B14447">
        <w:rPr>
          <w:rFonts w:ascii="Times New Roman" w:hAnsi="Times New Roman"/>
        </w:rPr>
        <w:t> </w:t>
      </w:r>
      <w:r w:rsidRPr="00B14447">
        <w:rPr>
          <w:rFonts w:ascii="Times New Roman" w:hAnsi="Times New Roman"/>
        </w:rPr>
        <w:t>J;</w:t>
      </w:r>
    </w:p>
    <w:p w14:paraId="101DA386" w14:textId="77777777" w:rsidR="003E6033" w:rsidRPr="00B14447" w:rsidRDefault="003E6033" w:rsidP="00B14447">
      <w:pPr>
        <w:pStyle w:val="leftright"/>
        <w:spacing w:before="0" w:after="260" w:line="280" w:lineRule="exact"/>
        <w:ind w:right="0"/>
        <w:jc w:val="both"/>
        <w:rPr>
          <w:rFonts w:ascii="Times New Roman" w:hAnsi="Times New Roman"/>
        </w:rPr>
      </w:pPr>
      <w:r w:rsidRPr="00B14447">
        <w:rPr>
          <w:rFonts w:ascii="Times New Roman" w:hAnsi="Times New Roman"/>
        </w:rPr>
        <w:t>H:</w:t>
      </w:r>
      <w:r w:rsidRPr="00B14447">
        <w:rPr>
          <w:rFonts w:ascii="Times New Roman" w:hAnsi="Times New Roman"/>
        </w:rPr>
        <w:tab/>
        <w:t>Judgment and appeal;</w:t>
      </w:r>
    </w:p>
    <w:p w14:paraId="4C65FF38" w14:textId="77777777" w:rsidR="003E6033" w:rsidRPr="00B14447" w:rsidRDefault="003E6033" w:rsidP="00B14447">
      <w:pPr>
        <w:pStyle w:val="leftright"/>
        <w:spacing w:before="0" w:after="260" w:line="280" w:lineRule="exact"/>
        <w:ind w:right="0"/>
        <w:jc w:val="both"/>
        <w:rPr>
          <w:rFonts w:ascii="Times New Roman" w:hAnsi="Times New Roman"/>
        </w:rPr>
      </w:pPr>
      <w:r w:rsidRPr="00B14447">
        <w:rPr>
          <w:rFonts w:ascii="Times New Roman" w:hAnsi="Times New Roman"/>
        </w:rPr>
        <w:t>I:</w:t>
      </w:r>
      <w:r w:rsidRPr="00B14447">
        <w:rPr>
          <w:rFonts w:ascii="Times New Roman" w:hAnsi="Times New Roman"/>
        </w:rPr>
        <w:tab/>
        <w:t>Apotex's PBS listing and claims;</w:t>
      </w:r>
    </w:p>
    <w:p w14:paraId="0655B098" w14:textId="77777777" w:rsidR="00B14447" w:rsidRDefault="003E6033" w:rsidP="00B14447">
      <w:pPr>
        <w:pStyle w:val="leftright"/>
        <w:spacing w:before="0" w:after="260" w:line="280" w:lineRule="exact"/>
        <w:ind w:right="0"/>
        <w:jc w:val="both"/>
        <w:rPr>
          <w:rFonts w:ascii="Times New Roman" w:hAnsi="Times New Roman"/>
        </w:rPr>
      </w:pPr>
      <w:r w:rsidRPr="00B14447">
        <w:rPr>
          <w:rFonts w:ascii="Times New Roman" w:hAnsi="Times New Roman"/>
        </w:rPr>
        <w:t>J:</w:t>
      </w:r>
      <w:r w:rsidRPr="00B14447">
        <w:rPr>
          <w:rFonts w:ascii="Times New Roman" w:hAnsi="Times New Roman"/>
        </w:rPr>
        <w:tab/>
        <w:t>Dramatis Personae.</w:t>
      </w:r>
    </w:p>
    <w:p w14:paraId="5FA379A8" w14:textId="2CA1F594" w:rsidR="00145A8E" w:rsidRPr="00B14447" w:rsidRDefault="00233574"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Against each entry, it identified where that entry was addressed by </w:t>
      </w:r>
      <w:r w:rsidR="00CB64CE" w:rsidRPr="00B14447">
        <w:rPr>
          <w:rFonts w:ascii="Times New Roman" w:hAnsi="Times New Roman"/>
        </w:rPr>
        <w:t xml:space="preserve">either </w:t>
      </w:r>
      <w:r w:rsidRPr="00B14447">
        <w:rPr>
          <w:rFonts w:ascii="Times New Roman" w:hAnsi="Times New Roman"/>
        </w:rPr>
        <w:t xml:space="preserve">or </w:t>
      </w:r>
      <w:r w:rsidR="00CB64CE" w:rsidRPr="00B14447">
        <w:rPr>
          <w:rFonts w:ascii="Times New Roman" w:hAnsi="Times New Roman"/>
        </w:rPr>
        <w:t xml:space="preserve">both </w:t>
      </w:r>
      <w:r w:rsidRPr="00B14447">
        <w:rPr>
          <w:rFonts w:ascii="Times New Roman" w:hAnsi="Times New Roman"/>
        </w:rPr>
        <w:t>of the primary judge and the Full Court. The "new items" were marked with an asterisk</w:t>
      </w:r>
      <w:r w:rsidR="002B1508" w:rsidRPr="00B14447">
        <w:rPr>
          <w:rFonts w:ascii="Times New Roman" w:hAnsi="Times New Roman"/>
        </w:rPr>
        <w:t>:</w:t>
      </w:r>
      <w:r w:rsidRPr="00B14447">
        <w:rPr>
          <w:rFonts w:ascii="Times New Roman" w:hAnsi="Times New Roman"/>
        </w:rPr>
        <w:t xml:space="preserve"> Pt</w:t>
      </w:r>
      <w:r w:rsidR="00450130" w:rsidRPr="00B14447">
        <w:rPr>
          <w:rFonts w:ascii="Times New Roman" w:hAnsi="Times New Roman"/>
        </w:rPr>
        <w:t> </w:t>
      </w:r>
      <w:r w:rsidRPr="00B14447">
        <w:rPr>
          <w:rFonts w:ascii="Times New Roman" w:hAnsi="Times New Roman"/>
        </w:rPr>
        <w:t>A (three new items); Pt F (six new items); Pt G (three new items); Pt H (three new items)</w:t>
      </w:r>
      <w:r w:rsidR="00CB64CE" w:rsidRPr="00B14447">
        <w:rPr>
          <w:rFonts w:ascii="Times New Roman" w:hAnsi="Times New Roman"/>
        </w:rPr>
        <w:t>;</w:t>
      </w:r>
      <w:r w:rsidRPr="00B14447">
        <w:rPr>
          <w:rFonts w:ascii="Times New Roman" w:hAnsi="Times New Roman"/>
        </w:rPr>
        <w:t xml:space="preserve"> and Pt</w:t>
      </w:r>
      <w:r w:rsidR="00C24184" w:rsidRPr="00B14447">
        <w:rPr>
          <w:rFonts w:ascii="Times New Roman" w:hAnsi="Times New Roman"/>
        </w:rPr>
        <w:t> </w:t>
      </w:r>
      <w:r w:rsidRPr="00B14447">
        <w:rPr>
          <w:rFonts w:ascii="Times New Roman" w:hAnsi="Times New Roman"/>
        </w:rPr>
        <w:t xml:space="preserve">I (38 new items). </w:t>
      </w:r>
      <w:r w:rsidR="00347E47" w:rsidRPr="00B14447">
        <w:rPr>
          <w:rFonts w:ascii="Times New Roman" w:hAnsi="Times New Roman"/>
        </w:rPr>
        <w:t xml:space="preserve">In addition to the </w:t>
      </w:r>
      <w:r w:rsidR="00D168FE" w:rsidRPr="00B14447">
        <w:rPr>
          <w:rFonts w:ascii="Times New Roman" w:hAnsi="Times New Roman"/>
        </w:rPr>
        <w:t>Joint Chronology</w:t>
      </w:r>
      <w:r w:rsidR="00C26B30">
        <w:rPr>
          <w:rFonts w:ascii="Times New Roman" w:hAnsi="Times New Roman"/>
        </w:rPr>
        <w:t> </w:t>
      </w:r>
      <w:r w:rsidR="00D168FE" w:rsidRPr="00B14447">
        <w:rPr>
          <w:rFonts w:ascii="Times New Roman" w:hAnsi="Times New Roman"/>
        </w:rPr>
        <w:t>HC, only "</w:t>
      </w:r>
      <w:r w:rsidR="00E3697C" w:rsidRPr="00B14447">
        <w:rPr>
          <w:rFonts w:ascii="Times New Roman" w:hAnsi="Times New Roman"/>
        </w:rPr>
        <w:t>[</w:t>
      </w:r>
      <w:r w:rsidR="00D168FE" w:rsidRPr="00B14447">
        <w:rPr>
          <w:rFonts w:ascii="Times New Roman" w:hAnsi="Times New Roman"/>
        </w:rPr>
        <w:t>t</w:t>
      </w:r>
      <w:r w:rsidR="00E3697C" w:rsidRPr="00B14447">
        <w:rPr>
          <w:rFonts w:ascii="Times New Roman" w:hAnsi="Times New Roman"/>
        </w:rPr>
        <w:t>]</w:t>
      </w:r>
      <w:r w:rsidR="00D168FE" w:rsidRPr="00B14447">
        <w:rPr>
          <w:rFonts w:ascii="Times New Roman" w:hAnsi="Times New Roman"/>
        </w:rPr>
        <w:t xml:space="preserve">he most critical documents" were reproduced in the </w:t>
      </w:r>
      <w:r w:rsidR="00CD6998" w:rsidRPr="00B14447">
        <w:rPr>
          <w:rFonts w:ascii="Times New Roman" w:hAnsi="Times New Roman"/>
        </w:rPr>
        <w:t>p</w:t>
      </w:r>
      <w:r w:rsidR="00D168FE" w:rsidRPr="00B14447">
        <w:rPr>
          <w:rFonts w:ascii="Times New Roman" w:hAnsi="Times New Roman"/>
        </w:rPr>
        <w:t>arties</w:t>
      </w:r>
      <w:r w:rsidR="00CB64CE" w:rsidRPr="00B14447">
        <w:rPr>
          <w:rFonts w:ascii="Times New Roman" w:hAnsi="Times New Roman"/>
        </w:rPr>
        <w:t>'</w:t>
      </w:r>
      <w:r w:rsidR="00D168FE" w:rsidRPr="00B14447">
        <w:rPr>
          <w:rFonts w:ascii="Times New Roman" w:hAnsi="Times New Roman"/>
        </w:rPr>
        <w:t xml:space="preserve"> Joint Book of Further Materials</w:t>
      </w:r>
      <w:r w:rsidR="00022804" w:rsidRPr="00B14447">
        <w:rPr>
          <w:rFonts w:ascii="Times New Roman" w:hAnsi="Times New Roman"/>
        </w:rPr>
        <w:t xml:space="preserve"> which comprised more than 176</w:t>
      </w:r>
      <w:r w:rsidR="00CD6998" w:rsidRPr="00B14447">
        <w:rPr>
          <w:rFonts w:ascii="Times New Roman" w:hAnsi="Times New Roman"/>
        </w:rPr>
        <w:t>0</w:t>
      </w:r>
      <w:r w:rsidR="00022804" w:rsidRPr="00B14447">
        <w:rPr>
          <w:rFonts w:ascii="Times New Roman" w:hAnsi="Times New Roman"/>
        </w:rPr>
        <w:t xml:space="preserve"> pages divided into four volumes. </w:t>
      </w:r>
    </w:p>
    <w:p w14:paraId="42682A40" w14:textId="3403ED1C" w:rsidR="00784D48" w:rsidRPr="00B14447" w:rsidRDefault="00145A8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2B1508" w:rsidRPr="00B14447">
        <w:rPr>
          <w:rFonts w:ascii="Times New Roman" w:hAnsi="Times New Roman"/>
        </w:rPr>
        <w:t>As is self-evident, this Court was not provided with a complete</w:t>
      </w:r>
      <w:r w:rsidR="00CB64CE" w:rsidRPr="00B14447">
        <w:rPr>
          <w:rFonts w:ascii="Times New Roman" w:hAnsi="Times New Roman"/>
        </w:rPr>
        <w:t>,</w:t>
      </w:r>
      <w:r w:rsidR="002B1508" w:rsidRPr="00B14447">
        <w:rPr>
          <w:rFonts w:ascii="Times New Roman" w:hAnsi="Times New Roman"/>
        </w:rPr>
        <w:t xml:space="preserve"> or the same</w:t>
      </w:r>
      <w:r w:rsidR="00CB64CE" w:rsidRPr="00B14447">
        <w:rPr>
          <w:rFonts w:ascii="Times New Roman" w:hAnsi="Times New Roman"/>
        </w:rPr>
        <w:t>,</w:t>
      </w:r>
      <w:r w:rsidR="002B1508" w:rsidRPr="00B14447">
        <w:rPr>
          <w:rFonts w:ascii="Times New Roman" w:hAnsi="Times New Roman"/>
        </w:rPr>
        <w:t xml:space="preserve"> record as that provided to the Court</w:t>
      </w:r>
      <w:r w:rsidR="00236A51" w:rsidRPr="00B14447">
        <w:rPr>
          <w:rFonts w:ascii="Times New Roman" w:hAnsi="Times New Roman"/>
        </w:rPr>
        <w:t>s</w:t>
      </w:r>
      <w:r w:rsidR="002B1508" w:rsidRPr="00B14447">
        <w:rPr>
          <w:rFonts w:ascii="Times New Roman" w:hAnsi="Times New Roman"/>
        </w:rPr>
        <w:t xml:space="preserve"> below.</w:t>
      </w:r>
      <w:r w:rsidRPr="00B14447">
        <w:rPr>
          <w:rFonts w:ascii="Times New Roman" w:hAnsi="Times New Roman"/>
        </w:rPr>
        <w:t xml:space="preserve"> </w:t>
      </w:r>
      <w:r w:rsidR="00923100" w:rsidRPr="00B14447">
        <w:rPr>
          <w:rFonts w:ascii="Times New Roman" w:hAnsi="Times New Roman"/>
        </w:rPr>
        <w:t xml:space="preserve">The Joint Chronology HC was </w:t>
      </w:r>
      <w:r w:rsidR="003A0E43" w:rsidRPr="00B14447">
        <w:rPr>
          <w:rFonts w:ascii="Times New Roman" w:hAnsi="Times New Roman"/>
        </w:rPr>
        <w:t>prepared at the request of</w:t>
      </w:r>
      <w:r w:rsidR="00051654" w:rsidRPr="00B14447">
        <w:rPr>
          <w:rFonts w:ascii="Times New Roman" w:hAnsi="Times New Roman"/>
        </w:rPr>
        <w:t xml:space="preserve"> </w:t>
      </w:r>
      <w:r w:rsidR="00D94F73" w:rsidRPr="00B14447">
        <w:rPr>
          <w:rFonts w:ascii="Times New Roman" w:hAnsi="Times New Roman"/>
        </w:rPr>
        <w:t xml:space="preserve">members </w:t>
      </w:r>
      <w:r w:rsidR="00051654" w:rsidRPr="00B14447">
        <w:rPr>
          <w:rFonts w:ascii="Times New Roman" w:hAnsi="Times New Roman"/>
        </w:rPr>
        <w:t>of this Court who, having expressed concern that this matter may not be an appropriate vehicle</w:t>
      </w:r>
      <w:r w:rsidR="00900CFA" w:rsidRPr="00B14447">
        <w:rPr>
          <w:rFonts w:ascii="Times New Roman" w:hAnsi="Times New Roman"/>
        </w:rPr>
        <w:t xml:space="preserve"> for the grant of special leave</w:t>
      </w:r>
      <w:r w:rsidR="00051654" w:rsidRPr="00B14447">
        <w:rPr>
          <w:rFonts w:ascii="Times New Roman" w:hAnsi="Times New Roman"/>
        </w:rPr>
        <w:t>,</w:t>
      </w:r>
      <w:r w:rsidR="00765267" w:rsidRPr="00B14447">
        <w:rPr>
          <w:rFonts w:ascii="Times New Roman" w:hAnsi="Times New Roman"/>
        </w:rPr>
        <w:t xml:space="preserve"> were</w:t>
      </w:r>
      <w:r w:rsidR="000070D8" w:rsidRPr="00B14447">
        <w:rPr>
          <w:rFonts w:ascii="Times New Roman" w:hAnsi="Times New Roman"/>
        </w:rPr>
        <w:t> </w:t>
      </w:r>
      <w:r w:rsidR="00CC57E9" w:rsidRPr="00B14447">
        <w:rPr>
          <w:rFonts w:ascii="Times New Roman" w:hAnsi="Times New Roman"/>
        </w:rPr>
        <w:t>reassured</w:t>
      </w:r>
      <w:r w:rsidR="00765267" w:rsidRPr="00B14447">
        <w:rPr>
          <w:rFonts w:ascii="Times New Roman" w:hAnsi="Times New Roman"/>
        </w:rPr>
        <w:t xml:space="preserve"> </w:t>
      </w:r>
      <w:r w:rsidR="000B7B11" w:rsidRPr="00B14447">
        <w:rPr>
          <w:rFonts w:ascii="Times New Roman" w:hAnsi="Times New Roman"/>
        </w:rPr>
        <w:t xml:space="preserve">that a chronology </w:t>
      </w:r>
      <w:r w:rsidR="00B21E09" w:rsidRPr="00B14447">
        <w:rPr>
          <w:rFonts w:ascii="Times New Roman" w:hAnsi="Times New Roman"/>
        </w:rPr>
        <w:t>might be "of some considerable use in this Court</w:t>
      </w:r>
      <w:r w:rsidR="00D80EAD" w:rsidRPr="00B14447">
        <w:rPr>
          <w:rFonts w:ascii="Times New Roman" w:hAnsi="Times New Roman"/>
        </w:rPr>
        <w:t>, and the mysteries will disappear</w:t>
      </w:r>
      <w:r w:rsidR="00B21E09" w:rsidRPr="00B14447">
        <w:rPr>
          <w:rFonts w:ascii="Times New Roman" w:hAnsi="Times New Roman"/>
        </w:rPr>
        <w:t>"</w:t>
      </w:r>
      <w:r w:rsidR="00CA2650" w:rsidRPr="00B14447">
        <w:rPr>
          <w:rFonts w:ascii="Times New Roman" w:hAnsi="Times New Roman"/>
        </w:rPr>
        <w:t>.</w:t>
      </w:r>
      <w:r w:rsidR="00040438" w:rsidRPr="00B14447">
        <w:rPr>
          <w:rStyle w:val="FootnoteReference"/>
          <w:rFonts w:ascii="Times New Roman" w:hAnsi="Times New Roman"/>
          <w:sz w:val="24"/>
        </w:rPr>
        <w:footnoteReference w:id="77"/>
      </w:r>
      <w:r w:rsidR="00CA2650" w:rsidRPr="00B14447">
        <w:rPr>
          <w:rFonts w:ascii="Times New Roman" w:hAnsi="Times New Roman"/>
        </w:rPr>
        <w:t xml:space="preserve"> </w:t>
      </w:r>
      <w:r w:rsidR="009A252F" w:rsidRPr="00B14447">
        <w:rPr>
          <w:rFonts w:ascii="Times New Roman" w:hAnsi="Times New Roman"/>
        </w:rPr>
        <w:t xml:space="preserve">The </w:t>
      </w:r>
      <w:r w:rsidR="00DC2A1D" w:rsidRPr="00B14447">
        <w:rPr>
          <w:rFonts w:ascii="Times New Roman" w:hAnsi="Times New Roman"/>
        </w:rPr>
        <w:t>J</w:t>
      </w:r>
      <w:r w:rsidR="009436E1" w:rsidRPr="00B14447">
        <w:rPr>
          <w:rFonts w:ascii="Times New Roman" w:hAnsi="Times New Roman"/>
        </w:rPr>
        <w:t xml:space="preserve">oint </w:t>
      </w:r>
      <w:r w:rsidR="00DC2A1D" w:rsidRPr="00B14447">
        <w:rPr>
          <w:rFonts w:ascii="Times New Roman" w:hAnsi="Times New Roman"/>
        </w:rPr>
        <w:t>C</w:t>
      </w:r>
      <w:r w:rsidR="009436E1" w:rsidRPr="00B14447">
        <w:rPr>
          <w:rFonts w:ascii="Times New Roman" w:hAnsi="Times New Roman"/>
        </w:rPr>
        <w:t xml:space="preserve">hronology </w:t>
      </w:r>
      <w:r w:rsidR="00DC2A1D" w:rsidRPr="00B14447">
        <w:rPr>
          <w:rFonts w:ascii="Times New Roman" w:hAnsi="Times New Roman"/>
        </w:rPr>
        <w:t xml:space="preserve">HC </w:t>
      </w:r>
      <w:r w:rsidR="009436E1" w:rsidRPr="00B14447">
        <w:rPr>
          <w:rFonts w:ascii="Times New Roman" w:hAnsi="Times New Roman"/>
        </w:rPr>
        <w:t xml:space="preserve">was </w:t>
      </w:r>
      <w:r w:rsidR="00E26A77" w:rsidRPr="00B14447">
        <w:rPr>
          <w:rFonts w:ascii="Times New Roman" w:hAnsi="Times New Roman"/>
        </w:rPr>
        <w:t xml:space="preserve">one </w:t>
      </w:r>
      <w:r w:rsidR="00982849" w:rsidRPr="00B14447">
        <w:rPr>
          <w:rFonts w:ascii="Times New Roman" w:hAnsi="Times New Roman"/>
        </w:rPr>
        <w:t xml:space="preserve">(of a number) of </w:t>
      </w:r>
      <w:r w:rsidR="00AF2DA0" w:rsidRPr="00B14447">
        <w:rPr>
          <w:rFonts w:ascii="Times New Roman" w:hAnsi="Times New Roman"/>
        </w:rPr>
        <w:t>steps taken by the Court to seek to confine the issues in</w:t>
      </w:r>
      <w:r w:rsidR="00A37D60" w:rsidRPr="00B14447">
        <w:rPr>
          <w:rFonts w:ascii="Times New Roman" w:hAnsi="Times New Roman"/>
        </w:rPr>
        <w:t> </w:t>
      </w:r>
      <w:r w:rsidR="00AF2DA0" w:rsidRPr="00B14447">
        <w:rPr>
          <w:rFonts w:ascii="Times New Roman" w:hAnsi="Times New Roman"/>
        </w:rPr>
        <w:t>dispute between the parties</w:t>
      </w:r>
      <w:r w:rsidR="00A373AC" w:rsidRPr="00B14447">
        <w:rPr>
          <w:rFonts w:ascii="Times New Roman" w:hAnsi="Times New Roman"/>
        </w:rPr>
        <w:t xml:space="preserve"> prior to the hearing of this appeal</w:t>
      </w:r>
      <w:r w:rsidR="00AF2DA0" w:rsidRPr="00B14447">
        <w:rPr>
          <w:rFonts w:ascii="Times New Roman" w:hAnsi="Times New Roman"/>
        </w:rPr>
        <w:t>,</w:t>
      </w:r>
      <w:r w:rsidR="00571D0A" w:rsidRPr="00B14447">
        <w:rPr>
          <w:rStyle w:val="FootnoteReference"/>
          <w:rFonts w:ascii="Times New Roman" w:hAnsi="Times New Roman"/>
          <w:sz w:val="24"/>
        </w:rPr>
        <w:footnoteReference w:id="78"/>
      </w:r>
      <w:r w:rsidR="00AF2DA0" w:rsidRPr="00B14447">
        <w:rPr>
          <w:rFonts w:ascii="Times New Roman" w:hAnsi="Times New Roman"/>
        </w:rPr>
        <w:t xml:space="preserve"> and</w:t>
      </w:r>
      <w:r w:rsidR="00620F0C" w:rsidRPr="00B14447">
        <w:rPr>
          <w:rFonts w:ascii="Times New Roman" w:hAnsi="Times New Roman"/>
        </w:rPr>
        <w:t> </w:t>
      </w:r>
      <w:r w:rsidR="00AF2DA0" w:rsidRPr="00B14447">
        <w:rPr>
          <w:rFonts w:ascii="Times New Roman" w:hAnsi="Times New Roman"/>
        </w:rPr>
        <w:t>to reduce the material</w:t>
      </w:r>
      <w:r w:rsidR="008E4658" w:rsidRPr="00B14447">
        <w:rPr>
          <w:rFonts w:ascii="Times New Roman" w:hAnsi="Times New Roman"/>
        </w:rPr>
        <w:t xml:space="preserve"> this Court would have to consider</w:t>
      </w:r>
      <w:r w:rsidR="000A06FA" w:rsidRPr="00B14447">
        <w:rPr>
          <w:rFonts w:ascii="Times New Roman" w:hAnsi="Times New Roman"/>
        </w:rPr>
        <w:t>.</w:t>
      </w:r>
      <w:r w:rsidR="00AF2DA0" w:rsidRPr="00B14447">
        <w:rPr>
          <w:rFonts w:ascii="Times New Roman" w:hAnsi="Times New Roman"/>
        </w:rPr>
        <w:t xml:space="preserve"> </w:t>
      </w:r>
    </w:p>
    <w:p w14:paraId="11BA74DF" w14:textId="73980FA5" w:rsidR="000460D4" w:rsidRPr="00B14447" w:rsidRDefault="00D04821"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It is both inappropriate and unnecessary to repeat </w:t>
      </w:r>
      <w:r w:rsidR="002C09B8" w:rsidRPr="00B14447">
        <w:rPr>
          <w:rFonts w:ascii="Times New Roman" w:hAnsi="Times New Roman"/>
        </w:rPr>
        <w:t>the</w:t>
      </w:r>
      <w:r w:rsidRPr="00B14447">
        <w:rPr>
          <w:rFonts w:ascii="Times New Roman" w:hAnsi="Times New Roman"/>
        </w:rPr>
        <w:t xml:space="preserve"> detailed analysis</w:t>
      </w:r>
      <w:r w:rsidR="002C09B8" w:rsidRPr="00B14447">
        <w:rPr>
          <w:rFonts w:ascii="Times New Roman" w:hAnsi="Times New Roman"/>
        </w:rPr>
        <w:t xml:space="preserve"> of the </w:t>
      </w:r>
      <w:r w:rsidR="00622B4E" w:rsidRPr="00B14447">
        <w:rPr>
          <w:rFonts w:ascii="Times New Roman" w:hAnsi="Times New Roman"/>
        </w:rPr>
        <w:t>C</w:t>
      </w:r>
      <w:r w:rsidR="002C09B8" w:rsidRPr="00B14447">
        <w:rPr>
          <w:rFonts w:ascii="Times New Roman" w:hAnsi="Times New Roman"/>
        </w:rPr>
        <w:t>ourts below</w:t>
      </w:r>
      <w:r w:rsidRPr="00B14447">
        <w:rPr>
          <w:rFonts w:ascii="Times New Roman" w:hAnsi="Times New Roman"/>
        </w:rPr>
        <w:t xml:space="preserve">. </w:t>
      </w:r>
      <w:r w:rsidR="006E0591" w:rsidRPr="00B14447">
        <w:rPr>
          <w:rFonts w:ascii="Times New Roman" w:hAnsi="Times New Roman"/>
        </w:rPr>
        <w:t>Given the manner in which the appeal developed</w:t>
      </w:r>
      <w:r w:rsidR="00A02F01" w:rsidRPr="00B14447">
        <w:rPr>
          <w:rFonts w:ascii="Times New Roman" w:hAnsi="Times New Roman"/>
        </w:rPr>
        <w:t>, i</w:t>
      </w:r>
      <w:r w:rsidRPr="00B14447">
        <w:rPr>
          <w:rFonts w:ascii="Times New Roman" w:hAnsi="Times New Roman"/>
        </w:rPr>
        <w:t>t is</w:t>
      </w:r>
      <w:r w:rsidR="00622B4E" w:rsidRPr="00B14447">
        <w:rPr>
          <w:rFonts w:ascii="Times New Roman" w:hAnsi="Times New Roman"/>
        </w:rPr>
        <w:t>,</w:t>
      </w:r>
      <w:r w:rsidRPr="00B14447">
        <w:rPr>
          <w:rFonts w:ascii="Times New Roman" w:hAnsi="Times New Roman"/>
        </w:rPr>
        <w:t xml:space="preserve"> however</w:t>
      </w:r>
      <w:r w:rsidR="00622B4E" w:rsidRPr="00B14447">
        <w:rPr>
          <w:rFonts w:ascii="Times New Roman" w:hAnsi="Times New Roman"/>
        </w:rPr>
        <w:t>,</w:t>
      </w:r>
      <w:r w:rsidRPr="00B14447">
        <w:rPr>
          <w:rFonts w:ascii="Times New Roman" w:hAnsi="Times New Roman"/>
        </w:rPr>
        <w:t xml:space="preserve"> necessary to </w:t>
      </w:r>
      <w:r w:rsidR="007802C4" w:rsidRPr="00B14447">
        <w:rPr>
          <w:rFonts w:ascii="Times New Roman" w:hAnsi="Times New Roman"/>
        </w:rPr>
        <w:t>explain why</w:t>
      </w:r>
      <w:r w:rsidRPr="00B14447">
        <w:rPr>
          <w:rFonts w:ascii="Times New Roman" w:hAnsi="Times New Roman"/>
        </w:rPr>
        <w:t xml:space="preserve"> the concurrent findings of the primary judge and the Full Court were not clearly wrong. Each of the matters below is drawn from </w:t>
      </w:r>
      <w:r w:rsidR="007802C4" w:rsidRPr="00B14447">
        <w:rPr>
          <w:rFonts w:ascii="Times New Roman" w:hAnsi="Times New Roman"/>
        </w:rPr>
        <w:t xml:space="preserve">the detailed </w:t>
      </w:r>
      <w:r w:rsidRPr="00B14447">
        <w:rPr>
          <w:rFonts w:ascii="Times New Roman" w:hAnsi="Times New Roman"/>
        </w:rPr>
        <w:t xml:space="preserve">analysis and those </w:t>
      </w:r>
      <w:r w:rsidR="00685C4A" w:rsidRPr="00B14447">
        <w:rPr>
          <w:rFonts w:ascii="Times New Roman" w:hAnsi="Times New Roman"/>
        </w:rPr>
        <w:t xml:space="preserve">concurrent </w:t>
      </w:r>
      <w:r w:rsidRPr="00B14447">
        <w:rPr>
          <w:rFonts w:ascii="Times New Roman" w:hAnsi="Times New Roman"/>
        </w:rPr>
        <w:t>findings.</w:t>
      </w:r>
      <w:r w:rsidR="007802C4" w:rsidRPr="00B14447">
        <w:rPr>
          <w:rFonts w:ascii="Times New Roman" w:hAnsi="Times New Roman"/>
        </w:rPr>
        <w:t xml:space="preserve"> </w:t>
      </w:r>
    </w:p>
    <w:p w14:paraId="6F74BA62" w14:textId="2FB8D23E" w:rsidR="008E491A" w:rsidRPr="00B14447" w:rsidRDefault="00685C4A" w:rsidP="00B14447">
      <w:pPr>
        <w:pStyle w:val="HeadingL2"/>
        <w:spacing w:after="260" w:line="280" w:lineRule="exact"/>
        <w:ind w:left="720" w:right="0" w:hanging="720"/>
        <w:jc w:val="both"/>
        <w:rPr>
          <w:rFonts w:ascii="Times New Roman" w:hAnsi="Times New Roman"/>
        </w:rPr>
      </w:pPr>
      <w:r w:rsidRPr="00B14447">
        <w:rPr>
          <w:rFonts w:ascii="Times New Roman" w:hAnsi="Times New Roman"/>
        </w:rPr>
        <w:lastRenderedPageBreak/>
        <w:t>(1)</w:t>
      </w:r>
      <w:r w:rsidRPr="00B14447">
        <w:rPr>
          <w:rFonts w:ascii="Times New Roman" w:hAnsi="Times New Roman"/>
        </w:rPr>
        <w:tab/>
      </w:r>
      <w:r w:rsidR="00842C9F" w:rsidRPr="00B14447">
        <w:rPr>
          <w:rFonts w:ascii="Times New Roman" w:hAnsi="Times New Roman"/>
        </w:rPr>
        <w:t>P</w:t>
      </w:r>
      <w:r w:rsidR="008E491A" w:rsidRPr="00B14447">
        <w:rPr>
          <w:rFonts w:ascii="Times New Roman" w:hAnsi="Times New Roman"/>
        </w:rPr>
        <w:t xml:space="preserve">arties, the patent in respect of </w:t>
      </w:r>
      <w:r w:rsidR="00622B4E" w:rsidRPr="00B14447">
        <w:rPr>
          <w:rFonts w:ascii="Times New Roman" w:hAnsi="Times New Roman"/>
        </w:rPr>
        <w:t>c</w:t>
      </w:r>
      <w:r w:rsidR="008E491A" w:rsidRPr="00B14447">
        <w:rPr>
          <w:rFonts w:ascii="Times New Roman" w:hAnsi="Times New Roman"/>
        </w:rPr>
        <w:t>lopidogrel, and the</w:t>
      </w:r>
      <w:r w:rsidR="00F86DFF" w:rsidRPr="00B14447">
        <w:rPr>
          <w:rFonts w:ascii="Times New Roman" w:hAnsi="Times New Roman"/>
        </w:rPr>
        <w:t xml:space="preserve"> North American</w:t>
      </w:r>
      <w:r w:rsidR="008E491A" w:rsidRPr="00B14447">
        <w:rPr>
          <w:rFonts w:ascii="Times New Roman" w:hAnsi="Times New Roman"/>
        </w:rPr>
        <w:t xml:space="preserve"> litigation</w:t>
      </w:r>
    </w:p>
    <w:p w14:paraId="06D5E608" w14:textId="24CEB09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Apotex group of companies was at all material times a substantial manufacturer and distributor of generic medicines worldwide. Mr Roger Millichamp was appointed Managing Director of Apotex Australia (earlier GenRx </w:t>
      </w:r>
      <w:r w:rsidR="00A2660D" w:rsidRPr="00B14447">
        <w:rPr>
          <w:rFonts w:ascii="Times New Roman" w:hAnsi="Times New Roman"/>
        </w:rPr>
        <w:t xml:space="preserve">Pty Ltd </w:t>
      </w:r>
      <w:r w:rsidRPr="00B14447">
        <w:rPr>
          <w:rFonts w:ascii="Times New Roman" w:hAnsi="Times New Roman"/>
        </w:rPr>
        <w:t>and now Apotex Pty Ltd) on 1</w:t>
      </w:r>
      <w:r w:rsidR="002E2D58" w:rsidRPr="00B14447">
        <w:rPr>
          <w:rFonts w:ascii="Times New Roman" w:hAnsi="Times New Roman"/>
        </w:rPr>
        <w:t> </w:t>
      </w:r>
      <w:r w:rsidRPr="00B14447">
        <w:rPr>
          <w:rFonts w:ascii="Times New Roman" w:hAnsi="Times New Roman"/>
        </w:rPr>
        <w:t>March 2006. Mr</w:t>
      </w:r>
      <w:r w:rsidR="003F6F77" w:rsidRPr="00B14447">
        <w:rPr>
          <w:rFonts w:ascii="Times New Roman" w:hAnsi="Times New Roman"/>
        </w:rPr>
        <w:t> </w:t>
      </w:r>
      <w:r w:rsidRPr="00B14447">
        <w:rPr>
          <w:rFonts w:ascii="Times New Roman" w:hAnsi="Times New Roman"/>
        </w:rPr>
        <w:t xml:space="preserve">Millichamp reported to Mr Michael Weingarten (Vice President of Sales at Apotex Canada) from about March 2006 to June 2007, and to Mr Andrew Kay (President of Apotex International Inc) from </w:t>
      </w:r>
      <w:r w:rsidR="00F77D0B" w:rsidRPr="00B14447">
        <w:rPr>
          <w:rFonts w:ascii="Times New Roman" w:hAnsi="Times New Roman"/>
        </w:rPr>
        <w:t xml:space="preserve">about </w:t>
      </w:r>
      <w:r w:rsidRPr="00B14447">
        <w:rPr>
          <w:rFonts w:ascii="Times New Roman" w:hAnsi="Times New Roman"/>
        </w:rPr>
        <w:t>June 2007 to late 2008 or early 2009. Mr Weingarten reported to Mr Kay and both were based in the Apotex</w:t>
      </w:r>
      <w:r w:rsidR="00980B23" w:rsidRPr="00B14447">
        <w:rPr>
          <w:rFonts w:ascii="Times New Roman" w:hAnsi="Times New Roman"/>
        </w:rPr>
        <w:t xml:space="preserve"> Canada</w:t>
      </w:r>
      <w:r w:rsidRPr="00B14447">
        <w:rPr>
          <w:rFonts w:ascii="Times New Roman" w:hAnsi="Times New Roman"/>
        </w:rPr>
        <w:t xml:space="preserve"> head office. Both reported to Dr Barry Sherman, the co-founder of Apotex Canada, its CEO and Chairman and the "ultimate controller" of the Apotex group.</w:t>
      </w:r>
    </w:p>
    <w:p w14:paraId="56E674FB" w14:textId="46DB42B4"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In short, Mr</w:t>
      </w:r>
      <w:r w:rsidR="00F77D0B" w:rsidRPr="00B14447">
        <w:rPr>
          <w:rFonts w:ascii="Times New Roman" w:hAnsi="Times New Roman"/>
        </w:rPr>
        <w:t> </w:t>
      </w:r>
      <w:r w:rsidRPr="00B14447">
        <w:rPr>
          <w:rFonts w:ascii="Times New Roman" w:hAnsi="Times New Roman"/>
        </w:rPr>
        <w:t>Millichamp was at the bottom of a reporting chain that culminated with Dr</w:t>
      </w:r>
      <w:r w:rsidR="00F77D0B" w:rsidRPr="00B14447">
        <w:rPr>
          <w:rFonts w:ascii="Times New Roman" w:hAnsi="Times New Roman"/>
        </w:rPr>
        <w:t> </w:t>
      </w:r>
      <w:r w:rsidRPr="00B14447">
        <w:rPr>
          <w:rFonts w:ascii="Times New Roman" w:hAnsi="Times New Roman"/>
        </w:rPr>
        <w:t>Sherman. It was correctly common ground throughout these proceedings that Dr</w:t>
      </w:r>
      <w:r w:rsidR="00F77D0B" w:rsidRPr="00B14447">
        <w:rPr>
          <w:rFonts w:ascii="Times New Roman" w:hAnsi="Times New Roman"/>
        </w:rPr>
        <w:t> </w:t>
      </w:r>
      <w:r w:rsidRPr="00B14447">
        <w:rPr>
          <w:rFonts w:ascii="Times New Roman" w:hAnsi="Times New Roman"/>
        </w:rPr>
        <w:t>Sherman called the shots. Dr</w:t>
      </w:r>
      <w:r w:rsidR="002E2D58" w:rsidRPr="00B14447">
        <w:rPr>
          <w:rFonts w:ascii="Times New Roman" w:hAnsi="Times New Roman"/>
        </w:rPr>
        <w:t> </w:t>
      </w:r>
      <w:r w:rsidRPr="00B14447">
        <w:rPr>
          <w:rFonts w:ascii="Times New Roman" w:hAnsi="Times New Roman"/>
        </w:rPr>
        <w:t>Sherman would make any significant decisions such as whether Apotex would launch a product in Australia "at risk" of damages for patent infringement.</w:t>
      </w:r>
    </w:p>
    <w:p w14:paraId="6222A43D" w14:textId="4A900368"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Apotex</w:t>
      </w:r>
      <w:r w:rsidR="00480628" w:rsidRPr="00B14447">
        <w:rPr>
          <w:rFonts w:ascii="Times New Roman" w:hAnsi="Times New Roman"/>
        </w:rPr>
        <w:t xml:space="preserve"> Canada</w:t>
      </w:r>
      <w:r w:rsidRPr="00B14447">
        <w:rPr>
          <w:rFonts w:ascii="Times New Roman" w:hAnsi="Times New Roman"/>
        </w:rPr>
        <w:t xml:space="preserve"> developed a generic clopidogrel product which it sought to bring to market in the United States, Canada and Australia. Apotex </w:t>
      </w:r>
      <w:r w:rsidR="00C54458" w:rsidRPr="00B14447">
        <w:rPr>
          <w:rFonts w:ascii="Times New Roman" w:hAnsi="Times New Roman"/>
        </w:rPr>
        <w:t>Canada (through its U</w:t>
      </w:r>
      <w:r w:rsidR="009B2EC3" w:rsidRPr="00B14447">
        <w:rPr>
          <w:rFonts w:ascii="Times New Roman" w:hAnsi="Times New Roman"/>
        </w:rPr>
        <w:t xml:space="preserve">nited </w:t>
      </w:r>
      <w:r w:rsidR="00C54458" w:rsidRPr="00B14447">
        <w:rPr>
          <w:rFonts w:ascii="Times New Roman" w:hAnsi="Times New Roman"/>
        </w:rPr>
        <w:t>S</w:t>
      </w:r>
      <w:r w:rsidR="009B2EC3" w:rsidRPr="00B14447">
        <w:rPr>
          <w:rFonts w:ascii="Times New Roman" w:hAnsi="Times New Roman"/>
        </w:rPr>
        <w:t>tates</w:t>
      </w:r>
      <w:r w:rsidR="00C54458" w:rsidRPr="00B14447">
        <w:rPr>
          <w:rFonts w:ascii="Times New Roman" w:hAnsi="Times New Roman"/>
        </w:rPr>
        <w:t xml:space="preserve"> affiliate "</w:t>
      </w:r>
      <w:r w:rsidR="00C54458" w:rsidRPr="00B14447">
        <w:rPr>
          <w:rFonts w:ascii="Times New Roman" w:hAnsi="Times New Roman"/>
          <w:b/>
          <w:bCs/>
        </w:rPr>
        <w:t>Apotex US</w:t>
      </w:r>
      <w:r w:rsidR="00C54458" w:rsidRPr="00B14447">
        <w:rPr>
          <w:rFonts w:ascii="Times New Roman" w:hAnsi="Times New Roman"/>
        </w:rPr>
        <w:t xml:space="preserve">") </w:t>
      </w:r>
      <w:r w:rsidRPr="00B14447">
        <w:rPr>
          <w:rFonts w:ascii="Times New Roman" w:hAnsi="Times New Roman"/>
        </w:rPr>
        <w:t xml:space="preserve">first sought approval to sell generic clopidogrel bisulfate tablets in the United States in 2001. </w:t>
      </w:r>
      <w:r w:rsidR="00890282" w:rsidRPr="00B14447">
        <w:rPr>
          <w:rFonts w:ascii="Times New Roman" w:hAnsi="Times New Roman"/>
        </w:rPr>
        <w:t xml:space="preserve">In 2002, </w:t>
      </w:r>
      <w:r w:rsidRPr="00B14447">
        <w:rPr>
          <w:rFonts w:ascii="Times New Roman" w:hAnsi="Times New Roman"/>
        </w:rPr>
        <w:t>Sanofi's United States operation sought to restrain Apotex</w:t>
      </w:r>
      <w:r w:rsidR="0091363E" w:rsidRPr="00B14447">
        <w:rPr>
          <w:rFonts w:ascii="Times New Roman" w:hAnsi="Times New Roman"/>
        </w:rPr>
        <w:t xml:space="preserve"> Canada and Apotex</w:t>
      </w:r>
      <w:r w:rsidR="00C54458" w:rsidRPr="00B14447">
        <w:rPr>
          <w:rFonts w:ascii="Times New Roman" w:hAnsi="Times New Roman"/>
        </w:rPr>
        <w:t xml:space="preserve"> US</w:t>
      </w:r>
      <w:r w:rsidRPr="00B14447">
        <w:rPr>
          <w:rFonts w:ascii="Times New Roman" w:hAnsi="Times New Roman"/>
        </w:rPr>
        <w:t xml:space="preserve"> from infringing its U</w:t>
      </w:r>
      <w:r w:rsidR="009B2EC3" w:rsidRPr="00B14447">
        <w:rPr>
          <w:rFonts w:ascii="Times New Roman" w:hAnsi="Times New Roman"/>
        </w:rPr>
        <w:t xml:space="preserve">nited </w:t>
      </w:r>
      <w:r w:rsidRPr="00B14447">
        <w:rPr>
          <w:rFonts w:ascii="Times New Roman" w:hAnsi="Times New Roman"/>
        </w:rPr>
        <w:t>S</w:t>
      </w:r>
      <w:r w:rsidR="009B2EC3" w:rsidRPr="00B14447">
        <w:rPr>
          <w:rFonts w:ascii="Times New Roman" w:hAnsi="Times New Roman"/>
        </w:rPr>
        <w:t>tates</w:t>
      </w:r>
      <w:r w:rsidRPr="00B14447">
        <w:rPr>
          <w:rFonts w:ascii="Times New Roman" w:hAnsi="Times New Roman"/>
        </w:rPr>
        <w:t xml:space="preserve"> patent for clopidogrel</w:t>
      </w:r>
      <w:r w:rsidR="00883244" w:rsidRPr="00B14447">
        <w:rPr>
          <w:rFonts w:ascii="Times New Roman" w:hAnsi="Times New Roman"/>
        </w:rPr>
        <w:t>. T</w:t>
      </w:r>
      <w:r w:rsidRPr="00B14447">
        <w:rPr>
          <w:rFonts w:ascii="Times New Roman" w:hAnsi="Times New Roman"/>
        </w:rPr>
        <w:t>he parties reached a settlement, by an amended settlement agreement, in 2006. However, Apotex</w:t>
      </w:r>
      <w:r w:rsidR="00EE2F89" w:rsidRPr="00B14447">
        <w:rPr>
          <w:rFonts w:ascii="Times New Roman" w:hAnsi="Times New Roman"/>
        </w:rPr>
        <w:t xml:space="preserve"> Canada and Apotex</w:t>
      </w:r>
      <w:r w:rsidRPr="00B14447">
        <w:rPr>
          <w:rFonts w:ascii="Times New Roman" w:hAnsi="Times New Roman"/>
        </w:rPr>
        <w:t xml:space="preserve"> </w:t>
      </w:r>
      <w:r w:rsidR="00C54458" w:rsidRPr="00B14447">
        <w:rPr>
          <w:rFonts w:ascii="Times New Roman" w:hAnsi="Times New Roman"/>
        </w:rPr>
        <w:t xml:space="preserve">US </w:t>
      </w:r>
      <w:r w:rsidRPr="00B14447">
        <w:rPr>
          <w:rFonts w:ascii="Times New Roman" w:hAnsi="Times New Roman"/>
        </w:rPr>
        <w:t>sought to avoid the settlement agreement after the agreement was not approved by State Attorneys-General.</w:t>
      </w:r>
      <w:r w:rsidR="00883244" w:rsidRPr="00B14447">
        <w:rPr>
          <w:rFonts w:ascii="Times New Roman" w:hAnsi="Times New Roman"/>
        </w:rPr>
        <w:t xml:space="preserve"> </w:t>
      </w:r>
      <w:r w:rsidRPr="00B14447">
        <w:rPr>
          <w:rFonts w:ascii="Times New Roman" w:hAnsi="Times New Roman"/>
        </w:rPr>
        <w:t xml:space="preserve">The United States District Court initially declined to restrain Apotex </w:t>
      </w:r>
      <w:r w:rsidR="00EE2F89" w:rsidRPr="00B14447">
        <w:rPr>
          <w:rFonts w:ascii="Times New Roman" w:hAnsi="Times New Roman"/>
        </w:rPr>
        <w:t xml:space="preserve">Canada and Apotex </w:t>
      </w:r>
      <w:r w:rsidR="00C54458" w:rsidRPr="00B14447">
        <w:rPr>
          <w:rFonts w:ascii="Times New Roman" w:hAnsi="Times New Roman"/>
        </w:rPr>
        <w:t xml:space="preserve">US </w:t>
      </w:r>
      <w:r w:rsidRPr="00B14447">
        <w:rPr>
          <w:rFonts w:ascii="Times New Roman" w:hAnsi="Times New Roman"/>
        </w:rPr>
        <w:t>from launching its product, so the launch proceeded on 8</w:t>
      </w:r>
      <w:r w:rsidR="00271F05" w:rsidRPr="00B14447">
        <w:rPr>
          <w:rFonts w:ascii="Times New Roman" w:hAnsi="Times New Roman"/>
        </w:rPr>
        <w:t> </w:t>
      </w:r>
      <w:r w:rsidRPr="00B14447">
        <w:rPr>
          <w:rFonts w:ascii="Times New Roman" w:hAnsi="Times New Roman"/>
        </w:rPr>
        <w:t>August 2006. However, on 31</w:t>
      </w:r>
      <w:r w:rsidR="00271F05" w:rsidRPr="00B14447">
        <w:rPr>
          <w:rFonts w:ascii="Times New Roman" w:hAnsi="Times New Roman"/>
        </w:rPr>
        <w:t> </w:t>
      </w:r>
      <w:r w:rsidRPr="00B14447">
        <w:rPr>
          <w:rFonts w:ascii="Times New Roman" w:hAnsi="Times New Roman"/>
        </w:rPr>
        <w:t>August 2006, a preliminary injunction was granted to Sanofi, restraining Apotex</w:t>
      </w:r>
      <w:r w:rsidR="00C54458" w:rsidRPr="00B14447">
        <w:rPr>
          <w:rFonts w:ascii="Times New Roman" w:hAnsi="Times New Roman"/>
        </w:rPr>
        <w:t xml:space="preserve"> </w:t>
      </w:r>
      <w:r w:rsidR="00EE2F89" w:rsidRPr="00B14447">
        <w:rPr>
          <w:rFonts w:ascii="Times New Roman" w:hAnsi="Times New Roman"/>
        </w:rPr>
        <w:t xml:space="preserve">Canada and Apotex </w:t>
      </w:r>
      <w:r w:rsidR="00C54458" w:rsidRPr="00B14447">
        <w:rPr>
          <w:rFonts w:ascii="Times New Roman" w:hAnsi="Times New Roman"/>
        </w:rPr>
        <w:t>US</w:t>
      </w:r>
      <w:r w:rsidRPr="00B14447">
        <w:rPr>
          <w:rFonts w:ascii="Times New Roman" w:hAnsi="Times New Roman"/>
        </w:rPr>
        <w:t xml:space="preserve"> from infringing Sanofi's U</w:t>
      </w:r>
      <w:r w:rsidR="009B2EC3" w:rsidRPr="00B14447">
        <w:rPr>
          <w:rFonts w:ascii="Times New Roman" w:hAnsi="Times New Roman"/>
        </w:rPr>
        <w:t xml:space="preserve">nited </w:t>
      </w:r>
      <w:r w:rsidRPr="00B14447">
        <w:rPr>
          <w:rFonts w:ascii="Times New Roman" w:hAnsi="Times New Roman"/>
        </w:rPr>
        <w:t>S</w:t>
      </w:r>
      <w:r w:rsidR="009B2EC3" w:rsidRPr="00B14447">
        <w:rPr>
          <w:rFonts w:ascii="Times New Roman" w:hAnsi="Times New Roman"/>
        </w:rPr>
        <w:t>tates</w:t>
      </w:r>
      <w:r w:rsidRPr="00B14447">
        <w:rPr>
          <w:rFonts w:ascii="Times New Roman" w:hAnsi="Times New Roman"/>
        </w:rPr>
        <w:t xml:space="preserve"> patent</w:t>
      </w:r>
      <w:r w:rsidR="00E62FF1" w:rsidRPr="00B14447">
        <w:rPr>
          <w:rFonts w:ascii="Times New Roman" w:hAnsi="Times New Roman"/>
          <w:bCs/>
        </w:rPr>
        <w:t>.</w:t>
      </w:r>
    </w:p>
    <w:p w14:paraId="660396F1" w14:textId="3D6D6EE0"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In 2010, Sanofi was awarded US$442,20</w:t>
      </w:r>
      <w:r w:rsidR="00CD507D" w:rsidRPr="00B14447">
        <w:rPr>
          <w:rFonts w:ascii="Times New Roman" w:hAnsi="Times New Roman"/>
        </w:rPr>
        <w:t>9</w:t>
      </w:r>
      <w:r w:rsidRPr="00B14447">
        <w:rPr>
          <w:rFonts w:ascii="Times New Roman" w:hAnsi="Times New Roman"/>
        </w:rPr>
        <w:t>,362 in damages</w:t>
      </w:r>
      <w:r w:rsidR="00CD507D" w:rsidRPr="00B14447">
        <w:rPr>
          <w:rFonts w:ascii="Times New Roman" w:hAnsi="Times New Roman"/>
        </w:rPr>
        <w:t xml:space="preserve"> (excluding interest and costs)</w:t>
      </w:r>
      <w:r w:rsidRPr="00B14447">
        <w:rPr>
          <w:rFonts w:ascii="Times New Roman" w:hAnsi="Times New Roman"/>
        </w:rPr>
        <w:t>, calculated under the amended settlement agreement</w:t>
      </w:r>
      <w:r w:rsidR="00D147D6" w:rsidRPr="00B14447">
        <w:rPr>
          <w:rFonts w:ascii="Times New Roman" w:hAnsi="Times New Roman"/>
        </w:rPr>
        <w:t>,</w:t>
      </w:r>
      <w:r w:rsidRPr="00B14447">
        <w:rPr>
          <w:rFonts w:ascii="Times New Roman" w:hAnsi="Times New Roman"/>
        </w:rPr>
        <w:t xml:space="preserve"> representing 50% of the Apotex group's net sales. Despite the size of the </w:t>
      </w:r>
      <w:r w:rsidR="00741154" w:rsidRPr="00B14447">
        <w:rPr>
          <w:rFonts w:ascii="Times New Roman" w:hAnsi="Times New Roman"/>
        </w:rPr>
        <w:t>US</w:t>
      </w:r>
      <w:r w:rsidRPr="00B14447">
        <w:rPr>
          <w:rFonts w:ascii="Times New Roman" w:hAnsi="Times New Roman"/>
        </w:rPr>
        <w:t>$442</w:t>
      </w:r>
      <w:r w:rsidR="00DD69F3" w:rsidRPr="00B14447">
        <w:rPr>
          <w:rFonts w:ascii="Times New Roman" w:hAnsi="Times New Roman"/>
        </w:rPr>
        <w:t> </w:t>
      </w:r>
      <w:r w:rsidRPr="00B14447">
        <w:rPr>
          <w:rFonts w:ascii="Times New Roman" w:hAnsi="Times New Roman"/>
        </w:rPr>
        <w:t>million damages award, the award was a "highly favourable outcome for Apotex" because the damages were calculated under the amended settlement agreement by reference to Apotex</w:t>
      </w:r>
      <w:r w:rsidR="00654DF0" w:rsidRPr="00B14447">
        <w:rPr>
          <w:rFonts w:ascii="Times New Roman" w:hAnsi="Times New Roman"/>
        </w:rPr>
        <w:t xml:space="preserve"> Canada and Apotex US</w:t>
      </w:r>
      <w:r w:rsidRPr="00B14447">
        <w:rPr>
          <w:rFonts w:ascii="Times New Roman" w:hAnsi="Times New Roman"/>
        </w:rPr>
        <w:t xml:space="preserve">'s sales, rather than Sanofi's lost profit. The damages would have potentially been much greater without the benefit of the agreement. In short, with the benefit of the amended </w:t>
      </w:r>
      <w:r w:rsidRPr="00B14447">
        <w:rPr>
          <w:rFonts w:ascii="Times New Roman" w:hAnsi="Times New Roman"/>
        </w:rPr>
        <w:lastRenderedPageBreak/>
        <w:t xml:space="preserve">settlement agreement, the launch by Apotex </w:t>
      </w:r>
      <w:r w:rsidR="00142F9D" w:rsidRPr="00B14447">
        <w:rPr>
          <w:rFonts w:ascii="Times New Roman" w:hAnsi="Times New Roman"/>
        </w:rPr>
        <w:t xml:space="preserve">Canada </w:t>
      </w:r>
      <w:r w:rsidRPr="00B14447">
        <w:rPr>
          <w:rFonts w:ascii="Times New Roman" w:hAnsi="Times New Roman"/>
        </w:rPr>
        <w:t>of its product in the United States was not "genuinely 'at risk'".</w:t>
      </w:r>
      <w:r w:rsidRPr="00B14447">
        <w:rPr>
          <w:rStyle w:val="FootnoteReference"/>
          <w:rFonts w:ascii="Times New Roman" w:hAnsi="Times New Roman"/>
          <w:sz w:val="24"/>
        </w:rPr>
        <w:footnoteReference w:id="79"/>
      </w:r>
      <w:r w:rsidRPr="00B14447">
        <w:rPr>
          <w:rFonts w:ascii="Times New Roman" w:hAnsi="Times New Roman"/>
        </w:rPr>
        <w:t xml:space="preserve"> </w:t>
      </w:r>
    </w:p>
    <w:p w14:paraId="32C29323" w14:textId="4C0F179C"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Apotex </w:t>
      </w:r>
      <w:r w:rsidR="00533905" w:rsidRPr="00B14447">
        <w:rPr>
          <w:rFonts w:ascii="Times New Roman" w:hAnsi="Times New Roman"/>
        </w:rPr>
        <w:t xml:space="preserve">Canada </w:t>
      </w:r>
      <w:r w:rsidRPr="00B14447">
        <w:rPr>
          <w:rFonts w:ascii="Times New Roman" w:hAnsi="Times New Roman"/>
        </w:rPr>
        <w:t>also sought to launch its clopidogrel product in Canada. An order of prohibition sought by</w:t>
      </w:r>
      <w:r w:rsidR="00B30CDB" w:rsidRPr="00B14447">
        <w:rPr>
          <w:rFonts w:ascii="Times New Roman" w:hAnsi="Times New Roman"/>
        </w:rPr>
        <w:t xml:space="preserve"> the relevant</w:t>
      </w:r>
      <w:r w:rsidRPr="00B14447">
        <w:rPr>
          <w:rFonts w:ascii="Times New Roman" w:hAnsi="Times New Roman"/>
        </w:rPr>
        <w:t xml:space="preserve"> </w:t>
      </w:r>
      <w:r w:rsidR="006C7815" w:rsidRPr="00B14447">
        <w:rPr>
          <w:rFonts w:ascii="Times New Roman" w:hAnsi="Times New Roman"/>
        </w:rPr>
        <w:t xml:space="preserve">Canadian </w:t>
      </w:r>
      <w:r w:rsidRPr="00B14447">
        <w:rPr>
          <w:rFonts w:ascii="Times New Roman" w:hAnsi="Times New Roman"/>
        </w:rPr>
        <w:t xml:space="preserve">Sanofi </w:t>
      </w:r>
      <w:r w:rsidR="006C7815" w:rsidRPr="00B14447">
        <w:rPr>
          <w:rFonts w:ascii="Times New Roman" w:hAnsi="Times New Roman"/>
        </w:rPr>
        <w:t>entities ("</w:t>
      </w:r>
      <w:r w:rsidR="006C7815" w:rsidRPr="00B14447">
        <w:rPr>
          <w:rFonts w:ascii="Times New Roman" w:hAnsi="Times New Roman"/>
          <w:b/>
          <w:bCs/>
        </w:rPr>
        <w:t>Sanofi Canada</w:t>
      </w:r>
      <w:r w:rsidR="006C7815" w:rsidRPr="00B14447">
        <w:rPr>
          <w:rFonts w:ascii="Times New Roman" w:hAnsi="Times New Roman"/>
        </w:rPr>
        <w:t>")</w:t>
      </w:r>
      <w:r w:rsidR="00B30CDB" w:rsidRPr="00B14447">
        <w:rPr>
          <w:rFonts w:ascii="Times New Roman" w:hAnsi="Times New Roman"/>
        </w:rPr>
        <w:t>,</w:t>
      </w:r>
      <w:r w:rsidR="006C7815" w:rsidRPr="00B14447">
        <w:rPr>
          <w:rFonts w:ascii="Times New Roman" w:hAnsi="Times New Roman"/>
        </w:rPr>
        <w:t xml:space="preserve"> </w:t>
      </w:r>
      <w:r w:rsidRPr="00B14447">
        <w:rPr>
          <w:rFonts w:ascii="Times New Roman" w:hAnsi="Times New Roman"/>
        </w:rPr>
        <w:t>and issued by the Federal Court of Canada in 2005</w:t>
      </w:r>
      <w:r w:rsidR="00B30CDB" w:rsidRPr="00B14447">
        <w:rPr>
          <w:rFonts w:ascii="Times New Roman" w:hAnsi="Times New Roman"/>
        </w:rPr>
        <w:t>,</w:t>
      </w:r>
      <w:r w:rsidRPr="00B14447">
        <w:rPr>
          <w:rFonts w:ascii="Times New Roman" w:hAnsi="Times New Roman"/>
        </w:rPr>
        <w:t xml:space="preserve"> prevented Apotex</w:t>
      </w:r>
      <w:r w:rsidR="00533905" w:rsidRPr="00B14447">
        <w:rPr>
          <w:rFonts w:ascii="Times New Roman" w:hAnsi="Times New Roman"/>
        </w:rPr>
        <w:t xml:space="preserve"> Canada</w:t>
      </w:r>
      <w:r w:rsidRPr="00B14447">
        <w:rPr>
          <w:rFonts w:ascii="Times New Roman" w:hAnsi="Times New Roman"/>
        </w:rPr>
        <w:t xml:space="preserve"> from obtaining regulatory approval. A final appeal against those orders was dismissed by the Supreme Court of Canada on 6</w:t>
      </w:r>
      <w:r w:rsidR="00571813" w:rsidRPr="00B14447">
        <w:rPr>
          <w:rFonts w:ascii="Times New Roman" w:hAnsi="Times New Roman"/>
        </w:rPr>
        <w:t> </w:t>
      </w:r>
      <w:r w:rsidRPr="00B14447">
        <w:rPr>
          <w:rFonts w:ascii="Times New Roman" w:hAnsi="Times New Roman"/>
        </w:rPr>
        <w:t>November 2008. Separate proceedings brought in the Federal Court of Canada by Sanofi</w:t>
      </w:r>
      <w:r w:rsidR="00B30CDB" w:rsidRPr="00B14447">
        <w:rPr>
          <w:rFonts w:ascii="Times New Roman" w:hAnsi="Times New Roman"/>
        </w:rPr>
        <w:t xml:space="preserve"> Canada</w:t>
      </w:r>
      <w:r w:rsidRPr="00B14447">
        <w:rPr>
          <w:rFonts w:ascii="Times New Roman" w:hAnsi="Times New Roman"/>
        </w:rPr>
        <w:t xml:space="preserve">, alleging infringement of </w:t>
      </w:r>
      <w:r w:rsidR="006B44D9" w:rsidRPr="00B14447">
        <w:rPr>
          <w:rFonts w:ascii="Times New Roman" w:hAnsi="Times New Roman"/>
        </w:rPr>
        <w:t xml:space="preserve">its Canadian </w:t>
      </w:r>
      <w:r w:rsidRPr="00B14447">
        <w:rPr>
          <w:rFonts w:ascii="Times New Roman" w:hAnsi="Times New Roman"/>
        </w:rPr>
        <w:t xml:space="preserve">patent, were discontinued in November 2014 (pending an appeal to the Supreme Court of Canada) following the relevant Sanofi </w:t>
      </w:r>
      <w:r w:rsidR="00220314" w:rsidRPr="00B14447">
        <w:rPr>
          <w:rFonts w:ascii="Times New Roman" w:hAnsi="Times New Roman"/>
        </w:rPr>
        <w:t xml:space="preserve">Canada </w:t>
      </w:r>
      <w:r w:rsidRPr="00B14447">
        <w:rPr>
          <w:rFonts w:ascii="Times New Roman" w:hAnsi="Times New Roman"/>
        </w:rPr>
        <w:t>and Apotex entities</w:t>
      </w:r>
      <w:r w:rsidR="00C01CDD" w:rsidRPr="00B14447">
        <w:rPr>
          <w:rFonts w:ascii="Times New Roman" w:hAnsi="Times New Roman"/>
        </w:rPr>
        <w:t xml:space="preserve"> reaching a settlement agreement</w:t>
      </w:r>
      <w:r w:rsidRPr="00B14447">
        <w:rPr>
          <w:rFonts w:ascii="Times New Roman" w:hAnsi="Times New Roman"/>
        </w:rPr>
        <w:t>.</w:t>
      </w:r>
      <w:r w:rsidRPr="00B14447">
        <w:rPr>
          <w:rStyle w:val="FootnoteReference"/>
          <w:rFonts w:ascii="Times New Roman" w:hAnsi="Times New Roman"/>
          <w:sz w:val="24"/>
        </w:rPr>
        <w:footnoteReference w:id="80"/>
      </w:r>
      <w:r w:rsidR="00CB030F" w:rsidRPr="00B14447">
        <w:rPr>
          <w:rFonts w:ascii="Times New Roman" w:hAnsi="Times New Roman"/>
        </w:rPr>
        <w:t xml:space="preserve"> </w:t>
      </w:r>
    </w:p>
    <w:p w14:paraId="6D937BA8" w14:textId="12F5FE72"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approach taken by Apotex in Australia arose in the context of </w:t>
      </w:r>
      <w:r w:rsidR="00EB3A42" w:rsidRPr="00B14447">
        <w:rPr>
          <w:rFonts w:ascii="Times New Roman" w:hAnsi="Times New Roman"/>
        </w:rPr>
        <w:t xml:space="preserve">Apotex Canada's </w:t>
      </w:r>
      <w:r w:rsidRPr="00B14447">
        <w:rPr>
          <w:rFonts w:ascii="Times New Roman" w:hAnsi="Times New Roman"/>
        </w:rPr>
        <w:t xml:space="preserve">lack of success in litigation in the United States and Canada.  </w:t>
      </w:r>
    </w:p>
    <w:p w14:paraId="4DFBC2FB" w14:textId="15F256F8" w:rsidR="008E491A" w:rsidRPr="00B14447" w:rsidRDefault="00A967B9" w:rsidP="00B14447">
      <w:pPr>
        <w:pStyle w:val="HeadingL2"/>
        <w:spacing w:after="260" w:line="280" w:lineRule="exact"/>
        <w:ind w:right="0"/>
        <w:jc w:val="both"/>
        <w:rPr>
          <w:rFonts w:ascii="Times New Roman" w:hAnsi="Times New Roman"/>
        </w:rPr>
      </w:pPr>
      <w:r w:rsidRPr="00B14447">
        <w:rPr>
          <w:rFonts w:ascii="Times New Roman" w:hAnsi="Times New Roman"/>
        </w:rPr>
        <w:t>(2)</w:t>
      </w:r>
      <w:r w:rsidR="00F85ECB" w:rsidRPr="00B14447">
        <w:rPr>
          <w:rFonts w:ascii="Times New Roman" w:hAnsi="Times New Roman"/>
        </w:rPr>
        <w:tab/>
      </w:r>
      <w:r w:rsidR="00842C9F" w:rsidRPr="00B14447">
        <w:rPr>
          <w:rFonts w:ascii="Times New Roman" w:hAnsi="Times New Roman"/>
        </w:rPr>
        <w:t>E</w:t>
      </w:r>
      <w:r w:rsidR="008E491A" w:rsidRPr="00B14447">
        <w:rPr>
          <w:rFonts w:ascii="Times New Roman" w:hAnsi="Times New Roman"/>
        </w:rPr>
        <w:t xml:space="preserve">vents leading up to September 2007 </w:t>
      </w:r>
    </w:p>
    <w:p w14:paraId="4E740733" w14:textId="50CDCF45"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Apotex began to consider launching its generic clopidogrel product in Australia in early 2006. By June 2006, email correspondence between Mr Weingarten and Dr Sherman revealed that Dr Sherman intended to launch the product "at risk" in Australia once Therapeutic Goods Administration approval was obtained</w:t>
      </w:r>
      <w:r w:rsidR="00D53241" w:rsidRPr="00B14447">
        <w:rPr>
          <w:rFonts w:ascii="Times New Roman" w:hAnsi="Times New Roman"/>
        </w:rPr>
        <w:t>,</w:t>
      </w:r>
      <w:r w:rsidRPr="00B14447">
        <w:rPr>
          <w:rFonts w:ascii="Times New Roman" w:hAnsi="Times New Roman"/>
        </w:rPr>
        <w:t xml:space="preserve"> but only if Apotex</w:t>
      </w:r>
      <w:r w:rsidR="00E9045E" w:rsidRPr="00B14447">
        <w:rPr>
          <w:rFonts w:ascii="Times New Roman" w:hAnsi="Times New Roman"/>
        </w:rPr>
        <w:t xml:space="preserve"> Canada</w:t>
      </w:r>
      <w:r w:rsidRPr="00B14447">
        <w:rPr>
          <w:rFonts w:ascii="Times New Roman" w:hAnsi="Times New Roman"/>
        </w:rPr>
        <w:t xml:space="preserve"> was successful in its litigation in the United States and Canada (which it was not). </w:t>
      </w:r>
    </w:p>
    <w:p w14:paraId="54451E92" w14:textId="52FB05DD"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20</w:t>
      </w:r>
      <w:r w:rsidR="00A95863" w:rsidRPr="00B14447">
        <w:rPr>
          <w:rFonts w:ascii="Times New Roman" w:hAnsi="Times New Roman"/>
        </w:rPr>
        <w:t> </w:t>
      </w:r>
      <w:r w:rsidRPr="00B14447">
        <w:rPr>
          <w:rFonts w:ascii="Times New Roman" w:hAnsi="Times New Roman"/>
        </w:rPr>
        <w:t>February 2007, Dr Sherman emailed Mr Weingarten and Mr Millichamp, setting out a "[p]lan" for the launch of Apotex's generic clopidogrel product in Australia. Dr</w:t>
      </w:r>
      <w:r w:rsidR="005D1E51" w:rsidRPr="00B14447">
        <w:rPr>
          <w:rFonts w:ascii="Times New Roman" w:hAnsi="Times New Roman"/>
        </w:rPr>
        <w:t> </w:t>
      </w:r>
      <w:r w:rsidRPr="00B14447">
        <w:rPr>
          <w:rFonts w:ascii="Times New Roman" w:hAnsi="Times New Roman"/>
        </w:rPr>
        <w:t xml:space="preserve">Sherman's plan included: filing a claim seeking to invalidate Sanofi's patent in May or June 2007; informing Sanofi of Apotex's intention to launch unless Sanofi obtains an injunction supported by an undertaking as to damages; and launching the product if Sanofi did not give the undertaking and obtain the injunction. </w:t>
      </w:r>
    </w:p>
    <w:p w14:paraId="7AB2A838" w14:textId="1B663757"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By April 2007, albeit without concluded results from the litigation in the United States and Canada, Dr</w:t>
      </w:r>
      <w:r w:rsidR="00AD105E" w:rsidRPr="00B14447">
        <w:rPr>
          <w:rFonts w:ascii="Times New Roman" w:hAnsi="Times New Roman"/>
        </w:rPr>
        <w:t> </w:t>
      </w:r>
      <w:r w:rsidRPr="00B14447">
        <w:rPr>
          <w:rFonts w:ascii="Times New Roman" w:hAnsi="Times New Roman"/>
        </w:rPr>
        <w:t xml:space="preserve">Sherman had changed his mind about launching at risk in Australia only if Apotex </w:t>
      </w:r>
      <w:r w:rsidR="00F469E6" w:rsidRPr="00B14447">
        <w:rPr>
          <w:rFonts w:ascii="Times New Roman" w:hAnsi="Times New Roman"/>
        </w:rPr>
        <w:t xml:space="preserve">Canada </w:t>
      </w:r>
      <w:r w:rsidRPr="00B14447">
        <w:rPr>
          <w:rFonts w:ascii="Times New Roman" w:hAnsi="Times New Roman"/>
        </w:rPr>
        <w:t xml:space="preserve">was successful in the United States and Canada. In an email from Mr Kay to Mr Lydeamore (Vice President Business </w:t>
      </w:r>
      <w:r w:rsidRPr="00B14447">
        <w:rPr>
          <w:rFonts w:ascii="Times New Roman" w:hAnsi="Times New Roman"/>
        </w:rPr>
        <w:lastRenderedPageBreak/>
        <w:t xml:space="preserve">Development </w:t>
      </w:r>
      <w:r w:rsidR="00AE021E" w:rsidRPr="00B14447">
        <w:rPr>
          <w:rFonts w:ascii="Times New Roman" w:hAnsi="Times New Roman"/>
        </w:rPr>
        <w:t xml:space="preserve">at </w:t>
      </w:r>
      <w:r w:rsidRPr="00B14447">
        <w:rPr>
          <w:rFonts w:ascii="Times New Roman" w:hAnsi="Times New Roman"/>
        </w:rPr>
        <w:t>Apotex Canada</w:t>
      </w:r>
      <w:r w:rsidR="0034328F" w:rsidRPr="00B14447">
        <w:rPr>
          <w:rFonts w:ascii="Times New Roman" w:hAnsi="Times New Roman"/>
        </w:rPr>
        <w:t>)</w:t>
      </w:r>
      <w:r w:rsidRPr="00B14447">
        <w:rPr>
          <w:rFonts w:ascii="Times New Roman" w:hAnsi="Times New Roman"/>
        </w:rPr>
        <w:t xml:space="preserve"> on 13</w:t>
      </w:r>
      <w:r w:rsidR="00F0417F" w:rsidRPr="00B14447">
        <w:rPr>
          <w:rFonts w:ascii="Times New Roman" w:hAnsi="Times New Roman"/>
        </w:rPr>
        <w:t> </w:t>
      </w:r>
      <w:r w:rsidRPr="00B14447">
        <w:rPr>
          <w:rFonts w:ascii="Times New Roman" w:hAnsi="Times New Roman"/>
        </w:rPr>
        <w:t>April 2007, Mr</w:t>
      </w:r>
      <w:r w:rsidR="00AD105E" w:rsidRPr="00B14447">
        <w:rPr>
          <w:rFonts w:ascii="Times New Roman" w:hAnsi="Times New Roman"/>
        </w:rPr>
        <w:t> </w:t>
      </w:r>
      <w:r w:rsidRPr="00B14447">
        <w:rPr>
          <w:rFonts w:ascii="Times New Roman" w:hAnsi="Times New Roman"/>
        </w:rPr>
        <w:t>Kay repeated Dr Sherman's instructions, "</w:t>
      </w:r>
      <w:r w:rsidR="00F0417F" w:rsidRPr="00B14447">
        <w:rPr>
          <w:rFonts w:ascii="Times New Roman" w:hAnsi="Times New Roman"/>
        </w:rPr>
        <w:t>[Dr Sherman]</w:t>
      </w:r>
      <w:r w:rsidRPr="00B14447">
        <w:rPr>
          <w:rFonts w:ascii="Times New Roman" w:hAnsi="Times New Roman"/>
        </w:rPr>
        <w:t xml:space="preserve">'s instruction is to attempt to launch at risk and then invalidate". </w:t>
      </w:r>
    </w:p>
    <w:p w14:paraId="32EC5CBD" w14:textId="0A4812C1"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22</w:t>
      </w:r>
      <w:r w:rsidR="00A8299C" w:rsidRPr="00B14447">
        <w:rPr>
          <w:rFonts w:ascii="Times New Roman" w:hAnsi="Times New Roman"/>
        </w:rPr>
        <w:t> </w:t>
      </w:r>
      <w:r w:rsidRPr="00B14447">
        <w:rPr>
          <w:rFonts w:ascii="Times New Roman" w:hAnsi="Times New Roman"/>
        </w:rPr>
        <w:t xml:space="preserve">June 2007, </w:t>
      </w:r>
      <w:r w:rsidR="006E0834" w:rsidRPr="00B14447">
        <w:rPr>
          <w:rFonts w:ascii="Times New Roman" w:hAnsi="Times New Roman"/>
        </w:rPr>
        <w:t xml:space="preserve">three days after Sanofi's United States patent had been upheld in the United States, </w:t>
      </w:r>
      <w:r w:rsidRPr="00B14447">
        <w:rPr>
          <w:rFonts w:ascii="Times New Roman" w:hAnsi="Times New Roman"/>
        </w:rPr>
        <w:t>Mr Millichamp sent an email to Mr Kay, setting out his recommendation that Apotex Australia launch a clopidogrel product</w:t>
      </w:r>
      <w:r w:rsidR="00C51AB7" w:rsidRPr="00B14447">
        <w:rPr>
          <w:rFonts w:ascii="Times New Roman" w:hAnsi="Times New Roman"/>
        </w:rPr>
        <w:t xml:space="preserve"> in Australia</w:t>
      </w:r>
      <w:r w:rsidRPr="00B14447">
        <w:rPr>
          <w:rFonts w:ascii="Times New Roman" w:hAnsi="Times New Roman"/>
        </w:rPr>
        <w:t>. Attached to that email were tables setting out the projected sales figures in two scenarios should Apotex Australia launch the product. However, that email did not contain any consideration of the financial impact on Apotex should a claim for patent infringement by Sanofi be upheld. The email</w:t>
      </w:r>
      <w:r w:rsidR="00D64D87" w:rsidRPr="00B14447">
        <w:rPr>
          <w:rFonts w:ascii="Times New Roman" w:hAnsi="Times New Roman"/>
        </w:rPr>
        <w:t>, including its attachment,</w:t>
      </w:r>
      <w:r w:rsidRPr="00B14447">
        <w:rPr>
          <w:rFonts w:ascii="Times New Roman" w:hAnsi="Times New Roman"/>
        </w:rPr>
        <w:t xml:space="preserve"> was not an assessment of the financial risk versus reward from launching. </w:t>
      </w:r>
    </w:p>
    <w:p w14:paraId="30AE83D2" w14:textId="6C08E7D1"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25</w:t>
      </w:r>
      <w:r w:rsidR="0056165D" w:rsidRPr="00B14447">
        <w:rPr>
          <w:rFonts w:ascii="Times New Roman" w:hAnsi="Times New Roman"/>
        </w:rPr>
        <w:t> </w:t>
      </w:r>
      <w:r w:rsidRPr="00B14447">
        <w:rPr>
          <w:rFonts w:ascii="Times New Roman" w:hAnsi="Times New Roman"/>
        </w:rPr>
        <w:t>June 2007, following an earlier request from Mr</w:t>
      </w:r>
      <w:r w:rsidR="006D3F9E" w:rsidRPr="00B14447">
        <w:rPr>
          <w:rFonts w:ascii="Times New Roman" w:hAnsi="Times New Roman"/>
        </w:rPr>
        <w:t> </w:t>
      </w:r>
      <w:r w:rsidRPr="00B14447">
        <w:rPr>
          <w:rFonts w:ascii="Times New Roman" w:hAnsi="Times New Roman"/>
        </w:rPr>
        <w:t>Kay, Mr Millichamp provided Mr Kay with further information concerning a proposed launch of Apotex's product. Mr</w:t>
      </w:r>
      <w:r w:rsidR="00572BCA" w:rsidRPr="00B14447">
        <w:rPr>
          <w:rFonts w:ascii="Times New Roman" w:hAnsi="Times New Roman"/>
        </w:rPr>
        <w:t> </w:t>
      </w:r>
      <w:r w:rsidRPr="00B14447">
        <w:rPr>
          <w:rFonts w:ascii="Times New Roman" w:hAnsi="Times New Roman"/>
        </w:rPr>
        <w:t>Millichamp explained that he would not propose a launch without PBS listing because sales would be low, "virtually zero</w:t>
      </w:r>
      <w:r w:rsidR="005805BB" w:rsidRPr="00B14447">
        <w:rPr>
          <w:rFonts w:ascii="Times New Roman" w:hAnsi="Times New Roman"/>
        </w:rPr>
        <w:t xml:space="preserve"> without PBS </w:t>
      </w:r>
      <w:r w:rsidR="00373A0C" w:rsidRPr="00B14447">
        <w:rPr>
          <w:rFonts w:ascii="Times New Roman" w:hAnsi="Times New Roman"/>
        </w:rPr>
        <w:t>reimbursement"</w:t>
      </w:r>
      <w:r w:rsidRPr="00B14447">
        <w:rPr>
          <w:rFonts w:ascii="Times New Roman" w:hAnsi="Times New Roman"/>
        </w:rPr>
        <w:t>, in that scenario. Mr</w:t>
      </w:r>
      <w:r w:rsidR="00EF1066" w:rsidRPr="00B14447">
        <w:rPr>
          <w:rFonts w:ascii="Times New Roman" w:hAnsi="Times New Roman"/>
        </w:rPr>
        <w:t> </w:t>
      </w:r>
      <w:r w:rsidRPr="00B14447">
        <w:rPr>
          <w:rFonts w:ascii="Times New Roman" w:hAnsi="Times New Roman"/>
        </w:rPr>
        <w:t xml:space="preserve">Millichamp said that Apotex should submit an application for listing once it was sure that no injunction would be imposed and that "we will need to let the judge know that we plan to </w:t>
      </w:r>
      <w:r w:rsidR="00373A0C" w:rsidRPr="00B14447">
        <w:rPr>
          <w:rFonts w:ascii="Times New Roman" w:hAnsi="Times New Roman"/>
        </w:rPr>
        <w:t xml:space="preserve">PBS </w:t>
      </w:r>
      <w:r w:rsidRPr="00B14447">
        <w:rPr>
          <w:rFonts w:ascii="Times New Roman" w:hAnsi="Times New Roman"/>
        </w:rPr>
        <w:t>list". Mr</w:t>
      </w:r>
      <w:r w:rsidR="00EF1066" w:rsidRPr="00B14447">
        <w:rPr>
          <w:rFonts w:ascii="Times New Roman" w:hAnsi="Times New Roman"/>
        </w:rPr>
        <w:t> </w:t>
      </w:r>
      <w:r w:rsidRPr="00B14447">
        <w:rPr>
          <w:rFonts w:ascii="Times New Roman" w:hAnsi="Times New Roman"/>
        </w:rPr>
        <w:t>Millichamp also estimated the amount of a bank guarantee that might be required from Apotex as security for costs in resisting any injunction could be $50</w:t>
      </w:r>
      <w:r w:rsidR="0020319B">
        <w:rPr>
          <w:rFonts w:ascii="Times New Roman" w:hAnsi="Times New Roman"/>
        </w:rPr>
        <w:noBreakHyphen/>
      </w:r>
      <w:r w:rsidRPr="00B14447">
        <w:rPr>
          <w:rFonts w:ascii="Times New Roman" w:hAnsi="Times New Roman"/>
        </w:rPr>
        <w:t xml:space="preserve">70 million for "one year's damages". </w:t>
      </w:r>
    </w:p>
    <w:p w14:paraId="3203DBDE" w14:textId="040514A6"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same day, 25</w:t>
      </w:r>
      <w:r w:rsidR="00EC782D" w:rsidRPr="00B14447">
        <w:rPr>
          <w:rFonts w:ascii="Times New Roman" w:hAnsi="Times New Roman"/>
        </w:rPr>
        <w:t> </w:t>
      </w:r>
      <w:r w:rsidRPr="00B14447">
        <w:rPr>
          <w:rFonts w:ascii="Times New Roman" w:hAnsi="Times New Roman"/>
        </w:rPr>
        <w:t>June 2007, Mr Kay sent Dr Sherman an email, asking him to "please re-confirm or otherwise our approach in Australia". Mr</w:t>
      </w:r>
      <w:r w:rsidR="00373A0C" w:rsidRPr="00B14447">
        <w:rPr>
          <w:rFonts w:ascii="Times New Roman" w:hAnsi="Times New Roman"/>
        </w:rPr>
        <w:t> </w:t>
      </w:r>
      <w:r w:rsidRPr="00B14447">
        <w:rPr>
          <w:rFonts w:ascii="Times New Roman" w:hAnsi="Times New Roman"/>
        </w:rPr>
        <w:t xml:space="preserve">Kay explained that the approach which he sought to have confirmed was that upon </w:t>
      </w:r>
      <w:r w:rsidR="006D2C68" w:rsidRPr="00B14447">
        <w:rPr>
          <w:rFonts w:ascii="Times New Roman" w:hAnsi="Times New Roman"/>
        </w:rPr>
        <w:t xml:space="preserve">the expected </w:t>
      </w:r>
      <w:r w:rsidRPr="00B14447">
        <w:rPr>
          <w:rFonts w:ascii="Times New Roman" w:hAnsi="Times New Roman"/>
        </w:rPr>
        <w:t xml:space="preserve">grant of </w:t>
      </w:r>
      <w:r w:rsidR="00863551" w:rsidRPr="00B14447">
        <w:rPr>
          <w:rFonts w:ascii="Times New Roman" w:hAnsi="Times New Roman"/>
        </w:rPr>
        <w:t>approval by the Therapeutic Goods Administration</w:t>
      </w:r>
      <w:r w:rsidR="00512808" w:rsidRPr="00B14447">
        <w:rPr>
          <w:rFonts w:ascii="Times New Roman" w:hAnsi="Times New Roman"/>
        </w:rPr>
        <w:t xml:space="preserve"> </w:t>
      </w:r>
      <w:r w:rsidRPr="00B14447">
        <w:rPr>
          <w:rFonts w:ascii="Times New Roman" w:hAnsi="Times New Roman"/>
        </w:rPr>
        <w:t>in July/August 2007, "we will move towards launch and initiate revocation proce</w:t>
      </w:r>
      <w:r w:rsidR="00373A0C" w:rsidRPr="00B14447">
        <w:rPr>
          <w:rFonts w:ascii="Times New Roman" w:hAnsi="Times New Roman"/>
        </w:rPr>
        <w:t>e</w:t>
      </w:r>
      <w:r w:rsidRPr="00B14447">
        <w:rPr>
          <w:rFonts w:ascii="Times New Roman" w:hAnsi="Times New Roman"/>
        </w:rPr>
        <w:t>ed</w:t>
      </w:r>
      <w:r w:rsidR="00373A0C" w:rsidRPr="00B14447">
        <w:rPr>
          <w:rFonts w:ascii="Times New Roman" w:hAnsi="Times New Roman"/>
        </w:rPr>
        <w:t>[</w:t>
      </w:r>
      <w:r w:rsidRPr="00B14447">
        <w:rPr>
          <w:rFonts w:ascii="Times New Roman" w:hAnsi="Times New Roman"/>
        </w:rPr>
        <w:t>ing</w:t>
      </w:r>
      <w:r w:rsidR="00373A0C" w:rsidRPr="00B14447">
        <w:rPr>
          <w:rFonts w:ascii="Times New Roman" w:hAnsi="Times New Roman"/>
        </w:rPr>
        <w:t>]</w:t>
      </w:r>
      <w:r w:rsidRPr="00B14447">
        <w:rPr>
          <w:rFonts w:ascii="Times New Roman" w:hAnsi="Times New Roman"/>
        </w:rPr>
        <w:t>s</w:t>
      </w:r>
      <w:r w:rsidR="00373A0C" w:rsidRPr="00B14447">
        <w:rPr>
          <w:rFonts w:ascii="Times New Roman" w:hAnsi="Times New Roman"/>
        </w:rPr>
        <w:t xml:space="preserve"> [sic]</w:t>
      </w:r>
      <w:r w:rsidRPr="00B14447">
        <w:rPr>
          <w:rFonts w:ascii="Times New Roman" w:hAnsi="Times New Roman"/>
        </w:rPr>
        <w:t xml:space="preserve">". After some responses and exchanges that were </w:t>
      </w:r>
      <w:r w:rsidR="00AD630F" w:rsidRPr="00B14447">
        <w:rPr>
          <w:rFonts w:ascii="Times New Roman" w:hAnsi="Times New Roman"/>
        </w:rPr>
        <w:t xml:space="preserve">wholly </w:t>
      </w:r>
      <w:r w:rsidRPr="00B14447">
        <w:rPr>
          <w:rFonts w:ascii="Times New Roman" w:hAnsi="Times New Roman"/>
        </w:rPr>
        <w:t xml:space="preserve">redacted for legal professional privilege, </w:t>
      </w:r>
      <w:r w:rsidR="00FB7187" w:rsidRPr="00B14447">
        <w:rPr>
          <w:rFonts w:ascii="Times New Roman" w:hAnsi="Times New Roman"/>
        </w:rPr>
        <w:t>Dr Sherman</w:t>
      </w:r>
      <w:r w:rsidR="0024073A" w:rsidRPr="00B14447">
        <w:rPr>
          <w:rFonts w:ascii="Times New Roman" w:hAnsi="Times New Roman"/>
        </w:rPr>
        <w:t xml:space="preserve"> sent </w:t>
      </w:r>
      <w:r w:rsidR="002D4E60" w:rsidRPr="00B14447">
        <w:rPr>
          <w:rFonts w:ascii="Times New Roman" w:hAnsi="Times New Roman"/>
        </w:rPr>
        <w:t xml:space="preserve">an </w:t>
      </w:r>
      <w:r w:rsidR="0024073A" w:rsidRPr="00B14447">
        <w:rPr>
          <w:rFonts w:ascii="Times New Roman" w:hAnsi="Times New Roman"/>
        </w:rPr>
        <w:t>email to Mr Kay</w:t>
      </w:r>
      <w:r w:rsidR="00B81412" w:rsidRPr="00B14447">
        <w:rPr>
          <w:rFonts w:ascii="Times New Roman" w:hAnsi="Times New Roman"/>
        </w:rPr>
        <w:t xml:space="preserve"> at </w:t>
      </w:r>
      <w:r w:rsidR="001B08E3" w:rsidRPr="00B14447">
        <w:rPr>
          <w:rFonts w:ascii="Times New Roman" w:hAnsi="Times New Roman"/>
        </w:rPr>
        <w:t>1</w:t>
      </w:r>
      <w:r w:rsidR="00B81412" w:rsidRPr="00B14447">
        <w:rPr>
          <w:rFonts w:ascii="Times New Roman" w:hAnsi="Times New Roman"/>
        </w:rPr>
        <w:t>1.44am</w:t>
      </w:r>
      <w:r w:rsidR="003D0383" w:rsidRPr="00B14447">
        <w:rPr>
          <w:rFonts w:ascii="Times New Roman" w:hAnsi="Times New Roman"/>
        </w:rPr>
        <w:t xml:space="preserve"> on 26 June 2007</w:t>
      </w:r>
      <w:r w:rsidR="0024073A" w:rsidRPr="00B14447">
        <w:rPr>
          <w:rFonts w:ascii="Times New Roman" w:hAnsi="Times New Roman"/>
        </w:rPr>
        <w:t xml:space="preserve">, </w:t>
      </w:r>
      <w:r w:rsidR="002D4E60" w:rsidRPr="00B14447">
        <w:rPr>
          <w:rFonts w:ascii="Times New Roman" w:hAnsi="Times New Roman"/>
        </w:rPr>
        <w:t xml:space="preserve">only </w:t>
      </w:r>
      <w:r w:rsidR="0024073A" w:rsidRPr="00B14447">
        <w:rPr>
          <w:rFonts w:ascii="Times New Roman" w:hAnsi="Times New Roman"/>
        </w:rPr>
        <w:t xml:space="preserve">part of which was </w:t>
      </w:r>
      <w:r w:rsidR="002D4E60" w:rsidRPr="00B14447">
        <w:rPr>
          <w:rFonts w:ascii="Times New Roman" w:hAnsi="Times New Roman"/>
        </w:rPr>
        <w:t xml:space="preserve">not </w:t>
      </w:r>
      <w:r w:rsidR="0024073A" w:rsidRPr="00B14447">
        <w:rPr>
          <w:rFonts w:ascii="Times New Roman" w:hAnsi="Times New Roman"/>
        </w:rPr>
        <w:t>redacted</w:t>
      </w:r>
      <w:r w:rsidR="009F1D04" w:rsidRPr="00B14447">
        <w:rPr>
          <w:rFonts w:ascii="Times New Roman" w:hAnsi="Times New Roman"/>
        </w:rPr>
        <w:t>,</w:t>
      </w:r>
      <w:r w:rsidR="0024073A" w:rsidRPr="00B14447">
        <w:rPr>
          <w:rFonts w:ascii="Times New Roman" w:hAnsi="Times New Roman"/>
        </w:rPr>
        <w:t xml:space="preserve"> </w:t>
      </w:r>
      <w:r w:rsidR="009F1D04" w:rsidRPr="00B14447">
        <w:rPr>
          <w:rFonts w:ascii="Times New Roman" w:hAnsi="Times New Roman"/>
        </w:rPr>
        <w:t>that</w:t>
      </w:r>
      <w:r w:rsidR="002D4E60" w:rsidRPr="00B14447">
        <w:rPr>
          <w:rFonts w:ascii="Times New Roman" w:hAnsi="Times New Roman"/>
        </w:rPr>
        <w:t xml:space="preserve"> said</w:t>
      </w:r>
      <w:r w:rsidR="0024073A" w:rsidRPr="00B14447">
        <w:rPr>
          <w:rFonts w:ascii="Times New Roman" w:hAnsi="Times New Roman"/>
        </w:rPr>
        <w:t>,</w:t>
      </w:r>
      <w:r w:rsidR="002D4E60" w:rsidRPr="00B14447">
        <w:rPr>
          <w:rFonts w:ascii="Times New Roman" w:hAnsi="Times New Roman"/>
        </w:rPr>
        <w:t xml:space="preserve"> </w:t>
      </w:r>
      <w:r w:rsidR="00FB7187" w:rsidRPr="00B14447">
        <w:rPr>
          <w:rFonts w:ascii="Times New Roman" w:hAnsi="Times New Roman"/>
        </w:rPr>
        <w:t>"</w:t>
      </w:r>
      <w:r w:rsidR="002D4E60" w:rsidRPr="00B14447">
        <w:rPr>
          <w:rFonts w:ascii="Times New Roman" w:hAnsi="Times New Roman"/>
        </w:rPr>
        <w:t>[w]</w:t>
      </w:r>
      <w:r w:rsidR="00FB7187" w:rsidRPr="00B14447">
        <w:rPr>
          <w:rFonts w:ascii="Times New Roman" w:hAnsi="Times New Roman"/>
        </w:rPr>
        <w:t>e will stay with bisul</w:t>
      </w:r>
      <w:r w:rsidR="004B6507" w:rsidRPr="00B14447">
        <w:rPr>
          <w:rFonts w:ascii="Times New Roman" w:hAnsi="Times New Roman"/>
        </w:rPr>
        <w:t>f</w:t>
      </w:r>
      <w:r w:rsidR="00FB7187" w:rsidRPr="00B14447">
        <w:rPr>
          <w:rFonts w:ascii="Times New Roman" w:hAnsi="Times New Roman"/>
        </w:rPr>
        <w:t>ate in Australia"</w:t>
      </w:r>
      <w:r w:rsidR="004B6507" w:rsidRPr="00B14447">
        <w:rPr>
          <w:rFonts w:ascii="Times New Roman" w:hAnsi="Times New Roman"/>
        </w:rPr>
        <w:t>,</w:t>
      </w:r>
      <w:r w:rsidR="00FB7187" w:rsidRPr="00B14447">
        <w:rPr>
          <w:rFonts w:ascii="Times New Roman" w:hAnsi="Times New Roman"/>
        </w:rPr>
        <w:t xml:space="preserve"> but there was no evidence of the context of this email or the conditions upon which such a decision was being made or to be implemented</w:t>
      </w:r>
      <w:r w:rsidR="009F1D04" w:rsidRPr="00B14447">
        <w:rPr>
          <w:rFonts w:ascii="Times New Roman" w:hAnsi="Times New Roman"/>
        </w:rPr>
        <w:t>.</w:t>
      </w:r>
      <w:r w:rsidR="00FB7187" w:rsidRPr="00B14447">
        <w:rPr>
          <w:rFonts w:ascii="Times New Roman" w:hAnsi="Times New Roman"/>
        </w:rPr>
        <w:t xml:space="preserve"> </w:t>
      </w:r>
      <w:r w:rsidR="00DD2CFB" w:rsidRPr="00B14447">
        <w:rPr>
          <w:rFonts w:ascii="Times New Roman" w:hAnsi="Times New Roman"/>
        </w:rPr>
        <w:t>After this, Dr Sherman sent a further email to Mr Kay at 11.49am, which was entirely redacted</w:t>
      </w:r>
      <w:r w:rsidR="005944F6" w:rsidRPr="00B14447">
        <w:rPr>
          <w:rFonts w:ascii="Times New Roman" w:hAnsi="Times New Roman"/>
        </w:rPr>
        <w:t>. Mr Kay</w:t>
      </w:r>
      <w:r w:rsidR="00DD2CFB" w:rsidRPr="00B14447">
        <w:rPr>
          <w:rFonts w:ascii="Times New Roman" w:hAnsi="Times New Roman"/>
        </w:rPr>
        <w:t xml:space="preserve"> </w:t>
      </w:r>
      <w:r w:rsidR="005944F6" w:rsidRPr="00B14447">
        <w:rPr>
          <w:rFonts w:ascii="Times New Roman" w:hAnsi="Times New Roman"/>
        </w:rPr>
        <w:t>responde</w:t>
      </w:r>
      <w:r w:rsidR="009F4F9B" w:rsidRPr="00B14447">
        <w:rPr>
          <w:rFonts w:ascii="Times New Roman" w:hAnsi="Times New Roman"/>
        </w:rPr>
        <w:t>d</w:t>
      </w:r>
      <w:r w:rsidR="005944F6" w:rsidRPr="00B14447">
        <w:rPr>
          <w:rFonts w:ascii="Times New Roman" w:hAnsi="Times New Roman"/>
        </w:rPr>
        <w:t xml:space="preserve"> to this</w:t>
      </w:r>
      <w:r w:rsidR="003301DC" w:rsidRPr="00B14447">
        <w:rPr>
          <w:rFonts w:ascii="Times New Roman" w:hAnsi="Times New Roman"/>
        </w:rPr>
        <w:t xml:space="preserve"> further</w:t>
      </w:r>
      <w:r w:rsidR="005944F6" w:rsidRPr="00B14447">
        <w:rPr>
          <w:rFonts w:ascii="Times New Roman" w:hAnsi="Times New Roman"/>
        </w:rPr>
        <w:t xml:space="preserve"> email</w:t>
      </w:r>
      <w:r w:rsidRPr="00B14447">
        <w:rPr>
          <w:rFonts w:ascii="Times New Roman" w:hAnsi="Times New Roman"/>
        </w:rPr>
        <w:t xml:space="preserve"> </w:t>
      </w:r>
      <w:r w:rsidR="003940AD" w:rsidRPr="00B14447">
        <w:rPr>
          <w:rFonts w:ascii="Times New Roman" w:hAnsi="Times New Roman"/>
        </w:rPr>
        <w:t>at 11.54am</w:t>
      </w:r>
      <w:r w:rsidR="0003236F" w:rsidRPr="00B14447">
        <w:rPr>
          <w:rFonts w:ascii="Times New Roman" w:hAnsi="Times New Roman"/>
        </w:rPr>
        <w:t>,</w:t>
      </w:r>
      <w:r w:rsidR="003940AD" w:rsidRPr="00B14447">
        <w:rPr>
          <w:rFonts w:ascii="Times New Roman" w:hAnsi="Times New Roman"/>
        </w:rPr>
        <w:t xml:space="preserve"> </w:t>
      </w:r>
      <w:r w:rsidRPr="00B14447">
        <w:rPr>
          <w:rFonts w:ascii="Times New Roman" w:hAnsi="Times New Roman"/>
        </w:rPr>
        <w:t>asking Dr</w:t>
      </w:r>
      <w:r w:rsidR="00D55731" w:rsidRPr="00B14447">
        <w:rPr>
          <w:rFonts w:ascii="Times New Roman" w:hAnsi="Times New Roman"/>
        </w:rPr>
        <w:t> </w:t>
      </w:r>
      <w:r w:rsidRPr="00B14447">
        <w:rPr>
          <w:rFonts w:ascii="Times New Roman" w:hAnsi="Times New Roman"/>
        </w:rPr>
        <w:t xml:space="preserve">Sherman to "[p]lease advise when you have decided whether to pursue revocation of [Sanofi's] patent and if you wish us to move to launch at risk". </w:t>
      </w:r>
    </w:p>
    <w:p w14:paraId="2703B95B" w14:textId="2FDD1D9D" w:rsidR="00B103CB"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27</w:t>
      </w:r>
      <w:r w:rsidR="006A652E" w:rsidRPr="00B14447">
        <w:rPr>
          <w:rFonts w:ascii="Times New Roman" w:hAnsi="Times New Roman"/>
        </w:rPr>
        <w:t> </w:t>
      </w:r>
      <w:r w:rsidRPr="00B14447">
        <w:rPr>
          <w:rFonts w:ascii="Times New Roman" w:hAnsi="Times New Roman"/>
        </w:rPr>
        <w:t>June 2007, two emails were sent by Dr</w:t>
      </w:r>
      <w:r w:rsidR="008168A5" w:rsidRPr="00B14447">
        <w:rPr>
          <w:rFonts w:ascii="Times New Roman" w:hAnsi="Times New Roman"/>
        </w:rPr>
        <w:t> </w:t>
      </w:r>
      <w:r w:rsidRPr="00B14447">
        <w:rPr>
          <w:rFonts w:ascii="Times New Roman" w:hAnsi="Times New Roman"/>
        </w:rPr>
        <w:t>Sherman in response. Th</w:t>
      </w:r>
      <w:r w:rsidR="008168A5" w:rsidRPr="00B14447">
        <w:rPr>
          <w:rFonts w:ascii="Times New Roman" w:hAnsi="Times New Roman"/>
        </w:rPr>
        <w:t>e content of th</w:t>
      </w:r>
      <w:r w:rsidRPr="00B14447">
        <w:rPr>
          <w:rFonts w:ascii="Times New Roman" w:hAnsi="Times New Roman"/>
        </w:rPr>
        <w:t>ose emails</w:t>
      </w:r>
      <w:r w:rsidR="00B71941" w:rsidRPr="00B14447">
        <w:rPr>
          <w:rFonts w:ascii="Times New Roman" w:hAnsi="Times New Roman"/>
        </w:rPr>
        <w:t>, received in Australia at 4.44am and 5.12am,</w:t>
      </w:r>
      <w:r w:rsidRPr="00B14447">
        <w:rPr>
          <w:rFonts w:ascii="Times New Roman" w:hAnsi="Times New Roman"/>
        </w:rPr>
        <w:t xml:space="preserve"> </w:t>
      </w:r>
      <w:r w:rsidR="008168A5" w:rsidRPr="00B14447">
        <w:rPr>
          <w:rFonts w:ascii="Times New Roman" w:hAnsi="Times New Roman"/>
        </w:rPr>
        <w:t xml:space="preserve">was </w:t>
      </w:r>
      <w:r w:rsidR="0003236F" w:rsidRPr="00B14447">
        <w:rPr>
          <w:rFonts w:ascii="Times New Roman" w:hAnsi="Times New Roman"/>
        </w:rPr>
        <w:t xml:space="preserve">entirely </w:t>
      </w:r>
      <w:r w:rsidRPr="00B14447">
        <w:rPr>
          <w:rFonts w:ascii="Times New Roman" w:hAnsi="Times New Roman"/>
        </w:rPr>
        <w:t xml:space="preserve">redacted on the basis of legal professional privilege. An email from Mr Millichamp to some of his colleagues at Apotex Australia </w:t>
      </w:r>
      <w:r w:rsidR="00B71941" w:rsidRPr="00B14447">
        <w:rPr>
          <w:rFonts w:ascii="Times New Roman" w:hAnsi="Times New Roman"/>
        </w:rPr>
        <w:t>at 11.23am</w:t>
      </w:r>
      <w:r w:rsidRPr="00B14447">
        <w:rPr>
          <w:rFonts w:ascii="Times New Roman" w:hAnsi="Times New Roman"/>
        </w:rPr>
        <w:t xml:space="preserve"> that day, referring to matters that had been redacted for legal professional privilege, said "FYI</w:t>
      </w:r>
      <w:r w:rsidR="00733201" w:rsidRPr="00B14447">
        <w:rPr>
          <w:rFonts w:ascii="Times New Roman" w:hAnsi="Times New Roman"/>
        </w:rPr>
        <w:t> –</w:t>
      </w:r>
      <w:r w:rsidR="00135A3E" w:rsidRPr="00B14447">
        <w:rPr>
          <w:rFonts w:ascii="Times New Roman" w:hAnsi="Times New Roman"/>
        </w:rPr>
        <w:t>G</w:t>
      </w:r>
      <w:r w:rsidRPr="00B14447">
        <w:rPr>
          <w:rFonts w:ascii="Times New Roman" w:hAnsi="Times New Roman"/>
        </w:rPr>
        <w:t xml:space="preserve">ame </w:t>
      </w:r>
      <w:r w:rsidRPr="00B14447">
        <w:rPr>
          <w:rFonts w:ascii="Times New Roman" w:hAnsi="Times New Roman"/>
        </w:rPr>
        <w:lastRenderedPageBreak/>
        <w:t>on</w:t>
      </w:r>
      <w:r w:rsidR="00733201" w:rsidRPr="00B14447">
        <w:rPr>
          <w:rFonts w:ascii="Times New Roman" w:hAnsi="Times New Roman"/>
        </w:rPr>
        <w:t xml:space="preserve"> </w:t>
      </w:r>
      <w:r w:rsidRPr="00B14447">
        <w:rPr>
          <w:rFonts w:ascii="Times New Roman" w:hAnsi="Times New Roman"/>
        </w:rPr>
        <w:t>!!!". Mr Millichamp also emailed Mr Haas (Corporate Project Manager, New Product Demand Planning at Apotex Canada)</w:t>
      </w:r>
      <w:r w:rsidR="00B71941" w:rsidRPr="00B14447">
        <w:rPr>
          <w:rFonts w:ascii="Times New Roman" w:hAnsi="Times New Roman"/>
        </w:rPr>
        <w:t xml:space="preserve"> </w:t>
      </w:r>
      <w:r w:rsidRPr="00B14447">
        <w:rPr>
          <w:rFonts w:ascii="Times New Roman" w:hAnsi="Times New Roman"/>
        </w:rPr>
        <w:t xml:space="preserve">later that day, saying in a heavily redacted email: "[i]f we are successful in avoiding an injunction we will plan to launch subject to </w:t>
      </w:r>
      <w:r w:rsidR="00167E2D" w:rsidRPr="00B14447">
        <w:rPr>
          <w:rFonts w:ascii="Times New Roman" w:hAnsi="Times New Roman"/>
        </w:rPr>
        <w:t>[Dr Sherman]</w:t>
      </w:r>
      <w:r w:rsidRPr="00B14447">
        <w:rPr>
          <w:rFonts w:ascii="Times New Roman" w:hAnsi="Times New Roman"/>
        </w:rPr>
        <w:t xml:space="preserve">'s further advice/approval". </w:t>
      </w:r>
    </w:p>
    <w:p w14:paraId="59169F8D" w14:textId="3ACF04CF" w:rsidR="008E491A" w:rsidRPr="00B14447" w:rsidRDefault="00B103CB"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10F09" w:rsidRPr="00B14447">
        <w:rPr>
          <w:rFonts w:ascii="Times New Roman" w:hAnsi="Times New Roman"/>
        </w:rPr>
        <w:t>Mr</w:t>
      </w:r>
      <w:r w:rsidR="00BB1C0C" w:rsidRPr="00B14447">
        <w:rPr>
          <w:rFonts w:ascii="Times New Roman" w:hAnsi="Times New Roman"/>
        </w:rPr>
        <w:t> </w:t>
      </w:r>
      <w:r w:rsidR="00A10F09" w:rsidRPr="00B14447">
        <w:rPr>
          <w:rFonts w:ascii="Times New Roman" w:hAnsi="Times New Roman"/>
        </w:rPr>
        <w:t>Haas respond</w:t>
      </w:r>
      <w:r w:rsidR="00FD3181" w:rsidRPr="00B14447">
        <w:rPr>
          <w:rFonts w:ascii="Times New Roman" w:hAnsi="Times New Roman"/>
        </w:rPr>
        <w:t>ed</w:t>
      </w:r>
      <w:r w:rsidR="00A10F09" w:rsidRPr="00B14447">
        <w:rPr>
          <w:rFonts w:ascii="Times New Roman" w:hAnsi="Times New Roman"/>
        </w:rPr>
        <w:t xml:space="preserve"> to Mr Millichamp</w:t>
      </w:r>
      <w:r w:rsidRPr="00B14447">
        <w:rPr>
          <w:rFonts w:ascii="Times New Roman" w:hAnsi="Times New Roman"/>
        </w:rPr>
        <w:t xml:space="preserve"> at 12am on 28</w:t>
      </w:r>
      <w:r w:rsidR="00FD3181" w:rsidRPr="00B14447">
        <w:rPr>
          <w:rFonts w:ascii="Times New Roman" w:hAnsi="Times New Roman"/>
        </w:rPr>
        <w:t> </w:t>
      </w:r>
      <w:r w:rsidRPr="00B14447">
        <w:rPr>
          <w:rFonts w:ascii="Times New Roman" w:hAnsi="Times New Roman"/>
        </w:rPr>
        <w:t xml:space="preserve">June 2007 thanking him for the update </w:t>
      </w:r>
      <w:r w:rsidR="006F4309" w:rsidRPr="00B14447">
        <w:rPr>
          <w:rFonts w:ascii="Times New Roman" w:hAnsi="Times New Roman"/>
        </w:rPr>
        <w:t>and asking that "</w:t>
      </w:r>
      <w:r w:rsidR="00FD3181" w:rsidRPr="00B14447">
        <w:rPr>
          <w:rFonts w:ascii="Times New Roman" w:hAnsi="Times New Roman"/>
        </w:rPr>
        <w:t>[</w:t>
      </w:r>
      <w:r w:rsidR="006F4309" w:rsidRPr="00B14447">
        <w:rPr>
          <w:rFonts w:ascii="Times New Roman" w:hAnsi="Times New Roman"/>
        </w:rPr>
        <w:t>o</w:t>
      </w:r>
      <w:r w:rsidR="00FD3181" w:rsidRPr="00B14447">
        <w:rPr>
          <w:rFonts w:ascii="Times New Roman" w:hAnsi="Times New Roman"/>
        </w:rPr>
        <w:t>]</w:t>
      </w:r>
      <w:r w:rsidR="006F4309" w:rsidRPr="00B14447">
        <w:rPr>
          <w:rFonts w:ascii="Times New Roman" w:hAnsi="Times New Roman"/>
        </w:rPr>
        <w:t>nce known, please advise as to estimated launch date so that I can have forecasts shifted out accordingly". Mr</w:t>
      </w:r>
      <w:r w:rsidR="00BB1C0C" w:rsidRPr="00B14447">
        <w:rPr>
          <w:rFonts w:ascii="Times New Roman" w:hAnsi="Times New Roman"/>
        </w:rPr>
        <w:t> </w:t>
      </w:r>
      <w:r w:rsidR="006F4309" w:rsidRPr="00B14447">
        <w:rPr>
          <w:rFonts w:ascii="Times New Roman" w:hAnsi="Times New Roman"/>
        </w:rPr>
        <w:t xml:space="preserve">Haas </w:t>
      </w:r>
      <w:r w:rsidR="00BB1C0C" w:rsidRPr="00B14447">
        <w:rPr>
          <w:rFonts w:ascii="Times New Roman" w:hAnsi="Times New Roman"/>
        </w:rPr>
        <w:t xml:space="preserve">told </w:t>
      </w:r>
      <w:r w:rsidR="006F4309" w:rsidRPr="00B14447">
        <w:rPr>
          <w:rFonts w:ascii="Times New Roman" w:hAnsi="Times New Roman"/>
        </w:rPr>
        <w:t>Mr</w:t>
      </w:r>
      <w:r w:rsidR="00BB1C0C" w:rsidRPr="00B14447">
        <w:rPr>
          <w:rFonts w:ascii="Times New Roman" w:hAnsi="Times New Roman"/>
        </w:rPr>
        <w:t> </w:t>
      </w:r>
      <w:r w:rsidR="006F4309" w:rsidRPr="00B14447">
        <w:rPr>
          <w:rFonts w:ascii="Times New Roman" w:hAnsi="Times New Roman"/>
        </w:rPr>
        <w:t xml:space="preserve">Millichamp that he </w:t>
      </w:r>
      <w:r w:rsidR="008E3711" w:rsidRPr="00B14447">
        <w:rPr>
          <w:rFonts w:ascii="Times New Roman" w:hAnsi="Times New Roman"/>
        </w:rPr>
        <w:t>would</w:t>
      </w:r>
      <w:r w:rsidR="006F4309" w:rsidRPr="00B14447">
        <w:rPr>
          <w:rFonts w:ascii="Times New Roman" w:hAnsi="Times New Roman"/>
        </w:rPr>
        <w:t xml:space="preserve">, </w:t>
      </w:r>
      <w:r w:rsidR="008E3711" w:rsidRPr="00B14447">
        <w:rPr>
          <w:rFonts w:ascii="Times New Roman" w:hAnsi="Times New Roman"/>
        </w:rPr>
        <w:t>"</w:t>
      </w:r>
      <w:r w:rsidR="006F4309" w:rsidRPr="00B14447">
        <w:rPr>
          <w:rFonts w:ascii="Times New Roman" w:hAnsi="Times New Roman"/>
        </w:rPr>
        <w:t>however, initiate blister tooling activities to determine timing for providing [</w:t>
      </w:r>
      <w:r w:rsidR="00F61487" w:rsidRPr="00B14447">
        <w:rPr>
          <w:rFonts w:ascii="Times New Roman" w:hAnsi="Times New Roman"/>
        </w:rPr>
        <w:t>Mr Millichamp</w:t>
      </w:r>
      <w:r w:rsidR="006F4309" w:rsidRPr="00B14447">
        <w:rPr>
          <w:rFonts w:ascii="Times New Roman" w:hAnsi="Times New Roman"/>
        </w:rPr>
        <w:t>] with pack count desired for AUS market</w:t>
      </w:r>
      <w:r w:rsidR="0059565E" w:rsidRPr="00B14447">
        <w:rPr>
          <w:rFonts w:ascii="Times New Roman" w:hAnsi="Times New Roman"/>
        </w:rPr>
        <w:t>" as "tooling leadtimes can be as long as 6 months".</w:t>
      </w:r>
      <w:r w:rsidR="002F181B" w:rsidRPr="00B14447">
        <w:rPr>
          <w:rFonts w:ascii="Times New Roman" w:hAnsi="Times New Roman"/>
        </w:rPr>
        <w:t xml:space="preserve"> </w:t>
      </w:r>
    </w:p>
    <w:p w14:paraId="53F3BE23" w14:textId="4BFFB0AB"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28 June 2007</w:t>
      </w:r>
      <w:r w:rsidR="00BB7740" w:rsidRPr="00B14447">
        <w:rPr>
          <w:rFonts w:ascii="Times New Roman" w:hAnsi="Times New Roman"/>
        </w:rPr>
        <w:t xml:space="preserve"> at 10.28pm</w:t>
      </w:r>
      <w:r w:rsidRPr="00B14447">
        <w:rPr>
          <w:rFonts w:ascii="Times New Roman" w:hAnsi="Times New Roman"/>
        </w:rPr>
        <w:t>, Mr</w:t>
      </w:r>
      <w:r w:rsidR="00F61487" w:rsidRPr="00B14447">
        <w:rPr>
          <w:rFonts w:ascii="Times New Roman" w:hAnsi="Times New Roman"/>
        </w:rPr>
        <w:t> </w:t>
      </w:r>
      <w:r w:rsidRPr="00B14447">
        <w:rPr>
          <w:rFonts w:ascii="Times New Roman" w:hAnsi="Times New Roman"/>
        </w:rPr>
        <w:t xml:space="preserve">Millichamp </w:t>
      </w:r>
      <w:r w:rsidR="00554D24" w:rsidRPr="00B14447">
        <w:rPr>
          <w:rFonts w:ascii="Times New Roman" w:hAnsi="Times New Roman"/>
        </w:rPr>
        <w:t>forward</w:t>
      </w:r>
      <w:r w:rsidR="00F61487" w:rsidRPr="00B14447">
        <w:rPr>
          <w:rFonts w:ascii="Times New Roman" w:hAnsi="Times New Roman"/>
        </w:rPr>
        <w:t>ed</w:t>
      </w:r>
      <w:r w:rsidRPr="00B14447">
        <w:rPr>
          <w:rFonts w:ascii="Times New Roman" w:hAnsi="Times New Roman"/>
        </w:rPr>
        <w:t xml:space="preserve"> an email to Mr</w:t>
      </w:r>
      <w:r w:rsidR="00F61487" w:rsidRPr="00B14447">
        <w:rPr>
          <w:rFonts w:ascii="Times New Roman" w:hAnsi="Times New Roman"/>
        </w:rPr>
        <w:t> </w:t>
      </w:r>
      <w:r w:rsidRPr="00B14447">
        <w:rPr>
          <w:rFonts w:ascii="Times New Roman" w:hAnsi="Times New Roman"/>
        </w:rPr>
        <w:t>Haas</w:t>
      </w:r>
      <w:r w:rsidR="00412EEC" w:rsidRPr="00B14447">
        <w:rPr>
          <w:rFonts w:ascii="Times New Roman" w:hAnsi="Times New Roman"/>
        </w:rPr>
        <w:t xml:space="preserve"> </w:t>
      </w:r>
      <w:r w:rsidRPr="00B14447">
        <w:rPr>
          <w:rFonts w:ascii="Times New Roman" w:hAnsi="Times New Roman"/>
        </w:rPr>
        <w:t>with redacted words that precede</w:t>
      </w:r>
      <w:r w:rsidR="007A1A3B" w:rsidRPr="00B14447">
        <w:rPr>
          <w:rFonts w:ascii="Times New Roman" w:hAnsi="Times New Roman"/>
        </w:rPr>
        <w:t>d</w:t>
      </w:r>
      <w:r w:rsidRPr="00B14447">
        <w:rPr>
          <w:rFonts w:ascii="Times New Roman" w:hAnsi="Times New Roman"/>
        </w:rPr>
        <w:t xml:space="preserve"> a statement that "as per instructions from [Dr</w:t>
      </w:r>
      <w:r w:rsidR="00862933" w:rsidRPr="00B14447">
        <w:rPr>
          <w:rFonts w:ascii="Times New Roman" w:hAnsi="Times New Roman"/>
        </w:rPr>
        <w:t> </w:t>
      </w:r>
      <w:r w:rsidRPr="00B14447">
        <w:rPr>
          <w:rFonts w:ascii="Times New Roman" w:hAnsi="Times New Roman"/>
        </w:rPr>
        <w:t xml:space="preserve">Sherman] the plan (in outline) for clopidogrel is as follows". The plan </w:t>
      </w:r>
      <w:r w:rsidR="004513EA" w:rsidRPr="00B14447">
        <w:rPr>
          <w:rFonts w:ascii="Times New Roman" w:hAnsi="Times New Roman"/>
        </w:rPr>
        <w:t xml:space="preserve">that was then set out </w:t>
      </w:r>
      <w:r w:rsidRPr="00B14447">
        <w:rPr>
          <w:rFonts w:ascii="Times New Roman" w:hAnsi="Times New Roman"/>
        </w:rPr>
        <w:t xml:space="preserve">involved seeking to have the Sanofi patents revoked and resisting an application by Sanofi for an interlocutory injunction which, if Apotex were successful, would lead to a launch after PBS listing </w:t>
      </w:r>
      <w:r w:rsidR="0013239F" w:rsidRPr="00B14447">
        <w:rPr>
          <w:rFonts w:ascii="Times New Roman" w:hAnsi="Times New Roman"/>
        </w:rPr>
        <w:t xml:space="preserve">at the </w:t>
      </w:r>
      <w:r w:rsidRPr="00B14447">
        <w:rPr>
          <w:rFonts w:ascii="Times New Roman" w:hAnsi="Times New Roman"/>
        </w:rPr>
        <w:t xml:space="preserve">"earliest </w:t>
      </w:r>
      <w:r w:rsidR="0013239F" w:rsidRPr="00B14447">
        <w:rPr>
          <w:rFonts w:ascii="Times New Roman" w:hAnsi="Times New Roman"/>
        </w:rPr>
        <w:t xml:space="preserve">[in] </w:t>
      </w:r>
      <w:r w:rsidRPr="00B14447">
        <w:rPr>
          <w:rFonts w:ascii="Times New Roman" w:hAnsi="Times New Roman"/>
        </w:rPr>
        <w:t xml:space="preserve">December </w:t>
      </w:r>
      <w:r w:rsidR="00C93486" w:rsidRPr="00B14447">
        <w:rPr>
          <w:rFonts w:ascii="Times New Roman" w:hAnsi="Times New Roman"/>
        </w:rPr>
        <w:t>[</w:t>
      </w:r>
      <w:r w:rsidRPr="00B14447">
        <w:rPr>
          <w:rFonts w:ascii="Times New Roman" w:hAnsi="Times New Roman"/>
        </w:rPr>
        <w:t>20</w:t>
      </w:r>
      <w:r w:rsidR="00C93486" w:rsidRPr="00B14447">
        <w:rPr>
          <w:rFonts w:ascii="Times New Roman" w:hAnsi="Times New Roman"/>
        </w:rPr>
        <w:t>]</w:t>
      </w:r>
      <w:r w:rsidRPr="00B14447">
        <w:rPr>
          <w:rFonts w:ascii="Times New Roman" w:hAnsi="Times New Roman"/>
        </w:rPr>
        <w:t>07". Mr</w:t>
      </w:r>
      <w:r w:rsidR="00AB2994" w:rsidRPr="00B14447">
        <w:rPr>
          <w:rFonts w:ascii="Times New Roman" w:hAnsi="Times New Roman"/>
        </w:rPr>
        <w:t> </w:t>
      </w:r>
      <w:r w:rsidRPr="00B14447">
        <w:rPr>
          <w:rFonts w:ascii="Times New Roman" w:hAnsi="Times New Roman"/>
        </w:rPr>
        <w:t xml:space="preserve">Millichamp said: </w:t>
      </w:r>
    </w:p>
    <w:p w14:paraId="1753D41E" w14:textId="77777777" w:rsidR="00B14447" w:rsidRDefault="008E491A" w:rsidP="00B14447">
      <w:pPr>
        <w:pStyle w:val="LeftrightafterHC"/>
        <w:spacing w:before="0" w:after="260" w:line="280" w:lineRule="exact"/>
        <w:ind w:right="0"/>
        <w:jc w:val="both"/>
        <w:rPr>
          <w:rFonts w:ascii="Times New Roman" w:hAnsi="Times New Roman"/>
        </w:rPr>
      </w:pPr>
      <w:r w:rsidRPr="00B14447">
        <w:rPr>
          <w:rFonts w:ascii="Times New Roman" w:hAnsi="Times New Roman"/>
        </w:rPr>
        <w:t>"Therefore if we are successful and are able to launch we will need product (blister packed by Apotex) in Australia ideally end October but latest Mid November</w:t>
      </w:r>
      <w:r w:rsidR="004B0326" w:rsidRPr="00B14447">
        <w:rPr>
          <w:rFonts w:ascii="Times New Roman" w:hAnsi="Times New Roman"/>
        </w:rPr>
        <w:t>.</w:t>
      </w:r>
      <w:r w:rsidRPr="00B14447">
        <w:rPr>
          <w:rFonts w:ascii="Times New Roman" w:hAnsi="Times New Roman"/>
        </w:rPr>
        <w:t xml:space="preserve">" </w:t>
      </w:r>
    </w:p>
    <w:p w14:paraId="50E8C21D" w14:textId="36773C5F" w:rsidR="008E491A" w:rsidRPr="00B14447" w:rsidRDefault="008E491A" w:rsidP="00B14447">
      <w:pPr>
        <w:pStyle w:val="NormalBody"/>
        <w:spacing w:after="260" w:line="280" w:lineRule="exact"/>
        <w:ind w:right="0"/>
        <w:jc w:val="both"/>
        <w:rPr>
          <w:rFonts w:ascii="Times New Roman" w:hAnsi="Times New Roman"/>
        </w:rPr>
      </w:pPr>
      <w:r w:rsidRPr="00B14447">
        <w:rPr>
          <w:rFonts w:ascii="Times New Roman" w:hAnsi="Times New Roman"/>
        </w:rPr>
        <w:t>Mr</w:t>
      </w:r>
      <w:r w:rsidR="00205A82" w:rsidRPr="00B14447">
        <w:rPr>
          <w:rFonts w:ascii="Times New Roman" w:hAnsi="Times New Roman"/>
        </w:rPr>
        <w:t> </w:t>
      </w:r>
      <w:r w:rsidRPr="00B14447">
        <w:rPr>
          <w:rFonts w:ascii="Times New Roman" w:hAnsi="Times New Roman"/>
        </w:rPr>
        <w:t>Millichamp concluded by saying:</w:t>
      </w:r>
    </w:p>
    <w:p w14:paraId="1248A5B1" w14:textId="77777777" w:rsidR="00B14447" w:rsidRDefault="008E491A" w:rsidP="00B14447">
      <w:pPr>
        <w:pStyle w:val="LeftrightafterHC"/>
        <w:spacing w:before="0" w:after="260" w:line="280" w:lineRule="exact"/>
        <w:ind w:right="0"/>
        <w:jc w:val="both"/>
        <w:rPr>
          <w:rFonts w:ascii="Times New Roman" w:hAnsi="Times New Roman"/>
        </w:rPr>
      </w:pPr>
      <w:r w:rsidRPr="00B14447">
        <w:rPr>
          <w:rFonts w:ascii="Times New Roman" w:hAnsi="Times New Roman"/>
        </w:rPr>
        <w:t>"Please confirm when you would like purchase orders raised. We are not sure that we can launch yet so need to know if we should place orders in anticipation or should wait. [</w:t>
      </w:r>
      <w:r w:rsidR="00E91F20" w:rsidRPr="00B14447">
        <w:rPr>
          <w:rFonts w:ascii="Times New Roman" w:hAnsi="Times New Roman"/>
        </w:rPr>
        <w:t>D</w:t>
      </w:r>
      <w:r w:rsidRPr="00B14447">
        <w:rPr>
          <w:rFonts w:ascii="Times New Roman" w:hAnsi="Times New Roman"/>
        </w:rPr>
        <w:t>r</w:t>
      </w:r>
      <w:r w:rsidR="00E91F20" w:rsidRPr="00B14447">
        <w:rPr>
          <w:rFonts w:ascii="Times New Roman" w:hAnsi="Times New Roman"/>
        </w:rPr>
        <w:t> </w:t>
      </w:r>
      <w:r w:rsidRPr="00B14447">
        <w:rPr>
          <w:rFonts w:ascii="Times New Roman" w:hAnsi="Times New Roman"/>
        </w:rPr>
        <w:t xml:space="preserve">Sherman] has made it clear that he does not want to waste money on launch activities until we are clear on what we can do". </w:t>
      </w:r>
    </w:p>
    <w:p w14:paraId="627257F6" w14:textId="2F13EE5C"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same day, 28</w:t>
      </w:r>
      <w:r w:rsidR="00206E7A" w:rsidRPr="00B14447">
        <w:rPr>
          <w:rFonts w:ascii="Times New Roman" w:hAnsi="Times New Roman"/>
        </w:rPr>
        <w:t> </w:t>
      </w:r>
      <w:r w:rsidRPr="00B14447">
        <w:rPr>
          <w:rFonts w:ascii="Times New Roman" w:hAnsi="Times New Roman"/>
        </w:rPr>
        <w:t xml:space="preserve">June 2007, </w:t>
      </w:r>
      <w:r w:rsidR="00350CAB" w:rsidRPr="00B14447">
        <w:rPr>
          <w:rFonts w:ascii="Times New Roman" w:hAnsi="Times New Roman"/>
        </w:rPr>
        <w:t>at 11.02pm</w:t>
      </w:r>
      <w:r w:rsidR="006007D0" w:rsidRPr="00B14447">
        <w:rPr>
          <w:rFonts w:ascii="Times New Roman" w:hAnsi="Times New Roman"/>
        </w:rPr>
        <w:t>,</w:t>
      </w:r>
      <w:r w:rsidR="00350CAB" w:rsidRPr="00B14447">
        <w:rPr>
          <w:rFonts w:ascii="Times New Roman" w:hAnsi="Times New Roman"/>
        </w:rPr>
        <w:t xml:space="preserve"> </w:t>
      </w:r>
      <w:r w:rsidR="00206E7A" w:rsidRPr="00B14447">
        <w:rPr>
          <w:rFonts w:ascii="Times New Roman" w:hAnsi="Times New Roman"/>
        </w:rPr>
        <w:t>Mr </w:t>
      </w:r>
      <w:r w:rsidRPr="00B14447">
        <w:rPr>
          <w:rFonts w:ascii="Times New Roman" w:hAnsi="Times New Roman"/>
        </w:rPr>
        <w:t xml:space="preserve">Haas responded by saying that the "[s]trategy from my side is to get everything in place so that we can proceed with commercial manufacture </w:t>
      </w:r>
      <w:r w:rsidR="003B5747" w:rsidRPr="00B14447">
        <w:rPr>
          <w:rFonts w:ascii="Times New Roman" w:hAnsi="Times New Roman"/>
        </w:rPr>
        <w:t xml:space="preserve">immediately </w:t>
      </w:r>
      <w:r w:rsidRPr="00B14447">
        <w:rPr>
          <w:rFonts w:ascii="Times New Roman" w:hAnsi="Times New Roman"/>
        </w:rPr>
        <w:t>once given the go-ahead"</w:t>
      </w:r>
      <w:r w:rsidR="006007D0" w:rsidRPr="00B14447">
        <w:rPr>
          <w:rFonts w:ascii="Times New Roman" w:hAnsi="Times New Roman"/>
        </w:rPr>
        <w:t>.</w:t>
      </w:r>
      <w:r w:rsidRPr="00B14447">
        <w:rPr>
          <w:rFonts w:ascii="Times New Roman" w:hAnsi="Times New Roman"/>
        </w:rPr>
        <w:t xml:space="preserve"> Mr</w:t>
      </w:r>
      <w:r w:rsidR="004B05B2">
        <w:rPr>
          <w:rFonts w:ascii="Times New Roman" w:hAnsi="Times New Roman"/>
        </w:rPr>
        <w:t> </w:t>
      </w:r>
      <w:r w:rsidRPr="00B14447">
        <w:rPr>
          <w:rFonts w:ascii="Times New Roman" w:hAnsi="Times New Roman"/>
        </w:rPr>
        <w:t xml:space="preserve">Haas then replied again </w:t>
      </w:r>
      <w:r w:rsidR="00367EBC" w:rsidRPr="00B14447">
        <w:rPr>
          <w:rFonts w:ascii="Times New Roman" w:hAnsi="Times New Roman"/>
        </w:rPr>
        <w:t xml:space="preserve">at 11.44pm </w:t>
      </w:r>
      <w:r w:rsidRPr="00B14447">
        <w:rPr>
          <w:rFonts w:ascii="Times New Roman" w:hAnsi="Times New Roman"/>
        </w:rPr>
        <w:t>saying "One further question</w:t>
      </w:r>
      <w:r w:rsidR="003B5747" w:rsidRPr="00B14447">
        <w:rPr>
          <w:rFonts w:ascii="Times New Roman" w:hAnsi="Times New Roman"/>
        </w:rPr>
        <w:t>[</w:t>
      </w:r>
      <w:r w:rsidRPr="00B14447">
        <w:rPr>
          <w:rFonts w:ascii="Times New Roman" w:hAnsi="Times New Roman"/>
        </w:rPr>
        <w:t>.</w:t>
      </w:r>
      <w:r w:rsidR="003B5747" w:rsidRPr="00B14447">
        <w:rPr>
          <w:rFonts w:ascii="Times New Roman" w:hAnsi="Times New Roman"/>
        </w:rPr>
        <w:t>]</w:t>
      </w:r>
      <w:r w:rsidRPr="00B14447">
        <w:rPr>
          <w:rFonts w:ascii="Times New Roman" w:hAnsi="Times New Roman"/>
        </w:rPr>
        <w:t xml:space="preserve"> Is [Dr</w:t>
      </w:r>
      <w:r w:rsidR="00FC3BF6" w:rsidRPr="00B14447">
        <w:rPr>
          <w:rFonts w:ascii="Times New Roman" w:hAnsi="Times New Roman"/>
        </w:rPr>
        <w:t> </w:t>
      </w:r>
      <w:r w:rsidRPr="00B14447">
        <w:rPr>
          <w:rFonts w:ascii="Times New Roman" w:hAnsi="Times New Roman"/>
        </w:rPr>
        <w:t xml:space="preserve">Sherman] in the loop the strategy below (potentially launch end October but latest Mid November)?". </w:t>
      </w:r>
    </w:p>
    <w:p w14:paraId="0CF3D9F2" w14:textId="59C5FF61" w:rsidR="000460D4" w:rsidRPr="00B14447" w:rsidRDefault="000460D4" w:rsidP="00B14447">
      <w:pPr>
        <w:pStyle w:val="FixListStyle"/>
        <w:spacing w:after="260" w:line="280" w:lineRule="exact"/>
        <w:ind w:right="0"/>
        <w:jc w:val="both"/>
        <w:rPr>
          <w:rFonts w:ascii="Times New Roman" w:hAnsi="Times New Roman"/>
        </w:rPr>
      </w:pPr>
      <w:r w:rsidRPr="00B14447">
        <w:rPr>
          <w:rFonts w:ascii="Times New Roman" w:hAnsi="Times New Roman"/>
        </w:rPr>
        <w:tab/>
        <w:t>On 29</w:t>
      </w:r>
      <w:r w:rsidR="00034ED5" w:rsidRPr="00B14447">
        <w:rPr>
          <w:rFonts w:ascii="Times New Roman" w:hAnsi="Times New Roman"/>
        </w:rPr>
        <w:t> </w:t>
      </w:r>
      <w:r w:rsidRPr="00B14447">
        <w:rPr>
          <w:rFonts w:ascii="Times New Roman" w:hAnsi="Times New Roman"/>
        </w:rPr>
        <w:t xml:space="preserve">June 2007, at 5.19am, </w:t>
      </w:r>
      <w:r w:rsidR="004A7F98" w:rsidRPr="00B14447">
        <w:rPr>
          <w:rFonts w:ascii="Times New Roman" w:hAnsi="Times New Roman"/>
        </w:rPr>
        <w:t>J</w:t>
      </w:r>
      <w:r w:rsidR="00E06D93" w:rsidRPr="00B14447">
        <w:rPr>
          <w:rFonts w:ascii="Times New Roman" w:hAnsi="Times New Roman"/>
        </w:rPr>
        <w:t>eremy</w:t>
      </w:r>
      <w:r w:rsidR="004A7F98" w:rsidRPr="00B14447">
        <w:rPr>
          <w:rFonts w:ascii="Times New Roman" w:hAnsi="Times New Roman"/>
        </w:rPr>
        <w:t xml:space="preserve"> Desai </w:t>
      </w:r>
      <w:r w:rsidR="00E06D93" w:rsidRPr="00B14447">
        <w:rPr>
          <w:rFonts w:ascii="Times New Roman" w:hAnsi="Times New Roman"/>
        </w:rPr>
        <w:t xml:space="preserve">(Executive Vice-President of </w:t>
      </w:r>
      <w:r w:rsidR="007C65CA" w:rsidRPr="00B14447">
        <w:rPr>
          <w:rFonts w:ascii="Times New Roman" w:hAnsi="Times New Roman"/>
        </w:rPr>
        <w:t>Research and Development at Apotex Canada)</w:t>
      </w:r>
      <w:r w:rsidR="00E06D93" w:rsidRPr="00B14447">
        <w:rPr>
          <w:rFonts w:ascii="Times New Roman" w:hAnsi="Times New Roman"/>
        </w:rPr>
        <w:t xml:space="preserve"> </w:t>
      </w:r>
      <w:r w:rsidR="004A7F98" w:rsidRPr="00B14447">
        <w:rPr>
          <w:rFonts w:ascii="Times New Roman" w:hAnsi="Times New Roman"/>
        </w:rPr>
        <w:t>sen</w:t>
      </w:r>
      <w:r w:rsidR="00E06D93" w:rsidRPr="00B14447">
        <w:rPr>
          <w:rFonts w:ascii="Times New Roman" w:hAnsi="Times New Roman"/>
        </w:rPr>
        <w:t>t</w:t>
      </w:r>
      <w:r w:rsidR="004A7F98" w:rsidRPr="00B14447">
        <w:rPr>
          <w:rFonts w:ascii="Times New Roman" w:hAnsi="Times New Roman"/>
        </w:rPr>
        <w:t xml:space="preserve"> an email</w:t>
      </w:r>
      <w:r w:rsidR="009D59E6" w:rsidRPr="00B14447">
        <w:rPr>
          <w:rFonts w:ascii="Times New Roman" w:hAnsi="Times New Roman"/>
        </w:rPr>
        <w:t xml:space="preserve"> to some of his colleagues in Apotex Canada clarifying "our position for Australia". The </w:t>
      </w:r>
      <w:r w:rsidR="00EB50F0" w:rsidRPr="00B14447">
        <w:rPr>
          <w:rFonts w:ascii="Times New Roman" w:hAnsi="Times New Roman"/>
        </w:rPr>
        <w:t>email</w:t>
      </w:r>
      <w:r w:rsidR="00DD67DD" w:rsidRPr="00B14447">
        <w:rPr>
          <w:rFonts w:ascii="Times New Roman" w:hAnsi="Times New Roman"/>
        </w:rPr>
        <w:t xml:space="preserve"> stated that</w:t>
      </w:r>
      <w:r w:rsidR="00B14210" w:rsidRPr="00B14447">
        <w:rPr>
          <w:rFonts w:ascii="Times New Roman" w:hAnsi="Times New Roman"/>
        </w:rPr>
        <w:t>:</w:t>
      </w:r>
      <w:r w:rsidR="00DD67DD" w:rsidRPr="00B14447">
        <w:rPr>
          <w:rFonts w:ascii="Times New Roman" w:hAnsi="Times New Roman"/>
        </w:rPr>
        <w:t xml:space="preserve"> Apotex would be notifying Sanofi of it</w:t>
      </w:r>
      <w:r w:rsidR="00B14210" w:rsidRPr="00B14447">
        <w:rPr>
          <w:rFonts w:ascii="Times New Roman" w:hAnsi="Times New Roman"/>
        </w:rPr>
        <w:t>s</w:t>
      </w:r>
      <w:r w:rsidR="00DD67DD" w:rsidRPr="00B14447">
        <w:rPr>
          <w:rFonts w:ascii="Times New Roman" w:hAnsi="Times New Roman"/>
        </w:rPr>
        <w:t xml:space="preserve"> inten</w:t>
      </w:r>
      <w:r w:rsidR="00B14210" w:rsidRPr="00B14447">
        <w:rPr>
          <w:rFonts w:ascii="Times New Roman" w:hAnsi="Times New Roman"/>
        </w:rPr>
        <w:t>tion</w:t>
      </w:r>
      <w:r w:rsidR="00DD67DD" w:rsidRPr="00B14447">
        <w:rPr>
          <w:rFonts w:ascii="Times New Roman" w:hAnsi="Times New Roman"/>
        </w:rPr>
        <w:t xml:space="preserve"> to launch in Australia</w:t>
      </w:r>
      <w:r w:rsidR="00B14210" w:rsidRPr="00B14447">
        <w:rPr>
          <w:rFonts w:ascii="Times New Roman" w:hAnsi="Times New Roman"/>
        </w:rPr>
        <w:t>;</w:t>
      </w:r>
      <w:r w:rsidR="00DD67DD" w:rsidRPr="00B14447">
        <w:rPr>
          <w:rFonts w:ascii="Times New Roman" w:hAnsi="Times New Roman"/>
        </w:rPr>
        <w:t xml:space="preserve"> </w:t>
      </w:r>
      <w:r w:rsidR="00B14210" w:rsidRPr="00B14447">
        <w:rPr>
          <w:rFonts w:ascii="Times New Roman" w:hAnsi="Times New Roman"/>
        </w:rPr>
        <w:t xml:space="preserve">Apotex </w:t>
      </w:r>
      <w:r w:rsidR="00A13BCB" w:rsidRPr="00B14447">
        <w:rPr>
          <w:rFonts w:ascii="Times New Roman" w:hAnsi="Times New Roman"/>
        </w:rPr>
        <w:t>expected Sanofi to sue Apotex</w:t>
      </w:r>
      <w:r w:rsidR="00B14210" w:rsidRPr="00B14447">
        <w:rPr>
          <w:rFonts w:ascii="Times New Roman" w:hAnsi="Times New Roman"/>
        </w:rPr>
        <w:t>;</w:t>
      </w:r>
      <w:r w:rsidR="00A13BCB" w:rsidRPr="00B14447">
        <w:rPr>
          <w:rFonts w:ascii="Times New Roman" w:hAnsi="Times New Roman"/>
        </w:rPr>
        <w:t xml:space="preserve"> Apotex would litigate </w:t>
      </w:r>
      <w:r w:rsidR="00C32D3F" w:rsidRPr="00B14447">
        <w:rPr>
          <w:rFonts w:ascii="Times New Roman" w:hAnsi="Times New Roman"/>
        </w:rPr>
        <w:t xml:space="preserve">Sanofi's </w:t>
      </w:r>
      <w:r w:rsidR="00A13BCB" w:rsidRPr="00B14447">
        <w:rPr>
          <w:rFonts w:ascii="Times New Roman" w:hAnsi="Times New Roman"/>
        </w:rPr>
        <w:t xml:space="preserve">patent in </w:t>
      </w:r>
      <w:r w:rsidR="00A13BCB" w:rsidRPr="00B14447">
        <w:rPr>
          <w:rFonts w:ascii="Times New Roman" w:hAnsi="Times New Roman"/>
        </w:rPr>
        <w:lastRenderedPageBreak/>
        <w:t>court</w:t>
      </w:r>
      <w:r w:rsidR="00B14210" w:rsidRPr="00B14447">
        <w:rPr>
          <w:rFonts w:ascii="Times New Roman" w:hAnsi="Times New Roman"/>
        </w:rPr>
        <w:t>;</w:t>
      </w:r>
      <w:r w:rsidR="00A13BCB" w:rsidRPr="00B14447">
        <w:rPr>
          <w:rFonts w:ascii="Times New Roman" w:hAnsi="Times New Roman"/>
        </w:rPr>
        <w:t xml:space="preserve"> Apotex would not be making any launch stocks</w:t>
      </w:r>
      <w:r w:rsidR="001B4848" w:rsidRPr="00B14447">
        <w:rPr>
          <w:rFonts w:ascii="Times New Roman" w:hAnsi="Times New Roman"/>
        </w:rPr>
        <w:t xml:space="preserve"> even though they expect</w:t>
      </w:r>
      <w:r w:rsidR="00293524" w:rsidRPr="00B14447">
        <w:rPr>
          <w:rFonts w:ascii="Times New Roman" w:hAnsi="Times New Roman"/>
        </w:rPr>
        <w:t>ed</w:t>
      </w:r>
      <w:r w:rsidR="001B4848" w:rsidRPr="00B14447">
        <w:rPr>
          <w:rFonts w:ascii="Times New Roman" w:hAnsi="Times New Roman"/>
        </w:rPr>
        <w:t xml:space="preserve"> approval in the next couple of mont</w:t>
      </w:r>
      <w:r w:rsidR="00E21ADA" w:rsidRPr="00B14447">
        <w:rPr>
          <w:rFonts w:ascii="Times New Roman" w:hAnsi="Times New Roman"/>
        </w:rPr>
        <w:t>hs</w:t>
      </w:r>
      <w:r w:rsidR="00293524" w:rsidRPr="00B14447">
        <w:rPr>
          <w:rFonts w:ascii="Times New Roman" w:hAnsi="Times New Roman"/>
        </w:rPr>
        <w:t>;</w:t>
      </w:r>
      <w:r w:rsidR="00E21ADA" w:rsidRPr="00B14447">
        <w:rPr>
          <w:rFonts w:ascii="Times New Roman" w:hAnsi="Times New Roman"/>
        </w:rPr>
        <w:t xml:space="preserve"> and </w:t>
      </w:r>
      <w:r w:rsidR="00293524" w:rsidRPr="00B14447">
        <w:rPr>
          <w:rFonts w:ascii="Times New Roman" w:hAnsi="Times New Roman"/>
        </w:rPr>
        <w:t xml:space="preserve">Apotex would </w:t>
      </w:r>
      <w:r w:rsidR="00E21ADA" w:rsidRPr="00B14447">
        <w:rPr>
          <w:rFonts w:ascii="Times New Roman" w:hAnsi="Times New Roman"/>
        </w:rPr>
        <w:t xml:space="preserve">file </w:t>
      </w:r>
      <w:r w:rsidR="00293524" w:rsidRPr="00B14447">
        <w:rPr>
          <w:rFonts w:ascii="Times New Roman" w:hAnsi="Times New Roman"/>
        </w:rPr>
        <w:t>"ASAP"</w:t>
      </w:r>
      <w:r w:rsidR="00E21ADA" w:rsidRPr="00B14447">
        <w:rPr>
          <w:rFonts w:ascii="Times New Roman" w:hAnsi="Times New Roman"/>
        </w:rPr>
        <w:t xml:space="preserve">. </w:t>
      </w:r>
    </w:p>
    <w:p w14:paraId="787FE7BD" w14:textId="6F7C8397" w:rsidR="000E4CB6"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8</w:t>
      </w:r>
      <w:r w:rsidR="00960C12" w:rsidRPr="00B14447">
        <w:rPr>
          <w:rFonts w:ascii="Times New Roman" w:hAnsi="Times New Roman"/>
        </w:rPr>
        <w:t> </w:t>
      </w:r>
      <w:r w:rsidRPr="00B14447">
        <w:rPr>
          <w:rFonts w:ascii="Times New Roman" w:hAnsi="Times New Roman"/>
        </w:rPr>
        <w:t xml:space="preserve">August 2007, Mr Kay said in an email to Mr Haas and Dr Sherman that "[w]e are assuming that [Sanofi's application for interlocutory relief] will be successful and are </w:t>
      </w:r>
      <w:r w:rsidR="00C67970" w:rsidRPr="00B14447">
        <w:rPr>
          <w:rFonts w:ascii="Times New Roman" w:hAnsi="Times New Roman"/>
        </w:rPr>
        <w:t xml:space="preserve">thus </w:t>
      </w:r>
      <w:r w:rsidRPr="00B14447">
        <w:rPr>
          <w:rFonts w:ascii="Times New Roman" w:hAnsi="Times New Roman"/>
        </w:rPr>
        <w:t xml:space="preserve">not planning to launch at this stage". Dr Sherman responded to this email, instructing that Sanofi be put on notice as to Apotex's intention to launch the generic clopidogrel products "ASAP". </w:t>
      </w:r>
      <w:r w:rsidR="00D52F6B" w:rsidRPr="00B14447">
        <w:rPr>
          <w:rFonts w:ascii="Times New Roman" w:hAnsi="Times New Roman"/>
        </w:rPr>
        <w:t xml:space="preserve">Mr Kay's response </w:t>
      </w:r>
      <w:r w:rsidR="00441DD0" w:rsidRPr="00B14447">
        <w:rPr>
          <w:rFonts w:ascii="Times New Roman" w:hAnsi="Times New Roman"/>
        </w:rPr>
        <w:t xml:space="preserve">the following day </w:t>
      </w:r>
      <w:r w:rsidR="00D52F6B" w:rsidRPr="00B14447">
        <w:rPr>
          <w:rFonts w:ascii="Times New Roman" w:hAnsi="Times New Roman"/>
        </w:rPr>
        <w:t>is redacted</w:t>
      </w:r>
      <w:r w:rsidR="00C95C19" w:rsidRPr="00B14447">
        <w:rPr>
          <w:rFonts w:ascii="Times New Roman" w:hAnsi="Times New Roman"/>
        </w:rPr>
        <w:t>.</w:t>
      </w:r>
      <w:r w:rsidR="00D52F6B" w:rsidRPr="00B14447">
        <w:rPr>
          <w:rFonts w:ascii="Times New Roman" w:hAnsi="Times New Roman"/>
          <w:b/>
          <w:bCs/>
        </w:rPr>
        <w:t xml:space="preserve"> </w:t>
      </w:r>
      <w:r w:rsidR="00B91EC9" w:rsidRPr="00B14447">
        <w:rPr>
          <w:rFonts w:ascii="Times New Roman" w:hAnsi="Times New Roman"/>
        </w:rPr>
        <w:t>Mr</w:t>
      </w:r>
      <w:r w:rsidR="00C95C19" w:rsidRPr="00B14447">
        <w:rPr>
          <w:rFonts w:ascii="Times New Roman" w:hAnsi="Times New Roman"/>
        </w:rPr>
        <w:t> </w:t>
      </w:r>
      <w:r w:rsidR="00B91EC9" w:rsidRPr="00B14447">
        <w:rPr>
          <w:rFonts w:ascii="Times New Roman" w:hAnsi="Times New Roman"/>
        </w:rPr>
        <w:t>Millichamp's response</w:t>
      </w:r>
      <w:r w:rsidR="00CF0130" w:rsidRPr="00B14447">
        <w:rPr>
          <w:rFonts w:ascii="Times New Roman" w:hAnsi="Times New Roman"/>
        </w:rPr>
        <w:t xml:space="preserve"> to Mr Kay, copying Dr Sherman,</w:t>
      </w:r>
      <w:r w:rsidR="00B91EC9" w:rsidRPr="00B14447">
        <w:rPr>
          <w:rFonts w:ascii="Times New Roman" w:hAnsi="Times New Roman"/>
        </w:rPr>
        <w:t xml:space="preserve"> </w:t>
      </w:r>
      <w:r w:rsidR="009E5A00" w:rsidRPr="00B14447">
        <w:rPr>
          <w:rFonts w:ascii="Times New Roman" w:hAnsi="Times New Roman"/>
        </w:rPr>
        <w:t xml:space="preserve">is also heavily redacted but includes the </w:t>
      </w:r>
      <w:r w:rsidR="00F45317" w:rsidRPr="00B14447">
        <w:rPr>
          <w:rFonts w:ascii="Times New Roman" w:hAnsi="Times New Roman"/>
        </w:rPr>
        <w:t>passage that if Apotex is successful in defending against an injunction "we would like to launch as soon as possible</w:t>
      </w:r>
      <w:r w:rsidR="00847926" w:rsidRPr="00B14447">
        <w:rPr>
          <w:rFonts w:ascii="Times New Roman" w:hAnsi="Times New Roman"/>
        </w:rPr>
        <w:t>. The earliest date that we can get PBS (Government reimbursement) listing is Dec 07".</w:t>
      </w:r>
      <w:r w:rsidR="003A282B" w:rsidRPr="00B14447">
        <w:rPr>
          <w:rFonts w:ascii="Times New Roman" w:hAnsi="Times New Roman"/>
        </w:rPr>
        <w:t xml:space="preserve"> Mr</w:t>
      </w:r>
      <w:r w:rsidR="00B93234" w:rsidRPr="00B14447">
        <w:rPr>
          <w:rFonts w:ascii="Times New Roman" w:hAnsi="Times New Roman"/>
        </w:rPr>
        <w:t> </w:t>
      </w:r>
      <w:r w:rsidR="003A282B" w:rsidRPr="00B14447">
        <w:rPr>
          <w:rFonts w:ascii="Times New Roman" w:hAnsi="Times New Roman"/>
        </w:rPr>
        <w:t>Millichamp said that Apotex Australia had asked Mr</w:t>
      </w:r>
      <w:r w:rsidR="00B93234" w:rsidRPr="00B14447">
        <w:rPr>
          <w:rFonts w:ascii="Times New Roman" w:hAnsi="Times New Roman"/>
        </w:rPr>
        <w:t> </w:t>
      </w:r>
      <w:r w:rsidR="003A282B" w:rsidRPr="00B14447">
        <w:rPr>
          <w:rFonts w:ascii="Times New Roman" w:hAnsi="Times New Roman"/>
        </w:rPr>
        <w:t xml:space="preserve">Haas to prepare </w:t>
      </w:r>
      <w:r w:rsidR="00922BB3" w:rsidRPr="00B14447">
        <w:rPr>
          <w:rFonts w:ascii="Times New Roman" w:hAnsi="Times New Roman"/>
        </w:rPr>
        <w:t xml:space="preserve">a launch plan </w:t>
      </w:r>
      <w:r w:rsidR="008A6608" w:rsidRPr="00B14447">
        <w:rPr>
          <w:rFonts w:ascii="Times New Roman" w:hAnsi="Times New Roman"/>
        </w:rPr>
        <w:t>"</w:t>
      </w:r>
      <w:r w:rsidR="00922BB3" w:rsidRPr="00B14447">
        <w:rPr>
          <w:rFonts w:ascii="Times New Roman" w:hAnsi="Times New Roman"/>
        </w:rPr>
        <w:t>so that in the event we are successful we can launch as soon as possible"</w:t>
      </w:r>
      <w:r w:rsidR="003A282B" w:rsidRPr="00B14447">
        <w:rPr>
          <w:rFonts w:ascii="Times New Roman" w:hAnsi="Times New Roman"/>
        </w:rPr>
        <w:t xml:space="preserve">. </w:t>
      </w:r>
      <w:r w:rsidR="007E7EB0" w:rsidRPr="00B14447">
        <w:rPr>
          <w:rFonts w:ascii="Times New Roman" w:hAnsi="Times New Roman"/>
        </w:rPr>
        <w:t xml:space="preserve">Plainly, without the context of the </w:t>
      </w:r>
      <w:r w:rsidR="00000617" w:rsidRPr="00B14447">
        <w:rPr>
          <w:rFonts w:ascii="Times New Roman" w:hAnsi="Times New Roman"/>
        </w:rPr>
        <w:t>heavily redacted email it is impossible to assess the extent to which Mr</w:t>
      </w:r>
      <w:r w:rsidR="00044488" w:rsidRPr="00B14447">
        <w:rPr>
          <w:rFonts w:ascii="Times New Roman" w:hAnsi="Times New Roman"/>
        </w:rPr>
        <w:t> </w:t>
      </w:r>
      <w:r w:rsidR="00000617" w:rsidRPr="00B14447">
        <w:rPr>
          <w:rFonts w:ascii="Times New Roman" w:hAnsi="Times New Roman"/>
        </w:rPr>
        <w:t xml:space="preserve">Millichamp was suggesting an unconditional commitment. </w:t>
      </w:r>
      <w:r w:rsidR="00E150C3" w:rsidRPr="00B14447">
        <w:rPr>
          <w:rFonts w:ascii="Times New Roman" w:hAnsi="Times New Roman"/>
        </w:rPr>
        <w:t>Mr</w:t>
      </w:r>
      <w:r w:rsidR="00B93234" w:rsidRPr="00B14447">
        <w:rPr>
          <w:rFonts w:ascii="Times New Roman" w:hAnsi="Times New Roman"/>
        </w:rPr>
        <w:t> </w:t>
      </w:r>
      <w:r w:rsidR="00E150C3" w:rsidRPr="00B14447">
        <w:rPr>
          <w:rFonts w:ascii="Times New Roman" w:hAnsi="Times New Roman"/>
        </w:rPr>
        <w:t>Caccamo</w:t>
      </w:r>
      <w:r w:rsidR="00B93234" w:rsidRPr="00B14447">
        <w:rPr>
          <w:rFonts w:ascii="Times New Roman" w:hAnsi="Times New Roman"/>
        </w:rPr>
        <w:t xml:space="preserve"> (</w:t>
      </w:r>
      <w:r w:rsidR="00CC26E8" w:rsidRPr="00B14447">
        <w:rPr>
          <w:rFonts w:ascii="Times New Roman" w:hAnsi="Times New Roman"/>
        </w:rPr>
        <w:t>Director, Global Demand Planning at Apotex Canada)</w:t>
      </w:r>
      <w:r w:rsidR="00E150C3" w:rsidRPr="00B14447">
        <w:rPr>
          <w:rFonts w:ascii="Times New Roman" w:hAnsi="Times New Roman"/>
        </w:rPr>
        <w:t xml:space="preserve"> replied</w:t>
      </w:r>
      <w:r w:rsidR="007E7EB0" w:rsidRPr="00B14447">
        <w:rPr>
          <w:rFonts w:ascii="Times New Roman" w:hAnsi="Times New Roman"/>
        </w:rPr>
        <w:t xml:space="preserve"> to the heavily redacted email from </w:t>
      </w:r>
      <w:r w:rsidR="00AB4257" w:rsidRPr="00B14447">
        <w:rPr>
          <w:rFonts w:ascii="Times New Roman" w:hAnsi="Times New Roman"/>
        </w:rPr>
        <w:t>Mr </w:t>
      </w:r>
      <w:r w:rsidR="007E7EB0" w:rsidRPr="00B14447">
        <w:rPr>
          <w:rFonts w:ascii="Times New Roman" w:hAnsi="Times New Roman"/>
        </w:rPr>
        <w:t>Millichamp</w:t>
      </w:r>
      <w:r w:rsidR="00E150C3" w:rsidRPr="00B14447">
        <w:rPr>
          <w:rFonts w:ascii="Times New Roman" w:hAnsi="Times New Roman"/>
        </w:rPr>
        <w:t>, saying that launch plans had been aligned accordingly</w:t>
      </w:r>
      <w:r w:rsidR="00CD32BE" w:rsidRPr="00B14447">
        <w:rPr>
          <w:rFonts w:ascii="Times New Roman" w:hAnsi="Times New Roman"/>
        </w:rPr>
        <w:t xml:space="preserve">. </w:t>
      </w:r>
      <w:r w:rsidR="00990801" w:rsidRPr="00B14447">
        <w:rPr>
          <w:rFonts w:ascii="Times New Roman" w:hAnsi="Times New Roman"/>
        </w:rPr>
        <w:t>Mr</w:t>
      </w:r>
      <w:r w:rsidR="00AB4257" w:rsidRPr="00B14447">
        <w:rPr>
          <w:rFonts w:ascii="Times New Roman" w:hAnsi="Times New Roman"/>
        </w:rPr>
        <w:t> </w:t>
      </w:r>
      <w:r w:rsidR="00990801" w:rsidRPr="00B14447">
        <w:rPr>
          <w:rFonts w:ascii="Times New Roman" w:hAnsi="Times New Roman"/>
        </w:rPr>
        <w:t xml:space="preserve">Kay </w:t>
      </w:r>
      <w:r w:rsidR="00000617" w:rsidRPr="00B14447">
        <w:rPr>
          <w:rFonts w:ascii="Times New Roman" w:hAnsi="Times New Roman"/>
        </w:rPr>
        <w:t>also replied to the heavily redacted email</w:t>
      </w:r>
      <w:r w:rsidR="00782008" w:rsidRPr="00B14447">
        <w:rPr>
          <w:rFonts w:ascii="Times New Roman" w:hAnsi="Times New Roman"/>
        </w:rPr>
        <w:t>,</w:t>
      </w:r>
      <w:r w:rsidR="00E47922" w:rsidRPr="00B14447">
        <w:rPr>
          <w:rFonts w:ascii="Times New Roman" w:hAnsi="Times New Roman"/>
        </w:rPr>
        <w:t xml:space="preserve"> copying Dr Sherman,</w:t>
      </w:r>
      <w:r w:rsidR="00000617" w:rsidRPr="00B14447">
        <w:rPr>
          <w:rFonts w:ascii="Times New Roman" w:hAnsi="Times New Roman"/>
        </w:rPr>
        <w:t xml:space="preserve"> </w:t>
      </w:r>
      <w:r w:rsidR="00782008" w:rsidRPr="00B14447">
        <w:rPr>
          <w:rFonts w:ascii="Times New Roman" w:hAnsi="Times New Roman"/>
        </w:rPr>
        <w:t>saying</w:t>
      </w:r>
      <w:r w:rsidR="00990801" w:rsidRPr="00B14447">
        <w:rPr>
          <w:rFonts w:ascii="Times New Roman" w:hAnsi="Times New Roman"/>
        </w:rPr>
        <w:t xml:space="preserve"> "</w:t>
      </w:r>
      <w:r w:rsidR="00731DC7" w:rsidRPr="00B14447">
        <w:rPr>
          <w:rFonts w:ascii="Times New Roman" w:hAnsi="Times New Roman"/>
        </w:rPr>
        <w:t>[t]</w:t>
      </w:r>
      <w:r w:rsidR="00E403F5" w:rsidRPr="00B14447">
        <w:rPr>
          <w:rFonts w:ascii="Times New Roman" w:hAnsi="Times New Roman"/>
        </w:rPr>
        <w:t>hanks for the comprehensive update</w:t>
      </w:r>
      <w:r w:rsidR="00731DC7" w:rsidRPr="00B14447">
        <w:rPr>
          <w:rFonts w:ascii="Times New Roman" w:hAnsi="Times New Roman"/>
        </w:rPr>
        <w:t>[</w:t>
      </w:r>
      <w:r w:rsidR="00E403F5" w:rsidRPr="00B14447">
        <w:rPr>
          <w:rFonts w:ascii="Times New Roman" w:hAnsi="Times New Roman"/>
        </w:rPr>
        <w:t>.</w:t>
      </w:r>
      <w:r w:rsidR="00731DC7" w:rsidRPr="00B14447">
        <w:rPr>
          <w:rFonts w:ascii="Times New Roman" w:hAnsi="Times New Roman"/>
        </w:rPr>
        <w:t>]</w:t>
      </w:r>
      <w:r w:rsidR="00E403F5" w:rsidRPr="00B14447">
        <w:rPr>
          <w:rFonts w:ascii="Times New Roman" w:hAnsi="Times New Roman"/>
        </w:rPr>
        <w:t xml:space="preserve"> </w:t>
      </w:r>
      <w:r w:rsidR="00990801" w:rsidRPr="00B14447">
        <w:rPr>
          <w:rFonts w:ascii="Times New Roman" w:hAnsi="Times New Roman"/>
        </w:rPr>
        <w:t>OK by me"</w:t>
      </w:r>
      <w:r w:rsidR="00D5763B" w:rsidRPr="00B14447">
        <w:rPr>
          <w:rFonts w:ascii="Times New Roman" w:hAnsi="Times New Roman"/>
        </w:rPr>
        <w:t xml:space="preserve">, as did Mr Haas, who </w:t>
      </w:r>
      <w:r w:rsidR="002B2FE6" w:rsidRPr="00B14447">
        <w:rPr>
          <w:rFonts w:ascii="Times New Roman" w:hAnsi="Times New Roman"/>
        </w:rPr>
        <w:t>thanked Mr Millichamp</w:t>
      </w:r>
      <w:r w:rsidR="00D5763B" w:rsidRPr="00B14447">
        <w:rPr>
          <w:rFonts w:ascii="Times New Roman" w:hAnsi="Times New Roman"/>
        </w:rPr>
        <w:t xml:space="preserve"> </w:t>
      </w:r>
      <w:r w:rsidR="002B2FE6" w:rsidRPr="00B14447">
        <w:rPr>
          <w:rFonts w:ascii="Times New Roman" w:hAnsi="Times New Roman"/>
        </w:rPr>
        <w:t>"</w:t>
      </w:r>
      <w:r w:rsidR="00D5763B" w:rsidRPr="00B14447">
        <w:rPr>
          <w:rFonts w:ascii="Times New Roman" w:hAnsi="Times New Roman"/>
        </w:rPr>
        <w:t>for providing further clarity"</w:t>
      </w:r>
      <w:r w:rsidR="00E47922" w:rsidRPr="00B14447">
        <w:rPr>
          <w:rFonts w:ascii="Times New Roman" w:hAnsi="Times New Roman"/>
        </w:rPr>
        <w:t>.</w:t>
      </w:r>
      <w:r w:rsidR="00E47922" w:rsidRPr="00B14447">
        <w:rPr>
          <w:rFonts w:ascii="Times New Roman" w:hAnsi="Times New Roman"/>
          <w:b/>
          <w:bCs/>
        </w:rPr>
        <w:t xml:space="preserve"> </w:t>
      </w:r>
      <w:r w:rsidR="00E47922" w:rsidRPr="00B14447">
        <w:rPr>
          <w:rFonts w:ascii="Times New Roman" w:hAnsi="Times New Roman"/>
        </w:rPr>
        <w:t xml:space="preserve">Mr Kay also sent </w:t>
      </w:r>
      <w:r w:rsidR="003D3839" w:rsidRPr="00B14447">
        <w:rPr>
          <w:rFonts w:ascii="Times New Roman" w:hAnsi="Times New Roman"/>
        </w:rPr>
        <w:t>another</w:t>
      </w:r>
      <w:r w:rsidR="00E47922" w:rsidRPr="00B14447">
        <w:rPr>
          <w:rFonts w:ascii="Times New Roman" w:hAnsi="Times New Roman"/>
        </w:rPr>
        <w:t xml:space="preserve"> reply</w:t>
      </w:r>
      <w:r w:rsidR="00782008" w:rsidRPr="00B14447">
        <w:rPr>
          <w:rFonts w:ascii="Times New Roman" w:hAnsi="Times New Roman"/>
        </w:rPr>
        <w:t xml:space="preserve"> to Mr Millichamp</w:t>
      </w:r>
      <w:r w:rsidR="00213EBA" w:rsidRPr="00B14447">
        <w:rPr>
          <w:rFonts w:ascii="Times New Roman" w:hAnsi="Times New Roman"/>
        </w:rPr>
        <w:t>'s heavily redacted email, address</w:t>
      </w:r>
      <w:r w:rsidR="008B1425" w:rsidRPr="00B14447">
        <w:rPr>
          <w:rFonts w:ascii="Times New Roman" w:hAnsi="Times New Roman"/>
        </w:rPr>
        <w:t>ed</w:t>
      </w:r>
      <w:r w:rsidR="00213EBA" w:rsidRPr="00B14447">
        <w:rPr>
          <w:rFonts w:ascii="Times New Roman" w:hAnsi="Times New Roman"/>
        </w:rPr>
        <w:t xml:space="preserve"> to Mr Millichamp</w:t>
      </w:r>
      <w:r w:rsidR="00782008" w:rsidRPr="00B14447">
        <w:rPr>
          <w:rFonts w:ascii="Times New Roman" w:hAnsi="Times New Roman"/>
        </w:rPr>
        <w:t xml:space="preserve"> only, </w:t>
      </w:r>
      <w:r w:rsidR="008B1425" w:rsidRPr="00B14447">
        <w:rPr>
          <w:rFonts w:ascii="Times New Roman" w:hAnsi="Times New Roman"/>
        </w:rPr>
        <w:t>saying "[t]his looks fine"</w:t>
      </w:r>
      <w:r w:rsidR="007E7EB0" w:rsidRPr="00B14447">
        <w:rPr>
          <w:rFonts w:ascii="Times New Roman" w:hAnsi="Times New Roman"/>
        </w:rPr>
        <w:t xml:space="preserve">. </w:t>
      </w:r>
    </w:p>
    <w:p w14:paraId="57A561A4" w14:textId="43116FC4" w:rsidR="008E491A" w:rsidRPr="00B14447" w:rsidRDefault="000E4CB6" w:rsidP="00B14447">
      <w:pPr>
        <w:pStyle w:val="FixListStyle"/>
        <w:spacing w:after="260" w:line="280" w:lineRule="exact"/>
        <w:ind w:right="0"/>
        <w:jc w:val="both"/>
        <w:rPr>
          <w:rFonts w:ascii="Times New Roman" w:hAnsi="Times New Roman"/>
        </w:rPr>
      </w:pPr>
      <w:r w:rsidRPr="00B14447">
        <w:rPr>
          <w:rFonts w:ascii="Times New Roman" w:hAnsi="Times New Roman"/>
          <w:b/>
          <w:bCs/>
        </w:rPr>
        <w:tab/>
      </w:r>
      <w:r w:rsidR="008E491A" w:rsidRPr="00B14447">
        <w:rPr>
          <w:rFonts w:ascii="Times New Roman" w:hAnsi="Times New Roman"/>
        </w:rPr>
        <w:t>Subsequently, Apotex took steps towards having its products listed on the PBS, to commence proceedings against Sanofi seeking to invalidate their patent, and to advertise to the market that they were taking steps to launch a generic clopidogrel product.</w:t>
      </w:r>
    </w:p>
    <w:p w14:paraId="7E9FB248" w14:textId="626FE04E"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17</w:t>
      </w:r>
      <w:r w:rsidR="00E25FA0" w:rsidRPr="00B14447">
        <w:rPr>
          <w:rFonts w:ascii="Times New Roman" w:hAnsi="Times New Roman"/>
        </w:rPr>
        <w:t> </w:t>
      </w:r>
      <w:r w:rsidRPr="00B14447">
        <w:rPr>
          <w:rFonts w:ascii="Times New Roman" w:hAnsi="Times New Roman"/>
        </w:rPr>
        <w:t xml:space="preserve">August 2007, Mr Millichamp provided a letter to the sales team at Apotex Australia, suggesting it should be circulated to customers, which contained the following information: </w:t>
      </w:r>
      <w:r w:rsidR="00B0684D" w:rsidRPr="00B14447">
        <w:rPr>
          <w:rFonts w:ascii="Times New Roman" w:hAnsi="Times New Roman"/>
        </w:rPr>
        <w:t xml:space="preserve">that </w:t>
      </w:r>
      <w:r w:rsidRPr="00B14447">
        <w:rPr>
          <w:rFonts w:ascii="Times New Roman" w:hAnsi="Times New Roman"/>
        </w:rPr>
        <w:t>Apotex intended to launch its clopidogrel product</w:t>
      </w:r>
      <w:r w:rsidR="006832CC" w:rsidRPr="00B14447">
        <w:rPr>
          <w:rFonts w:ascii="Times New Roman" w:hAnsi="Times New Roman"/>
        </w:rPr>
        <w:t xml:space="preserve"> in Australia</w:t>
      </w:r>
      <w:r w:rsidRPr="00B14447">
        <w:rPr>
          <w:rFonts w:ascii="Times New Roman" w:hAnsi="Times New Roman"/>
        </w:rPr>
        <w:t xml:space="preserve">; </w:t>
      </w:r>
      <w:r w:rsidR="00B0684D" w:rsidRPr="00B14447">
        <w:rPr>
          <w:rFonts w:ascii="Times New Roman" w:hAnsi="Times New Roman"/>
        </w:rPr>
        <w:t xml:space="preserve">that </w:t>
      </w:r>
      <w:r w:rsidRPr="00B14447">
        <w:rPr>
          <w:rFonts w:ascii="Times New Roman" w:hAnsi="Times New Roman"/>
        </w:rPr>
        <w:t>Apotex had commenced legal proceedings to invalidate Sanofi's patent</w:t>
      </w:r>
      <w:r w:rsidR="00B0684D" w:rsidRPr="00B14447">
        <w:rPr>
          <w:rFonts w:ascii="Times New Roman" w:hAnsi="Times New Roman"/>
        </w:rPr>
        <w:t>;</w:t>
      </w:r>
      <w:r w:rsidRPr="00B14447">
        <w:rPr>
          <w:rFonts w:ascii="Times New Roman" w:hAnsi="Times New Roman"/>
        </w:rPr>
        <w:t xml:space="preserve"> </w:t>
      </w:r>
      <w:r w:rsidR="00B0684D" w:rsidRPr="00B14447">
        <w:rPr>
          <w:rFonts w:ascii="Times New Roman" w:hAnsi="Times New Roman"/>
        </w:rPr>
        <w:t xml:space="preserve">that </w:t>
      </w:r>
      <w:r w:rsidRPr="00B14447">
        <w:rPr>
          <w:rFonts w:ascii="Times New Roman" w:hAnsi="Times New Roman"/>
        </w:rPr>
        <w:t xml:space="preserve">Apotex expected that Sanofi </w:t>
      </w:r>
      <w:r w:rsidR="006832CC" w:rsidRPr="00B14447">
        <w:rPr>
          <w:rFonts w:ascii="Times New Roman" w:hAnsi="Times New Roman"/>
        </w:rPr>
        <w:t xml:space="preserve">may </w:t>
      </w:r>
      <w:r w:rsidRPr="00B14447">
        <w:rPr>
          <w:rFonts w:ascii="Times New Roman" w:hAnsi="Times New Roman"/>
        </w:rPr>
        <w:t>apply for interlocutory relief</w:t>
      </w:r>
      <w:r w:rsidR="00B0684D" w:rsidRPr="00B14447">
        <w:rPr>
          <w:rFonts w:ascii="Times New Roman" w:hAnsi="Times New Roman"/>
        </w:rPr>
        <w:t xml:space="preserve"> to prevent the launch;</w:t>
      </w:r>
      <w:r w:rsidRPr="00B14447">
        <w:rPr>
          <w:rFonts w:ascii="Times New Roman" w:hAnsi="Times New Roman"/>
        </w:rPr>
        <w:t xml:space="preserve"> and that a trial concerning any final relief (</w:t>
      </w:r>
      <w:r w:rsidR="00313AAC" w:rsidRPr="00B14447">
        <w:rPr>
          <w:rFonts w:ascii="Times New Roman" w:hAnsi="Times New Roman"/>
        </w:rPr>
        <w:t>in respect of</w:t>
      </w:r>
      <w:r w:rsidRPr="00B14447">
        <w:rPr>
          <w:rFonts w:ascii="Times New Roman" w:hAnsi="Times New Roman"/>
        </w:rPr>
        <w:t xml:space="preserve"> the validity of the patent) would occur within 12-18 months of the date of letter.</w:t>
      </w:r>
      <w:r w:rsidR="00A22047" w:rsidRPr="00B14447">
        <w:rPr>
          <w:rFonts w:ascii="Times New Roman" w:hAnsi="Times New Roman"/>
        </w:rPr>
        <w:t xml:space="preserve"> </w:t>
      </w:r>
    </w:p>
    <w:p w14:paraId="4F876EF7" w14:textId="03163AAC" w:rsidR="008E491A" w:rsidRPr="00B14447" w:rsidRDefault="00EF1137" w:rsidP="00B14447">
      <w:pPr>
        <w:pStyle w:val="HeadingL2"/>
        <w:spacing w:after="260" w:line="280" w:lineRule="exact"/>
        <w:ind w:right="0"/>
        <w:jc w:val="both"/>
        <w:rPr>
          <w:rFonts w:ascii="Times New Roman" w:hAnsi="Times New Roman"/>
        </w:rPr>
      </w:pPr>
      <w:r w:rsidRPr="00B14447">
        <w:rPr>
          <w:rFonts w:ascii="Times New Roman" w:hAnsi="Times New Roman"/>
        </w:rPr>
        <w:t>(3)</w:t>
      </w:r>
      <w:r w:rsidR="006957C7" w:rsidRPr="00B14447">
        <w:rPr>
          <w:rFonts w:ascii="Times New Roman" w:hAnsi="Times New Roman"/>
        </w:rPr>
        <w:tab/>
      </w:r>
      <w:r w:rsidR="008E491A" w:rsidRPr="00B14447">
        <w:rPr>
          <w:rFonts w:ascii="Times New Roman" w:hAnsi="Times New Roman"/>
        </w:rPr>
        <w:t>Two unexpected events in September 2007</w:t>
      </w:r>
    </w:p>
    <w:p w14:paraId="19B8C87C" w14:textId="78FCF8E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Two important</w:t>
      </w:r>
      <w:r w:rsidR="005F28AB" w:rsidRPr="00B14447">
        <w:rPr>
          <w:rFonts w:ascii="Times New Roman" w:hAnsi="Times New Roman"/>
        </w:rPr>
        <w:t>,</w:t>
      </w:r>
      <w:r w:rsidRPr="00B14447">
        <w:rPr>
          <w:rFonts w:ascii="Times New Roman" w:hAnsi="Times New Roman"/>
        </w:rPr>
        <w:t xml:space="preserve"> but unexpected, events occurred in September 2007. The first occurred on 4</w:t>
      </w:r>
      <w:r w:rsidR="00AD7893" w:rsidRPr="00B14447">
        <w:rPr>
          <w:rFonts w:ascii="Times New Roman" w:hAnsi="Times New Roman"/>
        </w:rPr>
        <w:t> </w:t>
      </w:r>
      <w:r w:rsidRPr="00B14447">
        <w:rPr>
          <w:rFonts w:ascii="Times New Roman" w:hAnsi="Times New Roman"/>
        </w:rPr>
        <w:t>September 2007. The second was held to have occurred on 21</w:t>
      </w:r>
      <w:r w:rsidR="00AD7893" w:rsidRPr="00B14447">
        <w:rPr>
          <w:rFonts w:ascii="Times New Roman" w:hAnsi="Times New Roman"/>
        </w:rPr>
        <w:t> </w:t>
      </w:r>
      <w:r w:rsidRPr="00B14447">
        <w:rPr>
          <w:rFonts w:ascii="Times New Roman" w:hAnsi="Times New Roman"/>
        </w:rPr>
        <w:t xml:space="preserve">September 2007. </w:t>
      </w:r>
      <w:r w:rsidR="00A6435B" w:rsidRPr="00B14447">
        <w:rPr>
          <w:rFonts w:ascii="Times New Roman" w:hAnsi="Times New Roman"/>
        </w:rPr>
        <w:t xml:space="preserve">By itself, the first event was effectively meaningless to the counter-factual in this case. </w:t>
      </w:r>
      <w:r w:rsidR="00867FE2" w:rsidRPr="00B14447">
        <w:rPr>
          <w:rFonts w:ascii="Times New Roman" w:hAnsi="Times New Roman"/>
        </w:rPr>
        <w:t>But w</w:t>
      </w:r>
      <w:r w:rsidR="00A6435B" w:rsidRPr="00B14447">
        <w:rPr>
          <w:rFonts w:ascii="Times New Roman" w:hAnsi="Times New Roman"/>
        </w:rPr>
        <w:t xml:space="preserve">hen combined with the second event </w:t>
      </w:r>
      <w:r w:rsidR="00867FE2" w:rsidRPr="00B14447">
        <w:rPr>
          <w:rFonts w:ascii="Times New Roman" w:hAnsi="Times New Roman"/>
        </w:rPr>
        <w:t xml:space="preserve">it </w:t>
      </w:r>
      <w:r w:rsidRPr="00B14447">
        <w:rPr>
          <w:rFonts w:ascii="Times New Roman" w:hAnsi="Times New Roman"/>
        </w:rPr>
        <w:t xml:space="preserve">had </w:t>
      </w:r>
      <w:r w:rsidRPr="00B14447">
        <w:rPr>
          <w:rFonts w:ascii="Times New Roman" w:hAnsi="Times New Roman"/>
        </w:rPr>
        <w:lastRenderedPageBreak/>
        <w:t xml:space="preserve">significant potential to change any calculus concerning whether Apotex would launch at risk. </w:t>
      </w:r>
    </w:p>
    <w:p w14:paraId="714E5249" w14:textId="52E3792F" w:rsidR="005A7B68"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first unexpected event was that Apotex inadvertently missed the 1</w:t>
      </w:r>
      <w:r w:rsidR="00AD7893" w:rsidRPr="00B14447">
        <w:rPr>
          <w:rFonts w:ascii="Times New Roman" w:hAnsi="Times New Roman"/>
        </w:rPr>
        <w:t> </w:t>
      </w:r>
      <w:r w:rsidRPr="00B14447">
        <w:rPr>
          <w:rFonts w:ascii="Times New Roman" w:hAnsi="Times New Roman"/>
        </w:rPr>
        <w:t>September 2007 deadline for applications for PBS listing by 1</w:t>
      </w:r>
      <w:r w:rsidR="00AD7893" w:rsidRPr="00B14447">
        <w:rPr>
          <w:rFonts w:ascii="Times New Roman" w:hAnsi="Times New Roman"/>
        </w:rPr>
        <w:t> </w:t>
      </w:r>
      <w:r w:rsidRPr="00B14447">
        <w:rPr>
          <w:rFonts w:ascii="Times New Roman" w:hAnsi="Times New Roman"/>
        </w:rPr>
        <w:t>December 2007. Apotex's application was unintentionally submitted late, and subsequently withdrawn on 4</w:t>
      </w:r>
      <w:r w:rsidR="00AD7893" w:rsidRPr="00B14447">
        <w:rPr>
          <w:rFonts w:ascii="Times New Roman" w:hAnsi="Times New Roman"/>
        </w:rPr>
        <w:t> </w:t>
      </w:r>
      <w:r w:rsidRPr="00B14447">
        <w:rPr>
          <w:rFonts w:ascii="Times New Roman" w:hAnsi="Times New Roman"/>
        </w:rPr>
        <w:t>September 2007</w:t>
      </w:r>
      <w:r w:rsidR="005F28AB" w:rsidRPr="00B14447">
        <w:rPr>
          <w:rFonts w:ascii="Times New Roman" w:hAnsi="Times New Roman"/>
        </w:rPr>
        <w:t xml:space="preserve"> after being advised </w:t>
      </w:r>
      <w:r w:rsidR="00E205E8" w:rsidRPr="00B14447">
        <w:rPr>
          <w:rFonts w:ascii="Times New Roman" w:hAnsi="Times New Roman"/>
        </w:rPr>
        <w:t xml:space="preserve">by the Department of Health and Aged Care </w:t>
      </w:r>
      <w:r w:rsidR="00944966" w:rsidRPr="00B14447">
        <w:rPr>
          <w:rFonts w:ascii="Times New Roman" w:hAnsi="Times New Roman"/>
        </w:rPr>
        <w:t>that</w:t>
      </w:r>
      <w:r w:rsidR="00E205E8" w:rsidRPr="00B14447">
        <w:rPr>
          <w:rFonts w:ascii="Times New Roman" w:hAnsi="Times New Roman"/>
        </w:rPr>
        <w:t xml:space="preserve"> </w:t>
      </w:r>
      <w:r w:rsidR="00DB0045" w:rsidRPr="00B14447">
        <w:rPr>
          <w:rFonts w:ascii="Times New Roman" w:hAnsi="Times New Roman"/>
        </w:rPr>
        <w:t xml:space="preserve">day that </w:t>
      </w:r>
      <w:r w:rsidR="00E205E8" w:rsidRPr="00B14447">
        <w:rPr>
          <w:rFonts w:ascii="Times New Roman" w:hAnsi="Times New Roman"/>
        </w:rPr>
        <w:t>the late submission</w:t>
      </w:r>
      <w:r w:rsidR="00351792" w:rsidRPr="00B14447">
        <w:rPr>
          <w:rFonts w:ascii="Times New Roman" w:hAnsi="Times New Roman"/>
        </w:rPr>
        <w:t xml:space="preserve"> </w:t>
      </w:r>
      <w:r w:rsidR="00944966" w:rsidRPr="00B14447">
        <w:rPr>
          <w:rFonts w:ascii="Times New Roman" w:hAnsi="Times New Roman"/>
        </w:rPr>
        <w:t>would not be accepted</w:t>
      </w:r>
      <w:r w:rsidRPr="00B14447">
        <w:rPr>
          <w:rFonts w:ascii="Times New Roman" w:hAnsi="Times New Roman"/>
        </w:rPr>
        <w:t xml:space="preserve">. As such, at the time of the hearing of the interlocutory injunction, the earliest available PBS listing for Apotex's </w:t>
      </w:r>
      <w:r w:rsidR="00DB0045" w:rsidRPr="00B14447">
        <w:rPr>
          <w:rFonts w:ascii="Times New Roman" w:hAnsi="Times New Roman"/>
        </w:rPr>
        <w:t xml:space="preserve">clopidogrel </w:t>
      </w:r>
      <w:r w:rsidRPr="00B14447">
        <w:rPr>
          <w:rFonts w:ascii="Times New Roman" w:hAnsi="Times New Roman"/>
        </w:rPr>
        <w:t>products was 1</w:t>
      </w:r>
      <w:r w:rsidR="003B442D" w:rsidRPr="00B14447">
        <w:rPr>
          <w:rFonts w:ascii="Times New Roman" w:hAnsi="Times New Roman"/>
        </w:rPr>
        <w:t> </w:t>
      </w:r>
      <w:r w:rsidRPr="00B14447">
        <w:rPr>
          <w:rFonts w:ascii="Times New Roman" w:hAnsi="Times New Roman"/>
        </w:rPr>
        <w:t>April 2008, with the deadline for applications falling on 1</w:t>
      </w:r>
      <w:r w:rsidR="003B442D" w:rsidRPr="00B14447">
        <w:rPr>
          <w:rFonts w:ascii="Times New Roman" w:hAnsi="Times New Roman"/>
        </w:rPr>
        <w:t> </w:t>
      </w:r>
      <w:r w:rsidRPr="00B14447">
        <w:rPr>
          <w:rFonts w:ascii="Times New Roman" w:hAnsi="Times New Roman"/>
        </w:rPr>
        <w:t>December 2007. Mr Millichamp advised Mr Kay of the failure to submit the application on time on 4</w:t>
      </w:r>
      <w:r w:rsidR="009050DA" w:rsidRPr="00B14447">
        <w:rPr>
          <w:rFonts w:ascii="Times New Roman" w:hAnsi="Times New Roman"/>
        </w:rPr>
        <w:t> </w:t>
      </w:r>
      <w:r w:rsidRPr="00B14447">
        <w:rPr>
          <w:rFonts w:ascii="Times New Roman" w:hAnsi="Times New Roman"/>
        </w:rPr>
        <w:t xml:space="preserve">September 2007. But that email was not copied to Dr Sherman. </w:t>
      </w:r>
      <w:r w:rsidR="005A7B68" w:rsidRPr="00B14447">
        <w:rPr>
          <w:rFonts w:ascii="Times New Roman" w:hAnsi="Times New Roman"/>
        </w:rPr>
        <w:t>On 5</w:t>
      </w:r>
      <w:r w:rsidR="00BA758D" w:rsidRPr="00B14447">
        <w:rPr>
          <w:rFonts w:ascii="Times New Roman" w:hAnsi="Times New Roman"/>
        </w:rPr>
        <w:t> </w:t>
      </w:r>
      <w:r w:rsidR="005A7B68" w:rsidRPr="00B14447">
        <w:rPr>
          <w:rFonts w:ascii="Times New Roman" w:hAnsi="Times New Roman"/>
        </w:rPr>
        <w:t>September 2007, Mr</w:t>
      </w:r>
      <w:r w:rsidR="00DB0045" w:rsidRPr="00B14447">
        <w:rPr>
          <w:rFonts w:ascii="Times New Roman" w:hAnsi="Times New Roman"/>
        </w:rPr>
        <w:t> </w:t>
      </w:r>
      <w:r w:rsidR="005A7B68" w:rsidRPr="00B14447">
        <w:rPr>
          <w:rFonts w:ascii="Times New Roman" w:hAnsi="Times New Roman"/>
        </w:rPr>
        <w:t>Ha</w:t>
      </w:r>
      <w:r w:rsidR="00FB3AA3" w:rsidRPr="00B14447">
        <w:rPr>
          <w:rFonts w:ascii="Times New Roman" w:hAnsi="Times New Roman"/>
        </w:rPr>
        <w:t>a</w:t>
      </w:r>
      <w:r w:rsidR="005A7B68" w:rsidRPr="00B14447">
        <w:rPr>
          <w:rFonts w:ascii="Times New Roman" w:hAnsi="Times New Roman"/>
        </w:rPr>
        <w:t>s resp</w:t>
      </w:r>
      <w:r w:rsidR="00B412F8" w:rsidRPr="00B14447">
        <w:rPr>
          <w:rFonts w:ascii="Times New Roman" w:hAnsi="Times New Roman"/>
        </w:rPr>
        <w:t>ond</w:t>
      </w:r>
      <w:r w:rsidR="00DB0045" w:rsidRPr="00B14447">
        <w:rPr>
          <w:rFonts w:ascii="Times New Roman" w:hAnsi="Times New Roman"/>
        </w:rPr>
        <w:t>ed</w:t>
      </w:r>
      <w:r w:rsidR="00B412F8" w:rsidRPr="00B14447">
        <w:rPr>
          <w:rFonts w:ascii="Times New Roman" w:hAnsi="Times New Roman"/>
        </w:rPr>
        <w:t xml:space="preserve"> </w:t>
      </w:r>
      <w:r w:rsidR="00DC4E60" w:rsidRPr="00B14447">
        <w:rPr>
          <w:rFonts w:ascii="Times New Roman" w:hAnsi="Times New Roman"/>
        </w:rPr>
        <w:t>to Mr Millichamp's email to Mr</w:t>
      </w:r>
      <w:r w:rsidR="00DB0045" w:rsidRPr="00B14447">
        <w:rPr>
          <w:rFonts w:ascii="Times New Roman" w:hAnsi="Times New Roman"/>
        </w:rPr>
        <w:t> </w:t>
      </w:r>
      <w:r w:rsidR="00DC4E60" w:rsidRPr="00B14447">
        <w:rPr>
          <w:rFonts w:ascii="Times New Roman" w:hAnsi="Times New Roman"/>
        </w:rPr>
        <w:t>Kay</w:t>
      </w:r>
      <w:r w:rsidR="00F15C72" w:rsidRPr="00B14447">
        <w:rPr>
          <w:rFonts w:ascii="Times New Roman" w:hAnsi="Times New Roman"/>
        </w:rPr>
        <w:t xml:space="preserve"> saying that "</w:t>
      </w:r>
      <w:r w:rsidR="00DB0045" w:rsidRPr="00B14447">
        <w:rPr>
          <w:rFonts w:ascii="Times New Roman" w:hAnsi="Times New Roman"/>
        </w:rPr>
        <w:t>[</w:t>
      </w:r>
      <w:r w:rsidR="00F15C72" w:rsidRPr="00B14447">
        <w:rPr>
          <w:rFonts w:ascii="Times New Roman" w:hAnsi="Times New Roman"/>
        </w:rPr>
        <w:t>c</w:t>
      </w:r>
      <w:r w:rsidR="00DB0045" w:rsidRPr="00B14447">
        <w:rPr>
          <w:rFonts w:ascii="Times New Roman" w:hAnsi="Times New Roman"/>
        </w:rPr>
        <w:t>]</w:t>
      </w:r>
      <w:r w:rsidR="00F15C72" w:rsidRPr="00B14447">
        <w:rPr>
          <w:rFonts w:ascii="Times New Roman" w:hAnsi="Times New Roman"/>
        </w:rPr>
        <w:t>onsidering the magnitude of this launch, [he] would like t</w:t>
      </w:r>
      <w:r w:rsidR="00F2439A" w:rsidRPr="00B14447">
        <w:rPr>
          <w:rFonts w:ascii="Times New Roman" w:hAnsi="Times New Roman"/>
        </w:rPr>
        <w:t>o have all upfront activities completed so that [they] are in a favo</w:t>
      </w:r>
      <w:r w:rsidR="00D36506" w:rsidRPr="00B14447">
        <w:rPr>
          <w:rFonts w:ascii="Times New Roman" w:hAnsi="Times New Roman"/>
        </w:rPr>
        <w:t>[</w:t>
      </w:r>
      <w:r w:rsidR="00F2439A" w:rsidRPr="00B14447">
        <w:rPr>
          <w:rFonts w:ascii="Times New Roman" w:hAnsi="Times New Roman"/>
        </w:rPr>
        <w:t>u</w:t>
      </w:r>
      <w:r w:rsidR="00D36506" w:rsidRPr="00B14447">
        <w:rPr>
          <w:rFonts w:ascii="Times New Roman" w:hAnsi="Times New Roman"/>
        </w:rPr>
        <w:t>]</w:t>
      </w:r>
      <w:r w:rsidR="00F2439A" w:rsidRPr="00B14447">
        <w:rPr>
          <w:rFonts w:ascii="Times New Roman" w:hAnsi="Times New Roman"/>
        </w:rPr>
        <w:t>rable position once [they] are given the green light to manufacture</w:t>
      </w:r>
      <w:r w:rsidR="00A53DC0" w:rsidRPr="00B14447">
        <w:rPr>
          <w:rFonts w:ascii="Times New Roman" w:hAnsi="Times New Roman"/>
        </w:rPr>
        <w:t>" but that they would not order the packing components until they had "a favourable litigation outcome".</w:t>
      </w:r>
      <w:r w:rsidR="00A22047" w:rsidRPr="00B14447">
        <w:rPr>
          <w:rFonts w:ascii="Times New Roman" w:hAnsi="Times New Roman"/>
        </w:rPr>
        <w:t xml:space="preserve"> </w:t>
      </w:r>
    </w:p>
    <w:p w14:paraId="60EFECD9" w14:textId="0868D332" w:rsidR="008E491A" w:rsidRPr="00B14447" w:rsidRDefault="005A7B68"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539E5" w:rsidRPr="00B14447">
        <w:rPr>
          <w:rFonts w:ascii="Times New Roman" w:hAnsi="Times New Roman"/>
        </w:rPr>
        <w:t>The unchallenged</w:t>
      </w:r>
      <w:r w:rsidR="00BB201F" w:rsidRPr="00B14447">
        <w:rPr>
          <w:rFonts w:ascii="Times New Roman" w:hAnsi="Times New Roman"/>
        </w:rPr>
        <w:t xml:space="preserve">, and (in this Court) </w:t>
      </w:r>
      <w:r w:rsidR="006957C7" w:rsidRPr="00B14447">
        <w:rPr>
          <w:rFonts w:ascii="Times New Roman" w:hAnsi="Times New Roman"/>
        </w:rPr>
        <w:t>unchallengeable</w:t>
      </w:r>
      <w:r w:rsidR="00BB201F" w:rsidRPr="00B14447">
        <w:rPr>
          <w:rFonts w:ascii="Times New Roman" w:hAnsi="Times New Roman"/>
        </w:rPr>
        <w:t>,</w:t>
      </w:r>
      <w:r w:rsidR="00A539E5" w:rsidRPr="00B14447">
        <w:rPr>
          <w:rFonts w:ascii="Times New Roman" w:hAnsi="Times New Roman"/>
        </w:rPr>
        <w:t xml:space="preserve"> finding of the primary judge was that </w:t>
      </w:r>
      <w:r w:rsidR="008E491A" w:rsidRPr="00B14447">
        <w:rPr>
          <w:rFonts w:ascii="Times New Roman" w:hAnsi="Times New Roman"/>
        </w:rPr>
        <w:t>Dr</w:t>
      </w:r>
      <w:r w:rsidR="008324DB" w:rsidRPr="00B14447">
        <w:rPr>
          <w:rFonts w:ascii="Times New Roman" w:hAnsi="Times New Roman"/>
        </w:rPr>
        <w:t> </w:t>
      </w:r>
      <w:r w:rsidR="008E491A" w:rsidRPr="00B14447">
        <w:rPr>
          <w:rFonts w:ascii="Times New Roman" w:hAnsi="Times New Roman"/>
        </w:rPr>
        <w:t>Sherman was only notified that the listing date had been missed</w:t>
      </w:r>
      <w:r w:rsidR="00E45685" w:rsidRPr="00B14447">
        <w:rPr>
          <w:rFonts w:ascii="Times New Roman" w:hAnsi="Times New Roman"/>
        </w:rPr>
        <w:t xml:space="preserve"> </w:t>
      </w:r>
      <w:r w:rsidR="00A95E00" w:rsidRPr="00B14447">
        <w:rPr>
          <w:rFonts w:ascii="Times New Roman" w:hAnsi="Times New Roman"/>
        </w:rPr>
        <w:t>by email from Mr</w:t>
      </w:r>
      <w:r w:rsidR="008324DB" w:rsidRPr="00B14447">
        <w:rPr>
          <w:rFonts w:ascii="Times New Roman" w:hAnsi="Times New Roman"/>
        </w:rPr>
        <w:t> </w:t>
      </w:r>
      <w:r w:rsidR="00A95E00" w:rsidRPr="00B14447">
        <w:rPr>
          <w:rFonts w:ascii="Times New Roman" w:hAnsi="Times New Roman"/>
        </w:rPr>
        <w:t xml:space="preserve">Haas </w:t>
      </w:r>
      <w:r w:rsidR="00E45685" w:rsidRPr="00B14447">
        <w:rPr>
          <w:rFonts w:ascii="Times New Roman" w:hAnsi="Times New Roman"/>
        </w:rPr>
        <w:t>on 15</w:t>
      </w:r>
      <w:r w:rsidR="008324DB" w:rsidRPr="00B14447">
        <w:rPr>
          <w:rFonts w:ascii="Times New Roman" w:hAnsi="Times New Roman"/>
        </w:rPr>
        <w:t> </w:t>
      </w:r>
      <w:r w:rsidR="00E45685" w:rsidRPr="00B14447">
        <w:rPr>
          <w:rFonts w:ascii="Times New Roman" w:hAnsi="Times New Roman"/>
        </w:rPr>
        <w:t xml:space="preserve">September </w:t>
      </w:r>
      <w:r w:rsidR="00C17CC1" w:rsidRPr="00B14447">
        <w:rPr>
          <w:rFonts w:ascii="Times New Roman" w:hAnsi="Times New Roman"/>
        </w:rPr>
        <w:t xml:space="preserve">2007 </w:t>
      </w:r>
      <w:r w:rsidR="0002395D" w:rsidRPr="00B14447">
        <w:rPr>
          <w:rFonts w:ascii="Times New Roman" w:hAnsi="Times New Roman"/>
        </w:rPr>
        <w:t>(</w:t>
      </w:r>
      <w:r w:rsidR="00E45685" w:rsidRPr="00B14447">
        <w:rPr>
          <w:rFonts w:ascii="Times New Roman" w:hAnsi="Times New Roman"/>
        </w:rPr>
        <w:t>at 2.37am Sydney time)</w:t>
      </w:r>
      <w:r w:rsidR="009D0DE5" w:rsidRPr="00B14447">
        <w:rPr>
          <w:rFonts w:ascii="Times New Roman" w:hAnsi="Times New Roman"/>
        </w:rPr>
        <w:t>. The ema</w:t>
      </w:r>
      <w:r w:rsidR="00806932" w:rsidRPr="00B14447">
        <w:rPr>
          <w:rFonts w:ascii="Times New Roman" w:hAnsi="Times New Roman"/>
        </w:rPr>
        <w:t>i</w:t>
      </w:r>
      <w:r w:rsidR="009D0DE5" w:rsidRPr="00B14447">
        <w:rPr>
          <w:rFonts w:ascii="Times New Roman" w:hAnsi="Times New Roman"/>
        </w:rPr>
        <w:t>l</w:t>
      </w:r>
      <w:r w:rsidR="00806932" w:rsidRPr="00B14447">
        <w:rPr>
          <w:rFonts w:ascii="Times New Roman" w:hAnsi="Times New Roman"/>
        </w:rPr>
        <w:t xml:space="preserve"> quoted the last communication received from Mr Millichamp </w:t>
      </w:r>
      <w:r w:rsidR="00A94BCB" w:rsidRPr="00B14447">
        <w:rPr>
          <w:rFonts w:ascii="Times New Roman" w:hAnsi="Times New Roman"/>
        </w:rPr>
        <w:t xml:space="preserve">that in the event that they </w:t>
      </w:r>
      <w:r w:rsidR="00E45685" w:rsidRPr="00B14447">
        <w:rPr>
          <w:rFonts w:ascii="Times New Roman" w:hAnsi="Times New Roman"/>
        </w:rPr>
        <w:t>were</w:t>
      </w:r>
      <w:r w:rsidR="00A94BCB" w:rsidRPr="00B14447">
        <w:rPr>
          <w:rFonts w:ascii="Times New Roman" w:hAnsi="Times New Roman"/>
        </w:rPr>
        <w:t xml:space="preserve"> successful in defending against an interlocutory injunction </w:t>
      </w:r>
      <w:r w:rsidR="003F3473" w:rsidRPr="00B14447">
        <w:rPr>
          <w:rFonts w:ascii="Times New Roman" w:hAnsi="Times New Roman"/>
        </w:rPr>
        <w:t xml:space="preserve">application </w:t>
      </w:r>
      <w:r w:rsidR="00A94BCB" w:rsidRPr="00B14447">
        <w:rPr>
          <w:rFonts w:ascii="Times New Roman" w:hAnsi="Times New Roman"/>
        </w:rPr>
        <w:t xml:space="preserve">from Sanofi, the earliest that they </w:t>
      </w:r>
      <w:r w:rsidR="00E45685" w:rsidRPr="00B14447">
        <w:rPr>
          <w:rFonts w:ascii="Times New Roman" w:hAnsi="Times New Roman"/>
        </w:rPr>
        <w:t>could</w:t>
      </w:r>
      <w:r w:rsidR="00A94BCB" w:rsidRPr="00B14447">
        <w:rPr>
          <w:rFonts w:ascii="Times New Roman" w:hAnsi="Times New Roman"/>
        </w:rPr>
        <w:t xml:space="preserve"> get</w:t>
      </w:r>
      <w:r w:rsidR="008324DB" w:rsidRPr="00B14447">
        <w:rPr>
          <w:rFonts w:ascii="Times New Roman" w:hAnsi="Times New Roman"/>
        </w:rPr>
        <w:t xml:space="preserve"> PBS</w:t>
      </w:r>
      <w:r w:rsidR="00A94BCB" w:rsidRPr="00B14447">
        <w:rPr>
          <w:rFonts w:ascii="Times New Roman" w:hAnsi="Times New Roman"/>
        </w:rPr>
        <w:t xml:space="preserve"> listing </w:t>
      </w:r>
      <w:r w:rsidR="003F3473" w:rsidRPr="00B14447">
        <w:rPr>
          <w:rFonts w:ascii="Times New Roman" w:hAnsi="Times New Roman"/>
        </w:rPr>
        <w:t>wa</w:t>
      </w:r>
      <w:r w:rsidR="00A94BCB" w:rsidRPr="00B14447">
        <w:rPr>
          <w:rFonts w:ascii="Times New Roman" w:hAnsi="Times New Roman"/>
        </w:rPr>
        <w:t>s</w:t>
      </w:r>
      <w:r w:rsidR="0022560B" w:rsidRPr="00B14447">
        <w:rPr>
          <w:rFonts w:ascii="Times New Roman" w:hAnsi="Times New Roman"/>
        </w:rPr>
        <w:t xml:space="preserve"> now</w:t>
      </w:r>
      <w:r w:rsidR="00A94BCB" w:rsidRPr="00B14447">
        <w:rPr>
          <w:rFonts w:ascii="Times New Roman" w:hAnsi="Times New Roman"/>
        </w:rPr>
        <w:t xml:space="preserve"> April 2008</w:t>
      </w:r>
      <w:r w:rsidR="00586EB4" w:rsidRPr="00B14447">
        <w:rPr>
          <w:rFonts w:ascii="Times New Roman" w:hAnsi="Times New Roman"/>
        </w:rPr>
        <w:t xml:space="preserve"> and that</w:t>
      </w:r>
      <w:r w:rsidR="008324DB" w:rsidRPr="00B14447">
        <w:rPr>
          <w:rFonts w:ascii="Times New Roman" w:hAnsi="Times New Roman"/>
        </w:rPr>
        <w:t>,</w:t>
      </w:r>
      <w:r w:rsidR="00586EB4" w:rsidRPr="00B14447">
        <w:rPr>
          <w:rFonts w:ascii="Times New Roman" w:hAnsi="Times New Roman"/>
        </w:rPr>
        <w:t xml:space="preserve"> in that case, they required </w:t>
      </w:r>
      <w:r w:rsidR="00411D5D" w:rsidRPr="00B14447">
        <w:rPr>
          <w:rFonts w:ascii="Times New Roman" w:hAnsi="Times New Roman"/>
        </w:rPr>
        <w:t>stock in Australia towards the end of February</w:t>
      </w:r>
      <w:r w:rsidR="00A6377C" w:rsidRPr="00B14447">
        <w:rPr>
          <w:rFonts w:ascii="Times New Roman" w:hAnsi="Times New Roman"/>
        </w:rPr>
        <w:t>/</w:t>
      </w:r>
      <w:r w:rsidR="00411D5D" w:rsidRPr="00B14447">
        <w:rPr>
          <w:rFonts w:ascii="Times New Roman" w:hAnsi="Times New Roman"/>
        </w:rPr>
        <w:t xml:space="preserve">start </w:t>
      </w:r>
      <w:r w:rsidR="00A6377C" w:rsidRPr="00B14447">
        <w:rPr>
          <w:rFonts w:ascii="Times New Roman" w:hAnsi="Times New Roman"/>
        </w:rPr>
        <w:t xml:space="preserve">of </w:t>
      </w:r>
      <w:r w:rsidR="00411D5D" w:rsidRPr="00B14447">
        <w:rPr>
          <w:rFonts w:ascii="Times New Roman" w:hAnsi="Times New Roman"/>
        </w:rPr>
        <w:t>March 2008 "</w:t>
      </w:r>
      <w:r w:rsidR="00411D5D" w:rsidRPr="00B14447">
        <w:rPr>
          <w:rFonts w:ascii="Times New Roman" w:hAnsi="Times New Roman"/>
          <w:b/>
          <w:bCs/>
        </w:rPr>
        <w:t>assuming that we are able to launch</w:t>
      </w:r>
      <w:r w:rsidR="00411D5D" w:rsidRPr="00B14447">
        <w:rPr>
          <w:rFonts w:ascii="Times New Roman" w:hAnsi="Times New Roman"/>
        </w:rPr>
        <w:t>". The emphasis was in the original</w:t>
      </w:r>
      <w:r w:rsidR="00920995" w:rsidRPr="00B14447">
        <w:rPr>
          <w:rFonts w:ascii="Times New Roman" w:hAnsi="Times New Roman"/>
        </w:rPr>
        <w:t>.</w:t>
      </w:r>
    </w:p>
    <w:p w14:paraId="6F5E3CB0" w14:textId="3EEABBEB"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second unexpected event was foreshadowed </w:t>
      </w:r>
      <w:r w:rsidR="00A539E5" w:rsidRPr="00B14447">
        <w:rPr>
          <w:rFonts w:ascii="Times New Roman" w:hAnsi="Times New Roman"/>
        </w:rPr>
        <w:t xml:space="preserve">only in the most general of terms </w:t>
      </w:r>
      <w:r w:rsidRPr="00B14447">
        <w:rPr>
          <w:rFonts w:ascii="Times New Roman" w:hAnsi="Times New Roman"/>
        </w:rPr>
        <w:t>at a directions hearing on 13</w:t>
      </w:r>
      <w:r w:rsidR="00B361D5" w:rsidRPr="00B14447">
        <w:rPr>
          <w:rFonts w:ascii="Times New Roman" w:hAnsi="Times New Roman"/>
        </w:rPr>
        <w:t> </w:t>
      </w:r>
      <w:r w:rsidRPr="00B14447">
        <w:rPr>
          <w:rFonts w:ascii="Times New Roman" w:hAnsi="Times New Roman"/>
        </w:rPr>
        <w:t xml:space="preserve">September 2007 when the judge who would hear the interlocutory injunction, Gyles J, indicated a preference for an expedited </w:t>
      </w:r>
      <w:r w:rsidR="00111D8F" w:rsidRPr="00B14447">
        <w:rPr>
          <w:rFonts w:ascii="Times New Roman" w:hAnsi="Times New Roman"/>
        </w:rPr>
        <w:t xml:space="preserve">final </w:t>
      </w:r>
      <w:r w:rsidRPr="00B14447">
        <w:rPr>
          <w:rFonts w:ascii="Times New Roman" w:hAnsi="Times New Roman"/>
        </w:rPr>
        <w:t xml:space="preserve">hearing. </w:t>
      </w:r>
      <w:r w:rsidR="00EE48B5" w:rsidRPr="00B14447">
        <w:rPr>
          <w:rFonts w:ascii="Times New Roman" w:hAnsi="Times New Roman"/>
        </w:rPr>
        <w:t xml:space="preserve">It appears that the directions hearing was </w:t>
      </w:r>
      <w:r w:rsidR="00261EB2" w:rsidRPr="00B14447">
        <w:rPr>
          <w:rFonts w:ascii="Times New Roman" w:hAnsi="Times New Roman"/>
        </w:rPr>
        <w:t xml:space="preserve">heard </w:t>
      </w:r>
      <w:r w:rsidR="00EE48B5" w:rsidRPr="00B14447">
        <w:rPr>
          <w:rFonts w:ascii="Times New Roman" w:hAnsi="Times New Roman"/>
        </w:rPr>
        <w:t xml:space="preserve">before both Gyles and Bennett JJ. </w:t>
      </w:r>
      <w:r w:rsidRPr="00B14447">
        <w:rPr>
          <w:rFonts w:ascii="Times New Roman" w:hAnsi="Times New Roman"/>
        </w:rPr>
        <w:t xml:space="preserve">Following the directions hearing, Mr Millichamp emailed Mr Kay with updates including the following, "[t]he indication from the judge was that they want to move towards a final trial sooner rather than later. The next six months was mentioned, subject to availability of expert witnesses etc.". </w:t>
      </w:r>
      <w:r w:rsidR="00FE0965" w:rsidRPr="00B14447">
        <w:rPr>
          <w:rFonts w:ascii="Times New Roman" w:hAnsi="Times New Roman"/>
        </w:rPr>
        <w:t>Mr</w:t>
      </w:r>
      <w:r w:rsidR="00AD2913" w:rsidRPr="00B14447">
        <w:rPr>
          <w:rFonts w:ascii="Times New Roman" w:hAnsi="Times New Roman"/>
        </w:rPr>
        <w:t> </w:t>
      </w:r>
      <w:r w:rsidR="00FE0965" w:rsidRPr="00B14447">
        <w:rPr>
          <w:rFonts w:ascii="Times New Roman" w:hAnsi="Times New Roman"/>
        </w:rPr>
        <w:t xml:space="preserve">Millichamp's </w:t>
      </w:r>
      <w:r w:rsidR="00043614" w:rsidRPr="00B14447">
        <w:rPr>
          <w:rFonts w:ascii="Times New Roman" w:hAnsi="Times New Roman"/>
        </w:rPr>
        <w:t xml:space="preserve">email </w:t>
      </w:r>
      <w:r w:rsidR="00FE0965" w:rsidRPr="00B14447">
        <w:rPr>
          <w:rFonts w:ascii="Times New Roman" w:hAnsi="Times New Roman"/>
        </w:rPr>
        <w:t xml:space="preserve">update </w:t>
      </w:r>
      <w:r w:rsidR="00043614" w:rsidRPr="00B14447">
        <w:rPr>
          <w:rFonts w:ascii="Times New Roman" w:hAnsi="Times New Roman"/>
        </w:rPr>
        <w:t xml:space="preserve">also </w:t>
      </w:r>
      <w:r w:rsidR="00FE0965" w:rsidRPr="00B14447">
        <w:rPr>
          <w:rFonts w:ascii="Times New Roman" w:hAnsi="Times New Roman"/>
        </w:rPr>
        <w:t>said "</w:t>
      </w:r>
      <w:r w:rsidR="007D564F" w:rsidRPr="00B14447">
        <w:rPr>
          <w:rFonts w:ascii="Times New Roman" w:hAnsi="Times New Roman"/>
        </w:rPr>
        <w:t>Justice</w:t>
      </w:r>
      <w:r w:rsidR="00B64D35" w:rsidRPr="00B14447">
        <w:rPr>
          <w:rFonts w:ascii="Times New Roman" w:hAnsi="Times New Roman"/>
        </w:rPr>
        <w:t> </w:t>
      </w:r>
      <w:r w:rsidR="007D564F" w:rsidRPr="00B14447">
        <w:rPr>
          <w:rFonts w:ascii="Times New Roman" w:hAnsi="Times New Roman"/>
        </w:rPr>
        <w:t>Bennett will monitor progress of the case and take control if Justice G[y]les is unavailable. The Judges had clearly read, in detail, and understood our patent revocation submission".</w:t>
      </w:r>
      <w:r w:rsidR="00FC75BC" w:rsidRPr="00B14447">
        <w:rPr>
          <w:rFonts w:ascii="Times New Roman" w:hAnsi="Times New Roman"/>
        </w:rPr>
        <w:t xml:space="preserve"> </w:t>
      </w:r>
      <w:r w:rsidR="00764E37" w:rsidRPr="00B14447">
        <w:rPr>
          <w:rFonts w:ascii="Times New Roman" w:hAnsi="Times New Roman"/>
        </w:rPr>
        <w:t xml:space="preserve">This foreshadowing said nothing about what date would be selected, </w:t>
      </w:r>
      <w:r w:rsidR="006E0C96" w:rsidRPr="00B14447">
        <w:rPr>
          <w:rFonts w:ascii="Times New Roman" w:hAnsi="Times New Roman"/>
        </w:rPr>
        <w:t xml:space="preserve">and </w:t>
      </w:r>
      <w:r w:rsidR="00E36C65" w:rsidRPr="00B14447">
        <w:rPr>
          <w:rFonts w:ascii="Times New Roman" w:hAnsi="Times New Roman"/>
        </w:rPr>
        <w:t xml:space="preserve">left open the </w:t>
      </w:r>
      <w:r w:rsidR="008E55F8" w:rsidRPr="00B14447">
        <w:rPr>
          <w:rFonts w:ascii="Times New Roman" w:hAnsi="Times New Roman"/>
        </w:rPr>
        <w:t xml:space="preserve">precise </w:t>
      </w:r>
      <w:r w:rsidR="00E36C65" w:rsidRPr="00B14447">
        <w:rPr>
          <w:rFonts w:ascii="Times New Roman" w:hAnsi="Times New Roman"/>
        </w:rPr>
        <w:t xml:space="preserve">identity of the </w:t>
      </w:r>
      <w:r w:rsidR="00764E37" w:rsidRPr="00B14447">
        <w:rPr>
          <w:rFonts w:ascii="Times New Roman" w:hAnsi="Times New Roman"/>
        </w:rPr>
        <w:t xml:space="preserve">trial judge </w:t>
      </w:r>
      <w:r w:rsidR="004714C1" w:rsidRPr="00B14447">
        <w:rPr>
          <w:rFonts w:ascii="Times New Roman" w:hAnsi="Times New Roman"/>
        </w:rPr>
        <w:t>and</w:t>
      </w:r>
      <w:r w:rsidR="000E5D0D" w:rsidRPr="00B14447">
        <w:rPr>
          <w:rFonts w:ascii="Times New Roman" w:hAnsi="Times New Roman"/>
        </w:rPr>
        <w:t>, therefore,</w:t>
      </w:r>
      <w:r w:rsidR="004714C1" w:rsidRPr="00B14447">
        <w:rPr>
          <w:rFonts w:ascii="Times New Roman" w:hAnsi="Times New Roman"/>
        </w:rPr>
        <w:t xml:space="preserve"> the likely period of time that a decision would take. </w:t>
      </w:r>
      <w:r w:rsidRPr="00B14447">
        <w:rPr>
          <w:rFonts w:ascii="Times New Roman" w:hAnsi="Times New Roman"/>
        </w:rPr>
        <w:t>The second unexpected event occurred on 21</w:t>
      </w:r>
      <w:r w:rsidR="00031A4F" w:rsidRPr="00B14447">
        <w:rPr>
          <w:rFonts w:ascii="Times New Roman" w:hAnsi="Times New Roman"/>
        </w:rPr>
        <w:t> </w:t>
      </w:r>
      <w:r w:rsidRPr="00B14447">
        <w:rPr>
          <w:rFonts w:ascii="Times New Roman" w:hAnsi="Times New Roman"/>
        </w:rPr>
        <w:t>September 2007, at the time when Gyles</w:t>
      </w:r>
      <w:r w:rsidR="00031A4F" w:rsidRPr="00B14447">
        <w:rPr>
          <w:rFonts w:ascii="Times New Roman" w:hAnsi="Times New Roman"/>
        </w:rPr>
        <w:t> </w:t>
      </w:r>
      <w:r w:rsidRPr="00B14447">
        <w:rPr>
          <w:rFonts w:ascii="Times New Roman" w:hAnsi="Times New Roman"/>
        </w:rPr>
        <w:t xml:space="preserve">J </w:t>
      </w:r>
      <w:r w:rsidR="005B7B55" w:rsidRPr="00B14447">
        <w:rPr>
          <w:rFonts w:ascii="Times New Roman" w:hAnsi="Times New Roman"/>
        </w:rPr>
        <w:t>delivered orally</w:t>
      </w:r>
      <w:r w:rsidRPr="00B14447">
        <w:rPr>
          <w:rFonts w:ascii="Times New Roman" w:hAnsi="Times New Roman"/>
        </w:rPr>
        <w:t xml:space="preserve"> his reasons for granting the interlocutory injunction. At that time, </w:t>
      </w:r>
      <w:r w:rsidRPr="00B14447">
        <w:rPr>
          <w:rFonts w:ascii="Times New Roman" w:hAnsi="Times New Roman"/>
        </w:rPr>
        <w:lastRenderedPageBreak/>
        <w:t xml:space="preserve">Gyles J informed the parties that the final hearing would commence before his Honour on 28 April 2008. </w:t>
      </w:r>
      <w:r w:rsidR="000B3436" w:rsidRPr="00B14447">
        <w:rPr>
          <w:rFonts w:ascii="Times New Roman" w:hAnsi="Times New Roman"/>
        </w:rPr>
        <w:t xml:space="preserve">The significance of this </w:t>
      </w:r>
      <w:r w:rsidR="00FE0813" w:rsidRPr="00B14447">
        <w:rPr>
          <w:rFonts w:ascii="Times New Roman" w:hAnsi="Times New Roman"/>
        </w:rPr>
        <w:t xml:space="preserve">second unexpected </w:t>
      </w:r>
      <w:r w:rsidR="000B3436" w:rsidRPr="00B14447">
        <w:rPr>
          <w:rFonts w:ascii="Times New Roman" w:hAnsi="Times New Roman"/>
        </w:rPr>
        <w:t xml:space="preserve">event was not merely that the hearing would take place </w:t>
      </w:r>
      <w:r w:rsidR="00FE0813" w:rsidRPr="00B14447">
        <w:rPr>
          <w:rFonts w:ascii="Times New Roman" w:hAnsi="Times New Roman"/>
        </w:rPr>
        <w:t xml:space="preserve">only four weeks after the earliest date for PBS listing. The significance was also that </w:t>
      </w:r>
      <w:r w:rsidR="0059057E" w:rsidRPr="00B14447">
        <w:rPr>
          <w:rFonts w:ascii="Times New Roman" w:hAnsi="Times New Roman"/>
        </w:rPr>
        <w:t>the judge would be Gyles</w:t>
      </w:r>
      <w:r w:rsidR="00B477EF" w:rsidRPr="00B14447">
        <w:rPr>
          <w:rFonts w:ascii="Times New Roman" w:hAnsi="Times New Roman"/>
        </w:rPr>
        <w:t> </w:t>
      </w:r>
      <w:r w:rsidR="0059057E" w:rsidRPr="00B14447">
        <w:rPr>
          <w:rFonts w:ascii="Times New Roman" w:hAnsi="Times New Roman"/>
        </w:rPr>
        <w:t xml:space="preserve">J, who would retire (and therefore have to deliver a decision) by </w:t>
      </w:r>
      <w:r w:rsidR="0066404E" w:rsidRPr="00B14447">
        <w:rPr>
          <w:rFonts w:ascii="Times New Roman" w:hAnsi="Times New Roman"/>
        </w:rPr>
        <w:t>22</w:t>
      </w:r>
      <w:r w:rsidR="00B477EF" w:rsidRPr="00B14447">
        <w:rPr>
          <w:rFonts w:ascii="Times New Roman" w:hAnsi="Times New Roman"/>
        </w:rPr>
        <w:t> </w:t>
      </w:r>
      <w:r w:rsidR="0066404E" w:rsidRPr="00B14447">
        <w:rPr>
          <w:rFonts w:ascii="Times New Roman" w:hAnsi="Times New Roman"/>
        </w:rPr>
        <w:t xml:space="preserve">August 2008. </w:t>
      </w:r>
    </w:p>
    <w:p w14:paraId="0D4B0F72" w14:textId="525D6F17"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Between 1</w:t>
      </w:r>
      <w:r w:rsidR="00B509FF" w:rsidRPr="00B14447">
        <w:rPr>
          <w:rFonts w:ascii="Times New Roman" w:hAnsi="Times New Roman"/>
        </w:rPr>
        <w:t>5</w:t>
      </w:r>
      <w:r w:rsidR="00031A4F" w:rsidRPr="00B14447">
        <w:rPr>
          <w:rFonts w:ascii="Times New Roman" w:hAnsi="Times New Roman"/>
        </w:rPr>
        <w:t> </w:t>
      </w:r>
      <w:r w:rsidRPr="00B14447">
        <w:rPr>
          <w:rFonts w:ascii="Times New Roman" w:hAnsi="Times New Roman"/>
        </w:rPr>
        <w:t>September 2007, when the first of these unexpected events</w:t>
      </w:r>
      <w:r w:rsidR="00EF13EC" w:rsidRPr="00B14447">
        <w:rPr>
          <w:rFonts w:ascii="Times New Roman" w:hAnsi="Times New Roman"/>
        </w:rPr>
        <w:t xml:space="preserve"> (the missed </w:t>
      </w:r>
      <w:r w:rsidR="006834D3" w:rsidRPr="00B14447">
        <w:rPr>
          <w:rFonts w:ascii="Times New Roman" w:hAnsi="Times New Roman"/>
        </w:rPr>
        <w:t xml:space="preserve">deadline </w:t>
      </w:r>
      <w:r w:rsidR="00D16578" w:rsidRPr="00B14447">
        <w:rPr>
          <w:rFonts w:ascii="Times New Roman" w:hAnsi="Times New Roman"/>
        </w:rPr>
        <w:t xml:space="preserve">for earlier </w:t>
      </w:r>
      <w:r w:rsidR="00EF13EC" w:rsidRPr="00B14447">
        <w:rPr>
          <w:rFonts w:ascii="Times New Roman" w:hAnsi="Times New Roman"/>
        </w:rPr>
        <w:t>PBS listing)</w:t>
      </w:r>
      <w:r w:rsidRPr="00B14447">
        <w:rPr>
          <w:rFonts w:ascii="Times New Roman" w:hAnsi="Times New Roman"/>
        </w:rPr>
        <w:t xml:space="preserve"> was notified to Dr</w:t>
      </w:r>
      <w:r w:rsidR="00031A4F" w:rsidRPr="00B14447">
        <w:rPr>
          <w:rFonts w:ascii="Times New Roman" w:hAnsi="Times New Roman"/>
        </w:rPr>
        <w:t> </w:t>
      </w:r>
      <w:r w:rsidRPr="00B14447">
        <w:rPr>
          <w:rFonts w:ascii="Times New Roman" w:hAnsi="Times New Roman"/>
        </w:rPr>
        <w:t>Sherman, and 18</w:t>
      </w:r>
      <w:r w:rsidR="00031A4F" w:rsidRPr="00B14447">
        <w:rPr>
          <w:rFonts w:ascii="Times New Roman" w:hAnsi="Times New Roman"/>
        </w:rPr>
        <w:t> </w:t>
      </w:r>
      <w:r w:rsidRPr="00B14447">
        <w:rPr>
          <w:rFonts w:ascii="Times New Roman" w:hAnsi="Times New Roman"/>
        </w:rPr>
        <w:t>September 2007, when the hearing of the interlocutory injunction began, there was no evidence of any communication between Dr</w:t>
      </w:r>
      <w:r w:rsidR="00031A4F" w:rsidRPr="00B14447">
        <w:rPr>
          <w:rFonts w:ascii="Times New Roman" w:hAnsi="Times New Roman"/>
        </w:rPr>
        <w:t> </w:t>
      </w:r>
      <w:r w:rsidRPr="00B14447">
        <w:rPr>
          <w:rFonts w:ascii="Times New Roman" w:hAnsi="Times New Roman"/>
        </w:rPr>
        <w:t>Sherman and any person in Apotex Australia about the significance of the first unexpected event (and no evidence that Dr</w:t>
      </w:r>
      <w:r w:rsidR="00031A4F" w:rsidRPr="00B14447">
        <w:rPr>
          <w:rFonts w:ascii="Times New Roman" w:hAnsi="Times New Roman"/>
        </w:rPr>
        <w:t> </w:t>
      </w:r>
      <w:r w:rsidRPr="00B14447">
        <w:rPr>
          <w:rFonts w:ascii="Times New Roman" w:hAnsi="Times New Roman"/>
        </w:rPr>
        <w:t xml:space="preserve">Sherman was even aware of the </w:t>
      </w:r>
      <w:r w:rsidR="00C421EA" w:rsidRPr="00B14447">
        <w:rPr>
          <w:rFonts w:ascii="Times New Roman" w:hAnsi="Times New Roman"/>
        </w:rPr>
        <w:t xml:space="preserve">foreshadowed </w:t>
      </w:r>
      <w:r w:rsidRPr="00B14447">
        <w:rPr>
          <w:rFonts w:ascii="Times New Roman" w:hAnsi="Times New Roman"/>
        </w:rPr>
        <w:t>possibility</w:t>
      </w:r>
      <w:r w:rsidR="001308F2" w:rsidRPr="00B14447">
        <w:rPr>
          <w:rFonts w:ascii="Times New Roman" w:hAnsi="Times New Roman"/>
        </w:rPr>
        <w:t>, in vague terms,</w:t>
      </w:r>
      <w:r w:rsidRPr="00B14447">
        <w:rPr>
          <w:rFonts w:ascii="Times New Roman" w:hAnsi="Times New Roman"/>
        </w:rPr>
        <w:t xml:space="preserve"> of the second unexpected event). The emails from Dr</w:t>
      </w:r>
      <w:r w:rsidR="00C45389" w:rsidRPr="00B14447">
        <w:rPr>
          <w:rFonts w:ascii="Times New Roman" w:hAnsi="Times New Roman"/>
        </w:rPr>
        <w:t> </w:t>
      </w:r>
      <w:r w:rsidRPr="00B14447">
        <w:rPr>
          <w:rFonts w:ascii="Times New Roman" w:hAnsi="Times New Roman"/>
        </w:rPr>
        <w:t>Sherman in this period were as follows.</w:t>
      </w:r>
    </w:p>
    <w:p w14:paraId="139C4449" w14:textId="20D1417E"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14</w:t>
      </w:r>
      <w:r w:rsidR="00C45389" w:rsidRPr="00B14447">
        <w:rPr>
          <w:rFonts w:ascii="Times New Roman" w:hAnsi="Times New Roman"/>
        </w:rPr>
        <w:t> </w:t>
      </w:r>
      <w:r w:rsidRPr="00B14447">
        <w:rPr>
          <w:rFonts w:ascii="Times New Roman" w:hAnsi="Times New Roman"/>
        </w:rPr>
        <w:t>September 2007</w:t>
      </w:r>
      <w:r w:rsidR="001D2B11" w:rsidRPr="00B14447">
        <w:rPr>
          <w:rFonts w:ascii="Times New Roman" w:hAnsi="Times New Roman"/>
        </w:rPr>
        <w:t xml:space="preserve"> (</w:t>
      </w:r>
      <w:r w:rsidR="002E1AD3" w:rsidRPr="00B14447">
        <w:rPr>
          <w:rFonts w:ascii="Times New Roman" w:hAnsi="Times New Roman"/>
        </w:rPr>
        <w:t>12.26pm</w:t>
      </w:r>
      <w:r w:rsidR="001D2B11" w:rsidRPr="00B14447">
        <w:rPr>
          <w:rFonts w:ascii="Times New Roman" w:hAnsi="Times New Roman"/>
        </w:rPr>
        <w:t xml:space="preserve"> Sydney ti</w:t>
      </w:r>
      <w:r w:rsidR="00287DFD" w:rsidRPr="00B14447">
        <w:rPr>
          <w:rFonts w:ascii="Times New Roman" w:hAnsi="Times New Roman"/>
        </w:rPr>
        <w:t>me</w:t>
      </w:r>
      <w:r w:rsidR="001D2B11" w:rsidRPr="00B14447">
        <w:rPr>
          <w:rFonts w:ascii="Times New Roman" w:hAnsi="Times New Roman"/>
        </w:rPr>
        <w:t>)</w:t>
      </w:r>
      <w:r w:rsidRPr="00B14447">
        <w:rPr>
          <w:rFonts w:ascii="Times New Roman" w:hAnsi="Times New Roman"/>
        </w:rPr>
        <w:t>, Dr</w:t>
      </w:r>
      <w:r w:rsidR="00C45389" w:rsidRPr="00B14447">
        <w:rPr>
          <w:rFonts w:ascii="Times New Roman" w:hAnsi="Times New Roman"/>
        </w:rPr>
        <w:t> </w:t>
      </w:r>
      <w:r w:rsidRPr="00B14447">
        <w:rPr>
          <w:rFonts w:ascii="Times New Roman" w:hAnsi="Times New Roman"/>
        </w:rPr>
        <w:t>Sherman emailed various people in</w:t>
      </w:r>
      <w:r w:rsidR="00E6038E" w:rsidRPr="00B14447">
        <w:rPr>
          <w:rFonts w:ascii="Times New Roman" w:hAnsi="Times New Roman"/>
        </w:rPr>
        <w:t xml:space="preserve"> Apotex</w:t>
      </w:r>
      <w:r w:rsidRPr="00B14447">
        <w:rPr>
          <w:rFonts w:ascii="Times New Roman" w:hAnsi="Times New Roman"/>
        </w:rPr>
        <w:t xml:space="preserve"> Canada asking questions about the tablets to be produced and saying: "We may be launching in Australia soon. Also, it is possible that we will relaunch in the US within months</w:t>
      </w:r>
      <w:r w:rsidR="00E6038E" w:rsidRPr="00B14447">
        <w:rPr>
          <w:rFonts w:ascii="Times New Roman" w:hAnsi="Times New Roman"/>
        </w:rPr>
        <w:t>.</w:t>
      </w:r>
      <w:r w:rsidRPr="00B14447">
        <w:rPr>
          <w:rFonts w:ascii="Times New Roman" w:hAnsi="Times New Roman"/>
        </w:rPr>
        <w:t xml:space="preserve">". There was no suggestion that Apotex </w:t>
      </w:r>
      <w:r w:rsidR="006C4AB4" w:rsidRPr="00B14447">
        <w:rPr>
          <w:rFonts w:ascii="Times New Roman" w:hAnsi="Times New Roman"/>
        </w:rPr>
        <w:t xml:space="preserve">Canada and Apotex US </w:t>
      </w:r>
      <w:r w:rsidRPr="00B14447">
        <w:rPr>
          <w:rFonts w:ascii="Times New Roman" w:hAnsi="Times New Roman"/>
        </w:rPr>
        <w:t xml:space="preserve">ever relaunched in the United States. </w:t>
      </w:r>
    </w:p>
    <w:p w14:paraId="6CF45D03" w14:textId="2CA82364"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On </w:t>
      </w:r>
      <w:r w:rsidR="002B081B" w:rsidRPr="00B14447">
        <w:rPr>
          <w:rFonts w:ascii="Times New Roman" w:hAnsi="Times New Roman"/>
        </w:rPr>
        <w:t>15 </w:t>
      </w:r>
      <w:r w:rsidRPr="00B14447">
        <w:rPr>
          <w:rFonts w:ascii="Times New Roman" w:hAnsi="Times New Roman"/>
        </w:rPr>
        <w:t>September 2007 (</w:t>
      </w:r>
      <w:r w:rsidR="00057139" w:rsidRPr="00B14447">
        <w:rPr>
          <w:rFonts w:ascii="Times New Roman" w:hAnsi="Times New Roman"/>
        </w:rPr>
        <w:t xml:space="preserve">2.13am </w:t>
      </w:r>
      <w:r w:rsidRPr="00B14447">
        <w:rPr>
          <w:rFonts w:ascii="Times New Roman" w:hAnsi="Times New Roman"/>
        </w:rPr>
        <w:t>Sydney time), Dr</w:t>
      </w:r>
      <w:r w:rsidR="00DE12F8" w:rsidRPr="00B14447">
        <w:rPr>
          <w:rFonts w:ascii="Times New Roman" w:hAnsi="Times New Roman"/>
        </w:rPr>
        <w:t> </w:t>
      </w:r>
      <w:r w:rsidRPr="00B14447">
        <w:rPr>
          <w:rFonts w:ascii="Times New Roman" w:hAnsi="Times New Roman"/>
        </w:rPr>
        <w:t>Sherman emailed the same people in</w:t>
      </w:r>
      <w:r w:rsidR="00DE12F8" w:rsidRPr="00B14447">
        <w:rPr>
          <w:rFonts w:ascii="Times New Roman" w:hAnsi="Times New Roman"/>
        </w:rPr>
        <w:t xml:space="preserve"> Apotex</w:t>
      </w:r>
      <w:r w:rsidRPr="00B14447">
        <w:rPr>
          <w:rFonts w:ascii="Times New Roman" w:hAnsi="Times New Roman"/>
        </w:rPr>
        <w:t xml:space="preserve"> Canada asking: "</w:t>
      </w:r>
      <w:r w:rsidR="00DE12F8" w:rsidRPr="00B14447">
        <w:rPr>
          <w:rFonts w:ascii="Times New Roman" w:hAnsi="Times New Roman"/>
        </w:rPr>
        <w:t>[w]</w:t>
      </w:r>
      <w:r w:rsidRPr="00B14447">
        <w:rPr>
          <w:rFonts w:ascii="Times New Roman" w:hAnsi="Times New Roman"/>
        </w:rPr>
        <w:t>ho will deal with determining if present inventory can be repacked for Australia". It appears that it was in a reply to this email that Dr</w:t>
      </w:r>
      <w:r w:rsidR="0011375C" w:rsidRPr="00B14447">
        <w:rPr>
          <w:rFonts w:ascii="Times New Roman" w:hAnsi="Times New Roman"/>
        </w:rPr>
        <w:t> </w:t>
      </w:r>
      <w:r w:rsidRPr="00B14447">
        <w:rPr>
          <w:rFonts w:ascii="Times New Roman" w:hAnsi="Times New Roman"/>
        </w:rPr>
        <w:t>Sherman was first informed of the missed listing date and that the first available listing date would be 1</w:t>
      </w:r>
      <w:r w:rsidR="004F625C" w:rsidRPr="00B14447">
        <w:rPr>
          <w:rFonts w:ascii="Times New Roman" w:hAnsi="Times New Roman"/>
        </w:rPr>
        <w:t> </w:t>
      </w:r>
      <w:r w:rsidRPr="00B14447">
        <w:rPr>
          <w:rFonts w:ascii="Times New Roman" w:hAnsi="Times New Roman"/>
        </w:rPr>
        <w:t>April 200</w:t>
      </w:r>
      <w:r w:rsidR="0011375C" w:rsidRPr="00B14447">
        <w:rPr>
          <w:rFonts w:ascii="Times New Roman" w:hAnsi="Times New Roman"/>
        </w:rPr>
        <w:t>8</w:t>
      </w:r>
      <w:r w:rsidR="004D1056" w:rsidRPr="00B14447">
        <w:rPr>
          <w:rFonts w:ascii="Times New Roman" w:hAnsi="Times New Roman"/>
        </w:rPr>
        <w:t xml:space="preserve">, as set </w:t>
      </w:r>
      <w:r w:rsidR="004D1056" w:rsidRPr="00965770">
        <w:rPr>
          <w:rFonts w:ascii="Times New Roman" w:hAnsi="Times New Roman"/>
        </w:rPr>
        <w:t xml:space="preserve">out </w:t>
      </w:r>
      <w:r w:rsidR="007411DF" w:rsidRPr="00965770">
        <w:rPr>
          <w:rFonts w:ascii="Times New Roman" w:hAnsi="Times New Roman"/>
        </w:rPr>
        <w:t xml:space="preserve">at </w:t>
      </w:r>
      <w:r w:rsidR="004D1056" w:rsidRPr="00965770">
        <w:rPr>
          <w:rFonts w:ascii="Times New Roman" w:hAnsi="Times New Roman"/>
        </w:rPr>
        <w:t>[</w:t>
      </w:r>
      <w:r w:rsidR="00F64B99" w:rsidRPr="00965770">
        <w:rPr>
          <w:rFonts w:ascii="Times New Roman" w:hAnsi="Times New Roman"/>
        </w:rPr>
        <w:t>7</w:t>
      </w:r>
      <w:r w:rsidR="002004FA" w:rsidRPr="00965770">
        <w:rPr>
          <w:rFonts w:ascii="Times New Roman" w:hAnsi="Times New Roman"/>
        </w:rPr>
        <w:t>3</w:t>
      </w:r>
      <w:r w:rsidR="004D1056" w:rsidRPr="00965770">
        <w:rPr>
          <w:rFonts w:ascii="Times New Roman" w:hAnsi="Times New Roman"/>
        </w:rPr>
        <w:t>] above</w:t>
      </w:r>
      <w:r w:rsidRPr="00965770">
        <w:rPr>
          <w:rFonts w:ascii="Times New Roman" w:hAnsi="Times New Roman"/>
        </w:rPr>
        <w:t>. No emphasis was placed on this point and there was nothing to alert Dr</w:t>
      </w:r>
      <w:r w:rsidR="0011375C" w:rsidRPr="00965770">
        <w:rPr>
          <w:rFonts w:ascii="Times New Roman" w:hAnsi="Times New Roman"/>
        </w:rPr>
        <w:t> </w:t>
      </w:r>
      <w:r w:rsidRPr="00965770">
        <w:rPr>
          <w:rFonts w:ascii="Times New Roman" w:hAnsi="Times New Roman"/>
        </w:rPr>
        <w:t>Sherman to the significance of it. Instead, the reply email emphasised (in bold and underlining) only the words "</w:t>
      </w:r>
      <w:r w:rsidR="004F625C" w:rsidRPr="00965770">
        <w:rPr>
          <w:rFonts w:ascii="Times New Roman" w:hAnsi="Times New Roman"/>
        </w:rPr>
        <w:t>[i</w:t>
      </w:r>
      <w:r w:rsidR="00F122E7" w:rsidRPr="00965770">
        <w:rPr>
          <w:rFonts w:ascii="Times New Roman" w:hAnsi="Times New Roman"/>
        </w:rPr>
        <w:t>]</w:t>
      </w:r>
      <w:r w:rsidRPr="00965770">
        <w:rPr>
          <w:rFonts w:ascii="Times New Roman" w:hAnsi="Times New Roman"/>
        </w:rPr>
        <w:t>n this case we will require stock in Australia towards the end of February</w:t>
      </w:r>
      <w:r w:rsidR="00DC1C02" w:rsidRPr="00965770">
        <w:rPr>
          <w:rFonts w:ascii="Times New Roman" w:hAnsi="Times New Roman"/>
        </w:rPr>
        <w:t xml:space="preserve"> </w:t>
      </w:r>
      <w:r w:rsidRPr="00965770">
        <w:rPr>
          <w:rFonts w:ascii="Times New Roman" w:hAnsi="Times New Roman"/>
        </w:rPr>
        <w:t>/ Start March 2008 assuming that we are able to launch"</w:t>
      </w:r>
      <w:r w:rsidR="004F625C" w:rsidRPr="00965770">
        <w:rPr>
          <w:rFonts w:ascii="Times New Roman" w:hAnsi="Times New Roman"/>
        </w:rPr>
        <w:t>,</w:t>
      </w:r>
      <w:r w:rsidR="009E6842" w:rsidRPr="00965770">
        <w:rPr>
          <w:rFonts w:ascii="Times New Roman" w:hAnsi="Times New Roman"/>
        </w:rPr>
        <w:t xml:space="preserve"> as set out at [</w:t>
      </w:r>
      <w:r w:rsidR="004F625C" w:rsidRPr="00965770">
        <w:rPr>
          <w:rFonts w:ascii="Times New Roman" w:hAnsi="Times New Roman"/>
        </w:rPr>
        <w:t>7</w:t>
      </w:r>
      <w:r w:rsidR="002004FA" w:rsidRPr="00965770">
        <w:rPr>
          <w:rFonts w:ascii="Times New Roman" w:hAnsi="Times New Roman"/>
        </w:rPr>
        <w:t>3</w:t>
      </w:r>
      <w:r w:rsidR="009E6842" w:rsidRPr="00965770">
        <w:rPr>
          <w:rFonts w:ascii="Times New Roman" w:hAnsi="Times New Roman"/>
        </w:rPr>
        <w:t>] above</w:t>
      </w:r>
      <w:r w:rsidRPr="00965770">
        <w:rPr>
          <w:rFonts w:ascii="Times New Roman" w:hAnsi="Times New Roman"/>
        </w:rPr>
        <w:t>. Dr</w:t>
      </w:r>
      <w:r w:rsidR="00860AC1" w:rsidRPr="00965770">
        <w:rPr>
          <w:rFonts w:ascii="Times New Roman" w:hAnsi="Times New Roman"/>
        </w:rPr>
        <w:t> </w:t>
      </w:r>
      <w:r w:rsidRPr="00965770">
        <w:rPr>
          <w:rFonts w:ascii="Times New Roman" w:hAnsi="Times New Roman"/>
        </w:rPr>
        <w:t>Sherman replied asking for details about</w:t>
      </w:r>
      <w:r w:rsidRPr="00B14447">
        <w:rPr>
          <w:rFonts w:ascii="Times New Roman" w:hAnsi="Times New Roman"/>
        </w:rPr>
        <w:t xml:space="preserve"> the longevity of the tablets. </w:t>
      </w:r>
    </w:p>
    <w:p w14:paraId="75A13AA4" w14:textId="550C9496" w:rsidR="008E491A" w:rsidRPr="00B14447" w:rsidRDefault="00485D76" w:rsidP="00B14447">
      <w:pPr>
        <w:pStyle w:val="HeadingL2"/>
        <w:spacing w:after="260" w:line="280" w:lineRule="exact"/>
        <w:ind w:right="0"/>
        <w:jc w:val="both"/>
        <w:rPr>
          <w:rFonts w:ascii="Times New Roman" w:hAnsi="Times New Roman"/>
        </w:rPr>
      </w:pPr>
      <w:r w:rsidRPr="00B14447">
        <w:rPr>
          <w:rFonts w:ascii="Times New Roman" w:hAnsi="Times New Roman"/>
        </w:rPr>
        <w:t>(4)</w:t>
      </w:r>
      <w:r w:rsidR="006957C7" w:rsidRPr="00B14447">
        <w:rPr>
          <w:rFonts w:ascii="Times New Roman" w:hAnsi="Times New Roman"/>
        </w:rPr>
        <w:tab/>
      </w:r>
      <w:r w:rsidR="00842C9F" w:rsidRPr="00B14447">
        <w:rPr>
          <w:rFonts w:ascii="Times New Roman" w:hAnsi="Times New Roman"/>
        </w:rPr>
        <w:t>I</w:t>
      </w:r>
      <w:r w:rsidR="008E491A" w:rsidRPr="00B14447">
        <w:rPr>
          <w:rFonts w:ascii="Times New Roman" w:hAnsi="Times New Roman"/>
        </w:rPr>
        <w:t>nterlocutory injunction and undertaking as to damages</w:t>
      </w:r>
    </w:p>
    <w:p w14:paraId="45539DD7" w14:textId="76699F1B"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18</w:t>
      </w:r>
      <w:r w:rsidR="00860AC1" w:rsidRPr="00B14447">
        <w:rPr>
          <w:rFonts w:ascii="Times New Roman" w:hAnsi="Times New Roman"/>
        </w:rPr>
        <w:t> </w:t>
      </w:r>
      <w:r w:rsidRPr="00B14447">
        <w:rPr>
          <w:rFonts w:ascii="Times New Roman" w:hAnsi="Times New Roman"/>
        </w:rPr>
        <w:t>September 2007, Sanofi's application for an interlocutory injunction was heard by Gyles J. Apotex offered to provide security for costs of $50 million if the injunction was not granted. That security for costs would be provided as a bank guarantee but there was no evidence as to the cost to Apotex of the bank guarantee. At the hearing, senior counsel for Apotex "was explicit and direct in stating that Apotex would apply for listing as at 1</w:t>
      </w:r>
      <w:r w:rsidR="001F5CD7" w:rsidRPr="00B14447">
        <w:rPr>
          <w:rFonts w:ascii="Times New Roman" w:hAnsi="Times New Roman"/>
        </w:rPr>
        <w:t> </w:t>
      </w:r>
      <w:r w:rsidRPr="00B14447">
        <w:rPr>
          <w:rFonts w:ascii="Times New Roman" w:hAnsi="Times New Roman"/>
        </w:rPr>
        <w:t xml:space="preserve">April 2008 if there was no </w:t>
      </w:r>
      <w:r w:rsidRPr="00B14447">
        <w:rPr>
          <w:rFonts w:ascii="Times New Roman" w:hAnsi="Times New Roman"/>
        </w:rPr>
        <w:lastRenderedPageBreak/>
        <w:t>interlocutory injunction".</w:t>
      </w:r>
      <w:r w:rsidRPr="00B14447">
        <w:rPr>
          <w:rStyle w:val="FootnoteReference"/>
          <w:rFonts w:ascii="Times New Roman" w:hAnsi="Times New Roman"/>
          <w:sz w:val="24"/>
        </w:rPr>
        <w:footnoteReference w:id="81"/>
      </w:r>
      <w:r w:rsidRPr="00B14447">
        <w:rPr>
          <w:rFonts w:ascii="Times New Roman" w:hAnsi="Times New Roman"/>
        </w:rPr>
        <w:t xml:space="preserve"> </w:t>
      </w:r>
      <w:r w:rsidR="00CB50C2" w:rsidRPr="00B14447">
        <w:rPr>
          <w:rFonts w:ascii="Times New Roman" w:hAnsi="Times New Roman"/>
        </w:rPr>
        <w:t>As to the undertakings as to damages, senior counsel for Sanofi</w:t>
      </w:r>
      <w:r w:rsidR="00B61EDF" w:rsidRPr="00B14447">
        <w:rPr>
          <w:rFonts w:ascii="Times New Roman" w:hAnsi="Times New Roman"/>
        </w:rPr>
        <w:t xml:space="preserve"> said that "</w:t>
      </w:r>
      <w:r w:rsidR="0026132F" w:rsidRPr="00B14447">
        <w:rPr>
          <w:rFonts w:ascii="Times New Roman" w:hAnsi="Times New Roman"/>
        </w:rPr>
        <w:t>[</w:t>
      </w:r>
      <w:r w:rsidR="00B61EDF" w:rsidRPr="00B14447">
        <w:rPr>
          <w:rFonts w:ascii="Times New Roman" w:hAnsi="Times New Roman"/>
        </w:rPr>
        <w:t>t</w:t>
      </w:r>
      <w:r w:rsidR="0026132F" w:rsidRPr="00B14447">
        <w:rPr>
          <w:rFonts w:ascii="Times New Roman" w:hAnsi="Times New Roman"/>
        </w:rPr>
        <w:t>]</w:t>
      </w:r>
      <w:r w:rsidR="00B61EDF" w:rsidRPr="00B14447">
        <w:rPr>
          <w:rFonts w:ascii="Times New Roman" w:hAnsi="Times New Roman"/>
        </w:rPr>
        <w:t>he government hasn't applied to be a party to these proceedings, but our undertakin</w:t>
      </w:r>
      <w:r w:rsidR="005C5FBC" w:rsidRPr="00B14447">
        <w:rPr>
          <w:rFonts w:ascii="Times New Roman" w:hAnsi="Times New Roman"/>
        </w:rPr>
        <w:t>g as to damages ... is not limited to the parties".</w:t>
      </w:r>
    </w:p>
    <w:p w14:paraId="33DB091D" w14:textId="6C92E358"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19</w:t>
      </w:r>
      <w:r w:rsidR="00691ED2" w:rsidRPr="00B14447">
        <w:rPr>
          <w:rFonts w:ascii="Times New Roman" w:hAnsi="Times New Roman"/>
        </w:rPr>
        <w:t> </w:t>
      </w:r>
      <w:r w:rsidRPr="00B14447">
        <w:rPr>
          <w:rFonts w:ascii="Times New Roman" w:hAnsi="Times New Roman"/>
        </w:rPr>
        <w:t xml:space="preserve">September 2007, Mr Millichamp emailed </w:t>
      </w:r>
      <w:r w:rsidR="00691ED2" w:rsidRPr="00B14447">
        <w:rPr>
          <w:rFonts w:ascii="Times New Roman" w:hAnsi="Times New Roman"/>
        </w:rPr>
        <w:t>Dr </w:t>
      </w:r>
      <w:r w:rsidRPr="00B14447">
        <w:rPr>
          <w:rFonts w:ascii="Times New Roman" w:hAnsi="Times New Roman"/>
        </w:rPr>
        <w:t xml:space="preserve">Desai, saying "[w]e are of course hoping that we get some great news on Friday that we are free to sell". This email was not copied to Dr Sherman. </w:t>
      </w:r>
    </w:p>
    <w:p w14:paraId="74F9665D" w14:textId="48BAA322"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21</w:t>
      </w:r>
      <w:r w:rsidR="00691ED2" w:rsidRPr="00B14447">
        <w:rPr>
          <w:rFonts w:ascii="Times New Roman" w:hAnsi="Times New Roman"/>
        </w:rPr>
        <w:t> </w:t>
      </w:r>
      <w:r w:rsidRPr="00B14447">
        <w:rPr>
          <w:rFonts w:ascii="Times New Roman" w:hAnsi="Times New Roman"/>
        </w:rPr>
        <w:t>September 2007, in the Federal Court, Gyles J gave oral reasons for decision, granting the interlocutory injunction to restrain Apotex from engaging</w:t>
      </w:r>
      <w:r w:rsidR="00D518DB" w:rsidRPr="00B14447">
        <w:rPr>
          <w:rFonts w:ascii="Times New Roman" w:hAnsi="Times New Roman"/>
        </w:rPr>
        <w:t xml:space="preserve"> in</w:t>
      </w:r>
      <w:r w:rsidRPr="00B14447">
        <w:rPr>
          <w:rFonts w:ascii="Times New Roman" w:hAnsi="Times New Roman"/>
        </w:rPr>
        <w:t xml:space="preserve"> conduct that would infringe Sanofi's patent. On 25</w:t>
      </w:r>
      <w:r w:rsidR="00D518DB" w:rsidRPr="00B14447">
        <w:rPr>
          <w:rFonts w:ascii="Times New Roman" w:hAnsi="Times New Roman"/>
        </w:rPr>
        <w:t> </w:t>
      </w:r>
      <w:r w:rsidRPr="00B14447">
        <w:rPr>
          <w:rFonts w:ascii="Times New Roman" w:hAnsi="Times New Roman"/>
        </w:rPr>
        <w:t>September 2007, orders to that effect were made by Gyles</w:t>
      </w:r>
      <w:r w:rsidR="00D518DB" w:rsidRPr="00B14447">
        <w:rPr>
          <w:rFonts w:ascii="Times New Roman" w:hAnsi="Times New Roman"/>
        </w:rPr>
        <w:t> </w:t>
      </w:r>
      <w:r w:rsidRPr="00B14447">
        <w:rPr>
          <w:rFonts w:ascii="Times New Roman" w:hAnsi="Times New Roman"/>
        </w:rPr>
        <w:t>J</w:t>
      </w:r>
      <w:r w:rsidR="00A22047" w:rsidRPr="00B14447">
        <w:rPr>
          <w:rFonts w:ascii="Times New Roman" w:hAnsi="Times New Roman"/>
        </w:rPr>
        <w:t>.</w:t>
      </w:r>
      <w:r w:rsidRPr="00B14447">
        <w:rPr>
          <w:rFonts w:ascii="Times New Roman" w:hAnsi="Times New Roman"/>
        </w:rPr>
        <w:t xml:space="preserve"> </w:t>
      </w:r>
    </w:p>
    <w:p w14:paraId="1ED8ECE8" w14:textId="1FFD989C"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interlocutory injunction made by Gyles</w:t>
      </w:r>
      <w:r w:rsidR="00924935" w:rsidRPr="00B14447">
        <w:rPr>
          <w:rFonts w:ascii="Times New Roman" w:hAnsi="Times New Roman"/>
        </w:rPr>
        <w:t> </w:t>
      </w:r>
      <w:r w:rsidRPr="00B14447">
        <w:rPr>
          <w:rFonts w:ascii="Times New Roman" w:hAnsi="Times New Roman"/>
        </w:rPr>
        <w:t>J was made upon Sanofi giving the usual undertaking as to damages, set out in full below. Sanofi's undertaking extended to compensating third parties for losses suffered. Sanofi was aware that a third party who could suffer loss was the appellant, the Commonwealth of Australia, which might have paid lower pharmaceutical subsidies</w:t>
      </w:r>
      <w:r w:rsidR="00105D68" w:rsidRPr="00B14447">
        <w:rPr>
          <w:rFonts w:ascii="Times New Roman" w:hAnsi="Times New Roman"/>
        </w:rPr>
        <w:t>,</w:t>
      </w:r>
      <w:r w:rsidRPr="00B14447">
        <w:rPr>
          <w:rFonts w:ascii="Times New Roman" w:hAnsi="Times New Roman"/>
        </w:rPr>
        <w:t xml:space="preserve"> </w:t>
      </w:r>
      <w:r w:rsidR="009D0DF1" w:rsidRPr="00B14447">
        <w:rPr>
          <w:rFonts w:ascii="Times New Roman" w:hAnsi="Times New Roman"/>
        </w:rPr>
        <w:t>if the injunction had not been made</w:t>
      </w:r>
      <w:r w:rsidR="00105D68" w:rsidRPr="00B14447">
        <w:rPr>
          <w:rFonts w:ascii="Times New Roman" w:hAnsi="Times New Roman"/>
        </w:rPr>
        <w:t>,</w:t>
      </w:r>
      <w:r w:rsidR="009D0DF1" w:rsidRPr="00B14447">
        <w:rPr>
          <w:rFonts w:ascii="Times New Roman" w:hAnsi="Times New Roman"/>
        </w:rPr>
        <w:t xml:space="preserve"> </w:t>
      </w:r>
      <w:r w:rsidRPr="00B14447">
        <w:rPr>
          <w:rFonts w:ascii="Times New Roman" w:hAnsi="Times New Roman"/>
        </w:rPr>
        <w:t>due to the effect of competition in reducing prices. The undertaking and interlocutory injunction were as follows:</w:t>
      </w:r>
    </w:p>
    <w:p w14:paraId="097FD8F7" w14:textId="77777777" w:rsidR="00B14447" w:rsidRDefault="008E491A" w:rsidP="00B14447">
      <w:pPr>
        <w:pStyle w:val="leftright"/>
        <w:spacing w:before="0" w:after="260" w:line="280" w:lineRule="exact"/>
        <w:ind w:right="0"/>
        <w:jc w:val="both"/>
        <w:rPr>
          <w:rFonts w:ascii="Times New Roman" w:hAnsi="Times New Roman"/>
        </w:rPr>
      </w:pPr>
      <w:r w:rsidRPr="00B14447">
        <w:rPr>
          <w:rFonts w:ascii="Times New Roman" w:hAnsi="Times New Roman"/>
          <w:b/>
          <w:bCs/>
        </w:rPr>
        <w:t>"</w:t>
      </w:r>
      <w:r w:rsidRPr="00B14447">
        <w:rPr>
          <w:rFonts w:ascii="Times New Roman" w:hAnsi="Times New Roman"/>
        </w:rPr>
        <w:t>U</w:t>
      </w:r>
      <w:r w:rsidR="00105D68" w:rsidRPr="00B14447">
        <w:rPr>
          <w:rFonts w:ascii="Times New Roman" w:hAnsi="Times New Roman"/>
        </w:rPr>
        <w:t>PON</w:t>
      </w:r>
      <w:r w:rsidRPr="00B14447">
        <w:rPr>
          <w:rFonts w:ascii="Times New Roman" w:hAnsi="Times New Roman"/>
          <w:b/>
          <w:bCs/>
        </w:rPr>
        <w:t xml:space="preserve"> </w:t>
      </w:r>
      <w:r w:rsidRPr="00B14447">
        <w:rPr>
          <w:rFonts w:ascii="Times New Roman" w:hAnsi="Times New Roman"/>
        </w:rPr>
        <w:t>the Respondent/Cross-Claimant [Sanofi] undertaking to the Court to:</w:t>
      </w:r>
    </w:p>
    <w:p w14:paraId="28ADD535" w14:textId="2C63BE14" w:rsidR="008E491A" w:rsidRPr="00B14447" w:rsidRDefault="008E491A" w:rsidP="00B14447">
      <w:pPr>
        <w:pStyle w:val="FootInd"/>
        <w:spacing w:after="260" w:line="280" w:lineRule="exact"/>
        <w:ind w:right="0" w:hanging="720"/>
        <w:jc w:val="both"/>
        <w:rPr>
          <w:rFonts w:ascii="Times New Roman" w:hAnsi="Times New Roman"/>
        </w:rPr>
      </w:pPr>
      <w:r w:rsidRPr="00B14447">
        <w:rPr>
          <w:rFonts w:ascii="Times New Roman" w:hAnsi="Times New Roman"/>
        </w:rPr>
        <w:t>(a)</w:t>
      </w:r>
      <w:r w:rsidR="003706FF" w:rsidRPr="00B14447">
        <w:rPr>
          <w:rFonts w:ascii="Times New Roman" w:hAnsi="Times New Roman"/>
        </w:rPr>
        <w:tab/>
      </w:r>
      <w:r w:rsidRPr="00B14447">
        <w:rPr>
          <w:rFonts w:ascii="Times New Roman" w:hAnsi="Times New Roman"/>
        </w:rPr>
        <w:t>submit to such order (if any) as the Court may consider to be just for the payment of compensation, to be assessed by the Court or as it may direct, to any person whether or not a party, adversely affected by the operation of Order</w:t>
      </w:r>
      <w:r w:rsidR="00D24AA9" w:rsidRPr="00B14447">
        <w:rPr>
          <w:rFonts w:ascii="Times New Roman" w:hAnsi="Times New Roman"/>
        </w:rPr>
        <w:t> </w:t>
      </w:r>
      <w:r w:rsidRPr="00B14447">
        <w:rPr>
          <w:rFonts w:ascii="Times New Roman" w:hAnsi="Times New Roman"/>
        </w:rPr>
        <w:t>1 set out below or any continuation (with or without variation); and</w:t>
      </w:r>
    </w:p>
    <w:p w14:paraId="2FD90C53" w14:textId="1E143039" w:rsidR="008E491A" w:rsidRPr="00B14447" w:rsidRDefault="008E491A" w:rsidP="00B14447">
      <w:pPr>
        <w:pStyle w:val="FootInd"/>
        <w:spacing w:after="260" w:line="280" w:lineRule="exact"/>
        <w:ind w:right="0" w:hanging="720"/>
        <w:jc w:val="both"/>
        <w:rPr>
          <w:rFonts w:ascii="Times New Roman" w:hAnsi="Times New Roman"/>
        </w:rPr>
      </w:pPr>
      <w:r w:rsidRPr="00B14447">
        <w:rPr>
          <w:rFonts w:ascii="Times New Roman" w:hAnsi="Times New Roman"/>
        </w:rPr>
        <w:t>(b)</w:t>
      </w:r>
      <w:r w:rsidR="003706FF" w:rsidRPr="00B14447">
        <w:rPr>
          <w:rFonts w:ascii="Times New Roman" w:hAnsi="Times New Roman"/>
        </w:rPr>
        <w:tab/>
      </w:r>
      <w:r w:rsidRPr="00B14447">
        <w:rPr>
          <w:rFonts w:ascii="Times New Roman" w:hAnsi="Times New Roman"/>
        </w:rPr>
        <w:t>pay the compensation referred to in (a) to the person or persons there referred to.</w:t>
      </w:r>
    </w:p>
    <w:p w14:paraId="7EF73537" w14:textId="77777777" w:rsidR="00B14447" w:rsidRDefault="00841B7E" w:rsidP="00B14447">
      <w:pPr>
        <w:pStyle w:val="leftright"/>
        <w:spacing w:before="0" w:after="260" w:line="280" w:lineRule="exact"/>
        <w:ind w:right="0"/>
        <w:jc w:val="both"/>
        <w:rPr>
          <w:rFonts w:ascii="Times New Roman" w:hAnsi="Times New Roman"/>
          <w:b/>
          <w:bCs/>
        </w:rPr>
      </w:pPr>
      <w:r w:rsidRPr="00B14447">
        <w:rPr>
          <w:rFonts w:ascii="Times New Roman" w:hAnsi="Times New Roman"/>
        </w:rPr>
        <w:t>THE COURT</w:t>
      </w:r>
      <w:r w:rsidR="008E491A" w:rsidRPr="00B14447">
        <w:rPr>
          <w:rFonts w:ascii="Times New Roman" w:hAnsi="Times New Roman"/>
          <w:b/>
          <w:bCs/>
        </w:rPr>
        <w:t>:</w:t>
      </w:r>
    </w:p>
    <w:p w14:paraId="71410218" w14:textId="5F2DE6AC" w:rsidR="008E491A" w:rsidRPr="00B14447" w:rsidRDefault="008E491A" w:rsidP="00B14447">
      <w:pPr>
        <w:pStyle w:val="FootInd"/>
        <w:spacing w:after="260" w:line="280" w:lineRule="exact"/>
        <w:ind w:right="0" w:hanging="720"/>
        <w:jc w:val="both"/>
        <w:rPr>
          <w:rFonts w:ascii="Times New Roman" w:hAnsi="Times New Roman"/>
        </w:rPr>
      </w:pPr>
      <w:r w:rsidRPr="00B14447">
        <w:rPr>
          <w:rFonts w:ascii="Times New Roman" w:hAnsi="Times New Roman"/>
        </w:rPr>
        <w:t>1.</w:t>
      </w:r>
      <w:r w:rsidR="003706FF" w:rsidRPr="00B14447">
        <w:rPr>
          <w:rFonts w:ascii="Times New Roman" w:hAnsi="Times New Roman"/>
        </w:rPr>
        <w:tab/>
      </w:r>
      <w:r w:rsidRPr="00B14447">
        <w:rPr>
          <w:rFonts w:ascii="Times New Roman" w:hAnsi="Times New Roman"/>
        </w:rPr>
        <w:t>O</w:t>
      </w:r>
      <w:r w:rsidR="00105D68" w:rsidRPr="00B14447">
        <w:rPr>
          <w:rFonts w:ascii="Times New Roman" w:hAnsi="Times New Roman"/>
        </w:rPr>
        <w:t>RDERS</w:t>
      </w:r>
      <w:r w:rsidRPr="00B14447">
        <w:rPr>
          <w:rFonts w:ascii="Times New Roman" w:hAnsi="Times New Roman"/>
        </w:rPr>
        <w:t xml:space="preserve"> that, pending the determination of the proceedings or further order, the Applicant/Cross-Respondent [Apotex] whether by itself, its directors, officers, servants, agents or otherwise, be restrained from infringing Australian Letters Patent No 597784 (the </w:t>
      </w:r>
      <w:r w:rsidRPr="00B14447">
        <w:rPr>
          <w:rFonts w:ascii="Times New Roman" w:hAnsi="Times New Roman"/>
          <w:b/>
          <w:bCs/>
        </w:rPr>
        <w:t>Patent</w:t>
      </w:r>
      <w:r w:rsidRPr="00B14447">
        <w:rPr>
          <w:rFonts w:ascii="Times New Roman" w:hAnsi="Times New Roman"/>
        </w:rPr>
        <w:t xml:space="preserve">) and, in particular, from engaging in the following acts within </w:t>
      </w:r>
      <w:r w:rsidRPr="00B14447">
        <w:rPr>
          <w:rFonts w:ascii="Times New Roman" w:hAnsi="Times New Roman"/>
        </w:rPr>
        <w:lastRenderedPageBreak/>
        <w:t xml:space="preserve">the patent area (as that term is defined in </w:t>
      </w:r>
      <w:r w:rsidRPr="00B14447">
        <w:rPr>
          <w:rFonts w:ascii="Times New Roman" w:hAnsi="Times New Roman"/>
          <w:i/>
          <w:iCs/>
        </w:rPr>
        <w:t xml:space="preserve">Patents Act </w:t>
      </w:r>
      <w:r w:rsidRPr="00B14447">
        <w:rPr>
          <w:rFonts w:ascii="Times New Roman" w:hAnsi="Times New Roman"/>
        </w:rPr>
        <w:t>1990 (Cth)), without the license or authority of the Respondent/Cross-Claimant [Sanofi]:</w:t>
      </w:r>
    </w:p>
    <w:p w14:paraId="65FA41D6" w14:textId="6EEA0B80" w:rsidR="008E491A" w:rsidRPr="00B14447" w:rsidRDefault="008E491A" w:rsidP="00B14447">
      <w:pPr>
        <w:pStyle w:val="FootInd"/>
        <w:spacing w:after="260" w:line="280" w:lineRule="exact"/>
        <w:ind w:left="2160" w:right="0" w:hanging="720"/>
        <w:jc w:val="both"/>
        <w:rPr>
          <w:rFonts w:ascii="Times New Roman" w:hAnsi="Times New Roman"/>
        </w:rPr>
      </w:pPr>
      <w:r w:rsidRPr="00B14447">
        <w:rPr>
          <w:rFonts w:ascii="Times New Roman" w:hAnsi="Times New Roman"/>
        </w:rPr>
        <w:t>(a)</w:t>
      </w:r>
      <w:r w:rsidR="003706FF" w:rsidRPr="00B14447">
        <w:rPr>
          <w:rFonts w:ascii="Times New Roman" w:hAnsi="Times New Roman"/>
        </w:rPr>
        <w:tab/>
      </w:r>
      <w:r w:rsidRPr="00B14447">
        <w:rPr>
          <w:rFonts w:ascii="Times New Roman" w:hAnsi="Times New Roman"/>
        </w:rPr>
        <w:t xml:space="preserve">making, selling or otherwise disposing of the products known as GenRx Clopidogrel, Apo-Clopidogrel, Chemmart Clopidogrel and Terry White Chemists Clopidogrel or any other pharmaceutical composition the active ingredient of which is clopidogrel bisulfate, a compound claimed in claims 1, 3, 10 and 11 of the Patent (collectively, the </w:t>
      </w:r>
      <w:r w:rsidRPr="00B14447">
        <w:rPr>
          <w:rFonts w:ascii="Times New Roman" w:hAnsi="Times New Roman"/>
          <w:b/>
          <w:bCs/>
        </w:rPr>
        <w:t>GenRx Clopidogrel Products</w:t>
      </w:r>
      <w:r w:rsidRPr="00B14447">
        <w:rPr>
          <w:rFonts w:ascii="Times New Roman" w:hAnsi="Times New Roman"/>
        </w:rPr>
        <w:t>);</w:t>
      </w:r>
    </w:p>
    <w:p w14:paraId="4CBC96F8" w14:textId="23C82CA8" w:rsidR="008E491A" w:rsidRPr="00B14447" w:rsidRDefault="008E491A" w:rsidP="00B14447">
      <w:pPr>
        <w:pStyle w:val="FootInd"/>
        <w:spacing w:after="260" w:line="280" w:lineRule="exact"/>
        <w:ind w:left="2160" w:right="0" w:hanging="720"/>
        <w:jc w:val="both"/>
        <w:rPr>
          <w:rFonts w:ascii="Times New Roman" w:hAnsi="Times New Roman"/>
        </w:rPr>
      </w:pPr>
      <w:r w:rsidRPr="00B14447">
        <w:rPr>
          <w:rFonts w:ascii="Times New Roman" w:hAnsi="Times New Roman"/>
        </w:rPr>
        <w:t>(b)</w:t>
      </w:r>
      <w:r w:rsidR="003706FF" w:rsidRPr="00B14447">
        <w:rPr>
          <w:rFonts w:ascii="Times New Roman" w:hAnsi="Times New Roman"/>
        </w:rPr>
        <w:tab/>
      </w:r>
      <w:r w:rsidRPr="00B14447">
        <w:rPr>
          <w:rFonts w:ascii="Times New Roman" w:hAnsi="Times New Roman"/>
        </w:rPr>
        <w:t xml:space="preserve">offering to make, sell or otherwise dispose of the GenRx Clopidogrel Products; </w:t>
      </w:r>
    </w:p>
    <w:p w14:paraId="1DB2A447" w14:textId="77777777" w:rsidR="00031E6A" w:rsidRPr="00B14447" w:rsidRDefault="008E491A" w:rsidP="00B14447">
      <w:pPr>
        <w:pStyle w:val="FootInd"/>
        <w:spacing w:after="260" w:line="280" w:lineRule="exact"/>
        <w:ind w:left="2160" w:right="0" w:hanging="720"/>
        <w:jc w:val="both"/>
        <w:rPr>
          <w:rFonts w:ascii="Times New Roman" w:hAnsi="Times New Roman"/>
        </w:rPr>
      </w:pPr>
      <w:r w:rsidRPr="00B14447">
        <w:rPr>
          <w:rFonts w:ascii="Times New Roman" w:hAnsi="Times New Roman"/>
        </w:rPr>
        <w:t>(c)</w:t>
      </w:r>
      <w:r w:rsidR="003706FF" w:rsidRPr="00B14447">
        <w:rPr>
          <w:rFonts w:ascii="Times New Roman" w:hAnsi="Times New Roman"/>
        </w:rPr>
        <w:tab/>
      </w:r>
      <w:r w:rsidRPr="00B14447">
        <w:rPr>
          <w:rFonts w:ascii="Times New Roman" w:hAnsi="Times New Roman"/>
        </w:rPr>
        <w:t xml:space="preserve">using or importing the GenRx Clopidogrel Products; </w:t>
      </w:r>
    </w:p>
    <w:p w14:paraId="1922D081" w14:textId="3471EAD9" w:rsidR="00D879DF" w:rsidRPr="00B14447" w:rsidRDefault="008E491A" w:rsidP="00B14447">
      <w:pPr>
        <w:pStyle w:val="FootInd"/>
        <w:spacing w:after="260" w:line="280" w:lineRule="exact"/>
        <w:ind w:left="2160" w:right="0" w:hanging="720"/>
        <w:jc w:val="both"/>
        <w:rPr>
          <w:rFonts w:ascii="Times New Roman" w:hAnsi="Times New Roman"/>
        </w:rPr>
      </w:pPr>
      <w:r w:rsidRPr="00B14447">
        <w:rPr>
          <w:rFonts w:ascii="Times New Roman" w:hAnsi="Times New Roman"/>
        </w:rPr>
        <w:t>(d)</w:t>
      </w:r>
      <w:r w:rsidR="003706FF" w:rsidRPr="00B14447">
        <w:rPr>
          <w:rFonts w:ascii="Times New Roman" w:hAnsi="Times New Roman"/>
        </w:rPr>
        <w:tab/>
      </w:r>
      <w:r w:rsidRPr="00B14447">
        <w:rPr>
          <w:rFonts w:ascii="Times New Roman" w:hAnsi="Times New Roman"/>
        </w:rPr>
        <w:t>keeping the GenRx Clopidogrel Products for the purpose of doing any of the acts described in sub-paragraphs</w:t>
      </w:r>
      <w:r w:rsidR="00FD71F8" w:rsidRPr="00B14447">
        <w:rPr>
          <w:rFonts w:ascii="Times New Roman" w:hAnsi="Times New Roman"/>
        </w:rPr>
        <w:t> </w:t>
      </w:r>
      <w:r w:rsidRPr="00B14447">
        <w:rPr>
          <w:rFonts w:ascii="Times New Roman" w:hAnsi="Times New Roman"/>
        </w:rPr>
        <w:t>(a) to (c) above;</w:t>
      </w:r>
    </w:p>
    <w:p w14:paraId="68BC0B80" w14:textId="77777777" w:rsidR="00B14447" w:rsidRDefault="008E491A" w:rsidP="00B14447">
      <w:pPr>
        <w:pStyle w:val="FootInd"/>
        <w:spacing w:after="260" w:line="280" w:lineRule="exact"/>
        <w:ind w:left="2160" w:right="0" w:hanging="720"/>
        <w:jc w:val="both"/>
        <w:rPr>
          <w:rFonts w:ascii="Times New Roman" w:hAnsi="Times New Roman"/>
        </w:rPr>
      </w:pPr>
      <w:r w:rsidRPr="00B14447">
        <w:rPr>
          <w:rFonts w:ascii="Times New Roman" w:hAnsi="Times New Roman"/>
        </w:rPr>
        <w:t>(e)</w:t>
      </w:r>
      <w:r w:rsidR="003706FF" w:rsidRPr="00B14447">
        <w:rPr>
          <w:rFonts w:ascii="Times New Roman" w:hAnsi="Times New Roman"/>
        </w:rPr>
        <w:tab/>
      </w:r>
      <w:r w:rsidRPr="00B14447">
        <w:rPr>
          <w:rFonts w:ascii="Times New Roman" w:hAnsi="Times New Roman"/>
        </w:rPr>
        <w:t>authorising other people to engage in any of the acts described in subparagraphs</w:t>
      </w:r>
      <w:r w:rsidR="00FD71F8" w:rsidRPr="00B14447">
        <w:rPr>
          <w:rFonts w:ascii="Times New Roman" w:hAnsi="Times New Roman"/>
        </w:rPr>
        <w:t> </w:t>
      </w:r>
      <w:r w:rsidRPr="00B14447">
        <w:rPr>
          <w:rFonts w:ascii="Times New Roman" w:hAnsi="Times New Roman"/>
        </w:rPr>
        <w:t>(a) to (d) above..."</w:t>
      </w:r>
    </w:p>
    <w:p w14:paraId="41726AE0" w14:textId="773FE188" w:rsidR="008E491A" w:rsidRPr="00B14447" w:rsidRDefault="006A683C" w:rsidP="00B14447">
      <w:pPr>
        <w:pStyle w:val="HeadingL2"/>
        <w:spacing w:after="260" w:line="280" w:lineRule="exact"/>
        <w:ind w:right="0"/>
        <w:jc w:val="both"/>
        <w:rPr>
          <w:rFonts w:ascii="Times New Roman" w:hAnsi="Times New Roman"/>
        </w:rPr>
      </w:pPr>
      <w:r w:rsidRPr="00B14447">
        <w:rPr>
          <w:rFonts w:ascii="Times New Roman" w:hAnsi="Times New Roman"/>
        </w:rPr>
        <w:t>(5)</w:t>
      </w:r>
      <w:r w:rsidR="006957C7" w:rsidRPr="00B14447">
        <w:rPr>
          <w:rFonts w:ascii="Times New Roman" w:hAnsi="Times New Roman"/>
        </w:rPr>
        <w:tab/>
      </w:r>
      <w:r w:rsidR="00842C9F" w:rsidRPr="00B14447">
        <w:rPr>
          <w:rFonts w:ascii="Times New Roman" w:hAnsi="Times New Roman"/>
        </w:rPr>
        <w:t>E</w:t>
      </w:r>
      <w:r w:rsidR="008E491A" w:rsidRPr="00B14447">
        <w:rPr>
          <w:rFonts w:ascii="Times New Roman" w:hAnsi="Times New Roman"/>
        </w:rPr>
        <w:t>vents after the interlocutory injunction</w:t>
      </w:r>
    </w:p>
    <w:p w14:paraId="5D7ADCBA" w14:textId="0A8E1704"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interlocutory injunction, supported by the undertaking as to damages, had been expressed to be "pending the determination of the proceedings or further order". As Gyles</w:t>
      </w:r>
      <w:r w:rsidR="00B62D22" w:rsidRPr="00B14447">
        <w:rPr>
          <w:rFonts w:ascii="Times New Roman" w:hAnsi="Times New Roman"/>
        </w:rPr>
        <w:t> </w:t>
      </w:r>
      <w:r w:rsidRPr="00B14447">
        <w:rPr>
          <w:rFonts w:ascii="Times New Roman" w:hAnsi="Times New Roman"/>
        </w:rPr>
        <w:t>J had informed the parties on 21</w:t>
      </w:r>
      <w:r w:rsidR="00B62D22" w:rsidRPr="00B14447">
        <w:rPr>
          <w:rFonts w:ascii="Times New Roman" w:hAnsi="Times New Roman"/>
        </w:rPr>
        <w:t> </w:t>
      </w:r>
      <w:r w:rsidRPr="00B14447">
        <w:rPr>
          <w:rFonts w:ascii="Times New Roman" w:hAnsi="Times New Roman"/>
        </w:rPr>
        <w:t xml:space="preserve">September 2007, the hearing concerning </w:t>
      </w:r>
      <w:r w:rsidR="002356A4" w:rsidRPr="00B14447">
        <w:rPr>
          <w:rFonts w:ascii="Times New Roman" w:hAnsi="Times New Roman"/>
        </w:rPr>
        <w:t>the "</w:t>
      </w:r>
      <w:r w:rsidRPr="00B14447">
        <w:rPr>
          <w:rFonts w:ascii="Times New Roman" w:hAnsi="Times New Roman"/>
        </w:rPr>
        <w:t>further order</w:t>
      </w:r>
      <w:r w:rsidR="00B62D22" w:rsidRPr="00B14447">
        <w:rPr>
          <w:rFonts w:ascii="Times New Roman" w:hAnsi="Times New Roman"/>
        </w:rPr>
        <w:t>[</w:t>
      </w:r>
      <w:r w:rsidRPr="00B14447">
        <w:rPr>
          <w:rFonts w:ascii="Times New Roman" w:hAnsi="Times New Roman"/>
        </w:rPr>
        <w:t>s</w:t>
      </w:r>
      <w:r w:rsidR="00B62D22" w:rsidRPr="00B14447">
        <w:rPr>
          <w:rFonts w:ascii="Times New Roman" w:hAnsi="Times New Roman"/>
        </w:rPr>
        <w:t>]</w:t>
      </w:r>
      <w:r w:rsidR="002356A4" w:rsidRPr="00B14447">
        <w:rPr>
          <w:rFonts w:ascii="Times New Roman" w:hAnsi="Times New Roman"/>
        </w:rPr>
        <w:t>"</w:t>
      </w:r>
      <w:r w:rsidRPr="00B14447">
        <w:rPr>
          <w:rFonts w:ascii="Times New Roman" w:hAnsi="Times New Roman"/>
        </w:rPr>
        <w:t xml:space="preserve">, including the validity of Sanofi's patent and the final injunction, </w:t>
      </w:r>
      <w:r w:rsidR="00600FCF" w:rsidRPr="00B14447">
        <w:rPr>
          <w:rFonts w:ascii="Times New Roman" w:hAnsi="Times New Roman"/>
        </w:rPr>
        <w:t>commenced</w:t>
      </w:r>
      <w:r w:rsidRPr="00B14447">
        <w:rPr>
          <w:rFonts w:ascii="Times New Roman" w:hAnsi="Times New Roman"/>
        </w:rPr>
        <w:t xml:space="preserve"> on 28</w:t>
      </w:r>
      <w:r w:rsidR="0060586C" w:rsidRPr="00B14447">
        <w:rPr>
          <w:rFonts w:ascii="Times New Roman" w:hAnsi="Times New Roman"/>
        </w:rPr>
        <w:t> </w:t>
      </w:r>
      <w:r w:rsidRPr="00B14447">
        <w:rPr>
          <w:rFonts w:ascii="Times New Roman" w:hAnsi="Times New Roman"/>
        </w:rPr>
        <w:t xml:space="preserve">April 2008. This </w:t>
      </w:r>
      <w:r w:rsidR="00436392" w:rsidRPr="00B14447">
        <w:rPr>
          <w:rFonts w:ascii="Times New Roman" w:hAnsi="Times New Roman"/>
        </w:rPr>
        <w:t xml:space="preserve">start date of the </w:t>
      </w:r>
      <w:r w:rsidRPr="00B14447">
        <w:rPr>
          <w:rFonts w:ascii="Times New Roman" w:hAnsi="Times New Roman"/>
        </w:rPr>
        <w:t>hearing was a mere four weeks after the earliest date when Apotex could have obtained PBS listing in order to launch at risk</w:t>
      </w:r>
      <w:r w:rsidR="0060586C" w:rsidRPr="00B14447">
        <w:rPr>
          <w:rFonts w:ascii="Times New Roman" w:hAnsi="Times New Roman"/>
        </w:rPr>
        <w:t>, had the interlocutory injunction not been made</w:t>
      </w:r>
      <w:r w:rsidRPr="00B14447">
        <w:rPr>
          <w:rFonts w:ascii="Times New Roman" w:hAnsi="Times New Roman"/>
        </w:rPr>
        <w:t>.</w:t>
      </w:r>
      <w:r w:rsidR="00436392" w:rsidRPr="00B14447">
        <w:rPr>
          <w:rFonts w:ascii="Times New Roman" w:hAnsi="Times New Roman"/>
        </w:rPr>
        <w:t xml:space="preserve"> The trial ran for </w:t>
      </w:r>
      <w:r w:rsidR="0060586C" w:rsidRPr="00B14447">
        <w:rPr>
          <w:rFonts w:ascii="Times New Roman" w:hAnsi="Times New Roman"/>
        </w:rPr>
        <w:t>11</w:t>
      </w:r>
      <w:r w:rsidR="00436392" w:rsidRPr="00B14447">
        <w:rPr>
          <w:rFonts w:ascii="Times New Roman" w:hAnsi="Times New Roman"/>
        </w:rPr>
        <w:t xml:space="preserve"> days. The last hearing date was </w:t>
      </w:r>
      <w:r w:rsidR="00594A4C" w:rsidRPr="00B14447">
        <w:rPr>
          <w:rFonts w:ascii="Times New Roman" w:hAnsi="Times New Roman"/>
        </w:rPr>
        <w:t>15</w:t>
      </w:r>
      <w:r w:rsidR="0060586C" w:rsidRPr="00B14447">
        <w:rPr>
          <w:rFonts w:ascii="Times New Roman" w:hAnsi="Times New Roman"/>
        </w:rPr>
        <w:t> </w:t>
      </w:r>
      <w:r w:rsidR="00594A4C" w:rsidRPr="00B14447">
        <w:rPr>
          <w:rFonts w:ascii="Times New Roman" w:hAnsi="Times New Roman"/>
        </w:rPr>
        <w:t>May 2008</w:t>
      </w:r>
      <w:r w:rsidR="00D72B6F" w:rsidRPr="00B14447">
        <w:rPr>
          <w:rFonts w:ascii="Times New Roman" w:hAnsi="Times New Roman"/>
        </w:rPr>
        <w:t>.</w:t>
      </w:r>
      <w:r w:rsidR="0019348F" w:rsidRPr="00B14447">
        <w:rPr>
          <w:rStyle w:val="FootnoteReference"/>
          <w:rFonts w:ascii="Times New Roman" w:hAnsi="Times New Roman"/>
          <w:sz w:val="24"/>
        </w:rPr>
        <w:footnoteReference w:id="82"/>
      </w:r>
    </w:p>
    <w:p w14:paraId="4D72C51A" w14:textId="365316E6"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28</w:t>
      </w:r>
      <w:r w:rsidR="00C30069" w:rsidRPr="00B14447">
        <w:rPr>
          <w:rFonts w:ascii="Times New Roman" w:hAnsi="Times New Roman"/>
        </w:rPr>
        <w:t> </w:t>
      </w:r>
      <w:r w:rsidRPr="00B14447">
        <w:rPr>
          <w:rFonts w:ascii="Times New Roman" w:hAnsi="Times New Roman"/>
        </w:rPr>
        <w:t>July 2008, Mr</w:t>
      </w:r>
      <w:r w:rsidR="00C30069" w:rsidRPr="00B14447">
        <w:rPr>
          <w:rFonts w:ascii="Times New Roman" w:hAnsi="Times New Roman"/>
        </w:rPr>
        <w:t> </w:t>
      </w:r>
      <w:r w:rsidRPr="00B14447">
        <w:rPr>
          <w:rFonts w:ascii="Times New Roman" w:hAnsi="Times New Roman"/>
        </w:rPr>
        <w:t xml:space="preserve">Millichamp provided </w:t>
      </w:r>
      <w:r w:rsidR="00A83DB0" w:rsidRPr="00B14447">
        <w:rPr>
          <w:rFonts w:ascii="Times New Roman" w:hAnsi="Times New Roman"/>
        </w:rPr>
        <w:t xml:space="preserve">Mr Kay, by email, </w:t>
      </w:r>
      <w:r w:rsidRPr="00B14447">
        <w:rPr>
          <w:rFonts w:ascii="Times New Roman" w:hAnsi="Times New Roman"/>
        </w:rPr>
        <w:t>a set of risk/reward calculations for scenarios including the decision that would need to be made if there were success</w:t>
      </w:r>
      <w:r w:rsidR="00A83DB0" w:rsidRPr="00B14447">
        <w:rPr>
          <w:rFonts w:ascii="Times New Roman" w:hAnsi="Times New Roman"/>
        </w:rPr>
        <w:t xml:space="preserve"> at trial</w:t>
      </w:r>
      <w:r w:rsidRPr="00B14447">
        <w:rPr>
          <w:rFonts w:ascii="Times New Roman" w:hAnsi="Times New Roman"/>
        </w:rPr>
        <w:t xml:space="preserve"> in invalidating Sanofi's patent</w:t>
      </w:r>
      <w:r w:rsidR="00420CB2" w:rsidRPr="00B14447">
        <w:rPr>
          <w:rFonts w:ascii="Times New Roman" w:hAnsi="Times New Roman"/>
        </w:rPr>
        <w:t>:</w:t>
      </w:r>
      <w:r w:rsidRPr="00B14447">
        <w:rPr>
          <w:rFonts w:ascii="Times New Roman" w:hAnsi="Times New Roman"/>
        </w:rPr>
        <w:t xml:space="preserve"> "whether or not to launch at risk of the Full Court reversing the judgment on appeal". Mr</w:t>
      </w:r>
      <w:r w:rsidR="00C30069" w:rsidRPr="00B14447">
        <w:rPr>
          <w:rFonts w:ascii="Times New Roman" w:hAnsi="Times New Roman"/>
        </w:rPr>
        <w:t> </w:t>
      </w:r>
      <w:r w:rsidRPr="00B14447">
        <w:rPr>
          <w:rFonts w:ascii="Times New Roman" w:hAnsi="Times New Roman"/>
        </w:rPr>
        <w:t>Millichamp explained that</w:t>
      </w:r>
      <w:r w:rsidR="0078261A" w:rsidRPr="00B14447">
        <w:rPr>
          <w:rFonts w:ascii="Times New Roman" w:hAnsi="Times New Roman"/>
        </w:rPr>
        <w:t>,</w:t>
      </w:r>
      <w:r w:rsidRPr="00B14447">
        <w:rPr>
          <w:rFonts w:ascii="Times New Roman" w:hAnsi="Times New Roman"/>
        </w:rPr>
        <w:t xml:space="preserve"> although the preferred position in Australia was to </w:t>
      </w:r>
      <w:r w:rsidRPr="00B14447">
        <w:rPr>
          <w:rFonts w:ascii="Times New Roman" w:hAnsi="Times New Roman"/>
        </w:rPr>
        <w:lastRenderedPageBreak/>
        <w:t>launch</w:t>
      </w:r>
      <w:r w:rsidR="00934656" w:rsidRPr="00B14447">
        <w:rPr>
          <w:rFonts w:ascii="Times New Roman" w:hAnsi="Times New Roman"/>
        </w:rPr>
        <w:t>,</w:t>
      </w:r>
      <w:r w:rsidRPr="00B14447">
        <w:rPr>
          <w:rFonts w:ascii="Times New Roman" w:hAnsi="Times New Roman"/>
        </w:rPr>
        <w:t xml:space="preserve"> the potential exposure to damages could be in the range of $166</w:t>
      </w:r>
      <w:r w:rsidR="00C30069" w:rsidRPr="00B14447">
        <w:rPr>
          <w:rFonts w:ascii="Times New Roman" w:hAnsi="Times New Roman"/>
        </w:rPr>
        <w:t> </w:t>
      </w:r>
      <w:r w:rsidRPr="00B14447">
        <w:rPr>
          <w:rFonts w:ascii="Times New Roman" w:hAnsi="Times New Roman"/>
        </w:rPr>
        <w:t>million. Mr</w:t>
      </w:r>
      <w:r w:rsidR="00C30069" w:rsidRPr="00B14447">
        <w:rPr>
          <w:rFonts w:ascii="Times New Roman" w:hAnsi="Times New Roman"/>
        </w:rPr>
        <w:t> </w:t>
      </w:r>
      <w:r w:rsidRPr="00B14447">
        <w:rPr>
          <w:rFonts w:ascii="Times New Roman" w:hAnsi="Times New Roman"/>
        </w:rPr>
        <w:t xml:space="preserve">Millichamp asked if Apotex Canada "is comfortable for us to launch at risk of Full Court reversal on Sanofi appeal knowing the potential risk of damages should Sanofi prevail". </w:t>
      </w:r>
    </w:p>
    <w:p w14:paraId="4700681D" w14:textId="494668F3"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4</w:t>
      </w:r>
      <w:r w:rsidR="00BB2A0E" w:rsidRPr="00B14447">
        <w:rPr>
          <w:rFonts w:ascii="Times New Roman" w:hAnsi="Times New Roman"/>
        </w:rPr>
        <w:t> </w:t>
      </w:r>
      <w:r w:rsidRPr="00B14447">
        <w:rPr>
          <w:rFonts w:ascii="Times New Roman" w:hAnsi="Times New Roman"/>
        </w:rPr>
        <w:t>August 2008, Mr</w:t>
      </w:r>
      <w:r w:rsidR="00C30069" w:rsidRPr="00B14447">
        <w:rPr>
          <w:rFonts w:ascii="Times New Roman" w:hAnsi="Times New Roman"/>
        </w:rPr>
        <w:t> </w:t>
      </w:r>
      <w:r w:rsidRPr="00B14447">
        <w:rPr>
          <w:rFonts w:ascii="Times New Roman" w:hAnsi="Times New Roman"/>
        </w:rPr>
        <w:t>Smith (the Chief Financial Officer of Apotex Australia) emailed various people</w:t>
      </w:r>
      <w:r w:rsidR="00BB2A0E" w:rsidRPr="00B14447">
        <w:rPr>
          <w:rFonts w:ascii="Times New Roman" w:hAnsi="Times New Roman"/>
        </w:rPr>
        <w:t>,</w:t>
      </w:r>
      <w:r w:rsidRPr="00B14447">
        <w:rPr>
          <w:rFonts w:ascii="Times New Roman" w:hAnsi="Times New Roman"/>
        </w:rPr>
        <w:t xml:space="preserve"> including Mr</w:t>
      </w:r>
      <w:r w:rsidR="00BB2A0E" w:rsidRPr="00B14447">
        <w:rPr>
          <w:rFonts w:ascii="Times New Roman" w:hAnsi="Times New Roman"/>
        </w:rPr>
        <w:t> </w:t>
      </w:r>
      <w:r w:rsidRPr="00B14447">
        <w:rPr>
          <w:rFonts w:ascii="Times New Roman" w:hAnsi="Times New Roman"/>
        </w:rPr>
        <w:t>Millichamp</w:t>
      </w:r>
      <w:r w:rsidR="00BB2A0E" w:rsidRPr="00B14447">
        <w:rPr>
          <w:rFonts w:ascii="Times New Roman" w:hAnsi="Times New Roman"/>
        </w:rPr>
        <w:t>,</w:t>
      </w:r>
      <w:r w:rsidRPr="00B14447">
        <w:rPr>
          <w:rFonts w:ascii="Times New Roman" w:hAnsi="Times New Roman"/>
        </w:rPr>
        <w:t xml:space="preserve"> saying:</w:t>
      </w:r>
    </w:p>
    <w:p w14:paraId="62253084" w14:textId="77777777" w:rsidR="00B14447" w:rsidRDefault="008E491A" w:rsidP="00B14447">
      <w:pPr>
        <w:pStyle w:val="LeftrightafterHC"/>
        <w:spacing w:before="0" w:after="260" w:line="280" w:lineRule="exact"/>
        <w:ind w:right="0"/>
        <w:jc w:val="both"/>
        <w:rPr>
          <w:rFonts w:ascii="Times New Roman" w:hAnsi="Times New Roman"/>
        </w:rPr>
      </w:pPr>
      <w:r w:rsidRPr="00B14447">
        <w:rPr>
          <w:rFonts w:ascii="Times New Roman" w:hAnsi="Times New Roman"/>
        </w:rPr>
        <w:t>"If the Court finds in our favour, then it is likely we will launch but it is not an automatic decision. In this situation</w:t>
      </w:r>
      <w:r w:rsidR="003474C9" w:rsidRPr="00B14447">
        <w:rPr>
          <w:rFonts w:ascii="Times New Roman" w:hAnsi="Times New Roman"/>
        </w:rPr>
        <w:t>,</w:t>
      </w:r>
      <w:r w:rsidRPr="00B14447">
        <w:rPr>
          <w:rFonts w:ascii="Times New Roman" w:hAnsi="Times New Roman"/>
        </w:rPr>
        <w:t xml:space="preserve"> the innovator (Sanofi) w</w:t>
      </w:r>
      <w:r w:rsidR="00387F09" w:rsidRPr="00B14447">
        <w:rPr>
          <w:rFonts w:ascii="Times New Roman" w:hAnsi="Times New Roman"/>
        </w:rPr>
        <w:t>ould</w:t>
      </w:r>
      <w:r w:rsidRPr="00B14447">
        <w:rPr>
          <w:rFonts w:ascii="Times New Roman" w:hAnsi="Times New Roman"/>
        </w:rPr>
        <w:t xml:space="preserve"> inevitably appeal - and that may require Apotex to give guarantees against possible damages should </w:t>
      </w:r>
      <w:r w:rsidR="003474C9" w:rsidRPr="00B14447">
        <w:rPr>
          <w:rFonts w:ascii="Times New Roman" w:hAnsi="Times New Roman"/>
        </w:rPr>
        <w:t>w</w:t>
      </w:r>
      <w:r w:rsidRPr="00B14447">
        <w:rPr>
          <w:rFonts w:ascii="Times New Roman" w:hAnsi="Times New Roman"/>
        </w:rPr>
        <w:t>e lose the appeal. The numbers are very large and this will not be a decision made in Australia!"</w:t>
      </w:r>
    </w:p>
    <w:p w14:paraId="28DE7595" w14:textId="6DEAC219"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On </w:t>
      </w:r>
      <w:r w:rsidR="00CF5599" w:rsidRPr="00B14447">
        <w:rPr>
          <w:rFonts w:ascii="Times New Roman" w:hAnsi="Times New Roman"/>
        </w:rPr>
        <w:t>6 </w:t>
      </w:r>
      <w:r w:rsidRPr="00B14447">
        <w:rPr>
          <w:rFonts w:ascii="Times New Roman" w:hAnsi="Times New Roman"/>
        </w:rPr>
        <w:t xml:space="preserve">August 2008, </w:t>
      </w:r>
      <w:r w:rsidR="003474C9" w:rsidRPr="00B14447">
        <w:rPr>
          <w:rFonts w:ascii="Times New Roman" w:hAnsi="Times New Roman"/>
        </w:rPr>
        <w:t xml:space="preserve">in </w:t>
      </w:r>
      <w:r w:rsidR="00954836" w:rsidRPr="00B14447">
        <w:rPr>
          <w:rFonts w:ascii="Times New Roman" w:hAnsi="Times New Roman"/>
        </w:rPr>
        <w:t xml:space="preserve">an </w:t>
      </w:r>
      <w:r w:rsidR="000D1F0D" w:rsidRPr="00B14447">
        <w:rPr>
          <w:rFonts w:ascii="Times New Roman" w:hAnsi="Times New Roman"/>
        </w:rPr>
        <w:t xml:space="preserve">email chain which included Mr Millichamp's email of 28 July 2008 </w:t>
      </w:r>
      <w:r w:rsidR="000369B1" w:rsidRPr="00B14447">
        <w:rPr>
          <w:rFonts w:ascii="Times New Roman" w:hAnsi="Times New Roman"/>
        </w:rPr>
        <w:t>(</w:t>
      </w:r>
      <w:r w:rsidR="000D1F0D" w:rsidRPr="00B14447">
        <w:rPr>
          <w:rFonts w:ascii="Times New Roman" w:hAnsi="Times New Roman"/>
        </w:rPr>
        <w:t>which provided</w:t>
      </w:r>
      <w:r w:rsidRPr="00B14447">
        <w:rPr>
          <w:rFonts w:ascii="Times New Roman" w:hAnsi="Times New Roman"/>
        </w:rPr>
        <w:t xml:space="preserve"> the risk/reward calculations</w:t>
      </w:r>
      <w:r w:rsidR="000369B1" w:rsidRPr="00B14447">
        <w:rPr>
          <w:rFonts w:ascii="Times New Roman" w:hAnsi="Times New Roman"/>
        </w:rPr>
        <w:t>)</w:t>
      </w:r>
      <w:r w:rsidRPr="00B14447">
        <w:rPr>
          <w:rFonts w:ascii="Times New Roman" w:hAnsi="Times New Roman"/>
        </w:rPr>
        <w:t>, Mr Kay emailed Mr</w:t>
      </w:r>
      <w:r w:rsidR="00F35EB5" w:rsidRPr="00B14447">
        <w:rPr>
          <w:rFonts w:ascii="Times New Roman" w:hAnsi="Times New Roman"/>
        </w:rPr>
        <w:t> </w:t>
      </w:r>
      <w:r w:rsidRPr="00B14447">
        <w:rPr>
          <w:rFonts w:ascii="Times New Roman" w:hAnsi="Times New Roman"/>
        </w:rPr>
        <w:t>Millichamp saying:</w:t>
      </w:r>
    </w:p>
    <w:p w14:paraId="3F3EA41E" w14:textId="77777777" w:rsidR="00B14447" w:rsidRDefault="008E491A" w:rsidP="00B14447">
      <w:pPr>
        <w:pStyle w:val="LeftrightafterHC"/>
        <w:spacing w:before="0" w:after="260" w:line="280" w:lineRule="exact"/>
        <w:ind w:right="0"/>
        <w:jc w:val="both"/>
        <w:rPr>
          <w:rFonts w:ascii="Times New Roman" w:hAnsi="Times New Roman"/>
        </w:rPr>
      </w:pPr>
      <w:r w:rsidRPr="00B14447">
        <w:rPr>
          <w:rFonts w:ascii="Times New Roman" w:hAnsi="Times New Roman"/>
        </w:rPr>
        <w:t xml:space="preserve">"Thinking further about it, I wonder if the best outcome would be that we win at first instance, </w:t>
      </w:r>
      <w:r w:rsidR="006C2521" w:rsidRPr="00B14447">
        <w:rPr>
          <w:rFonts w:ascii="Times New Roman" w:hAnsi="Times New Roman"/>
        </w:rPr>
        <w:t>[Sanofi</w:t>
      </w:r>
      <w:r w:rsidR="000D0256" w:rsidRPr="00B14447">
        <w:rPr>
          <w:rFonts w:ascii="Times New Roman" w:hAnsi="Times New Roman"/>
        </w:rPr>
        <w:t>]</w:t>
      </w:r>
      <w:r w:rsidRPr="00B14447">
        <w:rPr>
          <w:rFonts w:ascii="Times New Roman" w:hAnsi="Times New Roman"/>
        </w:rPr>
        <w:t xml:space="preserve"> appeal and the injunction remains in place pending appeal. That way, we don't expose ourselves to potentially ruinous damages, but would collect damages off </w:t>
      </w:r>
      <w:r w:rsidR="000D0256" w:rsidRPr="00B14447">
        <w:rPr>
          <w:rFonts w:ascii="Times New Roman" w:hAnsi="Times New Roman"/>
        </w:rPr>
        <w:t>[Sanofi]</w:t>
      </w:r>
      <w:r w:rsidRPr="00B14447">
        <w:rPr>
          <w:rFonts w:ascii="Times New Roman" w:hAnsi="Times New Roman"/>
        </w:rPr>
        <w:t xml:space="preserve"> for the further period of being off the market in the event </w:t>
      </w:r>
      <w:r w:rsidR="000D0256" w:rsidRPr="00B14447">
        <w:rPr>
          <w:rFonts w:ascii="Times New Roman" w:hAnsi="Times New Roman"/>
        </w:rPr>
        <w:t>[Sanofi's]</w:t>
      </w:r>
      <w:r w:rsidRPr="00B14447">
        <w:rPr>
          <w:rFonts w:ascii="Times New Roman" w:hAnsi="Times New Roman"/>
        </w:rPr>
        <w:t xml:space="preserve"> appeal fails." </w:t>
      </w:r>
    </w:p>
    <w:p w14:paraId="251630C6" w14:textId="7F06B444"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12</w:t>
      </w:r>
      <w:r w:rsidR="000D0256" w:rsidRPr="00B14447">
        <w:rPr>
          <w:rFonts w:ascii="Times New Roman" w:hAnsi="Times New Roman"/>
        </w:rPr>
        <w:t> </w:t>
      </w:r>
      <w:r w:rsidRPr="00B14447">
        <w:rPr>
          <w:rFonts w:ascii="Times New Roman" w:hAnsi="Times New Roman"/>
        </w:rPr>
        <w:t>August 2008, Mr</w:t>
      </w:r>
      <w:r w:rsidR="000D0256" w:rsidRPr="00B14447">
        <w:rPr>
          <w:rFonts w:ascii="Times New Roman" w:hAnsi="Times New Roman"/>
        </w:rPr>
        <w:t> </w:t>
      </w:r>
      <w:r w:rsidRPr="00B14447">
        <w:rPr>
          <w:rFonts w:ascii="Times New Roman" w:hAnsi="Times New Roman"/>
        </w:rPr>
        <w:t>Kay emailed Mr</w:t>
      </w:r>
      <w:r w:rsidR="000D0256" w:rsidRPr="00B14447">
        <w:rPr>
          <w:rFonts w:ascii="Times New Roman" w:hAnsi="Times New Roman"/>
        </w:rPr>
        <w:t> </w:t>
      </w:r>
      <w:r w:rsidRPr="00B14447">
        <w:rPr>
          <w:rFonts w:ascii="Times New Roman" w:hAnsi="Times New Roman"/>
        </w:rPr>
        <w:t>Millichamp saying:</w:t>
      </w:r>
    </w:p>
    <w:p w14:paraId="18B4F812" w14:textId="77777777" w:rsidR="00B14447" w:rsidRDefault="008E491A" w:rsidP="00B14447">
      <w:pPr>
        <w:pStyle w:val="LeftrightafterHC"/>
        <w:spacing w:before="0" w:after="260" w:line="280" w:lineRule="exact"/>
        <w:ind w:right="0"/>
        <w:jc w:val="both"/>
        <w:rPr>
          <w:rFonts w:ascii="Times New Roman" w:hAnsi="Times New Roman"/>
        </w:rPr>
      </w:pPr>
      <w:r w:rsidRPr="00B14447">
        <w:rPr>
          <w:rFonts w:ascii="Times New Roman" w:hAnsi="Times New Roman"/>
        </w:rPr>
        <w:t>"As discussed last week my view is that in the event of our success and should [Sanofi] decide to appeal we should in some way allow the injunction to continue, and seek damages should any appeal fail to go [Sanofi’s] way."</w:t>
      </w:r>
    </w:p>
    <w:p w14:paraId="136DFAD8" w14:textId="73AEEC87" w:rsidR="008E491A" w:rsidRPr="00B14447" w:rsidRDefault="00087269" w:rsidP="00B14447">
      <w:pPr>
        <w:pStyle w:val="HeadingL2"/>
        <w:spacing w:after="260" w:line="280" w:lineRule="exact"/>
        <w:ind w:right="0"/>
        <w:jc w:val="both"/>
        <w:rPr>
          <w:rFonts w:ascii="Times New Roman" w:hAnsi="Times New Roman"/>
        </w:rPr>
      </w:pPr>
      <w:r w:rsidRPr="00B14447">
        <w:rPr>
          <w:rFonts w:ascii="Times New Roman" w:hAnsi="Times New Roman"/>
        </w:rPr>
        <w:t xml:space="preserve">(6) </w:t>
      </w:r>
      <w:r w:rsidR="006957C7" w:rsidRPr="00B14447">
        <w:rPr>
          <w:rFonts w:ascii="Times New Roman" w:hAnsi="Times New Roman"/>
        </w:rPr>
        <w:tab/>
      </w:r>
      <w:r w:rsidR="00842C9F" w:rsidRPr="00B14447">
        <w:rPr>
          <w:rFonts w:ascii="Times New Roman" w:hAnsi="Times New Roman"/>
        </w:rPr>
        <w:t>F</w:t>
      </w:r>
      <w:r w:rsidR="008E491A" w:rsidRPr="00B14447">
        <w:rPr>
          <w:rFonts w:ascii="Times New Roman" w:hAnsi="Times New Roman"/>
        </w:rPr>
        <w:t>inal injunction and the appeal</w:t>
      </w:r>
    </w:p>
    <w:p w14:paraId="2708073B" w14:textId="0268B757" w:rsidR="006B76F9"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6B76F9" w:rsidRPr="00B14447">
        <w:rPr>
          <w:rFonts w:ascii="Times New Roman" w:hAnsi="Times New Roman"/>
        </w:rPr>
        <w:t>On 12</w:t>
      </w:r>
      <w:r w:rsidR="000D0256" w:rsidRPr="00B14447">
        <w:rPr>
          <w:rFonts w:ascii="Times New Roman" w:hAnsi="Times New Roman"/>
        </w:rPr>
        <w:t> </w:t>
      </w:r>
      <w:r w:rsidR="006B76F9" w:rsidRPr="00B14447">
        <w:rPr>
          <w:rFonts w:ascii="Times New Roman" w:hAnsi="Times New Roman"/>
        </w:rPr>
        <w:t>August 2008, Gyles</w:t>
      </w:r>
      <w:r w:rsidR="000D0256" w:rsidRPr="00B14447">
        <w:rPr>
          <w:rFonts w:ascii="Times New Roman" w:hAnsi="Times New Roman"/>
        </w:rPr>
        <w:t> </w:t>
      </w:r>
      <w:r w:rsidR="006B76F9" w:rsidRPr="00B14447">
        <w:rPr>
          <w:rFonts w:ascii="Times New Roman" w:hAnsi="Times New Roman"/>
        </w:rPr>
        <w:t>J deliver</w:t>
      </w:r>
      <w:r w:rsidR="000D0256" w:rsidRPr="00B14447">
        <w:rPr>
          <w:rFonts w:ascii="Times New Roman" w:hAnsi="Times New Roman"/>
        </w:rPr>
        <w:t>ed</w:t>
      </w:r>
      <w:r w:rsidR="006B76F9" w:rsidRPr="00B14447">
        <w:rPr>
          <w:rFonts w:ascii="Times New Roman" w:hAnsi="Times New Roman"/>
        </w:rPr>
        <w:t xml:space="preserve"> judgment on Apotex's claim for </w:t>
      </w:r>
      <w:r w:rsidR="00AE6090" w:rsidRPr="00B14447">
        <w:rPr>
          <w:rFonts w:ascii="Times New Roman" w:hAnsi="Times New Roman"/>
        </w:rPr>
        <w:t>revocation of the Patent</w:t>
      </w:r>
      <w:r w:rsidR="000D0256" w:rsidRPr="00B14447">
        <w:rPr>
          <w:rFonts w:ascii="Times New Roman" w:hAnsi="Times New Roman"/>
        </w:rPr>
        <w:t>,</w:t>
      </w:r>
      <w:r w:rsidR="00AE6090" w:rsidRPr="00B14447">
        <w:rPr>
          <w:rFonts w:ascii="Times New Roman" w:hAnsi="Times New Roman"/>
        </w:rPr>
        <w:t xml:space="preserve"> and Sanofi's </w:t>
      </w:r>
      <w:r w:rsidR="000D0256" w:rsidRPr="00B14447">
        <w:rPr>
          <w:rFonts w:ascii="Times New Roman" w:hAnsi="Times New Roman"/>
        </w:rPr>
        <w:t>cross-</w:t>
      </w:r>
      <w:r w:rsidR="00AE6090" w:rsidRPr="00B14447">
        <w:rPr>
          <w:rFonts w:ascii="Times New Roman" w:hAnsi="Times New Roman"/>
        </w:rPr>
        <w:t>claim for infringement of it</w:t>
      </w:r>
      <w:r w:rsidR="000D0256" w:rsidRPr="00B14447">
        <w:rPr>
          <w:rFonts w:ascii="Times New Roman" w:hAnsi="Times New Roman"/>
        </w:rPr>
        <w:t>,</w:t>
      </w:r>
      <w:r w:rsidR="00AE6090" w:rsidRPr="00B14447">
        <w:rPr>
          <w:rFonts w:ascii="Times New Roman" w:hAnsi="Times New Roman"/>
        </w:rPr>
        <w:t xml:space="preserve"> in Sanofi's favour</w:t>
      </w:r>
      <w:r w:rsidR="00040E38" w:rsidRPr="00B14447">
        <w:rPr>
          <w:rFonts w:ascii="Times New Roman" w:hAnsi="Times New Roman"/>
        </w:rPr>
        <w:t xml:space="preserve">. </w:t>
      </w:r>
    </w:p>
    <w:p w14:paraId="7D3CEFDB" w14:textId="08157493" w:rsidR="008E491A" w:rsidRPr="00B14447" w:rsidRDefault="006B76F9"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8E491A" w:rsidRPr="00B14447">
        <w:rPr>
          <w:rFonts w:ascii="Times New Roman" w:hAnsi="Times New Roman"/>
        </w:rPr>
        <w:t>On 19</w:t>
      </w:r>
      <w:r w:rsidR="00877886" w:rsidRPr="00B14447">
        <w:rPr>
          <w:rFonts w:ascii="Times New Roman" w:hAnsi="Times New Roman"/>
        </w:rPr>
        <w:t> </w:t>
      </w:r>
      <w:r w:rsidR="008E491A" w:rsidRPr="00B14447">
        <w:rPr>
          <w:rFonts w:ascii="Times New Roman" w:hAnsi="Times New Roman"/>
        </w:rPr>
        <w:t>August 2008, the "further orders" contemplated by the interlocutory injunction, being the final determination by Gyles</w:t>
      </w:r>
      <w:r w:rsidR="00877886" w:rsidRPr="00B14447">
        <w:rPr>
          <w:rFonts w:ascii="Times New Roman" w:hAnsi="Times New Roman"/>
        </w:rPr>
        <w:t> </w:t>
      </w:r>
      <w:r w:rsidR="008E491A" w:rsidRPr="00B14447">
        <w:rPr>
          <w:rFonts w:ascii="Times New Roman" w:hAnsi="Times New Roman"/>
        </w:rPr>
        <w:t>J of the validity of Sanofi's patent</w:t>
      </w:r>
      <w:r w:rsidR="00877886" w:rsidRPr="00B14447">
        <w:rPr>
          <w:rFonts w:ascii="Times New Roman" w:hAnsi="Times New Roman"/>
        </w:rPr>
        <w:t>,</w:t>
      </w:r>
      <w:r w:rsidR="008E491A" w:rsidRPr="00B14447">
        <w:rPr>
          <w:rFonts w:ascii="Times New Roman" w:hAnsi="Times New Roman"/>
        </w:rPr>
        <w:t xml:space="preserve"> were made</w:t>
      </w:r>
      <w:r w:rsidR="004C57A9" w:rsidRPr="00B14447">
        <w:rPr>
          <w:rFonts w:ascii="Times New Roman" w:hAnsi="Times New Roman"/>
        </w:rPr>
        <w:t xml:space="preserve"> following the reasons for decision</w:t>
      </w:r>
      <w:r w:rsidR="00511145" w:rsidRPr="00B14447">
        <w:rPr>
          <w:rFonts w:ascii="Times New Roman" w:hAnsi="Times New Roman"/>
        </w:rPr>
        <w:t xml:space="preserve">. </w:t>
      </w:r>
      <w:r w:rsidR="004742CD" w:rsidRPr="00B14447">
        <w:rPr>
          <w:rFonts w:ascii="Times New Roman" w:hAnsi="Times New Roman"/>
        </w:rPr>
        <w:t xml:space="preserve">Justice </w:t>
      </w:r>
      <w:r w:rsidR="008E491A" w:rsidRPr="00B14447">
        <w:rPr>
          <w:rFonts w:ascii="Times New Roman" w:hAnsi="Times New Roman"/>
        </w:rPr>
        <w:t>Gyles</w:t>
      </w:r>
      <w:r w:rsidR="00877886" w:rsidRPr="00B14447">
        <w:rPr>
          <w:rFonts w:ascii="Times New Roman" w:hAnsi="Times New Roman"/>
        </w:rPr>
        <w:t> </w:t>
      </w:r>
      <w:r w:rsidR="008E491A" w:rsidRPr="00B14447">
        <w:rPr>
          <w:rFonts w:ascii="Times New Roman" w:hAnsi="Times New Roman"/>
        </w:rPr>
        <w:t xml:space="preserve">found that four of the claims of the patent were valid and granted a final injunction. </w:t>
      </w:r>
    </w:p>
    <w:p w14:paraId="25CA9806" w14:textId="78291842"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13</w:t>
      </w:r>
      <w:r w:rsidR="00877886" w:rsidRPr="00B14447">
        <w:rPr>
          <w:rFonts w:ascii="Times New Roman" w:hAnsi="Times New Roman"/>
        </w:rPr>
        <w:t> </w:t>
      </w:r>
      <w:r w:rsidRPr="00B14447">
        <w:rPr>
          <w:rFonts w:ascii="Times New Roman" w:hAnsi="Times New Roman"/>
        </w:rPr>
        <w:t>October 2009, following an appeal to the Full Court of the Federal Court, the orders made by Gyles</w:t>
      </w:r>
      <w:r w:rsidR="00877886" w:rsidRPr="00B14447">
        <w:rPr>
          <w:rFonts w:ascii="Times New Roman" w:hAnsi="Times New Roman"/>
        </w:rPr>
        <w:t> </w:t>
      </w:r>
      <w:r w:rsidRPr="00B14447">
        <w:rPr>
          <w:rFonts w:ascii="Times New Roman" w:hAnsi="Times New Roman"/>
        </w:rPr>
        <w:t>J on 19</w:t>
      </w:r>
      <w:r w:rsidR="00877886" w:rsidRPr="00B14447">
        <w:rPr>
          <w:rFonts w:ascii="Times New Roman" w:hAnsi="Times New Roman"/>
        </w:rPr>
        <w:t> </w:t>
      </w:r>
      <w:r w:rsidRPr="00B14447">
        <w:rPr>
          <w:rFonts w:ascii="Times New Roman" w:hAnsi="Times New Roman"/>
        </w:rPr>
        <w:t xml:space="preserve">August 2008 were overturned and orders were made to revoke the patent and to set aside the final injunction. </w:t>
      </w:r>
    </w:p>
    <w:p w14:paraId="6836F492" w14:textId="28AD449E"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t>On 15</w:t>
      </w:r>
      <w:r w:rsidR="00CE50C8" w:rsidRPr="00B14447">
        <w:rPr>
          <w:rFonts w:ascii="Times New Roman" w:hAnsi="Times New Roman"/>
        </w:rPr>
        <w:t> </w:t>
      </w:r>
      <w:r w:rsidRPr="00B14447">
        <w:rPr>
          <w:rFonts w:ascii="Times New Roman" w:hAnsi="Times New Roman"/>
        </w:rPr>
        <w:t xml:space="preserve">February 2010, Apotex finally made an application to list its </w:t>
      </w:r>
      <w:r w:rsidR="00CE50C8" w:rsidRPr="00B14447">
        <w:rPr>
          <w:rFonts w:ascii="Times New Roman" w:hAnsi="Times New Roman"/>
        </w:rPr>
        <w:t>c</w:t>
      </w:r>
      <w:r w:rsidRPr="00B14447">
        <w:rPr>
          <w:rFonts w:ascii="Times New Roman" w:hAnsi="Times New Roman"/>
        </w:rPr>
        <w:t xml:space="preserve">lopidogrel products on the PBS. The application was expressed to be conditional upon the refusal by the High Court of special leave to appeal from the decision in the Full Court of the Federal Court. </w:t>
      </w:r>
    </w:p>
    <w:p w14:paraId="1F516F71" w14:textId="2F4B6B9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12</w:t>
      </w:r>
      <w:r w:rsidR="00CE50C8" w:rsidRPr="00B14447">
        <w:rPr>
          <w:rFonts w:ascii="Times New Roman" w:hAnsi="Times New Roman"/>
        </w:rPr>
        <w:t> </w:t>
      </w:r>
      <w:r w:rsidRPr="00B14447">
        <w:rPr>
          <w:rFonts w:ascii="Times New Roman" w:hAnsi="Times New Roman"/>
        </w:rPr>
        <w:t>March 2010, special leave to appeal was refused by this Court. The same day, free from any risk, Apotex commenced taking orders for its clopidogrel products. Apotex's first shipment was received on 23</w:t>
      </w:r>
      <w:r w:rsidR="009D4F1E" w:rsidRPr="00B14447">
        <w:rPr>
          <w:rFonts w:ascii="Times New Roman" w:hAnsi="Times New Roman"/>
        </w:rPr>
        <w:t> </w:t>
      </w:r>
      <w:r w:rsidRPr="00B14447">
        <w:rPr>
          <w:rFonts w:ascii="Times New Roman" w:hAnsi="Times New Roman"/>
        </w:rPr>
        <w:t>March 2010 and its products were listed on the PBS on 1</w:t>
      </w:r>
      <w:r w:rsidR="004C4E21" w:rsidRPr="00B14447">
        <w:rPr>
          <w:rFonts w:ascii="Times New Roman" w:hAnsi="Times New Roman"/>
        </w:rPr>
        <w:t> </w:t>
      </w:r>
      <w:r w:rsidRPr="00B14447">
        <w:rPr>
          <w:rFonts w:ascii="Times New Roman" w:hAnsi="Times New Roman"/>
        </w:rPr>
        <w:t>May 2010.</w:t>
      </w:r>
    </w:p>
    <w:p w14:paraId="122CF2D5" w14:textId="12532F7F" w:rsidR="008E491A" w:rsidRPr="00B14447" w:rsidRDefault="00087269" w:rsidP="00B14447">
      <w:pPr>
        <w:pStyle w:val="HeadingL2"/>
        <w:spacing w:after="260" w:line="280" w:lineRule="exact"/>
        <w:ind w:left="720" w:right="0" w:hanging="720"/>
        <w:jc w:val="both"/>
        <w:rPr>
          <w:rFonts w:ascii="Times New Roman" w:hAnsi="Times New Roman"/>
        </w:rPr>
      </w:pPr>
      <w:r w:rsidRPr="00B14447">
        <w:rPr>
          <w:rFonts w:ascii="Times New Roman" w:hAnsi="Times New Roman"/>
        </w:rPr>
        <w:t>(7)</w:t>
      </w:r>
      <w:r w:rsidR="006957C7" w:rsidRPr="00B14447">
        <w:rPr>
          <w:rFonts w:ascii="Times New Roman" w:hAnsi="Times New Roman"/>
        </w:rPr>
        <w:tab/>
      </w:r>
      <w:r w:rsidR="008E491A" w:rsidRPr="00B14447">
        <w:rPr>
          <w:rFonts w:ascii="Times New Roman" w:hAnsi="Times New Roman"/>
        </w:rPr>
        <w:t xml:space="preserve">Commonwealth's claim for compensation on the undertaking </w:t>
      </w:r>
    </w:p>
    <w:p w14:paraId="616C925E" w14:textId="4CB181C9"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On 11</w:t>
      </w:r>
      <w:r w:rsidR="004C4E21" w:rsidRPr="00B14447">
        <w:rPr>
          <w:rFonts w:ascii="Times New Roman" w:hAnsi="Times New Roman"/>
        </w:rPr>
        <w:t> </w:t>
      </w:r>
      <w:r w:rsidRPr="00B14447">
        <w:rPr>
          <w:rFonts w:ascii="Times New Roman" w:hAnsi="Times New Roman"/>
        </w:rPr>
        <w:t>April 2013, more than three years after special leave had been refused, the Commonwealth sought compensation from Sanofi on the undertaking as to damages that Sanofi had given on 25</w:t>
      </w:r>
      <w:r w:rsidR="005A2A77" w:rsidRPr="00B14447">
        <w:rPr>
          <w:rFonts w:ascii="Times New Roman" w:hAnsi="Times New Roman"/>
        </w:rPr>
        <w:t> </w:t>
      </w:r>
      <w:r w:rsidRPr="00B14447">
        <w:rPr>
          <w:rFonts w:ascii="Times New Roman" w:hAnsi="Times New Roman"/>
        </w:rPr>
        <w:t>September 2007. The Commonwealth alleged that it had suffered</w:t>
      </w:r>
      <w:r w:rsidR="00A34F75" w:rsidRPr="00B14447">
        <w:rPr>
          <w:rFonts w:ascii="Times New Roman" w:hAnsi="Times New Roman"/>
        </w:rPr>
        <w:t xml:space="preserve"> approximately</w:t>
      </w:r>
      <w:r w:rsidRPr="00B14447">
        <w:rPr>
          <w:rFonts w:ascii="Times New Roman" w:hAnsi="Times New Roman"/>
        </w:rPr>
        <w:t xml:space="preserve"> $325</w:t>
      </w:r>
      <w:r w:rsidR="002A6BF3" w:rsidRPr="00B14447">
        <w:rPr>
          <w:rFonts w:ascii="Times New Roman" w:hAnsi="Times New Roman"/>
        </w:rPr>
        <w:t> </w:t>
      </w:r>
      <w:r w:rsidRPr="00B14447">
        <w:rPr>
          <w:rFonts w:ascii="Times New Roman" w:hAnsi="Times New Roman"/>
        </w:rPr>
        <w:t>million in losses in the period from the interlocutory injunction on 25</w:t>
      </w:r>
      <w:r w:rsidR="002A6BF3" w:rsidRPr="00B14447">
        <w:rPr>
          <w:rFonts w:ascii="Times New Roman" w:hAnsi="Times New Roman"/>
        </w:rPr>
        <w:t> </w:t>
      </w:r>
      <w:r w:rsidRPr="00B14447">
        <w:rPr>
          <w:rFonts w:ascii="Times New Roman" w:hAnsi="Times New Roman"/>
        </w:rPr>
        <w:t>September 2007. But, as explained at the outset of these reasons,</w:t>
      </w:r>
      <w:r w:rsidR="00394699" w:rsidRPr="00B14447">
        <w:rPr>
          <w:rStyle w:val="FootnoteReference"/>
          <w:rFonts w:ascii="Times New Roman" w:hAnsi="Times New Roman"/>
          <w:sz w:val="24"/>
        </w:rPr>
        <w:footnoteReference w:id="83"/>
      </w:r>
      <w:r w:rsidRPr="00B14447">
        <w:rPr>
          <w:rFonts w:ascii="Times New Roman" w:hAnsi="Times New Roman"/>
        </w:rPr>
        <w:t xml:space="preserve"> </w:t>
      </w:r>
      <w:r w:rsidR="00A34F75" w:rsidRPr="00B14447">
        <w:rPr>
          <w:rFonts w:ascii="Times New Roman" w:hAnsi="Times New Roman"/>
        </w:rPr>
        <w:t xml:space="preserve">about </w:t>
      </w:r>
      <w:r w:rsidRPr="00B14447">
        <w:rPr>
          <w:rFonts w:ascii="Times New Roman" w:hAnsi="Times New Roman"/>
        </w:rPr>
        <w:t>$314</w:t>
      </w:r>
      <w:r w:rsidR="002A6BF3" w:rsidRPr="00B14447">
        <w:rPr>
          <w:rFonts w:ascii="Times New Roman" w:hAnsi="Times New Roman"/>
        </w:rPr>
        <w:t> </w:t>
      </w:r>
      <w:r w:rsidRPr="00B14447">
        <w:rPr>
          <w:rFonts w:ascii="Times New Roman" w:hAnsi="Times New Roman"/>
        </w:rPr>
        <w:t>million of the Commonwealth's alleged losses occurred after 19</w:t>
      </w:r>
      <w:r w:rsidR="002A6BF3" w:rsidRPr="00B14447">
        <w:rPr>
          <w:rFonts w:ascii="Times New Roman" w:hAnsi="Times New Roman"/>
        </w:rPr>
        <w:t> </w:t>
      </w:r>
      <w:r w:rsidRPr="00B14447">
        <w:rPr>
          <w:rFonts w:ascii="Times New Roman" w:hAnsi="Times New Roman"/>
        </w:rPr>
        <w:t>August 2008 when Gyles</w:t>
      </w:r>
      <w:r w:rsidR="002A6BF3" w:rsidRPr="00B14447">
        <w:rPr>
          <w:rFonts w:ascii="Times New Roman" w:hAnsi="Times New Roman"/>
        </w:rPr>
        <w:t> </w:t>
      </w:r>
      <w:r w:rsidRPr="00B14447">
        <w:rPr>
          <w:rFonts w:ascii="Times New Roman" w:hAnsi="Times New Roman"/>
        </w:rPr>
        <w:t xml:space="preserve">J finally resolved the proceedings for an injunction with his final orders superseding the interlocutory injunction that the undertaking as to damages supported. </w:t>
      </w:r>
    </w:p>
    <w:p w14:paraId="300EA8E2" w14:textId="64D60FB9" w:rsidR="00383E44" w:rsidRPr="00B14447" w:rsidRDefault="00116EE3" w:rsidP="00B14447">
      <w:pPr>
        <w:pStyle w:val="HeadingL2"/>
        <w:spacing w:after="260" w:line="280" w:lineRule="exact"/>
        <w:ind w:right="0"/>
        <w:jc w:val="both"/>
        <w:rPr>
          <w:rFonts w:ascii="Times New Roman" w:hAnsi="Times New Roman"/>
        </w:rPr>
      </w:pPr>
      <w:r w:rsidRPr="00B14447">
        <w:rPr>
          <w:rFonts w:ascii="Times New Roman" w:hAnsi="Times New Roman"/>
        </w:rPr>
        <w:t>(8)</w:t>
      </w:r>
      <w:r w:rsidR="006957C7" w:rsidRPr="00B14447">
        <w:rPr>
          <w:rFonts w:ascii="Times New Roman" w:hAnsi="Times New Roman"/>
        </w:rPr>
        <w:tab/>
      </w:r>
      <w:r w:rsidR="009E6304" w:rsidRPr="00B14447">
        <w:rPr>
          <w:rFonts w:ascii="Times New Roman" w:hAnsi="Times New Roman"/>
        </w:rPr>
        <w:t>B</w:t>
      </w:r>
      <w:r w:rsidR="00383E44" w:rsidRPr="00B14447">
        <w:rPr>
          <w:rFonts w:ascii="Times New Roman" w:hAnsi="Times New Roman"/>
        </w:rPr>
        <w:t>asis for the counter-factual decision of the primary judge</w:t>
      </w:r>
    </w:p>
    <w:p w14:paraId="1D381ACF" w14:textId="4185297E"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 central issue before the primary judge in the Commonwealth's claim for compensation on the undertaking concerned a counter-factual question: if the interlocutory injunction had not been made on 25</w:t>
      </w:r>
      <w:r w:rsidR="005E4457" w:rsidRPr="00B14447">
        <w:rPr>
          <w:rFonts w:ascii="Times New Roman" w:hAnsi="Times New Roman"/>
        </w:rPr>
        <w:t> </w:t>
      </w:r>
      <w:r w:rsidRPr="00B14447">
        <w:rPr>
          <w:rFonts w:ascii="Times New Roman" w:hAnsi="Times New Roman"/>
        </w:rPr>
        <w:t>September 2007, would Apotex have taken the enormous risk</w:t>
      </w:r>
      <w:r w:rsidR="00674411" w:rsidRPr="00B14447">
        <w:rPr>
          <w:rFonts w:ascii="Times New Roman" w:hAnsi="Times New Roman"/>
        </w:rPr>
        <w:t>s</w:t>
      </w:r>
      <w:r w:rsidRPr="00B14447">
        <w:rPr>
          <w:rFonts w:ascii="Times New Roman" w:hAnsi="Times New Roman"/>
        </w:rPr>
        <w:t xml:space="preserve"> of seeking</w:t>
      </w:r>
      <w:r w:rsidR="00827C57" w:rsidRPr="00B14447">
        <w:rPr>
          <w:rFonts w:ascii="Times New Roman" w:hAnsi="Times New Roman"/>
        </w:rPr>
        <w:t>,</w:t>
      </w:r>
      <w:r w:rsidRPr="00B14447">
        <w:rPr>
          <w:rFonts w:ascii="Times New Roman" w:hAnsi="Times New Roman"/>
        </w:rPr>
        <w:t xml:space="preserve"> and obtain</w:t>
      </w:r>
      <w:r w:rsidR="00827C57" w:rsidRPr="00B14447">
        <w:rPr>
          <w:rFonts w:ascii="Times New Roman" w:hAnsi="Times New Roman"/>
        </w:rPr>
        <w:t>ing,</w:t>
      </w:r>
      <w:r w:rsidRPr="00B14447">
        <w:rPr>
          <w:rFonts w:ascii="Times New Roman" w:hAnsi="Times New Roman"/>
        </w:rPr>
        <w:t xml:space="preserve"> PBS listing in April 2008 and</w:t>
      </w:r>
      <w:r w:rsidR="00827C57" w:rsidRPr="00B14447">
        <w:rPr>
          <w:rFonts w:ascii="Times New Roman" w:hAnsi="Times New Roman"/>
        </w:rPr>
        <w:t>, upon listing,</w:t>
      </w:r>
      <w:r w:rsidRPr="00B14447">
        <w:rPr>
          <w:rFonts w:ascii="Times New Roman" w:hAnsi="Times New Roman"/>
        </w:rPr>
        <w:t xml:space="preserve"> launching its generic clopidogrel product</w:t>
      </w:r>
      <w:r w:rsidR="00B823FE" w:rsidRPr="00B14447">
        <w:rPr>
          <w:rFonts w:ascii="Times New Roman" w:hAnsi="Times New Roman"/>
        </w:rPr>
        <w:t>s</w:t>
      </w:r>
      <w:r w:rsidRPr="00B14447">
        <w:rPr>
          <w:rFonts w:ascii="Times New Roman" w:hAnsi="Times New Roman"/>
        </w:rPr>
        <w:t xml:space="preserve"> only</w:t>
      </w:r>
      <w:r w:rsidR="008101B6" w:rsidRPr="00B14447">
        <w:rPr>
          <w:rFonts w:ascii="Times New Roman" w:hAnsi="Times New Roman"/>
        </w:rPr>
        <w:t>: (i) </w:t>
      </w:r>
      <w:r w:rsidRPr="00B14447">
        <w:rPr>
          <w:rFonts w:ascii="Times New Roman" w:hAnsi="Times New Roman"/>
        </w:rPr>
        <w:t xml:space="preserve">four weeks before a final hearing </w:t>
      </w:r>
      <w:r w:rsidR="00C12616" w:rsidRPr="00B14447">
        <w:rPr>
          <w:rFonts w:ascii="Times New Roman" w:hAnsi="Times New Roman"/>
        </w:rPr>
        <w:t>that</w:t>
      </w:r>
      <w:r w:rsidR="00D60220" w:rsidRPr="00B14447">
        <w:rPr>
          <w:rFonts w:ascii="Times New Roman" w:hAnsi="Times New Roman"/>
        </w:rPr>
        <w:t xml:space="preserve"> </w:t>
      </w:r>
      <w:r w:rsidR="00B604F7" w:rsidRPr="00B14447">
        <w:rPr>
          <w:rFonts w:ascii="Times New Roman" w:hAnsi="Times New Roman"/>
        </w:rPr>
        <w:t>might inform the assessment of that risk</w:t>
      </w:r>
      <w:r w:rsidR="00C12616" w:rsidRPr="00B14447">
        <w:rPr>
          <w:rFonts w:ascii="Times New Roman" w:hAnsi="Times New Roman"/>
        </w:rPr>
        <w:t xml:space="preserve">; </w:t>
      </w:r>
      <w:r w:rsidRPr="00B14447">
        <w:rPr>
          <w:rFonts w:ascii="Times New Roman" w:hAnsi="Times New Roman"/>
        </w:rPr>
        <w:t>and</w:t>
      </w:r>
      <w:r w:rsidR="008101B6" w:rsidRPr="00B14447">
        <w:rPr>
          <w:rFonts w:ascii="Times New Roman" w:hAnsi="Times New Roman"/>
        </w:rPr>
        <w:t xml:space="preserve"> (ii)</w:t>
      </w:r>
      <w:r w:rsidR="000369B1" w:rsidRPr="00B14447">
        <w:rPr>
          <w:rFonts w:ascii="Times New Roman" w:hAnsi="Times New Roman"/>
        </w:rPr>
        <w:t> </w:t>
      </w:r>
      <w:r w:rsidRPr="00B14447">
        <w:rPr>
          <w:rFonts w:ascii="Times New Roman" w:hAnsi="Times New Roman"/>
        </w:rPr>
        <w:t xml:space="preserve">at most, </w:t>
      </w:r>
      <w:r w:rsidR="004274AB" w:rsidRPr="00B14447">
        <w:rPr>
          <w:rFonts w:ascii="Times New Roman" w:hAnsi="Times New Roman"/>
        </w:rPr>
        <w:t xml:space="preserve">just over four </w:t>
      </w:r>
      <w:r w:rsidRPr="00B14447">
        <w:rPr>
          <w:rFonts w:ascii="Times New Roman" w:hAnsi="Times New Roman"/>
        </w:rPr>
        <w:t xml:space="preserve">months before </w:t>
      </w:r>
      <w:r w:rsidR="00C12616" w:rsidRPr="00B14447">
        <w:rPr>
          <w:rFonts w:ascii="Times New Roman" w:hAnsi="Times New Roman"/>
        </w:rPr>
        <w:t xml:space="preserve">a </w:t>
      </w:r>
      <w:r w:rsidRPr="00B14447">
        <w:rPr>
          <w:rFonts w:ascii="Times New Roman" w:hAnsi="Times New Roman"/>
        </w:rPr>
        <w:t xml:space="preserve">decision </w:t>
      </w:r>
      <w:r w:rsidR="00C12616" w:rsidRPr="00B14447">
        <w:rPr>
          <w:rFonts w:ascii="Times New Roman" w:hAnsi="Times New Roman"/>
        </w:rPr>
        <w:t>that could remove that risk</w:t>
      </w:r>
      <w:r w:rsidR="005E4457" w:rsidRPr="00B14447">
        <w:rPr>
          <w:rFonts w:ascii="Times New Roman" w:hAnsi="Times New Roman"/>
        </w:rPr>
        <w:t>?</w:t>
      </w:r>
    </w:p>
    <w:p w14:paraId="3B93C9A1" w14:textId="66A6C745"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On the central counter-factual issue, the primary judge did not make any positive finding. His Honour concluded that the Commonwealth had not proved that </w:t>
      </w:r>
      <w:r w:rsidR="00F872CE" w:rsidRPr="00B14447">
        <w:rPr>
          <w:rFonts w:ascii="Times New Roman" w:hAnsi="Times New Roman"/>
        </w:rPr>
        <w:t>before the application deadline of</w:t>
      </w:r>
      <w:r w:rsidRPr="00B14447">
        <w:rPr>
          <w:rFonts w:ascii="Times New Roman" w:hAnsi="Times New Roman"/>
        </w:rPr>
        <w:t xml:space="preserve"> 1</w:t>
      </w:r>
      <w:r w:rsidR="00F872CE" w:rsidRPr="00B14447">
        <w:rPr>
          <w:rFonts w:ascii="Times New Roman" w:hAnsi="Times New Roman"/>
        </w:rPr>
        <w:t> </w:t>
      </w:r>
      <w:r w:rsidRPr="00B14447">
        <w:rPr>
          <w:rFonts w:ascii="Times New Roman" w:hAnsi="Times New Roman"/>
        </w:rPr>
        <w:t>December 2007, Apotex would have sought PBS listing for April 2008 so that Apotex could launch its generic clopidogrel product</w:t>
      </w:r>
      <w:r w:rsidR="00B823FE" w:rsidRPr="00B14447">
        <w:rPr>
          <w:rFonts w:ascii="Times New Roman" w:hAnsi="Times New Roman"/>
        </w:rPr>
        <w:t>s</w:t>
      </w:r>
      <w:r w:rsidRPr="00B14447">
        <w:rPr>
          <w:rFonts w:ascii="Times New Roman" w:hAnsi="Times New Roman"/>
        </w:rPr>
        <w:t xml:space="preserve"> at risk</w:t>
      </w:r>
      <w:r w:rsidR="00F872CE" w:rsidRPr="00B14447">
        <w:rPr>
          <w:rFonts w:ascii="Times New Roman" w:hAnsi="Times New Roman"/>
        </w:rPr>
        <w:t xml:space="preserve"> on or</w:t>
      </w:r>
      <w:r w:rsidRPr="00B14447">
        <w:rPr>
          <w:rFonts w:ascii="Times New Roman" w:hAnsi="Times New Roman"/>
        </w:rPr>
        <w:t xml:space="preserve"> after 1</w:t>
      </w:r>
      <w:r w:rsidR="00F872CE" w:rsidRPr="00B14447">
        <w:rPr>
          <w:rFonts w:ascii="Times New Roman" w:hAnsi="Times New Roman"/>
        </w:rPr>
        <w:t> </w:t>
      </w:r>
      <w:r w:rsidRPr="00B14447">
        <w:rPr>
          <w:rFonts w:ascii="Times New Roman" w:hAnsi="Times New Roman"/>
        </w:rPr>
        <w:t xml:space="preserve">April 2008. The primary judge's failure to be satisfied that the Commonwealth had proved its counter-factual conclusion was supported by a series of factual findings as to real world events. For reasons which are explained in detail later, it is unnecessary and inappropriate in an appeal to this Court to attempt to recount the entirety of the many factual findings upon </w:t>
      </w:r>
      <w:r w:rsidRPr="00B14447">
        <w:rPr>
          <w:rFonts w:ascii="Times New Roman" w:hAnsi="Times New Roman"/>
        </w:rPr>
        <w:lastRenderedPageBreak/>
        <w:t xml:space="preserve">which the primary judge's decision was based. It suffices to emphasise four of the important findings of the primary judge, according to the chronology of events. </w:t>
      </w:r>
    </w:p>
    <w:p w14:paraId="2FAAFE5B" w14:textId="2FD37CCD"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First</w:t>
      </w:r>
      <w:r w:rsidRPr="00B14447">
        <w:rPr>
          <w:rFonts w:ascii="Times New Roman" w:hAnsi="Times New Roman"/>
        </w:rPr>
        <w:t>, the primary judge found that Dr Sherman, rather than Mr Millichamp, was the relevant decision-maker as to whether to launch at risk in Australia. The primary judge did not accept Mr Millichamp's evidence that Dr Sherman's 20</w:t>
      </w:r>
      <w:r w:rsidR="007C7368" w:rsidRPr="00B14447">
        <w:rPr>
          <w:rFonts w:ascii="Times New Roman" w:hAnsi="Times New Roman"/>
        </w:rPr>
        <w:t> </w:t>
      </w:r>
      <w:r w:rsidRPr="00B14447">
        <w:rPr>
          <w:rFonts w:ascii="Times New Roman" w:hAnsi="Times New Roman"/>
        </w:rPr>
        <w:t>February 2007 email was sufficient instruction on which Mr Millichamp would have been entitled to act to launch at risk in late 2007, without reverting to Dr Sherman for confirmation and final approval.</w:t>
      </w:r>
      <w:r w:rsidRPr="00B14447">
        <w:rPr>
          <w:rStyle w:val="FootnoteReference"/>
          <w:rFonts w:ascii="Times New Roman" w:hAnsi="Times New Roman"/>
          <w:sz w:val="24"/>
        </w:rPr>
        <w:footnoteReference w:id="84"/>
      </w:r>
      <w:r w:rsidRPr="00B14447">
        <w:rPr>
          <w:rFonts w:ascii="Times New Roman" w:hAnsi="Times New Roman"/>
        </w:rPr>
        <w:t xml:space="preserve"> That evidence from Mr</w:t>
      </w:r>
      <w:r w:rsidR="00890FB2" w:rsidRPr="00B14447">
        <w:rPr>
          <w:rFonts w:ascii="Times New Roman" w:hAnsi="Times New Roman"/>
        </w:rPr>
        <w:t> </w:t>
      </w:r>
      <w:r w:rsidRPr="00B14447">
        <w:rPr>
          <w:rFonts w:ascii="Times New Roman" w:hAnsi="Times New Roman"/>
        </w:rPr>
        <w:t>Millichamp was inconsistent with later email correspondence in which confirmation as to Dr</w:t>
      </w:r>
      <w:r w:rsidR="00890FB2" w:rsidRPr="00B14447">
        <w:rPr>
          <w:rFonts w:ascii="Times New Roman" w:hAnsi="Times New Roman"/>
        </w:rPr>
        <w:t> </w:t>
      </w:r>
      <w:r w:rsidRPr="00B14447">
        <w:rPr>
          <w:rFonts w:ascii="Times New Roman" w:hAnsi="Times New Roman"/>
        </w:rPr>
        <w:t>Sherman's present approach to launching at risk had been repeatedly sought from Dr</w:t>
      </w:r>
      <w:r w:rsidR="00890FB2" w:rsidRPr="00B14447">
        <w:rPr>
          <w:rFonts w:ascii="Times New Roman" w:hAnsi="Times New Roman"/>
        </w:rPr>
        <w:t> </w:t>
      </w:r>
      <w:r w:rsidRPr="00B14447">
        <w:rPr>
          <w:rFonts w:ascii="Times New Roman" w:hAnsi="Times New Roman"/>
        </w:rPr>
        <w:t>Sherman.</w:t>
      </w:r>
      <w:r w:rsidRPr="00B14447">
        <w:rPr>
          <w:rStyle w:val="FootnoteReference"/>
          <w:rFonts w:ascii="Times New Roman" w:hAnsi="Times New Roman"/>
          <w:sz w:val="24"/>
        </w:rPr>
        <w:footnoteReference w:id="85"/>
      </w:r>
      <w:r w:rsidRPr="00B14447">
        <w:rPr>
          <w:rFonts w:ascii="Times New Roman" w:hAnsi="Times New Roman"/>
        </w:rPr>
        <w:t xml:space="preserve"> The primary judge also relied upon Mr</w:t>
      </w:r>
      <w:r w:rsidR="00890FB2" w:rsidRPr="00B14447">
        <w:rPr>
          <w:rFonts w:ascii="Times New Roman" w:hAnsi="Times New Roman"/>
        </w:rPr>
        <w:t> </w:t>
      </w:r>
      <w:r w:rsidRPr="00B14447">
        <w:rPr>
          <w:rFonts w:ascii="Times New Roman" w:hAnsi="Times New Roman"/>
        </w:rPr>
        <w:t>Smith's email on 4</w:t>
      </w:r>
      <w:r w:rsidR="00890FB2" w:rsidRPr="00B14447">
        <w:rPr>
          <w:rFonts w:ascii="Times New Roman" w:hAnsi="Times New Roman"/>
        </w:rPr>
        <w:t> </w:t>
      </w:r>
      <w:r w:rsidRPr="00B14447">
        <w:rPr>
          <w:rFonts w:ascii="Times New Roman" w:hAnsi="Times New Roman"/>
        </w:rPr>
        <w:t>August 2008 which indicated that even if Apotex was successful in invalidating Sanofi's patent, it was not inevitable that Apotex would launch because there remained the risk of an appeal.</w:t>
      </w:r>
      <w:r w:rsidRPr="00B14447">
        <w:rPr>
          <w:rStyle w:val="FootnoteReference"/>
          <w:rFonts w:ascii="Times New Roman" w:hAnsi="Times New Roman"/>
          <w:sz w:val="24"/>
        </w:rPr>
        <w:footnoteReference w:id="86"/>
      </w:r>
      <w:r w:rsidRPr="00B14447">
        <w:rPr>
          <w:rFonts w:ascii="Times New Roman" w:hAnsi="Times New Roman"/>
        </w:rPr>
        <w:t xml:space="preserve"> </w:t>
      </w:r>
    </w:p>
    <w:p w14:paraId="4DECACDE" w14:textId="2100DA51"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Secondly</w:t>
      </w:r>
      <w:r w:rsidRPr="00B14447">
        <w:rPr>
          <w:rFonts w:ascii="Times New Roman" w:hAnsi="Times New Roman"/>
        </w:rPr>
        <w:t>, the primary judge found that Dr</w:t>
      </w:r>
      <w:r w:rsidR="001E0BDB" w:rsidRPr="00B14447">
        <w:rPr>
          <w:rFonts w:ascii="Times New Roman" w:hAnsi="Times New Roman"/>
        </w:rPr>
        <w:t> </w:t>
      </w:r>
      <w:r w:rsidRPr="00B14447">
        <w:rPr>
          <w:rFonts w:ascii="Times New Roman" w:hAnsi="Times New Roman"/>
        </w:rPr>
        <w:t>Sherman could, and did, change his mind at times about launching at risk. The primary judge held that although Apotex's plan to launch at risk was initially dependent on the outcome of litigation in Canada or the U</w:t>
      </w:r>
      <w:r w:rsidR="00E47058" w:rsidRPr="00B14447">
        <w:rPr>
          <w:rFonts w:ascii="Times New Roman" w:hAnsi="Times New Roman"/>
        </w:rPr>
        <w:t xml:space="preserve">nited </w:t>
      </w:r>
      <w:r w:rsidRPr="00B14447">
        <w:rPr>
          <w:rFonts w:ascii="Times New Roman" w:hAnsi="Times New Roman"/>
        </w:rPr>
        <w:t>S</w:t>
      </w:r>
      <w:r w:rsidR="00E47058" w:rsidRPr="00B14447">
        <w:rPr>
          <w:rFonts w:ascii="Times New Roman" w:hAnsi="Times New Roman"/>
        </w:rPr>
        <w:t>tates</w:t>
      </w:r>
      <w:r w:rsidRPr="00B14447">
        <w:rPr>
          <w:rFonts w:ascii="Times New Roman" w:hAnsi="Times New Roman"/>
        </w:rPr>
        <w:t>,</w:t>
      </w:r>
      <w:r w:rsidRPr="00B14447">
        <w:rPr>
          <w:rStyle w:val="FootnoteReference"/>
          <w:rFonts w:ascii="Times New Roman" w:hAnsi="Times New Roman"/>
          <w:sz w:val="24"/>
        </w:rPr>
        <w:footnoteReference w:id="87"/>
      </w:r>
      <w:r w:rsidRPr="00B14447">
        <w:rPr>
          <w:rFonts w:ascii="Times New Roman" w:hAnsi="Times New Roman"/>
        </w:rPr>
        <w:t xml:space="preserve"> the 20</w:t>
      </w:r>
      <w:r w:rsidR="001E0BDB" w:rsidRPr="00B14447">
        <w:rPr>
          <w:rFonts w:ascii="Times New Roman" w:hAnsi="Times New Roman"/>
        </w:rPr>
        <w:t> </w:t>
      </w:r>
      <w:r w:rsidRPr="00B14447">
        <w:rPr>
          <w:rFonts w:ascii="Times New Roman" w:hAnsi="Times New Roman"/>
        </w:rPr>
        <w:t>February 2007 email from Dr</w:t>
      </w:r>
      <w:r w:rsidR="001E0BDB" w:rsidRPr="00B14447">
        <w:rPr>
          <w:rFonts w:ascii="Times New Roman" w:hAnsi="Times New Roman"/>
        </w:rPr>
        <w:t> </w:t>
      </w:r>
      <w:r w:rsidRPr="00B14447">
        <w:rPr>
          <w:rFonts w:ascii="Times New Roman" w:hAnsi="Times New Roman"/>
        </w:rPr>
        <w:t>Sherman indicated that "Dr Sherman was, at this stage, intending to have Apotex Australia launch at risk in the event that Sanofi did not obtain any interlocutory injunction".</w:t>
      </w:r>
      <w:r w:rsidRPr="00B14447">
        <w:rPr>
          <w:rStyle w:val="FootnoteReference"/>
          <w:rFonts w:ascii="Times New Roman" w:hAnsi="Times New Roman"/>
          <w:sz w:val="24"/>
        </w:rPr>
        <w:footnoteReference w:id="88"/>
      </w:r>
      <w:r w:rsidRPr="00B14447">
        <w:rPr>
          <w:rFonts w:ascii="Times New Roman" w:hAnsi="Times New Roman"/>
        </w:rPr>
        <w:t xml:space="preserve"> </w:t>
      </w:r>
    </w:p>
    <w:p w14:paraId="0BB0A940" w14:textId="23DA2CFD"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Thirdly</w:t>
      </w:r>
      <w:r w:rsidRPr="00B14447">
        <w:rPr>
          <w:rFonts w:ascii="Times New Roman" w:hAnsi="Times New Roman"/>
        </w:rPr>
        <w:t>, the primary judge found that Apotex would not launch in Australia without PBS listing. This finding was based upon the 25</w:t>
      </w:r>
      <w:r w:rsidR="001E0BDB" w:rsidRPr="00B14447">
        <w:rPr>
          <w:rFonts w:ascii="Times New Roman" w:hAnsi="Times New Roman"/>
        </w:rPr>
        <w:t> </w:t>
      </w:r>
      <w:r w:rsidRPr="00B14447">
        <w:rPr>
          <w:rFonts w:ascii="Times New Roman" w:hAnsi="Times New Roman"/>
        </w:rPr>
        <w:t>June 2007 email from Mr</w:t>
      </w:r>
      <w:r w:rsidR="001E0BDB" w:rsidRPr="00B14447">
        <w:rPr>
          <w:rFonts w:ascii="Times New Roman" w:hAnsi="Times New Roman"/>
        </w:rPr>
        <w:t> </w:t>
      </w:r>
      <w:r w:rsidRPr="00B14447">
        <w:rPr>
          <w:rFonts w:ascii="Times New Roman" w:hAnsi="Times New Roman"/>
        </w:rPr>
        <w:t>Millichamp. The primary judge found that Dr Sherman was only told on 14</w:t>
      </w:r>
      <w:r w:rsidR="001E0BDB" w:rsidRPr="00B14447">
        <w:rPr>
          <w:rFonts w:ascii="Times New Roman" w:hAnsi="Times New Roman"/>
        </w:rPr>
        <w:t> </w:t>
      </w:r>
      <w:r w:rsidRPr="00B14447">
        <w:rPr>
          <w:rFonts w:ascii="Times New Roman" w:hAnsi="Times New Roman"/>
        </w:rPr>
        <w:t xml:space="preserve">September 2007 </w:t>
      </w:r>
      <w:r w:rsidR="001E0BDB" w:rsidRPr="00B14447">
        <w:rPr>
          <w:rFonts w:ascii="Times New Roman" w:hAnsi="Times New Roman"/>
        </w:rPr>
        <w:t xml:space="preserve">(Toronto time) </w:t>
      </w:r>
      <w:r w:rsidRPr="00B14447">
        <w:rPr>
          <w:rFonts w:ascii="Times New Roman" w:hAnsi="Times New Roman"/>
        </w:rPr>
        <w:t xml:space="preserve">that Apotex had missed the PBS listing date for </w:t>
      </w:r>
      <w:r w:rsidRPr="00B14447">
        <w:rPr>
          <w:rFonts w:ascii="Times New Roman" w:hAnsi="Times New Roman"/>
        </w:rPr>
        <w:lastRenderedPageBreak/>
        <w:t xml:space="preserve">December 2007 (and therefore that the earliest </w:t>
      </w:r>
      <w:r w:rsidR="003552AD" w:rsidRPr="00B14447">
        <w:rPr>
          <w:rFonts w:ascii="Times New Roman" w:hAnsi="Times New Roman"/>
        </w:rPr>
        <w:t xml:space="preserve">possible </w:t>
      </w:r>
      <w:r w:rsidRPr="00B14447">
        <w:rPr>
          <w:rFonts w:ascii="Times New Roman" w:hAnsi="Times New Roman"/>
        </w:rPr>
        <w:t>listing date would be 1</w:t>
      </w:r>
      <w:r w:rsidR="003552AD" w:rsidRPr="00B14447">
        <w:rPr>
          <w:rFonts w:ascii="Times New Roman" w:hAnsi="Times New Roman"/>
        </w:rPr>
        <w:t> </w:t>
      </w:r>
      <w:r w:rsidRPr="00B14447">
        <w:rPr>
          <w:rFonts w:ascii="Times New Roman" w:hAnsi="Times New Roman"/>
        </w:rPr>
        <w:t>April 2008).</w:t>
      </w:r>
      <w:r w:rsidRPr="00B14447">
        <w:rPr>
          <w:rStyle w:val="FootnoteReference"/>
          <w:rFonts w:ascii="Times New Roman" w:hAnsi="Times New Roman"/>
          <w:sz w:val="24"/>
        </w:rPr>
        <w:footnoteReference w:id="89"/>
      </w:r>
    </w:p>
    <w:p w14:paraId="1359C59C" w14:textId="07D18826"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Fourthly</w:t>
      </w:r>
      <w:r w:rsidRPr="00B14447">
        <w:rPr>
          <w:rFonts w:ascii="Times New Roman" w:hAnsi="Times New Roman"/>
        </w:rPr>
        <w:t>, the primary judge concluded that the email correspondence in June 2007, particularly the email on 27</w:t>
      </w:r>
      <w:r w:rsidR="00E013F0" w:rsidRPr="00B14447">
        <w:rPr>
          <w:rFonts w:ascii="Times New Roman" w:hAnsi="Times New Roman"/>
        </w:rPr>
        <w:t> </w:t>
      </w:r>
      <w:r w:rsidRPr="00B14447">
        <w:rPr>
          <w:rFonts w:ascii="Times New Roman" w:hAnsi="Times New Roman"/>
        </w:rPr>
        <w:t>June 2007, did not reflect an unconditional intention for Apotex to launch at risk. Rather, that correspondence reflected "an understanding on the part of Mr Kay that it was necessary, or at least desirable, to obtain confirmation from Dr Sherman as to his intention with respect to Australia and whether or not Apotex Australia should seek to revoke the Patent and 'launch at risk'".</w:t>
      </w:r>
      <w:r w:rsidRPr="00B14447">
        <w:rPr>
          <w:rStyle w:val="FootnoteReference"/>
          <w:rFonts w:ascii="Times New Roman" w:hAnsi="Times New Roman"/>
          <w:sz w:val="24"/>
        </w:rPr>
        <w:footnoteReference w:id="90"/>
      </w:r>
      <w:r w:rsidRPr="00B14447">
        <w:rPr>
          <w:rFonts w:ascii="Times New Roman" w:hAnsi="Times New Roman"/>
        </w:rPr>
        <w:t xml:space="preserve"> The primary judge considered the June 2007 email correspondence in light of the fact that Apotex was not expecting to succeed in resisting an interlocutory injunction</w:t>
      </w:r>
      <w:r w:rsidRPr="00B14447">
        <w:rPr>
          <w:rStyle w:val="FootnoteReference"/>
          <w:rFonts w:ascii="Times New Roman" w:hAnsi="Times New Roman"/>
          <w:sz w:val="24"/>
        </w:rPr>
        <w:footnoteReference w:id="91"/>
      </w:r>
      <w:r w:rsidRPr="00B14447">
        <w:rPr>
          <w:rFonts w:ascii="Times New Roman" w:hAnsi="Times New Roman"/>
        </w:rPr>
        <w:t xml:space="preserve"> and in light of the 17</w:t>
      </w:r>
      <w:r w:rsidR="00E013F0" w:rsidRPr="00B14447">
        <w:rPr>
          <w:rFonts w:ascii="Times New Roman" w:hAnsi="Times New Roman"/>
        </w:rPr>
        <w:t> </w:t>
      </w:r>
      <w:r w:rsidRPr="00B14447">
        <w:rPr>
          <w:rFonts w:ascii="Times New Roman" w:hAnsi="Times New Roman"/>
        </w:rPr>
        <w:t>August 2007 letter from Apotex Australia to its customers in which Apotex Australia "had not committed itself to launch</w:t>
      </w:r>
      <w:r w:rsidR="00E013F0" w:rsidRPr="00B14447">
        <w:rPr>
          <w:rFonts w:ascii="Times New Roman" w:hAnsi="Times New Roman"/>
        </w:rPr>
        <w:t>ing</w:t>
      </w:r>
      <w:r w:rsidRPr="00B14447">
        <w:rPr>
          <w:rFonts w:ascii="Times New Roman" w:hAnsi="Times New Roman"/>
        </w:rPr>
        <w:t xml:space="preserve"> in the event no interlocutory injunction was granted".</w:t>
      </w:r>
      <w:r w:rsidRPr="00B14447">
        <w:rPr>
          <w:rStyle w:val="FootnoteReference"/>
          <w:rFonts w:ascii="Times New Roman" w:hAnsi="Times New Roman"/>
          <w:sz w:val="24"/>
        </w:rPr>
        <w:footnoteReference w:id="92"/>
      </w:r>
      <w:r w:rsidRPr="00B14447">
        <w:rPr>
          <w:rFonts w:ascii="Times New Roman" w:hAnsi="Times New Roman"/>
        </w:rPr>
        <w:t xml:space="preserve"> The primary judge thus rejected the oral evidence of Mr Millichamp that a decision had been made in </w:t>
      </w:r>
      <w:r w:rsidR="00E013F0" w:rsidRPr="00B14447">
        <w:rPr>
          <w:rFonts w:ascii="Times New Roman" w:hAnsi="Times New Roman"/>
        </w:rPr>
        <w:t xml:space="preserve">February </w:t>
      </w:r>
      <w:r w:rsidRPr="00B14447">
        <w:rPr>
          <w:rFonts w:ascii="Times New Roman" w:hAnsi="Times New Roman"/>
        </w:rPr>
        <w:t>2007, and that in the 27</w:t>
      </w:r>
      <w:r w:rsidR="00E013F0" w:rsidRPr="00B14447">
        <w:rPr>
          <w:rFonts w:ascii="Times New Roman" w:hAnsi="Times New Roman"/>
        </w:rPr>
        <w:t> </w:t>
      </w:r>
      <w:r w:rsidRPr="00B14447">
        <w:rPr>
          <w:rFonts w:ascii="Times New Roman" w:hAnsi="Times New Roman"/>
        </w:rPr>
        <w:t>June 2007 email Mr</w:t>
      </w:r>
      <w:r w:rsidR="00E013F0" w:rsidRPr="00B14447">
        <w:rPr>
          <w:rFonts w:ascii="Times New Roman" w:hAnsi="Times New Roman"/>
        </w:rPr>
        <w:t> </w:t>
      </w:r>
      <w:r w:rsidRPr="00B14447">
        <w:rPr>
          <w:rFonts w:ascii="Times New Roman" w:hAnsi="Times New Roman"/>
        </w:rPr>
        <w:t xml:space="preserve">Millichamp was merely "covering all </w:t>
      </w:r>
      <w:r w:rsidR="00E013F0" w:rsidRPr="00B14447">
        <w:rPr>
          <w:rFonts w:ascii="Times New Roman" w:hAnsi="Times New Roman"/>
        </w:rPr>
        <w:t>angles</w:t>
      </w:r>
      <w:r w:rsidRPr="00B14447">
        <w:rPr>
          <w:rFonts w:ascii="Times New Roman" w:hAnsi="Times New Roman"/>
        </w:rPr>
        <w:t>".</w:t>
      </w:r>
      <w:r w:rsidRPr="00B14447">
        <w:rPr>
          <w:rStyle w:val="FootnoteReference"/>
          <w:rFonts w:ascii="Times New Roman" w:hAnsi="Times New Roman"/>
          <w:sz w:val="24"/>
        </w:rPr>
        <w:footnoteReference w:id="93"/>
      </w:r>
      <w:r w:rsidRPr="00B14447">
        <w:rPr>
          <w:rFonts w:ascii="Times New Roman" w:hAnsi="Times New Roman"/>
        </w:rPr>
        <w:t xml:space="preserve"> </w:t>
      </w:r>
    </w:p>
    <w:p w14:paraId="75FE9E7A" w14:textId="48842CDC" w:rsidR="008E491A" w:rsidRPr="00B14447" w:rsidRDefault="00116EE3" w:rsidP="00B14447">
      <w:pPr>
        <w:pStyle w:val="HeadingL2"/>
        <w:spacing w:after="260" w:line="280" w:lineRule="exact"/>
        <w:ind w:left="720" w:right="0" w:hanging="720"/>
        <w:jc w:val="both"/>
        <w:rPr>
          <w:rFonts w:ascii="Times New Roman" w:hAnsi="Times New Roman"/>
        </w:rPr>
      </w:pPr>
      <w:r w:rsidRPr="00B14447">
        <w:rPr>
          <w:rFonts w:ascii="Times New Roman" w:hAnsi="Times New Roman"/>
        </w:rPr>
        <w:t>(9)</w:t>
      </w:r>
      <w:r w:rsidR="006957C7" w:rsidRPr="00B14447">
        <w:rPr>
          <w:rFonts w:ascii="Times New Roman" w:hAnsi="Times New Roman"/>
        </w:rPr>
        <w:tab/>
      </w:r>
      <w:r w:rsidR="008E491A" w:rsidRPr="00B14447">
        <w:rPr>
          <w:rFonts w:ascii="Times New Roman" w:hAnsi="Times New Roman"/>
        </w:rPr>
        <w:t>Six of the findings of the primary judge on the counter-factual</w:t>
      </w:r>
    </w:p>
    <w:p w14:paraId="44129FFD" w14:textId="14D63F1B"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In addition to th</w:t>
      </w:r>
      <w:r w:rsidR="00EB0054" w:rsidRPr="00B14447">
        <w:rPr>
          <w:rFonts w:ascii="Times New Roman" w:hAnsi="Times New Roman"/>
        </w:rPr>
        <w:t>os</w:t>
      </w:r>
      <w:r w:rsidRPr="00B14447">
        <w:rPr>
          <w:rFonts w:ascii="Times New Roman" w:hAnsi="Times New Roman"/>
        </w:rPr>
        <w:t xml:space="preserve">e four matters, there were many other interrelated findings of fact that supported the finding of the primary judge that the Commonwealth had not discharged its onus of demonstrating that "Apotex </w:t>
      </w:r>
      <w:r w:rsidR="00C5385F" w:rsidRPr="00B14447">
        <w:rPr>
          <w:rFonts w:ascii="Times New Roman" w:hAnsi="Times New Roman"/>
        </w:rPr>
        <w:t xml:space="preserve">Australia </w:t>
      </w:r>
      <w:r w:rsidRPr="00B14447">
        <w:rPr>
          <w:rFonts w:ascii="Times New Roman" w:hAnsi="Times New Roman"/>
        </w:rPr>
        <w:t>would have sought and obtained a PBS listing of its clopidogrel products from 1</w:t>
      </w:r>
      <w:r w:rsidR="00B53E4D" w:rsidRPr="00B14447">
        <w:rPr>
          <w:rFonts w:ascii="Times New Roman" w:hAnsi="Times New Roman"/>
        </w:rPr>
        <w:t> </w:t>
      </w:r>
      <w:r w:rsidRPr="00B14447">
        <w:rPr>
          <w:rFonts w:ascii="Times New Roman" w:hAnsi="Times New Roman"/>
        </w:rPr>
        <w:t>April 2008 even if the interlocutory injunction had not been granted".</w:t>
      </w:r>
      <w:r w:rsidRPr="00B14447">
        <w:rPr>
          <w:rStyle w:val="FootnoteReference"/>
          <w:rFonts w:ascii="Times New Roman" w:hAnsi="Times New Roman"/>
          <w:sz w:val="24"/>
        </w:rPr>
        <w:footnoteReference w:id="94"/>
      </w:r>
      <w:r w:rsidRPr="00B14447">
        <w:rPr>
          <w:rFonts w:ascii="Times New Roman" w:hAnsi="Times New Roman"/>
        </w:rPr>
        <w:t xml:space="preserve"> It </w:t>
      </w:r>
      <w:r w:rsidRPr="00B14447">
        <w:rPr>
          <w:rFonts w:ascii="Times New Roman" w:hAnsi="Times New Roman"/>
        </w:rPr>
        <w:lastRenderedPageBreak/>
        <w:t xml:space="preserve">suffices to set out six </w:t>
      </w:r>
      <w:r w:rsidR="00973691" w:rsidRPr="00B14447">
        <w:rPr>
          <w:rFonts w:ascii="Times New Roman" w:hAnsi="Times New Roman"/>
        </w:rPr>
        <w:t xml:space="preserve">of the </w:t>
      </w:r>
      <w:r w:rsidRPr="00B14447">
        <w:rPr>
          <w:rFonts w:ascii="Times New Roman" w:hAnsi="Times New Roman"/>
        </w:rPr>
        <w:t xml:space="preserve">findings by the primary judge that supported his Honour's conclusion that the Commonwealth had failed to discharge its onus. </w:t>
      </w:r>
    </w:p>
    <w:p w14:paraId="19907585" w14:textId="01D087C5"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First</w:t>
      </w:r>
      <w:r w:rsidRPr="00B14447">
        <w:rPr>
          <w:rFonts w:ascii="Times New Roman" w:hAnsi="Times New Roman"/>
        </w:rPr>
        <w:t>, the primary judge held</w:t>
      </w:r>
      <w:r w:rsidR="00694686" w:rsidRPr="00B14447">
        <w:rPr>
          <w:rFonts w:ascii="Times New Roman" w:hAnsi="Times New Roman"/>
        </w:rPr>
        <w:t xml:space="preserve"> </w:t>
      </w:r>
      <w:r w:rsidRPr="00B14447">
        <w:rPr>
          <w:rFonts w:ascii="Times New Roman" w:hAnsi="Times New Roman"/>
        </w:rPr>
        <w:t>that</w:t>
      </w:r>
      <w:r w:rsidR="00694686" w:rsidRPr="00B14447">
        <w:rPr>
          <w:rFonts w:ascii="Times New Roman" w:hAnsi="Times New Roman"/>
        </w:rPr>
        <w:t>, in light of his Honour's findings about the email correspondence in June 2007 and the letter of 17</w:t>
      </w:r>
      <w:r w:rsidR="000E33BF" w:rsidRPr="00B14447">
        <w:rPr>
          <w:rFonts w:ascii="Times New Roman" w:hAnsi="Times New Roman"/>
        </w:rPr>
        <w:t> </w:t>
      </w:r>
      <w:r w:rsidR="00694686" w:rsidRPr="00B14447">
        <w:rPr>
          <w:rFonts w:ascii="Times New Roman" w:hAnsi="Times New Roman"/>
        </w:rPr>
        <w:t>August 2007 as set out above,</w:t>
      </w:r>
      <w:r w:rsidRPr="00B14447">
        <w:rPr>
          <w:rFonts w:ascii="Times New Roman" w:hAnsi="Times New Roman"/>
        </w:rPr>
        <w:t xml:space="preserve"> despite indications by Dr</w:t>
      </w:r>
      <w:r w:rsidR="002C5443" w:rsidRPr="00B14447">
        <w:rPr>
          <w:rFonts w:ascii="Times New Roman" w:hAnsi="Times New Roman"/>
        </w:rPr>
        <w:t> </w:t>
      </w:r>
      <w:r w:rsidRPr="00B14447">
        <w:rPr>
          <w:rFonts w:ascii="Times New Roman" w:hAnsi="Times New Roman"/>
        </w:rPr>
        <w:t xml:space="preserve">Sherman of an intention to launch </w:t>
      </w:r>
      <w:r w:rsidR="002C5443" w:rsidRPr="00B14447">
        <w:rPr>
          <w:rFonts w:ascii="Times New Roman" w:hAnsi="Times New Roman"/>
        </w:rPr>
        <w:t xml:space="preserve">at risk </w:t>
      </w:r>
      <w:r w:rsidRPr="00B14447">
        <w:rPr>
          <w:rFonts w:ascii="Times New Roman" w:hAnsi="Times New Roman"/>
        </w:rPr>
        <w:t xml:space="preserve">in correspondence in February 2007 and June 2007, no </w:t>
      </w:r>
      <w:r w:rsidRPr="00B14447">
        <w:rPr>
          <w:rFonts w:ascii="Times New Roman" w:hAnsi="Times New Roman"/>
          <w:i/>
          <w:iCs/>
        </w:rPr>
        <w:t>final</w:t>
      </w:r>
      <w:r w:rsidRPr="00B14447">
        <w:rPr>
          <w:rFonts w:ascii="Times New Roman" w:hAnsi="Times New Roman"/>
        </w:rPr>
        <w:t xml:space="preserve"> decision had been made prior to September 2007. Mr</w:t>
      </w:r>
      <w:r w:rsidR="00A43F5C" w:rsidRPr="00B14447">
        <w:rPr>
          <w:rFonts w:ascii="Times New Roman" w:hAnsi="Times New Roman"/>
        </w:rPr>
        <w:t> </w:t>
      </w:r>
      <w:r w:rsidRPr="00B14447">
        <w:rPr>
          <w:rFonts w:ascii="Times New Roman" w:hAnsi="Times New Roman"/>
        </w:rPr>
        <w:t>Millichamp had actually accepted in his oral evidence before the primary judge that no final decision had been made but Mr</w:t>
      </w:r>
      <w:r w:rsidR="00AF1C3B" w:rsidRPr="00B14447">
        <w:rPr>
          <w:rFonts w:ascii="Times New Roman" w:hAnsi="Times New Roman"/>
        </w:rPr>
        <w:t> </w:t>
      </w:r>
      <w:r w:rsidRPr="00B14447">
        <w:rPr>
          <w:rFonts w:ascii="Times New Roman" w:hAnsi="Times New Roman"/>
        </w:rPr>
        <w:t>Millichamp had asserted: "[Dr</w:t>
      </w:r>
      <w:r w:rsidR="00A43F5C" w:rsidRPr="00B14447">
        <w:rPr>
          <w:rFonts w:ascii="Times New Roman" w:hAnsi="Times New Roman"/>
        </w:rPr>
        <w:t> </w:t>
      </w:r>
      <w:r w:rsidRPr="00B14447">
        <w:rPr>
          <w:rFonts w:ascii="Times New Roman" w:hAnsi="Times New Roman"/>
        </w:rPr>
        <w:t>Sherman] could change his mind. I mean, I ... think he would. But</w:t>
      </w:r>
      <w:r w:rsidR="00EA0C32" w:rsidRPr="00B14447">
        <w:rPr>
          <w:rFonts w:ascii="Times New Roman" w:hAnsi="Times New Roman"/>
        </w:rPr>
        <w:t xml:space="preserve"> </w:t>
      </w:r>
      <w:r w:rsidR="00A43F5C" w:rsidRPr="00B14447">
        <w:rPr>
          <w:rFonts w:ascii="Times New Roman" w:hAnsi="Times New Roman"/>
        </w:rPr>
        <w:t>—</w:t>
      </w:r>
      <w:r w:rsidR="00EA0C32" w:rsidRPr="00B14447">
        <w:rPr>
          <w:rFonts w:ascii="Times New Roman" w:hAnsi="Times New Roman"/>
        </w:rPr>
        <w:t xml:space="preserve"> </w:t>
      </w:r>
      <w:r w:rsidRPr="00B14447">
        <w:rPr>
          <w:rFonts w:ascii="Times New Roman" w:hAnsi="Times New Roman"/>
        </w:rPr>
        <w:t>it would be very unlikely".</w:t>
      </w:r>
      <w:r w:rsidRPr="00B14447">
        <w:rPr>
          <w:rStyle w:val="FootnoteReference"/>
          <w:rFonts w:ascii="Times New Roman" w:hAnsi="Times New Roman"/>
          <w:sz w:val="24"/>
        </w:rPr>
        <w:footnoteReference w:id="95"/>
      </w:r>
      <w:r w:rsidRPr="00B14447">
        <w:rPr>
          <w:rFonts w:ascii="Times New Roman" w:hAnsi="Times New Roman"/>
        </w:rPr>
        <w:t xml:space="preserve"> But the primary judge did not accept Mr</w:t>
      </w:r>
      <w:r w:rsidR="0019671E" w:rsidRPr="00B14447">
        <w:rPr>
          <w:rFonts w:ascii="Times New Roman" w:hAnsi="Times New Roman"/>
        </w:rPr>
        <w:t> </w:t>
      </w:r>
      <w:r w:rsidRPr="00B14447">
        <w:rPr>
          <w:rFonts w:ascii="Times New Roman" w:hAnsi="Times New Roman"/>
        </w:rPr>
        <w:t>Millichamp's evidence that it would be very unlikely that Dr</w:t>
      </w:r>
      <w:r w:rsidR="00970B11" w:rsidRPr="00B14447">
        <w:rPr>
          <w:rFonts w:ascii="Times New Roman" w:hAnsi="Times New Roman"/>
        </w:rPr>
        <w:t> </w:t>
      </w:r>
      <w:r w:rsidRPr="00B14447">
        <w:rPr>
          <w:rFonts w:ascii="Times New Roman" w:hAnsi="Times New Roman"/>
        </w:rPr>
        <w:t>Sherman would change his mind. The primary judge found that evidence "most unconvincing ... largely non-responsive and evasive".</w:t>
      </w:r>
      <w:r w:rsidRPr="00B14447">
        <w:rPr>
          <w:rStyle w:val="FootnoteReference"/>
          <w:rFonts w:ascii="Times New Roman" w:hAnsi="Times New Roman"/>
          <w:sz w:val="24"/>
        </w:rPr>
        <w:footnoteReference w:id="96"/>
      </w:r>
    </w:p>
    <w:p w14:paraId="55F9232A" w14:textId="2D881E97"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There were also several significant findings of the primary judge that supported </w:t>
      </w:r>
      <w:r w:rsidR="007419AE" w:rsidRPr="00B14447">
        <w:rPr>
          <w:rFonts w:ascii="Times New Roman" w:hAnsi="Times New Roman"/>
        </w:rPr>
        <w:t xml:space="preserve">the conclusion that </w:t>
      </w:r>
      <w:r w:rsidRPr="00B14447">
        <w:rPr>
          <w:rFonts w:ascii="Times New Roman" w:hAnsi="Times New Roman"/>
        </w:rPr>
        <w:t>the indications by Dr</w:t>
      </w:r>
      <w:r w:rsidR="00383C23" w:rsidRPr="00B14447">
        <w:rPr>
          <w:rFonts w:ascii="Times New Roman" w:hAnsi="Times New Roman"/>
        </w:rPr>
        <w:t> </w:t>
      </w:r>
      <w:r w:rsidRPr="00B14447">
        <w:rPr>
          <w:rFonts w:ascii="Times New Roman" w:hAnsi="Times New Roman"/>
        </w:rPr>
        <w:t xml:space="preserve">Sherman of an intention to launch </w:t>
      </w:r>
      <w:r w:rsidR="007419AE" w:rsidRPr="00B14447">
        <w:rPr>
          <w:rFonts w:ascii="Times New Roman" w:hAnsi="Times New Roman"/>
        </w:rPr>
        <w:t xml:space="preserve">were </w:t>
      </w:r>
      <w:r w:rsidRPr="00B14447">
        <w:rPr>
          <w:rFonts w:ascii="Times New Roman" w:hAnsi="Times New Roman"/>
        </w:rPr>
        <w:t xml:space="preserve">only tentative. One of those findings was that advice had been provided to Dr Sherman that Apotex </w:t>
      </w:r>
      <w:r w:rsidR="00F67A5C" w:rsidRPr="00B14447">
        <w:rPr>
          <w:rFonts w:ascii="Times New Roman" w:hAnsi="Times New Roman"/>
        </w:rPr>
        <w:t xml:space="preserve">was </w:t>
      </w:r>
      <w:r w:rsidRPr="00B14447">
        <w:rPr>
          <w:rFonts w:ascii="Times New Roman" w:hAnsi="Times New Roman"/>
        </w:rPr>
        <w:t>unlikely to be successful in avoiding an interlocutory injunction,</w:t>
      </w:r>
      <w:r w:rsidRPr="00B14447">
        <w:rPr>
          <w:rStyle w:val="FootnoteReference"/>
          <w:rFonts w:ascii="Times New Roman" w:hAnsi="Times New Roman"/>
          <w:sz w:val="24"/>
        </w:rPr>
        <w:footnoteReference w:id="97"/>
      </w:r>
      <w:r w:rsidRPr="00B14447">
        <w:rPr>
          <w:rFonts w:ascii="Times New Roman" w:hAnsi="Times New Roman"/>
        </w:rPr>
        <w:t xml:space="preserve"> so that it was not necessary to make such a decision until the interlocutory injunction was decided. The primary judge rejected Mr Millichamp's evidence that "we always believed that all of the claims of the patent were invalid" as not persuasive, in the absence of any legal advice to that effect and in light of Apotex's failure to have the patent invalidated in the U</w:t>
      </w:r>
      <w:r w:rsidR="009B2EC3" w:rsidRPr="00B14447">
        <w:rPr>
          <w:rFonts w:ascii="Times New Roman" w:hAnsi="Times New Roman"/>
        </w:rPr>
        <w:t xml:space="preserve">nited </w:t>
      </w:r>
      <w:r w:rsidRPr="00B14447">
        <w:rPr>
          <w:rFonts w:ascii="Times New Roman" w:hAnsi="Times New Roman"/>
        </w:rPr>
        <w:t>S</w:t>
      </w:r>
      <w:r w:rsidR="009B2EC3" w:rsidRPr="00B14447">
        <w:rPr>
          <w:rFonts w:ascii="Times New Roman" w:hAnsi="Times New Roman"/>
        </w:rPr>
        <w:t>tates</w:t>
      </w:r>
      <w:r w:rsidRPr="00B14447">
        <w:rPr>
          <w:rFonts w:ascii="Times New Roman" w:hAnsi="Times New Roman"/>
        </w:rPr>
        <w:t xml:space="preserve">, </w:t>
      </w:r>
      <w:r w:rsidR="0099194A" w:rsidRPr="00B14447">
        <w:rPr>
          <w:rFonts w:ascii="Times New Roman" w:hAnsi="Times New Roman"/>
        </w:rPr>
        <w:t xml:space="preserve">and </w:t>
      </w:r>
      <w:r w:rsidRPr="00B14447">
        <w:rPr>
          <w:rFonts w:ascii="Times New Roman" w:hAnsi="Times New Roman"/>
        </w:rPr>
        <w:t>thus reject</w:t>
      </w:r>
      <w:r w:rsidR="0099194A" w:rsidRPr="00B14447">
        <w:rPr>
          <w:rFonts w:ascii="Times New Roman" w:hAnsi="Times New Roman"/>
        </w:rPr>
        <w:t>ed</w:t>
      </w:r>
      <w:r w:rsidRPr="00B14447">
        <w:rPr>
          <w:rFonts w:ascii="Times New Roman" w:hAnsi="Times New Roman"/>
        </w:rPr>
        <w:t xml:space="preserve"> Mr Millichamp's assertion that Apotex did not believe the risk of substantial damages </w:t>
      </w:r>
      <w:r w:rsidR="00A173E2" w:rsidRPr="00B14447">
        <w:rPr>
          <w:rFonts w:ascii="Times New Roman" w:hAnsi="Times New Roman"/>
        </w:rPr>
        <w:t>w</w:t>
      </w:r>
      <w:r w:rsidRPr="00B14447">
        <w:rPr>
          <w:rFonts w:ascii="Times New Roman" w:hAnsi="Times New Roman"/>
        </w:rPr>
        <w:t>ould eventuate.</w:t>
      </w:r>
      <w:r w:rsidRPr="00B14447">
        <w:rPr>
          <w:rStyle w:val="FootnoteReference"/>
          <w:rFonts w:ascii="Times New Roman" w:hAnsi="Times New Roman"/>
          <w:sz w:val="24"/>
        </w:rPr>
        <w:footnoteReference w:id="98"/>
      </w:r>
      <w:r w:rsidRPr="00B14447">
        <w:rPr>
          <w:rFonts w:ascii="Times New Roman" w:hAnsi="Times New Roman"/>
        </w:rPr>
        <w:t xml:space="preserve"> Instead, the primary judge concluded that there was "some advantage to be gained in resisting the interlocutory application even if Dr Sherman </w:t>
      </w:r>
      <w:r w:rsidR="00F37707" w:rsidRPr="00B14447">
        <w:rPr>
          <w:rFonts w:ascii="Times New Roman" w:hAnsi="Times New Roman"/>
        </w:rPr>
        <w:t xml:space="preserve">was </w:t>
      </w:r>
      <w:r w:rsidRPr="00B14447">
        <w:rPr>
          <w:rFonts w:ascii="Times New Roman" w:hAnsi="Times New Roman"/>
        </w:rPr>
        <w:t xml:space="preserve">later to decide, based on an up </w:t>
      </w:r>
      <w:r w:rsidRPr="00B14447">
        <w:rPr>
          <w:rFonts w:ascii="Times New Roman" w:hAnsi="Times New Roman"/>
        </w:rPr>
        <w:lastRenderedPageBreak/>
        <w:t>to date risk/reward analysis, that it would be undesirable for Apotex Australia to launch at risk".</w:t>
      </w:r>
      <w:r w:rsidRPr="00B14447">
        <w:rPr>
          <w:rStyle w:val="FootnoteReference"/>
          <w:rFonts w:ascii="Times New Roman" w:hAnsi="Times New Roman"/>
          <w:sz w:val="24"/>
        </w:rPr>
        <w:footnoteReference w:id="99"/>
      </w:r>
      <w:r w:rsidRPr="00B14447">
        <w:rPr>
          <w:rFonts w:ascii="Times New Roman" w:hAnsi="Times New Roman"/>
        </w:rPr>
        <w:t xml:space="preserve">   </w:t>
      </w:r>
    </w:p>
    <w:p w14:paraId="51C6F6C5" w14:textId="2976C68C"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Another important finding of the primary judge bearing upon the tentative nature of Dr</w:t>
      </w:r>
      <w:r w:rsidR="00577DDC" w:rsidRPr="00B14447">
        <w:rPr>
          <w:rFonts w:ascii="Times New Roman" w:hAnsi="Times New Roman"/>
        </w:rPr>
        <w:t> </w:t>
      </w:r>
      <w:r w:rsidRPr="00B14447">
        <w:rPr>
          <w:rFonts w:ascii="Times New Roman" w:hAnsi="Times New Roman"/>
        </w:rPr>
        <w:t>Sherman's indication of an intention to launch at risk is that there was no evidence of a risk/reward analysis having been undertaken by Apotex at any time before September 2007</w:t>
      </w:r>
      <w:r w:rsidR="00FF11C4" w:rsidRPr="00B14447">
        <w:rPr>
          <w:rFonts w:ascii="Times New Roman" w:hAnsi="Times New Roman"/>
        </w:rPr>
        <w:t xml:space="preserve"> which included </w:t>
      </w:r>
      <w:r w:rsidR="00E23B1C" w:rsidRPr="00B14447">
        <w:rPr>
          <w:rFonts w:ascii="Times New Roman" w:hAnsi="Times New Roman"/>
        </w:rPr>
        <w:t>analysis of Apotex's potential exposure to Sanofi</w:t>
      </w:r>
      <w:r w:rsidRPr="00B14447">
        <w:rPr>
          <w:rFonts w:ascii="Times New Roman" w:hAnsi="Times New Roman"/>
        </w:rPr>
        <w:t>, unlike in 2008 or 2009 when such analyses were undertaken and when the primary judge found that legal advice was sought concerning the exposure of Apotex to damages by a launch at risk.</w:t>
      </w:r>
      <w:r w:rsidRPr="00B14447">
        <w:rPr>
          <w:rStyle w:val="FootnoteReference"/>
          <w:rFonts w:ascii="Times New Roman" w:hAnsi="Times New Roman"/>
          <w:sz w:val="24"/>
        </w:rPr>
        <w:footnoteReference w:id="100"/>
      </w:r>
      <w:r w:rsidRPr="00B14447">
        <w:rPr>
          <w:rFonts w:ascii="Times New Roman" w:hAnsi="Times New Roman"/>
        </w:rPr>
        <w:t xml:space="preserve"> The primary judge explained that apart from Mr Millichamp's indication on 25</w:t>
      </w:r>
      <w:r w:rsidR="006618A0" w:rsidRPr="00B14447">
        <w:rPr>
          <w:rFonts w:ascii="Times New Roman" w:hAnsi="Times New Roman"/>
        </w:rPr>
        <w:t> </w:t>
      </w:r>
      <w:r w:rsidRPr="00B14447">
        <w:rPr>
          <w:rFonts w:ascii="Times New Roman" w:hAnsi="Times New Roman"/>
        </w:rPr>
        <w:t xml:space="preserve">June 2007 that Apotex could be required to provide security to cover $50-70 million for only "one year's damages", there had been nothing in </w:t>
      </w:r>
      <w:r w:rsidR="006618A0" w:rsidRPr="00B14447">
        <w:rPr>
          <w:rFonts w:ascii="Times New Roman" w:hAnsi="Times New Roman"/>
        </w:rPr>
        <w:t>that correspondence</w:t>
      </w:r>
      <w:r w:rsidRPr="00B14447">
        <w:rPr>
          <w:rFonts w:ascii="Times New Roman" w:hAnsi="Times New Roman"/>
        </w:rPr>
        <w:t xml:space="preserve"> to show that </w:t>
      </w:r>
      <w:r w:rsidR="006618A0" w:rsidRPr="00B14447">
        <w:rPr>
          <w:rFonts w:ascii="Times New Roman" w:hAnsi="Times New Roman"/>
        </w:rPr>
        <w:t xml:space="preserve">Mr Millichamp </w:t>
      </w:r>
      <w:r w:rsidRPr="00B14447">
        <w:rPr>
          <w:rFonts w:ascii="Times New Roman" w:hAnsi="Times New Roman"/>
        </w:rPr>
        <w:t>had "undertaken any analysis of Apotex’s financial exposure if it were to launch its clopidogrel products, obtain a PBS listing for them, but later see its challenge to the validity of the Patent fail".</w:t>
      </w:r>
      <w:r w:rsidRPr="00B14447">
        <w:rPr>
          <w:rStyle w:val="FootnoteReference"/>
          <w:rFonts w:ascii="Times New Roman" w:hAnsi="Times New Roman"/>
          <w:sz w:val="24"/>
        </w:rPr>
        <w:footnoteReference w:id="101"/>
      </w:r>
      <w:r w:rsidRPr="00B14447">
        <w:rPr>
          <w:rFonts w:ascii="Times New Roman" w:hAnsi="Times New Roman"/>
        </w:rPr>
        <w:t xml:space="preserve"> The primary judge explained that such an analysis in 2007 would have supported the conclusion that, in the absence of an interlocutory injunction, Apotex may not have launched at risk prior to the determination of the matter, as it may have calculated there would be little to gain from launching ahead of a final decision.</w:t>
      </w:r>
      <w:r w:rsidRPr="00B14447">
        <w:rPr>
          <w:rStyle w:val="FootnoteReference"/>
          <w:rFonts w:ascii="Times New Roman" w:hAnsi="Times New Roman"/>
          <w:sz w:val="24"/>
        </w:rPr>
        <w:footnoteReference w:id="102"/>
      </w:r>
      <w:r w:rsidRPr="00B14447">
        <w:rPr>
          <w:rFonts w:ascii="Times New Roman" w:hAnsi="Times New Roman"/>
        </w:rPr>
        <w:t xml:space="preserve"> </w:t>
      </w:r>
    </w:p>
    <w:p w14:paraId="58F5CEB6" w14:textId="0A49AEDA"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Secondly</w:t>
      </w:r>
      <w:r w:rsidRPr="00B14447">
        <w:rPr>
          <w:rFonts w:ascii="Times New Roman" w:hAnsi="Times New Roman"/>
        </w:rPr>
        <w:t>, as with many other aspects of Mr</w:t>
      </w:r>
      <w:r w:rsidR="0051567F" w:rsidRPr="00B14447">
        <w:rPr>
          <w:rFonts w:ascii="Times New Roman" w:hAnsi="Times New Roman"/>
        </w:rPr>
        <w:t> </w:t>
      </w:r>
      <w:r w:rsidRPr="00B14447">
        <w:rPr>
          <w:rFonts w:ascii="Times New Roman" w:hAnsi="Times New Roman"/>
        </w:rPr>
        <w:t>M</w:t>
      </w:r>
      <w:r w:rsidR="0051567F" w:rsidRPr="00B14447">
        <w:rPr>
          <w:rFonts w:ascii="Times New Roman" w:hAnsi="Times New Roman"/>
        </w:rPr>
        <w:t>i</w:t>
      </w:r>
      <w:r w:rsidRPr="00B14447">
        <w:rPr>
          <w:rFonts w:ascii="Times New Roman" w:hAnsi="Times New Roman"/>
        </w:rPr>
        <w:t>llichamp's evidence, the primary judge rejected Mr</w:t>
      </w:r>
      <w:r w:rsidR="0035363B" w:rsidRPr="00B14447">
        <w:rPr>
          <w:rFonts w:ascii="Times New Roman" w:hAnsi="Times New Roman"/>
        </w:rPr>
        <w:t> </w:t>
      </w:r>
      <w:r w:rsidRPr="00B14447">
        <w:rPr>
          <w:rFonts w:ascii="Times New Roman" w:hAnsi="Times New Roman"/>
        </w:rPr>
        <w:t>Millichamp's evidence that Apotex would have "almost certainly" launched at risk if it had not been subject to the interlocutory injunction. Since the decision maker was Dr</w:t>
      </w:r>
      <w:r w:rsidR="0035363B" w:rsidRPr="00B14447">
        <w:rPr>
          <w:rFonts w:ascii="Times New Roman" w:hAnsi="Times New Roman"/>
        </w:rPr>
        <w:t> </w:t>
      </w:r>
      <w:r w:rsidRPr="00B14447">
        <w:rPr>
          <w:rFonts w:ascii="Times New Roman" w:hAnsi="Times New Roman"/>
        </w:rPr>
        <w:t>Sherman and not Mr</w:t>
      </w:r>
      <w:r w:rsidR="0035363B" w:rsidRPr="00B14447">
        <w:rPr>
          <w:rFonts w:ascii="Times New Roman" w:hAnsi="Times New Roman"/>
        </w:rPr>
        <w:t> </w:t>
      </w:r>
      <w:r w:rsidRPr="00B14447">
        <w:rPr>
          <w:rFonts w:ascii="Times New Roman" w:hAnsi="Times New Roman"/>
        </w:rPr>
        <w:t>Millichamp, the primary judge observed that Mr</w:t>
      </w:r>
      <w:r w:rsidR="0035363B" w:rsidRPr="00B14447">
        <w:rPr>
          <w:rFonts w:ascii="Times New Roman" w:hAnsi="Times New Roman"/>
        </w:rPr>
        <w:t> </w:t>
      </w:r>
      <w:r w:rsidRPr="00B14447">
        <w:rPr>
          <w:rFonts w:ascii="Times New Roman" w:hAnsi="Times New Roman"/>
        </w:rPr>
        <w:t>Millichamp had not explained why Dr</w:t>
      </w:r>
      <w:r w:rsidR="0035363B" w:rsidRPr="00B14447">
        <w:rPr>
          <w:rFonts w:ascii="Times New Roman" w:hAnsi="Times New Roman"/>
        </w:rPr>
        <w:t> </w:t>
      </w:r>
      <w:r w:rsidRPr="00B14447">
        <w:rPr>
          <w:rFonts w:ascii="Times New Roman" w:hAnsi="Times New Roman"/>
        </w:rPr>
        <w:t>Sherman would have wished to launch at risk when the final hearing was going to be "in the very near future" (indeed, only four weeks after the earliest date of</w:t>
      </w:r>
      <w:r w:rsidR="0035363B" w:rsidRPr="00B14447">
        <w:rPr>
          <w:rFonts w:ascii="Times New Roman" w:hAnsi="Times New Roman"/>
        </w:rPr>
        <w:t xml:space="preserve"> PBS</w:t>
      </w:r>
      <w:r w:rsidRPr="00B14447">
        <w:rPr>
          <w:rFonts w:ascii="Times New Roman" w:hAnsi="Times New Roman"/>
        </w:rPr>
        <w:t xml:space="preserve"> listing).</w:t>
      </w:r>
      <w:r w:rsidRPr="00B14447">
        <w:rPr>
          <w:rStyle w:val="FootnoteReference"/>
          <w:rFonts w:ascii="Times New Roman" w:hAnsi="Times New Roman"/>
          <w:sz w:val="24"/>
        </w:rPr>
        <w:footnoteReference w:id="103"/>
      </w:r>
      <w:r w:rsidRPr="00B14447">
        <w:rPr>
          <w:rFonts w:ascii="Times New Roman" w:hAnsi="Times New Roman"/>
        </w:rPr>
        <w:t xml:space="preserve"> </w:t>
      </w:r>
    </w:p>
    <w:p w14:paraId="69081294" w14:textId="5526344D"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r>
      <w:r w:rsidRPr="00B14447">
        <w:rPr>
          <w:rFonts w:ascii="Times New Roman" w:hAnsi="Times New Roman"/>
          <w:b/>
          <w:bCs/>
        </w:rPr>
        <w:t>Thirdly</w:t>
      </w:r>
      <w:r w:rsidRPr="00B14447">
        <w:rPr>
          <w:rFonts w:ascii="Times New Roman" w:hAnsi="Times New Roman"/>
        </w:rPr>
        <w:t xml:space="preserve">, in the absence of any calculation </w:t>
      </w:r>
      <w:r w:rsidR="009447DB" w:rsidRPr="00B14447">
        <w:rPr>
          <w:rFonts w:ascii="Times New Roman" w:hAnsi="Times New Roman"/>
        </w:rPr>
        <w:t xml:space="preserve">of Apotex's potential financial exposure to Sanofi </w:t>
      </w:r>
      <w:r w:rsidR="001921A0" w:rsidRPr="00B14447">
        <w:rPr>
          <w:rFonts w:ascii="Times New Roman" w:hAnsi="Times New Roman"/>
        </w:rPr>
        <w:t xml:space="preserve">having been </w:t>
      </w:r>
      <w:r w:rsidRPr="00B14447">
        <w:rPr>
          <w:rFonts w:ascii="Times New Roman" w:hAnsi="Times New Roman"/>
        </w:rPr>
        <w:t xml:space="preserve">undertaken by Apotex </w:t>
      </w:r>
      <w:r w:rsidR="00073792" w:rsidRPr="00B14447">
        <w:rPr>
          <w:rFonts w:ascii="Times New Roman" w:hAnsi="Times New Roman"/>
        </w:rPr>
        <w:t>in September 2007 (</w:t>
      </w:r>
      <w:r w:rsidRPr="00B14447">
        <w:rPr>
          <w:rFonts w:ascii="Times New Roman" w:hAnsi="Times New Roman"/>
        </w:rPr>
        <w:t>the time of the counter</w:t>
      </w:r>
      <w:r w:rsidR="006C43A8" w:rsidRPr="00B14447">
        <w:rPr>
          <w:rFonts w:ascii="Times New Roman" w:hAnsi="Times New Roman"/>
        </w:rPr>
        <w:t>-</w:t>
      </w:r>
      <w:r w:rsidRPr="00B14447">
        <w:rPr>
          <w:rFonts w:ascii="Times New Roman" w:hAnsi="Times New Roman"/>
        </w:rPr>
        <w:t xml:space="preserve">factual </w:t>
      </w:r>
      <w:r w:rsidR="009447DB" w:rsidRPr="00B14447">
        <w:rPr>
          <w:rFonts w:ascii="Times New Roman" w:hAnsi="Times New Roman"/>
        </w:rPr>
        <w:t>i</w:t>
      </w:r>
      <w:r w:rsidRPr="00B14447">
        <w:rPr>
          <w:rFonts w:ascii="Times New Roman" w:hAnsi="Times New Roman"/>
        </w:rPr>
        <w:t>nquiry</w:t>
      </w:r>
      <w:r w:rsidR="00073792" w:rsidRPr="00B14447">
        <w:rPr>
          <w:rFonts w:ascii="Times New Roman" w:hAnsi="Times New Roman"/>
        </w:rPr>
        <w:t>)</w:t>
      </w:r>
      <w:r w:rsidRPr="00B14447">
        <w:rPr>
          <w:rFonts w:ascii="Times New Roman" w:hAnsi="Times New Roman"/>
        </w:rPr>
        <w:t xml:space="preserve">, the primary judge considered the risk/reward calculations undertaken </w:t>
      </w:r>
      <w:r w:rsidR="00804CE1" w:rsidRPr="00B14447">
        <w:rPr>
          <w:rFonts w:ascii="Times New Roman" w:hAnsi="Times New Roman"/>
        </w:rPr>
        <w:t xml:space="preserve">by Apotex </w:t>
      </w:r>
      <w:r w:rsidRPr="00B14447">
        <w:rPr>
          <w:rFonts w:ascii="Times New Roman" w:hAnsi="Times New Roman"/>
        </w:rPr>
        <w:t>in 2008 and 2009</w:t>
      </w:r>
      <w:r w:rsidR="001921A0" w:rsidRPr="00B14447">
        <w:rPr>
          <w:rFonts w:ascii="Times New Roman" w:hAnsi="Times New Roman"/>
        </w:rPr>
        <w:t xml:space="preserve"> to be relevant </w:t>
      </w:r>
      <w:r w:rsidR="00A54EDF" w:rsidRPr="00B14447">
        <w:rPr>
          <w:rFonts w:ascii="Times New Roman" w:hAnsi="Times New Roman"/>
        </w:rPr>
        <w:t xml:space="preserve">to how </w:t>
      </w:r>
      <w:r w:rsidR="002E2CCA" w:rsidRPr="00B14447">
        <w:rPr>
          <w:rFonts w:ascii="Times New Roman" w:hAnsi="Times New Roman"/>
        </w:rPr>
        <w:t>Apotex would have made its decision in the counter</w:t>
      </w:r>
      <w:r w:rsidR="00B211E7" w:rsidRPr="00B14447">
        <w:rPr>
          <w:rFonts w:ascii="Times New Roman" w:hAnsi="Times New Roman"/>
        </w:rPr>
        <w:t>-</w:t>
      </w:r>
      <w:r w:rsidR="002E2CCA" w:rsidRPr="00B14447">
        <w:rPr>
          <w:rFonts w:ascii="Times New Roman" w:hAnsi="Times New Roman"/>
        </w:rPr>
        <w:t>factual world where the interlocutory injunction was not granted, particularly in circumstances</w:t>
      </w:r>
      <w:r w:rsidRPr="00B14447">
        <w:rPr>
          <w:rFonts w:ascii="Times New Roman" w:hAnsi="Times New Roman"/>
        </w:rPr>
        <w:t xml:space="preserve"> where two of the scenarios </w:t>
      </w:r>
      <w:r w:rsidR="00A54EDF" w:rsidRPr="00B14447">
        <w:rPr>
          <w:rFonts w:ascii="Times New Roman" w:hAnsi="Times New Roman"/>
        </w:rPr>
        <w:t xml:space="preserve">modelled </w:t>
      </w:r>
      <w:r w:rsidRPr="00B14447">
        <w:rPr>
          <w:rFonts w:ascii="Times New Roman" w:hAnsi="Times New Roman"/>
        </w:rPr>
        <w:t xml:space="preserve">in an email from Mr Millichamp in June 2007 were the same as those projected </w:t>
      </w:r>
      <w:r w:rsidR="002E2CCA" w:rsidRPr="00B14447">
        <w:rPr>
          <w:rFonts w:ascii="Times New Roman" w:hAnsi="Times New Roman"/>
        </w:rPr>
        <w:t xml:space="preserve">by Mr Millichamp </w:t>
      </w:r>
      <w:r w:rsidRPr="00B14447">
        <w:rPr>
          <w:rFonts w:ascii="Times New Roman" w:hAnsi="Times New Roman"/>
        </w:rPr>
        <w:t>in July 2008.</w:t>
      </w:r>
      <w:r w:rsidRPr="00B14447">
        <w:rPr>
          <w:rStyle w:val="FootnoteReference"/>
          <w:rFonts w:ascii="Times New Roman" w:hAnsi="Times New Roman"/>
          <w:sz w:val="24"/>
        </w:rPr>
        <w:footnoteReference w:id="104"/>
      </w:r>
    </w:p>
    <w:p w14:paraId="75BD9845" w14:textId="51E2CFA6"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primary judge explained that the analysis of risk/reward actually performed by Apotex in July 2008 demonstrated that if Apotex were to win before the trial judge and launch the products, but then subsequently lose on appeal, it would be exposed to approximately $166 million in damages, </w:t>
      </w:r>
      <w:r w:rsidR="009460D9" w:rsidRPr="00B14447">
        <w:rPr>
          <w:rFonts w:ascii="Times New Roman" w:hAnsi="Times New Roman"/>
        </w:rPr>
        <w:t xml:space="preserve">which would be </w:t>
      </w:r>
      <w:r w:rsidR="00E008A2" w:rsidRPr="00B14447">
        <w:rPr>
          <w:rFonts w:ascii="Times New Roman" w:hAnsi="Times New Roman"/>
        </w:rPr>
        <w:t xml:space="preserve">more than </w:t>
      </w:r>
      <w:r w:rsidRPr="00B14447">
        <w:rPr>
          <w:rFonts w:ascii="Times New Roman" w:hAnsi="Times New Roman"/>
        </w:rPr>
        <w:t>five times the profits it would be projected to make if the products were launched immediately after the final ruling of the trial judge.</w:t>
      </w:r>
      <w:r w:rsidRPr="00B14447">
        <w:rPr>
          <w:rStyle w:val="FootnoteReference"/>
          <w:rFonts w:ascii="Times New Roman" w:hAnsi="Times New Roman"/>
          <w:sz w:val="24"/>
        </w:rPr>
        <w:footnoteReference w:id="105"/>
      </w:r>
      <w:r w:rsidRPr="00B14447">
        <w:rPr>
          <w:rFonts w:ascii="Times New Roman" w:hAnsi="Times New Roman"/>
        </w:rPr>
        <w:t xml:space="preserve"> The primary judge also had regard to evidence of a further risk/reward analysis undertaken in September 2009 (following the Full Court's decision in favour of Apotex Australia</w:t>
      </w:r>
      <w:r w:rsidR="009E5C0E" w:rsidRPr="00B14447">
        <w:rPr>
          <w:rFonts w:ascii="Times New Roman" w:hAnsi="Times New Roman"/>
        </w:rPr>
        <w:t xml:space="preserve"> and pending </w:t>
      </w:r>
      <w:r w:rsidR="00E3438E" w:rsidRPr="00B14447">
        <w:rPr>
          <w:rFonts w:ascii="Times New Roman" w:hAnsi="Times New Roman"/>
        </w:rPr>
        <w:t xml:space="preserve">the </w:t>
      </w:r>
      <w:r w:rsidR="007A10EF" w:rsidRPr="00B14447">
        <w:rPr>
          <w:rFonts w:ascii="Times New Roman" w:hAnsi="Times New Roman"/>
        </w:rPr>
        <w:t xml:space="preserve">Full </w:t>
      </w:r>
      <w:r w:rsidR="00E3438E" w:rsidRPr="00B14447">
        <w:rPr>
          <w:rFonts w:ascii="Times New Roman" w:hAnsi="Times New Roman"/>
        </w:rPr>
        <w:t xml:space="preserve">Court's orders </w:t>
      </w:r>
      <w:r w:rsidR="00597C20" w:rsidRPr="00B14447">
        <w:rPr>
          <w:rFonts w:ascii="Times New Roman" w:hAnsi="Times New Roman"/>
        </w:rPr>
        <w:t>giving effect to its reasons</w:t>
      </w:r>
      <w:r w:rsidRPr="00B14447">
        <w:rPr>
          <w:rFonts w:ascii="Times New Roman" w:hAnsi="Times New Roman"/>
        </w:rPr>
        <w:t>) showing "a potential exposure to Sanofi of more than $650 million".</w:t>
      </w:r>
      <w:r w:rsidRPr="00B14447">
        <w:rPr>
          <w:rStyle w:val="FootnoteReference"/>
          <w:rFonts w:ascii="Times New Roman" w:hAnsi="Times New Roman"/>
          <w:sz w:val="24"/>
        </w:rPr>
        <w:footnoteReference w:id="106"/>
      </w:r>
      <w:r w:rsidRPr="00B14447">
        <w:rPr>
          <w:rFonts w:ascii="Times New Roman" w:hAnsi="Times New Roman"/>
        </w:rPr>
        <w:t xml:space="preserve">  </w:t>
      </w:r>
    </w:p>
    <w:p w14:paraId="05878D79" w14:textId="7476AE3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Fourthly</w:t>
      </w:r>
      <w:r w:rsidRPr="00B14447">
        <w:rPr>
          <w:rFonts w:ascii="Times New Roman" w:hAnsi="Times New Roman"/>
        </w:rPr>
        <w:t>, the primary judge found that the two unforeseen events in September 2007</w:t>
      </w:r>
      <w:r w:rsidR="00D874D5" w:rsidRPr="00B14447">
        <w:rPr>
          <w:rFonts w:ascii="Times New Roman" w:hAnsi="Times New Roman"/>
        </w:rPr>
        <w:t xml:space="preserve">, </w:t>
      </w:r>
      <w:r w:rsidRPr="00B14447">
        <w:rPr>
          <w:rFonts w:ascii="Times New Roman" w:hAnsi="Times New Roman"/>
        </w:rPr>
        <w:t>the earliest possible PBS listing date being delayed until 1</w:t>
      </w:r>
      <w:r w:rsidR="00AC0F53" w:rsidRPr="00B14447">
        <w:rPr>
          <w:rFonts w:ascii="Times New Roman" w:hAnsi="Times New Roman"/>
        </w:rPr>
        <w:t> </w:t>
      </w:r>
      <w:r w:rsidRPr="00B14447">
        <w:rPr>
          <w:rFonts w:ascii="Times New Roman" w:hAnsi="Times New Roman"/>
        </w:rPr>
        <w:t>April 2008 and the likely early hearing of the final relief</w:t>
      </w:r>
      <w:r w:rsidR="00EE7FB7" w:rsidRPr="00B14447">
        <w:rPr>
          <w:rFonts w:ascii="Times New Roman" w:hAnsi="Times New Roman"/>
        </w:rPr>
        <w:t xml:space="preserve"> in April 2008</w:t>
      </w:r>
      <w:r w:rsidR="00D874D5" w:rsidRPr="00B14447">
        <w:rPr>
          <w:rFonts w:ascii="Times New Roman" w:hAnsi="Times New Roman"/>
        </w:rPr>
        <w:t>,</w:t>
      </w:r>
      <w:r w:rsidRPr="00B14447">
        <w:rPr>
          <w:rStyle w:val="FootnoteReference"/>
          <w:rFonts w:ascii="Times New Roman" w:hAnsi="Times New Roman"/>
          <w:sz w:val="24"/>
        </w:rPr>
        <w:footnoteReference w:id="107"/>
      </w:r>
      <w:r w:rsidRPr="00B14447">
        <w:rPr>
          <w:rFonts w:ascii="Times New Roman" w:hAnsi="Times New Roman"/>
        </w:rPr>
        <w:t xml:space="preserve"> "could have led Dr Sherman to conclude that it might be preferable not to launch at risk even if </w:t>
      </w:r>
      <w:r w:rsidR="00AC0F53" w:rsidRPr="00B14447">
        <w:rPr>
          <w:rFonts w:ascii="Times New Roman" w:hAnsi="Times New Roman"/>
        </w:rPr>
        <w:t>Gyles </w:t>
      </w:r>
      <w:r w:rsidRPr="00B14447">
        <w:rPr>
          <w:rFonts w:ascii="Times New Roman" w:hAnsi="Times New Roman"/>
        </w:rPr>
        <w:t>J was to have refused the interlocutory injunction".</w:t>
      </w:r>
      <w:r w:rsidRPr="00B14447">
        <w:rPr>
          <w:rStyle w:val="FootnoteReference"/>
          <w:rFonts w:ascii="Times New Roman" w:hAnsi="Times New Roman"/>
          <w:sz w:val="24"/>
        </w:rPr>
        <w:footnoteReference w:id="108"/>
      </w:r>
      <w:r w:rsidRPr="00B14447">
        <w:rPr>
          <w:rFonts w:ascii="Times New Roman" w:hAnsi="Times New Roman"/>
        </w:rPr>
        <w:t xml:space="preserve"> As explained above, Dr</w:t>
      </w:r>
      <w:r w:rsidR="00EE7FB7" w:rsidRPr="00B14447">
        <w:rPr>
          <w:rFonts w:ascii="Times New Roman" w:hAnsi="Times New Roman"/>
        </w:rPr>
        <w:t> </w:t>
      </w:r>
      <w:r w:rsidRPr="00B14447">
        <w:rPr>
          <w:rFonts w:ascii="Times New Roman" w:hAnsi="Times New Roman"/>
        </w:rPr>
        <w:t xml:space="preserve">Sherman had only been told on </w:t>
      </w:r>
      <w:r w:rsidR="00AC0F53" w:rsidRPr="00B14447">
        <w:rPr>
          <w:rFonts w:ascii="Times New Roman" w:hAnsi="Times New Roman"/>
        </w:rPr>
        <w:t>14 </w:t>
      </w:r>
      <w:r w:rsidRPr="00B14447">
        <w:rPr>
          <w:rFonts w:ascii="Times New Roman" w:hAnsi="Times New Roman"/>
        </w:rPr>
        <w:t xml:space="preserve">September 2007 that the December 2007 PBS listing date had been missed. </w:t>
      </w:r>
    </w:p>
    <w:p w14:paraId="3C4B1EEB" w14:textId="6B64B4C6"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t>Further, based on the contents of the letter from Apotex to its customers, and in the absence of evidence to the contrary, the primary judge inferred that Apotex Canada was acting on the understanding that a trial of the validity of the patent and any final injunctive relief would not be heard until between August 2008 and February 2009, with judgment some time later. The primary judge held that Apotex Canada had this understanding until no earlier than 13</w:t>
      </w:r>
      <w:r w:rsidR="004F10F9" w:rsidRPr="00B14447">
        <w:rPr>
          <w:rFonts w:ascii="Times New Roman" w:hAnsi="Times New Roman"/>
        </w:rPr>
        <w:t> </w:t>
      </w:r>
      <w:r w:rsidRPr="00B14447">
        <w:rPr>
          <w:rFonts w:ascii="Times New Roman" w:hAnsi="Times New Roman"/>
        </w:rPr>
        <w:t>September 2007.</w:t>
      </w:r>
      <w:r w:rsidRPr="00B14447">
        <w:rPr>
          <w:rStyle w:val="FootnoteReference"/>
          <w:rFonts w:ascii="Times New Roman" w:hAnsi="Times New Roman"/>
          <w:sz w:val="24"/>
        </w:rPr>
        <w:footnoteReference w:id="109"/>
      </w:r>
      <w:r w:rsidRPr="00B14447">
        <w:rPr>
          <w:rFonts w:ascii="Times New Roman" w:hAnsi="Times New Roman"/>
        </w:rPr>
        <w:t xml:space="preserve"> At the time of the interlocutory injunction hearing on 18</w:t>
      </w:r>
      <w:r w:rsidR="004F10F9" w:rsidRPr="00B14447">
        <w:rPr>
          <w:rFonts w:ascii="Times New Roman" w:hAnsi="Times New Roman"/>
        </w:rPr>
        <w:t> </w:t>
      </w:r>
      <w:r w:rsidRPr="00B14447">
        <w:rPr>
          <w:rFonts w:ascii="Times New Roman" w:hAnsi="Times New Roman"/>
        </w:rPr>
        <w:t>September 2007, Dr</w:t>
      </w:r>
      <w:r w:rsidR="004F10F9" w:rsidRPr="00B14447">
        <w:rPr>
          <w:rFonts w:ascii="Times New Roman" w:hAnsi="Times New Roman"/>
        </w:rPr>
        <w:t> </w:t>
      </w:r>
      <w:r w:rsidRPr="00B14447">
        <w:rPr>
          <w:rFonts w:ascii="Times New Roman" w:hAnsi="Times New Roman"/>
        </w:rPr>
        <w:t xml:space="preserve">Sherman did not know and "may well have" wanted to know, as Gyles J informed the parties on </w:t>
      </w:r>
      <w:r w:rsidR="00B75673" w:rsidRPr="00B14447">
        <w:rPr>
          <w:rFonts w:ascii="Times New Roman" w:hAnsi="Times New Roman"/>
        </w:rPr>
        <w:t>21 </w:t>
      </w:r>
      <w:r w:rsidRPr="00B14447">
        <w:rPr>
          <w:rFonts w:ascii="Times New Roman" w:hAnsi="Times New Roman"/>
        </w:rPr>
        <w:t>September 2007</w:t>
      </w:r>
      <w:r w:rsidR="004F10F9" w:rsidRPr="00B14447">
        <w:rPr>
          <w:rFonts w:ascii="Times New Roman" w:hAnsi="Times New Roman"/>
        </w:rPr>
        <w:t>,</w:t>
      </w:r>
      <w:r w:rsidRPr="00B14447">
        <w:rPr>
          <w:rFonts w:ascii="Times New Roman" w:hAnsi="Times New Roman"/>
        </w:rPr>
        <w:t xml:space="preserve"> that the hearing would commence before his Honour on 28 April 2008 (with the effect that a decision would need to be delivered by 22</w:t>
      </w:r>
      <w:r w:rsidR="004F10F9" w:rsidRPr="00B14447">
        <w:rPr>
          <w:rFonts w:ascii="Times New Roman" w:hAnsi="Times New Roman"/>
        </w:rPr>
        <w:t> </w:t>
      </w:r>
      <w:r w:rsidRPr="00B14447">
        <w:rPr>
          <w:rFonts w:ascii="Times New Roman" w:hAnsi="Times New Roman"/>
        </w:rPr>
        <w:t>August 2008 when Gyles</w:t>
      </w:r>
      <w:r w:rsidR="00681F74" w:rsidRPr="00B14447">
        <w:rPr>
          <w:rFonts w:ascii="Times New Roman" w:hAnsi="Times New Roman"/>
        </w:rPr>
        <w:t> J</w:t>
      </w:r>
      <w:r w:rsidRPr="00B14447">
        <w:rPr>
          <w:rFonts w:ascii="Times New Roman" w:hAnsi="Times New Roman"/>
        </w:rPr>
        <w:t xml:space="preserve"> would retire).</w:t>
      </w:r>
      <w:r w:rsidRPr="00B14447">
        <w:rPr>
          <w:rStyle w:val="FootnoteReference"/>
          <w:rFonts w:ascii="Times New Roman" w:hAnsi="Times New Roman"/>
          <w:sz w:val="24"/>
        </w:rPr>
        <w:footnoteReference w:id="110"/>
      </w:r>
      <w:r w:rsidRPr="00B14447">
        <w:rPr>
          <w:rFonts w:ascii="Times New Roman" w:hAnsi="Times New Roman"/>
        </w:rPr>
        <w:t xml:space="preserve">  </w:t>
      </w:r>
    </w:p>
    <w:p w14:paraId="28EDED8C" w14:textId="005D1CF8"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Fifthly</w:t>
      </w:r>
      <w:r w:rsidRPr="00B14447">
        <w:rPr>
          <w:rFonts w:ascii="Times New Roman" w:hAnsi="Times New Roman"/>
        </w:rPr>
        <w:t xml:space="preserve">, since </w:t>
      </w:r>
      <w:r w:rsidR="00681F74" w:rsidRPr="00B14447">
        <w:rPr>
          <w:rFonts w:ascii="Times New Roman" w:hAnsi="Times New Roman"/>
        </w:rPr>
        <w:t xml:space="preserve">the Commonwealth </w:t>
      </w:r>
      <w:r w:rsidRPr="00B14447">
        <w:rPr>
          <w:rFonts w:ascii="Times New Roman" w:hAnsi="Times New Roman"/>
        </w:rPr>
        <w:t>chose not to call Dr</w:t>
      </w:r>
      <w:r w:rsidR="00681F74" w:rsidRPr="00B14447">
        <w:rPr>
          <w:rFonts w:ascii="Times New Roman" w:hAnsi="Times New Roman"/>
        </w:rPr>
        <w:t> </w:t>
      </w:r>
      <w:r w:rsidRPr="00B14447">
        <w:rPr>
          <w:rFonts w:ascii="Times New Roman" w:hAnsi="Times New Roman"/>
        </w:rPr>
        <w:t>Sherman, without explanation, there was an absence of any evidence from Dr Sherman, including as to what he would have done when informed of the prospect of an early hearing of the final relief.</w:t>
      </w:r>
      <w:r w:rsidRPr="00B14447">
        <w:rPr>
          <w:rStyle w:val="FootnoteReference"/>
          <w:rFonts w:ascii="Times New Roman" w:hAnsi="Times New Roman"/>
          <w:sz w:val="24"/>
        </w:rPr>
        <w:footnoteReference w:id="111"/>
      </w:r>
      <w:r w:rsidRPr="00B14447">
        <w:rPr>
          <w:rFonts w:ascii="Times New Roman" w:hAnsi="Times New Roman"/>
        </w:rPr>
        <w:t xml:space="preserve"> The primary judge drew an inference that, in the absence of evidence as to his availability, the Commonwealth chose not to call Dr Sherman as his evidence would not have assisted its case in this regard.</w:t>
      </w:r>
      <w:r w:rsidR="009D543D" w:rsidRPr="00B14447">
        <w:rPr>
          <w:rStyle w:val="FootnoteReference"/>
          <w:rFonts w:ascii="Times New Roman" w:hAnsi="Times New Roman"/>
          <w:sz w:val="24"/>
        </w:rPr>
        <w:footnoteReference w:id="112"/>
      </w:r>
      <w:r w:rsidRPr="00B14447">
        <w:rPr>
          <w:rFonts w:ascii="Times New Roman" w:hAnsi="Times New Roman"/>
        </w:rPr>
        <w:t xml:space="preserve"> The primary judge also reasoned that</w:t>
      </w:r>
      <w:r w:rsidR="00563B0A" w:rsidRPr="00B14447">
        <w:rPr>
          <w:rFonts w:ascii="Times New Roman" w:hAnsi="Times New Roman"/>
        </w:rPr>
        <w:t>,</w:t>
      </w:r>
      <w:r w:rsidRPr="00B14447">
        <w:rPr>
          <w:rFonts w:ascii="Times New Roman" w:hAnsi="Times New Roman"/>
        </w:rPr>
        <w:t xml:space="preserve"> </w:t>
      </w:r>
      <w:r w:rsidR="00563B0A" w:rsidRPr="00B14447">
        <w:rPr>
          <w:rFonts w:ascii="Times New Roman" w:hAnsi="Times New Roman"/>
        </w:rPr>
        <w:t xml:space="preserve">due to </w:t>
      </w:r>
      <w:r w:rsidRPr="00B14447">
        <w:rPr>
          <w:rFonts w:ascii="Times New Roman" w:hAnsi="Times New Roman"/>
        </w:rPr>
        <w:t>the absence of any evidence from Dr Sherman</w:t>
      </w:r>
      <w:r w:rsidR="00563B0A" w:rsidRPr="00B14447">
        <w:rPr>
          <w:rFonts w:ascii="Times New Roman" w:hAnsi="Times New Roman"/>
        </w:rPr>
        <w:t>,</w:t>
      </w:r>
      <w:r w:rsidRPr="00B14447">
        <w:rPr>
          <w:rFonts w:ascii="Times New Roman" w:hAnsi="Times New Roman"/>
        </w:rPr>
        <w:t xml:space="preserve"> the "Commonwealth's case suffer</w:t>
      </w:r>
      <w:r w:rsidR="00485055" w:rsidRPr="00B14447">
        <w:rPr>
          <w:rFonts w:ascii="Times New Roman" w:hAnsi="Times New Roman"/>
        </w:rPr>
        <w:t>[ed]</w:t>
      </w:r>
      <w:r w:rsidRPr="00B14447">
        <w:rPr>
          <w:rFonts w:ascii="Times New Roman" w:hAnsi="Times New Roman"/>
        </w:rPr>
        <w:t xml:space="preserve"> from an evidentiary deficiency" such that it could not be positively inferred that Dr Sherman would have authorised Apotex to obtain PBS listing for its clopidogrel products.</w:t>
      </w:r>
      <w:r w:rsidRPr="00B14447">
        <w:rPr>
          <w:rStyle w:val="FootnoteReference"/>
          <w:rFonts w:ascii="Times New Roman" w:hAnsi="Times New Roman"/>
          <w:sz w:val="24"/>
        </w:rPr>
        <w:footnoteReference w:id="113"/>
      </w:r>
    </w:p>
    <w:p w14:paraId="4ABED4F9" w14:textId="2A1F5EE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Sixthly</w:t>
      </w:r>
      <w:r w:rsidRPr="00B14447">
        <w:rPr>
          <w:rFonts w:ascii="Times New Roman" w:hAnsi="Times New Roman"/>
        </w:rPr>
        <w:t>, the primary judge found that several matters demonstrated Apotex's sensitivity to the potentially significant liability for Sanofi's losses. One of those matters was the email correspondence between Mr Millichamp and his superiors in Apotex Canada in July and August 2008</w:t>
      </w:r>
      <w:r w:rsidR="00D57B73" w:rsidRPr="00B14447">
        <w:rPr>
          <w:rFonts w:ascii="Times New Roman" w:hAnsi="Times New Roman"/>
        </w:rPr>
        <w:t>,</w:t>
      </w:r>
      <w:r w:rsidRPr="00B14447">
        <w:rPr>
          <w:rFonts w:ascii="Times New Roman" w:hAnsi="Times New Roman"/>
        </w:rPr>
        <w:t xml:space="preserve"> including the concerns about the potential exposure of Apotex to damages expressed in the emails on 28</w:t>
      </w:r>
      <w:r w:rsidR="00E401FB" w:rsidRPr="00B14447">
        <w:rPr>
          <w:rFonts w:ascii="Times New Roman" w:hAnsi="Times New Roman"/>
        </w:rPr>
        <w:t> </w:t>
      </w:r>
      <w:r w:rsidRPr="00B14447">
        <w:rPr>
          <w:rFonts w:ascii="Times New Roman" w:hAnsi="Times New Roman"/>
        </w:rPr>
        <w:t xml:space="preserve">July </w:t>
      </w:r>
      <w:r w:rsidRPr="00B14447">
        <w:rPr>
          <w:rFonts w:ascii="Times New Roman" w:hAnsi="Times New Roman"/>
        </w:rPr>
        <w:lastRenderedPageBreak/>
        <w:t>2008 and 4</w:t>
      </w:r>
      <w:r w:rsidR="00E401FB" w:rsidRPr="00B14447">
        <w:rPr>
          <w:rFonts w:ascii="Times New Roman" w:hAnsi="Times New Roman"/>
        </w:rPr>
        <w:t> </w:t>
      </w:r>
      <w:r w:rsidRPr="00B14447">
        <w:rPr>
          <w:rFonts w:ascii="Times New Roman" w:hAnsi="Times New Roman"/>
        </w:rPr>
        <w:t>August 2008. Another matter was Mr</w:t>
      </w:r>
      <w:r w:rsidR="00E401FB" w:rsidRPr="00B14447">
        <w:rPr>
          <w:rFonts w:ascii="Times New Roman" w:hAnsi="Times New Roman"/>
        </w:rPr>
        <w:t> </w:t>
      </w:r>
      <w:r w:rsidRPr="00B14447">
        <w:rPr>
          <w:rFonts w:ascii="Times New Roman" w:hAnsi="Times New Roman"/>
        </w:rPr>
        <w:t>Kay's email on 6</w:t>
      </w:r>
      <w:r w:rsidR="00E401FB" w:rsidRPr="00B14447">
        <w:rPr>
          <w:rFonts w:ascii="Times New Roman" w:hAnsi="Times New Roman"/>
        </w:rPr>
        <w:t> </w:t>
      </w:r>
      <w:r w:rsidRPr="00B14447">
        <w:rPr>
          <w:rFonts w:ascii="Times New Roman" w:hAnsi="Times New Roman"/>
        </w:rPr>
        <w:t>August 2008 expressing the view that the best position for Apotex</w:t>
      </w:r>
      <w:r w:rsidR="00B946DD" w:rsidRPr="00B14447">
        <w:rPr>
          <w:rFonts w:ascii="Times New Roman" w:hAnsi="Times New Roman"/>
        </w:rPr>
        <w:t>, after final orders and pending an appeal,</w:t>
      </w:r>
      <w:r w:rsidRPr="00B14447">
        <w:rPr>
          <w:rFonts w:ascii="Times New Roman" w:hAnsi="Times New Roman"/>
        </w:rPr>
        <w:t xml:space="preserve"> would be for </w:t>
      </w:r>
      <w:r w:rsidR="00357D3F" w:rsidRPr="00B14447">
        <w:rPr>
          <w:rFonts w:ascii="Times New Roman" w:hAnsi="Times New Roman"/>
        </w:rPr>
        <w:t>a final</w:t>
      </w:r>
      <w:r w:rsidRPr="00B14447">
        <w:rPr>
          <w:rFonts w:ascii="Times New Roman" w:hAnsi="Times New Roman"/>
        </w:rPr>
        <w:t xml:space="preserve"> injunction to be granted </w:t>
      </w:r>
      <w:r w:rsidR="00357D3F" w:rsidRPr="00B14447">
        <w:rPr>
          <w:rFonts w:ascii="Times New Roman" w:hAnsi="Times New Roman"/>
        </w:rPr>
        <w:t xml:space="preserve">by the trial judge </w:t>
      </w:r>
      <w:r w:rsidRPr="00B14447">
        <w:rPr>
          <w:rFonts w:ascii="Times New Roman" w:hAnsi="Times New Roman"/>
        </w:rPr>
        <w:t xml:space="preserve">and for Apotex not to seek a stay of </w:t>
      </w:r>
      <w:r w:rsidR="003F73E0" w:rsidRPr="00B14447">
        <w:rPr>
          <w:rFonts w:ascii="Times New Roman" w:hAnsi="Times New Roman"/>
        </w:rPr>
        <w:t xml:space="preserve">those </w:t>
      </w:r>
      <w:r w:rsidRPr="00B14447">
        <w:rPr>
          <w:rFonts w:ascii="Times New Roman" w:hAnsi="Times New Roman"/>
        </w:rPr>
        <w:t xml:space="preserve">orders </w:t>
      </w:r>
      <w:r w:rsidR="003F73E0" w:rsidRPr="00B14447">
        <w:rPr>
          <w:rFonts w:ascii="Times New Roman" w:hAnsi="Times New Roman"/>
        </w:rPr>
        <w:t xml:space="preserve">in order </w:t>
      </w:r>
      <w:r w:rsidRPr="00B14447">
        <w:rPr>
          <w:rFonts w:ascii="Times New Roman" w:hAnsi="Times New Roman"/>
        </w:rPr>
        <w:t>to launch at risk because that launch could expose Apotex to "potentially ruinous damages".</w:t>
      </w:r>
      <w:r w:rsidRPr="00B14447">
        <w:rPr>
          <w:rStyle w:val="FootnoteReference"/>
          <w:rFonts w:ascii="Times New Roman" w:hAnsi="Times New Roman"/>
          <w:sz w:val="24"/>
        </w:rPr>
        <w:footnoteReference w:id="114"/>
      </w:r>
      <w:r w:rsidRPr="00B14447">
        <w:rPr>
          <w:rFonts w:ascii="Times New Roman" w:hAnsi="Times New Roman"/>
        </w:rPr>
        <w:t xml:space="preserve"> </w:t>
      </w:r>
    </w:p>
    <w:p w14:paraId="15FD2861" w14:textId="654C865F" w:rsidR="008E491A" w:rsidRPr="00B14447" w:rsidRDefault="00B91ED6" w:rsidP="00B14447">
      <w:pPr>
        <w:pStyle w:val="HeadingL2"/>
        <w:spacing w:after="260" w:line="280" w:lineRule="exact"/>
        <w:ind w:right="0"/>
        <w:jc w:val="both"/>
        <w:rPr>
          <w:rFonts w:ascii="Times New Roman" w:hAnsi="Times New Roman"/>
        </w:rPr>
      </w:pPr>
      <w:r w:rsidRPr="00B14447">
        <w:rPr>
          <w:rFonts w:ascii="Times New Roman" w:hAnsi="Times New Roman"/>
        </w:rPr>
        <w:t>(10)</w:t>
      </w:r>
      <w:r w:rsidR="00550050" w:rsidRPr="00B14447">
        <w:rPr>
          <w:rFonts w:ascii="Times New Roman" w:hAnsi="Times New Roman"/>
        </w:rPr>
        <w:tab/>
      </w:r>
      <w:r w:rsidR="009E6304" w:rsidRPr="00B14447">
        <w:rPr>
          <w:rFonts w:ascii="Times New Roman" w:hAnsi="Times New Roman"/>
        </w:rPr>
        <w:t>G</w:t>
      </w:r>
      <w:r w:rsidR="008E491A" w:rsidRPr="00B14447">
        <w:rPr>
          <w:rFonts w:ascii="Times New Roman" w:hAnsi="Times New Roman"/>
        </w:rPr>
        <w:t>rounds of appeal to the Full Court</w:t>
      </w:r>
    </w:p>
    <w:p w14:paraId="2C02D580" w14:textId="79F7C80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light of the manner in which the appeal to this Court was conducted, it is necessary to set out the Commonwealth's </w:t>
      </w:r>
      <w:r w:rsidRPr="00B14447">
        <w:rPr>
          <w:rFonts w:ascii="Times New Roman" w:hAnsi="Times New Roman"/>
          <w:i/>
          <w:iCs/>
        </w:rPr>
        <w:t>four</w:t>
      </w:r>
      <w:r w:rsidRPr="00B14447">
        <w:rPr>
          <w:rFonts w:ascii="Times New Roman" w:hAnsi="Times New Roman"/>
        </w:rPr>
        <w:t xml:space="preserve"> grounds </w:t>
      </w:r>
      <w:r w:rsidR="003943DD" w:rsidRPr="00B14447">
        <w:rPr>
          <w:rFonts w:ascii="Times New Roman" w:hAnsi="Times New Roman"/>
        </w:rPr>
        <w:t xml:space="preserve">of appeal </w:t>
      </w:r>
      <w:r w:rsidRPr="00B14447">
        <w:rPr>
          <w:rFonts w:ascii="Times New Roman" w:hAnsi="Times New Roman"/>
        </w:rPr>
        <w:t xml:space="preserve">before the Full Court. </w:t>
      </w:r>
    </w:p>
    <w:p w14:paraId="03C55530" w14:textId="2260EF30"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Ground</w:t>
      </w:r>
      <w:r w:rsidR="00AF240E" w:rsidRPr="00B14447">
        <w:rPr>
          <w:rFonts w:ascii="Times New Roman" w:hAnsi="Times New Roman"/>
        </w:rPr>
        <w:t> </w:t>
      </w:r>
      <w:r w:rsidRPr="00B14447">
        <w:rPr>
          <w:rFonts w:ascii="Times New Roman" w:hAnsi="Times New Roman"/>
        </w:rPr>
        <w:t xml:space="preserve">1 was that </w:t>
      </w:r>
      <w:r w:rsidR="00C04C94" w:rsidRPr="00B14447">
        <w:rPr>
          <w:rFonts w:ascii="Times New Roman" w:hAnsi="Times New Roman"/>
        </w:rPr>
        <w:t>"[</w:t>
      </w:r>
      <w:r w:rsidRPr="00B14447">
        <w:rPr>
          <w:rFonts w:ascii="Times New Roman" w:hAnsi="Times New Roman"/>
        </w:rPr>
        <w:t>t</w:t>
      </w:r>
      <w:r w:rsidR="00C04C94" w:rsidRPr="00B14447">
        <w:rPr>
          <w:rFonts w:ascii="Times New Roman" w:hAnsi="Times New Roman"/>
        </w:rPr>
        <w:t>]</w:t>
      </w:r>
      <w:r w:rsidRPr="00B14447">
        <w:rPr>
          <w:rFonts w:ascii="Times New Roman" w:hAnsi="Times New Roman"/>
        </w:rPr>
        <w:t xml:space="preserve">he primary judge erred in concluding (at [451]) that any financial loss suffered by </w:t>
      </w:r>
      <w:r w:rsidR="004908E9" w:rsidRPr="00B14447">
        <w:rPr>
          <w:rFonts w:ascii="Times New Roman" w:hAnsi="Times New Roman"/>
        </w:rPr>
        <w:t>[</w:t>
      </w:r>
      <w:r w:rsidRPr="00B14447">
        <w:rPr>
          <w:rFonts w:ascii="Times New Roman" w:hAnsi="Times New Roman"/>
        </w:rPr>
        <w:t>the Commonwealth</w:t>
      </w:r>
      <w:r w:rsidR="004908E9" w:rsidRPr="00B14447">
        <w:rPr>
          <w:rFonts w:ascii="Times New Roman" w:hAnsi="Times New Roman"/>
        </w:rPr>
        <w:t>]</w:t>
      </w:r>
      <w:r w:rsidRPr="00B14447">
        <w:rPr>
          <w:rFonts w:ascii="Times New Roman" w:hAnsi="Times New Roman"/>
        </w:rPr>
        <w:t xml:space="preserve"> as a result of clopidogrel products of </w:t>
      </w:r>
      <w:r w:rsidR="004908E9" w:rsidRPr="00B14447">
        <w:rPr>
          <w:rFonts w:ascii="Times New Roman" w:hAnsi="Times New Roman"/>
        </w:rPr>
        <w:t>[</w:t>
      </w:r>
      <w:r w:rsidRPr="00B14447">
        <w:rPr>
          <w:rFonts w:ascii="Times New Roman" w:hAnsi="Times New Roman"/>
        </w:rPr>
        <w:t>Apotex</w:t>
      </w:r>
      <w:r w:rsidR="004908E9" w:rsidRPr="00B14447">
        <w:rPr>
          <w:rFonts w:ascii="Times New Roman" w:hAnsi="Times New Roman"/>
        </w:rPr>
        <w:t>]</w:t>
      </w:r>
      <w:r w:rsidRPr="00B14447">
        <w:rPr>
          <w:rFonts w:ascii="Times New Roman" w:hAnsi="Times New Roman"/>
        </w:rPr>
        <w:t xml:space="preserve"> not having been listed on the </w:t>
      </w:r>
      <w:r w:rsidR="004908E9" w:rsidRPr="00B14447">
        <w:rPr>
          <w:rFonts w:ascii="Times New Roman" w:hAnsi="Times New Roman"/>
        </w:rPr>
        <w:t>[</w:t>
      </w:r>
      <w:r w:rsidRPr="00B14447">
        <w:rPr>
          <w:rFonts w:ascii="Times New Roman" w:hAnsi="Times New Roman"/>
        </w:rPr>
        <w:t>PBS</w:t>
      </w:r>
      <w:r w:rsidR="004908E9" w:rsidRPr="00B14447">
        <w:rPr>
          <w:rFonts w:ascii="Times New Roman" w:hAnsi="Times New Roman"/>
        </w:rPr>
        <w:t>]</w:t>
      </w:r>
      <w:r w:rsidRPr="00B14447">
        <w:rPr>
          <w:rFonts w:ascii="Times New Roman" w:hAnsi="Times New Roman"/>
        </w:rPr>
        <w:t xml:space="preserve"> from 1</w:t>
      </w:r>
      <w:r w:rsidR="000E7ACA" w:rsidRPr="00B14447">
        <w:rPr>
          <w:rFonts w:ascii="Times New Roman" w:hAnsi="Times New Roman"/>
        </w:rPr>
        <w:t> </w:t>
      </w:r>
      <w:r w:rsidRPr="00B14447">
        <w:rPr>
          <w:rFonts w:ascii="Times New Roman" w:hAnsi="Times New Roman"/>
        </w:rPr>
        <w:t xml:space="preserve">April 2008 was not compensable under </w:t>
      </w:r>
      <w:r w:rsidR="004908E9" w:rsidRPr="00B14447">
        <w:rPr>
          <w:rFonts w:ascii="Times New Roman" w:hAnsi="Times New Roman"/>
        </w:rPr>
        <w:t>[</w:t>
      </w:r>
      <w:r w:rsidRPr="00B14447">
        <w:rPr>
          <w:rFonts w:ascii="Times New Roman" w:hAnsi="Times New Roman"/>
        </w:rPr>
        <w:t>the undertakings</w:t>
      </w:r>
      <w:r w:rsidR="004908E9" w:rsidRPr="00B14447">
        <w:rPr>
          <w:rFonts w:ascii="Times New Roman" w:hAnsi="Times New Roman"/>
        </w:rPr>
        <w:t>]</w:t>
      </w:r>
      <w:r w:rsidRPr="00B14447">
        <w:rPr>
          <w:rFonts w:ascii="Times New Roman" w:hAnsi="Times New Roman"/>
        </w:rPr>
        <w:t xml:space="preserve"> because it was not a loss that </w:t>
      </w:r>
      <w:r w:rsidRPr="00B14447">
        <w:rPr>
          <w:rFonts w:ascii="Times New Roman" w:hAnsi="Times New Roman"/>
          <w:i/>
          <w:iCs/>
        </w:rPr>
        <w:t>flowed directly</w:t>
      </w:r>
      <w:r w:rsidRPr="00B14447">
        <w:rPr>
          <w:rFonts w:ascii="Times New Roman" w:hAnsi="Times New Roman"/>
        </w:rPr>
        <w:t xml:space="preserve"> from the existence of the interlocutory injunction granted by Gyles</w:t>
      </w:r>
      <w:r w:rsidR="004908E9" w:rsidRPr="00B14447">
        <w:rPr>
          <w:rFonts w:ascii="Times New Roman" w:hAnsi="Times New Roman"/>
        </w:rPr>
        <w:t> </w:t>
      </w:r>
      <w:r w:rsidRPr="00B14447">
        <w:rPr>
          <w:rFonts w:ascii="Times New Roman" w:hAnsi="Times New Roman"/>
        </w:rPr>
        <w:t>J on 25 September 2007</w:t>
      </w:r>
      <w:r w:rsidR="007F53F8" w:rsidRPr="00B14447">
        <w:rPr>
          <w:rFonts w:ascii="Times New Roman" w:hAnsi="Times New Roman"/>
        </w:rPr>
        <w:t>" (emphasis added)</w:t>
      </w:r>
      <w:r w:rsidRPr="00B14447">
        <w:rPr>
          <w:rFonts w:ascii="Times New Roman" w:hAnsi="Times New Roman"/>
        </w:rPr>
        <w:t xml:space="preserve">. That ground </w:t>
      </w:r>
      <w:r w:rsidR="003A3AE6" w:rsidRPr="00B14447">
        <w:rPr>
          <w:rFonts w:ascii="Times New Roman" w:hAnsi="Times New Roman"/>
        </w:rPr>
        <w:t xml:space="preserve">of appeal </w:t>
      </w:r>
      <w:r w:rsidRPr="00B14447">
        <w:rPr>
          <w:rFonts w:ascii="Times New Roman" w:hAnsi="Times New Roman"/>
        </w:rPr>
        <w:t>was upheld by the Full Court</w:t>
      </w:r>
      <w:r w:rsidR="003A3AE6" w:rsidRPr="00B14447">
        <w:rPr>
          <w:rFonts w:ascii="Times New Roman" w:hAnsi="Times New Roman"/>
        </w:rPr>
        <w:t>,</w:t>
      </w:r>
      <w:r w:rsidR="003A3AE6" w:rsidRPr="00B14447">
        <w:rPr>
          <w:rStyle w:val="FootnoteReference"/>
          <w:rFonts w:ascii="Times New Roman" w:hAnsi="Times New Roman"/>
          <w:sz w:val="24"/>
        </w:rPr>
        <w:footnoteReference w:id="115"/>
      </w:r>
      <w:r w:rsidRPr="00B14447">
        <w:rPr>
          <w:rFonts w:ascii="Times New Roman" w:hAnsi="Times New Roman"/>
        </w:rPr>
        <w:t xml:space="preserve"> is the subject of ground</w:t>
      </w:r>
      <w:r w:rsidR="000E7ACA" w:rsidRPr="00B14447">
        <w:rPr>
          <w:rFonts w:ascii="Times New Roman" w:hAnsi="Times New Roman"/>
        </w:rPr>
        <w:t> </w:t>
      </w:r>
      <w:r w:rsidRPr="00B14447">
        <w:rPr>
          <w:rFonts w:ascii="Times New Roman" w:hAnsi="Times New Roman"/>
        </w:rPr>
        <w:t xml:space="preserve">1 of Sanofi's </w:t>
      </w:r>
      <w:r w:rsidR="00C5711D" w:rsidRPr="00B14447">
        <w:rPr>
          <w:rFonts w:ascii="Times New Roman" w:hAnsi="Times New Roman"/>
        </w:rPr>
        <w:t>n</w:t>
      </w:r>
      <w:r w:rsidRPr="00B14447">
        <w:rPr>
          <w:rFonts w:ascii="Times New Roman" w:hAnsi="Times New Roman"/>
        </w:rPr>
        <w:t xml:space="preserve">otice of </w:t>
      </w:r>
      <w:r w:rsidR="00C5711D" w:rsidRPr="00B14447">
        <w:rPr>
          <w:rFonts w:ascii="Times New Roman" w:hAnsi="Times New Roman"/>
        </w:rPr>
        <w:t>c</w:t>
      </w:r>
      <w:r w:rsidRPr="00B14447">
        <w:rPr>
          <w:rFonts w:ascii="Times New Roman" w:hAnsi="Times New Roman"/>
        </w:rPr>
        <w:t>ontention filed in this Court</w:t>
      </w:r>
      <w:r w:rsidR="00B22711" w:rsidRPr="00B14447">
        <w:rPr>
          <w:rFonts w:ascii="Times New Roman" w:hAnsi="Times New Roman"/>
        </w:rPr>
        <w:t>,</w:t>
      </w:r>
      <w:r w:rsidRPr="00B14447">
        <w:rPr>
          <w:rFonts w:ascii="Times New Roman" w:hAnsi="Times New Roman"/>
        </w:rPr>
        <w:t xml:space="preserve"> and </w:t>
      </w:r>
      <w:r w:rsidR="00295A4C" w:rsidRPr="00B14447">
        <w:rPr>
          <w:rFonts w:ascii="Times New Roman" w:hAnsi="Times New Roman"/>
        </w:rPr>
        <w:t xml:space="preserve">is </w:t>
      </w:r>
      <w:r w:rsidRPr="00B14447">
        <w:rPr>
          <w:rFonts w:ascii="Times New Roman" w:hAnsi="Times New Roman"/>
        </w:rPr>
        <w:t>addressed later in these reasons.</w:t>
      </w:r>
    </w:p>
    <w:p w14:paraId="12D8FBC2" w14:textId="70B61E20"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Ground</w:t>
      </w:r>
      <w:r w:rsidR="00AF240E" w:rsidRPr="00B14447">
        <w:rPr>
          <w:rFonts w:ascii="Times New Roman" w:hAnsi="Times New Roman"/>
        </w:rPr>
        <w:t> </w:t>
      </w:r>
      <w:r w:rsidRPr="00B14447">
        <w:rPr>
          <w:rFonts w:ascii="Times New Roman" w:hAnsi="Times New Roman"/>
        </w:rPr>
        <w:t xml:space="preserve">2 of the Commonwealth's grounds </w:t>
      </w:r>
      <w:r w:rsidR="003943DD" w:rsidRPr="00B14447">
        <w:rPr>
          <w:rFonts w:ascii="Times New Roman" w:hAnsi="Times New Roman"/>
        </w:rPr>
        <w:t xml:space="preserve">of appeal </w:t>
      </w:r>
      <w:r w:rsidR="00B1460D" w:rsidRPr="00B14447">
        <w:rPr>
          <w:rFonts w:ascii="Times New Roman" w:hAnsi="Times New Roman"/>
        </w:rPr>
        <w:t xml:space="preserve">to the Full Court </w:t>
      </w:r>
      <w:r w:rsidRPr="00B14447">
        <w:rPr>
          <w:rFonts w:ascii="Times New Roman" w:hAnsi="Times New Roman"/>
        </w:rPr>
        <w:t xml:space="preserve">was a challenge to the fact finding of the primary judge: that </w:t>
      </w:r>
      <w:r w:rsidR="00C77B3A" w:rsidRPr="00B14447">
        <w:rPr>
          <w:rFonts w:ascii="Times New Roman" w:hAnsi="Times New Roman"/>
        </w:rPr>
        <w:t>"[</w:t>
      </w:r>
      <w:r w:rsidRPr="00B14447">
        <w:rPr>
          <w:rFonts w:ascii="Times New Roman" w:hAnsi="Times New Roman"/>
        </w:rPr>
        <w:t>t</w:t>
      </w:r>
      <w:r w:rsidR="00C77B3A" w:rsidRPr="00B14447">
        <w:rPr>
          <w:rFonts w:ascii="Times New Roman" w:hAnsi="Times New Roman"/>
        </w:rPr>
        <w:t>]</w:t>
      </w:r>
      <w:r w:rsidRPr="00B14447">
        <w:rPr>
          <w:rFonts w:ascii="Times New Roman" w:hAnsi="Times New Roman"/>
        </w:rPr>
        <w:t>he primary judge erred in concluding (at [351]) that the Commonwealth had not established that Apotex would have sought and obtained a PBS listing of its clopidogrel products from 1 April 2008 if the interlocutory injunction had not been granted</w:t>
      </w:r>
      <w:r w:rsidR="00C77B3A" w:rsidRPr="00B14447">
        <w:rPr>
          <w:rFonts w:ascii="Times New Roman" w:hAnsi="Times New Roman"/>
        </w:rPr>
        <w:t>"</w:t>
      </w:r>
      <w:r w:rsidRPr="00B14447">
        <w:rPr>
          <w:rFonts w:ascii="Times New Roman" w:hAnsi="Times New Roman"/>
        </w:rPr>
        <w:t xml:space="preserve">. </w:t>
      </w:r>
      <w:r w:rsidR="00C62303" w:rsidRPr="00B14447">
        <w:rPr>
          <w:rFonts w:ascii="Times New Roman" w:hAnsi="Times New Roman"/>
        </w:rPr>
        <w:t>As explained, t</w:t>
      </w:r>
      <w:r w:rsidRPr="00B14447">
        <w:rPr>
          <w:rFonts w:ascii="Times New Roman" w:hAnsi="Times New Roman"/>
        </w:rPr>
        <w:t>here were five particulars.</w:t>
      </w:r>
      <w:r w:rsidR="00C62303" w:rsidRPr="00B14447">
        <w:rPr>
          <w:rStyle w:val="FootnoteReference"/>
          <w:rFonts w:ascii="Times New Roman" w:hAnsi="Times New Roman"/>
          <w:sz w:val="24"/>
        </w:rPr>
        <w:footnoteReference w:id="116"/>
      </w:r>
      <w:r w:rsidRPr="00B14447">
        <w:rPr>
          <w:rFonts w:ascii="Times New Roman" w:hAnsi="Times New Roman"/>
        </w:rPr>
        <w:t xml:space="preserve"> </w:t>
      </w:r>
    </w:p>
    <w:p w14:paraId="293F018B" w14:textId="797F1308"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Grounds</w:t>
      </w:r>
      <w:r w:rsidR="008D319F" w:rsidRPr="00B14447">
        <w:rPr>
          <w:rFonts w:ascii="Times New Roman" w:hAnsi="Times New Roman"/>
        </w:rPr>
        <w:t> </w:t>
      </w:r>
      <w:r w:rsidRPr="00B14447">
        <w:rPr>
          <w:rFonts w:ascii="Times New Roman" w:hAnsi="Times New Roman"/>
        </w:rPr>
        <w:t>3 and 4 were concerned with the assessment of compensation payable to the Commonwealth pursuant to the undertakings including, relevantly, an allegation that the primary judge had erred in applying the correct counter</w:t>
      </w:r>
      <w:r w:rsidR="0020319B">
        <w:rPr>
          <w:rFonts w:ascii="Times New Roman" w:hAnsi="Times New Roman"/>
        </w:rPr>
        <w:noBreakHyphen/>
      </w:r>
      <w:r w:rsidRPr="00B14447">
        <w:rPr>
          <w:rFonts w:ascii="Times New Roman" w:hAnsi="Times New Roman"/>
        </w:rPr>
        <w:t>factual.</w:t>
      </w:r>
    </w:p>
    <w:p w14:paraId="712AF095" w14:textId="720790B3" w:rsidR="008E491A" w:rsidRPr="00B14447" w:rsidRDefault="00EB29B6" w:rsidP="00B14447">
      <w:pPr>
        <w:pStyle w:val="HeadingL2"/>
        <w:spacing w:after="260" w:line="280" w:lineRule="exact"/>
        <w:ind w:right="0"/>
        <w:jc w:val="both"/>
        <w:rPr>
          <w:rFonts w:ascii="Times New Roman" w:hAnsi="Times New Roman"/>
        </w:rPr>
      </w:pPr>
      <w:r w:rsidRPr="00B14447">
        <w:rPr>
          <w:rFonts w:ascii="Times New Roman" w:hAnsi="Times New Roman"/>
        </w:rPr>
        <w:lastRenderedPageBreak/>
        <w:t>(11)</w:t>
      </w:r>
      <w:r w:rsidR="00550050" w:rsidRPr="00B14447">
        <w:rPr>
          <w:rFonts w:ascii="Times New Roman" w:hAnsi="Times New Roman"/>
        </w:rPr>
        <w:tab/>
      </w:r>
      <w:r w:rsidR="009E6304" w:rsidRPr="00B14447">
        <w:rPr>
          <w:rFonts w:ascii="Times New Roman" w:hAnsi="Times New Roman"/>
        </w:rPr>
        <w:t>D</w:t>
      </w:r>
      <w:r w:rsidR="008E491A" w:rsidRPr="00B14447">
        <w:rPr>
          <w:rFonts w:ascii="Times New Roman" w:hAnsi="Times New Roman"/>
        </w:rPr>
        <w:t>ecision of the Full Court of the Federal Court</w:t>
      </w:r>
    </w:p>
    <w:p w14:paraId="175C8216" w14:textId="6DC17130"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 xml:space="preserve"> </w:t>
      </w:r>
      <w:r w:rsidRPr="00B14447">
        <w:rPr>
          <w:rFonts w:ascii="Times New Roman" w:hAnsi="Times New Roman"/>
        </w:rPr>
        <w:tab/>
        <w:t xml:space="preserve">The Full Court dismissed </w:t>
      </w:r>
      <w:r w:rsidR="009A3E3D" w:rsidRPr="00B14447">
        <w:rPr>
          <w:rFonts w:ascii="Times New Roman" w:hAnsi="Times New Roman"/>
        </w:rPr>
        <w:t>particular</w:t>
      </w:r>
      <w:r w:rsidR="00780D48" w:rsidRPr="00B14447">
        <w:rPr>
          <w:rFonts w:ascii="Times New Roman" w:hAnsi="Times New Roman"/>
        </w:rPr>
        <w:t> </w:t>
      </w:r>
      <w:r w:rsidR="009A3E3D" w:rsidRPr="00B14447">
        <w:rPr>
          <w:rFonts w:ascii="Times New Roman" w:hAnsi="Times New Roman"/>
        </w:rPr>
        <w:t xml:space="preserve">(a) of </w:t>
      </w:r>
      <w:r w:rsidRPr="00B14447">
        <w:rPr>
          <w:rFonts w:ascii="Times New Roman" w:hAnsi="Times New Roman"/>
        </w:rPr>
        <w:t>ground of appeal</w:t>
      </w:r>
      <w:r w:rsidR="00780D48" w:rsidRPr="00B14447">
        <w:rPr>
          <w:rFonts w:ascii="Times New Roman" w:hAnsi="Times New Roman"/>
        </w:rPr>
        <w:t> </w:t>
      </w:r>
      <w:r w:rsidRPr="00B14447">
        <w:rPr>
          <w:rFonts w:ascii="Times New Roman" w:hAnsi="Times New Roman"/>
        </w:rPr>
        <w:t xml:space="preserve">2. That </w:t>
      </w:r>
      <w:r w:rsidR="009A3E3D" w:rsidRPr="00B14447">
        <w:rPr>
          <w:rFonts w:ascii="Times New Roman" w:hAnsi="Times New Roman"/>
        </w:rPr>
        <w:t xml:space="preserve">particular </w:t>
      </w:r>
      <w:r w:rsidRPr="00B14447">
        <w:rPr>
          <w:rFonts w:ascii="Times New Roman" w:hAnsi="Times New Roman"/>
        </w:rPr>
        <w:t xml:space="preserve">was also the first ground of appeal in this Court. As explained </w:t>
      </w:r>
      <w:r w:rsidR="00E37A8C" w:rsidRPr="00B14447">
        <w:rPr>
          <w:rFonts w:ascii="Times New Roman" w:hAnsi="Times New Roman"/>
        </w:rPr>
        <w:t>above</w:t>
      </w:r>
      <w:r w:rsidRPr="00B14447">
        <w:rPr>
          <w:rFonts w:ascii="Times New Roman" w:hAnsi="Times New Roman"/>
        </w:rPr>
        <w:t>, the Full Court was correct to dismiss this</w:t>
      </w:r>
      <w:r w:rsidR="009A3E3D" w:rsidRPr="00B14447">
        <w:rPr>
          <w:rFonts w:ascii="Times New Roman" w:hAnsi="Times New Roman"/>
        </w:rPr>
        <w:t xml:space="preserve"> aspect of the</w:t>
      </w:r>
      <w:r w:rsidRPr="00B14447">
        <w:rPr>
          <w:rFonts w:ascii="Times New Roman" w:hAnsi="Times New Roman"/>
        </w:rPr>
        <w:t xml:space="preserve"> ground. </w:t>
      </w:r>
    </w:p>
    <w:p w14:paraId="52F74681" w14:textId="23338EE0"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remainder of the grounds </w:t>
      </w:r>
      <w:r w:rsidR="003A5529" w:rsidRPr="00B14447">
        <w:rPr>
          <w:rFonts w:ascii="Times New Roman" w:hAnsi="Times New Roman"/>
        </w:rPr>
        <w:t xml:space="preserve">and particulars </w:t>
      </w:r>
      <w:r w:rsidRPr="00B14447">
        <w:rPr>
          <w:rFonts w:ascii="Times New Roman" w:hAnsi="Times New Roman"/>
        </w:rPr>
        <w:t xml:space="preserve">before the Full Court </w:t>
      </w:r>
      <w:r w:rsidR="003A5529" w:rsidRPr="00B14447">
        <w:rPr>
          <w:rFonts w:ascii="Times New Roman" w:hAnsi="Times New Roman"/>
        </w:rPr>
        <w:t>were prima</w:t>
      </w:r>
      <w:r w:rsidR="007C06CD" w:rsidRPr="00B14447">
        <w:rPr>
          <w:rFonts w:ascii="Times New Roman" w:hAnsi="Times New Roman"/>
        </w:rPr>
        <w:t xml:space="preserve">rily </w:t>
      </w:r>
      <w:r w:rsidRPr="00B14447">
        <w:rPr>
          <w:rFonts w:ascii="Times New Roman" w:hAnsi="Times New Roman"/>
        </w:rPr>
        <w:t>concerned</w:t>
      </w:r>
      <w:r w:rsidR="007C06CD" w:rsidRPr="00B14447">
        <w:rPr>
          <w:rFonts w:ascii="Times New Roman" w:hAnsi="Times New Roman"/>
        </w:rPr>
        <w:t xml:space="preserve"> with</w:t>
      </w:r>
      <w:r w:rsidRPr="00B14447">
        <w:rPr>
          <w:rFonts w:ascii="Times New Roman" w:hAnsi="Times New Roman"/>
        </w:rPr>
        <w:t xml:space="preserve"> findings of fact and counter</w:t>
      </w:r>
      <w:r w:rsidR="00135104" w:rsidRPr="00B14447">
        <w:rPr>
          <w:rFonts w:ascii="Times New Roman" w:hAnsi="Times New Roman"/>
        </w:rPr>
        <w:t>-</w:t>
      </w:r>
      <w:r w:rsidRPr="00B14447">
        <w:rPr>
          <w:rFonts w:ascii="Times New Roman" w:hAnsi="Times New Roman"/>
        </w:rPr>
        <w:t xml:space="preserve">fact. Most of those grounds </w:t>
      </w:r>
      <w:r w:rsidR="00135DBA" w:rsidRPr="00B14447">
        <w:rPr>
          <w:rFonts w:ascii="Times New Roman" w:hAnsi="Times New Roman"/>
        </w:rPr>
        <w:t xml:space="preserve">and particulars </w:t>
      </w:r>
      <w:r w:rsidRPr="00B14447">
        <w:rPr>
          <w:rFonts w:ascii="Times New Roman" w:hAnsi="Times New Roman"/>
        </w:rPr>
        <w:t xml:space="preserve">were not repeated as grounds or particulars in this Court. It is, therefore, not necessary to set out the reasoning of the Full Court </w:t>
      </w:r>
      <w:r w:rsidR="007C06CD" w:rsidRPr="00B14447">
        <w:rPr>
          <w:rFonts w:ascii="Times New Roman" w:hAnsi="Times New Roman"/>
        </w:rPr>
        <w:t xml:space="preserve">concerning the allegations </w:t>
      </w:r>
      <w:r w:rsidR="007572A2" w:rsidRPr="00B14447">
        <w:rPr>
          <w:rFonts w:ascii="Times New Roman" w:hAnsi="Times New Roman"/>
        </w:rPr>
        <w:t xml:space="preserve">before </w:t>
      </w:r>
      <w:r w:rsidR="007C06CD" w:rsidRPr="00B14447">
        <w:rPr>
          <w:rFonts w:ascii="Times New Roman" w:hAnsi="Times New Roman"/>
        </w:rPr>
        <w:t>the Full Court that</w:t>
      </w:r>
      <w:r w:rsidRPr="00B14447">
        <w:rPr>
          <w:rFonts w:ascii="Times New Roman" w:hAnsi="Times New Roman"/>
        </w:rPr>
        <w:t xml:space="preserve">: the primary judge had failed to have regard to matters or failed to address matters; the primary judge </w:t>
      </w:r>
      <w:r w:rsidR="00115B74" w:rsidRPr="00B14447">
        <w:rPr>
          <w:rFonts w:ascii="Times New Roman" w:hAnsi="Times New Roman"/>
        </w:rPr>
        <w:t xml:space="preserve">had </w:t>
      </w:r>
      <w:r w:rsidRPr="00B14447">
        <w:rPr>
          <w:rFonts w:ascii="Times New Roman" w:hAnsi="Times New Roman"/>
        </w:rPr>
        <w:t xml:space="preserve">erred in concluding that the Commonwealth's case suffered an evidentiary deficiency which could only be made good by calling Dr Sherman; </w:t>
      </w:r>
      <w:r w:rsidR="00A01A02" w:rsidRPr="00B14447">
        <w:rPr>
          <w:rFonts w:ascii="Times New Roman" w:hAnsi="Times New Roman"/>
        </w:rPr>
        <w:t xml:space="preserve">and </w:t>
      </w:r>
      <w:r w:rsidRPr="00B14447">
        <w:rPr>
          <w:rFonts w:ascii="Times New Roman" w:hAnsi="Times New Roman"/>
        </w:rPr>
        <w:t>the primary judge</w:t>
      </w:r>
      <w:r w:rsidR="00115B74" w:rsidRPr="00B14447">
        <w:rPr>
          <w:rFonts w:ascii="Times New Roman" w:hAnsi="Times New Roman"/>
        </w:rPr>
        <w:t xml:space="preserve"> had</w:t>
      </w:r>
      <w:r w:rsidRPr="00B14447">
        <w:rPr>
          <w:rFonts w:ascii="Times New Roman" w:hAnsi="Times New Roman"/>
        </w:rPr>
        <w:t xml:space="preserve"> erred i</w:t>
      </w:r>
      <w:r w:rsidR="0094595A" w:rsidRPr="00B14447">
        <w:rPr>
          <w:rFonts w:ascii="Times New Roman" w:hAnsi="Times New Roman"/>
        </w:rPr>
        <w:t>n</w:t>
      </w:r>
      <w:r w:rsidRPr="00B14447">
        <w:rPr>
          <w:rFonts w:ascii="Times New Roman" w:hAnsi="Times New Roman"/>
        </w:rPr>
        <w:t xml:space="preserve"> drawing a </w:t>
      </w:r>
      <w:r w:rsidRPr="00B14447">
        <w:rPr>
          <w:rFonts w:ascii="Times New Roman" w:hAnsi="Times New Roman"/>
          <w:i/>
          <w:iCs/>
        </w:rPr>
        <w:t>Jones v Dunkel</w:t>
      </w:r>
      <w:r w:rsidR="00E66AF0" w:rsidRPr="00B14447">
        <w:rPr>
          <w:rStyle w:val="FootnoteReference"/>
          <w:rFonts w:ascii="Times New Roman" w:hAnsi="Times New Roman"/>
          <w:sz w:val="24"/>
        </w:rPr>
        <w:footnoteReference w:id="117"/>
      </w:r>
      <w:r w:rsidRPr="00B14447">
        <w:rPr>
          <w:rFonts w:ascii="Times New Roman" w:hAnsi="Times New Roman"/>
        </w:rPr>
        <w:t xml:space="preserve"> inference from the failure to call Dr</w:t>
      </w:r>
      <w:r w:rsidR="00090809" w:rsidRPr="00B14447">
        <w:rPr>
          <w:rFonts w:ascii="Times New Roman" w:hAnsi="Times New Roman"/>
        </w:rPr>
        <w:t> </w:t>
      </w:r>
      <w:r w:rsidRPr="00B14447">
        <w:rPr>
          <w:rFonts w:ascii="Times New Roman" w:hAnsi="Times New Roman"/>
        </w:rPr>
        <w:t xml:space="preserve">Sherman. None of those matters was raised in the notice of appeal in this Court. </w:t>
      </w:r>
    </w:p>
    <w:p w14:paraId="7358ABC3" w14:textId="4722D7AE"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reasoning of the Full Court that is directly relevant to this appeal concerns each of the first, second and fourth findings of the primary judge</w:t>
      </w:r>
      <w:r w:rsidR="00090809" w:rsidRPr="00B14447">
        <w:rPr>
          <w:rFonts w:ascii="Times New Roman" w:hAnsi="Times New Roman"/>
        </w:rPr>
        <w:t xml:space="preserve"> set out above</w:t>
      </w:r>
      <w:r w:rsidRPr="00B14447">
        <w:rPr>
          <w:rFonts w:ascii="Times New Roman" w:hAnsi="Times New Roman"/>
        </w:rPr>
        <w:t>, which the Full Court described as "tributary" findings which "fed into the ultimate finding" that the primary judge was "not persuaded that Apotex Australia would have sought and obtained a PBS listing of its clopidogrel products from 1</w:t>
      </w:r>
      <w:r w:rsidR="007642B9" w:rsidRPr="00B14447">
        <w:rPr>
          <w:rFonts w:ascii="Times New Roman" w:hAnsi="Times New Roman"/>
        </w:rPr>
        <w:t> </w:t>
      </w:r>
      <w:r w:rsidRPr="00B14447">
        <w:rPr>
          <w:rFonts w:ascii="Times New Roman" w:hAnsi="Times New Roman"/>
        </w:rPr>
        <w:t>April 2008 even if the interlocutory injunction had not been granted".</w:t>
      </w:r>
      <w:r w:rsidRPr="00B14447">
        <w:rPr>
          <w:rStyle w:val="FootnoteReference"/>
          <w:rFonts w:ascii="Times New Roman" w:hAnsi="Times New Roman"/>
          <w:sz w:val="24"/>
        </w:rPr>
        <w:footnoteReference w:id="118"/>
      </w:r>
      <w:r w:rsidRPr="00B14447">
        <w:rPr>
          <w:rFonts w:ascii="Times New Roman" w:hAnsi="Times New Roman"/>
        </w:rPr>
        <w:t xml:space="preserve"> Although none of these findings was within the Commonwealth's notice of appeal to the Full Court, in the absence of objection by Sanofi</w:t>
      </w:r>
      <w:r w:rsidR="00055A80" w:rsidRPr="00B14447">
        <w:rPr>
          <w:rFonts w:ascii="Times New Roman" w:hAnsi="Times New Roman"/>
        </w:rPr>
        <w:t>,</w:t>
      </w:r>
      <w:r w:rsidRPr="00B14447">
        <w:rPr>
          <w:rFonts w:ascii="Times New Roman" w:hAnsi="Times New Roman"/>
        </w:rPr>
        <w:t xml:space="preserve"> the Full Court entertained the challenge to each of these findings.</w:t>
      </w:r>
      <w:r w:rsidRPr="00B14447">
        <w:rPr>
          <w:rStyle w:val="FootnoteReference"/>
          <w:rFonts w:ascii="Times New Roman" w:hAnsi="Times New Roman"/>
          <w:sz w:val="24"/>
        </w:rPr>
        <w:footnoteReference w:id="119"/>
      </w:r>
    </w:p>
    <w:p w14:paraId="2BC23D12" w14:textId="6C79823D"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As set out by the Full Court, the tribut</w:t>
      </w:r>
      <w:r w:rsidR="00DA4517" w:rsidRPr="00B14447">
        <w:rPr>
          <w:rFonts w:ascii="Times New Roman" w:hAnsi="Times New Roman"/>
        </w:rPr>
        <w:t>a</w:t>
      </w:r>
      <w:r w:rsidRPr="00B14447">
        <w:rPr>
          <w:rFonts w:ascii="Times New Roman" w:hAnsi="Times New Roman"/>
        </w:rPr>
        <w:t>ry findings (corresponding with the first, second and fourth findings of the primary judge</w:t>
      </w:r>
      <w:r w:rsidR="001C592D" w:rsidRPr="00B14447">
        <w:rPr>
          <w:rFonts w:ascii="Times New Roman" w:hAnsi="Times New Roman"/>
        </w:rPr>
        <w:t xml:space="preserve"> as</w:t>
      </w:r>
      <w:r w:rsidR="00D807E8" w:rsidRPr="00B14447">
        <w:rPr>
          <w:rFonts w:ascii="Times New Roman" w:hAnsi="Times New Roman"/>
        </w:rPr>
        <w:t xml:space="preserve"> set out in these reasons at </w:t>
      </w:r>
      <w:r w:rsidR="00D807E8" w:rsidRPr="0033529A">
        <w:rPr>
          <w:rFonts w:ascii="Times New Roman" w:hAnsi="Times New Roman"/>
        </w:rPr>
        <w:t>[10</w:t>
      </w:r>
      <w:r w:rsidR="00255D6E" w:rsidRPr="0033529A">
        <w:rPr>
          <w:rFonts w:ascii="Times New Roman" w:hAnsi="Times New Roman"/>
        </w:rPr>
        <w:t>0</w:t>
      </w:r>
      <w:r w:rsidR="00D807E8" w:rsidRPr="0033529A">
        <w:rPr>
          <w:rFonts w:ascii="Times New Roman" w:hAnsi="Times New Roman"/>
        </w:rPr>
        <w:t>]-[10</w:t>
      </w:r>
      <w:r w:rsidR="0033529A" w:rsidRPr="0033529A">
        <w:rPr>
          <w:rFonts w:ascii="Times New Roman" w:hAnsi="Times New Roman"/>
        </w:rPr>
        <w:t>3</w:t>
      </w:r>
      <w:r w:rsidR="00D807E8" w:rsidRPr="0033529A">
        <w:rPr>
          <w:rFonts w:ascii="Times New Roman" w:hAnsi="Times New Roman"/>
        </w:rPr>
        <w:t>] and [1</w:t>
      </w:r>
      <w:r w:rsidR="00F64B99" w:rsidRPr="0033529A">
        <w:rPr>
          <w:rFonts w:ascii="Times New Roman" w:hAnsi="Times New Roman"/>
        </w:rPr>
        <w:t>0</w:t>
      </w:r>
      <w:r w:rsidR="0033529A" w:rsidRPr="0033529A">
        <w:rPr>
          <w:rFonts w:ascii="Times New Roman" w:hAnsi="Times New Roman"/>
        </w:rPr>
        <w:t>6</w:t>
      </w:r>
      <w:r w:rsidR="00D807E8" w:rsidRPr="0033529A">
        <w:rPr>
          <w:rFonts w:ascii="Times New Roman" w:hAnsi="Times New Roman"/>
        </w:rPr>
        <w:t>]-[1</w:t>
      </w:r>
      <w:r w:rsidR="00F64B99" w:rsidRPr="0033529A">
        <w:rPr>
          <w:rFonts w:ascii="Times New Roman" w:hAnsi="Times New Roman"/>
        </w:rPr>
        <w:t>0</w:t>
      </w:r>
      <w:r w:rsidR="0033529A" w:rsidRPr="0033529A">
        <w:rPr>
          <w:rFonts w:ascii="Times New Roman" w:hAnsi="Times New Roman"/>
        </w:rPr>
        <w:t>7</w:t>
      </w:r>
      <w:r w:rsidR="00D807E8" w:rsidRPr="0033529A">
        <w:rPr>
          <w:rFonts w:ascii="Times New Roman" w:hAnsi="Times New Roman"/>
        </w:rPr>
        <w:t>]</w:t>
      </w:r>
      <w:r w:rsidRPr="0033529A">
        <w:rPr>
          <w:rFonts w:ascii="Times New Roman" w:hAnsi="Times New Roman"/>
        </w:rPr>
        <w:t>) attacked</w:t>
      </w:r>
      <w:r w:rsidRPr="00B14447">
        <w:rPr>
          <w:rFonts w:ascii="Times New Roman" w:hAnsi="Times New Roman"/>
        </w:rPr>
        <w:t xml:space="preserve"> by </w:t>
      </w:r>
      <w:r w:rsidR="001C592D" w:rsidRPr="00B14447">
        <w:rPr>
          <w:rFonts w:ascii="Times New Roman" w:hAnsi="Times New Roman"/>
        </w:rPr>
        <w:t xml:space="preserve">the Commonwealth </w:t>
      </w:r>
      <w:r w:rsidRPr="00B14447">
        <w:rPr>
          <w:rFonts w:ascii="Times New Roman" w:hAnsi="Times New Roman"/>
        </w:rPr>
        <w:t>on that appeal were:"(a) Dr</w:t>
      </w:r>
      <w:r w:rsidR="00590E0C" w:rsidRPr="00B14447">
        <w:rPr>
          <w:rFonts w:ascii="Times New Roman" w:hAnsi="Times New Roman"/>
        </w:rPr>
        <w:t> </w:t>
      </w:r>
      <w:r w:rsidRPr="00B14447">
        <w:rPr>
          <w:rFonts w:ascii="Times New Roman" w:hAnsi="Times New Roman"/>
        </w:rPr>
        <w:t>Sherman had made only a provisional decision to launch at risk</w:t>
      </w:r>
      <w:r w:rsidR="00011FCE" w:rsidRPr="00B14447">
        <w:rPr>
          <w:rFonts w:ascii="Times New Roman" w:hAnsi="Times New Roman"/>
        </w:rPr>
        <w:t xml:space="preserve"> </w:t>
      </w:r>
      <w:r w:rsidRPr="00B14447">
        <w:rPr>
          <w:rFonts w:ascii="Times New Roman" w:hAnsi="Times New Roman"/>
        </w:rPr>
        <w:t>...</w:t>
      </w:r>
      <w:r w:rsidR="00011FCE" w:rsidRPr="00B14447">
        <w:rPr>
          <w:rFonts w:ascii="Times New Roman" w:hAnsi="Times New Roman"/>
        </w:rPr>
        <w:t xml:space="preserve"> </w:t>
      </w:r>
      <w:r w:rsidRPr="00B14447">
        <w:rPr>
          <w:rFonts w:ascii="Times New Roman" w:hAnsi="Times New Roman"/>
        </w:rPr>
        <w:t>; (b) it was not unlikely that Dr</w:t>
      </w:r>
      <w:r w:rsidR="00590E0C" w:rsidRPr="00B14447">
        <w:rPr>
          <w:rFonts w:ascii="Times New Roman" w:hAnsi="Times New Roman"/>
        </w:rPr>
        <w:t> </w:t>
      </w:r>
      <w:r w:rsidRPr="00B14447">
        <w:rPr>
          <w:rFonts w:ascii="Times New Roman" w:hAnsi="Times New Roman"/>
        </w:rPr>
        <w:t>Sherman would change his mind about whether to launch at risk</w:t>
      </w:r>
      <w:r w:rsidR="00011FCE" w:rsidRPr="00B14447">
        <w:rPr>
          <w:rFonts w:ascii="Times New Roman" w:hAnsi="Times New Roman"/>
        </w:rPr>
        <w:t xml:space="preserve"> </w:t>
      </w:r>
      <w:r w:rsidRPr="00B14447">
        <w:rPr>
          <w:rFonts w:ascii="Times New Roman" w:hAnsi="Times New Roman"/>
        </w:rPr>
        <w:t>...</w:t>
      </w:r>
      <w:r w:rsidR="00011FCE" w:rsidRPr="00B14447">
        <w:rPr>
          <w:rFonts w:ascii="Times New Roman" w:hAnsi="Times New Roman"/>
        </w:rPr>
        <w:t xml:space="preserve"> </w:t>
      </w:r>
      <w:r w:rsidRPr="00B14447">
        <w:rPr>
          <w:rFonts w:ascii="Times New Roman" w:hAnsi="Times New Roman"/>
        </w:rPr>
        <w:t>; and (c)</w:t>
      </w:r>
      <w:r w:rsidR="00590E0C" w:rsidRPr="00B14447">
        <w:rPr>
          <w:rFonts w:ascii="Times New Roman" w:hAnsi="Times New Roman"/>
        </w:rPr>
        <w:t> </w:t>
      </w:r>
      <w:r w:rsidRPr="00B14447">
        <w:rPr>
          <w:rFonts w:ascii="Times New Roman" w:hAnsi="Times New Roman"/>
        </w:rPr>
        <w:t>Dr</w:t>
      </w:r>
      <w:r w:rsidR="00590E0C" w:rsidRPr="00B14447">
        <w:rPr>
          <w:rFonts w:ascii="Times New Roman" w:hAnsi="Times New Roman"/>
        </w:rPr>
        <w:t> </w:t>
      </w:r>
      <w:r w:rsidRPr="00B14447">
        <w:rPr>
          <w:rFonts w:ascii="Times New Roman" w:hAnsi="Times New Roman"/>
        </w:rPr>
        <w:t xml:space="preserve">Sherman might have changed his mind after it became </w:t>
      </w:r>
      <w:r w:rsidRPr="00B14447">
        <w:rPr>
          <w:rFonts w:ascii="Times New Roman" w:hAnsi="Times New Roman"/>
        </w:rPr>
        <w:lastRenderedPageBreak/>
        <w:t>clear that the trial would be in April 2008 with a judgment given by August 2008".</w:t>
      </w:r>
      <w:r w:rsidRPr="00B14447">
        <w:rPr>
          <w:rStyle w:val="FootnoteReference"/>
          <w:rFonts w:ascii="Times New Roman" w:hAnsi="Times New Roman"/>
          <w:sz w:val="24"/>
        </w:rPr>
        <w:footnoteReference w:id="120"/>
      </w:r>
      <w:r w:rsidRPr="00B14447">
        <w:rPr>
          <w:rFonts w:ascii="Times New Roman" w:hAnsi="Times New Roman"/>
        </w:rPr>
        <w:t xml:space="preserve"> The Full Court rejected each challenge. </w:t>
      </w:r>
    </w:p>
    <w:p w14:paraId="55AD9E4D" w14:textId="08F297A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As to the first finding by the primary judge set out above, the Full Court rejected all of the Commonwealth's attacks upon the primary judge's </w:t>
      </w:r>
      <w:r w:rsidR="00080A89" w:rsidRPr="00B14447">
        <w:rPr>
          <w:rFonts w:ascii="Times New Roman" w:hAnsi="Times New Roman"/>
        </w:rPr>
        <w:t xml:space="preserve">conclusion that </w:t>
      </w:r>
      <w:r w:rsidR="00C57B85" w:rsidRPr="00B14447">
        <w:rPr>
          <w:rFonts w:ascii="Times New Roman" w:hAnsi="Times New Roman"/>
        </w:rPr>
        <w:t>Dr Sherman had not made a final decision to launch at risk prior to September 2007</w:t>
      </w:r>
      <w:r w:rsidRPr="00B14447">
        <w:rPr>
          <w:rFonts w:ascii="Times New Roman" w:hAnsi="Times New Roman"/>
        </w:rPr>
        <w:t>.</w:t>
      </w:r>
      <w:r w:rsidRPr="00B14447">
        <w:rPr>
          <w:rStyle w:val="FootnoteReference"/>
          <w:rFonts w:ascii="Times New Roman" w:hAnsi="Times New Roman"/>
          <w:sz w:val="24"/>
        </w:rPr>
        <w:footnoteReference w:id="121"/>
      </w:r>
      <w:r w:rsidRPr="00B14447">
        <w:rPr>
          <w:rFonts w:ascii="Times New Roman" w:hAnsi="Times New Roman"/>
        </w:rPr>
        <w:t xml:space="preserve"> It is unnecessary to descend </w:t>
      </w:r>
      <w:r w:rsidR="00A40D03" w:rsidRPr="00B14447">
        <w:rPr>
          <w:rFonts w:ascii="Times New Roman" w:hAnsi="Times New Roman"/>
        </w:rPr>
        <w:t>in</w:t>
      </w:r>
      <w:r w:rsidRPr="00B14447">
        <w:rPr>
          <w:rFonts w:ascii="Times New Roman" w:hAnsi="Times New Roman"/>
        </w:rPr>
        <w:t xml:space="preserve">to the detail of the lengthy discussion of this finding by the Full Court over more than </w:t>
      </w:r>
      <w:r w:rsidR="001F087E" w:rsidRPr="00B14447">
        <w:rPr>
          <w:rFonts w:ascii="Times New Roman" w:hAnsi="Times New Roman"/>
        </w:rPr>
        <w:t xml:space="preserve">80 </w:t>
      </w:r>
      <w:r w:rsidRPr="00B14447">
        <w:rPr>
          <w:rFonts w:ascii="Times New Roman" w:hAnsi="Times New Roman"/>
        </w:rPr>
        <w:t xml:space="preserve">paragraphs of closely reasoned analysis. It suffices to make two points. The first is that </w:t>
      </w:r>
      <w:r w:rsidR="00DF0010" w:rsidRPr="00B14447">
        <w:rPr>
          <w:rFonts w:ascii="Times New Roman" w:hAnsi="Times New Roman"/>
        </w:rPr>
        <w:t xml:space="preserve">little </w:t>
      </w:r>
      <w:r w:rsidRPr="00B14447">
        <w:rPr>
          <w:rFonts w:ascii="Times New Roman" w:hAnsi="Times New Roman"/>
        </w:rPr>
        <w:t xml:space="preserve">of that analysis was the subject of submissions in this Court. The second is that the aspects of that analysis which were the subject of submissions in this Court did not generally make any reference to the tight reasoning of the Full Court, or to many of the points made by the Full Court. </w:t>
      </w:r>
    </w:p>
    <w:p w14:paraId="009EC3BF" w14:textId="7FA46891"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An example</w:t>
      </w:r>
      <w:r w:rsidR="002874AA" w:rsidRPr="00B14447">
        <w:rPr>
          <w:rFonts w:ascii="Times New Roman" w:hAnsi="Times New Roman"/>
        </w:rPr>
        <w:t xml:space="preserve"> of a submission that was</w:t>
      </w:r>
      <w:r w:rsidRPr="00B14447">
        <w:rPr>
          <w:rFonts w:ascii="Times New Roman" w:hAnsi="Times New Roman"/>
        </w:rPr>
        <w:t xml:space="preserve"> repeated a number of times in this Court</w:t>
      </w:r>
      <w:r w:rsidR="00C832D4" w:rsidRPr="00B14447">
        <w:rPr>
          <w:rFonts w:ascii="Times New Roman" w:hAnsi="Times New Roman"/>
        </w:rPr>
        <w:t>,</w:t>
      </w:r>
      <w:r w:rsidRPr="00B14447">
        <w:rPr>
          <w:rFonts w:ascii="Times New Roman" w:hAnsi="Times New Roman"/>
        </w:rPr>
        <w:t xml:space="preserve"> but without addressing the nuance of the Full Court's reasons for rejecting it, was that Apotex's firm intention to launch at risk</w:t>
      </w:r>
      <w:r w:rsidR="009E1635" w:rsidRPr="00B14447">
        <w:rPr>
          <w:rFonts w:ascii="Times New Roman" w:hAnsi="Times New Roman"/>
        </w:rPr>
        <w:t>,</w:t>
      </w:r>
      <w:r w:rsidRPr="00B14447">
        <w:rPr>
          <w:rFonts w:ascii="Times New Roman" w:hAnsi="Times New Roman"/>
        </w:rPr>
        <w:t xml:space="preserve"> if the interlocutory injunction </w:t>
      </w:r>
      <w:r w:rsidR="009E1635" w:rsidRPr="00B14447">
        <w:rPr>
          <w:rFonts w:ascii="Times New Roman" w:hAnsi="Times New Roman"/>
        </w:rPr>
        <w:t xml:space="preserve">was </w:t>
      </w:r>
      <w:r w:rsidRPr="00B14447">
        <w:rPr>
          <w:rFonts w:ascii="Times New Roman" w:hAnsi="Times New Roman"/>
        </w:rPr>
        <w:t>refused</w:t>
      </w:r>
      <w:r w:rsidR="009E1635" w:rsidRPr="00B14447">
        <w:rPr>
          <w:rFonts w:ascii="Times New Roman" w:hAnsi="Times New Roman"/>
        </w:rPr>
        <w:t>,</w:t>
      </w:r>
      <w:r w:rsidRPr="00B14447">
        <w:rPr>
          <w:rFonts w:ascii="Times New Roman" w:hAnsi="Times New Roman"/>
        </w:rPr>
        <w:t xml:space="preserve"> was </w:t>
      </w:r>
      <w:r w:rsidR="00B8690A" w:rsidRPr="00B14447">
        <w:rPr>
          <w:rFonts w:ascii="Times New Roman" w:hAnsi="Times New Roman"/>
        </w:rPr>
        <w:t xml:space="preserve">evidenced </w:t>
      </w:r>
      <w:r w:rsidRPr="00B14447">
        <w:rPr>
          <w:rFonts w:ascii="Times New Roman" w:hAnsi="Times New Roman"/>
        </w:rPr>
        <w:t>by its offer of security for any damages</w:t>
      </w:r>
      <w:r w:rsidR="00653AE0" w:rsidRPr="00B14447">
        <w:rPr>
          <w:rFonts w:ascii="Times New Roman" w:hAnsi="Times New Roman"/>
        </w:rPr>
        <w:t xml:space="preserve"> suffered</w:t>
      </w:r>
      <w:r w:rsidRPr="00B14447">
        <w:rPr>
          <w:rFonts w:ascii="Times New Roman" w:hAnsi="Times New Roman"/>
        </w:rPr>
        <w:t xml:space="preserve"> by Sanofi in the amount of $50</w:t>
      </w:r>
      <w:r w:rsidR="00BD3B44" w:rsidRPr="00B14447">
        <w:rPr>
          <w:rFonts w:ascii="Times New Roman" w:hAnsi="Times New Roman"/>
        </w:rPr>
        <w:t> </w:t>
      </w:r>
      <w:r w:rsidRPr="00B14447">
        <w:rPr>
          <w:rFonts w:ascii="Times New Roman" w:hAnsi="Times New Roman"/>
        </w:rPr>
        <w:t>million. But, as the Full Court observed, the cost to Apotex was not $50</w:t>
      </w:r>
      <w:r w:rsidR="00637448" w:rsidRPr="00B14447">
        <w:rPr>
          <w:rFonts w:ascii="Times New Roman" w:hAnsi="Times New Roman"/>
        </w:rPr>
        <w:t> </w:t>
      </w:r>
      <w:r w:rsidRPr="00B14447">
        <w:rPr>
          <w:rFonts w:ascii="Times New Roman" w:hAnsi="Times New Roman"/>
        </w:rPr>
        <w:t>million. The cost depended upon the price to Apotex Canada of a letter of credit in that amount but there was no evidence of that price. Hence, it could not be inferred that a $50</w:t>
      </w:r>
      <w:r w:rsidR="00D76C15" w:rsidRPr="00B14447">
        <w:rPr>
          <w:rFonts w:ascii="Times New Roman" w:hAnsi="Times New Roman"/>
        </w:rPr>
        <w:t> </w:t>
      </w:r>
      <w:r w:rsidRPr="00B14447">
        <w:rPr>
          <w:rFonts w:ascii="Times New Roman" w:hAnsi="Times New Roman"/>
        </w:rPr>
        <w:t>million security conveyed "a sufficient degree of enthusiasm"</w:t>
      </w:r>
      <w:r w:rsidR="0068752F" w:rsidRPr="00B14447">
        <w:rPr>
          <w:rFonts w:ascii="Times New Roman" w:hAnsi="Times New Roman"/>
        </w:rPr>
        <w:t xml:space="preserve"> that Apotex would </w:t>
      </w:r>
      <w:r w:rsidR="00CD1C1F" w:rsidRPr="00B14447">
        <w:rPr>
          <w:rFonts w:ascii="Times New Roman" w:hAnsi="Times New Roman"/>
        </w:rPr>
        <w:t xml:space="preserve">apply for PBS listing </w:t>
      </w:r>
      <w:r w:rsidR="0068752F" w:rsidRPr="00B14447">
        <w:rPr>
          <w:rFonts w:ascii="Times New Roman" w:hAnsi="Times New Roman"/>
        </w:rPr>
        <w:t>if not restrained</w:t>
      </w:r>
      <w:r w:rsidRPr="00B14447">
        <w:rPr>
          <w:rFonts w:ascii="Times New Roman" w:hAnsi="Times New Roman"/>
        </w:rPr>
        <w:t>.</w:t>
      </w:r>
      <w:r w:rsidRPr="00B14447">
        <w:rPr>
          <w:rStyle w:val="FootnoteReference"/>
          <w:rFonts w:ascii="Times New Roman" w:hAnsi="Times New Roman"/>
          <w:sz w:val="24"/>
        </w:rPr>
        <w:footnoteReference w:id="122"/>
      </w:r>
      <w:r w:rsidRPr="00B14447">
        <w:rPr>
          <w:rFonts w:ascii="Times New Roman" w:hAnsi="Times New Roman"/>
        </w:rPr>
        <w:t xml:space="preserve"> </w:t>
      </w:r>
      <w:r w:rsidR="009061A3" w:rsidRPr="00B14447">
        <w:rPr>
          <w:rFonts w:ascii="Times New Roman" w:hAnsi="Times New Roman"/>
        </w:rPr>
        <w:t xml:space="preserve">Further, </w:t>
      </w:r>
      <w:r w:rsidR="00654A93" w:rsidRPr="00B14447">
        <w:rPr>
          <w:rFonts w:ascii="Times New Roman" w:hAnsi="Times New Roman"/>
        </w:rPr>
        <w:t xml:space="preserve">as the second finding confirmed, the offer by Apotex of security was made before Apotex became aware of </w:t>
      </w:r>
      <w:r w:rsidR="00E40B10" w:rsidRPr="00B14447">
        <w:rPr>
          <w:rFonts w:ascii="Times New Roman" w:hAnsi="Times New Roman"/>
        </w:rPr>
        <w:t xml:space="preserve">both of </w:t>
      </w:r>
      <w:r w:rsidR="00654A93" w:rsidRPr="00B14447">
        <w:rPr>
          <w:rFonts w:ascii="Times New Roman" w:hAnsi="Times New Roman"/>
        </w:rPr>
        <w:t xml:space="preserve">the </w:t>
      </w:r>
      <w:r w:rsidR="00E40B10" w:rsidRPr="00B14447">
        <w:rPr>
          <w:rFonts w:ascii="Times New Roman" w:hAnsi="Times New Roman"/>
        </w:rPr>
        <w:t xml:space="preserve">events of </w:t>
      </w:r>
      <w:r w:rsidR="00FC560F" w:rsidRPr="00B14447">
        <w:rPr>
          <w:rFonts w:ascii="Times New Roman" w:hAnsi="Times New Roman"/>
        </w:rPr>
        <w:t>September 2007</w:t>
      </w:r>
      <w:r w:rsidR="00E40B10" w:rsidRPr="00B14447">
        <w:rPr>
          <w:rFonts w:ascii="Times New Roman" w:hAnsi="Times New Roman"/>
        </w:rPr>
        <w:t>, and their significance.</w:t>
      </w:r>
      <w:r w:rsidR="009061A3" w:rsidRPr="00B14447">
        <w:rPr>
          <w:rFonts w:ascii="Times New Roman" w:hAnsi="Times New Roman"/>
        </w:rPr>
        <w:t xml:space="preserve"> </w:t>
      </w:r>
    </w:p>
    <w:p w14:paraId="65C82CB5" w14:textId="5F5C2861"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As to the second finding of the primary judge set out above (that it was not unlikely that Dr</w:t>
      </w:r>
      <w:r w:rsidR="006B5DF1" w:rsidRPr="00B14447">
        <w:rPr>
          <w:rFonts w:ascii="Times New Roman" w:hAnsi="Times New Roman"/>
        </w:rPr>
        <w:t> </w:t>
      </w:r>
      <w:r w:rsidRPr="00B14447">
        <w:rPr>
          <w:rFonts w:ascii="Times New Roman" w:hAnsi="Times New Roman"/>
        </w:rPr>
        <w:t>Sherman would change his mind about whether to launch at risk)</w:t>
      </w:r>
      <w:r w:rsidR="0065663F" w:rsidRPr="00B14447">
        <w:rPr>
          <w:rFonts w:ascii="Times New Roman" w:hAnsi="Times New Roman"/>
        </w:rPr>
        <w:t>,</w:t>
      </w:r>
      <w:r w:rsidRPr="00B14447">
        <w:rPr>
          <w:rFonts w:ascii="Times New Roman" w:hAnsi="Times New Roman"/>
        </w:rPr>
        <w:t xml:space="preserve"> this was also affirmed by the Full Court. The Full Court rejected the Commonwealth's submission that Apotex</w:t>
      </w:r>
      <w:r w:rsidR="00AE18FC" w:rsidRPr="00B14447">
        <w:rPr>
          <w:rFonts w:ascii="Times New Roman" w:hAnsi="Times New Roman"/>
        </w:rPr>
        <w:t xml:space="preserve"> Canada and Apotex US</w:t>
      </w:r>
      <w:r w:rsidRPr="00B14447">
        <w:rPr>
          <w:rFonts w:ascii="Times New Roman" w:hAnsi="Times New Roman"/>
        </w:rPr>
        <w:t xml:space="preserve"> had launched at risk in the United States, upholding the primary judge's reasoning that </w:t>
      </w:r>
      <w:r w:rsidR="00C96481" w:rsidRPr="00B14447">
        <w:rPr>
          <w:rFonts w:ascii="Times New Roman" w:hAnsi="Times New Roman"/>
        </w:rPr>
        <w:t xml:space="preserve">a </w:t>
      </w:r>
      <w:r w:rsidR="002421F8" w:rsidRPr="00B14447">
        <w:rPr>
          <w:rFonts w:ascii="Times New Roman" w:hAnsi="Times New Roman"/>
        </w:rPr>
        <w:t xml:space="preserve">launch </w:t>
      </w:r>
      <w:r w:rsidR="00C96481" w:rsidRPr="00B14447">
        <w:rPr>
          <w:rFonts w:ascii="Times New Roman" w:hAnsi="Times New Roman"/>
        </w:rPr>
        <w:t xml:space="preserve">covered by </w:t>
      </w:r>
      <w:r w:rsidRPr="00B14447">
        <w:rPr>
          <w:rFonts w:ascii="Times New Roman" w:hAnsi="Times New Roman"/>
        </w:rPr>
        <w:t>an agreement which limited Apotex</w:t>
      </w:r>
      <w:r w:rsidR="00AE18FC" w:rsidRPr="00B14447">
        <w:rPr>
          <w:rFonts w:ascii="Times New Roman" w:hAnsi="Times New Roman"/>
        </w:rPr>
        <w:t xml:space="preserve"> Canada and Apotex US</w:t>
      </w:r>
      <w:r w:rsidRPr="00B14447">
        <w:rPr>
          <w:rFonts w:ascii="Times New Roman" w:hAnsi="Times New Roman"/>
        </w:rPr>
        <w:t xml:space="preserve">'s damages </w:t>
      </w:r>
      <w:r w:rsidRPr="00B14447">
        <w:rPr>
          <w:rFonts w:ascii="Times New Roman" w:hAnsi="Times New Roman"/>
        </w:rPr>
        <w:lastRenderedPageBreak/>
        <w:t>to 50% of its net sales was not a launch at risk.</w:t>
      </w:r>
      <w:r w:rsidRPr="00B14447">
        <w:rPr>
          <w:rStyle w:val="FootnoteReference"/>
          <w:rFonts w:ascii="Times New Roman" w:hAnsi="Times New Roman"/>
          <w:sz w:val="24"/>
        </w:rPr>
        <w:footnoteReference w:id="123"/>
      </w:r>
      <w:r w:rsidRPr="00B14447">
        <w:rPr>
          <w:rFonts w:ascii="Times New Roman" w:hAnsi="Times New Roman"/>
        </w:rPr>
        <w:t xml:space="preserve"> The Full Court </w:t>
      </w:r>
      <w:r w:rsidR="006207ED" w:rsidRPr="00B14447">
        <w:rPr>
          <w:rFonts w:ascii="Times New Roman" w:hAnsi="Times New Roman"/>
        </w:rPr>
        <w:t xml:space="preserve">also </w:t>
      </w:r>
      <w:r w:rsidRPr="00B14447">
        <w:rPr>
          <w:rFonts w:ascii="Times New Roman" w:hAnsi="Times New Roman"/>
        </w:rPr>
        <w:t>rejected the Commonwealth's submission that an inference could be drawn as to the strength of Dr</w:t>
      </w:r>
      <w:r w:rsidR="006207ED" w:rsidRPr="00B14447">
        <w:rPr>
          <w:rFonts w:ascii="Times New Roman" w:hAnsi="Times New Roman"/>
        </w:rPr>
        <w:t> </w:t>
      </w:r>
      <w:r w:rsidRPr="00B14447">
        <w:rPr>
          <w:rFonts w:ascii="Times New Roman" w:hAnsi="Times New Roman"/>
        </w:rPr>
        <w:t>Sherman's intention by the $50</w:t>
      </w:r>
      <w:r w:rsidR="00A37E8E" w:rsidRPr="00B14447">
        <w:rPr>
          <w:rFonts w:ascii="Times New Roman" w:hAnsi="Times New Roman"/>
        </w:rPr>
        <w:t> </w:t>
      </w:r>
      <w:r w:rsidRPr="00B14447">
        <w:rPr>
          <w:rFonts w:ascii="Times New Roman" w:hAnsi="Times New Roman"/>
        </w:rPr>
        <w:t xml:space="preserve">million security offered. </w:t>
      </w:r>
      <w:r w:rsidR="006207ED" w:rsidRPr="00B14447">
        <w:rPr>
          <w:rFonts w:ascii="Times New Roman" w:hAnsi="Times New Roman"/>
        </w:rPr>
        <w:t>T</w:t>
      </w:r>
      <w:r w:rsidRPr="00B14447">
        <w:rPr>
          <w:rFonts w:ascii="Times New Roman" w:hAnsi="Times New Roman"/>
        </w:rPr>
        <w:t>he Full Court reiterated</w:t>
      </w:r>
      <w:r w:rsidR="006207ED" w:rsidRPr="00B14447">
        <w:rPr>
          <w:rFonts w:ascii="Times New Roman" w:hAnsi="Times New Roman"/>
        </w:rPr>
        <w:t xml:space="preserve"> the primary judge's conclusion</w:t>
      </w:r>
      <w:r w:rsidRPr="00B14447">
        <w:rPr>
          <w:rFonts w:ascii="Times New Roman" w:hAnsi="Times New Roman"/>
        </w:rPr>
        <w:t xml:space="preserve"> that there was no evidence as to how much it would have cost Apotex to obtain that security.</w:t>
      </w:r>
      <w:r w:rsidRPr="00B14447">
        <w:rPr>
          <w:rStyle w:val="FootnoteReference"/>
          <w:rFonts w:ascii="Times New Roman" w:hAnsi="Times New Roman"/>
          <w:sz w:val="24"/>
        </w:rPr>
        <w:footnoteReference w:id="124"/>
      </w:r>
      <w:r w:rsidRPr="00B14447">
        <w:rPr>
          <w:rFonts w:ascii="Times New Roman" w:hAnsi="Times New Roman"/>
        </w:rPr>
        <w:t xml:space="preserve"> </w:t>
      </w:r>
    </w:p>
    <w:p w14:paraId="4B68100B" w14:textId="1036E2C8"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The Full Court also affirmed the primary judge's reasoning that an inference as to the force of conviction in Dr</w:t>
      </w:r>
      <w:r w:rsidR="00BD4E44" w:rsidRPr="00B14447">
        <w:rPr>
          <w:rFonts w:ascii="Times New Roman" w:hAnsi="Times New Roman"/>
        </w:rPr>
        <w:t> </w:t>
      </w:r>
      <w:r w:rsidRPr="00B14447">
        <w:rPr>
          <w:rFonts w:ascii="Times New Roman" w:hAnsi="Times New Roman"/>
        </w:rPr>
        <w:t>Sherman's mind could not be drawn from Dr</w:t>
      </w:r>
      <w:r w:rsidR="00BD4E44" w:rsidRPr="00B14447">
        <w:rPr>
          <w:rFonts w:ascii="Times New Roman" w:hAnsi="Times New Roman"/>
        </w:rPr>
        <w:t> </w:t>
      </w:r>
      <w:r w:rsidRPr="00B14447">
        <w:rPr>
          <w:rFonts w:ascii="Times New Roman" w:hAnsi="Times New Roman"/>
        </w:rPr>
        <w:t>Sherman's email correspondence. The key point was that "the coincidence of the PBS listing date of 1</w:t>
      </w:r>
      <w:r w:rsidR="00BD4E44" w:rsidRPr="00B14447">
        <w:rPr>
          <w:rFonts w:ascii="Times New Roman" w:hAnsi="Times New Roman"/>
        </w:rPr>
        <w:t> </w:t>
      </w:r>
      <w:r w:rsidRPr="00B14447">
        <w:rPr>
          <w:rFonts w:ascii="Times New Roman" w:hAnsi="Times New Roman"/>
        </w:rPr>
        <w:t>April 2008 and the trial date of 28</w:t>
      </w:r>
      <w:r w:rsidR="00BD4E44" w:rsidRPr="00B14447">
        <w:rPr>
          <w:rFonts w:ascii="Times New Roman" w:hAnsi="Times New Roman"/>
        </w:rPr>
        <w:t> </w:t>
      </w:r>
      <w:r w:rsidRPr="00B14447">
        <w:rPr>
          <w:rFonts w:ascii="Times New Roman" w:hAnsi="Times New Roman"/>
        </w:rPr>
        <w:t>April 2008 was not something which could have been anticipated until the time that the interlocutory injunction application was determined".</w:t>
      </w:r>
      <w:r w:rsidRPr="00B14447">
        <w:rPr>
          <w:rStyle w:val="FootnoteReference"/>
          <w:rFonts w:ascii="Times New Roman" w:hAnsi="Times New Roman"/>
          <w:sz w:val="24"/>
        </w:rPr>
        <w:footnoteReference w:id="125"/>
      </w:r>
      <w:r w:rsidRPr="00B14447">
        <w:rPr>
          <w:rFonts w:ascii="Times New Roman" w:hAnsi="Times New Roman"/>
        </w:rPr>
        <w:t xml:space="preserve"> The Full Court held that the primary judge was correct not to speculate, in the absence of evidence from Dr</w:t>
      </w:r>
      <w:r w:rsidR="00BD4E44" w:rsidRPr="00B14447">
        <w:rPr>
          <w:rFonts w:ascii="Times New Roman" w:hAnsi="Times New Roman"/>
        </w:rPr>
        <w:t> </w:t>
      </w:r>
      <w:r w:rsidRPr="00B14447">
        <w:rPr>
          <w:rFonts w:ascii="Times New Roman" w:hAnsi="Times New Roman"/>
        </w:rPr>
        <w:t xml:space="preserve">Sherman, about the effect that these two events would have had on any intention that he </w:t>
      </w:r>
      <w:r w:rsidR="003C24BC" w:rsidRPr="00B14447">
        <w:rPr>
          <w:rFonts w:ascii="Times New Roman" w:hAnsi="Times New Roman"/>
        </w:rPr>
        <w:t xml:space="preserve">might have </w:t>
      </w:r>
      <w:r w:rsidRPr="00B14447">
        <w:rPr>
          <w:rFonts w:ascii="Times New Roman" w:hAnsi="Times New Roman"/>
        </w:rPr>
        <w:t>had to launch at risk.</w:t>
      </w:r>
      <w:r w:rsidRPr="00B14447">
        <w:rPr>
          <w:rStyle w:val="FootnoteReference"/>
          <w:rFonts w:ascii="Times New Roman" w:hAnsi="Times New Roman"/>
          <w:sz w:val="24"/>
        </w:rPr>
        <w:footnoteReference w:id="126"/>
      </w:r>
    </w:p>
    <w:p w14:paraId="723C57B3" w14:textId="2E7C7DBF"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As to the fourth finding of the primary judge set out above (that the two unforeseen events in September 2007 could have led Dr</w:t>
      </w:r>
      <w:r w:rsidR="003C24BC" w:rsidRPr="00B14447">
        <w:rPr>
          <w:rFonts w:ascii="Times New Roman" w:hAnsi="Times New Roman"/>
        </w:rPr>
        <w:t> </w:t>
      </w:r>
      <w:r w:rsidRPr="00B14447">
        <w:rPr>
          <w:rFonts w:ascii="Times New Roman" w:hAnsi="Times New Roman"/>
        </w:rPr>
        <w:t>Sherman to conclude that it might be preferable not to launch at risk even if Gyles</w:t>
      </w:r>
      <w:r w:rsidR="003C24BC" w:rsidRPr="00B14447">
        <w:rPr>
          <w:rFonts w:ascii="Times New Roman" w:hAnsi="Times New Roman"/>
        </w:rPr>
        <w:t> </w:t>
      </w:r>
      <w:r w:rsidRPr="00B14447">
        <w:rPr>
          <w:rFonts w:ascii="Times New Roman" w:hAnsi="Times New Roman"/>
        </w:rPr>
        <w:t>J were to have refused the interlocutory injunction)</w:t>
      </w:r>
      <w:r w:rsidR="004E08FC" w:rsidRPr="00B14447">
        <w:rPr>
          <w:rFonts w:ascii="Times New Roman" w:hAnsi="Times New Roman"/>
        </w:rPr>
        <w:t>,</w:t>
      </w:r>
      <w:r w:rsidRPr="00B14447">
        <w:rPr>
          <w:rFonts w:ascii="Times New Roman" w:hAnsi="Times New Roman"/>
        </w:rPr>
        <w:t xml:space="preserve"> the Full Court again affirmed this finding.</w:t>
      </w:r>
      <w:r w:rsidR="004E08FC" w:rsidRPr="00B14447">
        <w:rPr>
          <w:rStyle w:val="FootnoteReference"/>
          <w:rFonts w:ascii="Times New Roman" w:hAnsi="Times New Roman"/>
          <w:sz w:val="24"/>
        </w:rPr>
        <w:footnoteReference w:id="127"/>
      </w:r>
      <w:r w:rsidRPr="00B14447">
        <w:rPr>
          <w:rFonts w:ascii="Times New Roman" w:hAnsi="Times New Roman"/>
        </w:rPr>
        <w:t xml:space="preserve"> The Full Court observed that the primary judge had not made any positive finding as to what Dr</w:t>
      </w:r>
      <w:r w:rsidR="00941F8E" w:rsidRPr="00B14447">
        <w:rPr>
          <w:rFonts w:ascii="Times New Roman" w:hAnsi="Times New Roman"/>
        </w:rPr>
        <w:t> </w:t>
      </w:r>
      <w:r w:rsidRPr="00B14447">
        <w:rPr>
          <w:rFonts w:ascii="Times New Roman" w:hAnsi="Times New Roman"/>
        </w:rPr>
        <w:t xml:space="preserve">Sherman </w:t>
      </w:r>
      <w:r w:rsidRPr="00B14447">
        <w:rPr>
          <w:rFonts w:ascii="Times New Roman" w:hAnsi="Times New Roman"/>
          <w:i/>
          <w:iCs/>
        </w:rPr>
        <w:t xml:space="preserve">would </w:t>
      </w:r>
      <w:r w:rsidRPr="00B14447">
        <w:rPr>
          <w:rFonts w:ascii="Times New Roman" w:hAnsi="Times New Roman"/>
        </w:rPr>
        <w:t xml:space="preserve">or </w:t>
      </w:r>
      <w:r w:rsidRPr="00B14447">
        <w:rPr>
          <w:rFonts w:ascii="Times New Roman" w:hAnsi="Times New Roman"/>
          <w:i/>
          <w:iCs/>
        </w:rPr>
        <w:t xml:space="preserve">would not </w:t>
      </w:r>
      <w:r w:rsidRPr="00B14447">
        <w:rPr>
          <w:rFonts w:ascii="Times New Roman" w:hAnsi="Times New Roman"/>
        </w:rPr>
        <w:t>have done in the absence of evidence from Dr</w:t>
      </w:r>
      <w:r w:rsidR="00941F8E" w:rsidRPr="00B14447">
        <w:rPr>
          <w:rFonts w:ascii="Times New Roman" w:hAnsi="Times New Roman"/>
        </w:rPr>
        <w:t> </w:t>
      </w:r>
      <w:r w:rsidRPr="00B14447">
        <w:rPr>
          <w:rFonts w:ascii="Times New Roman" w:hAnsi="Times New Roman"/>
        </w:rPr>
        <w:t>Sherman.</w:t>
      </w:r>
      <w:r w:rsidR="00941F8E" w:rsidRPr="00B14447">
        <w:rPr>
          <w:rStyle w:val="FootnoteReference"/>
          <w:rFonts w:ascii="Times New Roman" w:hAnsi="Times New Roman"/>
          <w:sz w:val="24"/>
        </w:rPr>
        <w:footnoteReference w:id="128"/>
      </w:r>
      <w:r w:rsidRPr="00B14447">
        <w:rPr>
          <w:rFonts w:ascii="Times New Roman" w:hAnsi="Times New Roman"/>
        </w:rPr>
        <w:t xml:space="preserve"> In the absence of any evidence from Dr</w:t>
      </w:r>
      <w:r w:rsidR="00941F8E" w:rsidRPr="00B14447">
        <w:rPr>
          <w:rFonts w:ascii="Times New Roman" w:hAnsi="Times New Roman"/>
        </w:rPr>
        <w:t> </w:t>
      </w:r>
      <w:r w:rsidRPr="00B14447">
        <w:rPr>
          <w:rFonts w:ascii="Times New Roman" w:hAnsi="Times New Roman"/>
        </w:rPr>
        <w:t>Sherman</w:t>
      </w:r>
      <w:r w:rsidR="008B6E53" w:rsidRPr="00B14447">
        <w:rPr>
          <w:rFonts w:ascii="Times New Roman" w:hAnsi="Times New Roman"/>
        </w:rPr>
        <w:t>,</w:t>
      </w:r>
      <w:r w:rsidRPr="00B14447">
        <w:rPr>
          <w:rFonts w:ascii="Times New Roman" w:hAnsi="Times New Roman"/>
        </w:rPr>
        <w:t xml:space="preserve"> and in the absence of any basis to conclude that Dr</w:t>
      </w:r>
      <w:r w:rsidR="00941F8E" w:rsidRPr="00B14447">
        <w:rPr>
          <w:rFonts w:ascii="Times New Roman" w:hAnsi="Times New Roman"/>
        </w:rPr>
        <w:t> </w:t>
      </w:r>
      <w:r w:rsidRPr="00B14447">
        <w:rPr>
          <w:rFonts w:ascii="Times New Roman" w:hAnsi="Times New Roman"/>
        </w:rPr>
        <w:t xml:space="preserve">Sherman had even considered at the time of the interlocutory injunction the impact of the two unforeseen events, the Full Court observed that the primary judge was correct not to speculate about the effect </w:t>
      </w:r>
      <w:r w:rsidRPr="00B14447">
        <w:rPr>
          <w:rFonts w:ascii="Times New Roman" w:hAnsi="Times New Roman"/>
        </w:rPr>
        <w:lastRenderedPageBreak/>
        <w:t>that such consideration</w:t>
      </w:r>
      <w:r w:rsidR="00FF431E" w:rsidRPr="00B14447">
        <w:rPr>
          <w:rFonts w:ascii="Times New Roman" w:hAnsi="Times New Roman"/>
        </w:rPr>
        <w:t>s</w:t>
      </w:r>
      <w:r w:rsidRPr="00B14447">
        <w:rPr>
          <w:rFonts w:ascii="Times New Roman" w:hAnsi="Times New Roman"/>
        </w:rPr>
        <w:t xml:space="preserve"> would have had </w:t>
      </w:r>
      <w:r w:rsidR="003D45D9" w:rsidRPr="00B14447">
        <w:rPr>
          <w:rFonts w:ascii="Times New Roman" w:hAnsi="Times New Roman"/>
        </w:rPr>
        <w:t>on Dr Sherman</w:t>
      </w:r>
      <w:r w:rsidR="003D45D9" w:rsidRPr="00B14447">
        <w:rPr>
          <w:rStyle w:val="FootnoteReference"/>
          <w:rFonts w:ascii="Times New Roman" w:hAnsi="Times New Roman"/>
          <w:sz w:val="24"/>
        </w:rPr>
        <w:footnoteReference w:id="129"/>
      </w:r>
      <w:r w:rsidR="003D45D9" w:rsidRPr="00B14447">
        <w:rPr>
          <w:rFonts w:ascii="Times New Roman" w:hAnsi="Times New Roman"/>
        </w:rPr>
        <w:t xml:space="preserve"> </w:t>
      </w:r>
      <w:r w:rsidRPr="00B14447">
        <w:rPr>
          <w:rFonts w:ascii="Times New Roman" w:hAnsi="Times New Roman"/>
        </w:rPr>
        <w:t>and that a submission that</w:t>
      </w:r>
      <w:r w:rsidR="00034165" w:rsidRPr="00B14447">
        <w:rPr>
          <w:rFonts w:ascii="Times New Roman" w:hAnsi="Times New Roman"/>
        </w:rPr>
        <w:t xml:space="preserve"> Dr Sherman's instruction would have been to</w:t>
      </w:r>
      <w:r w:rsidRPr="00B14447">
        <w:rPr>
          <w:rFonts w:ascii="Times New Roman" w:hAnsi="Times New Roman"/>
        </w:rPr>
        <w:t xml:space="preserve"> launch at risk was the only inference that could be drawn from the correspondence was "untenable".</w:t>
      </w:r>
      <w:r w:rsidRPr="00B14447">
        <w:rPr>
          <w:rStyle w:val="FootnoteReference"/>
          <w:rFonts w:ascii="Times New Roman" w:hAnsi="Times New Roman"/>
          <w:sz w:val="24"/>
        </w:rPr>
        <w:footnoteReference w:id="130"/>
      </w:r>
      <w:r w:rsidRPr="00B14447">
        <w:rPr>
          <w:rFonts w:ascii="Times New Roman" w:hAnsi="Times New Roman"/>
        </w:rPr>
        <w:t xml:space="preserve">  </w:t>
      </w:r>
    </w:p>
    <w:p w14:paraId="61268E40" w14:textId="1BE7F849" w:rsidR="008E491A" w:rsidRPr="00B14447" w:rsidRDefault="008E491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this reasoning, therefore, the Full Court unanimously affirmed the first, second and fourth findings set out above. </w:t>
      </w:r>
      <w:r w:rsidR="005C3F07" w:rsidRPr="00B14447">
        <w:rPr>
          <w:rFonts w:ascii="Times New Roman" w:hAnsi="Times New Roman"/>
        </w:rPr>
        <w:t>I</w:t>
      </w:r>
      <w:r w:rsidRPr="00B14447">
        <w:rPr>
          <w:rFonts w:ascii="Times New Roman" w:hAnsi="Times New Roman"/>
        </w:rPr>
        <w:t>t is noteworthy that the Full Court also affirmed the primary judge's third finding set out above ("the risk/reward analyses ... showed that Apotex stood to lose much more than it stood to gain by launching"</w:t>
      </w:r>
      <w:r w:rsidRPr="00B14447">
        <w:rPr>
          <w:rStyle w:val="FootnoteReference"/>
          <w:rFonts w:ascii="Times New Roman" w:hAnsi="Times New Roman"/>
          <w:sz w:val="24"/>
        </w:rPr>
        <w:footnoteReference w:id="131"/>
      </w:r>
      <w:r w:rsidRPr="00B14447">
        <w:rPr>
          <w:rFonts w:ascii="Times New Roman" w:hAnsi="Times New Roman"/>
        </w:rPr>
        <w:t xml:space="preserve">), </w:t>
      </w:r>
      <w:r w:rsidR="004B52AE" w:rsidRPr="00B14447">
        <w:rPr>
          <w:rFonts w:ascii="Times New Roman" w:hAnsi="Times New Roman"/>
        </w:rPr>
        <w:t xml:space="preserve">the </w:t>
      </w:r>
      <w:r w:rsidRPr="00B14447">
        <w:rPr>
          <w:rFonts w:ascii="Times New Roman" w:hAnsi="Times New Roman"/>
        </w:rPr>
        <w:t>fifth finding ("[a]n inference about what Dr</w:t>
      </w:r>
      <w:r w:rsidR="00CB6A63" w:rsidRPr="00B14447">
        <w:rPr>
          <w:rFonts w:ascii="Times New Roman" w:hAnsi="Times New Roman"/>
        </w:rPr>
        <w:t> </w:t>
      </w:r>
      <w:r w:rsidRPr="00B14447">
        <w:rPr>
          <w:rFonts w:ascii="Times New Roman" w:hAnsi="Times New Roman"/>
        </w:rPr>
        <w:t>Sherman would, or would not have done, simply could not be drawn without evidence from Dr</w:t>
      </w:r>
      <w:r w:rsidR="00B304CE" w:rsidRPr="00B14447">
        <w:rPr>
          <w:rFonts w:ascii="Times New Roman" w:hAnsi="Times New Roman"/>
        </w:rPr>
        <w:t> </w:t>
      </w:r>
      <w:r w:rsidRPr="00B14447">
        <w:rPr>
          <w:rFonts w:ascii="Times New Roman" w:hAnsi="Times New Roman"/>
        </w:rPr>
        <w:t>Sherman"</w:t>
      </w:r>
      <w:r w:rsidRPr="00B14447">
        <w:rPr>
          <w:rStyle w:val="FootnoteReference"/>
          <w:rFonts w:ascii="Times New Roman" w:hAnsi="Times New Roman"/>
          <w:sz w:val="24"/>
        </w:rPr>
        <w:footnoteReference w:id="132"/>
      </w:r>
      <w:r w:rsidRPr="00B14447">
        <w:rPr>
          <w:rFonts w:ascii="Times New Roman" w:hAnsi="Times New Roman"/>
        </w:rPr>
        <w:t>)</w:t>
      </w:r>
      <w:r w:rsidR="0054037F" w:rsidRPr="00B14447">
        <w:rPr>
          <w:rFonts w:ascii="Times New Roman" w:hAnsi="Times New Roman"/>
        </w:rPr>
        <w:t xml:space="preserve"> and </w:t>
      </w:r>
      <w:r w:rsidR="00D33F82" w:rsidRPr="00B14447">
        <w:rPr>
          <w:rFonts w:ascii="Times New Roman" w:hAnsi="Times New Roman"/>
        </w:rPr>
        <w:t xml:space="preserve">the </w:t>
      </w:r>
      <w:r w:rsidR="0054037F" w:rsidRPr="00B14447">
        <w:rPr>
          <w:rFonts w:ascii="Times New Roman" w:hAnsi="Times New Roman"/>
        </w:rPr>
        <w:t>sixth finding</w:t>
      </w:r>
      <w:r w:rsidR="001A2B5A" w:rsidRPr="00B14447">
        <w:rPr>
          <w:rFonts w:ascii="Times New Roman" w:hAnsi="Times New Roman"/>
        </w:rPr>
        <w:t xml:space="preserve"> ("Apotex stood to lose much more than it stood to gain by launching, mean[ing] that Mr</w:t>
      </w:r>
      <w:r w:rsidR="00536DCC" w:rsidRPr="00B14447">
        <w:rPr>
          <w:rFonts w:ascii="Times New Roman" w:hAnsi="Times New Roman"/>
        </w:rPr>
        <w:t> </w:t>
      </w:r>
      <w:r w:rsidR="001A2B5A" w:rsidRPr="00B14447">
        <w:rPr>
          <w:rFonts w:ascii="Times New Roman" w:hAnsi="Times New Roman"/>
        </w:rPr>
        <w:t>Millichamp</w:t>
      </w:r>
      <w:r w:rsidR="00110010" w:rsidRPr="00B14447">
        <w:rPr>
          <w:rFonts w:ascii="Times New Roman" w:hAnsi="Times New Roman"/>
        </w:rPr>
        <w:t>'</w:t>
      </w:r>
      <w:r w:rsidR="001A2B5A" w:rsidRPr="00B14447">
        <w:rPr>
          <w:rFonts w:ascii="Times New Roman" w:hAnsi="Times New Roman"/>
        </w:rPr>
        <w:t>s evidence that the business case had changed</w:t>
      </w:r>
      <w:r w:rsidR="00536DCC" w:rsidRPr="00B14447">
        <w:rPr>
          <w:rFonts w:ascii="Times New Roman" w:hAnsi="Times New Roman"/>
        </w:rPr>
        <w:t xml:space="preserve"> [by July 2008]</w:t>
      </w:r>
      <w:r w:rsidR="001A2B5A" w:rsidRPr="00B14447">
        <w:rPr>
          <w:rFonts w:ascii="Times New Roman" w:hAnsi="Times New Roman"/>
        </w:rPr>
        <w:t xml:space="preserve"> could not be correct"</w:t>
      </w:r>
      <w:r w:rsidR="00536DCC" w:rsidRPr="00B14447">
        <w:rPr>
          <w:rFonts w:ascii="Times New Roman" w:hAnsi="Times New Roman"/>
        </w:rPr>
        <w:t>)</w:t>
      </w:r>
      <w:r w:rsidRPr="00B14447">
        <w:rPr>
          <w:rFonts w:ascii="Times New Roman" w:hAnsi="Times New Roman"/>
        </w:rPr>
        <w:t>.</w:t>
      </w:r>
      <w:r w:rsidR="00C52DA3" w:rsidRPr="00B14447">
        <w:rPr>
          <w:rStyle w:val="FootnoteReference"/>
          <w:rFonts w:ascii="Times New Roman" w:hAnsi="Times New Roman"/>
          <w:sz w:val="24"/>
        </w:rPr>
        <w:footnoteReference w:id="133"/>
      </w:r>
      <w:r w:rsidRPr="00B14447">
        <w:rPr>
          <w:rFonts w:ascii="Times New Roman" w:hAnsi="Times New Roman"/>
        </w:rPr>
        <w:t xml:space="preserve"> Every one of the </w:t>
      </w:r>
      <w:r w:rsidR="00014FB9" w:rsidRPr="00B14447">
        <w:rPr>
          <w:rFonts w:ascii="Times New Roman" w:hAnsi="Times New Roman"/>
        </w:rPr>
        <w:t>six</w:t>
      </w:r>
      <w:r w:rsidRPr="00B14447">
        <w:rPr>
          <w:rFonts w:ascii="Times New Roman" w:hAnsi="Times New Roman"/>
        </w:rPr>
        <w:t xml:space="preserve"> </w:t>
      </w:r>
      <w:r w:rsidR="00785253" w:rsidRPr="00B14447">
        <w:rPr>
          <w:rFonts w:ascii="Times New Roman" w:hAnsi="Times New Roman"/>
        </w:rPr>
        <w:t xml:space="preserve">"tributary" </w:t>
      </w:r>
      <w:r w:rsidRPr="00B14447">
        <w:rPr>
          <w:rFonts w:ascii="Times New Roman" w:hAnsi="Times New Roman"/>
        </w:rPr>
        <w:t xml:space="preserve">findings </w:t>
      </w:r>
      <w:r w:rsidR="00017671" w:rsidRPr="00B14447">
        <w:rPr>
          <w:rFonts w:ascii="Times New Roman" w:hAnsi="Times New Roman"/>
        </w:rPr>
        <w:t xml:space="preserve">of fact </w:t>
      </w:r>
      <w:r w:rsidRPr="00B14447">
        <w:rPr>
          <w:rFonts w:ascii="Times New Roman" w:hAnsi="Times New Roman"/>
        </w:rPr>
        <w:t>of the primary judge set out above, and</w:t>
      </w:r>
      <w:r w:rsidR="00785253" w:rsidRPr="00B14447">
        <w:rPr>
          <w:rFonts w:ascii="Times New Roman" w:hAnsi="Times New Roman"/>
        </w:rPr>
        <w:t xml:space="preserve"> thus</w:t>
      </w:r>
      <w:r w:rsidRPr="00B14447">
        <w:rPr>
          <w:rFonts w:ascii="Times New Roman" w:hAnsi="Times New Roman"/>
        </w:rPr>
        <w:t xml:space="preserve"> </w:t>
      </w:r>
      <w:r w:rsidR="00FC520F" w:rsidRPr="00B14447">
        <w:rPr>
          <w:rFonts w:ascii="Times New Roman" w:hAnsi="Times New Roman"/>
        </w:rPr>
        <w:t xml:space="preserve">each of </w:t>
      </w:r>
      <w:r w:rsidRPr="00B14447">
        <w:rPr>
          <w:rFonts w:ascii="Times New Roman" w:hAnsi="Times New Roman"/>
        </w:rPr>
        <w:t xml:space="preserve">the </w:t>
      </w:r>
      <w:r w:rsidR="00785253" w:rsidRPr="00B14447">
        <w:rPr>
          <w:rFonts w:ascii="Times New Roman" w:hAnsi="Times New Roman"/>
        </w:rPr>
        <w:t xml:space="preserve">findings of </w:t>
      </w:r>
      <w:r w:rsidRPr="00B14447">
        <w:rPr>
          <w:rFonts w:ascii="Times New Roman" w:hAnsi="Times New Roman"/>
        </w:rPr>
        <w:t xml:space="preserve">fact upon which those findings were based, was therefore unanimously affirmed by the Full Court.  </w:t>
      </w:r>
    </w:p>
    <w:p w14:paraId="604406FF" w14:textId="73ABB20C" w:rsidR="001D34B6" w:rsidRPr="00B14447" w:rsidRDefault="009E6304" w:rsidP="00B14447">
      <w:pPr>
        <w:pStyle w:val="HeadingL1"/>
        <w:spacing w:after="260" w:line="280" w:lineRule="exact"/>
        <w:ind w:left="720" w:right="0" w:hanging="720"/>
        <w:jc w:val="both"/>
        <w:rPr>
          <w:rFonts w:ascii="Times New Roman" w:hAnsi="Times New Roman"/>
        </w:rPr>
      </w:pPr>
      <w:r w:rsidRPr="00B14447">
        <w:rPr>
          <w:rFonts w:ascii="Times New Roman" w:hAnsi="Times New Roman"/>
        </w:rPr>
        <w:t>C</w:t>
      </w:r>
      <w:r w:rsidR="00A3427E" w:rsidRPr="00B14447">
        <w:rPr>
          <w:rFonts w:ascii="Times New Roman" w:hAnsi="Times New Roman"/>
        </w:rPr>
        <w:t>oncurrent</w:t>
      </w:r>
      <w:r w:rsidR="00DA4488" w:rsidRPr="00B14447">
        <w:rPr>
          <w:rFonts w:ascii="Times New Roman" w:hAnsi="Times New Roman"/>
        </w:rPr>
        <w:t xml:space="preserve"> </w:t>
      </w:r>
      <w:r w:rsidR="00A3427E" w:rsidRPr="00B14447">
        <w:rPr>
          <w:rFonts w:ascii="Times New Roman" w:hAnsi="Times New Roman"/>
        </w:rPr>
        <w:t xml:space="preserve">findings </w:t>
      </w:r>
      <w:r w:rsidR="00AA7351" w:rsidRPr="00B14447">
        <w:rPr>
          <w:rFonts w:ascii="Times New Roman" w:hAnsi="Times New Roman"/>
        </w:rPr>
        <w:t xml:space="preserve">open </w:t>
      </w:r>
      <w:r w:rsidR="00747C97" w:rsidRPr="00B14447">
        <w:rPr>
          <w:rFonts w:ascii="Times New Roman" w:hAnsi="Times New Roman"/>
        </w:rPr>
        <w:t xml:space="preserve">and </w:t>
      </w:r>
      <w:r w:rsidR="002842DC" w:rsidRPr="00B14447">
        <w:rPr>
          <w:rFonts w:ascii="Times New Roman" w:hAnsi="Times New Roman"/>
        </w:rPr>
        <w:t xml:space="preserve">not </w:t>
      </w:r>
      <w:r w:rsidR="00747C97" w:rsidRPr="00B14447">
        <w:rPr>
          <w:rFonts w:ascii="Times New Roman" w:hAnsi="Times New Roman"/>
        </w:rPr>
        <w:t>clear</w:t>
      </w:r>
      <w:r w:rsidR="00835724" w:rsidRPr="00B14447">
        <w:rPr>
          <w:rFonts w:ascii="Times New Roman" w:hAnsi="Times New Roman"/>
        </w:rPr>
        <w:t>ly wrong</w:t>
      </w:r>
      <w:r w:rsidR="00DC4F40" w:rsidRPr="00B14447">
        <w:rPr>
          <w:rFonts w:ascii="Times New Roman" w:hAnsi="Times New Roman"/>
        </w:rPr>
        <w:t xml:space="preserve"> </w:t>
      </w:r>
    </w:p>
    <w:p w14:paraId="0E7FD148" w14:textId="36327D0B" w:rsidR="007D790F" w:rsidRPr="00B14447" w:rsidRDefault="009F52A7" w:rsidP="00B14447">
      <w:pPr>
        <w:pStyle w:val="FixListStyle"/>
        <w:spacing w:after="260" w:line="280" w:lineRule="exact"/>
        <w:ind w:right="0"/>
        <w:jc w:val="both"/>
        <w:rPr>
          <w:rFonts w:ascii="Times New Roman" w:hAnsi="Times New Roman"/>
        </w:rPr>
      </w:pPr>
      <w:r w:rsidRPr="00B14447">
        <w:rPr>
          <w:rFonts w:ascii="Times New Roman" w:hAnsi="Times New Roman"/>
          <w:iCs/>
        </w:rPr>
        <w:tab/>
      </w:r>
      <w:r w:rsidR="00F92939" w:rsidRPr="00B14447">
        <w:rPr>
          <w:rFonts w:ascii="Times New Roman" w:hAnsi="Times New Roman"/>
          <w:iCs/>
        </w:rPr>
        <w:t>A</w:t>
      </w:r>
      <w:r w:rsidR="00753296" w:rsidRPr="00B14447">
        <w:rPr>
          <w:rFonts w:ascii="Times New Roman" w:hAnsi="Times New Roman"/>
          <w:iCs/>
        </w:rPr>
        <w:t xml:space="preserve">s explained above, </w:t>
      </w:r>
      <w:r w:rsidR="006834F6" w:rsidRPr="00B14447">
        <w:rPr>
          <w:rFonts w:ascii="Times New Roman" w:hAnsi="Times New Roman"/>
          <w:iCs/>
        </w:rPr>
        <w:t xml:space="preserve">before this Court will engage in a detailed reconsideration of concurrent findings of fact and counter-fact, </w:t>
      </w:r>
      <w:r w:rsidR="00753296" w:rsidRPr="00B14447">
        <w:rPr>
          <w:rFonts w:ascii="Times New Roman" w:hAnsi="Times New Roman"/>
          <w:iCs/>
        </w:rPr>
        <w:t>the error that must</w:t>
      </w:r>
      <w:r w:rsidR="00846ACE" w:rsidRPr="00B14447">
        <w:rPr>
          <w:rFonts w:ascii="Times New Roman" w:hAnsi="Times New Roman"/>
          <w:iCs/>
        </w:rPr>
        <w:t xml:space="preserve"> appear to</w:t>
      </w:r>
      <w:r w:rsidR="00753296" w:rsidRPr="00B14447">
        <w:rPr>
          <w:rFonts w:ascii="Times New Roman" w:hAnsi="Times New Roman"/>
          <w:iCs/>
        </w:rPr>
        <w:t xml:space="preserve"> be present </w:t>
      </w:r>
      <w:r w:rsidR="00846ACE" w:rsidRPr="00B14447">
        <w:rPr>
          <w:rFonts w:ascii="Times New Roman" w:hAnsi="Times New Roman"/>
          <w:iCs/>
        </w:rPr>
        <w:t xml:space="preserve">on a prima facie analysis </w:t>
      </w:r>
      <w:r w:rsidR="00A66475" w:rsidRPr="00B14447">
        <w:rPr>
          <w:rFonts w:ascii="Times New Roman" w:hAnsi="Times New Roman"/>
          <w:iCs/>
        </w:rPr>
        <w:t>must be particularly clear</w:t>
      </w:r>
      <w:r w:rsidR="00182FD8" w:rsidRPr="00B14447">
        <w:rPr>
          <w:rFonts w:ascii="Times New Roman" w:hAnsi="Times New Roman"/>
          <w:iCs/>
        </w:rPr>
        <w:t xml:space="preserve"> in circumstances where the alleged injustice </w:t>
      </w:r>
      <w:r w:rsidR="00FB567C" w:rsidRPr="00B14447">
        <w:rPr>
          <w:rFonts w:ascii="Times New Roman" w:hAnsi="Times New Roman"/>
          <w:iCs/>
        </w:rPr>
        <w:t xml:space="preserve">involves no threat to </w:t>
      </w:r>
      <w:r w:rsidR="00FB567C" w:rsidRPr="00B14447">
        <w:rPr>
          <w:rFonts w:ascii="Times New Roman" w:hAnsi="Times New Roman"/>
        </w:rPr>
        <w:t xml:space="preserve">liberty, bodily integrity, reputation or livelihood. </w:t>
      </w:r>
      <w:r w:rsidR="00FE72E7" w:rsidRPr="00B14447">
        <w:rPr>
          <w:rFonts w:ascii="Times New Roman" w:hAnsi="Times New Roman"/>
        </w:rPr>
        <w:t xml:space="preserve">On </w:t>
      </w:r>
      <w:r w:rsidR="00A2077E" w:rsidRPr="00B14447">
        <w:rPr>
          <w:rFonts w:ascii="Times New Roman" w:hAnsi="Times New Roman"/>
        </w:rPr>
        <w:t xml:space="preserve">this </w:t>
      </w:r>
      <w:r w:rsidR="00FE72E7" w:rsidRPr="00B14447">
        <w:rPr>
          <w:rFonts w:ascii="Times New Roman" w:hAnsi="Times New Roman"/>
        </w:rPr>
        <w:t xml:space="preserve">appeal no </w:t>
      </w:r>
      <w:r w:rsidR="006B45BF" w:rsidRPr="00B14447">
        <w:rPr>
          <w:rFonts w:ascii="Times New Roman" w:hAnsi="Times New Roman"/>
        </w:rPr>
        <w:t xml:space="preserve">error of that </w:t>
      </w:r>
      <w:r w:rsidR="00823228" w:rsidRPr="00B14447">
        <w:rPr>
          <w:rFonts w:ascii="Times New Roman" w:hAnsi="Times New Roman"/>
        </w:rPr>
        <w:t>clarity</w:t>
      </w:r>
      <w:r w:rsidR="006B45BF" w:rsidRPr="00B14447">
        <w:rPr>
          <w:rFonts w:ascii="Times New Roman" w:hAnsi="Times New Roman"/>
        </w:rPr>
        <w:t xml:space="preserve"> </w:t>
      </w:r>
      <w:r w:rsidR="00823228" w:rsidRPr="00B14447">
        <w:rPr>
          <w:rFonts w:ascii="Times New Roman" w:hAnsi="Times New Roman"/>
        </w:rPr>
        <w:t xml:space="preserve">was revealed in </w:t>
      </w:r>
      <w:r w:rsidR="00123436" w:rsidRPr="00B14447">
        <w:rPr>
          <w:rFonts w:ascii="Times New Roman" w:hAnsi="Times New Roman"/>
        </w:rPr>
        <w:t>concurrent findings of fact and counter</w:t>
      </w:r>
      <w:r w:rsidR="00324F65" w:rsidRPr="00B14447">
        <w:rPr>
          <w:rFonts w:ascii="Times New Roman" w:hAnsi="Times New Roman"/>
        </w:rPr>
        <w:t>-</w:t>
      </w:r>
      <w:r w:rsidR="00123436" w:rsidRPr="00B14447">
        <w:rPr>
          <w:rFonts w:ascii="Times New Roman" w:hAnsi="Times New Roman"/>
        </w:rPr>
        <w:t>fact</w:t>
      </w:r>
      <w:r w:rsidR="003835A9" w:rsidRPr="00B14447">
        <w:rPr>
          <w:rFonts w:ascii="Times New Roman" w:hAnsi="Times New Roman"/>
        </w:rPr>
        <w:t xml:space="preserve"> made</w:t>
      </w:r>
      <w:r w:rsidR="00123436" w:rsidRPr="00B14447">
        <w:rPr>
          <w:rFonts w:ascii="Times New Roman" w:hAnsi="Times New Roman"/>
        </w:rPr>
        <w:t xml:space="preserve"> by the primary judge and by the Full Court.</w:t>
      </w:r>
      <w:r w:rsidR="007D790F" w:rsidRPr="00B14447">
        <w:rPr>
          <w:rFonts w:ascii="Times New Roman" w:hAnsi="Times New Roman"/>
        </w:rPr>
        <w:t xml:space="preserve"> </w:t>
      </w:r>
      <w:r w:rsidR="00A07550" w:rsidRPr="00B14447">
        <w:rPr>
          <w:rFonts w:ascii="Times New Roman" w:hAnsi="Times New Roman"/>
        </w:rPr>
        <w:t xml:space="preserve">Without descending into many of the other supporting reasons </w:t>
      </w:r>
      <w:r w:rsidR="00882336" w:rsidRPr="00B14447">
        <w:rPr>
          <w:rFonts w:ascii="Times New Roman" w:hAnsi="Times New Roman"/>
        </w:rPr>
        <w:t xml:space="preserve">for the findings of fact of </w:t>
      </w:r>
      <w:r w:rsidR="00A07550" w:rsidRPr="00B14447">
        <w:rPr>
          <w:rFonts w:ascii="Times New Roman" w:hAnsi="Times New Roman"/>
        </w:rPr>
        <w:t>the primary judge or the Full Court</w:t>
      </w:r>
      <w:r w:rsidR="00FB3B57" w:rsidRPr="00B14447">
        <w:rPr>
          <w:rFonts w:ascii="Times New Roman" w:hAnsi="Times New Roman"/>
        </w:rPr>
        <w:t>,</w:t>
      </w:r>
      <w:r w:rsidR="00A07550" w:rsidRPr="00B14447">
        <w:rPr>
          <w:rFonts w:ascii="Times New Roman" w:hAnsi="Times New Roman"/>
        </w:rPr>
        <w:t xml:space="preserve"> there are </w:t>
      </w:r>
      <w:r w:rsidR="00F67842" w:rsidRPr="00B14447">
        <w:rPr>
          <w:rFonts w:ascii="Times New Roman" w:hAnsi="Times New Roman"/>
        </w:rPr>
        <w:lastRenderedPageBreak/>
        <w:t xml:space="preserve">four </w:t>
      </w:r>
      <w:r w:rsidR="00E33041" w:rsidRPr="00B14447">
        <w:rPr>
          <w:rFonts w:ascii="Times New Roman" w:hAnsi="Times New Roman"/>
        </w:rPr>
        <w:t>significant</w:t>
      </w:r>
      <w:r w:rsidR="007D790F" w:rsidRPr="00B14447">
        <w:rPr>
          <w:rFonts w:ascii="Times New Roman" w:hAnsi="Times New Roman"/>
        </w:rPr>
        <w:t xml:space="preserve"> reasons</w:t>
      </w:r>
      <w:r w:rsidR="00A07550" w:rsidRPr="00B14447">
        <w:rPr>
          <w:rFonts w:ascii="Times New Roman" w:hAnsi="Times New Roman"/>
        </w:rPr>
        <w:t xml:space="preserve"> that establish that the concurrent findings </w:t>
      </w:r>
      <w:r w:rsidR="009D3BE4" w:rsidRPr="00B14447">
        <w:rPr>
          <w:rFonts w:ascii="Times New Roman" w:hAnsi="Times New Roman"/>
        </w:rPr>
        <w:t xml:space="preserve">not only </w:t>
      </w:r>
      <w:r w:rsidR="00652743" w:rsidRPr="00B14447">
        <w:rPr>
          <w:rFonts w:ascii="Times New Roman" w:hAnsi="Times New Roman"/>
        </w:rPr>
        <w:t xml:space="preserve">were </w:t>
      </w:r>
      <w:r w:rsidR="00B023EF" w:rsidRPr="00B14447">
        <w:rPr>
          <w:rFonts w:ascii="Times New Roman" w:hAnsi="Times New Roman"/>
        </w:rPr>
        <w:t xml:space="preserve">open and </w:t>
      </w:r>
      <w:r w:rsidR="00823228" w:rsidRPr="00B14447">
        <w:rPr>
          <w:rFonts w:ascii="Times New Roman" w:hAnsi="Times New Roman"/>
        </w:rPr>
        <w:t>free from clear error</w:t>
      </w:r>
      <w:r w:rsidR="00667A1C" w:rsidRPr="00B14447">
        <w:rPr>
          <w:rFonts w:ascii="Times New Roman" w:hAnsi="Times New Roman"/>
        </w:rPr>
        <w:t xml:space="preserve"> but </w:t>
      </w:r>
      <w:r w:rsidR="00EB1E8E" w:rsidRPr="00B14447">
        <w:rPr>
          <w:rFonts w:ascii="Times New Roman" w:hAnsi="Times New Roman"/>
        </w:rPr>
        <w:t xml:space="preserve">also </w:t>
      </w:r>
      <w:r w:rsidR="00A07550" w:rsidRPr="00B14447">
        <w:rPr>
          <w:rFonts w:ascii="Times New Roman" w:hAnsi="Times New Roman"/>
        </w:rPr>
        <w:t>are compelling</w:t>
      </w:r>
      <w:r w:rsidR="007D790F" w:rsidRPr="00B14447">
        <w:rPr>
          <w:rFonts w:ascii="Times New Roman" w:hAnsi="Times New Roman"/>
        </w:rPr>
        <w:t>.</w:t>
      </w:r>
    </w:p>
    <w:p w14:paraId="2E69426D" w14:textId="3E9FF584" w:rsidR="00BC0C50" w:rsidRPr="00B14447" w:rsidRDefault="007D790F"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First</w:t>
      </w:r>
      <w:r w:rsidRPr="00B14447">
        <w:rPr>
          <w:rFonts w:ascii="Times New Roman" w:hAnsi="Times New Roman"/>
        </w:rPr>
        <w:t>,</w:t>
      </w:r>
      <w:r w:rsidR="00714A1A" w:rsidRPr="00B14447">
        <w:rPr>
          <w:rFonts w:ascii="Times New Roman" w:hAnsi="Times New Roman"/>
        </w:rPr>
        <w:t xml:space="preserve"> </w:t>
      </w:r>
      <w:r w:rsidR="00DA4488" w:rsidRPr="00B14447">
        <w:rPr>
          <w:rFonts w:ascii="Times New Roman" w:hAnsi="Times New Roman"/>
        </w:rPr>
        <w:t xml:space="preserve">it was common ground in this Court that </w:t>
      </w:r>
      <w:r w:rsidR="000305C2" w:rsidRPr="00B14447">
        <w:rPr>
          <w:rFonts w:ascii="Times New Roman" w:hAnsi="Times New Roman"/>
        </w:rPr>
        <w:t>the decision as to whether to launch at risk was to be made by Dr</w:t>
      </w:r>
      <w:r w:rsidR="00685C4A" w:rsidRPr="00B14447">
        <w:rPr>
          <w:rFonts w:ascii="Times New Roman" w:hAnsi="Times New Roman"/>
        </w:rPr>
        <w:t> </w:t>
      </w:r>
      <w:r w:rsidR="000305C2" w:rsidRPr="00B14447">
        <w:rPr>
          <w:rFonts w:ascii="Times New Roman" w:hAnsi="Times New Roman"/>
        </w:rPr>
        <w:t>Sherman</w:t>
      </w:r>
      <w:r w:rsidR="00131D51" w:rsidRPr="00B14447">
        <w:rPr>
          <w:rFonts w:ascii="Times New Roman" w:hAnsi="Times New Roman"/>
        </w:rPr>
        <w:t xml:space="preserve"> and any intention that Dr</w:t>
      </w:r>
      <w:r w:rsidR="005051CE" w:rsidRPr="00B14447">
        <w:rPr>
          <w:rFonts w:ascii="Times New Roman" w:hAnsi="Times New Roman"/>
        </w:rPr>
        <w:t> </w:t>
      </w:r>
      <w:r w:rsidR="00131D51" w:rsidRPr="00B14447">
        <w:rPr>
          <w:rFonts w:ascii="Times New Roman" w:hAnsi="Times New Roman"/>
        </w:rPr>
        <w:t xml:space="preserve">Sherman had to launch at risk in September 2007 was </w:t>
      </w:r>
      <w:r w:rsidR="004A7E95" w:rsidRPr="00B14447">
        <w:rPr>
          <w:rFonts w:ascii="Times New Roman" w:hAnsi="Times New Roman"/>
        </w:rPr>
        <w:t>conditional</w:t>
      </w:r>
      <w:r w:rsidR="000305C2" w:rsidRPr="00B14447">
        <w:rPr>
          <w:rFonts w:ascii="Times New Roman" w:hAnsi="Times New Roman"/>
        </w:rPr>
        <w:t>. Dr</w:t>
      </w:r>
      <w:r w:rsidR="005051CE" w:rsidRPr="00B14447">
        <w:rPr>
          <w:rFonts w:ascii="Times New Roman" w:hAnsi="Times New Roman"/>
        </w:rPr>
        <w:t> </w:t>
      </w:r>
      <w:r w:rsidR="000305C2" w:rsidRPr="00B14447">
        <w:rPr>
          <w:rFonts w:ascii="Times New Roman" w:hAnsi="Times New Roman"/>
        </w:rPr>
        <w:t xml:space="preserve">Sherman </w:t>
      </w:r>
      <w:r w:rsidR="004D1121" w:rsidRPr="00B14447">
        <w:rPr>
          <w:rFonts w:ascii="Times New Roman" w:hAnsi="Times New Roman"/>
        </w:rPr>
        <w:t xml:space="preserve">was initially more bearish about launching at risk, </w:t>
      </w:r>
      <w:r w:rsidR="0078476D" w:rsidRPr="00B14447">
        <w:rPr>
          <w:rFonts w:ascii="Times New Roman" w:hAnsi="Times New Roman"/>
        </w:rPr>
        <w:t xml:space="preserve">but wanted </w:t>
      </w:r>
      <w:r w:rsidR="004D1121" w:rsidRPr="00B14447">
        <w:rPr>
          <w:rFonts w:ascii="Times New Roman" w:hAnsi="Times New Roman"/>
        </w:rPr>
        <w:t>to wait</w:t>
      </w:r>
      <w:r w:rsidR="00893C85" w:rsidRPr="00B14447">
        <w:rPr>
          <w:rFonts w:ascii="Times New Roman" w:hAnsi="Times New Roman"/>
        </w:rPr>
        <w:t>,</w:t>
      </w:r>
      <w:r w:rsidR="00D758C7" w:rsidRPr="00B14447">
        <w:rPr>
          <w:rFonts w:ascii="Times New Roman" w:hAnsi="Times New Roman"/>
        </w:rPr>
        <w:t xml:space="preserve"> before launching at risk in Australia</w:t>
      </w:r>
      <w:r w:rsidR="00893C85" w:rsidRPr="00B14447">
        <w:rPr>
          <w:rFonts w:ascii="Times New Roman" w:hAnsi="Times New Roman"/>
        </w:rPr>
        <w:t>,</w:t>
      </w:r>
      <w:r w:rsidR="004D1121" w:rsidRPr="00B14447">
        <w:rPr>
          <w:rFonts w:ascii="Times New Roman" w:hAnsi="Times New Roman"/>
        </w:rPr>
        <w:t xml:space="preserve"> to see the results of Apotex</w:t>
      </w:r>
      <w:r w:rsidR="00BD12FD" w:rsidRPr="00B14447">
        <w:rPr>
          <w:rFonts w:ascii="Times New Roman" w:hAnsi="Times New Roman"/>
        </w:rPr>
        <w:t xml:space="preserve"> Canada and Apotex US</w:t>
      </w:r>
      <w:r w:rsidR="004D1121" w:rsidRPr="00B14447">
        <w:rPr>
          <w:rFonts w:ascii="Times New Roman" w:hAnsi="Times New Roman"/>
        </w:rPr>
        <w:t>'s litigation in the United States and Canada. Later, as the primary judge observed, Dr</w:t>
      </w:r>
      <w:r w:rsidR="00F51FF8" w:rsidRPr="00B14447">
        <w:rPr>
          <w:rFonts w:ascii="Times New Roman" w:hAnsi="Times New Roman"/>
        </w:rPr>
        <w:t> </w:t>
      </w:r>
      <w:r w:rsidR="004D1121" w:rsidRPr="00B14447">
        <w:rPr>
          <w:rFonts w:ascii="Times New Roman" w:hAnsi="Times New Roman"/>
        </w:rPr>
        <w:t>Sherman changed his mind</w:t>
      </w:r>
      <w:r w:rsidR="00D758C7" w:rsidRPr="00B14447">
        <w:rPr>
          <w:rFonts w:ascii="Times New Roman" w:hAnsi="Times New Roman"/>
        </w:rPr>
        <w:t xml:space="preserve">. </w:t>
      </w:r>
      <w:r w:rsidR="00287B87" w:rsidRPr="00B14447">
        <w:rPr>
          <w:rFonts w:ascii="Times New Roman" w:hAnsi="Times New Roman"/>
        </w:rPr>
        <w:t>As the communications above demonstrate, it is impossible to draw any inference about the</w:t>
      </w:r>
      <w:r w:rsidR="002B424A" w:rsidRPr="00B14447">
        <w:rPr>
          <w:rFonts w:ascii="Times New Roman" w:hAnsi="Times New Roman"/>
        </w:rPr>
        <w:t xml:space="preserve"> firmness of any change of mind. The heavy redactions for legal professional privilege deprive many of the key communications of important and essential context.</w:t>
      </w:r>
      <w:r w:rsidR="002C5E1A" w:rsidRPr="00B14447">
        <w:rPr>
          <w:rFonts w:ascii="Times New Roman" w:hAnsi="Times New Roman"/>
        </w:rPr>
        <w:t xml:space="preserve"> </w:t>
      </w:r>
      <w:r w:rsidR="00F11E4A" w:rsidRPr="00B14447">
        <w:rPr>
          <w:rFonts w:ascii="Times New Roman" w:hAnsi="Times New Roman"/>
        </w:rPr>
        <w:t xml:space="preserve">Deprived of that context, </w:t>
      </w:r>
      <w:r w:rsidR="00C45B8C" w:rsidRPr="00B14447">
        <w:rPr>
          <w:rFonts w:ascii="Times New Roman" w:hAnsi="Times New Roman"/>
        </w:rPr>
        <w:t>the Commonwealth still bore the legal and evidentiary onus to prove</w:t>
      </w:r>
      <w:r w:rsidR="00E44460" w:rsidRPr="00B14447">
        <w:rPr>
          <w:rFonts w:ascii="Times New Roman" w:hAnsi="Times New Roman"/>
        </w:rPr>
        <w:t>, on the available evidence</w:t>
      </w:r>
      <w:r w:rsidR="00B06164" w:rsidRPr="00B14447">
        <w:rPr>
          <w:rFonts w:ascii="Times New Roman" w:hAnsi="Times New Roman"/>
        </w:rPr>
        <w:t>,</w:t>
      </w:r>
      <w:r w:rsidR="000309AE" w:rsidRPr="00B14447">
        <w:rPr>
          <w:rFonts w:ascii="Times New Roman" w:hAnsi="Times New Roman"/>
        </w:rPr>
        <w:t xml:space="preserve"> that the injunction was the cause of its loss.</w:t>
      </w:r>
      <w:r w:rsidR="00FF2C90" w:rsidRPr="00B14447">
        <w:rPr>
          <w:rStyle w:val="FootnoteReference"/>
          <w:rFonts w:ascii="Times New Roman" w:hAnsi="Times New Roman"/>
          <w:sz w:val="24"/>
        </w:rPr>
        <w:footnoteReference w:id="134"/>
      </w:r>
      <w:r w:rsidR="00C45B8C" w:rsidRPr="00B14447">
        <w:rPr>
          <w:rFonts w:ascii="Times New Roman" w:hAnsi="Times New Roman"/>
        </w:rPr>
        <w:t xml:space="preserve"> </w:t>
      </w:r>
      <w:r w:rsidR="00E44460" w:rsidRPr="00B14447">
        <w:rPr>
          <w:rFonts w:ascii="Times New Roman" w:hAnsi="Times New Roman"/>
        </w:rPr>
        <w:t>W</w:t>
      </w:r>
      <w:r w:rsidR="008B5B5C" w:rsidRPr="00B14447">
        <w:rPr>
          <w:rFonts w:ascii="Times New Roman" w:hAnsi="Times New Roman"/>
        </w:rPr>
        <w:t xml:space="preserve">hatever might have been said about the </w:t>
      </w:r>
      <w:r w:rsidR="00455F9C" w:rsidRPr="00B14447">
        <w:rPr>
          <w:rFonts w:ascii="Times New Roman" w:hAnsi="Times New Roman"/>
        </w:rPr>
        <w:t xml:space="preserve">extent to which the </w:t>
      </w:r>
      <w:r w:rsidR="008B5B5C" w:rsidRPr="00B14447">
        <w:rPr>
          <w:rFonts w:ascii="Times New Roman" w:hAnsi="Times New Roman"/>
        </w:rPr>
        <w:t>heavily redacted communications showed some conditional preparations for launch</w:t>
      </w:r>
      <w:r w:rsidR="008149D7" w:rsidRPr="00B14447">
        <w:rPr>
          <w:rFonts w:ascii="Times New Roman" w:hAnsi="Times New Roman"/>
        </w:rPr>
        <w:t xml:space="preserve"> (and also showed some expressions of uncertainty)</w:t>
      </w:r>
      <w:r w:rsidR="008B5B5C" w:rsidRPr="00B14447">
        <w:rPr>
          <w:rFonts w:ascii="Times New Roman" w:hAnsi="Times New Roman"/>
        </w:rPr>
        <w:t xml:space="preserve">, it could not be doubted (and was not doubted) that </w:t>
      </w:r>
      <w:r w:rsidR="00BC0C50" w:rsidRPr="00B14447">
        <w:rPr>
          <w:rFonts w:ascii="Times New Roman" w:hAnsi="Times New Roman"/>
        </w:rPr>
        <w:t>Dr</w:t>
      </w:r>
      <w:r w:rsidR="008669DF" w:rsidRPr="00B14447">
        <w:rPr>
          <w:rFonts w:ascii="Times New Roman" w:hAnsi="Times New Roman"/>
        </w:rPr>
        <w:t> </w:t>
      </w:r>
      <w:r w:rsidR="00BC0C50" w:rsidRPr="00B14447">
        <w:rPr>
          <w:rFonts w:ascii="Times New Roman" w:hAnsi="Times New Roman"/>
        </w:rPr>
        <w:t>Sherman's intentions</w:t>
      </w:r>
      <w:r w:rsidR="00E0411C" w:rsidRPr="00B14447">
        <w:rPr>
          <w:rFonts w:ascii="Times New Roman" w:hAnsi="Times New Roman"/>
        </w:rPr>
        <w:t xml:space="preserve"> on an issue as important as whether to launch at risk, </w:t>
      </w:r>
      <w:r w:rsidR="00415E76" w:rsidRPr="00B14447">
        <w:rPr>
          <w:rFonts w:ascii="Times New Roman" w:hAnsi="Times New Roman"/>
        </w:rPr>
        <w:t xml:space="preserve">which </w:t>
      </w:r>
      <w:r w:rsidR="00D2052C" w:rsidRPr="00B14447">
        <w:rPr>
          <w:rFonts w:ascii="Times New Roman" w:hAnsi="Times New Roman"/>
        </w:rPr>
        <w:t xml:space="preserve">much later he </w:t>
      </w:r>
      <w:r w:rsidR="000C0C6F" w:rsidRPr="00B14447">
        <w:rPr>
          <w:rFonts w:ascii="Times New Roman" w:hAnsi="Times New Roman"/>
        </w:rPr>
        <w:t xml:space="preserve">would become aware could lead to </w:t>
      </w:r>
      <w:r w:rsidR="00E0411C" w:rsidRPr="00B14447">
        <w:rPr>
          <w:rFonts w:ascii="Times New Roman" w:hAnsi="Times New Roman"/>
        </w:rPr>
        <w:t>potentia</w:t>
      </w:r>
      <w:r w:rsidR="00BE62AC" w:rsidRPr="00B14447">
        <w:rPr>
          <w:rFonts w:ascii="Times New Roman" w:hAnsi="Times New Roman"/>
        </w:rPr>
        <w:t>lly "ruinous damages"</w:t>
      </w:r>
      <w:r w:rsidR="000C0C6F" w:rsidRPr="00B14447">
        <w:rPr>
          <w:rFonts w:ascii="Times New Roman" w:hAnsi="Times New Roman"/>
        </w:rPr>
        <w:t>,</w:t>
      </w:r>
      <w:r w:rsidR="00BE62AC" w:rsidRPr="00B14447">
        <w:rPr>
          <w:rFonts w:ascii="Times New Roman" w:hAnsi="Times New Roman"/>
        </w:rPr>
        <w:t xml:space="preserve"> were not final.</w:t>
      </w:r>
    </w:p>
    <w:p w14:paraId="0AFF64D5" w14:textId="41FED00E" w:rsidR="00361AAC" w:rsidRPr="00B14447" w:rsidRDefault="00BC0C50"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Senior counsel for the Commonwealth </w:t>
      </w:r>
      <w:r w:rsidR="00795043" w:rsidRPr="00B14447">
        <w:rPr>
          <w:rFonts w:ascii="Times New Roman" w:hAnsi="Times New Roman"/>
        </w:rPr>
        <w:t>was therefore</w:t>
      </w:r>
      <w:r w:rsidR="00D072CB" w:rsidRPr="00B14447">
        <w:rPr>
          <w:rFonts w:ascii="Times New Roman" w:hAnsi="Times New Roman"/>
        </w:rPr>
        <w:t xml:space="preserve"> entirely</w:t>
      </w:r>
      <w:r w:rsidR="00795043" w:rsidRPr="00B14447">
        <w:rPr>
          <w:rFonts w:ascii="Times New Roman" w:hAnsi="Times New Roman"/>
        </w:rPr>
        <w:t xml:space="preserve"> correct to</w:t>
      </w:r>
      <w:r w:rsidR="00D072CB" w:rsidRPr="00B14447">
        <w:rPr>
          <w:rFonts w:ascii="Times New Roman" w:hAnsi="Times New Roman"/>
        </w:rPr>
        <w:t xml:space="preserve"> make the proper concession </w:t>
      </w:r>
      <w:r w:rsidRPr="00B14447">
        <w:rPr>
          <w:rFonts w:ascii="Times New Roman" w:hAnsi="Times New Roman"/>
        </w:rPr>
        <w:t>in this Court that</w:t>
      </w:r>
      <w:r w:rsidR="000A5011" w:rsidRPr="00B14447">
        <w:rPr>
          <w:rFonts w:ascii="Times New Roman" w:hAnsi="Times New Roman"/>
        </w:rPr>
        <w:t xml:space="preserve"> any intention of</w:t>
      </w:r>
      <w:r w:rsidRPr="00B14447">
        <w:rPr>
          <w:rFonts w:ascii="Times New Roman" w:hAnsi="Times New Roman"/>
        </w:rPr>
        <w:t xml:space="preserve"> Dr</w:t>
      </w:r>
      <w:r w:rsidR="0071199A" w:rsidRPr="00B14447">
        <w:rPr>
          <w:rFonts w:ascii="Times New Roman" w:hAnsi="Times New Roman"/>
        </w:rPr>
        <w:t> </w:t>
      </w:r>
      <w:r w:rsidRPr="00B14447">
        <w:rPr>
          <w:rFonts w:ascii="Times New Roman" w:hAnsi="Times New Roman"/>
        </w:rPr>
        <w:t>Sherman</w:t>
      </w:r>
      <w:r w:rsidR="00FD3D02" w:rsidRPr="00B14447">
        <w:rPr>
          <w:rFonts w:ascii="Times New Roman" w:hAnsi="Times New Roman"/>
        </w:rPr>
        <w:t xml:space="preserve">'s to launch at risk </w:t>
      </w:r>
      <w:r w:rsidR="000A5011" w:rsidRPr="00B14447">
        <w:rPr>
          <w:rFonts w:ascii="Times New Roman" w:hAnsi="Times New Roman"/>
        </w:rPr>
        <w:t xml:space="preserve">prior to September 2007 was </w:t>
      </w:r>
      <w:r w:rsidR="00EE51D5" w:rsidRPr="00B14447">
        <w:rPr>
          <w:rFonts w:ascii="Times New Roman" w:hAnsi="Times New Roman"/>
        </w:rPr>
        <w:t xml:space="preserve">conditional. But, he argued, </w:t>
      </w:r>
      <w:r w:rsidR="0058342B" w:rsidRPr="00B14447">
        <w:rPr>
          <w:rFonts w:ascii="Times New Roman" w:hAnsi="Times New Roman"/>
        </w:rPr>
        <w:t xml:space="preserve">that conditional intention was very firm such that </w:t>
      </w:r>
      <w:r w:rsidR="002A000C" w:rsidRPr="00B14447">
        <w:rPr>
          <w:rFonts w:ascii="Times New Roman" w:hAnsi="Times New Roman"/>
        </w:rPr>
        <w:t>the conditions that might lead Dr</w:t>
      </w:r>
      <w:r w:rsidR="0071199A" w:rsidRPr="00B14447">
        <w:rPr>
          <w:rFonts w:ascii="Times New Roman" w:hAnsi="Times New Roman"/>
        </w:rPr>
        <w:t> </w:t>
      </w:r>
      <w:r w:rsidR="002A000C" w:rsidRPr="00B14447">
        <w:rPr>
          <w:rFonts w:ascii="Times New Roman" w:hAnsi="Times New Roman"/>
        </w:rPr>
        <w:t xml:space="preserve">Sherman to change his mind after </w:t>
      </w:r>
      <w:r w:rsidR="00403055" w:rsidRPr="00B14447">
        <w:rPr>
          <w:rFonts w:ascii="Times New Roman" w:hAnsi="Times New Roman"/>
        </w:rPr>
        <w:t>the date of the interlocutory injunction hearing on 18</w:t>
      </w:r>
      <w:r w:rsidR="0071199A" w:rsidRPr="00B14447">
        <w:rPr>
          <w:rFonts w:ascii="Times New Roman" w:hAnsi="Times New Roman"/>
        </w:rPr>
        <w:t> </w:t>
      </w:r>
      <w:r w:rsidR="00403055" w:rsidRPr="00B14447">
        <w:rPr>
          <w:rFonts w:ascii="Times New Roman" w:hAnsi="Times New Roman"/>
        </w:rPr>
        <w:t xml:space="preserve">September 2007 were </w:t>
      </w:r>
      <w:r w:rsidR="00E411D0" w:rsidRPr="00B14447">
        <w:rPr>
          <w:rFonts w:ascii="Times New Roman" w:hAnsi="Times New Roman"/>
        </w:rPr>
        <w:t xml:space="preserve">extreme, such as a factory burning down which would prevent all supply. </w:t>
      </w:r>
      <w:r w:rsidR="00F814BC" w:rsidRPr="00B14447">
        <w:rPr>
          <w:rFonts w:ascii="Times New Roman" w:hAnsi="Times New Roman"/>
        </w:rPr>
        <w:t xml:space="preserve">In other words, </w:t>
      </w:r>
      <w:r w:rsidR="00D14C3C" w:rsidRPr="00B14447">
        <w:rPr>
          <w:rFonts w:ascii="Times New Roman" w:hAnsi="Times New Roman"/>
        </w:rPr>
        <w:t xml:space="preserve">the Commonwealth's submission was that </w:t>
      </w:r>
      <w:r w:rsidR="00F814BC" w:rsidRPr="00B14447">
        <w:rPr>
          <w:rFonts w:ascii="Times New Roman" w:hAnsi="Times New Roman"/>
        </w:rPr>
        <w:t>the force of conviction with which Dr</w:t>
      </w:r>
      <w:r w:rsidR="002051F2" w:rsidRPr="00B14447">
        <w:rPr>
          <w:rFonts w:ascii="Times New Roman" w:hAnsi="Times New Roman"/>
        </w:rPr>
        <w:t> </w:t>
      </w:r>
      <w:r w:rsidR="00F814BC" w:rsidRPr="00B14447">
        <w:rPr>
          <w:rFonts w:ascii="Times New Roman" w:hAnsi="Times New Roman"/>
        </w:rPr>
        <w:t xml:space="preserve">Sherman held his </w:t>
      </w:r>
      <w:r w:rsidR="00D34C43" w:rsidRPr="00B14447">
        <w:rPr>
          <w:rFonts w:ascii="Times New Roman" w:hAnsi="Times New Roman"/>
        </w:rPr>
        <w:t xml:space="preserve">intention to launch at risk was very strong indeed. </w:t>
      </w:r>
      <w:r w:rsidR="007219AE" w:rsidRPr="00B14447">
        <w:rPr>
          <w:rFonts w:ascii="Times New Roman" w:hAnsi="Times New Roman"/>
        </w:rPr>
        <w:t>The most obvious difficulty with that submission is that Dr</w:t>
      </w:r>
      <w:r w:rsidR="002051F2" w:rsidRPr="00B14447">
        <w:rPr>
          <w:rFonts w:ascii="Times New Roman" w:hAnsi="Times New Roman"/>
        </w:rPr>
        <w:t> </w:t>
      </w:r>
      <w:r w:rsidR="007219AE" w:rsidRPr="00B14447">
        <w:rPr>
          <w:rFonts w:ascii="Times New Roman" w:hAnsi="Times New Roman"/>
        </w:rPr>
        <w:t>Sherman did not give evidence. The force of conviction with which Dr</w:t>
      </w:r>
      <w:r w:rsidR="002051F2" w:rsidRPr="00B14447">
        <w:rPr>
          <w:rFonts w:ascii="Times New Roman" w:hAnsi="Times New Roman"/>
        </w:rPr>
        <w:t> </w:t>
      </w:r>
      <w:r w:rsidR="007219AE" w:rsidRPr="00B14447">
        <w:rPr>
          <w:rFonts w:ascii="Times New Roman" w:hAnsi="Times New Roman"/>
        </w:rPr>
        <w:t xml:space="preserve">Sherman </w:t>
      </w:r>
      <w:r w:rsidR="002141C1" w:rsidRPr="00B14447">
        <w:rPr>
          <w:rFonts w:ascii="Times New Roman" w:hAnsi="Times New Roman"/>
        </w:rPr>
        <w:t xml:space="preserve">held any </w:t>
      </w:r>
      <w:r w:rsidR="00097946" w:rsidRPr="00B14447">
        <w:rPr>
          <w:rFonts w:ascii="Times New Roman" w:hAnsi="Times New Roman"/>
        </w:rPr>
        <w:t xml:space="preserve">alleged </w:t>
      </w:r>
      <w:r w:rsidR="002141C1" w:rsidRPr="00B14447">
        <w:rPr>
          <w:rFonts w:ascii="Times New Roman" w:hAnsi="Times New Roman"/>
        </w:rPr>
        <w:t xml:space="preserve">intention to launch at risk was never expressed and </w:t>
      </w:r>
      <w:r w:rsidR="00D34C43" w:rsidRPr="00B14447">
        <w:rPr>
          <w:rFonts w:ascii="Times New Roman" w:hAnsi="Times New Roman"/>
        </w:rPr>
        <w:t xml:space="preserve">it </w:t>
      </w:r>
      <w:r w:rsidR="00097946" w:rsidRPr="00B14447">
        <w:rPr>
          <w:rFonts w:ascii="Times New Roman" w:hAnsi="Times New Roman"/>
        </w:rPr>
        <w:t xml:space="preserve">was </w:t>
      </w:r>
      <w:r w:rsidR="002141C1" w:rsidRPr="00B14447">
        <w:rPr>
          <w:rFonts w:ascii="Times New Roman" w:hAnsi="Times New Roman"/>
        </w:rPr>
        <w:t xml:space="preserve">never tested. </w:t>
      </w:r>
    </w:p>
    <w:p w14:paraId="46D7912A" w14:textId="012A811B" w:rsidR="00230327" w:rsidRPr="00B14447" w:rsidRDefault="00361AAC"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A7586" w:rsidRPr="00B14447">
        <w:rPr>
          <w:rFonts w:ascii="Times New Roman" w:hAnsi="Times New Roman"/>
        </w:rPr>
        <w:t>Assuming, for the purposes of the counter</w:t>
      </w:r>
      <w:r w:rsidR="00FE41FD" w:rsidRPr="00B14447">
        <w:rPr>
          <w:rFonts w:ascii="Times New Roman" w:hAnsi="Times New Roman"/>
        </w:rPr>
        <w:t>-</w:t>
      </w:r>
      <w:r w:rsidR="00AA7586" w:rsidRPr="00B14447">
        <w:rPr>
          <w:rFonts w:ascii="Times New Roman" w:hAnsi="Times New Roman"/>
        </w:rPr>
        <w:t xml:space="preserve">factual, that the interlocutory injunction application </w:t>
      </w:r>
      <w:r w:rsidR="00FB0BBC" w:rsidRPr="00B14447">
        <w:rPr>
          <w:rFonts w:ascii="Times New Roman" w:hAnsi="Times New Roman"/>
        </w:rPr>
        <w:t>had been</w:t>
      </w:r>
      <w:r w:rsidR="00AA7586" w:rsidRPr="00B14447">
        <w:rPr>
          <w:rFonts w:ascii="Times New Roman" w:hAnsi="Times New Roman"/>
        </w:rPr>
        <w:t xml:space="preserve"> withdrawn</w:t>
      </w:r>
      <w:r w:rsidRPr="00B14447">
        <w:rPr>
          <w:rFonts w:ascii="Times New Roman" w:hAnsi="Times New Roman"/>
        </w:rPr>
        <w:t xml:space="preserve"> prior to any decision by Gyles</w:t>
      </w:r>
      <w:r w:rsidR="002051F2" w:rsidRPr="00B14447">
        <w:rPr>
          <w:rFonts w:ascii="Times New Roman" w:hAnsi="Times New Roman"/>
        </w:rPr>
        <w:t> </w:t>
      </w:r>
      <w:r w:rsidRPr="00B14447">
        <w:rPr>
          <w:rFonts w:ascii="Times New Roman" w:hAnsi="Times New Roman"/>
        </w:rPr>
        <w:t>J</w:t>
      </w:r>
      <w:r w:rsidR="0036260E" w:rsidRPr="00B14447">
        <w:rPr>
          <w:rFonts w:ascii="Times New Roman" w:hAnsi="Times New Roman"/>
        </w:rPr>
        <w:t>,</w:t>
      </w:r>
      <w:r w:rsidR="00FB0BBC" w:rsidRPr="00B14447">
        <w:rPr>
          <w:rFonts w:ascii="Times New Roman" w:hAnsi="Times New Roman"/>
        </w:rPr>
        <w:t xml:space="preserve"> numerous questions would arise</w:t>
      </w:r>
      <w:r w:rsidR="00DA4D22" w:rsidRPr="00B14447">
        <w:rPr>
          <w:rFonts w:ascii="Times New Roman" w:hAnsi="Times New Roman"/>
        </w:rPr>
        <w:t xml:space="preserve"> which could have been explored in cross</w:t>
      </w:r>
      <w:r w:rsidR="0020319B">
        <w:rPr>
          <w:rFonts w:ascii="Times New Roman" w:hAnsi="Times New Roman"/>
        </w:rPr>
        <w:noBreakHyphen/>
      </w:r>
      <w:r w:rsidR="00DA4D22" w:rsidRPr="00B14447">
        <w:rPr>
          <w:rFonts w:ascii="Times New Roman" w:hAnsi="Times New Roman"/>
        </w:rPr>
        <w:t>examination with Dr</w:t>
      </w:r>
      <w:r w:rsidR="002051F2" w:rsidRPr="00B14447">
        <w:rPr>
          <w:rFonts w:ascii="Times New Roman" w:hAnsi="Times New Roman"/>
        </w:rPr>
        <w:t> </w:t>
      </w:r>
      <w:r w:rsidR="00DA4D22" w:rsidRPr="00B14447">
        <w:rPr>
          <w:rFonts w:ascii="Times New Roman" w:hAnsi="Times New Roman"/>
        </w:rPr>
        <w:t>Sherman</w:t>
      </w:r>
      <w:r w:rsidRPr="00B14447">
        <w:rPr>
          <w:rFonts w:ascii="Times New Roman" w:hAnsi="Times New Roman"/>
        </w:rPr>
        <w:t>:</w:t>
      </w:r>
      <w:r w:rsidR="00AA7586" w:rsidRPr="00B14447">
        <w:rPr>
          <w:rFonts w:ascii="Times New Roman" w:hAnsi="Times New Roman"/>
        </w:rPr>
        <w:t xml:space="preserve"> </w:t>
      </w:r>
      <w:r w:rsidR="009F386E" w:rsidRPr="00B14447">
        <w:rPr>
          <w:rFonts w:ascii="Times New Roman" w:hAnsi="Times New Roman"/>
        </w:rPr>
        <w:t>Would Dr</w:t>
      </w:r>
      <w:r w:rsidR="0036260E" w:rsidRPr="00B14447">
        <w:rPr>
          <w:rFonts w:ascii="Times New Roman" w:hAnsi="Times New Roman"/>
        </w:rPr>
        <w:t> </w:t>
      </w:r>
      <w:r w:rsidR="009F386E" w:rsidRPr="00B14447">
        <w:rPr>
          <w:rFonts w:ascii="Times New Roman" w:hAnsi="Times New Roman"/>
        </w:rPr>
        <w:t>Sherman have wished to see a risk/reward analysis before finally committing to launch</w:t>
      </w:r>
      <w:r w:rsidR="006D185B" w:rsidRPr="00B14447">
        <w:rPr>
          <w:rFonts w:ascii="Times New Roman" w:hAnsi="Times New Roman"/>
        </w:rPr>
        <w:t xml:space="preserve"> at risk</w:t>
      </w:r>
      <w:r w:rsidR="009F386E" w:rsidRPr="00B14447">
        <w:rPr>
          <w:rFonts w:ascii="Times New Roman" w:hAnsi="Times New Roman"/>
        </w:rPr>
        <w:t xml:space="preserve">? </w:t>
      </w:r>
      <w:r w:rsidR="006D185B" w:rsidRPr="00B14447">
        <w:rPr>
          <w:rFonts w:ascii="Times New Roman" w:hAnsi="Times New Roman"/>
        </w:rPr>
        <w:t xml:space="preserve">Had </w:t>
      </w:r>
      <w:r w:rsidR="00E14803" w:rsidRPr="00B14447">
        <w:rPr>
          <w:rFonts w:ascii="Times New Roman" w:hAnsi="Times New Roman"/>
        </w:rPr>
        <w:t>Dr</w:t>
      </w:r>
      <w:r w:rsidR="002051F2" w:rsidRPr="00B14447">
        <w:rPr>
          <w:rFonts w:ascii="Times New Roman" w:hAnsi="Times New Roman"/>
        </w:rPr>
        <w:t> </w:t>
      </w:r>
      <w:r w:rsidR="00E14803" w:rsidRPr="00B14447">
        <w:rPr>
          <w:rFonts w:ascii="Times New Roman" w:hAnsi="Times New Roman"/>
        </w:rPr>
        <w:t>Sherman</w:t>
      </w:r>
      <w:r w:rsidR="006D185B" w:rsidRPr="00B14447">
        <w:rPr>
          <w:rFonts w:ascii="Times New Roman" w:hAnsi="Times New Roman"/>
        </w:rPr>
        <w:t xml:space="preserve"> required such analyses before previous launches at risk? </w:t>
      </w:r>
      <w:r w:rsidR="002428EE" w:rsidRPr="00B14447">
        <w:rPr>
          <w:rFonts w:ascii="Times New Roman" w:hAnsi="Times New Roman"/>
        </w:rPr>
        <w:t>Would Dr</w:t>
      </w:r>
      <w:r w:rsidR="002051F2" w:rsidRPr="00B14447">
        <w:rPr>
          <w:rFonts w:ascii="Times New Roman" w:hAnsi="Times New Roman"/>
        </w:rPr>
        <w:t> </w:t>
      </w:r>
      <w:r w:rsidR="002428EE" w:rsidRPr="00B14447">
        <w:rPr>
          <w:rFonts w:ascii="Times New Roman" w:hAnsi="Times New Roman"/>
        </w:rPr>
        <w:t xml:space="preserve">Sherman have </w:t>
      </w:r>
      <w:r w:rsidR="002428EE" w:rsidRPr="00B14447">
        <w:rPr>
          <w:rFonts w:ascii="Times New Roman" w:hAnsi="Times New Roman"/>
        </w:rPr>
        <w:lastRenderedPageBreak/>
        <w:t>considered it significant that the earliest date for PBS listing was only four weeks before the final hearing</w:t>
      </w:r>
      <w:r w:rsidR="00DA336A" w:rsidRPr="00B14447">
        <w:rPr>
          <w:rFonts w:ascii="Times New Roman" w:hAnsi="Times New Roman"/>
        </w:rPr>
        <w:t xml:space="preserve"> and at most </w:t>
      </w:r>
      <w:r w:rsidR="00DC330A" w:rsidRPr="00B14447">
        <w:rPr>
          <w:rFonts w:ascii="Times New Roman" w:hAnsi="Times New Roman"/>
        </w:rPr>
        <w:t>a little over four months before judgment</w:t>
      </w:r>
      <w:r w:rsidR="002428EE" w:rsidRPr="00B14447">
        <w:rPr>
          <w:rFonts w:ascii="Times New Roman" w:hAnsi="Times New Roman"/>
        </w:rPr>
        <w:t xml:space="preserve">? </w:t>
      </w:r>
      <w:r w:rsidR="008F6BEB" w:rsidRPr="00B14447">
        <w:rPr>
          <w:rFonts w:ascii="Times New Roman" w:hAnsi="Times New Roman"/>
        </w:rPr>
        <w:t>In a counter</w:t>
      </w:r>
      <w:r w:rsidR="003E4039" w:rsidRPr="00B14447">
        <w:rPr>
          <w:rFonts w:ascii="Times New Roman" w:hAnsi="Times New Roman"/>
        </w:rPr>
        <w:t>-</w:t>
      </w:r>
      <w:r w:rsidR="008F6BEB" w:rsidRPr="00B14447">
        <w:rPr>
          <w:rFonts w:ascii="Times New Roman" w:hAnsi="Times New Roman"/>
        </w:rPr>
        <w:t>factual analysis, h</w:t>
      </w:r>
      <w:r w:rsidR="00230327" w:rsidRPr="00B14447">
        <w:rPr>
          <w:rFonts w:ascii="Times New Roman" w:hAnsi="Times New Roman"/>
        </w:rPr>
        <w:t>ow would Dr Sherman have reacted to the risk/reward analyses that were done in 2008 and 2009, if he had been provided copies of them</w:t>
      </w:r>
      <w:r w:rsidR="008F6BEB" w:rsidRPr="00B14447">
        <w:rPr>
          <w:rFonts w:ascii="Times New Roman" w:hAnsi="Times New Roman"/>
        </w:rPr>
        <w:t xml:space="preserve"> in September 2007 </w:t>
      </w:r>
      <w:r w:rsidR="00823121" w:rsidRPr="00B14447">
        <w:rPr>
          <w:rFonts w:ascii="Times New Roman" w:hAnsi="Times New Roman"/>
        </w:rPr>
        <w:t xml:space="preserve">after the (hypothetical) refusal of the interlocutory injunction? </w:t>
      </w:r>
      <w:r w:rsidR="00B46EC0" w:rsidRPr="00B14447">
        <w:rPr>
          <w:rFonts w:ascii="Times New Roman" w:hAnsi="Times New Roman"/>
        </w:rPr>
        <w:t>How would Dr</w:t>
      </w:r>
      <w:r w:rsidR="0026614A" w:rsidRPr="00B14447">
        <w:rPr>
          <w:rFonts w:ascii="Times New Roman" w:hAnsi="Times New Roman"/>
        </w:rPr>
        <w:t> </w:t>
      </w:r>
      <w:r w:rsidR="00B46EC0" w:rsidRPr="00B14447">
        <w:rPr>
          <w:rFonts w:ascii="Times New Roman" w:hAnsi="Times New Roman"/>
        </w:rPr>
        <w:t xml:space="preserve">Sherman have explained his </w:t>
      </w:r>
      <w:r w:rsidR="00DE304A" w:rsidRPr="00B14447">
        <w:rPr>
          <w:rFonts w:ascii="Times New Roman" w:hAnsi="Times New Roman"/>
        </w:rPr>
        <w:t>decision on 14</w:t>
      </w:r>
      <w:r w:rsidR="0026614A" w:rsidRPr="00B14447">
        <w:rPr>
          <w:rFonts w:ascii="Times New Roman" w:hAnsi="Times New Roman"/>
        </w:rPr>
        <w:t> </w:t>
      </w:r>
      <w:r w:rsidR="00DE304A" w:rsidRPr="00B14447">
        <w:rPr>
          <w:rFonts w:ascii="Times New Roman" w:hAnsi="Times New Roman"/>
        </w:rPr>
        <w:t>August 2008</w:t>
      </w:r>
      <w:r w:rsidR="00A475E5" w:rsidRPr="00B14447">
        <w:rPr>
          <w:rFonts w:ascii="Times New Roman" w:hAnsi="Times New Roman"/>
        </w:rPr>
        <w:t xml:space="preserve">, after </w:t>
      </w:r>
      <w:r w:rsidR="00027573" w:rsidRPr="00B14447">
        <w:rPr>
          <w:rFonts w:ascii="Times New Roman" w:hAnsi="Times New Roman"/>
        </w:rPr>
        <w:t>the July 2008 analysis</w:t>
      </w:r>
      <w:r w:rsidR="00A475E5" w:rsidRPr="00B14447">
        <w:rPr>
          <w:rFonts w:ascii="Times New Roman" w:hAnsi="Times New Roman"/>
        </w:rPr>
        <w:t xml:space="preserve"> had been done,</w:t>
      </w:r>
      <w:r w:rsidR="00DE304A" w:rsidRPr="00B14447">
        <w:rPr>
          <w:rFonts w:ascii="Times New Roman" w:hAnsi="Times New Roman"/>
        </w:rPr>
        <w:t xml:space="preserve"> not to </w:t>
      </w:r>
      <w:r w:rsidR="00FA1302" w:rsidRPr="00B14447">
        <w:rPr>
          <w:rFonts w:ascii="Times New Roman" w:hAnsi="Times New Roman"/>
        </w:rPr>
        <w:t>take the risk of seeking</w:t>
      </w:r>
      <w:r w:rsidR="000D053E" w:rsidRPr="00B14447">
        <w:rPr>
          <w:rFonts w:ascii="Times New Roman" w:hAnsi="Times New Roman"/>
        </w:rPr>
        <w:t>, from the Full Court,</w:t>
      </w:r>
      <w:r w:rsidR="00FA1302" w:rsidRPr="00B14447">
        <w:rPr>
          <w:rFonts w:ascii="Times New Roman" w:hAnsi="Times New Roman"/>
        </w:rPr>
        <w:t xml:space="preserve"> a </w:t>
      </w:r>
      <w:r w:rsidR="00A475E5" w:rsidRPr="00B14447">
        <w:rPr>
          <w:rFonts w:ascii="Times New Roman" w:hAnsi="Times New Roman"/>
        </w:rPr>
        <w:t>stay</w:t>
      </w:r>
      <w:r w:rsidR="00381364" w:rsidRPr="00B14447">
        <w:rPr>
          <w:rFonts w:ascii="Times New Roman" w:hAnsi="Times New Roman"/>
        </w:rPr>
        <w:t xml:space="preserve"> </w:t>
      </w:r>
      <w:r w:rsidR="005841E6" w:rsidRPr="00B14447">
        <w:rPr>
          <w:rFonts w:ascii="Times New Roman" w:hAnsi="Times New Roman"/>
        </w:rPr>
        <w:t>of execution of the final injunction</w:t>
      </w:r>
      <w:r w:rsidR="00474540" w:rsidRPr="00B14447">
        <w:rPr>
          <w:rFonts w:ascii="Times New Roman" w:hAnsi="Times New Roman"/>
        </w:rPr>
        <w:t xml:space="preserve"> </w:t>
      </w:r>
      <w:r w:rsidR="00381364" w:rsidRPr="00B14447">
        <w:rPr>
          <w:rFonts w:ascii="Times New Roman" w:hAnsi="Times New Roman"/>
        </w:rPr>
        <w:t>pending appeal</w:t>
      </w:r>
      <w:r w:rsidR="00474540" w:rsidRPr="00B14447">
        <w:rPr>
          <w:rFonts w:ascii="Times New Roman" w:hAnsi="Times New Roman"/>
        </w:rPr>
        <w:t>,</w:t>
      </w:r>
      <w:r w:rsidR="00A475E5" w:rsidRPr="00B14447">
        <w:rPr>
          <w:rFonts w:ascii="Times New Roman" w:hAnsi="Times New Roman"/>
        </w:rPr>
        <w:t xml:space="preserve"> so that </w:t>
      </w:r>
      <w:r w:rsidR="00381364" w:rsidRPr="00B14447">
        <w:rPr>
          <w:rFonts w:ascii="Times New Roman" w:hAnsi="Times New Roman"/>
        </w:rPr>
        <w:t>PBS listing could be sought</w:t>
      </w:r>
      <w:r w:rsidR="00973C96" w:rsidRPr="00B14447">
        <w:rPr>
          <w:rFonts w:ascii="Times New Roman" w:hAnsi="Times New Roman"/>
        </w:rPr>
        <w:t>,</w:t>
      </w:r>
      <w:r w:rsidR="00381364" w:rsidRPr="00B14447">
        <w:rPr>
          <w:rFonts w:ascii="Times New Roman" w:hAnsi="Times New Roman"/>
        </w:rPr>
        <w:t xml:space="preserve"> but instead to seek</w:t>
      </w:r>
      <w:r w:rsidR="00F679E0" w:rsidRPr="00B14447">
        <w:rPr>
          <w:rFonts w:ascii="Times New Roman" w:hAnsi="Times New Roman"/>
        </w:rPr>
        <w:t xml:space="preserve"> </w:t>
      </w:r>
      <w:r w:rsidR="00DA0827" w:rsidRPr="00B14447">
        <w:rPr>
          <w:rFonts w:ascii="Times New Roman" w:hAnsi="Times New Roman"/>
        </w:rPr>
        <w:t>"orders ...</w:t>
      </w:r>
      <w:r w:rsidR="00381364" w:rsidRPr="00B14447">
        <w:rPr>
          <w:rFonts w:ascii="Times New Roman" w:hAnsi="Times New Roman"/>
        </w:rPr>
        <w:t xml:space="preserve"> </w:t>
      </w:r>
      <w:r w:rsidR="00DA0827" w:rsidRPr="00B14447">
        <w:rPr>
          <w:rFonts w:ascii="Times New Roman" w:hAnsi="Times New Roman"/>
        </w:rPr>
        <w:t xml:space="preserve">preserving Apotex's position viz </w:t>
      </w:r>
      <w:r w:rsidR="00381364" w:rsidRPr="00B14447">
        <w:rPr>
          <w:rFonts w:ascii="Times New Roman" w:hAnsi="Times New Roman"/>
        </w:rPr>
        <w:t>compensation</w:t>
      </w:r>
      <w:r w:rsidR="00DA0827" w:rsidRPr="00B14447">
        <w:rPr>
          <w:rFonts w:ascii="Times New Roman" w:hAnsi="Times New Roman"/>
        </w:rPr>
        <w:t xml:space="preserve"> from Sanofi pending appeal"</w:t>
      </w:r>
      <w:r w:rsidR="00381364" w:rsidRPr="00B14447">
        <w:rPr>
          <w:rFonts w:ascii="Times New Roman" w:hAnsi="Times New Roman"/>
        </w:rPr>
        <w:t xml:space="preserve">? </w:t>
      </w:r>
    </w:p>
    <w:p w14:paraId="0CFF54AB" w14:textId="056075BB" w:rsidR="00B1288C" w:rsidRPr="00B14447" w:rsidRDefault="00230327"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2141C1" w:rsidRPr="00B14447">
        <w:rPr>
          <w:rFonts w:ascii="Times New Roman" w:hAnsi="Times New Roman"/>
        </w:rPr>
        <w:t>Th</w:t>
      </w:r>
      <w:r w:rsidR="002428EE" w:rsidRPr="00B14447">
        <w:rPr>
          <w:rFonts w:ascii="Times New Roman" w:hAnsi="Times New Roman"/>
        </w:rPr>
        <w:t>ese questions are</w:t>
      </w:r>
      <w:r w:rsidR="002141C1" w:rsidRPr="00B14447">
        <w:rPr>
          <w:rFonts w:ascii="Times New Roman" w:hAnsi="Times New Roman"/>
        </w:rPr>
        <w:t xml:space="preserve"> textbook </w:t>
      </w:r>
      <w:r w:rsidR="00FC7F00" w:rsidRPr="00B14447">
        <w:rPr>
          <w:rFonts w:ascii="Times New Roman" w:hAnsi="Times New Roman"/>
        </w:rPr>
        <w:t xml:space="preserve">examples of </w:t>
      </w:r>
      <w:r w:rsidR="00605B7B" w:rsidRPr="00B14447">
        <w:rPr>
          <w:rFonts w:ascii="Times New Roman" w:hAnsi="Times New Roman"/>
        </w:rPr>
        <w:t>evidentiary gaps</w:t>
      </w:r>
      <w:r w:rsidR="00552F3B" w:rsidRPr="00B14447">
        <w:rPr>
          <w:rFonts w:ascii="Times New Roman" w:hAnsi="Times New Roman"/>
        </w:rPr>
        <w:t xml:space="preserve"> where the application of </w:t>
      </w:r>
      <w:r w:rsidR="00552F3B" w:rsidRPr="00B14447">
        <w:rPr>
          <w:rFonts w:ascii="Times New Roman" w:hAnsi="Times New Roman"/>
          <w:i/>
        </w:rPr>
        <w:t xml:space="preserve">Jones v Dunkel </w:t>
      </w:r>
      <w:r w:rsidR="00552F3B" w:rsidRPr="00B14447">
        <w:rPr>
          <w:rFonts w:ascii="Times New Roman" w:hAnsi="Times New Roman"/>
        </w:rPr>
        <w:t>is appropriate</w:t>
      </w:r>
      <w:r w:rsidR="00C97D49" w:rsidRPr="00B14447">
        <w:rPr>
          <w:rFonts w:ascii="Times New Roman" w:hAnsi="Times New Roman"/>
        </w:rPr>
        <w:t xml:space="preserve">. As </w:t>
      </w:r>
      <w:r w:rsidR="00FC7AA7" w:rsidRPr="00B14447">
        <w:rPr>
          <w:rFonts w:ascii="Times New Roman" w:hAnsi="Times New Roman"/>
        </w:rPr>
        <w:t>the Full Court correctly observed, in a fin</w:t>
      </w:r>
      <w:r w:rsidR="00D938CD" w:rsidRPr="00B14447">
        <w:rPr>
          <w:rFonts w:ascii="Times New Roman" w:hAnsi="Times New Roman"/>
        </w:rPr>
        <w:t xml:space="preserve">ding which was not challenged by any ground of appeal, </w:t>
      </w:r>
      <w:r w:rsidR="00C97D49" w:rsidRPr="00B14447">
        <w:rPr>
          <w:rFonts w:ascii="Times New Roman" w:hAnsi="Times New Roman"/>
        </w:rPr>
        <w:t>"Dr</w:t>
      </w:r>
      <w:r w:rsidR="002051F2" w:rsidRPr="00B14447">
        <w:rPr>
          <w:rFonts w:ascii="Times New Roman" w:hAnsi="Times New Roman"/>
        </w:rPr>
        <w:t> </w:t>
      </w:r>
      <w:r w:rsidR="00C97D49" w:rsidRPr="00B14447">
        <w:rPr>
          <w:rFonts w:ascii="Times New Roman" w:hAnsi="Times New Roman"/>
        </w:rPr>
        <w:t xml:space="preserve">Sherman's evidence would have undoubtedly </w:t>
      </w:r>
      <w:r w:rsidR="004954A0" w:rsidRPr="00B14447">
        <w:rPr>
          <w:rFonts w:ascii="Times New Roman" w:hAnsi="Times New Roman"/>
        </w:rPr>
        <w:t>elucidated the central issue in this case: what would Dr</w:t>
      </w:r>
      <w:r w:rsidR="002051F2" w:rsidRPr="00B14447">
        <w:rPr>
          <w:rFonts w:ascii="Times New Roman" w:hAnsi="Times New Roman"/>
        </w:rPr>
        <w:t> </w:t>
      </w:r>
      <w:r w:rsidR="004954A0" w:rsidRPr="00B14447">
        <w:rPr>
          <w:rFonts w:ascii="Times New Roman" w:hAnsi="Times New Roman"/>
        </w:rPr>
        <w:t>Sherman have done if the injunction had been refused?"</w:t>
      </w:r>
      <w:r w:rsidR="004954A0" w:rsidRPr="00B14447">
        <w:rPr>
          <w:rStyle w:val="FootnoteReference"/>
          <w:rFonts w:ascii="Times New Roman" w:hAnsi="Times New Roman"/>
          <w:sz w:val="24"/>
        </w:rPr>
        <w:footnoteReference w:id="135"/>
      </w:r>
      <w:r w:rsidR="00EE51D5" w:rsidRPr="00B14447">
        <w:rPr>
          <w:rFonts w:ascii="Times New Roman" w:hAnsi="Times New Roman"/>
        </w:rPr>
        <w:t xml:space="preserve"> </w:t>
      </w:r>
    </w:p>
    <w:p w14:paraId="00F16326" w14:textId="31151DB4" w:rsidR="00522DE2" w:rsidRPr="00B14447" w:rsidRDefault="00B1288C"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oral submissions, the Commonwealth focused heavily on a further </w:t>
      </w:r>
      <w:r w:rsidR="00AD24DD" w:rsidRPr="00B14447">
        <w:rPr>
          <w:rFonts w:ascii="Times New Roman" w:hAnsi="Times New Roman"/>
        </w:rPr>
        <w:t>imponderable that was not able to be explored in cross-examination with Dr</w:t>
      </w:r>
      <w:r w:rsidR="00750359" w:rsidRPr="00B14447">
        <w:rPr>
          <w:rFonts w:ascii="Times New Roman" w:hAnsi="Times New Roman"/>
        </w:rPr>
        <w:t> </w:t>
      </w:r>
      <w:r w:rsidR="00AD24DD" w:rsidRPr="00B14447">
        <w:rPr>
          <w:rFonts w:ascii="Times New Roman" w:hAnsi="Times New Roman"/>
        </w:rPr>
        <w:t>Sherman because Dr</w:t>
      </w:r>
      <w:r w:rsidR="00750359" w:rsidRPr="00B14447">
        <w:rPr>
          <w:rFonts w:ascii="Times New Roman" w:hAnsi="Times New Roman"/>
        </w:rPr>
        <w:t> </w:t>
      </w:r>
      <w:r w:rsidR="00AD24DD" w:rsidRPr="00B14447">
        <w:rPr>
          <w:rFonts w:ascii="Times New Roman" w:hAnsi="Times New Roman"/>
        </w:rPr>
        <w:t>Sherman was not called.</w:t>
      </w:r>
      <w:r w:rsidR="00C8626B" w:rsidRPr="00B14447">
        <w:rPr>
          <w:rFonts w:ascii="Times New Roman" w:hAnsi="Times New Roman"/>
        </w:rPr>
        <w:t xml:space="preserve"> The Commonwealth asserted that </w:t>
      </w:r>
      <w:r w:rsidR="004A2B2C" w:rsidRPr="00B14447">
        <w:rPr>
          <w:rFonts w:ascii="Times New Roman" w:hAnsi="Times New Roman"/>
        </w:rPr>
        <w:t xml:space="preserve">there would be serious consequences if Apotex resiled from the statement made by its senior counsel to </w:t>
      </w:r>
      <w:r w:rsidR="00100CB8" w:rsidRPr="00B14447">
        <w:rPr>
          <w:rFonts w:ascii="Times New Roman" w:hAnsi="Times New Roman"/>
        </w:rPr>
        <w:t xml:space="preserve">the </w:t>
      </w:r>
      <w:r w:rsidR="004A2B2C" w:rsidRPr="00B14447">
        <w:rPr>
          <w:rFonts w:ascii="Times New Roman" w:hAnsi="Times New Roman"/>
        </w:rPr>
        <w:t xml:space="preserve">Court at the interlocutory injunction hearing </w:t>
      </w:r>
      <w:r w:rsidR="00881530" w:rsidRPr="00B14447">
        <w:rPr>
          <w:rFonts w:ascii="Times New Roman" w:hAnsi="Times New Roman"/>
        </w:rPr>
        <w:t>to the effect that Apotex intended to launch at risk</w:t>
      </w:r>
      <w:r w:rsidR="00994797" w:rsidRPr="00B14447">
        <w:rPr>
          <w:rFonts w:ascii="Times New Roman" w:hAnsi="Times New Roman"/>
        </w:rPr>
        <w:t xml:space="preserve"> if the injunction was not made</w:t>
      </w:r>
      <w:r w:rsidR="00881530" w:rsidRPr="00B14447">
        <w:rPr>
          <w:rFonts w:ascii="Times New Roman" w:hAnsi="Times New Roman"/>
        </w:rPr>
        <w:t xml:space="preserve">. The issue of the instructions upon which senior counsel made that statement are addressed later in these reasons. But </w:t>
      </w:r>
      <w:r w:rsidR="00CC7414" w:rsidRPr="00B14447">
        <w:rPr>
          <w:rFonts w:ascii="Times New Roman" w:hAnsi="Times New Roman"/>
        </w:rPr>
        <w:t xml:space="preserve">for present purposes, the submission raises the </w:t>
      </w:r>
      <w:r w:rsidR="00AD24DD" w:rsidRPr="00B14447">
        <w:rPr>
          <w:rFonts w:ascii="Times New Roman" w:hAnsi="Times New Roman"/>
        </w:rPr>
        <w:t>further imponderable</w:t>
      </w:r>
      <w:r w:rsidR="00E70019" w:rsidRPr="00B14447">
        <w:rPr>
          <w:rFonts w:ascii="Times New Roman" w:hAnsi="Times New Roman"/>
        </w:rPr>
        <w:t>s</w:t>
      </w:r>
      <w:r w:rsidR="00AD24DD" w:rsidRPr="00B14447">
        <w:rPr>
          <w:rFonts w:ascii="Times New Roman" w:hAnsi="Times New Roman"/>
        </w:rPr>
        <w:t xml:space="preserve">: </w:t>
      </w:r>
      <w:r w:rsidR="00D0550B" w:rsidRPr="00B14447">
        <w:rPr>
          <w:rFonts w:ascii="Times New Roman" w:hAnsi="Times New Roman"/>
        </w:rPr>
        <w:t>W</w:t>
      </w:r>
      <w:r w:rsidR="00AD24DD" w:rsidRPr="00B14447">
        <w:rPr>
          <w:rFonts w:ascii="Times New Roman" w:hAnsi="Times New Roman"/>
        </w:rPr>
        <w:t>ould Dr</w:t>
      </w:r>
      <w:r w:rsidR="00750359" w:rsidRPr="00B14447">
        <w:rPr>
          <w:rFonts w:ascii="Times New Roman" w:hAnsi="Times New Roman"/>
        </w:rPr>
        <w:t> </w:t>
      </w:r>
      <w:r w:rsidR="00AD24DD" w:rsidRPr="00B14447">
        <w:rPr>
          <w:rFonts w:ascii="Times New Roman" w:hAnsi="Times New Roman"/>
        </w:rPr>
        <w:t>Sherman have been deterred from deciding not to launch by the fact that senior counsel for Apotex had told the court on 18</w:t>
      </w:r>
      <w:r w:rsidR="00750359" w:rsidRPr="00B14447">
        <w:rPr>
          <w:rFonts w:ascii="Times New Roman" w:hAnsi="Times New Roman"/>
        </w:rPr>
        <w:t> </w:t>
      </w:r>
      <w:r w:rsidR="00AD24DD" w:rsidRPr="00B14447">
        <w:rPr>
          <w:rFonts w:ascii="Times New Roman" w:hAnsi="Times New Roman"/>
        </w:rPr>
        <w:t xml:space="preserve">September 2007 that Apotex intended to launch? </w:t>
      </w:r>
      <w:r w:rsidR="00434139" w:rsidRPr="00B14447">
        <w:rPr>
          <w:rFonts w:ascii="Times New Roman" w:hAnsi="Times New Roman"/>
        </w:rPr>
        <w:t xml:space="preserve">Even if it could be </w:t>
      </w:r>
      <w:r w:rsidR="00323773" w:rsidRPr="00B14447">
        <w:rPr>
          <w:rFonts w:ascii="Times New Roman" w:hAnsi="Times New Roman"/>
        </w:rPr>
        <w:t>assumed that Dr</w:t>
      </w:r>
      <w:r w:rsidR="00994797" w:rsidRPr="00B14447">
        <w:rPr>
          <w:rFonts w:ascii="Times New Roman" w:hAnsi="Times New Roman"/>
        </w:rPr>
        <w:t> </w:t>
      </w:r>
      <w:r w:rsidR="00323773" w:rsidRPr="00B14447">
        <w:rPr>
          <w:rFonts w:ascii="Times New Roman" w:hAnsi="Times New Roman"/>
        </w:rPr>
        <w:t>Sherman was aware that such a statement might be made (which it cannot be) what was Dr</w:t>
      </w:r>
      <w:r w:rsidR="00E70019" w:rsidRPr="00B14447">
        <w:rPr>
          <w:rFonts w:ascii="Times New Roman" w:hAnsi="Times New Roman"/>
        </w:rPr>
        <w:t> </w:t>
      </w:r>
      <w:r w:rsidR="00323773" w:rsidRPr="00B14447">
        <w:rPr>
          <w:rFonts w:ascii="Times New Roman" w:hAnsi="Times New Roman"/>
        </w:rPr>
        <w:t xml:space="preserve">Sherman's approach </w:t>
      </w:r>
      <w:r w:rsidR="0019277E" w:rsidRPr="00B14447">
        <w:rPr>
          <w:rFonts w:ascii="Times New Roman" w:hAnsi="Times New Roman"/>
        </w:rPr>
        <w:t xml:space="preserve">to resiling from statements about intention made to the </w:t>
      </w:r>
      <w:r w:rsidR="00E70019" w:rsidRPr="00B14447">
        <w:rPr>
          <w:rFonts w:ascii="Times New Roman" w:hAnsi="Times New Roman"/>
        </w:rPr>
        <w:t>C</w:t>
      </w:r>
      <w:r w:rsidR="0019277E" w:rsidRPr="00B14447">
        <w:rPr>
          <w:rFonts w:ascii="Times New Roman" w:hAnsi="Times New Roman"/>
        </w:rPr>
        <w:t xml:space="preserve">ourt? What was he advised? How had he acted in the past? He </w:t>
      </w:r>
      <w:r w:rsidR="0010743E" w:rsidRPr="00B14447">
        <w:rPr>
          <w:rFonts w:ascii="Times New Roman" w:hAnsi="Times New Roman"/>
        </w:rPr>
        <w:t xml:space="preserve">was not called to give evidence and could not be asked. </w:t>
      </w:r>
    </w:p>
    <w:p w14:paraId="1A47AFA0" w14:textId="1A9C7A02" w:rsidR="00F57667" w:rsidRPr="00B14447" w:rsidRDefault="00522DE2"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E62AC" w:rsidRPr="00B14447">
        <w:rPr>
          <w:rFonts w:ascii="Times New Roman" w:hAnsi="Times New Roman"/>
          <w:b/>
          <w:bCs/>
        </w:rPr>
        <w:t>Secondly</w:t>
      </w:r>
      <w:r w:rsidR="00BE62AC" w:rsidRPr="00B14447">
        <w:rPr>
          <w:rFonts w:ascii="Times New Roman" w:hAnsi="Times New Roman"/>
        </w:rPr>
        <w:t xml:space="preserve">, </w:t>
      </w:r>
      <w:r w:rsidR="00860CDF" w:rsidRPr="00B14447">
        <w:rPr>
          <w:rFonts w:ascii="Times New Roman" w:hAnsi="Times New Roman"/>
        </w:rPr>
        <w:t>to the extent that Dr</w:t>
      </w:r>
      <w:r w:rsidR="00CE54C8" w:rsidRPr="00B14447">
        <w:rPr>
          <w:rFonts w:ascii="Times New Roman" w:hAnsi="Times New Roman"/>
        </w:rPr>
        <w:t> </w:t>
      </w:r>
      <w:r w:rsidR="00860CDF" w:rsidRPr="00B14447">
        <w:rPr>
          <w:rFonts w:ascii="Times New Roman" w:hAnsi="Times New Roman"/>
        </w:rPr>
        <w:t xml:space="preserve">Sherman held an intention in early September 2007 to launch at risk, </w:t>
      </w:r>
      <w:r w:rsidR="00BE62AC" w:rsidRPr="00B14447">
        <w:rPr>
          <w:rFonts w:ascii="Times New Roman" w:hAnsi="Times New Roman"/>
        </w:rPr>
        <w:t>t</w:t>
      </w:r>
      <w:r w:rsidR="003424B7" w:rsidRPr="00B14447">
        <w:rPr>
          <w:rFonts w:ascii="Times New Roman" w:hAnsi="Times New Roman"/>
        </w:rPr>
        <w:t xml:space="preserve">he concurrent findings of the </w:t>
      </w:r>
      <w:r w:rsidR="00593D09" w:rsidRPr="00B14447">
        <w:rPr>
          <w:rFonts w:ascii="Times New Roman" w:hAnsi="Times New Roman"/>
        </w:rPr>
        <w:t xml:space="preserve">primary </w:t>
      </w:r>
      <w:r w:rsidR="003424B7" w:rsidRPr="00B14447">
        <w:rPr>
          <w:rFonts w:ascii="Times New Roman" w:hAnsi="Times New Roman"/>
        </w:rPr>
        <w:t xml:space="preserve">judge and </w:t>
      </w:r>
      <w:r w:rsidR="009A5656" w:rsidRPr="00B14447">
        <w:rPr>
          <w:rFonts w:ascii="Times New Roman" w:hAnsi="Times New Roman"/>
        </w:rPr>
        <w:t xml:space="preserve">the </w:t>
      </w:r>
      <w:r w:rsidR="003424B7" w:rsidRPr="00B14447">
        <w:rPr>
          <w:rFonts w:ascii="Times New Roman" w:hAnsi="Times New Roman"/>
        </w:rPr>
        <w:t>Full Court were that t</w:t>
      </w:r>
      <w:r w:rsidR="00D758C7" w:rsidRPr="00B14447">
        <w:rPr>
          <w:rFonts w:ascii="Times New Roman" w:hAnsi="Times New Roman"/>
        </w:rPr>
        <w:t>he two unexpected events in September 2007</w:t>
      </w:r>
      <w:r w:rsidR="001908D9" w:rsidRPr="00B14447">
        <w:rPr>
          <w:rFonts w:ascii="Times New Roman" w:hAnsi="Times New Roman"/>
        </w:rPr>
        <w:t>, operating in combination,</w:t>
      </w:r>
      <w:r w:rsidR="00D758C7" w:rsidRPr="00B14447">
        <w:rPr>
          <w:rFonts w:ascii="Times New Roman" w:hAnsi="Times New Roman"/>
        </w:rPr>
        <w:t xml:space="preserve"> had </w:t>
      </w:r>
      <w:r w:rsidR="009A5656" w:rsidRPr="00B14447">
        <w:rPr>
          <w:rFonts w:ascii="Times New Roman" w:hAnsi="Times New Roman"/>
        </w:rPr>
        <w:t xml:space="preserve">the </w:t>
      </w:r>
      <w:r w:rsidR="00D758C7" w:rsidRPr="00B14447">
        <w:rPr>
          <w:rFonts w:ascii="Times New Roman" w:hAnsi="Times New Roman"/>
        </w:rPr>
        <w:t xml:space="preserve">potential to change </w:t>
      </w:r>
      <w:r w:rsidR="003424B7" w:rsidRPr="00B14447">
        <w:rPr>
          <w:rFonts w:ascii="Times New Roman" w:hAnsi="Times New Roman"/>
        </w:rPr>
        <w:t>Dr</w:t>
      </w:r>
      <w:r w:rsidR="00CE54C8" w:rsidRPr="00B14447">
        <w:rPr>
          <w:rFonts w:ascii="Times New Roman" w:hAnsi="Times New Roman"/>
        </w:rPr>
        <w:t> </w:t>
      </w:r>
      <w:r w:rsidR="003424B7" w:rsidRPr="00B14447">
        <w:rPr>
          <w:rFonts w:ascii="Times New Roman" w:hAnsi="Times New Roman"/>
        </w:rPr>
        <w:t>Sherman's</w:t>
      </w:r>
      <w:r w:rsidR="00D758C7" w:rsidRPr="00B14447">
        <w:rPr>
          <w:rFonts w:ascii="Times New Roman" w:hAnsi="Times New Roman"/>
        </w:rPr>
        <w:t xml:space="preserve"> mind</w:t>
      </w:r>
      <w:r w:rsidR="00F05385" w:rsidRPr="00B14447">
        <w:rPr>
          <w:rFonts w:ascii="Times New Roman" w:hAnsi="Times New Roman"/>
        </w:rPr>
        <w:t xml:space="preserve"> </w:t>
      </w:r>
      <w:r w:rsidR="00DD3B0C" w:rsidRPr="00B14447">
        <w:rPr>
          <w:rFonts w:ascii="Times New Roman" w:hAnsi="Times New Roman"/>
        </w:rPr>
        <w:t xml:space="preserve">about launching at risk in Australia because they meant that </w:t>
      </w:r>
      <w:r w:rsidR="001E189E" w:rsidRPr="00B14447">
        <w:rPr>
          <w:rFonts w:ascii="Times New Roman" w:hAnsi="Times New Roman"/>
        </w:rPr>
        <w:t>the launch at risk would occur</w:t>
      </w:r>
      <w:r w:rsidR="00E5160E" w:rsidRPr="00B14447">
        <w:rPr>
          <w:rFonts w:ascii="Times New Roman" w:hAnsi="Times New Roman"/>
        </w:rPr>
        <w:t>, at the earliest,</w:t>
      </w:r>
      <w:r w:rsidR="001E189E" w:rsidRPr="00B14447">
        <w:rPr>
          <w:rFonts w:ascii="Times New Roman" w:hAnsi="Times New Roman"/>
        </w:rPr>
        <w:t xml:space="preserve"> only four weeks before the trial concerning the validity of Sanofi's patent</w:t>
      </w:r>
      <w:r w:rsidR="00197AE8" w:rsidRPr="00B14447">
        <w:rPr>
          <w:rFonts w:ascii="Times New Roman" w:hAnsi="Times New Roman"/>
        </w:rPr>
        <w:t xml:space="preserve"> and in circumstances where a judgment from that trial would be delivered </w:t>
      </w:r>
      <w:r w:rsidR="000B126E" w:rsidRPr="00B14447">
        <w:rPr>
          <w:rFonts w:ascii="Times New Roman" w:hAnsi="Times New Roman"/>
        </w:rPr>
        <w:t xml:space="preserve">within </w:t>
      </w:r>
      <w:r w:rsidR="000B126E" w:rsidRPr="00B14447">
        <w:rPr>
          <w:rFonts w:ascii="Times New Roman" w:hAnsi="Times New Roman"/>
        </w:rPr>
        <w:lastRenderedPageBreak/>
        <w:t>approximately four months</w:t>
      </w:r>
      <w:r w:rsidR="001E189E" w:rsidRPr="00B14447">
        <w:rPr>
          <w:rFonts w:ascii="Times New Roman" w:hAnsi="Times New Roman"/>
        </w:rPr>
        <w:t>.</w:t>
      </w:r>
      <w:r w:rsidR="00F05385" w:rsidRPr="00B14447">
        <w:rPr>
          <w:rFonts w:ascii="Times New Roman" w:hAnsi="Times New Roman"/>
        </w:rPr>
        <w:t xml:space="preserve"> The situations in the United States and Canada plainly were not comparable to the situation in Australia. And none of the correspondence </w:t>
      </w:r>
      <w:r w:rsidR="00796937" w:rsidRPr="00B14447">
        <w:rPr>
          <w:rFonts w:ascii="Times New Roman" w:hAnsi="Times New Roman"/>
        </w:rPr>
        <w:t>with Dr</w:t>
      </w:r>
      <w:r w:rsidR="00CE54C8" w:rsidRPr="00B14447">
        <w:rPr>
          <w:rFonts w:ascii="Times New Roman" w:hAnsi="Times New Roman"/>
        </w:rPr>
        <w:t> </w:t>
      </w:r>
      <w:r w:rsidR="00796937" w:rsidRPr="00B14447">
        <w:rPr>
          <w:rFonts w:ascii="Times New Roman" w:hAnsi="Times New Roman"/>
        </w:rPr>
        <w:t>Sherman in September 2007 suggested that he was aware of the significance of the two unexpected events.</w:t>
      </w:r>
    </w:p>
    <w:p w14:paraId="59510F2C" w14:textId="7C0A0461" w:rsidR="00473104" w:rsidRPr="00B14447" w:rsidRDefault="00F57667"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796937" w:rsidRPr="00B14447">
        <w:rPr>
          <w:rFonts w:ascii="Times New Roman" w:hAnsi="Times New Roman"/>
        </w:rPr>
        <w:t>Indeed,</w:t>
      </w:r>
      <w:r w:rsidR="00567923" w:rsidRPr="00B14447">
        <w:rPr>
          <w:rFonts w:ascii="Times New Roman" w:hAnsi="Times New Roman"/>
        </w:rPr>
        <w:t xml:space="preserve"> </w:t>
      </w:r>
      <w:r w:rsidR="00C73D0F" w:rsidRPr="00B14447">
        <w:rPr>
          <w:rFonts w:ascii="Times New Roman" w:hAnsi="Times New Roman"/>
        </w:rPr>
        <w:t>the plain and obvious inference is that Dr</w:t>
      </w:r>
      <w:r w:rsidR="00CE54C8" w:rsidRPr="00B14447">
        <w:rPr>
          <w:rFonts w:ascii="Times New Roman" w:hAnsi="Times New Roman"/>
        </w:rPr>
        <w:t> </w:t>
      </w:r>
      <w:r w:rsidR="00C73D0F" w:rsidRPr="00B14447">
        <w:rPr>
          <w:rFonts w:ascii="Times New Roman" w:hAnsi="Times New Roman"/>
        </w:rPr>
        <w:t xml:space="preserve">Sherman was </w:t>
      </w:r>
      <w:r w:rsidR="00C73D0F" w:rsidRPr="00B14447">
        <w:rPr>
          <w:rFonts w:ascii="Times New Roman" w:hAnsi="Times New Roman"/>
          <w:i/>
        </w:rPr>
        <w:t xml:space="preserve">not </w:t>
      </w:r>
      <w:r w:rsidR="00C73D0F" w:rsidRPr="00B14447">
        <w:rPr>
          <w:rFonts w:ascii="Times New Roman" w:hAnsi="Times New Roman"/>
        </w:rPr>
        <w:t xml:space="preserve">aware of the significance of these two unexpected events at any time before the interlocutory injunction </w:t>
      </w:r>
      <w:r w:rsidR="004D0477" w:rsidRPr="00B14447">
        <w:rPr>
          <w:rFonts w:ascii="Times New Roman" w:hAnsi="Times New Roman"/>
        </w:rPr>
        <w:t xml:space="preserve">hearing. The first unexpected event had little significance without the second. The importance of missing the </w:t>
      </w:r>
      <w:r w:rsidR="00E307EB" w:rsidRPr="00B14447">
        <w:rPr>
          <w:rFonts w:ascii="Times New Roman" w:hAnsi="Times New Roman"/>
        </w:rPr>
        <w:t xml:space="preserve">listing date in December 2007, and having to wait until April 2008, would fade into insignificance if a trial </w:t>
      </w:r>
      <w:r w:rsidR="00DF06EB" w:rsidRPr="00B14447">
        <w:rPr>
          <w:rFonts w:ascii="Times New Roman" w:hAnsi="Times New Roman"/>
        </w:rPr>
        <w:t xml:space="preserve">would not commence, </w:t>
      </w:r>
      <w:r w:rsidR="00E307EB" w:rsidRPr="00B14447">
        <w:rPr>
          <w:rFonts w:ascii="Times New Roman" w:hAnsi="Times New Roman"/>
        </w:rPr>
        <w:t>and a decision on the trial would not be received</w:t>
      </w:r>
      <w:r w:rsidR="008D18CA" w:rsidRPr="00B14447">
        <w:rPr>
          <w:rFonts w:ascii="Times New Roman" w:hAnsi="Times New Roman"/>
        </w:rPr>
        <w:t>,</w:t>
      </w:r>
      <w:r w:rsidR="00E307EB" w:rsidRPr="00B14447">
        <w:rPr>
          <w:rFonts w:ascii="Times New Roman" w:hAnsi="Times New Roman"/>
        </w:rPr>
        <w:t xml:space="preserve"> until, for instance, 2009 or 2010. </w:t>
      </w:r>
      <w:r w:rsidR="00035CFB" w:rsidRPr="00B14447">
        <w:rPr>
          <w:rFonts w:ascii="Times New Roman" w:hAnsi="Times New Roman"/>
        </w:rPr>
        <w:t>I</w:t>
      </w:r>
      <w:r w:rsidR="00567923" w:rsidRPr="00B14447">
        <w:rPr>
          <w:rFonts w:ascii="Times New Roman" w:hAnsi="Times New Roman"/>
        </w:rPr>
        <w:t>t was not until after 21</w:t>
      </w:r>
      <w:r w:rsidR="008D18CA" w:rsidRPr="00B14447">
        <w:rPr>
          <w:rFonts w:ascii="Times New Roman" w:hAnsi="Times New Roman"/>
        </w:rPr>
        <w:t> </w:t>
      </w:r>
      <w:r w:rsidR="00567923" w:rsidRPr="00B14447">
        <w:rPr>
          <w:rFonts w:ascii="Times New Roman" w:hAnsi="Times New Roman"/>
        </w:rPr>
        <w:t>September 2007 that</w:t>
      </w:r>
      <w:r w:rsidR="00796937" w:rsidRPr="00B14447">
        <w:rPr>
          <w:rFonts w:ascii="Times New Roman" w:hAnsi="Times New Roman"/>
        </w:rPr>
        <w:t xml:space="preserve"> Dr</w:t>
      </w:r>
      <w:r w:rsidR="008D18CA" w:rsidRPr="00B14447">
        <w:rPr>
          <w:rFonts w:ascii="Times New Roman" w:hAnsi="Times New Roman"/>
        </w:rPr>
        <w:t> </w:t>
      </w:r>
      <w:r w:rsidR="00796937" w:rsidRPr="00B14447">
        <w:rPr>
          <w:rFonts w:ascii="Times New Roman" w:hAnsi="Times New Roman"/>
        </w:rPr>
        <w:t xml:space="preserve">Sherman was aware of the </w:t>
      </w:r>
      <w:r w:rsidR="008D18CA" w:rsidRPr="00B14447">
        <w:rPr>
          <w:rFonts w:ascii="Times New Roman" w:hAnsi="Times New Roman"/>
        </w:rPr>
        <w:t>28 </w:t>
      </w:r>
      <w:r w:rsidR="00796937" w:rsidRPr="00B14447">
        <w:rPr>
          <w:rFonts w:ascii="Times New Roman" w:hAnsi="Times New Roman"/>
        </w:rPr>
        <w:t>April 2008 trial date</w:t>
      </w:r>
      <w:r w:rsidR="00567923" w:rsidRPr="00B14447">
        <w:rPr>
          <w:rFonts w:ascii="Times New Roman" w:hAnsi="Times New Roman"/>
        </w:rPr>
        <w:t xml:space="preserve"> for the final relief, which would be only four weeks after the earliest PBS listing date.</w:t>
      </w:r>
      <w:r w:rsidR="00035CFB" w:rsidRPr="00B14447">
        <w:rPr>
          <w:rFonts w:ascii="Times New Roman" w:hAnsi="Times New Roman"/>
        </w:rPr>
        <w:t xml:space="preserve"> And it was </w:t>
      </w:r>
      <w:r w:rsidR="00AA0EDC" w:rsidRPr="00B14447">
        <w:rPr>
          <w:rFonts w:ascii="Times New Roman" w:hAnsi="Times New Roman"/>
        </w:rPr>
        <w:t>not until after that same date that Dr</w:t>
      </w:r>
      <w:r w:rsidR="00E6364E" w:rsidRPr="00B14447">
        <w:rPr>
          <w:rFonts w:ascii="Times New Roman" w:hAnsi="Times New Roman"/>
        </w:rPr>
        <w:t> </w:t>
      </w:r>
      <w:r w:rsidR="00AA0EDC" w:rsidRPr="00B14447">
        <w:rPr>
          <w:rFonts w:ascii="Times New Roman" w:hAnsi="Times New Roman"/>
        </w:rPr>
        <w:t>Sherman became aware that the trial judge would be Gyles</w:t>
      </w:r>
      <w:r w:rsidR="008D18CA" w:rsidRPr="00B14447">
        <w:rPr>
          <w:rFonts w:ascii="Times New Roman" w:hAnsi="Times New Roman"/>
        </w:rPr>
        <w:t> </w:t>
      </w:r>
      <w:r w:rsidR="00AA0EDC" w:rsidRPr="00B14447">
        <w:rPr>
          <w:rFonts w:ascii="Times New Roman" w:hAnsi="Times New Roman"/>
        </w:rPr>
        <w:t xml:space="preserve">J, with the effect that a decision would need to be given by </w:t>
      </w:r>
      <w:r w:rsidR="00990B68" w:rsidRPr="00B14447">
        <w:rPr>
          <w:rFonts w:ascii="Times New Roman" w:hAnsi="Times New Roman"/>
        </w:rPr>
        <w:t>22</w:t>
      </w:r>
      <w:r w:rsidR="008D18CA" w:rsidRPr="00B14447">
        <w:rPr>
          <w:rFonts w:ascii="Times New Roman" w:hAnsi="Times New Roman"/>
        </w:rPr>
        <w:t> </w:t>
      </w:r>
      <w:r w:rsidR="00AA0EDC" w:rsidRPr="00B14447">
        <w:rPr>
          <w:rFonts w:ascii="Times New Roman" w:hAnsi="Times New Roman"/>
        </w:rPr>
        <w:t>August 2008, when Gyles</w:t>
      </w:r>
      <w:r w:rsidR="008D18CA" w:rsidRPr="00B14447">
        <w:rPr>
          <w:rFonts w:ascii="Times New Roman" w:hAnsi="Times New Roman"/>
        </w:rPr>
        <w:t> </w:t>
      </w:r>
      <w:r w:rsidR="00AA0EDC" w:rsidRPr="00B14447">
        <w:rPr>
          <w:rFonts w:ascii="Times New Roman" w:hAnsi="Times New Roman"/>
        </w:rPr>
        <w:t xml:space="preserve">J would retire.  </w:t>
      </w:r>
      <w:r w:rsidR="001E189E" w:rsidRPr="00B14447">
        <w:rPr>
          <w:rFonts w:ascii="Times New Roman" w:hAnsi="Times New Roman"/>
        </w:rPr>
        <w:t xml:space="preserve"> </w:t>
      </w:r>
    </w:p>
    <w:p w14:paraId="3EE82E02" w14:textId="629A98FE" w:rsidR="00FA2A8D" w:rsidRPr="00B14447" w:rsidRDefault="00CB2F77"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C0C50" w:rsidRPr="00B14447">
        <w:rPr>
          <w:rFonts w:ascii="Times New Roman" w:hAnsi="Times New Roman"/>
        </w:rPr>
        <w:t>T</w:t>
      </w:r>
      <w:r w:rsidR="000F74C6" w:rsidRPr="00B14447">
        <w:rPr>
          <w:rFonts w:ascii="Times New Roman" w:hAnsi="Times New Roman"/>
        </w:rPr>
        <w:t xml:space="preserve">he Commonwealth </w:t>
      </w:r>
      <w:r w:rsidR="0034549F" w:rsidRPr="00B14447">
        <w:rPr>
          <w:rFonts w:ascii="Times New Roman" w:hAnsi="Times New Roman"/>
        </w:rPr>
        <w:t xml:space="preserve">sought </w:t>
      </w:r>
      <w:r w:rsidR="000F74C6" w:rsidRPr="00B14447">
        <w:rPr>
          <w:rFonts w:ascii="Times New Roman" w:hAnsi="Times New Roman"/>
        </w:rPr>
        <w:t xml:space="preserve">to dispute the concurrent conclusions that </w:t>
      </w:r>
      <w:r w:rsidR="00C173BE" w:rsidRPr="00B14447">
        <w:rPr>
          <w:rFonts w:ascii="Times New Roman" w:hAnsi="Times New Roman"/>
        </w:rPr>
        <w:t xml:space="preserve">Apotex's </w:t>
      </w:r>
      <w:r w:rsidR="000F74C6" w:rsidRPr="00B14447">
        <w:rPr>
          <w:rFonts w:ascii="Times New Roman" w:hAnsi="Times New Roman"/>
        </w:rPr>
        <w:t>calculus of whether to launch</w:t>
      </w:r>
      <w:r w:rsidR="00C80E71" w:rsidRPr="00B14447">
        <w:rPr>
          <w:rFonts w:ascii="Times New Roman" w:hAnsi="Times New Roman"/>
        </w:rPr>
        <w:t xml:space="preserve"> at risk</w:t>
      </w:r>
      <w:r w:rsidR="000F74C6" w:rsidRPr="00B14447">
        <w:rPr>
          <w:rFonts w:ascii="Times New Roman" w:hAnsi="Times New Roman"/>
        </w:rPr>
        <w:t xml:space="preserve"> had </w:t>
      </w:r>
      <w:r w:rsidR="00C173BE" w:rsidRPr="00B14447">
        <w:rPr>
          <w:rFonts w:ascii="Times New Roman" w:hAnsi="Times New Roman"/>
        </w:rPr>
        <w:t xml:space="preserve">been </w:t>
      </w:r>
      <w:r w:rsidR="000F74C6" w:rsidRPr="00B14447">
        <w:rPr>
          <w:rFonts w:ascii="Times New Roman" w:hAnsi="Times New Roman"/>
        </w:rPr>
        <w:t xml:space="preserve">changed by the two unexpected events in September 2007 </w:t>
      </w:r>
      <w:r w:rsidR="0034549F" w:rsidRPr="00B14447">
        <w:rPr>
          <w:rFonts w:ascii="Times New Roman" w:hAnsi="Times New Roman"/>
        </w:rPr>
        <w:t xml:space="preserve">by relying upon </w:t>
      </w:r>
      <w:r w:rsidR="00B148D6" w:rsidRPr="00B14447">
        <w:rPr>
          <w:rFonts w:ascii="Times New Roman" w:hAnsi="Times New Roman"/>
        </w:rPr>
        <w:t xml:space="preserve">emphatic statements by senior counsel for Apotex </w:t>
      </w:r>
      <w:r w:rsidR="0015693B" w:rsidRPr="00B14447">
        <w:rPr>
          <w:rFonts w:ascii="Times New Roman" w:hAnsi="Times New Roman"/>
        </w:rPr>
        <w:t>at the hearing of the interlocutory injunction on 18</w:t>
      </w:r>
      <w:r w:rsidR="00C173BE" w:rsidRPr="00B14447">
        <w:rPr>
          <w:rFonts w:ascii="Times New Roman" w:hAnsi="Times New Roman"/>
        </w:rPr>
        <w:t> </w:t>
      </w:r>
      <w:r w:rsidR="0015693B" w:rsidRPr="00B14447">
        <w:rPr>
          <w:rFonts w:ascii="Times New Roman" w:hAnsi="Times New Roman"/>
        </w:rPr>
        <w:t>September 2007</w:t>
      </w:r>
      <w:r w:rsidR="00C80E71" w:rsidRPr="00B14447">
        <w:rPr>
          <w:rFonts w:ascii="Times New Roman" w:hAnsi="Times New Roman"/>
        </w:rPr>
        <w:t xml:space="preserve"> to the effect</w:t>
      </w:r>
      <w:r w:rsidR="009578E9" w:rsidRPr="00B14447">
        <w:rPr>
          <w:rFonts w:ascii="Times New Roman" w:hAnsi="Times New Roman"/>
        </w:rPr>
        <w:t xml:space="preserve"> that Apotex intended to launch at risk if it were not prevented from doing so</w:t>
      </w:r>
      <w:r w:rsidR="0015693B" w:rsidRPr="00B14447">
        <w:rPr>
          <w:rFonts w:ascii="Times New Roman" w:hAnsi="Times New Roman"/>
        </w:rPr>
        <w:t xml:space="preserve">. </w:t>
      </w:r>
      <w:r w:rsidR="00153614" w:rsidRPr="00B14447">
        <w:rPr>
          <w:rFonts w:ascii="Times New Roman" w:hAnsi="Times New Roman"/>
        </w:rPr>
        <w:t>Putting to one side the issue of whether</w:t>
      </w:r>
      <w:r w:rsidR="00CF4A97" w:rsidRPr="00B14447">
        <w:rPr>
          <w:rFonts w:ascii="Times New Roman" w:hAnsi="Times New Roman"/>
        </w:rPr>
        <w:t xml:space="preserve"> </w:t>
      </w:r>
      <w:r w:rsidR="0072737C" w:rsidRPr="00B14447">
        <w:rPr>
          <w:rFonts w:ascii="Times New Roman" w:hAnsi="Times New Roman"/>
        </w:rPr>
        <w:t>the counter</w:t>
      </w:r>
      <w:r w:rsidR="0020319B">
        <w:rPr>
          <w:rFonts w:ascii="Times New Roman" w:hAnsi="Times New Roman"/>
        </w:rPr>
        <w:noBreakHyphen/>
      </w:r>
      <w:r w:rsidR="0072737C" w:rsidRPr="00B14447">
        <w:rPr>
          <w:rFonts w:ascii="Times New Roman" w:hAnsi="Times New Roman"/>
        </w:rPr>
        <w:t xml:space="preserve">factual analysis requires </w:t>
      </w:r>
      <w:r w:rsidR="00CF4A97" w:rsidRPr="00B14447">
        <w:rPr>
          <w:rFonts w:ascii="Times New Roman" w:hAnsi="Times New Roman"/>
        </w:rPr>
        <w:t>those</w:t>
      </w:r>
      <w:r w:rsidR="00105B2C" w:rsidRPr="00B14447">
        <w:rPr>
          <w:rFonts w:ascii="Times New Roman" w:hAnsi="Times New Roman"/>
        </w:rPr>
        <w:t xml:space="preserve"> </w:t>
      </w:r>
      <w:r w:rsidR="003C5F6B" w:rsidRPr="00B14447">
        <w:rPr>
          <w:rFonts w:ascii="Times New Roman" w:hAnsi="Times New Roman"/>
        </w:rPr>
        <w:t>statements by senior counsel for Apotex t</w:t>
      </w:r>
      <w:r w:rsidR="0072737C" w:rsidRPr="00B14447">
        <w:rPr>
          <w:rFonts w:ascii="Times New Roman" w:hAnsi="Times New Roman"/>
        </w:rPr>
        <w:t>o be ignored because they we</w:t>
      </w:r>
      <w:r w:rsidR="003C5F6B" w:rsidRPr="00B14447">
        <w:rPr>
          <w:rFonts w:ascii="Times New Roman" w:hAnsi="Times New Roman"/>
        </w:rPr>
        <w:t>re inextricably connected to the decision of Gyles</w:t>
      </w:r>
      <w:r w:rsidR="00C173BE" w:rsidRPr="00B14447">
        <w:rPr>
          <w:rFonts w:ascii="Times New Roman" w:hAnsi="Times New Roman"/>
        </w:rPr>
        <w:t> </w:t>
      </w:r>
      <w:r w:rsidR="003C5F6B" w:rsidRPr="00B14447">
        <w:rPr>
          <w:rFonts w:ascii="Times New Roman" w:hAnsi="Times New Roman"/>
        </w:rPr>
        <w:t>J</w:t>
      </w:r>
      <w:r w:rsidR="00F86BA9" w:rsidRPr="00B14447">
        <w:rPr>
          <w:rFonts w:ascii="Times New Roman" w:hAnsi="Times New Roman"/>
        </w:rPr>
        <w:t xml:space="preserve">, </w:t>
      </w:r>
      <w:r w:rsidR="00CE7F41" w:rsidRPr="00B14447">
        <w:rPr>
          <w:rFonts w:ascii="Times New Roman" w:hAnsi="Times New Roman"/>
        </w:rPr>
        <w:t>those statements provide little or no evidence of the conviction by which Dr</w:t>
      </w:r>
      <w:r w:rsidR="00C173BE" w:rsidRPr="00B14447">
        <w:rPr>
          <w:rFonts w:ascii="Times New Roman" w:hAnsi="Times New Roman"/>
        </w:rPr>
        <w:t> </w:t>
      </w:r>
      <w:r w:rsidR="00CE7F41" w:rsidRPr="00B14447">
        <w:rPr>
          <w:rFonts w:ascii="Times New Roman" w:hAnsi="Times New Roman"/>
        </w:rPr>
        <w:t>Sherman held an intention to launch at risk.</w:t>
      </w:r>
      <w:r w:rsidR="00F86BA9" w:rsidRPr="00B14447">
        <w:rPr>
          <w:rFonts w:ascii="Times New Roman" w:hAnsi="Times New Roman"/>
        </w:rPr>
        <w:t xml:space="preserve"> </w:t>
      </w:r>
    </w:p>
    <w:p w14:paraId="2670DDE9" w14:textId="5EA81B7E" w:rsidR="00362150" w:rsidRPr="00B14447" w:rsidRDefault="00FA2A8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CE7F41" w:rsidRPr="00B14447">
        <w:rPr>
          <w:rFonts w:ascii="Times New Roman" w:hAnsi="Times New Roman"/>
        </w:rPr>
        <w:t>A</w:t>
      </w:r>
      <w:r w:rsidR="00F86BA9" w:rsidRPr="00B14447">
        <w:rPr>
          <w:rFonts w:ascii="Times New Roman" w:hAnsi="Times New Roman"/>
        </w:rPr>
        <w:t xml:space="preserve">lthough senior counsel must have made that submission on </w:t>
      </w:r>
      <w:r w:rsidR="00CF2223" w:rsidRPr="00B14447">
        <w:rPr>
          <w:rFonts w:ascii="Times New Roman" w:hAnsi="Times New Roman"/>
        </w:rPr>
        <w:t xml:space="preserve">the basis of </w:t>
      </w:r>
      <w:r w:rsidR="00F86BA9" w:rsidRPr="00B14447">
        <w:rPr>
          <w:rFonts w:ascii="Times New Roman" w:hAnsi="Times New Roman"/>
        </w:rPr>
        <w:t>instructions</w:t>
      </w:r>
      <w:r w:rsidR="005D144E" w:rsidRPr="00B14447">
        <w:rPr>
          <w:rFonts w:ascii="Times New Roman" w:hAnsi="Times New Roman"/>
        </w:rPr>
        <w:t xml:space="preserve"> or evidence</w:t>
      </w:r>
      <w:r w:rsidR="00F86BA9" w:rsidRPr="00B14447">
        <w:rPr>
          <w:rFonts w:ascii="Times New Roman" w:hAnsi="Times New Roman"/>
        </w:rPr>
        <w:t xml:space="preserve">, no evidence was given before the primary judge or before the Full Court as to who had provided those instructions. </w:t>
      </w:r>
      <w:r w:rsidR="00E63A3F" w:rsidRPr="00B14447">
        <w:rPr>
          <w:rFonts w:ascii="Times New Roman" w:hAnsi="Times New Roman"/>
        </w:rPr>
        <w:t>Indeed, in the Full Court it seems to have been assumed that those instructions were provided by Mr</w:t>
      </w:r>
      <w:r w:rsidR="00E00A67" w:rsidRPr="00B14447">
        <w:rPr>
          <w:rFonts w:ascii="Times New Roman" w:hAnsi="Times New Roman"/>
        </w:rPr>
        <w:t> </w:t>
      </w:r>
      <w:r w:rsidR="00E63A3F" w:rsidRPr="00B14447">
        <w:rPr>
          <w:rFonts w:ascii="Times New Roman" w:hAnsi="Times New Roman"/>
        </w:rPr>
        <w:t>Millichamp and not Dr</w:t>
      </w:r>
      <w:r w:rsidR="00AE6891" w:rsidRPr="00B14447">
        <w:rPr>
          <w:rFonts w:ascii="Times New Roman" w:hAnsi="Times New Roman"/>
        </w:rPr>
        <w:t> </w:t>
      </w:r>
      <w:r w:rsidR="00E63A3F" w:rsidRPr="00B14447">
        <w:rPr>
          <w:rFonts w:ascii="Times New Roman" w:hAnsi="Times New Roman"/>
        </w:rPr>
        <w:t>Sherman.</w:t>
      </w:r>
      <w:r w:rsidR="00F2565C" w:rsidRPr="00B14447">
        <w:rPr>
          <w:rStyle w:val="FootnoteReference"/>
          <w:rFonts w:ascii="Times New Roman" w:hAnsi="Times New Roman"/>
          <w:sz w:val="24"/>
        </w:rPr>
        <w:footnoteReference w:id="136"/>
      </w:r>
      <w:r w:rsidR="00B10917" w:rsidRPr="00B14447">
        <w:rPr>
          <w:rFonts w:ascii="Times New Roman" w:hAnsi="Times New Roman"/>
        </w:rPr>
        <w:t xml:space="preserve"> But there wa</w:t>
      </w:r>
      <w:r w:rsidR="00EB3B8B" w:rsidRPr="00B14447">
        <w:rPr>
          <w:rFonts w:ascii="Times New Roman" w:hAnsi="Times New Roman"/>
        </w:rPr>
        <w:t>s no evidence as to any communication from Dr</w:t>
      </w:r>
      <w:r w:rsidR="00AE6891" w:rsidRPr="00B14447">
        <w:rPr>
          <w:rFonts w:ascii="Times New Roman" w:hAnsi="Times New Roman"/>
        </w:rPr>
        <w:t> </w:t>
      </w:r>
      <w:r w:rsidR="00EB3B8B" w:rsidRPr="00B14447">
        <w:rPr>
          <w:rFonts w:ascii="Times New Roman" w:hAnsi="Times New Roman"/>
        </w:rPr>
        <w:t xml:space="preserve">Sherman </w:t>
      </w:r>
      <w:r w:rsidR="00734A0A" w:rsidRPr="00B14447">
        <w:rPr>
          <w:rFonts w:ascii="Times New Roman" w:hAnsi="Times New Roman"/>
        </w:rPr>
        <w:t>from which any emphatic intention to launch could be inferred.</w:t>
      </w:r>
      <w:r w:rsidR="00D60C82" w:rsidRPr="00B14447">
        <w:rPr>
          <w:rFonts w:ascii="Times New Roman" w:hAnsi="Times New Roman"/>
        </w:rPr>
        <w:t xml:space="preserve"> Indeed, the communications set out above show that Dr</w:t>
      </w:r>
      <w:r w:rsidR="00AE6891" w:rsidRPr="00B14447">
        <w:rPr>
          <w:rFonts w:ascii="Times New Roman" w:hAnsi="Times New Roman"/>
        </w:rPr>
        <w:t> </w:t>
      </w:r>
      <w:r w:rsidR="00D60C82" w:rsidRPr="00B14447">
        <w:rPr>
          <w:rFonts w:ascii="Times New Roman" w:hAnsi="Times New Roman"/>
        </w:rPr>
        <w:t xml:space="preserve">Sherman was only made aware of </w:t>
      </w:r>
      <w:r w:rsidR="00163179" w:rsidRPr="00B14447">
        <w:rPr>
          <w:rFonts w:ascii="Times New Roman" w:hAnsi="Times New Roman"/>
        </w:rPr>
        <w:t xml:space="preserve">the missed listing date </w:t>
      </w:r>
      <w:r w:rsidR="00F10768" w:rsidRPr="00B14447">
        <w:rPr>
          <w:rFonts w:ascii="Times New Roman" w:hAnsi="Times New Roman"/>
        </w:rPr>
        <w:t>by a passing reference</w:t>
      </w:r>
      <w:r w:rsidR="00E00D28" w:rsidRPr="00B14447">
        <w:rPr>
          <w:rFonts w:ascii="Times New Roman" w:hAnsi="Times New Roman"/>
        </w:rPr>
        <w:t xml:space="preserve"> in an email</w:t>
      </w:r>
      <w:r w:rsidR="00F10768" w:rsidRPr="00B14447">
        <w:rPr>
          <w:rFonts w:ascii="Times New Roman" w:hAnsi="Times New Roman"/>
        </w:rPr>
        <w:t xml:space="preserve"> </w:t>
      </w:r>
      <w:r w:rsidR="00163179" w:rsidRPr="00B14447">
        <w:rPr>
          <w:rFonts w:ascii="Times New Roman" w:hAnsi="Times New Roman"/>
        </w:rPr>
        <w:t>on 15</w:t>
      </w:r>
      <w:r w:rsidR="00AE6891" w:rsidRPr="00B14447">
        <w:rPr>
          <w:rFonts w:ascii="Times New Roman" w:hAnsi="Times New Roman"/>
        </w:rPr>
        <w:t> </w:t>
      </w:r>
      <w:r w:rsidR="00163179" w:rsidRPr="00B14447">
        <w:rPr>
          <w:rFonts w:ascii="Times New Roman" w:hAnsi="Times New Roman"/>
        </w:rPr>
        <w:t>September 2007</w:t>
      </w:r>
      <w:r w:rsidR="00F10768" w:rsidRPr="00B14447">
        <w:rPr>
          <w:rFonts w:ascii="Times New Roman" w:hAnsi="Times New Roman"/>
        </w:rPr>
        <w:t>. T</w:t>
      </w:r>
      <w:r w:rsidR="00163179" w:rsidRPr="00B14447">
        <w:rPr>
          <w:rFonts w:ascii="Times New Roman" w:hAnsi="Times New Roman"/>
        </w:rPr>
        <w:t>he importance of this missed date</w:t>
      </w:r>
      <w:r w:rsidR="00D01E89" w:rsidRPr="00B14447">
        <w:rPr>
          <w:rFonts w:ascii="Times New Roman" w:hAnsi="Times New Roman"/>
        </w:rPr>
        <w:t>,</w:t>
      </w:r>
      <w:r w:rsidR="00163179" w:rsidRPr="00B14447">
        <w:rPr>
          <w:rFonts w:ascii="Times New Roman" w:hAnsi="Times New Roman"/>
        </w:rPr>
        <w:t xml:space="preserve"> in light of the early trial date</w:t>
      </w:r>
      <w:r w:rsidR="00D01E89" w:rsidRPr="00B14447">
        <w:rPr>
          <w:rFonts w:ascii="Times New Roman" w:hAnsi="Times New Roman"/>
        </w:rPr>
        <w:t>,</w:t>
      </w:r>
      <w:r w:rsidR="00163179" w:rsidRPr="00B14447">
        <w:rPr>
          <w:rFonts w:ascii="Times New Roman" w:hAnsi="Times New Roman"/>
        </w:rPr>
        <w:t xml:space="preserve"> was not drawn to </w:t>
      </w:r>
      <w:r w:rsidR="00F10768" w:rsidRPr="00B14447">
        <w:rPr>
          <w:rFonts w:ascii="Times New Roman" w:hAnsi="Times New Roman"/>
        </w:rPr>
        <w:t>Dr</w:t>
      </w:r>
      <w:r w:rsidR="00AE6891" w:rsidRPr="00B14447">
        <w:rPr>
          <w:rFonts w:ascii="Times New Roman" w:hAnsi="Times New Roman"/>
        </w:rPr>
        <w:t> </w:t>
      </w:r>
      <w:r w:rsidR="00F10768" w:rsidRPr="00B14447">
        <w:rPr>
          <w:rFonts w:ascii="Times New Roman" w:hAnsi="Times New Roman"/>
        </w:rPr>
        <w:t>Sherman's</w:t>
      </w:r>
      <w:r w:rsidR="00163179" w:rsidRPr="00B14447">
        <w:rPr>
          <w:rFonts w:ascii="Times New Roman" w:hAnsi="Times New Roman"/>
        </w:rPr>
        <w:t xml:space="preserve"> attention</w:t>
      </w:r>
      <w:r w:rsidR="001937E7" w:rsidRPr="00B14447">
        <w:rPr>
          <w:rFonts w:ascii="Times New Roman" w:hAnsi="Times New Roman"/>
        </w:rPr>
        <w:t xml:space="preserve"> and </w:t>
      </w:r>
      <w:r w:rsidR="000B59E0" w:rsidRPr="00B14447">
        <w:rPr>
          <w:rFonts w:ascii="Times New Roman" w:hAnsi="Times New Roman"/>
        </w:rPr>
        <w:t>was not clearly apparent to anyone until after 21</w:t>
      </w:r>
      <w:r w:rsidR="00AE6891" w:rsidRPr="00B14447">
        <w:rPr>
          <w:rFonts w:ascii="Times New Roman" w:hAnsi="Times New Roman"/>
        </w:rPr>
        <w:t> </w:t>
      </w:r>
      <w:r w:rsidR="000B59E0" w:rsidRPr="00B14447">
        <w:rPr>
          <w:rFonts w:ascii="Times New Roman" w:hAnsi="Times New Roman"/>
        </w:rPr>
        <w:t xml:space="preserve">September 2007 when it became clear that the earliest date </w:t>
      </w:r>
      <w:r w:rsidR="000B59E0" w:rsidRPr="00B14447">
        <w:rPr>
          <w:rFonts w:ascii="Times New Roman" w:hAnsi="Times New Roman"/>
        </w:rPr>
        <w:lastRenderedPageBreak/>
        <w:t xml:space="preserve">of </w:t>
      </w:r>
      <w:r w:rsidR="00C6759E" w:rsidRPr="00B14447">
        <w:rPr>
          <w:rFonts w:ascii="Times New Roman" w:hAnsi="Times New Roman"/>
        </w:rPr>
        <w:t xml:space="preserve">PBS </w:t>
      </w:r>
      <w:r w:rsidR="000B59E0" w:rsidRPr="00B14447">
        <w:rPr>
          <w:rFonts w:ascii="Times New Roman" w:hAnsi="Times New Roman"/>
        </w:rPr>
        <w:t>listing was only four weeks before the final trial</w:t>
      </w:r>
      <w:r w:rsidR="003F5F53" w:rsidRPr="00B14447">
        <w:rPr>
          <w:rFonts w:ascii="Times New Roman" w:hAnsi="Times New Roman"/>
        </w:rPr>
        <w:t xml:space="preserve"> and that judgment would be delivered within </w:t>
      </w:r>
      <w:r w:rsidR="008149F6" w:rsidRPr="00B14447">
        <w:rPr>
          <w:rFonts w:ascii="Times New Roman" w:hAnsi="Times New Roman"/>
        </w:rPr>
        <w:t xml:space="preserve">just over four </w:t>
      </w:r>
      <w:r w:rsidR="003F5F53" w:rsidRPr="00B14447">
        <w:rPr>
          <w:rFonts w:ascii="Times New Roman" w:hAnsi="Times New Roman"/>
        </w:rPr>
        <w:t>months</w:t>
      </w:r>
      <w:r w:rsidR="00DE26DF" w:rsidRPr="00B14447">
        <w:rPr>
          <w:rFonts w:ascii="Times New Roman" w:hAnsi="Times New Roman"/>
        </w:rPr>
        <w:t xml:space="preserve"> </w:t>
      </w:r>
      <w:r w:rsidR="00EE1BA3" w:rsidRPr="00B14447">
        <w:rPr>
          <w:rFonts w:ascii="Times New Roman" w:hAnsi="Times New Roman"/>
        </w:rPr>
        <w:t>from</w:t>
      </w:r>
      <w:r w:rsidR="00DE26DF" w:rsidRPr="00B14447">
        <w:rPr>
          <w:rFonts w:ascii="Times New Roman" w:hAnsi="Times New Roman"/>
        </w:rPr>
        <w:t xml:space="preserve"> that </w:t>
      </w:r>
      <w:r w:rsidR="00EE1BA3" w:rsidRPr="00B14447">
        <w:rPr>
          <w:rFonts w:ascii="Times New Roman" w:hAnsi="Times New Roman"/>
        </w:rPr>
        <w:t xml:space="preserve">PBS listing </w:t>
      </w:r>
      <w:r w:rsidR="00DE26DF" w:rsidRPr="00B14447">
        <w:rPr>
          <w:rFonts w:ascii="Times New Roman" w:hAnsi="Times New Roman"/>
        </w:rPr>
        <w:t>date</w:t>
      </w:r>
      <w:r w:rsidR="00163179" w:rsidRPr="00B14447">
        <w:rPr>
          <w:rFonts w:ascii="Times New Roman" w:hAnsi="Times New Roman"/>
        </w:rPr>
        <w:t xml:space="preserve">. </w:t>
      </w:r>
      <w:r w:rsidR="00E63A3F" w:rsidRPr="00B14447">
        <w:rPr>
          <w:rFonts w:ascii="Times New Roman" w:hAnsi="Times New Roman"/>
        </w:rPr>
        <w:t xml:space="preserve"> </w:t>
      </w:r>
      <w:r w:rsidR="00C15663" w:rsidRPr="00B14447">
        <w:rPr>
          <w:rFonts w:ascii="Times New Roman" w:hAnsi="Times New Roman"/>
        </w:rPr>
        <w:t xml:space="preserve"> </w:t>
      </w:r>
    </w:p>
    <w:p w14:paraId="174F400C" w14:textId="640D2CD4" w:rsidR="00F5003C" w:rsidRPr="00B14447" w:rsidRDefault="00362150"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DA31F1" w:rsidRPr="00B14447">
        <w:rPr>
          <w:rFonts w:ascii="Times New Roman" w:hAnsi="Times New Roman"/>
        </w:rPr>
        <w:t xml:space="preserve">There were substantial submissions made before the primary judge concerning whether </w:t>
      </w:r>
      <w:r w:rsidR="00AE6891" w:rsidRPr="00B14447">
        <w:rPr>
          <w:rFonts w:ascii="Times New Roman" w:hAnsi="Times New Roman"/>
        </w:rPr>
        <w:t>Mr </w:t>
      </w:r>
      <w:r w:rsidR="00DA31F1" w:rsidRPr="00B14447">
        <w:rPr>
          <w:rFonts w:ascii="Times New Roman" w:hAnsi="Times New Roman"/>
        </w:rPr>
        <w:t>Millichamp's affidavit</w:t>
      </w:r>
      <w:r w:rsidR="00860E92" w:rsidRPr="00B14447">
        <w:rPr>
          <w:rFonts w:ascii="Times New Roman" w:hAnsi="Times New Roman"/>
        </w:rPr>
        <w:t>, which</w:t>
      </w:r>
      <w:r w:rsidR="007450B8" w:rsidRPr="00B14447">
        <w:rPr>
          <w:rFonts w:ascii="Times New Roman" w:hAnsi="Times New Roman"/>
        </w:rPr>
        <w:t xml:space="preserve"> might have been the basis for the statement by</w:t>
      </w:r>
      <w:r w:rsidR="000F74C6" w:rsidRPr="00B14447">
        <w:rPr>
          <w:rFonts w:ascii="Times New Roman" w:hAnsi="Times New Roman"/>
        </w:rPr>
        <w:t xml:space="preserve"> senior counsel for Apotex</w:t>
      </w:r>
      <w:r w:rsidR="00222A24" w:rsidRPr="00B14447">
        <w:rPr>
          <w:rFonts w:ascii="Times New Roman" w:hAnsi="Times New Roman"/>
        </w:rPr>
        <w:t xml:space="preserve"> that it would launch at risk if not enjoined</w:t>
      </w:r>
      <w:r w:rsidR="00860E92" w:rsidRPr="00B14447">
        <w:rPr>
          <w:rFonts w:ascii="Times New Roman" w:hAnsi="Times New Roman"/>
        </w:rPr>
        <w:t>, was knowingly false</w:t>
      </w:r>
      <w:r w:rsidR="00AB3392" w:rsidRPr="00B14447">
        <w:rPr>
          <w:rFonts w:ascii="Times New Roman" w:hAnsi="Times New Roman"/>
        </w:rPr>
        <w:t xml:space="preserve"> </w:t>
      </w:r>
      <w:r w:rsidR="00860E92" w:rsidRPr="00B14447">
        <w:rPr>
          <w:rFonts w:ascii="Times New Roman" w:hAnsi="Times New Roman"/>
        </w:rPr>
        <w:t>because it omitted any reference to Dr</w:t>
      </w:r>
      <w:r w:rsidR="00F51FF8" w:rsidRPr="00B14447">
        <w:rPr>
          <w:rFonts w:ascii="Times New Roman" w:hAnsi="Times New Roman"/>
        </w:rPr>
        <w:t> </w:t>
      </w:r>
      <w:r w:rsidR="00860E92" w:rsidRPr="00B14447">
        <w:rPr>
          <w:rFonts w:ascii="Times New Roman" w:hAnsi="Times New Roman"/>
        </w:rPr>
        <w:t>Sherman being the ultimate decision maker</w:t>
      </w:r>
      <w:r w:rsidR="00282F5D" w:rsidRPr="00B14447">
        <w:rPr>
          <w:rFonts w:ascii="Times New Roman" w:hAnsi="Times New Roman"/>
        </w:rPr>
        <w:t xml:space="preserve"> and was a deliberate attempt to conceal Dr</w:t>
      </w:r>
      <w:r w:rsidR="0054081C" w:rsidRPr="00B14447">
        <w:rPr>
          <w:rFonts w:ascii="Times New Roman" w:hAnsi="Times New Roman"/>
        </w:rPr>
        <w:t> </w:t>
      </w:r>
      <w:r w:rsidR="00282F5D" w:rsidRPr="00B14447">
        <w:rPr>
          <w:rFonts w:ascii="Times New Roman" w:hAnsi="Times New Roman"/>
        </w:rPr>
        <w:t>Sherman as the ultimate decision maker</w:t>
      </w:r>
      <w:r w:rsidR="00530E80" w:rsidRPr="00B14447">
        <w:rPr>
          <w:rFonts w:ascii="Times New Roman" w:hAnsi="Times New Roman"/>
        </w:rPr>
        <w:t>. It was only in Mr</w:t>
      </w:r>
      <w:r w:rsidR="0054081C" w:rsidRPr="00B14447">
        <w:rPr>
          <w:rFonts w:ascii="Times New Roman" w:hAnsi="Times New Roman"/>
        </w:rPr>
        <w:t> </w:t>
      </w:r>
      <w:r w:rsidR="00530E80" w:rsidRPr="00B14447">
        <w:rPr>
          <w:rFonts w:ascii="Times New Roman" w:hAnsi="Times New Roman"/>
        </w:rPr>
        <w:t xml:space="preserve">Millichamp's seventh affidavit that </w:t>
      </w:r>
      <w:r w:rsidR="00C427CD" w:rsidRPr="00B14447">
        <w:rPr>
          <w:rFonts w:ascii="Times New Roman" w:hAnsi="Times New Roman"/>
        </w:rPr>
        <w:t>any reference was made to Dr</w:t>
      </w:r>
      <w:r w:rsidR="0054081C" w:rsidRPr="00B14447">
        <w:rPr>
          <w:rFonts w:ascii="Times New Roman" w:hAnsi="Times New Roman"/>
        </w:rPr>
        <w:t> </w:t>
      </w:r>
      <w:r w:rsidR="00C427CD" w:rsidRPr="00B14447">
        <w:rPr>
          <w:rFonts w:ascii="Times New Roman" w:hAnsi="Times New Roman"/>
        </w:rPr>
        <w:t xml:space="preserve">Sherman. </w:t>
      </w:r>
      <w:r w:rsidR="008B33A3" w:rsidRPr="00B14447">
        <w:rPr>
          <w:rFonts w:ascii="Times New Roman" w:hAnsi="Times New Roman"/>
        </w:rPr>
        <w:t xml:space="preserve">The </w:t>
      </w:r>
      <w:r w:rsidR="00AD0738" w:rsidRPr="00B14447">
        <w:rPr>
          <w:rFonts w:ascii="Times New Roman" w:hAnsi="Times New Roman"/>
        </w:rPr>
        <w:t>primary</w:t>
      </w:r>
      <w:r w:rsidR="008B33A3" w:rsidRPr="00B14447">
        <w:rPr>
          <w:rFonts w:ascii="Times New Roman" w:hAnsi="Times New Roman"/>
        </w:rPr>
        <w:t xml:space="preserve"> judge found that Mr</w:t>
      </w:r>
      <w:r w:rsidR="0054081C" w:rsidRPr="00B14447">
        <w:rPr>
          <w:rFonts w:ascii="Times New Roman" w:hAnsi="Times New Roman"/>
        </w:rPr>
        <w:t> </w:t>
      </w:r>
      <w:r w:rsidR="008B33A3" w:rsidRPr="00B14447">
        <w:rPr>
          <w:rFonts w:ascii="Times New Roman" w:hAnsi="Times New Roman"/>
        </w:rPr>
        <w:t>Millichamp was not "an entirely satisfactory witness" but did not accept that Mr</w:t>
      </w:r>
      <w:r w:rsidR="0054081C" w:rsidRPr="00B14447">
        <w:rPr>
          <w:rFonts w:ascii="Times New Roman" w:hAnsi="Times New Roman"/>
        </w:rPr>
        <w:t> </w:t>
      </w:r>
      <w:r w:rsidR="008B33A3" w:rsidRPr="00B14447">
        <w:rPr>
          <w:rFonts w:ascii="Times New Roman" w:hAnsi="Times New Roman"/>
        </w:rPr>
        <w:t>Millichamp "deliberately sought to mislead the Court".</w:t>
      </w:r>
      <w:r w:rsidR="008B33A3" w:rsidRPr="00B14447">
        <w:rPr>
          <w:rStyle w:val="FootnoteReference"/>
          <w:rFonts w:ascii="Times New Roman" w:hAnsi="Times New Roman"/>
          <w:sz w:val="24"/>
        </w:rPr>
        <w:footnoteReference w:id="137"/>
      </w:r>
      <w:r w:rsidR="008B33A3" w:rsidRPr="00B14447">
        <w:rPr>
          <w:rFonts w:ascii="Times New Roman" w:hAnsi="Times New Roman"/>
        </w:rPr>
        <w:t xml:space="preserve"> </w:t>
      </w:r>
      <w:r w:rsidR="001F172C" w:rsidRPr="00B14447">
        <w:rPr>
          <w:rFonts w:ascii="Times New Roman" w:hAnsi="Times New Roman"/>
        </w:rPr>
        <w:t>The primary judge</w:t>
      </w:r>
      <w:r w:rsidR="00860E92" w:rsidRPr="00B14447">
        <w:rPr>
          <w:rFonts w:ascii="Times New Roman" w:hAnsi="Times New Roman"/>
        </w:rPr>
        <w:t xml:space="preserve"> reached no conclusion as to whether the affidavit might have unintentionally misled senior counsel. </w:t>
      </w:r>
      <w:r w:rsidR="007056D8" w:rsidRPr="00B14447">
        <w:rPr>
          <w:rFonts w:ascii="Times New Roman" w:hAnsi="Times New Roman"/>
        </w:rPr>
        <w:t>In any event,</w:t>
      </w:r>
      <w:r w:rsidR="00776D8B" w:rsidRPr="00B14447">
        <w:rPr>
          <w:rFonts w:ascii="Times New Roman" w:hAnsi="Times New Roman"/>
        </w:rPr>
        <w:t xml:space="preserve"> as explained above, the overwhelming evidence is that </w:t>
      </w:r>
      <w:r w:rsidR="00BC5412" w:rsidRPr="00B14447">
        <w:rPr>
          <w:rFonts w:ascii="Times New Roman" w:hAnsi="Times New Roman"/>
        </w:rPr>
        <w:t>Dr</w:t>
      </w:r>
      <w:r w:rsidR="00F51FF8" w:rsidRPr="00B14447">
        <w:rPr>
          <w:rFonts w:ascii="Times New Roman" w:hAnsi="Times New Roman"/>
        </w:rPr>
        <w:t> </w:t>
      </w:r>
      <w:r w:rsidR="00BC5412" w:rsidRPr="00B14447">
        <w:rPr>
          <w:rFonts w:ascii="Times New Roman" w:hAnsi="Times New Roman"/>
        </w:rPr>
        <w:t>Sherman</w:t>
      </w:r>
      <w:r w:rsidR="00776D8B" w:rsidRPr="00B14447">
        <w:rPr>
          <w:rFonts w:ascii="Times New Roman" w:hAnsi="Times New Roman"/>
        </w:rPr>
        <w:t xml:space="preserve"> did not know, </w:t>
      </w:r>
      <w:r w:rsidR="00D47A5D" w:rsidRPr="00B14447">
        <w:rPr>
          <w:rFonts w:ascii="Times New Roman" w:hAnsi="Times New Roman"/>
        </w:rPr>
        <w:t xml:space="preserve">could not have known, </w:t>
      </w:r>
      <w:r w:rsidR="00776D8B" w:rsidRPr="00B14447">
        <w:rPr>
          <w:rFonts w:ascii="Times New Roman" w:hAnsi="Times New Roman"/>
        </w:rPr>
        <w:t xml:space="preserve">and </w:t>
      </w:r>
      <w:r w:rsidR="00D47A5D" w:rsidRPr="00B14447">
        <w:rPr>
          <w:rFonts w:ascii="Times New Roman" w:hAnsi="Times New Roman"/>
        </w:rPr>
        <w:t xml:space="preserve">thus </w:t>
      </w:r>
      <w:r w:rsidR="00776D8B" w:rsidRPr="00B14447">
        <w:rPr>
          <w:rFonts w:ascii="Times New Roman" w:hAnsi="Times New Roman"/>
        </w:rPr>
        <w:t xml:space="preserve">had not considered, the effect of the final trial being held only four weeks after the </w:t>
      </w:r>
      <w:r w:rsidR="00E0378E" w:rsidRPr="00B14447">
        <w:rPr>
          <w:rFonts w:ascii="Times New Roman" w:hAnsi="Times New Roman"/>
        </w:rPr>
        <w:t>earliest date for PBS listing</w:t>
      </w:r>
      <w:r w:rsidR="005E16CF" w:rsidRPr="00B14447">
        <w:rPr>
          <w:rFonts w:ascii="Times New Roman" w:hAnsi="Times New Roman"/>
        </w:rPr>
        <w:t>, with judgment to be delivered within</w:t>
      </w:r>
      <w:r w:rsidR="00F1427C" w:rsidRPr="00B14447">
        <w:rPr>
          <w:rFonts w:ascii="Times New Roman" w:hAnsi="Times New Roman"/>
        </w:rPr>
        <w:t xml:space="preserve"> just over four</w:t>
      </w:r>
      <w:r w:rsidR="005E16CF" w:rsidRPr="00B14447">
        <w:rPr>
          <w:rFonts w:ascii="Times New Roman" w:hAnsi="Times New Roman"/>
        </w:rPr>
        <w:t xml:space="preserve"> months</w:t>
      </w:r>
      <w:r w:rsidR="00E21D0B" w:rsidRPr="00B14447">
        <w:rPr>
          <w:rFonts w:ascii="Times New Roman" w:hAnsi="Times New Roman"/>
        </w:rPr>
        <w:t xml:space="preserve"> from that date</w:t>
      </w:r>
      <w:r w:rsidR="00E0378E" w:rsidRPr="00B14447">
        <w:rPr>
          <w:rFonts w:ascii="Times New Roman" w:hAnsi="Times New Roman"/>
        </w:rPr>
        <w:t xml:space="preserve">. </w:t>
      </w:r>
      <w:r w:rsidR="00BC5412" w:rsidRPr="00B14447">
        <w:rPr>
          <w:rFonts w:ascii="Times New Roman" w:hAnsi="Times New Roman"/>
        </w:rPr>
        <w:t xml:space="preserve"> </w:t>
      </w:r>
    </w:p>
    <w:p w14:paraId="3182CAB8" w14:textId="5312D59A" w:rsidR="000F74C6" w:rsidRPr="00B14447" w:rsidRDefault="00F5003C"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522E2D" w:rsidRPr="00B14447">
        <w:rPr>
          <w:rFonts w:ascii="Times New Roman" w:hAnsi="Times New Roman"/>
        </w:rPr>
        <w:t xml:space="preserve">In short, </w:t>
      </w:r>
      <w:r w:rsidR="00443B3F" w:rsidRPr="00B14447">
        <w:rPr>
          <w:rFonts w:ascii="Times New Roman" w:hAnsi="Times New Roman"/>
        </w:rPr>
        <w:t xml:space="preserve">irrespective of </w:t>
      </w:r>
      <w:r w:rsidR="00522E2D" w:rsidRPr="00B14447">
        <w:rPr>
          <w:rFonts w:ascii="Times New Roman" w:hAnsi="Times New Roman"/>
        </w:rPr>
        <w:t xml:space="preserve">whoever provided the </w:t>
      </w:r>
      <w:r w:rsidR="000F74C6" w:rsidRPr="00B14447">
        <w:rPr>
          <w:rFonts w:ascii="Times New Roman" w:hAnsi="Times New Roman"/>
        </w:rPr>
        <w:t xml:space="preserve">instructions </w:t>
      </w:r>
      <w:r w:rsidR="00362150" w:rsidRPr="00B14447">
        <w:rPr>
          <w:rFonts w:ascii="Times New Roman" w:hAnsi="Times New Roman"/>
        </w:rPr>
        <w:t xml:space="preserve">to senior counsel </w:t>
      </w:r>
      <w:r w:rsidR="00443B3F" w:rsidRPr="00B14447">
        <w:rPr>
          <w:rFonts w:ascii="Times New Roman" w:hAnsi="Times New Roman"/>
        </w:rPr>
        <w:t>and irrespective of Mr</w:t>
      </w:r>
      <w:r w:rsidR="001007F5" w:rsidRPr="00B14447">
        <w:rPr>
          <w:rFonts w:ascii="Times New Roman" w:hAnsi="Times New Roman"/>
        </w:rPr>
        <w:t> </w:t>
      </w:r>
      <w:r w:rsidR="00443B3F" w:rsidRPr="00B14447">
        <w:rPr>
          <w:rFonts w:ascii="Times New Roman" w:hAnsi="Times New Roman"/>
        </w:rPr>
        <w:t xml:space="preserve">Millichamp's views as to whether Apotex would launch at risk, </w:t>
      </w:r>
      <w:r w:rsidR="002A5EA1" w:rsidRPr="00B14447">
        <w:rPr>
          <w:rFonts w:ascii="Times New Roman" w:hAnsi="Times New Roman"/>
        </w:rPr>
        <w:t>the decision was to be made by Dr</w:t>
      </w:r>
      <w:r w:rsidR="001007F5" w:rsidRPr="00B14447">
        <w:rPr>
          <w:rFonts w:ascii="Times New Roman" w:hAnsi="Times New Roman"/>
        </w:rPr>
        <w:t> </w:t>
      </w:r>
      <w:r w:rsidR="002A5EA1" w:rsidRPr="00B14447">
        <w:rPr>
          <w:rFonts w:ascii="Times New Roman" w:hAnsi="Times New Roman"/>
        </w:rPr>
        <w:t xml:space="preserve">Sherman and at the time of senior counsel's submission </w:t>
      </w:r>
      <w:r w:rsidR="000F74C6" w:rsidRPr="00B14447">
        <w:rPr>
          <w:rFonts w:ascii="Times New Roman" w:hAnsi="Times New Roman"/>
        </w:rPr>
        <w:t>Dr</w:t>
      </w:r>
      <w:r w:rsidR="001007F5" w:rsidRPr="00B14447">
        <w:rPr>
          <w:rFonts w:ascii="Times New Roman" w:hAnsi="Times New Roman"/>
        </w:rPr>
        <w:t> </w:t>
      </w:r>
      <w:r w:rsidR="000F74C6" w:rsidRPr="00B14447">
        <w:rPr>
          <w:rFonts w:ascii="Times New Roman" w:hAnsi="Times New Roman"/>
        </w:rPr>
        <w:t xml:space="preserve">Sherman </w:t>
      </w:r>
      <w:r w:rsidR="00317691" w:rsidRPr="00B14447">
        <w:rPr>
          <w:rFonts w:ascii="Times New Roman" w:hAnsi="Times New Roman"/>
        </w:rPr>
        <w:t>did no</w:t>
      </w:r>
      <w:r w:rsidR="006B7BA0" w:rsidRPr="00B14447">
        <w:rPr>
          <w:rFonts w:ascii="Times New Roman" w:hAnsi="Times New Roman"/>
        </w:rPr>
        <w:t>t</w:t>
      </w:r>
      <w:r w:rsidR="00317691" w:rsidRPr="00B14447">
        <w:rPr>
          <w:rFonts w:ascii="Times New Roman" w:hAnsi="Times New Roman"/>
        </w:rPr>
        <w:t xml:space="preserve"> know that </w:t>
      </w:r>
      <w:r w:rsidR="000F74C6" w:rsidRPr="00B14447">
        <w:rPr>
          <w:rFonts w:ascii="Times New Roman" w:hAnsi="Times New Roman"/>
        </w:rPr>
        <w:t xml:space="preserve">PBS listing could </w:t>
      </w:r>
      <w:r w:rsidR="00317691" w:rsidRPr="00B14447">
        <w:rPr>
          <w:rFonts w:ascii="Times New Roman" w:hAnsi="Times New Roman"/>
        </w:rPr>
        <w:t xml:space="preserve">only </w:t>
      </w:r>
      <w:r w:rsidR="000F74C6" w:rsidRPr="00B14447">
        <w:rPr>
          <w:rFonts w:ascii="Times New Roman" w:hAnsi="Times New Roman"/>
        </w:rPr>
        <w:t>be achieved four weeks before the final hearing</w:t>
      </w:r>
      <w:r w:rsidR="00EF6FEC" w:rsidRPr="00B14447">
        <w:rPr>
          <w:rFonts w:ascii="Times New Roman" w:hAnsi="Times New Roman"/>
        </w:rPr>
        <w:t xml:space="preserve"> (and, at most</w:t>
      </w:r>
      <w:r w:rsidR="001007F5" w:rsidRPr="00B14447">
        <w:rPr>
          <w:rFonts w:ascii="Times New Roman" w:hAnsi="Times New Roman"/>
        </w:rPr>
        <w:t>,</w:t>
      </w:r>
      <w:r w:rsidR="00EF6FEC" w:rsidRPr="00B14447">
        <w:rPr>
          <w:rFonts w:ascii="Times New Roman" w:hAnsi="Times New Roman"/>
        </w:rPr>
        <w:t xml:space="preserve"> just over four months before a decision)</w:t>
      </w:r>
      <w:r w:rsidRPr="00B14447">
        <w:rPr>
          <w:rFonts w:ascii="Times New Roman" w:hAnsi="Times New Roman"/>
        </w:rPr>
        <w:t xml:space="preserve"> and </w:t>
      </w:r>
      <w:r w:rsidR="00147930" w:rsidRPr="00B14447">
        <w:rPr>
          <w:rFonts w:ascii="Times New Roman" w:hAnsi="Times New Roman"/>
        </w:rPr>
        <w:t>had not assessed the considerable significance of this</w:t>
      </w:r>
      <w:r w:rsidR="000F74C6" w:rsidRPr="00B14447">
        <w:rPr>
          <w:rFonts w:ascii="Times New Roman" w:hAnsi="Times New Roman"/>
        </w:rPr>
        <w:t>.</w:t>
      </w:r>
    </w:p>
    <w:p w14:paraId="2D280D96" w14:textId="31EC9C6E" w:rsidR="00EC47E9" w:rsidRPr="00B14447" w:rsidRDefault="00B57942"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Pr="00B14447">
        <w:rPr>
          <w:rFonts w:ascii="Times New Roman" w:hAnsi="Times New Roman"/>
          <w:b/>
          <w:bCs/>
        </w:rPr>
        <w:t>Thirdly</w:t>
      </w:r>
      <w:r w:rsidRPr="00B14447">
        <w:rPr>
          <w:rFonts w:ascii="Times New Roman" w:hAnsi="Times New Roman"/>
        </w:rPr>
        <w:t xml:space="preserve">, in a counter-factual world where the interlocutory injunction </w:t>
      </w:r>
      <w:r w:rsidR="003B12B9" w:rsidRPr="00B14447">
        <w:rPr>
          <w:rFonts w:ascii="Times New Roman" w:hAnsi="Times New Roman"/>
        </w:rPr>
        <w:t>had been sought but no decision had been given on it, the concurrent findings of the primary judge and</w:t>
      </w:r>
      <w:r w:rsidR="00096F54" w:rsidRPr="00B14447">
        <w:rPr>
          <w:rFonts w:ascii="Times New Roman" w:hAnsi="Times New Roman"/>
        </w:rPr>
        <w:t xml:space="preserve"> the</w:t>
      </w:r>
      <w:r w:rsidR="003B12B9" w:rsidRPr="00B14447">
        <w:rPr>
          <w:rFonts w:ascii="Times New Roman" w:hAnsi="Times New Roman"/>
        </w:rPr>
        <w:t xml:space="preserve"> Full Court were that </w:t>
      </w:r>
      <w:r w:rsidR="00456C6B" w:rsidRPr="00B14447">
        <w:rPr>
          <w:rFonts w:ascii="Times New Roman" w:hAnsi="Times New Roman"/>
        </w:rPr>
        <w:t xml:space="preserve">a risk/return analysis </w:t>
      </w:r>
      <w:r w:rsidR="006B7BA0" w:rsidRPr="00B14447">
        <w:rPr>
          <w:rFonts w:ascii="Times New Roman" w:hAnsi="Times New Roman"/>
        </w:rPr>
        <w:t xml:space="preserve">may have affected </w:t>
      </w:r>
      <w:r w:rsidR="00456C6B" w:rsidRPr="00B14447">
        <w:rPr>
          <w:rFonts w:ascii="Times New Roman" w:hAnsi="Times New Roman"/>
        </w:rPr>
        <w:t xml:space="preserve">a final decision as to whether to launch at risk. </w:t>
      </w:r>
      <w:r w:rsidR="00EC47E9" w:rsidRPr="00B14447">
        <w:rPr>
          <w:rFonts w:ascii="Times New Roman" w:hAnsi="Times New Roman"/>
        </w:rPr>
        <w:t>That risk/return analysis may have provided very powerful reasons not to launch at risk</w:t>
      </w:r>
      <w:r w:rsidR="00DD449B" w:rsidRPr="00B14447">
        <w:rPr>
          <w:rFonts w:ascii="Times New Roman" w:hAnsi="Times New Roman"/>
        </w:rPr>
        <w:t xml:space="preserve"> only four weeks before the final hearing which would have led to a decision</w:t>
      </w:r>
      <w:r w:rsidR="00037807" w:rsidRPr="00B14447">
        <w:rPr>
          <w:rFonts w:ascii="Times New Roman" w:hAnsi="Times New Roman"/>
        </w:rPr>
        <w:t xml:space="preserve"> soon afterwards (due to Gyles</w:t>
      </w:r>
      <w:r w:rsidR="000D1EDC" w:rsidRPr="00B14447">
        <w:rPr>
          <w:rFonts w:ascii="Times New Roman" w:hAnsi="Times New Roman"/>
        </w:rPr>
        <w:t> </w:t>
      </w:r>
      <w:r w:rsidR="00037807" w:rsidRPr="00B14447">
        <w:rPr>
          <w:rFonts w:ascii="Times New Roman" w:hAnsi="Times New Roman"/>
        </w:rPr>
        <w:t>J's retirement)</w:t>
      </w:r>
      <w:r w:rsidR="00DD449B" w:rsidRPr="00B14447">
        <w:rPr>
          <w:rFonts w:ascii="Times New Roman" w:hAnsi="Times New Roman"/>
        </w:rPr>
        <w:t xml:space="preserve"> that </w:t>
      </w:r>
      <w:r w:rsidR="000D1EDC" w:rsidRPr="00B14447">
        <w:rPr>
          <w:rFonts w:ascii="Times New Roman" w:hAnsi="Times New Roman"/>
        </w:rPr>
        <w:t xml:space="preserve">would have </w:t>
      </w:r>
      <w:r w:rsidR="00DD449B" w:rsidRPr="00B14447">
        <w:rPr>
          <w:rFonts w:ascii="Times New Roman" w:hAnsi="Times New Roman"/>
        </w:rPr>
        <w:t>removed any risk</w:t>
      </w:r>
      <w:r w:rsidR="00EC47E9" w:rsidRPr="00B14447">
        <w:rPr>
          <w:rFonts w:ascii="Times New Roman" w:hAnsi="Times New Roman"/>
        </w:rPr>
        <w:t xml:space="preserve">. </w:t>
      </w:r>
    </w:p>
    <w:p w14:paraId="38BBF036" w14:textId="1AC9C7CD" w:rsidR="008A0BF1" w:rsidRPr="00B14447" w:rsidRDefault="00EC47E9"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DE68E8" w:rsidRPr="00B14447">
        <w:rPr>
          <w:rFonts w:ascii="Times New Roman" w:hAnsi="Times New Roman"/>
        </w:rPr>
        <w:t>As explained above, o</w:t>
      </w:r>
      <w:r w:rsidR="00B57942" w:rsidRPr="00B14447">
        <w:rPr>
          <w:rFonts w:ascii="Times New Roman" w:hAnsi="Times New Roman"/>
        </w:rPr>
        <w:t>n 22</w:t>
      </w:r>
      <w:r w:rsidR="000D1EDC" w:rsidRPr="00B14447">
        <w:rPr>
          <w:rFonts w:ascii="Times New Roman" w:hAnsi="Times New Roman"/>
        </w:rPr>
        <w:t> </w:t>
      </w:r>
      <w:r w:rsidR="00B57942" w:rsidRPr="00B14447">
        <w:rPr>
          <w:rFonts w:ascii="Times New Roman" w:hAnsi="Times New Roman"/>
        </w:rPr>
        <w:t>June 2007, three days after Sanofi's United States patent had been upheld in the United States, Mr</w:t>
      </w:r>
      <w:r w:rsidR="00554A16" w:rsidRPr="00B14447">
        <w:rPr>
          <w:rFonts w:ascii="Times New Roman" w:hAnsi="Times New Roman"/>
        </w:rPr>
        <w:t> </w:t>
      </w:r>
      <w:r w:rsidR="00B57942" w:rsidRPr="00B14447">
        <w:rPr>
          <w:rFonts w:ascii="Times New Roman" w:hAnsi="Times New Roman"/>
        </w:rPr>
        <w:t>Millichamp</w:t>
      </w:r>
      <w:r w:rsidR="00DE68E8" w:rsidRPr="00B14447">
        <w:rPr>
          <w:rFonts w:ascii="Times New Roman" w:hAnsi="Times New Roman"/>
        </w:rPr>
        <w:t xml:space="preserve"> </w:t>
      </w:r>
      <w:r w:rsidR="00B57942" w:rsidRPr="00B14447">
        <w:rPr>
          <w:rFonts w:ascii="Times New Roman" w:hAnsi="Times New Roman"/>
        </w:rPr>
        <w:t>calculated the financial upside for a year</w:t>
      </w:r>
      <w:r w:rsidR="000D1EDC" w:rsidRPr="00B14447">
        <w:rPr>
          <w:rFonts w:ascii="Times New Roman" w:hAnsi="Times New Roman"/>
        </w:rPr>
        <w:t>,</w:t>
      </w:r>
      <w:r w:rsidR="00B57942" w:rsidRPr="00B14447">
        <w:rPr>
          <w:rFonts w:ascii="Times New Roman" w:hAnsi="Times New Roman"/>
        </w:rPr>
        <w:t xml:space="preserve"> in "net margin"</w:t>
      </w:r>
      <w:r w:rsidR="000D1EDC" w:rsidRPr="00B14447">
        <w:rPr>
          <w:rFonts w:ascii="Times New Roman" w:hAnsi="Times New Roman"/>
        </w:rPr>
        <w:t>,</w:t>
      </w:r>
      <w:r w:rsidR="00B57942" w:rsidRPr="00B14447">
        <w:rPr>
          <w:rFonts w:ascii="Times New Roman" w:hAnsi="Times New Roman"/>
        </w:rPr>
        <w:t xml:space="preserve"> </w:t>
      </w:r>
      <w:r w:rsidR="000D1EDC" w:rsidRPr="00B14447">
        <w:rPr>
          <w:rFonts w:ascii="Times New Roman" w:hAnsi="Times New Roman"/>
        </w:rPr>
        <w:t xml:space="preserve">of </w:t>
      </w:r>
      <w:r w:rsidR="00B57942" w:rsidRPr="00B14447">
        <w:rPr>
          <w:rFonts w:ascii="Times New Roman" w:hAnsi="Times New Roman"/>
        </w:rPr>
        <w:t>launching at risk. That upside was approximately $20</w:t>
      </w:r>
      <w:r w:rsidR="00C638B4" w:rsidRPr="00B14447">
        <w:rPr>
          <w:rFonts w:ascii="Times New Roman" w:hAnsi="Times New Roman"/>
        </w:rPr>
        <w:t> </w:t>
      </w:r>
      <w:r w:rsidR="00B57942" w:rsidRPr="00B14447">
        <w:rPr>
          <w:rFonts w:ascii="Times New Roman" w:hAnsi="Times New Roman"/>
        </w:rPr>
        <w:t xml:space="preserve">million if there was </w:t>
      </w:r>
      <w:r w:rsidR="0018460A" w:rsidRPr="00B14447">
        <w:rPr>
          <w:rFonts w:ascii="Times New Roman" w:hAnsi="Times New Roman"/>
        </w:rPr>
        <w:t>"</w:t>
      </w:r>
      <w:r w:rsidR="00B57942" w:rsidRPr="00B14447">
        <w:rPr>
          <w:rFonts w:ascii="Times New Roman" w:hAnsi="Times New Roman"/>
        </w:rPr>
        <w:t xml:space="preserve">no </w:t>
      </w:r>
      <w:r w:rsidR="0018460A" w:rsidRPr="00B14447">
        <w:rPr>
          <w:rFonts w:ascii="Times New Roman" w:hAnsi="Times New Roman"/>
        </w:rPr>
        <w:t>A</w:t>
      </w:r>
      <w:r w:rsidR="00B57942" w:rsidRPr="00B14447">
        <w:rPr>
          <w:rFonts w:ascii="Times New Roman" w:hAnsi="Times New Roman"/>
        </w:rPr>
        <w:t xml:space="preserve">uthorised </w:t>
      </w:r>
      <w:r w:rsidR="0018460A" w:rsidRPr="00B14447">
        <w:rPr>
          <w:rFonts w:ascii="Times New Roman" w:hAnsi="Times New Roman"/>
        </w:rPr>
        <w:t>G</w:t>
      </w:r>
      <w:r w:rsidR="00B57942" w:rsidRPr="00B14447">
        <w:rPr>
          <w:rFonts w:ascii="Times New Roman" w:hAnsi="Times New Roman"/>
        </w:rPr>
        <w:t>eneric launch</w:t>
      </w:r>
      <w:r w:rsidR="0018460A" w:rsidRPr="00B14447">
        <w:rPr>
          <w:rFonts w:ascii="Times New Roman" w:hAnsi="Times New Roman"/>
        </w:rPr>
        <w:t>"</w:t>
      </w:r>
      <w:r w:rsidR="00B57942" w:rsidRPr="00B14447">
        <w:rPr>
          <w:rFonts w:ascii="Times New Roman" w:hAnsi="Times New Roman"/>
        </w:rPr>
        <w:t xml:space="preserve"> or approximately $10</w:t>
      </w:r>
      <w:r w:rsidR="00C638B4" w:rsidRPr="00B14447">
        <w:rPr>
          <w:rFonts w:ascii="Times New Roman" w:hAnsi="Times New Roman"/>
        </w:rPr>
        <w:t> </w:t>
      </w:r>
      <w:r w:rsidR="00B57942" w:rsidRPr="00B14447">
        <w:rPr>
          <w:rFonts w:ascii="Times New Roman" w:hAnsi="Times New Roman"/>
        </w:rPr>
        <w:t xml:space="preserve">million if there was an </w:t>
      </w:r>
      <w:r w:rsidR="0018460A" w:rsidRPr="00B14447">
        <w:rPr>
          <w:rFonts w:ascii="Times New Roman" w:hAnsi="Times New Roman"/>
        </w:rPr>
        <w:t>"A</w:t>
      </w:r>
      <w:r w:rsidR="00B57942" w:rsidRPr="00B14447">
        <w:rPr>
          <w:rFonts w:ascii="Times New Roman" w:hAnsi="Times New Roman"/>
        </w:rPr>
        <w:t xml:space="preserve">uthorised </w:t>
      </w:r>
      <w:r w:rsidR="0018460A" w:rsidRPr="00B14447">
        <w:rPr>
          <w:rFonts w:ascii="Times New Roman" w:hAnsi="Times New Roman"/>
        </w:rPr>
        <w:t>G</w:t>
      </w:r>
      <w:r w:rsidR="00B57942" w:rsidRPr="00B14447">
        <w:rPr>
          <w:rFonts w:ascii="Times New Roman" w:hAnsi="Times New Roman"/>
        </w:rPr>
        <w:t>eneric launch</w:t>
      </w:r>
      <w:r w:rsidR="0018460A" w:rsidRPr="00B14447">
        <w:rPr>
          <w:rFonts w:ascii="Times New Roman" w:hAnsi="Times New Roman"/>
        </w:rPr>
        <w:t>"</w:t>
      </w:r>
      <w:r w:rsidR="00B57942" w:rsidRPr="00B14447">
        <w:rPr>
          <w:rFonts w:ascii="Times New Roman" w:hAnsi="Times New Roman"/>
        </w:rPr>
        <w:t xml:space="preserve">. </w:t>
      </w:r>
      <w:r w:rsidR="006A2444" w:rsidRPr="00B14447">
        <w:rPr>
          <w:rFonts w:ascii="Times New Roman" w:hAnsi="Times New Roman"/>
        </w:rPr>
        <w:t>There may also have been some incremental additional benefits (such as th</w:t>
      </w:r>
      <w:r w:rsidR="002A216F" w:rsidRPr="00B14447">
        <w:rPr>
          <w:rFonts w:ascii="Times New Roman" w:hAnsi="Times New Roman"/>
        </w:rPr>
        <w:t>at</w:t>
      </w:r>
      <w:r w:rsidR="006A2444" w:rsidRPr="00B14447">
        <w:rPr>
          <w:rFonts w:ascii="Times New Roman" w:hAnsi="Times New Roman"/>
        </w:rPr>
        <w:t xml:space="preserve"> referred to </w:t>
      </w:r>
      <w:r w:rsidR="006A2444" w:rsidRPr="00B14447">
        <w:rPr>
          <w:rFonts w:ascii="Times New Roman" w:hAnsi="Times New Roman"/>
        </w:rPr>
        <w:lastRenderedPageBreak/>
        <w:t>by Mr</w:t>
      </w:r>
      <w:r w:rsidR="00C638B4" w:rsidRPr="00B14447">
        <w:rPr>
          <w:rFonts w:ascii="Times New Roman" w:hAnsi="Times New Roman"/>
        </w:rPr>
        <w:t> </w:t>
      </w:r>
      <w:r w:rsidR="00437949" w:rsidRPr="00B14447">
        <w:rPr>
          <w:rFonts w:ascii="Times New Roman" w:hAnsi="Times New Roman"/>
        </w:rPr>
        <w:t xml:space="preserve">Millichamp </w:t>
      </w:r>
      <w:r w:rsidR="006A2444" w:rsidRPr="00B14447">
        <w:rPr>
          <w:rFonts w:ascii="Times New Roman" w:hAnsi="Times New Roman"/>
        </w:rPr>
        <w:t xml:space="preserve">on </w:t>
      </w:r>
      <w:r w:rsidR="00C638B4" w:rsidRPr="00B14447">
        <w:rPr>
          <w:rFonts w:ascii="Times New Roman" w:hAnsi="Times New Roman"/>
        </w:rPr>
        <w:t>22 </w:t>
      </w:r>
      <w:r w:rsidR="006A2444" w:rsidRPr="00B14447">
        <w:rPr>
          <w:rFonts w:ascii="Times New Roman" w:hAnsi="Times New Roman"/>
        </w:rPr>
        <w:t>June 2007</w:t>
      </w:r>
      <w:r w:rsidR="0054402B" w:rsidRPr="00B14447">
        <w:rPr>
          <w:rFonts w:ascii="Times New Roman" w:hAnsi="Times New Roman"/>
        </w:rPr>
        <w:t xml:space="preserve"> of acquiring new customers</w:t>
      </w:r>
      <w:r w:rsidR="006A2444" w:rsidRPr="00B14447">
        <w:rPr>
          <w:rFonts w:ascii="Times New Roman" w:hAnsi="Times New Roman"/>
        </w:rPr>
        <w:t>)</w:t>
      </w:r>
      <w:r w:rsidR="0054402B" w:rsidRPr="00B14447">
        <w:rPr>
          <w:rFonts w:ascii="Times New Roman" w:hAnsi="Times New Roman"/>
        </w:rPr>
        <w:t xml:space="preserve">. But </w:t>
      </w:r>
      <w:r w:rsidR="00B57942" w:rsidRPr="00B14447">
        <w:rPr>
          <w:rFonts w:ascii="Times New Roman" w:hAnsi="Times New Roman"/>
        </w:rPr>
        <w:t>Mr</w:t>
      </w:r>
      <w:r w:rsidR="00C638B4" w:rsidRPr="00B14447">
        <w:rPr>
          <w:rFonts w:ascii="Times New Roman" w:hAnsi="Times New Roman"/>
        </w:rPr>
        <w:t> </w:t>
      </w:r>
      <w:r w:rsidR="00B57942" w:rsidRPr="00B14447">
        <w:rPr>
          <w:rFonts w:ascii="Times New Roman" w:hAnsi="Times New Roman"/>
        </w:rPr>
        <w:t xml:space="preserve">Millichamp did not calculate the downside at that time. </w:t>
      </w:r>
      <w:r w:rsidR="00A425A5" w:rsidRPr="00B14447">
        <w:rPr>
          <w:rFonts w:ascii="Times New Roman" w:hAnsi="Times New Roman"/>
        </w:rPr>
        <w:t>Although</w:t>
      </w:r>
      <w:r w:rsidR="00B57942" w:rsidRPr="00B14447">
        <w:rPr>
          <w:rFonts w:ascii="Times New Roman" w:hAnsi="Times New Roman"/>
        </w:rPr>
        <w:t xml:space="preserve"> he recognised that a bank guarantee required </w:t>
      </w:r>
      <w:r w:rsidR="00C86534" w:rsidRPr="00B14447">
        <w:rPr>
          <w:rFonts w:ascii="Times New Roman" w:hAnsi="Times New Roman"/>
        </w:rPr>
        <w:t xml:space="preserve">to secure </w:t>
      </w:r>
      <w:r w:rsidR="00B57942" w:rsidRPr="00B14447">
        <w:rPr>
          <w:rFonts w:ascii="Times New Roman" w:hAnsi="Times New Roman"/>
        </w:rPr>
        <w:t xml:space="preserve">one year </w:t>
      </w:r>
      <w:r w:rsidR="00C86534" w:rsidRPr="00B14447">
        <w:rPr>
          <w:rFonts w:ascii="Times New Roman" w:hAnsi="Times New Roman"/>
        </w:rPr>
        <w:t xml:space="preserve">of Sanofi's </w:t>
      </w:r>
      <w:r w:rsidR="00B57942" w:rsidRPr="00B14447">
        <w:rPr>
          <w:rFonts w:ascii="Times New Roman" w:hAnsi="Times New Roman"/>
        </w:rPr>
        <w:t xml:space="preserve">damages </w:t>
      </w:r>
      <w:r w:rsidR="002A006F" w:rsidRPr="00B14447">
        <w:rPr>
          <w:rFonts w:ascii="Times New Roman" w:hAnsi="Times New Roman"/>
        </w:rPr>
        <w:t>"c</w:t>
      </w:r>
      <w:r w:rsidR="00B57942" w:rsidRPr="00B14447">
        <w:rPr>
          <w:rFonts w:ascii="Times New Roman" w:hAnsi="Times New Roman"/>
        </w:rPr>
        <w:t xml:space="preserve">ould be </w:t>
      </w:r>
      <w:r w:rsidR="002A006F" w:rsidRPr="00B14447">
        <w:rPr>
          <w:rFonts w:ascii="Times New Roman" w:hAnsi="Times New Roman"/>
        </w:rPr>
        <w:t>in the range</w:t>
      </w:r>
      <w:r w:rsidR="00B57942" w:rsidRPr="00B14447">
        <w:rPr>
          <w:rFonts w:ascii="Times New Roman" w:hAnsi="Times New Roman"/>
        </w:rPr>
        <w:t xml:space="preserve"> of</w:t>
      </w:r>
      <w:r w:rsidR="009D57A7" w:rsidRPr="00B14447">
        <w:rPr>
          <w:rFonts w:ascii="Times New Roman" w:hAnsi="Times New Roman"/>
        </w:rPr>
        <w:t>"</w:t>
      </w:r>
      <w:r w:rsidR="00B57942" w:rsidRPr="00B14447">
        <w:rPr>
          <w:rFonts w:ascii="Times New Roman" w:hAnsi="Times New Roman"/>
        </w:rPr>
        <w:t xml:space="preserve"> $50 to $70</w:t>
      </w:r>
      <w:r w:rsidR="00C638B4" w:rsidRPr="00B14447">
        <w:rPr>
          <w:rFonts w:ascii="Times New Roman" w:hAnsi="Times New Roman"/>
        </w:rPr>
        <w:t> </w:t>
      </w:r>
      <w:r w:rsidR="00B57942" w:rsidRPr="00B14447">
        <w:rPr>
          <w:rFonts w:ascii="Times New Roman" w:hAnsi="Times New Roman"/>
        </w:rPr>
        <w:t>million</w:t>
      </w:r>
      <w:r w:rsidR="00D3237A" w:rsidRPr="00B14447">
        <w:rPr>
          <w:rFonts w:ascii="Times New Roman" w:hAnsi="Times New Roman"/>
        </w:rPr>
        <w:t>,</w:t>
      </w:r>
      <w:r w:rsidR="00B57942" w:rsidRPr="00B14447">
        <w:rPr>
          <w:rFonts w:ascii="Times New Roman" w:hAnsi="Times New Roman"/>
        </w:rPr>
        <w:t xml:space="preserve"> </w:t>
      </w:r>
      <w:r w:rsidR="00F00CDE" w:rsidRPr="00B14447">
        <w:rPr>
          <w:rFonts w:ascii="Times New Roman" w:hAnsi="Times New Roman"/>
        </w:rPr>
        <w:t xml:space="preserve">that amount </w:t>
      </w:r>
      <w:r w:rsidR="00B57942" w:rsidRPr="00B14447">
        <w:rPr>
          <w:rFonts w:ascii="Times New Roman" w:hAnsi="Times New Roman"/>
        </w:rPr>
        <w:t>was plainly not contemplated as the maximum downside.</w:t>
      </w:r>
      <w:r w:rsidR="00873CBA" w:rsidRPr="00B14447">
        <w:rPr>
          <w:rFonts w:ascii="Times New Roman" w:hAnsi="Times New Roman"/>
        </w:rPr>
        <w:t xml:space="preserve"> Mr</w:t>
      </w:r>
      <w:r w:rsidR="00F51FF8" w:rsidRPr="00B14447">
        <w:rPr>
          <w:rFonts w:ascii="Times New Roman" w:hAnsi="Times New Roman"/>
        </w:rPr>
        <w:t> </w:t>
      </w:r>
      <w:r w:rsidR="00873CBA" w:rsidRPr="00B14447">
        <w:rPr>
          <w:rFonts w:ascii="Times New Roman" w:hAnsi="Times New Roman"/>
        </w:rPr>
        <w:t xml:space="preserve">Millichamp recognised that the amount of security required </w:t>
      </w:r>
      <w:r w:rsidR="00EA515F" w:rsidRPr="00B14447">
        <w:rPr>
          <w:rFonts w:ascii="Times New Roman" w:hAnsi="Times New Roman"/>
        </w:rPr>
        <w:t>c</w:t>
      </w:r>
      <w:r w:rsidR="00873CBA" w:rsidRPr="00B14447">
        <w:rPr>
          <w:rFonts w:ascii="Times New Roman" w:hAnsi="Times New Roman"/>
        </w:rPr>
        <w:t xml:space="preserve">ould increase over time. </w:t>
      </w:r>
    </w:p>
    <w:p w14:paraId="5C61316F" w14:textId="347BC9AD" w:rsidR="00873CBA" w:rsidRPr="00B14447" w:rsidRDefault="008A0BF1" w:rsidP="00B14447">
      <w:pPr>
        <w:pStyle w:val="FixListStyle"/>
        <w:spacing w:after="260" w:line="280" w:lineRule="exact"/>
        <w:ind w:right="0"/>
        <w:jc w:val="both"/>
        <w:rPr>
          <w:rFonts w:ascii="Times New Roman" w:hAnsi="Times New Roman"/>
        </w:rPr>
      </w:pPr>
      <w:r w:rsidRPr="00B14447">
        <w:rPr>
          <w:rFonts w:ascii="Times New Roman" w:hAnsi="Times New Roman"/>
          <w:b/>
          <w:bCs/>
        </w:rPr>
        <w:tab/>
      </w:r>
      <w:r w:rsidRPr="00B14447">
        <w:rPr>
          <w:rFonts w:ascii="Times New Roman" w:hAnsi="Times New Roman"/>
        </w:rPr>
        <w:t>Compared with the upside of</w:t>
      </w:r>
      <w:r w:rsidR="00957FC3" w:rsidRPr="00B14447">
        <w:rPr>
          <w:rFonts w:ascii="Times New Roman" w:hAnsi="Times New Roman"/>
        </w:rPr>
        <w:t>,</w:t>
      </w:r>
      <w:r w:rsidRPr="00B14447">
        <w:rPr>
          <w:rFonts w:ascii="Times New Roman" w:hAnsi="Times New Roman"/>
        </w:rPr>
        <w:t xml:space="preserve"> </w:t>
      </w:r>
      <w:r w:rsidR="00055ADB" w:rsidRPr="00B14447">
        <w:rPr>
          <w:rFonts w:ascii="Times New Roman" w:hAnsi="Times New Roman"/>
        </w:rPr>
        <w:t>at best</w:t>
      </w:r>
      <w:r w:rsidR="00957FC3" w:rsidRPr="00B14447">
        <w:rPr>
          <w:rFonts w:ascii="Times New Roman" w:hAnsi="Times New Roman"/>
        </w:rPr>
        <w:t>,</w:t>
      </w:r>
      <w:r w:rsidR="00055ADB" w:rsidRPr="00B14447">
        <w:rPr>
          <w:rFonts w:ascii="Times New Roman" w:hAnsi="Times New Roman"/>
        </w:rPr>
        <w:t xml:space="preserve"> $20</w:t>
      </w:r>
      <w:r w:rsidR="00FA6E14" w:rsidRPr="00B14447">
        <w:rPr>
          <w:rFonts w:ascii="Times New Roman" w:hAnsi="Times New Roman"/>
        </w:rPr>
        <w:t> </w:t>
      </w:r>
      <w:r w:rsidR="00055ADB" w:rsidRPr="00B14447">
        <w:rPr>
          <w:rFonts w:ascii="Times New Roman" w:hAnsi="Times New Roman"/>
        </w:rPr>
        <w:t>million</w:t>
      </w:r>
      <w:r w:rsidR="00957FC3" w:rsidRPr="00B14447">
        <w:rPr>
          <w:rFonts w:ascii="Times New Roman" w:hAnsi="Times New Roman"/>
        </w:rPr>
        <w:t>,</w:t>
      </w:r>
      <w:r w:rsidR="00055ADB" w:rsidRPr="00B14447">
        <w:rPr>
          <w:rFonts w:ascii="Times New Roman" w:hAnsi="Times New Roman"/>
        </w:rPr>
        <w:t xml:space="preserve"> the downside was enormous. </w:t>
      </w:r>
      <w:r w:rsidR="0065589E" w:rsidRPr="00B14447">
        <w:rPr>
          <w:rFonts w:ascii="Times New Roman" w:hAnsi="Times New Roman"/>
        </w:rPr>
        <w:t xml:space="preserve">In cross-examination, Mr Millichamp accepted that "certainly </w:t>
      </w:r>
      <w:r w:rsidR="000163A2" w:rsidRPr="00B14447">
        <w:rPr>
          <w:rFonts w:ascii="Times New Roman" w:hAnsi="Times New Roman"/>
        </w:rPr>
        <w:t>[Apotex headquarters]</w:t>
      </w:r>
      <w:r w:rsidR="0065589E" w:rsidRPr="00B14447">
        <w:rPr>
          <w:rFonts w:ascii="Times New Roman" w:hAnsi="Times New Roman"/>
        </w:rPr>
        <w:t xml:space="preserve"> were aware there was a huge exposure, or a very substantial exposure"</w:t>
      </w:r>
      <w:r w:rsidR="00D524E4" w:rsidRPr="00B14447">
        <w:rPr>
          <w:rFonts w:ascii="Times New Roman" w:hAnsi="Times New Roman"/>
        </w:rPr>
        <w:t>.</w:t>
      </w:r>
      <w:r w:rsidR="0065589E" w:rsidRPr="00B14447">
        <w:rPr>
          <w:rFonts w:ascii="Times New Roman" w:hAnsi="Times New Roman"/>
        </w:rPr>
        <w:t xml:space="preserve"> </w:t>
      </w:r>
      <w:r w:rsidR="005C0E75" w:rsidRPr="00B14447">
        <w:rPr>
          <w:rFonts w:ascii="Times New Roman" w:hAnsi="Times New Roman"/>
        </w:rPr>
        <w:t>As the primary judge recognised, i</w:t>
      </w:r>
      <w:r w:rsidR="0065589E" w:rsidRPr="00B14447">
        <w:rPr>
          <w:rFonts w:ascii="Times New Roman" w:hAnsi="Times New Roman"/>
        </w:rPr>
        <w:t>n July 2008, Mr</w:t>
      </w:r>
      <w:r w:rsidR="00FA6E14" w:rsidRPr="00B14447">
        <w:rPr>
          <w:rFonts w:ascii="Times New Roman" w:hAnsi="Times New Roman"/>
        </w:rPr>
        <w:t> </w:t>
      </w:r>
      <w:r w:rsidR="0065589E" w:rsidRPr="00B14447">
        <w:rPr>
          <w:rFonts w:ascii="Times New Roman" w:hAnsi="Times New Roman"/>
        </w:rPr>
        <w:t>Millichamp calculated the downside as $166</w:t>
      </w:r>
      <w:r w:rsidR="00FA6E14" w:rsidRPr="00B14447">
        <w:rPr>
          <w:rFonts w:ascii="Times New Roman" w:hAnsi="Times New Roman"/>
        </w:rPr>
        <w:t> </w:t>
      </w:r>
      <w:r w:rsidR="0065589E" w:rsidRPr="00B14447">
        <w:rPr>
          <w:rFonts w:ascii="Times New Roman" w:hAnsi="Times New Roman"/>
        </w:rPr>
        <w:t>million</w:t>
      </w:r>
      <w:r w:rsidR="005C0E75" w:rsidRPr="00B14447">
        <w:rPr>
          <w:rFonts w:ascii="Times New Roman" w:hAnsi="Times New Roman"/>
        </w:rPr>
        <w:t xml:space="preserve"> and evidence of a further risk/reward analysis undertaken in September 2009 showed a potential exposure of more than $650 million</w:t>
      </w:r>
      <w:r w:rsidRPr="00B14447">
        <w:rPr>
          <w:rFonts w:ascii="Times New Roman" w:hAnsi="Times New Roman"/>
        </w:rPr>
        <w:t xml:space="preserve">. </w:t>
      </w:r>
      <w:r w:rsidR="00873CBA" w:rsidRPr="00B14447">
        <w:rPr>
          <w:rFonts w:ascii="Times New Roman" w:hAnsi="Times New Roman"/>
        </w:rPr>
        <w:t xml:space="preserve">On top of that, </w:t>
      </w:r>
      <w:r w:rsidR="00E1741B" w:rsidRPr="00B14447">
        <w:rPr>
          <w:rFonts w:ascii="Times New Roman" w:hAnsi="Times New Roman"/>
        </w:rPr>
        <w:t>on 2</w:t>
      </w:r>
      <w:r w:rsidR="00DC7D20" w:rsidRPr="00B14447">
        <w:rPr>
          <w:rFonts w:ascii="Times New Roman" w:hAnsi="Times New Roman"/>
        </w:rPr>
        <w:t>5</w:t>
      </w:r>
      <w:r w:rsidR="00E1741B" w:rsidRPr="00B14447">
        <w:rPr>
          <w:rFonts w:ascii="Times New Roman" w:hAnsi="Times New Roman"/>
        </w:rPr>
        <w:t xml:space="preserve"> June 2007 </w:t>
      </w:r>
      <w:r w:rsidR="00873CBA" w:rsidRPr="00B14447">
        <w:rPr>
          <w:rFonts w:ascii="Times New Roman" w:hAnsi="Times New Roman"/>
        </w:rPr>
        <w:t>Mr</w:t>
      </w:r>
      <w:r w:rsidR="00F51FF8" w:rsidRPr="00B14447">
        <w:rPr>
          <w:rFonts w:ascii="Times New Roman" w:hAnsi="Times New Roman"/>
        </w:rPr>
        <w:t> </w:t>
      </w:r>
      <w:r w:rsidR="00873CBA" w:rsidRPr="00B14447">
        <w:rPr>
          <w:rFonts w:ascii="Times New Roman" w:hAnsi="Times New Roman"/>
        </w:rPr>
        <w:t>Millichamp</w:t>
      </w:r>
      <w:r w:rsidR="00E1741B" w:rsidRPr="00B14447">
        <w:rPr>
          <w:rFonts w:ascii="Times New Roman" w:hAnsi="Times New Roman"/>
        </w:rPr>
        <w:t xml:space="preserve"> had</w:t>
      </w:r>
      <w:r w:rsidR="00873CBA" w:rsidRPr="00B14447">
        <w:rPr>
          <w:rFonts w:ascii="Times New Roman" w:hAnsi="Times New Roman"/>
        </w:rPr>
        <w:t xml:space="preserve"> recognised the reputational risk if a launch at risk occurred and an injunction was</w:t>
      </w:r>
      <w:r w:rsidR="0019579F" w:rsidRPr="00B14447">
        <w:rPr>
          <w:rFonts w:ascii="Times New Roman" w:hAnsi="Times New Roman"/>
        </w:rPr>
        <w:t xml:space="preserve"> subsequently</w:t>
      </w:r>
      <w:r w:rsidR="00873CBA" w:rsidRPr="00B14447">
        <w:rPr>
          <w:rFonts w:ascii="Times New Roman" w:hAnsi="Times New Roman"/>
        </w:rPr>
        <w:t xml:space="preserve"> ordered</w:t>
      </w:r>
      <w:r w:rsidR="0019579F" w:rsidRPr="00B14447">
        <w:rPr>
          <w:rFonts w:ascii="Times New Roman" w:hAnsi="Times New Roman"/>
        </w:rPr>
        <w:t xml:space="preserve"> restraining supply</w:t>
      </w:r>
      <w:r w:rsidR="00873CBA" w:rsidRPr="00B14447">
        <w:rPr>
          <w:rFonts w:ascii="Times New Roman" w:hAnsi="Times New Roman"/>
        </w:rPr>
        <w:t>. In order to minimise that reputational risk, he observed that customers would have to be notified that "this is a high risk launch".</w:t>
      </w:r>
    </w:p>
    <w:p w14:paraId="4D429F88" w14:textId="299EF70E" w:rsidR="00A0186B" w:rsidRPr="00B14447" w:rsidRDefault="00A0186B"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Commonwealth submitted that </w:t>
      </w:r>
      <w:r w:rsidR="00E06E19" w:rsidRPr="00B14447">
        <w:rPr>
          <w:rFonts w:ascii="Times New Roman" w:hAnsi="Times New Roman"/>
        </w:rPr>
        <w:t xml:space="preserve">the risk/reward analyses were irrelevant because </w:t>
      </w:r>
      <w:r w:rsidR="00DE4EC6" w:rsidRPr="00B14447">
        <w:rPr>
          <w:rFonts w:ascii="Times New Roman" w:hAnsi="Times New Roman"/>
        </w:rPr>
        <w:t>Apotex</w:t>
      </w:r>
      <w:r w:rsidR="00E06E19" w:rsidRPr="00B14447">
        <w:rPr>
          <w:rFonts w:ascii="Times New Roman" w:hAnsi="Times New Roman"/>
        </w:rPr>
        <w:t xml:space="preserve"> must have </w:t>
      </w:r>
      <w:r w:rsidR="00A27521" w:rsidRPr="00B14447">
        <w:rPr>
          <w:rFonts w:ascii="Times New Roman" w:hAnsi="Times New Roman"/>
        </w:rPr>
        <w:t xml:space="preserve">known at all stages of the potential for ruinous damages. </w:t>
      </w:r>
      <w:r w:rsidR="00B648A6" w:rsidRPr="00B14447">
        <w:rPr>
          <w:rFonts w:ascii="Times New Roman" w:hAnsi="Times New Roman"/>
        </w:rPr>
        <w:t>But the relevant knowledge needed to be held by Dr</w:t>
      </w:r>
      <w:r w:rsidR="003476A0" w:rsidRPr="00B14447">
        <w:rPr>
          <w:rFonts w:ascii="Times New Roman" w:hAnsi="Times New Roman"/>
        </w:rPr>
        <w:t> </w:t>
      </w:r>
      <w:r w:rsidR="00B648A6" w:rsidRPr="00B14447">
        <w:rPr>
          <w:rFonts w:ascii="Times New Roman" w:hAnsi="Times New Roman"/>
        </w:rPr>
        <w:t>Sherman since he was the decision</w:t>
      </w:r>
      <w:r w:rsidR="00B6139C" w:rsidRPr="00B14447">
        <w:rPr>
          <w:rFonts w:ascii="Times New Roman" w:hAnsi="Times New Roman"/>
        </w:rPr>
        <w:t>-</w:t>
      </w:r>
      <w:r w:rsidR="00B648A6" w:rsidRPr="00B14447">
        <w:rPr>
          <w:rFonts w:ascii="Times New Roman" w:hAnsi="Times New Roman"/>
        </w:rPr>
        <w:t xml:space="preserve">maker. And, although he gave no evidence, </w:t>
      </w:r>
      <w:r w:rsidR="00A27521" w:rsidRPr="00B14447">
        <w:rPr>
          <w:rFonts w:ascii="Times New Roman" w:hAnsi="Times New Roman"/>
        </w:rPr>
        <w:t>the evidence suggests th</w:t>
      </w:r>
      <w:r w:rsidR="00B648A6" w:rsidRPr="00B14447">
        <w:rPr>
          <w:rFonts w:ascii="Times New Roman" w:hAnsi="Times New Roman"/>
        </w:rPr>
        <w:t>at he was not aware of the extent of the</w:t>
      </w:r>
      <w:r w:rsidR="00F51430" w:rsidRPr="00B14447">
        <w:rPr>
          <w:rFonts w:ascii="Times New Roman" w:hAnsi="Times New Roman"/>
        </w:rPr>
        <w:t xml:space="preserve"> possible damages in September </w:t>
      </w:r>
      <w:r w:rsidR="00A62F88" w:rsidRPr="00B14447">
        <w:rPr>
          <w:rFonts w:ascii="Times New Roman" w:hAnsi="Times New Roman"/>
        </w:rPr>
        <w:t>2</w:t>
      </w:r>
      <w:r w:rsidR="00F51430" w:rsidRPr="00B14447">
        <w:rPr>
          <w:rFonts w:ascii="Times New Roman" w:hAnsi="Times New Roman"/>
        </w:rPr>
        <w:t>007</w:t>
      </w:r>
      <w:r w:rsidR="00A27521" w:rsidRPr="00B14447">
        <w:rPr>
          <w:rFonts w:ascii="Times New Roman" w:hAnsi="Times New Roman"/>
        </w:rPr>
        <w:t xml:space="preserve">. </w:t>
      </w:r>
      <w:r w:rsidR="005D79C7" w:rsidRPr="00B14447">
        <w:rPr>
          <w:rFonts w:ascii="Times New Roman" w:hAnsi="Times New Roman"/>
        </w:rPr>
        <w:t>It is one thing for Dr</w:t>
      </w:r>
      <w:r w:rsidR="00C57168" w:rsidRPr="00B14447">
        <w:rPr>
          <w:rFonts w:ascii="Times New Roman" w:hAnsi="Times New Roman"/>
        </w:rPr>
        <w:t> </w:t>
      </w:r>
      <w:r w:rsidR="005D79C7" w:rsidRPr="00B14447">
        <w:rPr>
          <w:rFonts w:ascii="Times New Roman" w:hAnsi="Times New Roman"/>
        </w:rPr>
        <w:t xml:space="preserve">Sherman to </w:t>
      </w:r>
      <w:r w:rsidR="002F6075" w:rsidRPr="00B14447">
        <w:rPr>
          <w:rFonts w:ascii="Times New Roman" w:hAnsi="Times New Roman"/>
        </w:rPr>
        <w:t xml:space="preserve">have </w:t>
      </w:r>
      <w:r w:rsidR="005D79C7" w:rsidRPr="00B14447">
        <w:rPr>
          <w:rFonts w:ascii="Times New Roman" w:hAnsi="Times New Roman"/>
        </w:rPr>
        <w:t>be</w:t>
      </w:r>
      <w:r w:rsidR="002F6075" w:rsidRPr="00B14447">
        <w:rPr>
          <w:rFonts w:ascii="Times New Roman" w:hAnsi="Times New Roman"/>
        </w:rPr>
        <w:t>en</w:t>
      </w:r>
      <w:r w:rsidR="005D79C7" w:rsidRPr="00B14447">
        <w:rPr>
          <w:rFonts w:ascii="Times New Roman" w:hAnsi="Times New Roman"/>
        </w:rPr>
        <w:t xml:space="preserve"> aware of a </w:t>
      </w:r>
      <w:r w:rsidR="000163A2" w:rsidRPr="00B14447">
        <w:rPr>
          <w:rFonts w:ascii="Times New Roman" w:hAnsi="Times New Roman"/>
        </w:rPr>
        <w:t>very substantial exposure or downside</w:t>
      </w:r>
      <w:r w:rsidR="002675C6" w:rsidRPr="00B14447">
        <w:rPr>
          <w:rFonts w:ascii="Times New Roman" w:hAnsi="Times New Roman"/>
        </w:rPr>
        <w:t xml:space="preserve"> without the precision of any quantification</w:t>
      </w:r>
      <w:r w:rsidR="000163A2" w:rsidRPr="00B14447">
        <w:rPr>
          <w:rFonts w:ascii="Times New Roman" w:hAnsi="Times New Roman"/>
        </w:rPr>
        <w:t>. It is quite another to perform the exercise with precision</w:t>
      </w:r>
      <w:r w:rsidR="00D61B8D" w:rsidRPr="00B14447">
        <w:rPr>
          <w:rFonts w:ascii="Times New Roman" w:hAnsi="Times New Roman"/>
        </w:rPr>
        <w:t>, as may have occurred on the counter-factual,</w:t>
      </w:r>
      <w:r w:rsidR="000163A2" w:rsidRPr="00B14447">
        <w:rPr>
          <w:rFonts w:ascii="Times New Roman" w:hAnsi="Times New Roman"/>
        </w:rPr>
        <w:t xml:space="preserve"> of comparing the </w:t>
      </w:r>
      <w:r w:rsidR="008E758A" w:rsidRPr="00B14447">
        <w:rPr>
          <w:rFonts w:ascii="Times New Roman" w:hAnsi="Times New Roman"/>
        </w:rPr>
        <w:t xml:space="preserve">potential </w:t>
      </w:r>
      <w:r w:rsidR="002675C6" w:rsidRPr="00B14447">
        <w:rPr>
          <w:rFonts w:ascii="Times New Roman" w:hAnsi="Times New Roman"/>
        </w:rPr>
        <w:t>$20</w:t>
      </w:r>
      <w:r w:rsidR="00C57168" w:rsidRPr="00B14447">
        <w:rPr>
          <w:rFonts w:ascii="Times New Roman" w:hAnsi="Times New Roman"/>
        </w:rPr>
        <w:t> </w:t>
      </w:r>
      <w:r w:rsidR="002675C6" w:rsidRPr="00B14447">
        <w:rPr>
          <w:rFonts w:ascii="Times New Roman" w:hAnsi="Times New Roman"/>
        </w:rPr>
        <w:t xml:space="preserve">million upside </w:t>
      </w:r>
      <w:r w:rsidR="008E758A" w:rsidRPr="00B14447">
        <w:rPr>
          <w:rFonts w:ascii="Times New Roman" w:hAnsi="Times New Roman"/>
        </w:rPr>
        <w:t xml:space="preserve">with </w:t>
      </w:r>
      <w:r w:rsidR="00D61B8D" w:rsidRPr="00B14447">
        <w:rPr>
          <w:rFonts w:ascii="Times New Roman" w:hAnsi="Times New Roman"/>
        </w:rPr>
        <w:t>a downside of $166</w:t>
      </w:r>
      <w:r w:rsidR="00C57168" w:rsidRPr="00B14447">
        <w:rPr>
          <w:rFonts w:ascii="Times New Roman" w:hAnsi="Times New Roman"/>
        </w:rPr>
        <w:t> </w:t>
      </w:r>
      <w:r w:rsidR="00D61B8D" w:rsidRPr="00B14447">
        <w:rPr>
          <w:rFonts w:ascii="Times New Roman" w:hAnsi="Times New Roman"/>
        </w:rPr>
        <w:t xml:space="preserve">million </w:t>
      </w:r>
      <w:r w:rsidR="00C57168" w:rsidRPr="00B14447">
        <w:rPr>
          <w:rFonts w:ascii="Times New Roman" w:hAnsi="Times New Roman"/>
        </w:rPr>
        <w:t>or</w:t>
      </w:r>
      <w:r w:rsidR="00D61B8D" w:rsidRPr="00B14447">
        <w:rPr>
          <w:rFonts w:ascii="Times New Roman" w:hAnsi="Times New Roman"/>
        </w:rPr>
        <w:t>, perhaps on re-assessment, $650</w:t>
      </w:r>
      <w:r w:rsidR="00C57168" w:rsidRPr="00B14447">
        <w:rPr>
          <w:rFonts w:ascii="Times New Roman" w:hAnsi="Times New Roman"/>
        </w:rPr>
        <w:t> </w:t>
      </w:r>
      <w:r w:rsidR="00D61B8D" w:rsidRPr="00B14447">
        <w:rPr>
          <w:rFonts w:ascii="Times New Roman" w:hAnsi="Times New Roman"/>
        </w:rPr>
        <w:t>million</w:t>
      </w:r>
      <w:r w:rsidR="00F51430" w:rsidRPr="00B14447">
        <w:rPr>
          <w:rFonts w:ascii="Times New Roman" w:hAnsi="Times New Roman"/>
        </w:rPr>
        <w:t xml:space="preserve">, as the </w:t>
      </w:r>
      <w:r w:rsidR="0094584F" w:rsidRPr="00B14447">
        <w:rPr>
          <w:rFonts w:ascii="Times New Roman" w:hAnsi="Times New Roman"/>
        </w:rPr>
        <w:t>risk/reward analyses showed in 2008 and 2009</w:t>
      </w:r>
      <w:r w:rsidR="002675C6" w:rsidRPr="00B14447">
        <w:rPr>
          <w:rFonts w:ascii="Times New Roman" w:hAnsi="Times New Roman"/>
        </w:rPr>
        <w:t xml:space="preserve">. </w:t>
      </w:r>
    </w:p>
    <w:p w14:paraId="07D25C00" w14:textId="376F4BDA" w:rsidR="008C26FE" w:rsidRPr="00B14447" w:rsidRDefault="0065589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B57942" w:rsidRPr="00B14447">
        <w:rPr>
          <w:rFonts w:ascii="Times New Roman" w:hAnsi="Times New Roman"/>
        </w:rPr>
        <w:t>Th</w:t>
      </w:r>
      <w:r w:rsidR="00DD449B" w:rsidRPr="00B14447">
        <w:rPr>
          <w:rFonts w:ascii="Times New Roman" w:hAnsi="Times New Roman"/>
        </w:rPr>
        <w:t>e Commonwealth submitted that the</w:t>
      </w:r>
      <w:r w:rsidR="00B57942" w:rsidRPr="00B14447">
        <w:rPr>
          <w:rFonts w:ascii="Times New Roman" w:hAnsi="Times New Roman"/>
        </w:rPr>
        <w:t xml:space="preserve"> downside </w:t>
      </w:r>
      <w:r w:rsidR="00C878F3" w:rsidRPr="00B14447">
        <w:rPr>
          <w:rFonts w:ascii="Times New Roman" w:hAnsi="Times New Roman"/>
        </w:rPr>
        <w:t xml:space="preserve">calculations </w:t>
      </w:r>
      <w:r w:rsidR="00E9518F" w:rsidRPr="00B14447">
        <w:rPr>
          <w:rFonts w:ascii="Times New Roman" w:hAnsi="Times New Roman"/>
        </w:rPr>
        <w:t xml:space="preserve">made in July 2008 and September 2009 </w:t>
      </w:r>
      <w:r w:rsidR="00C878F3" w:rsidRPr="00B14447">
        <w:rPr>
          <w:rFonts w:ascii="Times New Roman" w:hAnsi="Times New Roman"/>
        </w:rPr>
        <w:t xml:space="preserve">were based </w:t>
      </w:r>
      <w:r w:rsidR="00B57942" w:rsidRPr="00B14447">
        <w:rPr>
          <w:rFonts w:ascii="Times New Roman" w:hAnsi="Times New Roman"/>
        </w:rPr>
        <w:t xml:space="preserve">on the </w:t>
      </w:r>
      <w:r w:rsidR="00E81DA2" w:rsidRPr="00B14447">
        <w:rPr>
          <w:rFonts w:ascii="Times New Roman" w:hAnsi="Times New Roman"/>
        </w:rPr>
        <w:t xml:space="preserve">erroneous </w:t>
      </w:r>
      <w:r w:rsidR="00B57942" w:rsidRPr="00B14447">
        <w:rPr>
          <w:rFonts w:ascii="Times New Roman" w:hAnsi="Times New Roman"/>
        </w:rPr>
        <w:t>assumption that a 12.5% reduction in price for Sanofi</w:t>
      </w:r>
      <w:r w:rsidR="00E3086D" w:rsidRPr="00B14447">
        <w:rPr>
          <w:rFonts w:ascii="Times New Roman" w:hAnsi="Times New Roman"/>
        </w:rPr>
        <w:t>'s clopidogrel product</w:t>
      </w:r>
      <w:r w:rsidR="00B57942" w:rsidRPr="00B14447">
        <w:rPr>
          <w:rFonts w:ascii="Times New Roman" w:hAnsi="Times New Roman"/>
        </w:rPr>
        <w:t xml:space="preserve">, which would be triggered by an at-risk launch from Apotex, could not be reversed. </w:t>
      </w:r>
      <w:r w:rsidR="00C878F3" w:rsidRPr="00B14447">
        <w:rPr>
          <w:rFonts w:ascii="Times New Roman" w:hAnsi="Times New Roman"/>
        </w:rPr>
        <w:t xml:space="preserve">But </w:t>
      </w:r>
      <w:r w:rsidR="00B57942" w:rsidRPr="00B14447">
        <w:rPr>
          <w:rFonts w:ascii="Times New Roman" w:hAnsi="Times New Roman"/>
        </w:rPr>
        <w:t>Mr</w:t>
      </w:r>
      <w:r w:rsidR="003E2CCA" w:rsidRPr="00B14447">
        <w:rPr>
          <w:rFonts w:ascii="Times New Roman" w:hAnsi="Times New Roman"/>
        </w:rPr>
        <w:t> </w:t>
      </w:r>
      <w:r w:rsidR="00B57942" w:rsidRPr="00B14447">
        <w:rPr>
          <w:rFonts w:ascii="Times New Roman" w:hAnsi="Times New Roman"/>
        </w:rPr>
        <w:t xml:space="preserve">Millichamp </w:t>
      </w:r>
      <w:r w:rsidR="00E81DA2" w:rsidRPr="00B14447">
        <w:rPr>
          <w:rFonts w:ascii="Times New Roman" w:hAnsi="Times New Roman"/>
        </w:rPr>
        <w:t xml:space="preserve">had </w:t>
      </w:r>
      <w:r w:rsidR="00B57942" w:rsidRPr="00B14447">
        <w:rPr>
          <w:rFonts w:ascii="Times New Roman" w:hAnsi="Times New Roman"/>
        </w:rPr>
        <w:t xml:space="preserve">expressed the strong view in his affidavit evidence that "these price changes could not have been reversed". </w:t>
      </w:r>
      <w:r w:rsidR="00C878F3" w:rsidRPr="00B14447">
        <w:rPr>
          <w:rFonts w:ascii="Times New Roman" w:hAnsi="Times New Roman"/>
        </w:rPr>
        <w:t>And there was no evidence that Dr</w:t>
      </w:r>
      <w:r w:rsidR="003E2CCA" w:rsidRPr="00B14447">
        <w:rPr>
          <w:rFonts w:ascii="Times New Roman" w:hAnsi="Times New Roman"/>
        </w:rPr>
        <w:t> </w:t>
      </w:r>
      <w:r w:rsidR="00C878F3" w:rsidRPr="00B14447">
        <w:rPr>
          <w:rFonts w:ascii="Times New Roman" w:hAnsi="Times New Roman"/>
        </w:rPr>
        <w:t xml:space="preserve">Sherman </w:t>
      </w:r>
      <w:r w:rsidR="00E33041" w:rsidRPr="00B14447">
        <w:rPr>
          <w:rFonts w:ascii="Times New Roman" w:hAnsi="Times New Roman"/>
        </w:rPr>
        <w:t xml:space="preserve">held a different view. </w:t>
      </w:r>
      <w:r w:rsidR="00B57942" w:rsidRPr="00B14447">
        <w:rPr>
          <w:rFonts w:ascii="Times New Roman" w:hAnsi="Times New Roman"/>
        </w:rPr>
        <w:t>Whether or not this belief of Mr</w:t>
      </w:r>
      <w:r w:rsidR="003E2CCA" w:rsidRPr="00B14447">
        <w:rPr>
          <w:rFonts w:ascii="Times New Roman" w:hAnsi="Times New Roman"/>
        </w:rPr>
        <w:t> </w:t>
      </w:r>
      <w:r w:rsidR="00B57942" w:rsidRPr="00B14447">
        <w:rPr>
          <w:rFonts w:ascii="Times New Roman" w:hAnsi="Times New Roman"/>
        </w:rPr>
        <w:t>Millichamp was correct (and the primary judge considered that it was not correct</w:t>
      </w:r>
      <w:r w:rsidR="00CB70F7" w:rsidRPr="00B14447">
        <w:rPr>
          <w:rStyle w:val="FootnoteReference"/>
          <w:rFonts w:ascii="Times New Roman" w:hAnsi="Times New Roman"/>
          <w:sz w:val="24"/>
        </w:rPr>
        <w:footnoteReference w:id="138"/>
      </w:r>
      <w:r w:rsidR="00B57942" w:rsidRPr="00B14447">
        <w:rPr>
          <w:rFonts w:ascii="Times New Roman" w:hAnsi="Times New Roman"/>
        </w:rPr>
        <w:t xml:space="preserve">) is irrelevant. </w:t>
      </w:r>
      <w:r w:rsidR="00B57942" w:rsidRPr="00B14447">
        <w:rPr>
          <w:rFonts w:ascii="Times New Roman" w:hAnsi="Times New Roman"/>
        </w:rPr>
        <w:lastRenderedPageBreak/>
        <w:t>The</w:t>
      </w:r>
      <w:r w:rsidR="00F51FF8" w:rsidRPr="00B14447">
        <w:rPr>
          <w:rFonts w:ascii="Times New Roman" w:hAnsi="Times New Roman"/>
        </w:rPr>
        <w:t> </w:t>
      </w:r>
      <w:r w:rsidR="00B57942" w:rsidRPr="00B14447">
        <w:rPr>
          <w:rFonts w:ascii="Times New Roman" w:hAnsi="Times New Roman"/>
        </w:rPr>
        <w:t>counter</w:t>
      </w:r>
      <w:r w:rsidR="0020319B">
        <w:rPr>
          <w:rFonts w:ascii="Times New Roman" w:hAnsi="Times New Roman"/>
        </w:rPr>
        <w:noBreakHyphen/>
      </w:r>
      <w:r w:rsidR="00B57942" w:rsidRPr="00B14447">
        <w:rPr>
          <w:rFonts w:ascii="Times New Roman" w:hAnsi="Times New Roman"/>
        </w:rPr>
        <w:t>factual issue was what Apotex would have done, not what a person in the position of Apotex with a different understanding of the law would have done.</w:t>
      </w:r>
    </w:p>
    <w:p w14:paraId="7F10AD36" w14:textId="19B9347B" w:rsidR="000A7B4A" w:rsidRPr="00B14447" w:rsidRDefault="000A7B4A"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Commonwealth also submitted that </w:t>
      </w:r>
      <w:r w:rsidR="002937B6" w:rsidRPr="00B14447">
        <w:rPr>
          <w:rFonts w:ascii="Times New Roman" w:hAnsi="Times New Roman"/>
        </w:rPr>
        <w:t xml:space="preserve">the </w:t>
      </w:r>
      <w:r w:rsidR="00F76552" w:rsidRPr="00B14447">
        <w:rPr>
          <w:rFonts w:ascii="Times New Roman" w:hAnsi="Times New Roman"/>
        </w:rPr>
        <w:t xml:space="preserve">risk/reward analysis </w:t>
      </w:r>
      <w:r w:rsidR="002937B6" w:rsidRPr="00B14447">
        <w:rPr>
          <w:rFonts w:ascii="Times New Roman" w:hAnsi="Times New Roman"/>
        </w:rPr>
        <w:t xml:space="preserve">in 2008 </w:t>
      </w:r>
      <w:r w:rsidR="00F76552" w:rsidRPr="00B14447">
        <w:rPr>
          <w:rFonts w:ascii="Times New Roman" w:hAnsi="Times New Roman"/>
        </w:rPr>
        <w:t xml:space="preserve">was </w:t>
      </w:r>
      <w:r w:rsidR="002937B6" w:rsidRPr="00B14447">
        <w:rPr>
          <w:rFonts w:ascii="Times New Roman" w:hAnsi="Times New Roman"/>
        </w:rPr>
        <w:t>not</w:t>
      </w:r>
      <w:r w:rsidR="00F76552" w:rsidRPr="00B14447">
        <w:rPr>
          <w:rFonts w:ascii="Times New Roman" w:hAnsi="Times New Roman"/>
        </w:rPr>
        <w:t xml:space="preserve"> a</w:t>
      </w:r>
      <w:r w:rsidR="002937B6" w:rsidRPr="00B14447">
        <w:rPr>
          <w:rFonts w:ascii="Times New Roman" w:hAnsi="Times New Roman"/>
        </w:rPr>
        <w:t xml:space="preserve"> </w:t>
      </w:r>
      <w:r w:rsidR="003D5D01" w:rsidRPr="00B14447">
        <w:rPr>
          <w:rFonts w:ascii="Times New Roman" w:hAnsi="Times New Roman"/>
        </w:rPr>
        <w:t xml:space="preserve">relevant comparator </w:t>
      </w:r>
      <w:r w:rsidR="004A3B45" w:rsidRPr="00B14447">
        <w:rPr>
          <w:rFonts w:ascii="Times New Roman" w:hAnsi="Times New Roman"/>
        </w:rPr>
        <w:t>with</w:t>
      </w:r>
      <w:r w:rsidR="003D5D01" w:rsidRPr="00B14447">
        <w:rPr>
          <w:rFonts w:ascii="Times New Roman" w:hAnsi="Times New Roman"/>
        </w:rPr>
        <w:t xml:space="preserve"> the position in September 2007 </w:t>
      </w:r>
      <w:r w:rsidR="001F4063" w:rsidRPr="00B14447">
        <w:rPr>
          <w:rFonts w:ascii="Times New Roman" w:hAnsi="Times New Roman"/>
        </w:rPr>
        <w:t xml:space="preserve">because </w:t>
      </w:r>
      <w:r w:rsidR="00F76552" w:rsidRPr="00B14447">
        <w:rPr>
          <w:rFonts w:ascii="Times New Roman" w:hAnsi="Times New Roman"/>
        </w:rPr>
        <w:t xml:space="preserve">it </w:t>
      </w:r>
      <w:r w:rsidR="000A402B" w:rsidRPr="00B14447">
        <w:rPr>
          <w:rFonts w:ascii="Times New Roman" w:hAnsi="Times New Roman"/>
        </w:rPr>
        <w:t>took</w:t>
      </w:r>
      <w:r w:rsidR="001F4063" w:rsidRPr="00B14447">
        <w:rPr>
          <w:rFonts w:ascii="Times New Roman" w:hAnsi="Times New Roman"/>
        </w:rPr>
        <w:t xml:space="preserve"> into account the existence of other generic competitors. </w:t>
      </w:r>
      <w:r w:rsidR="00563D93" w:rsidRPr="00B14447">
        <w:rPr>
          <w:rFonts w:ascii="Times New Roman" w:hAnsi="Times New Roman"/>
        </w:rPr>
        <w:t>Further, the Commonwealth made a</w:t>
      </w:r>
      <w:r w:rsidR="00AF4B14" w:rsidRPr="00B14447">
        <w:rPr>
          <w:rFonts w:ascii="Times New Roman" w:hAnsi="Times New Roman"/>
        </w:rPr>
        <w:t>n overarching submission that, as circumstances had changed since September 2007, analyses undertaken in 2008 and 2009 could only be of limited relevance</w:t>
      </w:r>
      <w:r w:rsidR="00EF2347" w:rsidRPr="00B14447">
        <w:rPr>
          <w:rFonts w:ascii="Times New Roman" w:hAnsi="Times New Roman"/>
        </w:rPr>
        <w:t xml:space="preserve">. </w:t>
      </w:r>
      <w:r w:rsidR="000F29BC" w:rsidRPr="00B14447">
        <w:rPr>
          <w:rFonts w:ascii="Times New Roman" w:hAnsi="Times New Roman"/>
        </w:rPr>
        <w:t>As the Commonwealth put it, t</w:t>
      </w:r>
      <w:r w:rsidR="00463C92" w:rsidRPr="00B14447">
        <w:rPr>
          <w:rFonts w:ascii="Times New Roman" w:hAnsi="Times New Roman"/>
        </w:rPr>
        <w:t>he</w:t>
      </w:r>
      <w:r w:rsidR="00636AD9" w:rsidRPr="00B14447">
        <w:rPr>
          <w:rFonts w:ascii="Times New Roman" w:hAnsi="Times New Roman"/>
        </w:rPr>
        <w:t xml:space="preserve"> loss of the "</w:t>
      </w:r>
      <w:r w:rsidR="00E41C4A" w:rsidRPr="00B14447">
        <w:rPr>
          <w:rFonts w:ascii="Times New Roman" w:hAnsi="Times New Roman"/>
        </w:rPr>
        <w:t>prime mover advantage"</w:t>
      </w:r>
      <w:r w:rsidR="000F50A5" w:rsidRPr="00B14447">
        <w:rPr>
          <w:rFonts w:ascii="Times New Roman" w:hAnsi="Times New Roman"/>
        </w:rPr>
        <w:t>,</w:t>
      </w:r>
      <w:r w:rsidR="00E41C4A" w:rsidRPr="00B14447">
        <w:rPr>
          <w:rFonts w:ascii="Times New Roman" w:hAnsi="Times New Roman"/>
        </w:rPr>
        <w:t xml:space="preserve"> after </w:t>
      </w:r>
      <w:r w:rsidR="00291FCC" w:rsidRPr="00B14447">
        <w:rPr>
          <w:rFonts w:ascii="Times New Roman" w:hAnsi="Times New Roman"/>
        </w:rPr>
        <w:t>g</w:t>
      </w:r>
      <w:r w:rsidR="00E41C4A" w:rsidRPr="00B14447">
        <w:rPr>
          <w:rFonts w:ascii="Times New Roman" w:hAnsi="Times New Roman"/>
        </w:rPr>
        <w:t>e</w:t>
      </w:r>
      <w:r w:rsidR="00291FCC" w:rsidRPr="00B14447">
        <w:rPr>
          <w:rFonts w:ascii="Times New Roman" w:hAnsi="Times New Roman"/>
        </w:rPr>
        <w:t>n</w:t>
      </w:r>
      <w:r w:rsidR="00E41C4A" w:rsidRPr="00B14447">
        <w:rPr>
          <w:rFonts w:ascii="Times New Roman" w:hAnsi="Times New Roman"/>
        </w:rPr>
        <w:t>e</w:t>
      </w:r>
      <w:r w:rsidR="00291FCC" w:rsidRPr="00B14447">
        <w:rPr>
          <w:rFonts w:ascii="Times New Roman" w:hAnsi="Times New Roman"/>
        </w:rPr>
        <w:t>r</w:t>
      </w:r>
      <w:r w:rsidR="00E41C4A" w:rsidRPr="00B14447">
        <w:rPr>
          <w:rFonts w:ascii="Times New Roman" w:hAnsi="Times New Roman"/>
        </w:rPr>
        <w:t>ic</w:t>
      </w:r>
      <w:r w:rsidR="00291FCC" w:rsidRPr="00B14447">
        <w:rPr>
          <w:rFonts w:ascii="Times New Roman" w:hAnsi="Times New Roman"/>
        </w:rPr>
        <w:t xml:space="preserve"> competitors had their clopidogrel products </w:t>
      </w:r>
      <w:r w:rsidR="00463C92" w:rsidRPr="00B14447">
        <w:rPr>
          <w:rFonts w:ascii="Times New Roman" w:hAnsi="Times New Roman"/>
        </w:rPr>
        <w:t>accepted</w:t>
      </w:r>
      <w:r w:rsidR="00291FCC" w:rsidRPr="00B14447">
        <w:rPr>
          <w:rFonts w:ascii="Times New Roman" w:hAnsi="Times New Roman"/>
        </w:rPr>
        <w:t xml:space="preserve"> on the Australian Register of Therapeutic Goods</w:t>
      </w:r>
      <w:r w:rsidR="00537F3A" w:rsidRPr="00B14447">
        <w:rPr>
          <w:rFonts w:ascii="Times New Roman" w:hAnsi="Times New Roman"/>
        </w:rPr>
        <w:t xml:space="preserve"> in 2008, diminished the benefit Apotex would obtain from launching at risk</w:t>
      </w:r>
      <w:r w:rsidR="00EA5DEB" w:rsidRPr="00B14447">
        <w:rPr>
          <w:rFonts w:ascii="Times New Roman" w:hAnsi="Times New Roman"/>
        </w:rPr>
        <w:t xml:space="preserve">, compared </w:t>
      </w:r>
      <w:r w:rsidR="00B57C68" w:rsidRPr="00B14447">
        <w:rPr>
          <w:rFonts w:ascii="Times New Roman" w:hAnsi="Times New Roman"/>
        </w:rPr>
        <w:t>with</w:t>
      </w:r>
      <w:r w:rsidR="00EA5DEB" w:rsidRPr="00B14447">
        <w:rPr>
          <w:rFonts w:ascii="Times New Roman" w:hAnsi="Times New Roman"/>
        </w:rPr>
        <w:t xml:space="preserve"> the position in September 2007</w:t>
      </w:r>
      <w:r w:rsidR="00537F3A" w:rsidRPr="00B14447">
        <w:rPr>
          <w:rFonts w:ascii="Times New Roman" w:hAnsi="Times New Roman"/>
        </w:rPr>
        <w:t>.</w:t>
      </w:r>
      <w:r w:rsidR="00E41C4A" w:rsidRPr="00B14447">
        <w:rPr>
          <w:rFonts w:ascii="Times New Roman" w:hAnsi="Times New Roman"/>
        </w:rPr>
        <w:t xml:space="preserve"> </w:t>
      </w:r>
      <w:r w:rsidR="001C547E" w:rsidRPr="00B14447">
        <w:rPr>
          <w:rFonts w:ascii="Times New Roman" w:hAnsi="Times New Roman"/>
        </w:rPr>
        <w:t>However,</w:t>
      </w:r>
      <w:r w:rsidR="000F50A5" w:rsidRPr="00B14447">
        <w:rPr>
          <w:rFonts w:ascii="Times New Roman" w:hAnsi="Times New Roman"/>
        </w:rPr>
        <w:t xml:space="preserve"> t</w:t>
      </w:r>
      <w:r w:rsidR="001F4063" w:rsidRPr="00B14447">
        <w:rPr>
          <w:rFonts w:ascii="Times New Roman" w:hAnsi="Times New Roman"/>
        </w:rPr>
        <w:t xml:space="preserve">he primary judge had found, in a finding that was not </w:t>
      </w:r>
      <w:r w:rsidR="004C486D" w:rsidRPr="00B14447">
        <w:rPr>
          <w:rFonts w:ascii="Times New Roman" w:hAnsi="Times New Roman"/>
        </w:rPr>
        <w:t xml:space="preserve">disturbed on appeal and not </w:t>
      </w:r>
      <w:r w:rsidR="001F4063" w:rsidRPr="00B14447">
        <w:rPr>
          <w:rFonts w:ascii="Times New Roman" w:hAnsi="Times New Roman"/>
        </w:rPr>
        <w:t>challenged</w:t>
      </w:r>
      <w:r w:rsidR="004C486D" w:rsidRPr="00B14447">
        <w:rPr>
          <w:rFonts w:ascii="Times New Roman" w:hAnsi="Times New Roman"/>
        </w:rPr>
        <w:t xml:space="preserve"> in any ground of appeal, that other generic competitors were unlikely</w:t>
      </w:r>
      <w:r w:rsidR="00974F5C" w:rsidRPr="00B14447">
        <w:rPr>
          <w:rFonts w:ascii="Times New Roman" w:hAnsi="Times New Roman"/>
        </w:rPr>
        <w:t xml:space="preserve"> </w:t>
      </w:r>
      <w:r w:rsidR="001C547E" w:rsidRPr="00B14447">
        <w:rPr>
          <w:rFonts w:ascii="Times New Roman" w:hAnsi="Times New Roman"/>
        </w:rPr>
        <w:t xml:space="preserve">so long as the patent proceeding, including any appeal, remained on </w:t>
      </w:r>
      <w:r w:rsidR="00D22B4E" w:rsidRPr="00B14447">
        <w:rPr>
          <w:rFonts w:ascii="Times New Roman" w:hAnsi="Times New Roman"/>
        </w:rPr>
        <w:t>foot</w:t>
      </w:r>
      <w:r w:rsidR="004C486D" w:rsidRPr="00B14447">
        <w:rPr>
          <w:rFonts w:ascii="Times New Roman" w:hAnsi="Times New Roman"/>
        </w:rPr>
        <w:t>.</w:t>
      </w:r>
      <w:r w:rsidR="0056773A" w:rsidRPr="00B14447">
        <w:rPr>
          <w:rFonts w:ascii="Times New Roman" w:hAnsi="Times New Roman"/>
        </w:rPr>
        <w:t xml:space="preserve"> </w:t>
      </w:r>
      <w:r w:rsidR="00B55862" w:rsidRPr="00B14447">
        <w:rPr>
          <w:rFonts w:ascii="Times New Roman" w:hAnsi="Times New Roman"/>
        </w:rPr>
        <w:t>Indeed</w:t>
      </w:r>
      <w:r w:rsidR="00BD3EF8" w:rsidRPr="00B14447">
        <w:rPr>
          <w:rFonts w:ascii="Times New Roman" w:hAnsi="Times New Roman"/>
        </w:rPr>
        <w:t xml:space="preserve">, </w:t>
      </w:r>
      <w:r w:rsidR="00F645D0" w:rsidRPr="00B14447">
        <w:rPr>
          <w:rFonts w:ascii="Times New Roman" w:hAnsi="Times New Roman"/>
        </w:rPr>
        <w:t xml:space="preserve">this finding reflects what </w:t>
      </w:r>
      <w:r w:rsidR="00BD3EF8" w:rsidRPr="00B14447">
        <w:rPr>
          <w:rFonts w:ascii="Times New Roman" w:hAnsi="Times New Roman"/>
        </w:rPr>
        <w:t xml:space="preserve">actually occurred, </w:t>
      </w:r>
      <w:r w:rsidR="00D767B3" w:rsidRPr="00B14447">
        <w:rPr>
          <w:rFonts w:ascii="Times New Roman" w:hAnsi="Times New Roman"/>
        </w:rPr>
        <w:t xml:space="preserve">as </w:t>
      </w:r>
      <w:r w:rsidR="00BD3EF8" w:rsidRPr="00B14447">
        <w:rPr>
          <w:rFonts w:ascii="Times New Roman" w:hAnsi="Times New Roman"/>
        </w:rPr>
        <w:t>no generic competitor</w:t>
      </w:r>
      <w:r w:rsidR="00EC27CB" w:rsidRPr="00B14447">
        <w:rPr>
          <w:rFonts w:ascii="Times New Roman" w:hAnsi="Times New Roman"/>
        </w:rPr>
        <w:t>'s clopidogrel product</w:t>
      </w:r>
      <w:r w:rsidR="00BD3EF8" w:rsidRPr="00B14447">
        <w:rPr>
          <w:rFonts w:ascii="Times New Roman" w:hAnsi="Times New Roman"/>
        </w:rPr>
        <w:t xml:space="preserve"> was PBS listed until </w:t>
      </w:r>
      <w:r w:rsidR="00387B5F" w:rsidRPr="00B14447">
        <w:rPr>
          <w:rFonts w:ascii="Times New Roman" w:hAnsi="Times New Roman"/>
        </w:rPr>
        <w:t>1 April</w:t>
      </w:r>
      <w:r w:rsidR="00BD3EF8" w:rsidRPr="00B14447">
        <w:rPr>
          <w:rFonts w:ascii="Times New Roman" w:hAnsi="Times New Roman"/>
        </w:rPr>
        <w:t xml:space="preserve"> </w:t>
      </w:r>
      <w:r w:rsidR="00387B5F" w:rsidRPr="00B14447">
        <w:rPr>
          <w:rFonts w:ascii="Times New Roman" w:hAnsi="Times New Roman"/>
        </w:rPr>
        <w:t>2010, after Sanofi was refused special leave to appeal the Full Court's decision</w:t>
      </w:r>
      <w:r w:rsidR="007365DE" w:rsidRPr="00B14447">
        <w:rPr>
          <w:rFonts w:ascii="Times New Roman" w:hAnsi="Times New Roman"/>
        </w:rPr>
        <w:t xml:space="preserve"> invalidating Sanofi's patent</w:t>
      </w:r>
      <w:r w:rsidR="00387B5F" w:rsidRPr="00B14447">
        <w:rPr>
          <w:rFonts w:ascii="Times New Roman" w:hAnsi="Times New Roman"/>
        </w:rPr>
        <w:t xml:space="preserve">. </w:t>
      </w:r>
      <w:r w:rsidR="00D967C8" w:rsidRPr="00B14447">
        <w:rPr>
          <w:rFonts w:ascii="Times New Roman" w:hAnsi="Times New Roman"/>
        </w:rPr>
        <w:t>Moreover,</w:t>
      </w:r>
      <w:r w:rsidR="00716A43" w:rsidRPr="00B14447">
        <w:rPr>
          <w:rFonts w:ascii="Times New Roman" w:hAnsi="Times New Roman"/>
        </w:rPr>
        <w:t xml:space="preserve"> </w:t>
      </w:r>
      <w:r w:rsidR="00BE4743" w:rsidRPr="00B14447">
        <w:rPr>
          <w:rFonts w:ascii="Times New Roman" w:hAnsi="Times New Roman"/>
        </w:rPr>
        <w:t xml:space="preserve">the "prime mover advantage" </w:t>
      </w:r>
      <w:r w:rsidR="00696131" w:rsidRPr="00B14447">
        <w:rPr>
          <w:rFonts w:ascii="Times New Roman" w:hAnsi="Times New Roman"/>
        </w:rPr>
        <w:t>w</w:t>
      </w:r>
      <w:r w:rsidR="00BE4743" w:rsidRPr="00B14447">
        <w:rPr>
          <w:rFonts w:ascii="Times New Roman" w:hAnsi="Times New Roman"/>
        </w:rPr>
        <w:t>as</w:t>
      </w:r>
      <w:r w:rsidR="009078E9" w:rsidRPr="00B14447">
        <w:rPr>
          <w:rFonts w:ascii="Times New Roman" w:hAnsi="Times New Roman"/>
        </w:rPr>
        <w:t xml:space="preserve"> </w:t>
      </w:r>
      <w:r w:rsidR="00696131" w:rsidRPr="00B14447">
        <w:rPr>
          <w:rFonts w:ascii="Times New Roman" w:hAnsi="Times New Roman"/>
        </w:rPr>
        <w:t>(correctly)</w:t>
      </w:r>
      <w:r w:rsidR="00BE4743" w:rsidRPr="00B14447">
        <w:rPr>
          <w:rFonts w:ascii="Times New Roman" w:hAnsi="Times New Roman"/>
        </w:rPr>
        <w:t xml:space="preserve"> </w:t>
      </w:r>
      <w:r w:rsidR="009078E9" w:rsidRPr="00B14447">
        <w:rPr>
          <w:rFonts w:ascii="Times New Roman" w:hAnsi="Times New Roman"/>
        </w:rPr>
        <w:t xml:space="preserve">never treated by Apotex Canada as </w:t>
      </w:r>
      <w:r w:rsidR="00BE4743" w:rsidRPr="00B14447">
        <w:rPr>
          <w:rFonts w:ascii="Times New Roman" w:hAnsi="Times New Roman"/>
        </w:rPr>
        <w:t>an end in and of itself</w:t>
      </w:r>
      <w:r w:rsidR="00813DB2" w:rsidRPr="00B14447">
        <w:rPr>
          <w:rFonts w:ascii="Times New Roman" w:hAnsi="Times New Roman"/>
        </w:rPr>
        <w:t xml:space="preserve">. It was </w:t>
      </w:r>
      <w:r w:rsidR="00BE4743" w:rsidRPr="00B14447">
        <w:rPr>
          <w:rFonts w:ascii="Times New Roman" w:hAnsi="Times New Roman"/>
        </w:rPr>
        <w:t xml:space="preserve">a benefit </w:t>
      </w:r>
      <w:r w:rsidR="007335AE" w:rsidRPr="00B14447">
        <w:rPr>
          <w:rFonts w:ascii="Times New Roman" w:hAnsi="Times New Roman"/>
        </w:rPr>
        <w:t>to be weighed with other benefits and risks</w:t>
      </w:r>
      <w:r w:rsidR="00AE0608" w:rsidRPr="00B14447">
        <w:rPr>
          <w:rFonts w:ascii="Times New Roman" w:hAnsi="Times New Roman"/>
        </w:rPr>
        <w:t xml:space="preserve"> and was</w:t>
      </w:r>
      <w:r w:rsidR="007D6D09" w:rsidRPr="00B14447">
        <w:rPr>
          <w:rFonts w:ascii="Times New Roman" w:hAnsi="Times New Roman"/>
        </w:rPr>
        <w:t xml:space="preserve"> </w:t>
      </w:r>
      <w:r w:rsidR="00AE0608" w:rsidRPr="00B14447">
        <w:rPr>
          <w:rFonts w:ascii="Times New Roman" w:hAnsi="Times New Roman"/>
        </w:rPr>
        <w:t xml:space="preserve">included </w:t>
      </w:r>
      <w:r w:rsidR="007D6D09" w:rsidRPr="00B14447">
        <w:rPr>
          <w:rFonts w:ascii="Times New Roman" w:hAnsi="Times New Roman"/>
        </w:rPr>
        <w:t xml:space="preserve">as a benefit </w:t>
      </w:r>
      <w:r w:rsidR="00272C76" w:rsidRPr="00B14447">
        <w:rPr>
          <w:rFonts w:ascii="Times New Roman" w:hAnsi="Times New Roman"/>
        </w:rPr>
        <w:t xml:space="preserve">in the </w:t>
      </w:r>
      <w:r w:rsidR="007D6D09" w:rsidRPr="00B14447">
        <w:rPr>
          <w:rFonts w:ascii="Times New Roman" w:hAnsi="Times New Roman"/>
        </w:rPr>
        <w:t xml:space="preserve">first of the models in the July 2008 analysis, and </w:t>
      </w:r>
      <w:r w:rsidR="007A3EC8" w:rsidRPr="00B14447">
        <w:rPr>
          <w:rFonts w:ascii="Times New Roman" w:hAnsi="Times New Roman"/>
        </w:rPr>
        <w:t xml:space="preserve">underpinned </w:t>
      </w:r>
      <w:r w:rsidR="007D6D09" w:rsidRPr="00B14447">
        <w:rPr>
          <w:rFonts w:ascii="Times New Roman" w:hAnsi="Times New Roman"/>
        </w:rPr>
        <w:t>the September 2009 analysis</w:t>
      </w:r>
      <w:r w:rsidR="003D16BD" w:rsidRPr="00B14447">
        <w:rPr>
          <w:rFonts w:ascii="Times New Roman" w:hAnsi="Times New Roman"/>
        </w:rPr>
        <w:t xml:space="preserve"> with an assumption of a 40% market share to </w:t>
      </w:r>
      <w:r w:rsidR="000270FF" w:rsidRPr="00B14447">
        <w:rPr>
          <w:rFonts w:ascii="Times New Roman" w:hAnsi="Times New Roman"/>
        </w:rPr>
        <w:t>Apotex as prime mover</w:t>
      </w:r>
      <w:r w:rsidR="007335AE" w:rsidRPr="00B14447">
        <w:rPr>
          <w:rFonts w:ascii="Times New Roman" w:hAnsi="Times New Roman"/>
        </w:rPr>
        <w:t>.</w:t>
      </w:r>
      <w:r w:rsidR="007D6D09" w:rsidRPr="00B14447">
        <w:rPr>
          <w:rFonts w:ascii="Times New Roman" w:hAnsi="Times New Roman"/>
        </w:rPr>
        <w:t xml:space="preserve"> Yet,</w:t>
      </w:r>
      <w:r w:rsidR="007335AE" w:rsidRPr="00B14447">
        <w:rPr>
          <w:rFonts w:ascii="Times New Roman" w:hAnsi="Times New Roman"/>
        </w:rPr>
        <w:t xml:space="preserve"> </w:t>
      </w:r>
      <w:r w:rsidR="007D6D09" w:rsidRPr="00B14447">
        <w:rPr>
          <w:rFonts w:ascii="Times New Roman" w:hAnsi="Times New Roman"/>
        </w:rPr>
        <w:t>a</w:t>
      </w:r>
      <w:r w:rsidR="00AE3B9A" w:rsidRPr="00B14447">
        <w:rPr>
          <w:rFonts w:ascii="Times New Roman" w:hAnsi="Times New Roman"/>
        </w:rPr>
        <w:t xml:space="preserve">s discussed above, </w:t>
      </w:r>
      <w:r w:rsidR="00A73E45" w:rsidRPr="00B14447">
        <w:rPr>
          <w:rFonts w:ascii="Times New Roman" w:hAnsi="Times New Roman"/>
        </w:rPr>
        <w:t xml:space="preserve">on </w:t>
      </w:r>
      <w:r w:rsidR="00D90B7E" w:rsidRPr="00B14447">
        <w:rPr>
          <w:rFonts w:ascii="Times New Roman" w:hAnsi="Times New Roman"/>
        </w:rPr>
        <w:t>all</w:t>
      </w:r>
      <w:r w:rsidR="00A73E45" w:rsidRPr="00B14447">
        <w:rPr>
          <w:rFonts w:ascii="Times New Roman" w:hAnsi="Times New Roman"/>
        </w:rPr>
        <w:t xml:space="preserve"> modelled scenarios the downsides of launching at risk far outweighed the </w:t>
      </w:r>
      <w:r w:rsidR="00670471" w:rsidRPr="00B14447">
        <w:rPr>
          <w:rFonts w:ascii="Times New Roman" w:hAnsi="Times New Roman"/>
        </w:rPr>
        <w:t>upside</w:t>
      </w:r>
      <w:r w:rsidR="00582C75" w:rsidRPr="00B14447">
        <w:rPr>
          <w:rFonts w:ascii="Times New Roman" w:hAnsi="Times New Roman"/>
        </w:rPr>
        <w:t>, and it was the potential for "ruinous damages"</w:t>
      </w:r>
      <w:r w:rsidR="00836CD3" w:rsidRPr="00B14447">
        <w:rPr>
          <w:rFonts w:ascii="Times New Roman" w:hAnsi="Times New Roman"/>
        </w:rPr>
        <w:t>,</w:t>
      </w:r>
      <w:r w:rsidR="00582C75" w:rsidRPr="00B14447">
        <w:rPr>
          <w:rFonts w:ascii="Times New Roman" w:hAnsi="Times New Roman"/>
        </w:rPr>
        <w:t xml:space="preserve"> rather </w:t>
      </w:r>
      <w:r w:rsidR="00C452F7" w:rsidRPr="00B14447">
        <w:rPr>
          <w:rFonts w:ascii="Times New Roman" w:hAnsi="Times New Roman"/>
        </w:rPr>
        <w:t>than the loss of the "prime mover advantage"</w:t>
      </w:r>
      <w:r w:rsidR="00836CD3" w:rsidRPr="00B14447">
        <w:rPr>
          <w:rFonts w:ascii="Times New Roman" w:hAnsi="Times New Roman"/>
        </w:rPr>
        <w:t>,</w:t>
      </w:r>
      <w:r w:rsidR="00C452F7" w:rsidRPr="00B14447">
        <w:rPr>
          <w:rFonts w:ascii="Times New Roman" w:hAnsi="Times New Roman"/>
        </w:rPr>
        <w:t xml:space="preserve"> that Apotex Canada fixed on</w:t>
      </w:r>
      <w:r w:rsidR="00981645" w:rsidRPr="00B14447">
        <w:rPr>
          <w:rFonts w:ascii="Times New Roman" w:hAnsi="Times New Roman"/>
        </w:rPr>
        <w:t xml:space="preserve"> in </w:t>
      </w:r>
      <w:r w:rsidR="007365DE" w:rsidRPr="00B14447">
        <w:rPr>
          <w:rFonts w:ascii="Times New Roman" w:hAnsi="Times New Roman"/>
        </w:rPr>
        <w:t xml:space="preserve">its </w:t>
      </w:r>
      <w:r w:rsidR="00981645" w:rsidRPr="00B14447">
        <w:rPr>
          <w:rFonts w:ascii="Times New Roman" w:hAnsi="Times New Roman"/>
        </w:rPr>
        <w:t>decision-making</w:t>
      </w:r>
      <w:r w:rsidR="00A73E45" w:rsidRPr="00B14447">
        <w:rPr>
          <w:rFonts w:ascii="Times New Roman" w:hAnsi="Times New Roman"/>
        </w:rPr>
        <w:t>.</w:t>
      </w:r>
      <w:r w:rsidR="002937B6" w:rsidRPr="00B14447">
        <w:rPr>
          <w:rFonts w:ascii="Times New Roman" w:hAnsi="Times New Roman"/>
        </w:rPr>
        <w:t xml:space="preserve"> </w:t>
      </w:r>
    </w:p>
    <w:p w14:paraId="37C4AB9F" w14:textId="5895E8D6" w:rsidR="00B57942" w:rsidRPr="00B14447" w:rsidRDefault="008C26F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36192A" w:rsidRPr="00B14447">
        <w:rPr>
          <w:rFonts w:ascii="Times New Roman" w:hAnsi="Times New Roman"/>
          <w:b/>
          <w:bCs/>
        </w:rPr>
        <w:t>Fourthly</w:t>
      </w:r>
      <w:r w:rsidR="0036192A" w:rsidRPr="00B14447">
        <w:rPr>
          <w:rFonts w:ascii="Times New Roman" w:hAnsi="Times New Roman"/>
        </w:rPr>
        <w:t>, to the extent that there is any real world analogy of what might have occurred in the counter-factual scenario where an interlocutory injunction was not ordered on 25</w:t>
      </w:r>
      <w:r w:rsidR="00C50B48" w:rsidRPr="00B14447">
        <w:rPr>
          <w:rFonts w:ascii="Times New Roman" w:hAnsi="Times New Roman"/>
        </w:rPr>
        <w:t> </w:t>
      </w:r>
      <w:r w:rsidR="0036192A" w:rsidRPr="00B14447">
        <w:rPr>
          <w:rFonts w:ascii="Times New Roman" w:hAnsi="Times New Roman"/>
        </w:rPr>
        <w:t>September 200</w:t>
      </w:r>
      <w:r w:rsidR="004649BF" w:rsidRPr="00B14447">
        <w:rPr>
          <w:rFonts w:ascii="Times New Roman" w:hAnsi="Times New Roman"/>
        </w:rPr>
        <w:t xml:space="preserve">7, that analogy is not with the entirely different circumstances of </w:t>
      </w:r>
      <w:r w:rsidR="00D7777B" w:rsidRPr="00B14447">
        <w:rPr>
          <w:rFonts w:ascii="Times New Roman" w:hAnsi="Times New Roman"/>
        </w:rPr>
        <w:t xml:space="preserve">the litigation in </w:t>
      </w:r>
      <w:r w:rsidR="004649BF" w:rsidRPr="00B14447">
        <w:rPr>
          <w:rFonts w:ascii="Times New Roman" w:hAnsi="Times New Roman"/>
        </w:rPr>
        <w:t>Canada or the United States for the reasons given by the primary judge.</w:t>
      </w:r>
      <w:r w:rsidR="003D30E9" w:rsidRPr="00B14447">
        <w:rPr>
          <w:rStyle w:val="FootnoteReference"/>
          <w:rFonts w:ascii="Times New Roman" w:hAnsi="Times New Roman"/>
          <w:sz w:val="24"/>
        </w:rPr>
        <w:footnoteReference w:id="139"/>
      </w:r>
      <w:r w:rsidR="004649BF" w:rsidRPr="00B14447">
        <w:rPr>
          <w:rFonts w:ascii="Times New Roman" w:hAnsi="Times New Roman"/>
        </w:rPr>
        <w:t xml:space="preserve"> The closest analogy is with the events </w:t>
      </w:r>
      <w:r w:rsidR="00C72948" w:rsidRPr="00B14447">
        <w:rPr>
          <w:rFonts w:ascii="Times New Roman" w:hAnsi="Times New Roman"/>
        </w:rPr>
        <w:t>leading up to Gyles</w:t>
      </w:r>
      <w:r w:rsidR="00D7777B" w:rsidRPr="00B14447">
        <w:rPr>
          <w:rFonts w:ascii="Times New Roman" w:hAnsi="Times New Roman"/>
        </w:rPr>
        <w:t> </w:t>
      </w:r>
      <w:r w:rsidR="00C72948" w:rsidRPr="00B14447">
        <w:rPr>
          <w:rFonts w:ascii="Times New Roman" w:hAnsi="Times New Roman"/>
        </w:rPr>
        <w:t xml:space="preserve">J's </w:t>
      </w:r>
      <w:r w:rsidR="00D7777B" w:rsidRPr="00B14447">
        <w:rPr>
          <w:rFonts w:ascii="Times New Roman" w:hAnsi="Times New Roman"/>
        </w:rPr>
        <w:t xml:space="preserve">orders </w:t>
      </w:r>
      <w:r w:rsidR="00C72948" w:rsidRPr="00B14447">
        <w:rPr>
          <w:rFonts w:ascii="Times New Roman" w:hAnsi="Times New Roman"/>
        </w:rPr>
        <w:t xml:space="preserve">on </w:t>
      </w:r>
      <w:r w:rsidR="00577CF8" w:rsidRPr="00B14447">
        <w:rPr>
          <w:rFonts w:ascii="Times New Roman" w:hAnsi="Times New Roman"/>
        </w:rPr>
        <w:t>19</w:t>
      </w:r>
      <w:r w:rsidR="00D96EA4" w:rsidRPr="00B14447">
        <w:rPr>
          <w:rFonts w:ascii="Times New Roman" w:hAnsi="Times New Roman"/>
        </w:rPr>
        <w:t> </w:t>
      </w:r>
      <w:r w:rsidR="00577CF8" w:rsidRPr="00B14447">
        <w:rPr>
          <w:rFonts w:ascii="Times New Roman" w:hAnsi="Times New Roman"/>
        </w:rPr>
        <w:t xml:space="preserve">August 2008. </w:t>
      </w:r>
      <w:r w:rsidR="00DB5468" w:rsidRPr="00B14447">
        <w:rPr>
          <w:rFonts w:ascii="Times New Roman" w:hAnsi="Times New Roman"/>
        </w:rPr>
        <w:t>A</w:t>
      </w:r>
      <w:r w:rsidR="001E7937" w:rsidRPr="00B14447">
        <w:rPr>
          <w:rFonts w:ascii="Times New Roman" w:hAnsi="Times New Roman"/>
        </w:rPr>
        <w:t xml:space="preserve">t that time, and with the benefit of risk/reward analyses, </w:t>
      </w:r>
      <w:r w:rsidR="004D3068" w:rsidRPr="00B14447">
        <w:rPr>
          <w:rFonts w:ascii="Times New Roman" w:hAnsi="Times New Roman"/>
        </w:rPr>
        <w:t>there were serious doubts</w:t>
      </w:r>
      <w:r w:rsidR="00EA21BF" w:rsidRPr="00B14447">
        <w:rPr>
          <w:rFonts w:ascii="Times New Roman" w:hAnsi="Times New Roman"/>
        </w:rPr>
        <w:t xml:space="preserve"> expressed by Mr</w:t>
      </w:r>
      <w:r w:rsidR="00F51FF8" w:rsidRPr="00B14447">
        <w:rPr>
          <w:rFonts w:ascii="Times New Roman" w:hAnsi="Times New Roman"/>
        </w:rPr>
        <w:t> </w:t>
      </w:r>
      <w:r w:rsidR="00EA21BF" w:rsidRPr="00B14447">
        <w:rPr>
          <w:rFonts w:ascii="Times New Roman" w:hAnsi="Times New Roman"/>
        </w:rPr>
        <w:t>Kay</w:t>
      </w:r>
      <w:r w:rsidR="004D3068" w:rsidRPr="00B14447">
        <w:rPr>
          <w:rFonts w:ascii="Times New Roman" w:hAnsi="Times New Roman"/>
        </w:rPr>
        <w:t xml:space="preserve"> about </w:t>
      </w:r>
      <w:r w:rsidR="00EA21BF" w:rsidRPr="00B14447">
        <w:rPr>
          <w:rFonts w:ascii="Times New Roman" w:hAnsi="Times New Roman"/>
        </w:rPr>
        <w:t>whether to launch at risk</w:t>
      </w:r>
      <w:r w:rsidR="00917DFF" w:rsidRPr="00B14447">
        <w:rPr>
          <w:rFonts w:ascii="Times New Roman" w:hAnsi="Times New Roman"/>
        </w:rPr>
        <w:t>, pending an appeal,</w:t>
      </w:r>
      <w:r w:rsidR="00EA21BF" w:rsidRPr="00B14447">
        <w:rPr>
          <w:rFonts w:ascii="Times New Roman" w:hAnsi="Times New Roman"/>
        </w:rPr>
        <w:t xml:space="preserve"> if Apotex were successful in </w:t>
      </w:r>
      <w:r w:rsidR="00917DFF" w:rsidRPr="00B14447">
        <w:rPr>
          <w:rFonts w:ascii="Times New Roman" w:hAnsi="Times New Roman"/>
        </w:rPr>
        <w:t>invalidating Sanofi's patent</w:t>
      </w:r>
      <w:r w:rsidR="00EA21BF" w:rsidRPr="00B14447">
        <w:rPr>
          <w:rFonts w:ascii="Times New Roman" w:hAnsi="Times New Roman"/>
        </w:rPr>
        <w:t xml:space="preserve">. </w:t>
      </w:r>
      <w:r w:rsidR="00B57942" w:rsidRPr="00B14447">
        <w:rPr>
          <w:rFonts w:ascii="Times New Roman" w:hAnsi="Times New Roman"/>
        </w:rPr>
        <w:t xml:space="preserve"> </w:t>
      </w:r>
    </w:p>
    <w:p w14:paraId="03C45EF4" w14:textId="09DA4035" w:rsidR="0057576D" w:rsidRPr="00B14447" w:rsidRDefault="00917DFF"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t>It would be enough to dismiss this appeal if these four reasons established only that the findings of the courts below were</w:t>
      </w:r>
      <w:r w:rsidR="00C36821" w:rsidRPr="00B14447">
        <w:rPr>
          <w:rFonts w:ascii="Times New Roman" w:hAnsi="Times New Roman"/>
        </w:rPr>
        <w:t xml:space="preserve"> </w:t>
      </w:r>
      <w:r w:rsidR="00AA7351" w:rsidRPr="00B14447">
        <w:rPr>
          <w:rFonts w:ascii="Times New Roman" w:hAnsi="Times New Roman"/>
        </w:rPr>
        <w:t>open and</w:t>
      </w:r>
      <w:r w:rsidR="00B023EF" w:rsidRPr="00B14447">
        <w:rPr>
          <w:rFonts w:ascii="Times New Roman" w:hAnsi="Times New Roman"/>
        </w:rPr>
        <w:t xml:space="preserve"> </w:t>
      </w:r>
      <w:r w:rsidR="007E4296" w:rsidRPr="00B14447">
        <w:rPr>
          <w:rFonts w:ascii="Times New Roman" w:hAnsi="Times New Roman"/>
        </w:rPr>
        <w:t xml:space="preserve">are </w:t>
      </w:r>
      <w:r w:rsidRPr="00B14447">
        <w:rPr>
          <w:rFonts w:ascii="Times New Roman" w:hAnsi="Times New Roman"/>
        </w:rPr>
        <w:t>free from clear error. But</w:t>
      </w:r>
      <w:r w:rsidR="007C46B2" w:rsidRPr="00B14447">
        <w:rPr>
          <w:rFonts w:ascii="Times New Roman" w:hAnsi="Times New Roman"/>
        </w:rPr>
        <w:t xml:space="preserve"> they do more than that. The</w:t>
      </w:r>
      <w:r w:rsidRPr="00B14447">
        <w:rPr>
          <w:rFonts w:ascii="Times New Roman" w:hAnsi="Times New Roman"/>
        </w:rPr>
        <w:t xml:space="preserve"> concurrent findings are compelling.</w:t>
      </w:r>
    </w:p>
    <w:p w14:paraId="6AEB5C92" w14:textId="5360474F" w:rsidR="00B3483B" w:rsidRPr="00B14447" w:rsidRDefault="00CD7A84" w:rsidP="00B14447">
      <w:pPr>
        <w:pStyle w:val="HeadingL1"/>
        <w:spacing w:after="260" w:line="280" w:lineRule="exact"/>
        <w:ind w:right="0"/>
        <w:jc w:val="both"/>
        <w:rPr>
          <w:rFonts w:ascii="Times New Roman" w:hAnsi="Times New Roman"/>
        </w:rPr>
      </w:pPr>
      <w:r w:rsidRPr="00B14447">
        <w:rPr>
          <w:rFonts w:ascii="Times New Roman" w:hAnsi="Times New Roman"/>
        </w:rPr>
        <w:t>N</w:t>
      </w:r>
      <w:r w:rsidR="00A60AD0" w:rsidRPr="00B14447">
        <w:rPr>
          <w:rFonts w:ascii="Times New Roman" w:hAnsi="Times New Roman"/>
        </w:rPr>
        <w:t>ot open to the Commonwealth on a third challenge</w:t>
      </w:r>
      <w:r w:rsidR="00E84525" w:rsidRPr="00B14447">
        <w:rPr>
          <w:rFonts w:ascii="Times New Roman" w:hAnsi="Times New Roman"/>
        </w:rPr>
        <w:t xml:space="preserve"> to</w:t>
      </w:r>
      <w:r w:rsidR="00A60AD0" w:rsidRPr="00B14447">
        <w:rPr>
          <w:rFonts w:ascii="Times New Roman" w:hAnsi="Times New Roman"/>
        </w:rPr>
        <w:t xml:space="preserve"> </w:t>
      </w:r>
      <w:r w:rsidR="00890747" w:rsidRPr="00B14447">
        <w:rPr>
          <w:rFonts w:ascii="Times New Roman" w:hAnsi="Times New Roman"/>
        </w:rPr>
        <w:t>revisit factual issues</w:t>
      </w:r>
    </w:p>
    <w:p w14:paraId="3D1EB12E" w14:textId="13DC2E6F" w:rsidR="00B3483B" w:rsidRPr="00B14447" w:rsidRDefault="00073ECE"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Even if </w:t>
      </w:r>
      <w:r w:rsidR="006C6560" w:rsidRPr="00B14447">
        <w:rPr>
          <w:rFonts w:ascii="Times New Roman" w:hAnsi="Times New Roman"/>
        </w:rPr>
        <w:t xml:space="preserve">we were to </w:t>
      </w:r>
      <w:r w:rsidR="00DB5381" w:rsidRPr="00B14447">
        <w:rPr>
          <w:rFonts w:ascii="Times New Roman" w:hAnsi="Times New Roman"/>
        </w:rPr>
        <w:t xml:space="preserve">hold </w:t>
      </w:r>
      <w:r w:rsidR="00760483" w:rsidRPr="00B14447">
        <w:rPr>
          <w:rFonts w:ascii="Times New Roman" w:hAnsi="Times New Roman"/>
        </w:rPr>
        <w:t xml:space="preserve">the </w:t>
      </w:r>
      <w:r w:rsidR="00F62F42" w:rsidRPr="00B14447">
        <w:rPr>
          <w:rFonts w:ascii="Times New Roman" w:hAnsi="Times New Roman"/>
        </w:rPr>
        <w:t>considerable</w:t>
      </w:r>
      <w:r w:rsidR="00760483" w:rsidRPr="00B14447">
        <w:rPr>
          <w:rFonts w:ascii="Times New Roman" w:hAnsi="Times New Roman"/>
        </w:rPr>
        <w:t xml:space="preserve"> doubt necessary</w:t>
      </w:r>
      <w:r w:rsidR="00941185" w:rsidRPr="00B14447">
        <w:rPr>
          <w:rFonts w:ascii="Times New Roman" w:hAnsi="Times New Roman"/>
        </w:rPr>
        <w:t xml:space="preserve"> to justify this Court entertaining </w:t>
      </w:r>
      <w:r w:rsidR="00760483" w:rsidRPr="00B14447">
        <w:rPr>
          <w:rFonts w:ascii="Times New Roman" w:hAnsi="Times New Roman"/>
        </w:rPr>
        <w:t>a close examination of the concurrent findings of fact and counter</w:t>
      </w:r>
      <w:r w:rsidR="00324F65" w:rsidRPr="00B14447">
        <w:rPr>
          <w:rFonts w:ascii="Times New Roman" w:hAnsi="Times New Roman"/>
        </w:rPr>
        <w:t>-</w:t>
      </w:r>
      <w:r w:rsidR="00760483" w:rsidRPr="00B14447">
        <w:rPr>
          <w:rFonts w:ascii="Times New Roman" w:hAnsi="Times New Roman"/>
        </w:rPr>
        <w:t xml:space="preserve">fact </w:t>
      </w:r>
      <w:r w:rsidR="00941185" w:rsidRPr="00B14447">
        <w:rPr>
          <w:rFonts w:ascii="Times New Roman" w:hAnsi="Times New Roman"/>
        </w:rPr>
        <w:t xml:space="preserve">in circumstances </w:t>
      </w:r>
      <w:r w:rsidR="00F62F42" w:rsidRPr="00B14447">
        <w:rPr>
          <w:rFonts w:ascii="Times New Roman" w:hAnsi="Times New Roman"/>
        </w:rPr>
        <w:t>that do not disclose any substantial injustice</w:t>
      </w:r>
      <w:r w:rsidR="009A50DF" w:rsidRPr="00B14447">
        <w:rPr>
          <w:rFonts w:ascii="Times New Roman" w:hAnsi="Times New Roman"/>
        </w:rPr>
        <w:t xml:space="preserve"> (and we do not)</w:t>
      </w:r>
      <w:r w:rsidR="00F62F42" w:rsidRPr="00B14447">
        <w:rPr>
          <w:rFonts w:ascii="Times New Roman" w:hAnsi="Times New Roman"/>
        </w:rPr>
        <w:t>,</w:t>
      </w:r>
      <w:r w:rsidR="00CE1B60" w:rsidRPr="00B14447">
        <w:rPr>
          <w:rFonts w:ascii="Times New Roman" w:hAnsi="Times New Roman"/>
        </w:rPr>
        <w:t xml:space="preserve"> there is a further difficulty facing the Commonwealth. That further difficulty is that</w:t>
      </w:r>
      <w:r w:rsidR="00114B81" w:rsidRPr="00B14447">
        <w:rPr>
          <w:rFonts w:ascii="Times New Roman" w:hAnsi="Times New Roman"/>
        </w:rPr>
        <w:t xml:space="preserve"> important aspects of </w:t>
      </w:r>
      <w:r w:rsidR="00B111C5" w:rsidRPr="00B14447">
        <w:rPr>
          <w:rFonts w:ascii="Times New Roman" w:hAnsi="Times New Roman"/>
        </w:rPr>
        <w:t>the Commonwealth's</w:t>
      </w:r>
      <w:r w:rsidR="00114B81" w:rsidRPr="00B14447">
        <w:rPr>
          <w:rFonts w:ascii="Times New Roman" w:hAnsi="Times New Roman"/>
        </w:rPr>
        <w:t xml:space="preserve"> counter-factual case</w:t>
      </w:r>
      <w:r w:rsidR="00DB5381" w:rsidRPr="00B14447">
        <w:rPr>
          <w:rFonts w:ascii="Times New Roman" w:hAnsi="Times New Roman"/>
        </w:rPr>
        <w:t xml:space="preserve"> on this appeal</w:t>
      </w:r>
      <w:r w:rsidR="00114B81" w:rsidRPr="00B14447">
        <w:rPr>
          <w:rFonts w:ascii="Times New Roman" w:hAnsi="Times New Roman"/>
        </w:rPr>
        <w:t xml:space="preserve"> involved </w:t>
      </w:r>
      <w:r w:rsidR="001E5725" w:rsidRPr="00B14447">
        <w:rPr>
          <w:rFonts w:ascii="Times New Roman" w:hAnsi="Times New Roman"/>
        </w:rPr>
        <w:t>allegations of</w:t>
      </w:r>
      <w:r w:rsidR="00A71C5E" w:rsidRPr="00B14447">
        <w:rPr>
          <w:rFonts w:ascii="Times New Roman" w:hAnsi="Times New Roman"/>
        </w:rPr>
        <w:t xml:space="preserve"> </w:t>
      </w:r>
      <w:r w:rsidR="00C05C8C" w:rsidRPr="00B14447">
        <w:rPr>
          <w:rFonts w:ascii="Times New Roman" w:hAnsi="Times New Roman"/>
        </w:rPr>
        <w:t xml:space="preserve">error by the </w:t>
      </w:r>
      <w:r w:rsidR="00B3483B" w:rsidRPr="00B14447">
        <w:rPr>
          <w:rFonts w:ascii="Times New Roman" w:hAnsi="Times New Roman"/>
        </w:rPr>
        <w:t>Full Court</w:t>
      </w:r>
      <w:r w:rsidR="00C05C8C" w:rsidRPr="00B14447">
        <w:rPr>
          <w:rFonts w:ascii="Times New Roman" w:hAnsi="Times New Roman"/>
        </w:rPr>
        <w:t xml:space="preserve"> </w:t>
      </w:r>
      <w:r w:rsidR="00A71C5E" w:rsidRPr="00B14447">
        <w:rPr>
          <w:rFonts w:ascii="Times New Roman" w:hAnsi="Times New Roman"/>
        </w:rPr>
        <w:t>and by the primary judge</w:t>
      </w:r>
      <w:r w:rsidR="000618FB" w:rsidRPr="00B14447">
        <w:rPr>
          <w:rFonts w:ascii="Times New Roman" w:hAnsi="Times New Roman"/>
        </w:rPr>
        <w:t xml:space="preserve"> which were not part of the Commonwealth's notice of appeal either to this Court or to the Full Court and </w:t>
      </w:r>
      <w:r w:rsidR="001E5725" w:rsidRPr="00B14447">
        <w:rPr>
          <w:rFonts w:ascii="Times New Roman" w:hAnsi="Times New Roman"/>
        </w:rPr>
        <w:t xml:space="preserve">the consideration of </w:t>
      </w:r>
      <w:r w:rsidR="00E43326" w:rsidRPr="00B14447">
        <w:rPr>
          <w:rFonts w:ascii="Times New Roman" w:hAnsi="Times New Roman"/>
        </w:rPr>
        <w:t xml:space="preserve">which may have required </w:t>
      </w:r>
      <w:r w:rsidR="00C01DC7" w:rsidRPr="00B14447">
        <w:rPr>
          <w:rFonts w:ascii="Times New Roman" w:hAnsi="Times New Roman"/>
        </w:rPr>
        <w:t>a far more complete copy before this Court of the record (of evidence, transcript and submissions) showing how the Commonwealth ran its case in the courts below.</w:t>
      </w:r>
    </w:p>
    <w:p w14:paraId="57B391A6" w14:textId="7CB7A769" w:rsidR="0006113F" w:rsidRPr="00B14447" w:rsidRDefault="005F21A6" w:rsidP="00B14447">
      <w:pPr>
        <w:pStyle w:val="FixListStyle"/>
        <w:spacing w:after="260" w:line="280" w:lineRule="exact"/>
        <w:ind w:right="0"/>
        <w:jc w:val="both"/>
        <w:rPr>
          <w:rFonts w:ascii="Times New Roman" w:hAnsi="Times New Roman"/>
          <w:iCs/>
        </w:rPr>
      </w:pPr>
      <w:r w:rsidRPr="00B14447">
        <w:rPr>
          <w:rFonts w:ascii="Times New Roman" w:hAnsi="Times New Roman"/>
        </w:rPr>
        <w:tab/>
      </w:r>
      <w:r w:rsidR="00202454" w:rsidRPr="00B14447">
        <w:rPr>
          <w:rFonts w:ascii="Times New Roman" w:hAnsi="Times New Roman"/>
        </w:rPr>
        <w:t>As explained above, although the Commonwealth's second ground of appeal was expressed broadly</w:t>
      </w:r>
      <w:r w:rsidR="00DB5381" w:rsidRPr="00B14447">
        <w:rPr>
          <w:rFonts w:ascii="Times New Roman" w:hAnsi="Times New Roman"/>
        </w:rPr>
        <w:t>,</w:t>
      </w:r>
      <w:r w:rsidR="00202454" w:rsidRPr="00B14447">
        <w:rPr>
          <w:rFonts w:ascii="Times New Roman" w:hAnsi="Times New Roman"/>
        </w:rPr>
        <w:t xml:space="preserve"> it cannot properly be understood </w:t>
      </w:r>
      <w:r w:rsidR="000B3D43" w:rsidRPr="00B14447">
        <w:rPr>
          <w:rFonts w:ascii="Times New Roman" w:hAnsi="Times New Roman"/>
        </w:rPr>
        <w:t>in its literal terms</w:t>
      </w:r>
      <w:r w:rsidR="000865DE" w:rsidRPr="00B14447">
        <w:rPr>
          <w:rFonts w:ascii="Times New Roman" w:hAnsi="Times New Roman"/>
        </w:rPr>
        <w:t>,</w:t>
      </w:r>
      <w:r w:rsidR="000B3D43" w:rsidRPr="00B14447">
        <w:rPr>
          <w:rFonts w:ascii="Times New Roman" w:hAnsi="Times New Roman"/>
        </w:rPr>
        <w:t xml:space="preserve"> which would require this Court</w:t>
      </w:r>
      <w:r w:rsidR="001F21F6" w:rsidRPr="00B14447">
        <w:rPr>
          <w:rFonts w:ascii="Times New Roman" w:hAnsi="Times New Roman"/>
        </w:rPr>
        <w:t xml:space="preserve"> to engage in a full retrial of the matter, albeit without witnesses. </w:t>
      </w:r>
      <w:r w:rsidR="00E40296" w:rsidRPr="00B14447">
        <w:rPr>
          <w:rFonts w:ascii="Times New Roman" w:hAnsi="Times New Roman"/>
        </w:rPr>
        <w:t>The</w:t>
      </w:r>
      <w:r w:rsidR="00AD0C75" w:rsidRPr="00B14447">
        <w:rPr>
          <w:rFonts w:ascii="Times New Roman" w:hAnsi="Times New Roman"/>
        </w:rPr>
        <w:t> </w:t>
      </w:r>
      <w:r w:rsidR="00E40296" w:rsidRPr="00B14447">
        <w:rPr>
          <w:rFonts w:ascii="Times New Roman" w:hAnsi="Times New Roman"/>
        </w:rPr>
        <w:t>central basis upon which special leave was sought before this Court was the issue concerning onus of proof addressed above.</w:t>
      </w:r>
      <w:r w:rsidR="00E40296" w:rsidRPr="00B14447">
        <w:rPr>
          <w:rStyle w:val="FootnoteReference"/>
          <w:rFonts w:ascii="Times New Roman" w:hAnsi="Times New Roman"/>
          <w:sz w:val="24"/>
        </w:rPr>
        <w:footnoteReference w:id="140"/>
      </w:r>
      <w:r w:rsidR="00E40296" w:rsidRPr="00B14447">
        <w:rPr>
          <w:rFonts w:ascii="Times New Roman" w:hAnsi="Times New Roman"/>
        </w:rPr>
        <w:t xml:space="preserve"> The grant of special leave did not envisage that</w:t>
      </w:r>
      <w:r w:rsidR="00096E4B" w:rsidRPr="00B14447">
        <w:rPr>
          <w:rFonts w:ascii="Times New Roman" w:hAnsi="Times New Roman"/>
        </w:rPr>
        <w:t xml:space="preserve"> this Court would, or could, </w:t>
      </w:r>
      <w:r w:rsidR="00A85FBE" w:rsidRPr="00B14447">
        <w:rPr>
          <w:rFonts w:ascii="Times New Roman" w:hAnsi="Times New Roman"/>
        </w:rPr>
        <w:t>attempt to reconsider</w:t>
      </w:r>
      <w:r w:rsidR="00D20DE8" w:rsidRPr="00B14447">
        <w:rPr>
          <w:rFonts w:ascii="Times New Roman" w:hAnsi="Times New Roman"/>
        </w:rPr>
        <w:t>,</w:t>
      </w:r>
      <w:r w:rsidR="00A85FBE" w:rsidRPr="00B14447">
        <w:rPr>
          <w:rFonts w:ascii="Times New Roman" w:hAnsi="Times New Roman"/>
        </w:rPr>
        <w:t xml:space="preserve"> and weigh</w:t>
      </w:r>
      <w:r w:rsidR="00D20DE8" w:rsidRPr="00B14447">
        <w:rPr>
          <w:rFonts w:ascii="Times New Roman" w:hAnsi="Times New Roman"/>
        </w:rPr>
        <w:t>,</w:t>
      </w:r>
      <w:r w:rsidR="00A85FBE" w:rsidRPr="00B14447">
        <w:rPr>
          <w:rFonts w:ascii="Times New Roman" w:hAnsi="Times New Roman"/>
        </w:rPr>
        <w:t xml:space="preserve"> the </w:t>
      </w:r>
      <w:r w:rsidR="00D20DE8" w:rsidRPr="00B14447">
        <w:rPr>
          <w:rFonts w:ascii="Times New Roman" w:hAnsi="Times New Roman"/>
        </w:rPr>
        <w:t xml:space="preserve">basis </w:t>
      </w:r>
      <w:r w:rsidR="00A85FBE" w:rsidRPr="00B14447">
        <w:rPr>
          <w:rFonts w:ascii="Times New Roman" w:hAnsi="Times New Roman"/>
        </w:rPr>
        <w:t xml:space="preserve">for the many concurrent factual </w:t>
      </w:r>
      <w:r w:rsidR="00890747" w:rsidRPr="00B14447">
        <w:rPr>
          <w:rFonts w:ascii="Times New Roman" w:hAnsi="Times New Roman"/>
        </w:rPr>
        <w:t>findings and inferences</w:t>
      </w:r>
      <w:r w:rsidR="0059440E" w:rsidRPr="00B14447">
        <w:rPr>
          <w:rFonts w:ascii="Times New Roman" w:hAnsi="Times New Roman"/>
        </w:rPr>
        <w:t xml:space="preserve"> made by the courts below</w:t>
      </w:r>
      <w:r w:rsidR="00890747" w:rsidRPr="00B14447">
        <w:rPr>
          <w:rFonts w:ascii="Times New Roman" w:hAnsi="Times New Roman"/>
        </w:rPr>
        <w:t xml:space="preserve"> in</w:t>
      </w:r>
      <w:r w:rsidR="00E40296" w:rsidRPr="00B14447">
        <w:rPr>
          <w:rFonts w:ascii="Times New Roman" w:hAnsi="Times New Roman"/>
        </w:rPr>
        <w:t xml:space="preserve"> the two days upon which the appeal was listed before this Court</w:t>
      </w:r>
      <w:r w:rsidR="00890747" w:rsidRPr="00B14447">
        <w:rPr>
          <w:rFonts w:ascii="Times New Roman" w:hAnsi="Times New Roman"/>
        </w:rPr>
        <w:t>.</w:t>
      </w:r>
      <w:r w:rsidR="009F77C8" w:rsidRPr="00B14447">
        <w:rPr>
          <w:rFonts w:ascii="Times New Roman" w:hAnsi="Times New Roman"/>
        </w:rPr>
        <w:t xml:space="preserve"> To the contrary, the grant of special leave</w:t>
      </w:r>
      <w:r w:rsidR="00852525" w:rsidRPr="00B14447">
        <w:rPr>
          <w:rFonts w:ascii="Times New Roman" w:hAnsi="Times New Roman"/>
        </w:rPr>
        <w:t xml:space="preserve"> envisaged</w:t>
      </w:r>
      <w:r w:rsidR="0006113F" w:rsidRPr="00B14447">
        <w:rPr>
          <w:rFonts w:ascii="Times New Roman" w:hAnsi="Times New Roman"/>
        </w:rPr>
        <w:t xml:space="preserve"> this matter could be resolved without the Court needing to have regard to voluminous amounts of material.</w:t>
      </w:r>
      <w:r w:rsidR="00DA29CA" w:rsidRPr="00B14447">
        <w:rPr>
          <w:rStyle w:val="FootnoteReference"/>
          <w:rFonts w:ascii="Times New Roman" w:hAnsi="Times New Roman"/>
          <w:sz w:val="24"/>
        </w:rPr>
        <w:footnoteReference w:id="141"/>
      </w:r>
    </w:p>
    <w:p w14:paraId="6AC96455" w14:textId="33FCA5DF" w:rsidR="00211B13" w:rsidRPr="00B14447" w:rsidRDefault="00F5776E" w:rsidP="00B14447">
      <w:pPr>
        <w:pStyle w:val="FixListStyle"/>
        <w:spacing w:after="260" w:line="280" w:lineRule="exact"/>
        <w:ind w:right="0"/>
        <w:jc w:val="both"/>
        <w:rPr>
          <w:rFonts w:ascii="Times New Roman" w:hAnsi="Times New Roman"/>
          <w:iCs/>
        </w:rPr>
      </w:pPr>
      <w:r w:rsidRPr="00B14447">
        <w:rPr>
          <w:rFonts w:ascii="Times New Roman" w:hAnsi="Times New Roman"/>
        </w:rPr>
        <w:tab/>
        <w:t xml:space="preserve">It is </w:t>
      </w:r>
      <w:r w:rsidR="00254096" w:rsidRPr="00B14447">
        <w:rPr>
          <w:rFonts w:ascii="Times New Roman" w:hAnsi="Times New Roman"/>
        </w:rPr>
        <w:t xml:space="preserve">not </w:t>
      </w:r>
      <w:r w:rsidRPr="00B14447">
        <w:rPr>
          <w:rFonts w:ascii="Times New Roman" w:hAnsi="Times New Roman"/>
        </w:rPr>
        <w:t xml:space="preserve">appropriate </w:t>
      </w:r>
      <w:r w:rsidR="00254096" w:rsidRPr="00B14447">
        <w:rPr>
          <w:rFonts w:ascii="Times New Roman" w:hAnsi="Times New Roman"/>
        </w:rPr>
        <w:t xml:space="preserve">or possible </w:t>
      </w:r>
      <w:r w:rsidRPr="00B14447">
        <w:rPr>
          <w:rFonts w:ascii="Times New Roman" w:hAnsi="Times New Roman"/>
        </w:rPr>
        <w:t xml:space="preserve">to </w:t>
      </w:r>
      <w:r w:rsidR="00254096" w:rsidRPr="00B14447">
        <w:rPr>
          <w:rFonts w:ascii="Times New Roman" w:hAnsi="Times New Roman"/>
        </w:rPr>
        <w:t>address each of the concurrent findings that the Commonwealth sought to have this court reconsider, remake</w:t>
      </w:r>
      <w:r w:rsidR="009D3B02" w:rsidRPr="00B14447">
        <w:rPr>
          <w:rFonts w:ascii="Times New Roman" w:hAnsi="Times New Roman"/>
        </w:rPr>
        <w:t>,</w:t>
      </w:r>
      <w:r w:rsidR="00254096" w:rsidRPr="00B14447">
        <w:rPr>
          <w:rFonts w:ascii="Times New Roman" w:hAnsi="Times New Roman"/>
        </w:rPr>
        <w:t xml:space="preserve"> and then ove</w:t>
      </w:r>
      <w:r w:rsidR="00F3706C" w:rsidRPr="00B14447">
        <w:rPr>
          <w:rFonts w:ascii="Times New Roman" w:hAnsi="Times New Roman"/>
        </w:rPr>
        <w:t>r</w:t>
      </w:r>
      <w:r w:rsidR="00254096" w:rsidRPr="00B14447">
        <w:rPr>
          <w:rFonts w:ascii="Times New Roman" w:hAnsi="Times New Roman"/>
        </w:rPr>
        <w:t>turn</w:t>
      </w:r>
      <w:r w:rsidR="009D3B02" w:rsidRPr="00B14447">
        <w:rPr>
          <w:rFonts w:ascii="Times New Roman" w:hAnsi="Times New Roman"/>
        </w:rPr>
        <w:t>,</w:t>
      </w:r>
      <w:r w:rsidR="001C4CAB" w:rsidRPr="00B14447">
        <w:rPr>
          <w:rFonts w:ascii="Times New Roman" w:hAnsi="Times New Roman"/>
        </w:rPr>
        <w:t xml:space="preserve"> whether at all or in the circumstances just described</w:t>
      </w:r>
      <w:r w:rsidR="00254096" w:rsidRPr="00B14447">
        <w:rPr>
          <w:rFonts w:ascii="Times New Roman" w:hAnsi="Times New Roman"/>
        </w:rPr>
        <w:t>.</w:t>
      </w:r>
      <w:r w:rsidR="00F3706C" w:rsidRPr="00B14447">
        <w:rPr>
          <w:rFonts w:ascii="Times New Roman" w:hAnsi="Times New Roman"/>
        </w:rPr>
        <w:t xml:space="preserve"> </w:t>
      </w:r>
      <w:r w:rsidR="00206975" w:rsidRPr="00B14447">
        <w:rPr>
          <w:rFonts w:ascii="Times New Roman" w:hAnsi="Times New Roman"/>
        </w:rPr>
        <w:t xml:space="preserve">Indeed, </w:t>
      </w:r>
      <w:r w:rsidR="006A3E4B" w:rsidRPr="00B14447">
        <w:rPr>
          <w:rFonts w:ascii="Times New Roman" w:hAnsi="Times New Roman"/>
        </w:rPr>
        <w:t xml:space="preserve">this Court would not merely be required to </w:t>
      </w:r>
      <w:r w:rsidR="00206975" w:rsidRPr="00B14447">
        <w:rPr>
          <w:rFonts w:ascii="Times New Roman" w:hAnsi="Times New Roman"/>
        </w:rPr>
        <w:t>engage in an entire retrial without the benefit of the whole record</w:t>
      </w:r>
      <w:r w:rsidR="00C11DC4" w:rsidRPr="00B14447">
        <w:rPr>
          <w:rFonts w:ascii="Times New Roman" w:hAnsi="Times New Roman"/>
        </w:rPr>
        <w:t>,</w:t>
      </w:r>
      <w:r w:rsidR="00206975" w:rsidRPr="00B14447">
        <w:rPr>
          <w:rFonts w:ascii="Times New Roman" w:hAnsi="Times New Roman"/>
        </w:rPr>
        <w:t xml:space="preserve"> </w:t>
      </w:r>
      <w:r w:rsidR="00C11DC4" w:rsidRPr="00B14447">
        <w:rPr>
          <w:rFonts w:ascii="Times New Roman" w:hAnsi="Times New Roman"/>
        </w:rPr>
        <w:t>including</w:t>
      </w:r>
      <w:r w:rsidR="00206975" w:rsidRPr="00B14447">
        <w:rPr>
          <w:rFonts w:ascii="Times New Roman" w:hAnsi="Times New Roman"/>
        </w:rPr>
        <w:t xml:space="preserve"> submissions on many aspects of the trial</w:t>
      </w:r>
      <w:r w:rsidR="008916D5" w:rsidRPr="00B14447">
        <w:rPr>
          <w:rFonts w:ascii="Times New Roman" w:hAnsi="Times New Roman"/>
        </w:rPr>
        <w:t xml:space="preserve">. </w:t>
      </w:r>
      <w:r w:rsidR="00E576DF" w:rsidRPr="00B14447">
        <w:rPr>
          <w:rFonts w:ascii="Times New Roman" w:hAnsi="Times New Roman"/>
        </w:rPr>
        <w:t>I</w:t>
      </w:r>
      <w:r w:rsidR="00206975" w:rsidRPr="00B14447">
        <w:rPr>
          <w:rFonts w:ascii="Times New Roman" w:hAnsi="Times New Roman"/>
        </w:rPr>
        <w:t>n</w:t>
      </w:r>
      <w:r w:rsidR="002F3CB6" w:rsidRPr="00B14447">
        <w:rPr>
          <w:rFonts w:ascii="Times New Roman" w:hAnsi="Times New Roman"/>
        </w:rPr>
        <w:t> </w:t>
      </w:r>
      <w:r w:rsidR="00206975" w:rsidRPr="00B14447">
        <w:rPr>
          <w:rFonts w:ascii="Times New Roman" w:hAnsi="Times New Roman"/>
        </w:rPr>
        <w:t>some instances</w:t>
      </w:r>
      <w:r w:rsidR="00C9257B" w:rsidRPr="00B14447">
        <w:rPr>
          <w:rFonts w:ascii="Times New Roman" w:hAnsi="Times New Roman"/>
        </w:rPr>
        <w:t xml:space="preserve">, </w:t>
      </w:r>
      <w:r w:rsidR="006A3E4B" w:rsidRPr="00B14447">
        <w:rPr>
          <w:rFonts w:ascii="Times New Roman" w:hAnsi="Times New Roman"/>
        </w:rPr>
        <w:t>th</w:t>
      </w:r>
      <w:r w:rsidR="00C9257B" w:rsidRPr="00B14447">
        <w:rPr>
          <w:rFonts w:ascii="Times New Roman" w:hAnsi="Times New Roman"/>
        </w:rPr>
        <w:t>e</w:t>
      </w:r>
      <w:r w:rsidR="006A3E4B" w:rsidRPr="00B14447">
        <w:rPr>
          <w:rFonts w:ascii="Times New Roman" w:hAnsi="Times New Roman"/>
        </w:rPr>
        <w:t xml:space="preserve"> Court would be required to consider</w:t>
      </w:r>
      <w:r w:rsidR="00206975" w:rsidRPr="00B14447">
        <w:rPr>
          <w:rFonts w:ascii="Times New Roman" w:hAnsi="Times New Roman"/>
        </w:rPr>
        <w:t xml:space="preserve"> important matters which were neither the subject of submissions nor even addressed by the courts below.</w:t>
      </w:r>
      <w:r w:rsidR="00211B13" w:rsidRPr="00B14447">
        <w:rPr>
          <w:rFonts w:ascii="Times New Roman" w:hAnsi="Times New Roman"/>
        </w:rPr>
        <w:t xml:space="preserve"> </w:t>
      </w:r>
      <w:r w:rsidR="00062211" w:rsidRPr="00B14447">
        <w:rPr>
          <w:rFonts w:ascii="Times New Roman" w:hAnsi="Times New Roman"/>
        </w:rPr>
        <w:t>E</w:t>
      </w:r>
      <w:r w:rsidR="00211B13" w:rsidRPr="00B14447">
        <w:rPr>
          <w:rFonts w:ascii="Times New Roman" w:hAnsi="Times New Roman"/>
        </w:rPr>
        <w:t>xamples</w:t>
      </w:r>
      <w:r w:rsidR="005D3D71" w:rsidRPr="00B14447">
        <w:rPr>
          <w:rFonts w:ascii="Times New Roman" w:hAnsi="Times New Roman"/>
        </w:rPr>
        <w:t xml:space="preserve"> of fact finding</w:t>
      </w:r>
      <w:r w:rsidR="00211B13" w:rsidRPr="00B14447">
        <w:rPr>
          <w:rFonts w:ascii="Times New Roman" w:hAnsi="Times New Roman"/>
        </w:rPr>
        <w:t xml:space="preserve"> are illustrative.</w:t>
      </w:r>
    </w:p>
    <w:p w14:paraId="2691C67A" w14:textId="7FBAF5E4" w:rsidR="00F5776E" w:rsidRPr="00B14447" w:rsidRDefault="00211B13" w:rsidP="00B14447">
      <w:pPr>
        <w:pStyle w:val="FixListStyle"/>
        <w:spacing w:after="260" w:line="280" w:lineRule="exact"/>
        <w:ind w:right="0"/>
        <w:jc w:val="both"/>
        <w:rPr>
          <w:rFonts w:ascii="Times New Roman" w:hAnsi="Times New Roman"/>
          <w:iCs/>
        </w:rPr>
      </w:pPr>
      <w:r w:rsidRPr="00B14447">
        <w:rPr>
          <w:rFonts w:ascii="Times New Roman" w:hAnsi="Times New Roman"/>
        </w:rPr>
        <w:lastRenderedPageBreak/>
        <w:tab/>
      </w:r>
      <w:r w:rsidR="00062211" w:rsidRPr="00B14447">
        <w:rPr>
          <w:rFonts w:ascii="Times New Roman" w:hAnsi="Times New Roman"/>
        </w:rPr>
        <w:t>O</w:t>
      </w:r>
      <w:r w:rsidR="00C9257B" w:rsidRPr="00B14447">
        <w:rPr>
          <w:rFonts w:ascii="Times New Roman" w:hAnsi="Times New Roman"/>
        </w:rPr>
        <w:t xml:space="preserve">ne such fact is that </w:t>
      </w:r>
      <w:r w:rsidR="00206975" w:rsidRPr="00B14447">
        <w:rPr>
          <w:rFonts w:ascii="Times New Roman" w:hAnsi="Times New Roman"/>
        </w:rPr>
        <w:t>on 14</w:t>
      </w:r>
      <w:r w:rsidR="006335F9" w:rsidRPr="00B14447">
        <w:rPr>
          <w:rFonts w:ascii="Times New Roman" w:hAnsi="Times New Roman"/>
        </w:rPr>
        <w:t> </w:t>
      </w:r>
      <w:r w:rsidR="00206975" w:rsidRPr="00B14447">
        <w:rPr>
          <w:rFonts w:ascii="Times New Roman" w:hAnsi="Times New Roman"/>
        </w:rPr>
        <w:t xml:space="preserve">August 2008, after the </w:t>
      </w:r>
      <w:r w:rsidR="003C782C" w:rsidRPr="00B14447">
        <w:rPr>
          <w:rFonts w:ascii="Times New Roman" w:hAnsi="Times New Roman"/>
        </w:rPr>
        <w:t xml:space="preserve">trial </w:t>
      </w:r>
      <w:r w:rsidR="00206975" w:rsidRPr="00B14447">
        <w:rPr>
          <w:rFonts w:ascii="Times New Roman" w:hAnsi="Times New Roman"/>
        </w:rPr>
        <w:t>judge had delivered his final decision</w:t>
      </w:r>
      <w:r w:rsidR="003C782C" w:rsidRPr="00B14447">
        <w:rPr>
          <w:rFonts w:ascii="Times New Roman" w:hAnsi="Times New Roman"/>
        </w:rPr>
        <w:t xml:space="preserve"> on injunctive relief</w:t>
      </w:r>
      <w:r w:rsidR="00727B22" w:rsidRPr="00B14447">
        <w:rPr>
          <w:rFonts w:ascii="Times New Roman" w:hAnsi="Times New Roman"/>
        </w:rPr>
        <w:t>,</w:t>
      </w:r>
      <w:r w:rsidR="00206975" w:rsidRPr="00B14447">
        <w:rPr>
          <w:rFonts w:ascii="Times New Roman" w:hAnsi="Times New Roman"/>
        </w:rPr>
        <w:t xml:space="preserve"> and after </w:t>
      </w:r>
      <w:r w:rsidR="001D7155" w:rsidRPr="00B14447">
        <w:rPr>
          <w:rFonts w:ascii="Times New Roman" w:hAnsi="Times New Roman"/>
        </w:rPr>
        <w:t>the</w:t>
      </w:r>
      <w:r w:rsidR="00206975" w:rsidRPr="00B14447">
        <w:rPr>
          <w:rFonts w:ascii="Times New Roman" w:hAnsi="Times New Roman"/>
        </w:rPr>
        <w:t xml:space="preserve"> risk</w:t>
      </w:r>
      <w:r w:rsidR="001D7155" w:rsidRPr="00B14447">
        <w:rPr>
          <w:rFonts w:ascii="Times New Roman" w:hAnsi="Times New Roman"/>
        </w:rPr>
        <w:t>/</w:t>
      </w:r>
      <w:r w:rsidR="00206975" w:rsidRPr="00B14447">
        <w:rPr>
          <w:rFonts w:ascii="Times New Roman" w:hAnsi="Times New Roman"/>
        </w:rPr>
        <w:t>reward analys</w:t>
      </w:r>
      <w:r w:rsidR="00263926" w:rsidRPr="00B14447">
        <w:rPr>
          <w:rFonts w:ascii="Times New Roman" w:hAnsi="Times New Roman"/>
        </w:rPr>
        <w:t>i</w:t>
      </w:r>
      <w:r w:rsidR="00206975" w:rsidRPr="00B14447">
        <w:rPr>
          <w:rFonts w:ascii="Times New Roman" w:hAnsi="Times New Roman"/>
        </w:rPr>
        <w:t xml:space="preserve">s </w:t>
      </w:r>
      <w:r w:rsidR="00727B22" w:rsidRPr="00B14447">
        <w:rPr>
          <w:rFonts w:ascii="Times New Roman" w:hAnsi="Times New Roman"/>
        </w:rPr>
        <w:t xml:space="preserve">for </w:t>
      </w:r>
      <w:r w:rsidR="00206975" w:rsidRPr="00B14447">
        <w:rPr>
          <w:rFonts w:ascii="Times New Roman" w:hAnsi="Times New Roman"/>
        </w:rPr>
        <w:t>seeking PBS listing in July 2008</w:t>
      </w:r>
      <w:r w:rsidR="001D7155" w:rsidRPr="00B14447">
        <w:rPr>
          <w:rFonts w:ascii="Times New Roman" w:hAnsi="Times New Roman"/>
        </w:rPr>
        <w:t xml:space="preserve"> had been prepared</w:t>
      </w:r>
      <w:r w:rsidR="00E60158" w:rsidRPr="00B14447">
        <w:rPr>
          <w:rFonts w:ascii="Times New Roman" w:hAnsi="Times New Roman"/>
        </w:rPr>
        <w:t xml:space="preserve"> and provided to Mr Kay</w:t>
      </w:r>
      <w:r w:rsidR="00206975" w:rsidRPr="00B14447">
        <w:rPr>
          <w:rFonts w:ascii="Times New Roman" w:hAnsi="Times New Roman"/>
        </w:rPr>
        <w:t>, Dr</w:t>
      </w:r>
      <w:r w:rsidR="001D7155" w:rsidRPr="00B14447">
        <w:rPr>
          <w:rFonts w:ascii="Times New Roman" w:hAnsi="Times New Roman"/>
        </w:rPr>
        <w:t> </w:t>
      </w:r>
      <w:r w:rsidR="00206975" w:rsidRPr="00B14447">
        <w:rPr>
          <w:rFonts w:ascii="Times New Roman" w:hAnsi="Times New Roman"/>
        </w:rPr>
        <w:t xml:space="preserve">Sherman chose </w:t>
      </w:r>
      <w:r w:rsidR="00206975" w:rsidRPr="00B14447">
        <w:rPr>
          <w:rFonts w:ascii="Times New Roman" w:hAnsi="Times New Roman"/>
          <w:i/>
          <w:iCs/>
        </w:rPr>
        <w:t xml:space="preserve">not </w:t>
      </w:r>
      <w:r w:rsidR="00206975" w:rsidRPr="00B14447">
        <w:rPr>
          <w:rFonts w:ascii="Times New Roman" w:hAnsi="Times New Roman"/>
        </w:rPr>
        <w:t>to seek a stay of the final orders in order to seek PBS listing and launch at risk. He chose instead to appeal the decision and seek</w:t>
      </w:r>
      <w:r w:rsidR="007000E9" w:rsidRPr="00B14447">
        <w:rPr>
          <w:rFonts w:ascii="Times New Roman" w:hAnsi="Times New Roman"/>
        </w:rPr>
        <w:t xml:space="preserve"> orders preserving Apotex's position concerning</w:t>
      </w:r>
      <w:r w:rsidR="00206975" w:rsidRPr="00B14447">
        <w:rPr>
          <w:rFonts w:ascii="Times New Roman" w:hAnsi="Times New Roman"/>
        </w:rPr>
        <w:t xml:space="preserve"> compensation from Sanofi</w:t>
      </w:r>
      <w:r w:rsidR="007000E9" w:rsidRPr="00B14447">
        <w:rPr>
          <w:rFonts w:ascii="Times New Roman" w:hAnsi="Times New Roman"/>
        </w:rPr>
        <w:t>, should Apotex be successful on appeal</w:t>
      </w:r>
      <w:r w:rsidR="0052616D" w:rsidRPr="00B14447">
        <w:rPr>
          <w:rFonts w:ascii="Times New Roman" w:hAnsi="Times New Roman"/>
        </w:rPr>
        <w:t>.</w:t>
      </w:r>
    </w:p>
    <w:p w14:paraId="368041E8" w14:textId="020A8972" w:rsidR="009C09BF" w:rsidRPr="00B14447" w:rsidRDefault="00171821" w:rsidP="00B14447">
      <w:pPr>
        <w:pStyle w:val="FixListStyle"/>
        <w:spacing w:after="260" w:line="280" w:lineRule="exact"/>
        <w:ind w:right="0"/>
        <w:jc w:val="both"/>
        <w:rPr>
          <w:rFonts w:ascii="Times New Roman" w:hAnsi="Times New Roman"/>
          <w:iCs/>
        </w:rPr>
      </w:pPr>
      <w:r w:rsidRPr="00B14447">
        <w:rPr>
          <w:rFonts w:ascii="Times New Roman" w:hAnsi="Times New Roman"/>
        </w:rPr>
        <w:tab/>
        <w:t>An</w:t>
      </w:r>
      <w:r w:rsidR="009770DA" w:rsidRPr="00B14447">
        <w:rPr>
          <w:rFonts w:ascii="Times New Roman" w:hAnsi="Times New Roman"/>
        </w:rPr>
        <w:t>other</w:t>
      </w:r>
      <w:r w:rsidRPr="00B14447">
        <w:rPr>
          <w:rFonts w:ascii="Times New Roman" w:hAnsi="Times New Roman"/>
        </w:rPr>
        <w:t xml:space="preserve"> example of factual finding</w:t>
      </w:r>
      <w:r w:rsidR="009D3B02" w:rsidRPr="00B14447">
        <w:rPr>
          <w:rFonts w:ascii="Times New Roman" w:hAnsi="Times New Roman"/>
        </w:rPr>
        <w:t>s</w:t>
      </w:r>
      <w:r w:rsidRPr="00B14447">
        <w:rPr>
          <w:rFonts w:ascii="Times New Roman" w:hAnsi="Times New Roman"/>
        </w:rPr>
        <w:t xml:space="preserve"> that it is neither appropriate nor possible for this Court to revisit </w:t>
      </w:r>
      <w:r w:rsidR="009D3B02" w:rsidRPr="00B14447">
        <w:rPr>
          <w:rFonts w:ascii="Times New Roman" w:hAnsi="Times New Roman"/>
        </w:rPr>
        <w:t xml:space="preserve">are </w:t>
      </w:r>
      <w:r w:rsidR="00F31919" w:rsidRPr="00B14447">
        <w:rPr>
          <w:rFonts w:ascii="Times New Roman" w:hAnsi="Times New Roman"/>
        </w:rPr>
        <w:t>the findings concerning the June 2007 correspondence.</w:t>
      </w:r>
      <w:r w:rsidR="009C09BF" w:rsidRPr="00B14447">
        <w:rPr>
          <w:rFonts w:ascii="Times New Roman" w:hAnsi="Times New Roman"/>
        </w:rPr>
        <w:t xml:space="preserve"> </w:t>
      </w:r>
      <w:r w:rsidR="008B0FBC" w:rsidRPr="00B14447">
        <w:rPr>
          <w:rFonts w:ascii="Times New Roman" w:hAnsi="Times New Roman"/>
        </w:rPr>
        <w:t>S</w:t>
      </w:r>
      <w:r w:rsidR="009C09BF" w:rsidRPr="00B14447">
        <w:rPr>
          <w:rFonts w:ascii="Times New Roman" w:hAnsi="Times New Roman"/>
        </w:rPr>
        <w:t>enior counsel for the Commonwealth properly conceded</w:t>
      </w:r>
      <w:r w:rsidR="00C37FAC" w:rsidRPr="00B14447">
        <w:rPr>
          <w:rFonts w:ascii="Times New Roman" w:hAnsi="Times New Roman"/>
        </w:rPr>
        <w:t xml:space="preserve"> that</w:t>
      </w:r>
      <w:r w:rsidR="00B75F26" w:rsidRPr="00B14447">
        <w:rPr>
          <w:rFonts w:ascii="Times New Roman" w:hAnsi="Times New Roman"/>
        </w:rPr>
        <w:t xml:space="preserve"> the June 2007 correspondence </w:t>
      </w:r>
      <w:r w:rsidR="008779C1" w:rsidRPr="00B14447">
        <w:rPr>
          <w:rFonts w:ascii="Times New Roman" w:hAnsi="Times New Roman"/>
        </w:rPr>
        <w:t>did not</w:t>
      </w:r>
      <w:r w:rsidR="00B75F26" w:rsidRPr="00B14447">
        <w:rPr>
          <w:rFonts w:ascii="Times New Roman" w:hAnsi="Times New Roman"/>
        </w:rPr>
        <w:t xml:space="preserve"> reveal an</w:t>
      </w:r>
      <w:r w:rsidR="008779C1" w:rsidRPr="00B14447">
        <w:rPr>
          <w:rFonts w:ascii="Times New Roman" w:hAnsi="Times New Roman"/>
        </w:rPr>
        <w:t xml:space="preserve"> unconditional and </w:t>
      </w:r>
      <w:r w:rsidR="00C21C6A" w:rsidRPr="00B14447">
        <w:rPr>
          <w:rFonts w:ascii="Times New Roman" w:hAnsi="Times New Roman"/>
        </w:rPr>
        <w:t>absolute</w:t>
      </w:r>
      <w:r w:rsidR="00B75F26" w:rsidRPr="00B14447">
        <w:rPr>
          <w:rFonts w:ascii="Times New Roman" w:hAnsi="Times New Roman"/>
        </w:rPr>
        <w:t xml:space="preserve"> intention to launch at risk, no matter what happened in the meantime. But how conditional or tentative was any intention to launch at risk?</w:t>
      </w:r>
      <w:r w:rsidR="00F31919" w:rsidRPr="00B14447">
        <w:rPr>
          <w:rFonts w:ascii="Times New Roman" w:hAnsi="Times New Roman"/>
        </w:rPr>
        <w:t xml:space="preserve"> </w:t>
      </w:r>
      <w:r w:rsidR="00C21C6A" w:rsidRPr="00B14447">
        <w:rPr>
          <w:rFonts w:ascii="Times New Roman" w:hAnsi="Times New Roman"/>
        </w:rPr>
        <w:t xml:space="preserve">The Commonwealth </w:t>
      </w:r>
      <w:r w:rsidR="005F5908" w:rsidRPr="00B14447">
        <w:rPr>
          <w:rFonts w:ascii="Times New Roman" w:hAnsi="Times New Roman"/>
        </w:rPr>
        <w:t>made such an assessment extremely difficult by failing to call Dr</w:t>
      </w:r>
      <w:r w:rsidR="00343AC2" w:rsidRPr="00B14447">
        <w:rPr>
          <w:rFonts w:ascii="Times New Roman" w:hAnsi="Times New Roman"/>
        </w:rPr>
        <w:t> </w:t>
      </w:r>
      <w:r w:rsidR="005F5908" w:rsidRPr="00B14447">
        <w:rPr>
          <w:rFonts w:ascii="Times New Roman" w:hAnsi="Times New Roman"/>
        </w:rPr>
        <w:t xml:space="preserve">Sherman to give evidence. </w:t>
      </w:r>
      <w:r w:rsidR="0088220C" w:rsidRPr="00B14447">
        <w:rPr>
          <w:rFonts w:ascii="Times New Roman" w:hAnsi="Times New Roman"/>
        </w:rPr>
        <w:t xml:space="preserve">The compelling nature of the reasoning on this point </w:t>
      </w:r>
      <w:r w:rsidR="00A7146C" w:rsidRPr="00B14447">
        <w:rPr>
          <w:rFonts w:ascii="Times New Roman" w:hAnsi="Times New Roman"/>
        </w:rPr>
        <w:t xml:space="preserve">in the courts </w:t>
      </w:r>
      <w:r w:rsidR="0088220C" w:rsidRPr="00B14447">
        <w:rPr>
          <w:rFonts w:ascii="Times New Roman" w:hAnsi="Times New Roman"/>
        </w:rPr>
        <w:t>below has already been explained.</w:t>
      </w:r>
      <w:r w:rsidR="00124030" w:rsidRPr="00B14447">
        <w:rPr>
          <w:rFonts w:ascii="Times New Roman" w:hAnsi="Times New Roman"/>
        </w:rPr>
        <w:t xml:space="preserve"> </w:t>
      </w:r>
    </w:p>
    <w:p w14:paraId="7218BF8D" w14:textId="767EC35D" w:rsidR="00B214AF" w:rsidRPr="00B14447" w:rsidRDefault="009C09BF" w:rsidP="00B14447">
      <w:pPr>
        <w:pStyle w:val="FixListStyle"/>
        <w:spacing w:after="260" w:line="280" w:lineRule="exact"/>
        <w:ind w:right="0"/>
        <w:jc w:val="both"/>
        <w:rPr>
          <w:rFonts w:ascii="Times New Roman" w:hAnsi="Times New Roman"/>
          <w:iCs/>
        </w:rPr>
      </w:pPr>
      <w:r w:rsidRPr="00B14447">
        <w:rPr>
          <w:rFonts w:ascii="Times New Roman" w:hAnsi="Times New Roman"/>
        </w:rPr>
        <w:tab/>
      </w:r>
      <w:r w:rsidR="00F31919" w:rsidRPr="00B14447">
        <w:rPr>
          <w:rFonts w:ascii="Times New Roman" w:hAnsi="Times New Roman"/>
        </w:rPr>
        <w:t>This Court was</w:t>
      </w:r>
      <w:r w:rsidR="0088220C" w:rsidRPr="00B14447">
        <w:rPr>
          <w:rFonts w:ascii="Times New Roman" w:hAnsi="Times New Roman"/>
        </w:rPr>
        <w:t>, however,</w:t>
      </w:r>
      <w:r w:rsidR="00F31919" w:rsidRPr="00B14447">
        <w:rPr>
          <w:rFonts w:ascii="Times New Roman" w:hAnsi="Times New Roman"/>
        </w:rPr>
        <w:t xml:space="preserve"> invited to comb through the nuances and sequence of the June 2007 emails in order to draw an inference that, contrary to the concurrent reasoning below, </w:t>
      </w:r>
      <w:r w:rsidR="0098723A" w:rsidRPr="00B14447">
        <w:rPr>
          <w:rFonts w:ascii="Times New Roman" w:hAnsi="Times New Roman"/>
        </w:rPr>
        <w:t xml:space="preserve">a final </w:t>
      </w:r>
      <w:r w:rsidR="0088220C" w:rsidRPr="00B14447">
        <w:rPr>
          <w:rFonts w:ascii="Times New Roman" w:hAnsi="Times New Roman"/>
        </w:rPr>
        <w:t xml:space="preserve">and almost unconditional </w:t>
      </w:r>
      <w:r w:rsidR="0098723A" w:rsidRPr="00B14447">
        <w:rPr>
          <w:rFonts w:ascii="Times New Roman" w:hAnsi="Times New Roman"/>
        </w:rPr>
        <w:t>decision had been reached at that time by Dr</w:t>
      </w:r>
      <w:r w:rsidR="000F6497" w:rsidRPr="00B14447">
        <w:rPr>
          <w:rFonts w:ascii="Times New Roman" w:hAnsi="Times New Roman"/>
        </w:rPr>
        <w:t> </w:t>
      </w:r>
      <w:r w:rsidR="0098723A" w:rsidRPr="00B14447">
        <w:rPr>
          <w:rFonts w:ascii="Times New Roman" w:hAnsi="Times New Roman"/>
        </w:rPr>
        <w:t xml:space="preserve">Sherman that Apotex would launch at risk. </w:t>
      </w:r>
      <w:r w:rsidR="00681D37" w:rsidRPr="00B14447">
        <w:rPr>
          <w:rFonts w:ascii="Times New Roman" w:hAnsi="Times New Roman"/>
        </w:rPr>
        <w:t xml:space="preserve">Submissions were made </w:t>
      </w:r>
      <w:r w:rsidR="00CA7AE8" w:rsidRPr="00B14447">
        <w:rPr>
          <w:rFonts w:ascii="Times New Roman" w:hAnsi="Times New Roman"/>
        </w:rPr>
        <w:t>about</w:t>
      </w:r>
      <w:r w:rsidR="00681D37" w:rsidRPr="00B14447">
        <w:rPr>
          <w:rFonts w:ascii="Times New Roman" w:hAnsi="Times New Roman"/>
        </w:rPr>
        <w:t xml:space="preserve"> ambiguities in sentences in the correspondence</w:t>
      </w:r>
      <w:r w:rsidR="001200EA" w:rsidRPr="00B14447">
        <w:rPr>
          <w:rFonts w:ascii="Times New Roman" w:hAnsi="Times New Roman"/>
        </w:rPr>
        <w:t xml:space="preserve">. What was </w:t>
      </w:r>
      <w:r w:rsidR="001200EA" w:rsidRPr="00B14447">
        <w:rPr>
          <w:rFonts w:ascii="Times New Roman" w:hAnsi="Times New Roman"/>
          <w:iCs/>
        </w:rPr>
        <w:t>meant by Mr</w:t>
      </w:r>
      <w:r w:rsidR="00020557" w:rsidRPr="00B14447">
        <w:rPr>
          <w:rFonts w:ascii="Times New Roman" w:hAnsi="Times New Roman"/>
          <w:iCs/>
        </w:rPr>
        <w:t> </w:t>
      </w:r>
      <w:r w:rsidR="001200EA" w:rsidRPr="00B14447">
        <w:rPr>
          <w:rFonts w:ascii="Times New Roman" w:hAnsi="Times New Roman"/>
          <w:iCs/>
        </w:rPr>
        <w:t>Millichamp's statement in his email on 27</w:t>
      </w:r>
      <w:r w:rsidR="00020557" w:rsidRPr="00B14447">
        <w:rPr>
          <w:rFonts w:ascii="Times New Roman" w:hAnsi="Times New Roman"/>
          <w:iCs/>
        </w:rPr>
        <w:t> </w:t>
      </w:r>
      <w:r w:rsidR="001200EA" w:rsidRPr="00B14447">
        <w:rPr>
          <w:rFonts w:ascii="Times New Roman" w:hAnsi="Times New Roman"/>
          <w:iCs/>
        </w:rPr>
        <w:t>June 2007</w:t>
      </w:r>
      <w:r w:rsidR="000F3927" w:rsidRPr="00B14447">
        <w:rPr>
          <w:rFonts w:ascii="Times New Roman" w:hAnsi="Times New Roman"/>
          <w:iCs/>
        </w:rPr>
        <w:t xml:space="preserve"> </w:t>
      </w:r>
      <w:r w:rsidR="001200EA" w:rsidRPr="00B14447">
        <w:rPr>
          <w:rFonts w:ascii="Times New Roman" w:hAnsi="Times New Roman"/>
          <w:iCs/>
        </w:rPr>
        <w:t>that</w:t>
      </w:r>
      <w:r w:rsidR="001200EA" w:rsidRPr="00B14447">
        <w:rPr>
          <w:rFonts w:ascii="Times New Roman" w:hAnsi="Times New Roman"/>
        </w:rPr>
        <w:t xml:space="preserve"> </w:t>
      </w:r>
      <w:r w:rsidR="000C4C56" w:rsidRPr="00B14447">
        <w:rPr>
          <w:rFonts w:ascii="Times New Roman" w:hAnsi="Times New Roman"/>
        </w:rPr>
        <w:t>the plan to launch if Apotex was successful in obtaining an interlocutory injunction was "</w:t>
      </w:r>
      <w:r w:rsidR="001200EA" w:rsidRPr="00B14447">
        <w:rPr>
          <w:rFonts w:ascii="Times New Roman" w:hAnsi="Times New Roman"/>
        </w:rPr>
        <w:t xml:space="preserve">subject to </w:t>
      </w:r>
      <w:r w:rsidR="00167E2D" w:rsidRPr="00B14447">
        <w:rPr>
          <w:rFonts w:ascii="Times New Roman" w:hAnsi="Times New Roman"/>
        </w:rPr>
        <w:t>[Dr Sherman]</w:t>
      </w:r>
      <w:r w:rsidR="001200EA" w:rsidRPr="00B14447">
        <w:rPr>
          <w:rFonts w:ascii="Times New Roman" w:hAnsi="Times New Roman"/>
        </w:rPr>
        <w:t>'s further advice/approval"</w:t>
      </w:r>
      <w:r w:rsidR="000C4C56" w:rsidRPr="00B14447">
        <w:rPr>
          <w:rFonts w:ascii="Times New Roman" w:hAnsi="Times New Roman"/>
        </w:rPr>
        <w:t>? What did Mr</w:t>
      </w:r>
      <w:r w:rsidR="007F60C0" w:rsidRPr="00B14447">
        <w:rPr>
          <w:rFonts w:ascii="Times New Roman" w:hAnsi="Times New Roman"/>
        </w:rPr>
        <w:t> </w:t>
      </w:r>
      <w:r w:rsidR="000C4C56" w:rsidRPr="00B14447">
        <w:rPr>
          <w:rFonts w:ascii="Times New Roman" w:hAnsi="Times New Roman"/>
        </w:rPr>
        <w:t xml:space="preserve">Millichamp mean </w:t>
      </w:r>
      <w:r w:rsidR="00114272" w:rsidRPr="00B14447">
        <w:rPr>
          <w:rFonts w:ascii="Times New Roman" w:hAnsi="Times New Roman"/>
        </w:rPr>
        <w:t>on 28</w:t>
      </w:r>
      <w:r w:rsidR="007F60C0" w:rsidRPr="00B14447">
        <w:rPr>
          <w:rFonts w:ascii="Times New Roman" w:hAnsi="Times New Roman"/>
        </w:rPr>
        <w:t> </w:t>
      </w:r>
      <w:r w:rsidR="00114272" w:rsidRPr="00B14447">
        <w:rPr>
          <w:rFonts w:ascii="Times New Roman" w:hAnsi="Times New Roman"/>
        </w:rPr>
        <w:t>June 2007</w:t>
      </w:r>
      <w:r w:rsidR="000C4C56" w:rsidRPr="00B14447">
        <w:rPr>
          <w:rFonts w:ascii="Times New Roman" w:hAnsi="Times New Roman"/>
        </w:rPr>
        <w:t xml:space="preserve"> when he </w:t>
      </w:r>
      <w:r w:rsidR="004B442A" w:rsidRPr="00B14447">
        <w:rPr>
          <w:rFonts w:ascii="Times New Roman" w:hAnsi="Times New Roman"/>
        </w:rPr>
        <w:t>described his outline</w:t>
      </w:r>
      <w:r w:rsidR="007F60C0" w:rsidRPr="00B14447">
        <w:rPr>
          <w:rFonts w:ascii="Times New Roman" w:hAnsi="Times New Roman"/>
        </w:rPr>
        <w:t>d</w:t>
      </w:r>
      <w:r w:rsidR="004B442A" w:rsidRPr="00B14447">
        <w:rPr>
          <w:rFonts w:ascii="Times New Roman" w:hAnsi="Times New Roman"/>
        </w:rPr>
        <w:t xml:space="preserve"> plan to launch at risk "as per instructions from [Dr</w:t>
      </w:r>
      <w:r w:rsidR="007F60C0" w:rsidRPr="00B14447">
        <w:rPr>
          <w:rFonts w:ascii="Times New Roman" w:hAnsi="Times New Roman"/>
        </w:rPr>
        <w:t> </w:t>
      </w:r>
      <w:r w:rsidR="004B442A" w:rsidRPr="00B14447">
        <w:rPr>
          <w:rFonts w:ascii="Times New Roman" w:hAnsi="Times New Roman"/>
        </w:rPr>
        <w:t xml:space="preserve">Sherman]"? </w:t>
      </w:r>
      <w:r w:rsidR="00992CCB" w:rsidRPr="00B14447">
        <w:rPr>
          <w:rFonts w:ascii="Times New Roman" w:hAnsi="Times New Roman"/>
        </w:rPr>
        <w:t xml:space="preserve">What were </w:t>
      </w:r>
      <w:r w:rsidR="00B425A6" w:rsidRPr="00B14447">
        <w:rPr>
          <w:rFonts w:ascii="Times New Roman" w:hAnsi="Times New Roman"/>
        </w:rPr>
        <w:t xml:space="preserve">Dr Sherman's </w:t>
      </w:r>
      <w:r w:rsidR="00A6750E" w:rsidRPr="00B14447">
        <w:rPr>
          <w:rFonts w:ascii="Times New Roman" w:hAnsi="Times New Roman"/>
        </w:rPr>
        <w:t>precise "</w:t>
      </w:r>
      <w:r w:rsidR="005919FB" w:rsidRPr="00B14447">
        <w:rPr>
          <w:rFonts w:ascii="Times New Roman" w:hAnsi="Times New Roman"/>
        </w:rPr>
        <w:t>instructions</w:t>
      </w:r>
      <w:r w:rsidR="00A6750E" w:rsidRPr="00B14447">
        <w:rPr>
          <w:rFonts w:ascii="Times New Roman" w:hAnsi="Times New Roman"/>
        </w:rPr>
        <w:t>"</w:t>
      </w:r>
      <w:r w:rsidR="005919FB" w:rsidRPr="00B14447">
        <w:rPr>
          <w:rFonts w:ascii="Times New Roman" w:hAnsi="Times New Roman"/>
        </w:rPr>
        <w:t xml:space="preserve">? </w:t>
      </w:r>
      <w:r w:rsidR="005919FB" w:rsidRPr="00B14447">
        <w:rPr>
          <w:rFonts w:ascii="Times New Roman" w:hAnsi="Times New Roman"/>
          <w:iCs/>
        </w:rPr>
        <w:t>W</w:t>
      </w:r>
      <w:r w:rsidR="00A208CE" w:rsidRPr="00B14447">
        <w:rPr>
          <w:rFonts w:ascii="Times New Roman" w:hAnsi="Times New Roman"/>
        </w:rPr>
        <w:t>hat did Mr</w:t>
      </w:r>
      <w:r w:rsidR="00805404" w:rsidRPr="00B14447">
        <w:rPr>
          <w:rFonts w:ascii="Times New Roman" w:hAnsi="Times New Roman"/>
        </w:rPr>
        <w:t> </w:t>
      </w:r>
      <w:r w:rsidR="00A208CE" w:rsidRPr="00B14447">
        <w:rPr>
          <w:rFonts w:ascii="Times New Roman" w:hAnsi="Times New Roman"/>
        </w:rPr>
        <w:t xml:space="preserve">Haas mean when he </w:t>
      </w:r>
      <w:r w:rsidR="00306001" w:rsidRPr="00B14447">
        <w:rPr>
          <w:rFonts w:ascii="Times New Roman" w:hAnsi="Times New Roman"/>
        </w:rPr>
        <w:t>aske</w:t>
      </w:r>
      <w:r w:rsidR="00A208CE" w:rsidRPr="00B14447">
        <w:rPr>
          <w:rFonts w:ascii="Times New Roman" w:hAnsi="Times New Roman"/>
        </w:rPr>
        <w:t>d on 28</w:t>
      </w:r>
      <w:r w:rsidR="00805404" w:rsidRPr="00B14447">
        <w:rPr>
          <w:rFonts w:ascii="Times New Roman" w:hAnsi="Times New Roman"/>
        </w:rPr>
        <w:t> </w:t>
      </w:r>
      <w:r w:rsidR="00A208CE" w:rsidRPr="00B14447">
        <w:rPr>
          <w:rFonts w:ascii="Times New Roman" w:hAnsi="Times New Roman"/>
        </w:rPr>
        <w:t>June 2007</w:t>
      </w:r>
      <w:r w:rsidR="00306001" w:rsidRPr="00B14447">
        <w:rPr>
          <w:rFonts w:ascii="Times New Roman" w:hAnsi="Times New Roman"/>
        </w:rPr>
        <w:t xml:space="preserve"> </w:t>
      </w:r>
      <w:r w:rsidR="00E824F2" w:rsidRPr="00B14447">
        <w:rPr>
          <w:rFonts w:ascii="Times New Roman" w:hAnsi="Times New Roman"/>
        </w:rPr>
        <w:t>whether Dr</w:t>
      </w:r>
      <w:r w:rsidR="00805404" w:rsidRPr="00B14447">
        <w:rPr>
          <w:rFonts w:ascii="Times New Roman" w:hAnsi="Times New Roman"/>
        </w:rPr>
        <w:t> </w:t>
      </w:r>
      <w:r w:rsidR="00E824F2" w:rsidRPr="00B14447">
        <w:rPr>
          <w:rFonts w:ascii="Times New Roman" w:hAnsi="Times New Roman"/>
        </w:rPr>
        <w:t>Sherman was "</w:t>
      </w:r>
      <w:r w:rsidR="00A208CE" w:rsidRPr="00B14447">
        <w:rPr>
          <w:rFonts w:ascii="Times New Roman" w:hAnsi="Times New Roman"/>
        </w:rPr>
        <w:t>in the loop</w:t>
      </w:r>
      <w:r w:rsidR="00E824F2" w:rsidRPr="00B14447">
        <w:rPr>
          <w:rFonts w:ascii="Times New Roman" w:hAnsi="Times New Roman"/>
        </w:rPr>
        <w:t>" in relation to the strategy to launch at risk?</w:t>
      </w:r>
      <w:r w:rsidR="009552F8" w:rsidRPr="00B14447">
        <w:rPr>
          <w:rFonts w:ascii="Times New Roman" w:hAnsi="Times New Roman"/>
        </w:rPr>
        <w:t xml:space="preserve"> </w:t>
      </w:r>
      <w:r w:rsidR="00937101" w:rsidRPr="00B14447">
        <w:rPr>
          <w:rFonts w:ascii="Times New Roman" w:hAnsi="Times New Roman"/>
        </w:rPr>
        <w:t xml:space="preserve">Could the emails in June 2007 be seen as a </w:t>
      </w:r>
      <w:r w:rsidR="00F677BF" w:rsidRPr="00B14447">
        <w:rPr>
          <w:rFonts w:ascii="Times New Roman" w:hAnsi="Times New Roman"/>
        </w:rPr>
        <w:t>continuation, or re-confirmation, of any intention to launch in February 2007?</w:t>
      </w:r>
    </w:p>
    <w:p w14:paraId="1BA0DC40" w14:textId="2C7DD666" w:rsidR="001200EA" w:rsidRPr="00B14447" w:rsidRDefault="00B214AF"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Some of these questions were the subject of detailed submissions at trial. But before this Court, </w:t>
      </w:r>
      <w:r w:rsidR="008E38E7" w:rsidRPr="00B14447">
        <w:rPr>
          <w:rFonts w:ascii="Times New Roman" w:hAnsi="Times New Roman"/>
        </w:rPr>
        <w:t xml:space="preserve">only extracts </w:t>
      </w:r>
      <w:r w:rsidRPr="00B14447">
        <w:rPr>
          <w:rFonts w:ascii="Times New Roman" w:hAnsi="Times New Roman"/>
        </w:rPr>
        <w:t xml:space="preserve">of those submissions </w:t>
      </w:r>
      <w:r w:rsidR="00F677BF" w:rsidRPr="00B14447">
        <w:rPr>
          <w:rFonts w:ascii="Times New Roman" w:hAnsi="Times New Roman"/>
        </w:rPr>
        <w:t xml:space="preserve">from trial </w:t>
      </w:r>
      <w:r w:rsidRPr="00B14447">
        <w:rPr>
          <w:rFonts w:ascii="Times New Roman" w:hAnsi="Times New Roman"/>
        </w:rPr>
        <w:t>were reproduced</w:t>
      </w:r>
      <w:r w:rsidR="004914C8" w:rsidRPr="00B14447">
        <w:rPr>
          <w:rFonts w:ascii="Times New Roman" w:hAnsi="Times New Roman"/>
        </w:rPr>
        <w:t xml:space="preserve">. </w:t>
      </w:r>
      <w:r w:rsidR="00E05C62" w:rsidRPr="00B14447">
        <w:rPr>
          <w:rFonts w:ascii="Times New Roman" w:hAnsi="Times New Roman"/>
        </w:rPr>
        <w:t>S</w:t>
      </w:r>
      <w:r w:rsidR="00AC10B9" w:rsidRPr="00B14447">
        <w:rPr>
          <w:rFonts w:ascii="Times New Roman" w:hAnsi="Times New Roman"/>
        </w:rPr>
        <w:t xml:space="preserve">ubmissions were made in this Court that, despite the findings of the primary judge </w:t>
      </w:r>
      <w:r w:rsidR="005D7808" w:rsidRPr="00B14447">
        <w:rPr>
          <w:rFonts w:ascii="Times New Roman" w:hAnsi="Times New Roman"/>
        </w:rPr>
        <w:t>about Mr</w:t>
      </w:r>
      <w:r w:rsidR="006A3CCE" w:rsidRPr="00B14447">
        <w:rPr>
          <w:rFonts w:ascii="Times New Roman" w:hAnsi="Times New Roman"/>
        </w:rPr>
        <w:t> </w:t>
      </w:r>
      <w:r w:rsidR="005D7808" w:rsidRPr="00B14447">
        <w:rPr>
          <w:rFonts w:ascii="Times New Roman" w:hAnsi="Times New Roman"/>
        </w:rPr>
        <w:t>Millichamp's credibility as a witness, Mr</w:t>
      </w:r>
      <w:r w:rsidR="006A3CCE" w:rsidRPr="00B14447">
        <w:rPr>
          <w:rFonts w:ascii="Times New Roman" w:hAnsi="Times New Roman"/>
        </w:rPr>
        <w:t> </w:t>
      </w:r>
      <w:r w:rsidR="005D7808" w:rsidRPr="00B14447">
        <w:rPr>
          <w:rFonts w:ascii="Times New Roman" w:hAnsi="Times New Roman"/>
        </w:rPr>
        <w:t xml:space="preserve">Millichamp's evidence could be relied upon </w:t>
      </w:r>
      <w:r w:rsidR="00233C6D" w:rsidRPr="00B14447">
        <w:rPr>
          <w:rFonts w:ascii="Times New Roman" w:hAnsi="Times New Roman"/>
        </w:rPr>
        <w:t xml:space="preserve">for the first time in this Court to support an interpretation of those emails that was favourable to the Commonwealth's submissions. Even if such a course were possible in this Court (which it is not) </w:t>
      </w:r>
      <w:r w:rsidR="004914C8" w:rsidRPr="00B14447">
        <w:rPr>
          <w:rFonts w:ascii="Times New Roman" w:hAnsi="Times New Roman"/>
        </w:rPr>
        <w:t xml:space="preserve">this Court </w:t>
      </w:r>
      <w:r w:rsidR="00233C6D" w:rsidRPr="00B14447">
        <w:rPr>
          <w:rFonts w:ascii="Times New Roman" w:hAnsi="Times New Roman"/>
        </w:rPr>
        <w:t xml:space="preserve">was not </w:t>
      </w:r>
      <w:r w:rsidR="004914C8" w:rsidRPr="00B14447">
        <w:rPr>
          <w:rFonts w:ascii="Times New Roman" w:hAnsi="Times New Roman"/>
        </w:rPr>
        <w:t>taken</w:t>
      </w:r>
      <w:r w:rsidR="008461DE" w:rsidRPr="00B14447">
        <w:rPr>
          <w:rFonts w:ascii="Times New Roman" w:hAnsi="Times New Roman"/>
        </w:rPr>
        <w:t>, in oral submissions,</w:t>
      </w:r>
      <w:r w:rsidR="004914C8" w:rsidRPr="00B14447">
        <w:rPr>
          <w:rFonts w:ascii="Times New Roman" w:hAnsi="Times New Roman"/>
        </w:rPr>
        <w:t xml:space="preserve"> to the detailed cross-examination of </w:t>
      </w:r>
      <w:r w:rsidR="00A654F0" w:rsidRPr="00B14447">
        <w:rPr>
          <w:rFonts w:ascii="Times New Roman" w:hAnsi="Times New Roman"/>
        </w:rPr>
        <w:t>Mr</w:t>
      </w:r>
      <w:r w:rsidR="006A3CCE" w:rsidRPr="00B14447">
        <w:rPr>
          <w:rFonts w:ascii="Times New Roman" w:hAnsi="Times New Roman"/>
        </w:rPr>
        <w:t> </w:t>
      </w:r>
      <w:r w:rsidR="00A654F0" w:rsidRPr="00B14447">
        <w:rPr>
          <w:rFonts w:ascii="Times New Roman" w:hAnsi="Times New Roman"/>
        </w:rPr>
        <w:t xml:space="preserve">Millichamp, and possibly other </w:t>
      </w:r>
      <w:r w:rsidR="004914C8" w:rsidRPr="00B14447">
        <w:rPr>
          <w:rFonts w:ascii="Times New Roman" w:hAnsi="Times New Roman"/>
        </w:rPr>
        <w:t>witnesses</w:t>
      </w:r>
      <w:r w:rsidR="00A654F0" w:rsidRPr="00B14447">
        <w:rPr>
          <w:rFonts w:ascii="Times New Roman" w:hAnsi="Times New Roman"/>
        </w:rPr>
        <w:t>,</w:t>
      </w:r>
      <w:r w:rsidR="004914C8" w:rsidRPr="00B14447">
        <w:rPr>
          <w:rFonts w:ascii="Times New Roman" w:hAnsi="Times New Roman"/>
        </w:rPr>
        <w:t xml:space="preserve"> about the meaning of the</w:t>
      </w:r>
      <w:r w:rsidR="00F13CBE" w:rsidRPr="00B14447">
        <w:rPr>
          <w:rFonts w:ascii="Times New Roman" w:hAnsi="Times New Roman"/>
        </w:rPr>
        <w:t xml:space="preserve"> email correspondence</w:t>
      </w:r>
      <w:r w:rsidR="004914C8" w:rsidRPr="00B14447">
        <w:rPr>
          <w:rFonts w:ascii="Times New Roman" w:hAnsi="Times New Roman"/>
        </w:rPr>
        <w:t>. For instance,</w:t>
      </w:r>
      <w:r w:rsidR="00E278FF" w:rsidRPr="00B14447">
        <w:rPr>
          <w:rFonts w:ascii="Times New Roman" w:hAnsi="Times New Roman"/>
        </w:rPr>
        <w:t xml:space="preserve"> </w:t>
      </w:r>
      <w:r w:rsidR="00A07479" w:rsidRPr="00B14447">
        <w:rPr>
          <w:rFonts w:ascii="Times New Roman" w:hAnsi="Times New Roman"/>
        </w:rPr>
        <w:t xml:space="preserve">in a passage from </w:t>
      </w:r>
      <w:r w:rsidR="00E278FF" w:rsidRPr="00B14447">
        <w:rPr>
          <w:rFonts w:ascii="Times New Roman" w:hAnsi="Times New Roman"/>
        </w:rPr>
        <w:t xml:space="preserve">the </w:t>
      </w:r>
      <w:r w:rsidR="00A07479" w:rsidRPr="00B14447">
        <w:rPr>
          <w:rFonts w:ascii="Times New Roman" w:hAnsi="Times New Roman"/>
        </w:rPr>
        <w:t>primary</w:t>
      </w:r>
      <w:r w:rsidR="00E278FF" w:rsidRPr="00B14447">
        <w:rPr>
          <w:rFonts w:ascii="Times New Roman" w:hAnsi="Times New Roman"/>
        </w:rPr>
        <w:t xml:space="preserve"> judge</w:t>
      </w:r>
      <w:r w:rsidR="00A07479" w:rsidRPr="00B14447">
        <w:rPr>
          <w:rFonts w:ascii="Times New Roman" w:hAnsi="Times New Roman"/>
        </w:rPr>
        <w:t xml:space="preserve"> to which this Court was not referred</w:t>
      </w:r>
      <w:r w:rsidR="00C50793" w:rsidRPr="00B14447">
        <w:rPr>
          <w:rFonts w:ascii="Times New Roman" w:hAnsi="Times New Roman"/>
        </w:rPr>
        <w:t xml:space="preserve"> in oral submissions</w:t>
      </w:r>
      <w:r w:rsidR="00A07479" w:rsidRPr="00B14447">
        <w:rPr>
          <w:rFonts w:ascii="Times New Roman" w:hAnsi="Times New Roman"/>
        </w:rPr>
        <w:t>, the primary judge</w:t>
      </w:r>
      <w:r w:rsidR="00E278FF" w:rsidRPr="00B14447">
        <w:rPr>
          <w:rFonts w:ascii="Times New Roman" w:hAnsi="Times New Roman"/>
        </w:rPr>
        <w:t xml:space="preserve"> set out some of the </w:t>
      </w:r>
      <w:r w:rsidR="00E278FF" w:rsidRPr="00B14447">
        <w:rPr>
          <w:rFonts w:ascii="Times New Roman" w:hAnsi="Times New Roman"/>
        </w:rPr>
        <w:lastRenderedPageBreak/>
        <w:t>lengthy cross-examination of Mr</w:t>
      </w:r>
      <w:r w:rsidR="00C50793" w:rsidRPr="00B14447">
        <w:rPr>
          <w:rFonts w:ascii="Times New Roman" w:hAnsi="Times New Roman"/>
        </w:rPr>
        <w:t> </w:t>
      </w:r>
      <w:r w:rsidR="00E278FF" w:rsidRPr="00B14447">
        <w:rPr>
          <w:rFonts w:ascii="Times New Roman" w:hAnsi="Times New Roman"/>
        </w:rPr>
        <w:t xml:space="preserve">Millichamp about the meaning of his email on </w:t>
      </w:r>
      <w:r w:rsidR="003F5717" w:rsidRPr="00B14447">
        <w:rPr>
          <w:rFonts w:ascii="Times New Roman" w:hAnsi="Times New Roman"/>
        </w:rPr>
        <w:t>27</w:t>
      </w:r>
      <w:r w:rsidR="00C50793" w:rsidRPr="00B14447">
        <w:rPr>
          <w:rFonts w:ascii="Times New Roman" w:hAnsi="Times New Roman"/>
        </w:rPr>
        <w:t> </w:t>
      </w:r>
      <w:r w:rsidR="003F5717" w:rsidRPr="00B14447">
        <w:rPr>
          <w:rFonts w:ascii="Times New Roman" w:hAnsi="Times New Roman"/>
        </w:rPr>
        <w:t>June 2007</w:t>
      </w:r>
      <w:r w:rsidR="00F13CBE" w:rsidRPr="00B14447">
        <w:rPr>
          <w:rFonts w:ascii="Times New Roman" w:hAnsi="Times New Roman"/>
        </w:rPr>
        <w:t>, where Mr</w:t>
      </w:r>
      <w:r w:rsidR="00C50793" w:rsidRPr="00B14447">
        <w:rPr>
          <w:rFonts w:ascii="Times New Roman" w:hAnsi="Times New Roman"/>
        </w:rPr>
        <w:t> </w:t>
      </w:r>
      <w:r w:rsidR="00F13CBE" w:rsidRPr="00B14447">
        <w:rPr>
          <w:rFonts w:ascii="Times New Roman" w:hAnsi="Times New Roman"/>
        </w:rPr>
        <w:t>Millichamp said</w:t>
      </w:r>
      <w:r w:rsidR="003F5717" w:rsidRPr="00B14447">
        <w:rPr>
          <w:rFonts w:ascii="Times New Roman" w:hAnsi="Times New Roman"/>
        </w:rPr>
        <w:t xml:space="preserve"> that </w:t>
      </w:r>
      <w:r w:rsidR="00E278FF" w:rsidRPr="00B14447">
        <w:rPr>
          <w:rFonts w:ascii="Times New Roman" w:hAnsi="Times New Roman"/>
        </w:rPr>
        <w:t xml:space="preserve">"[i]f we are successful in avoiding an injunction we will plan to launch subject to </w:t>
      </w:r>
      <w:r w:rsidR="00C50793" w:rsidRPr="00B14447">
        <w:rPr>
          <w:rFonts w:ascii="Times New Roman" w:hAnsi="Times New Roman"/>
        </w:rPr>
        <w:t xml:space="preserve">[Dr Sherman's] </w:t>
      </w:r>
      <w:r w:rsidR="00E278FF" w:rsidRPr="00B14447">
        <w:rPr>
          <w:rFonts w:ascii="Times New Roman" w:hAnsi="Times New Roman"/>
        </w:rPr>
        <w:t xml:space="preserve">further advice/approval". </w:t>
      </w:r>
      <w:r w:rsidR="00FB01BD" w:rsidRPr="00B14447">
        <w:rPr>
          <w:rFonts w:ascii="Times New Roman" w:hAnsi="Times New Roman"/>
        </w:rPr>
        <w:t xml:space="preserve">The </w:t>
      </w:r>
      <w:r w:rsidR="00A07479" w:rsidRPr="00B14447">
        <w:rPr>
          <w:rFonts w:ascii="Times New Roman" w:hAnsi="Times New Roman"/>
        </w:rPr>
        <w:t>primary</w:t>
      </w:r>
      <w:r w:rsidR="00FB01BD" w:rsidRPr="00B14447">
        <w:rPr>
          <w:rFonts w:ascii="Times New Roman" w:hAnsi="Times New Roman"/>
        </w:rPr>
        <w:t xml:space="preserve"> judge said of Mr</w:t>
      </w:r>
      <w:r w:rsidR="00C50793" w:rsidRPr="00B14447">
        <w:rPr>
          <w:rFonts w:ascii="Times New Roman" w:hAnsi="Times New Roman"/>
        </w:rPr>
        <w:t> </w:t>
      </w:r>
      <w:r w:rsidR="00FB01BD" w:rsidRPr="00B14447">
        <w:rPr>
          <w:rFonts w:ascii="Times New Roman" w:hAnsi="Times New Roman"/>
        </w:rPr>
        <w:t xml:space="preserve">Millichamp's evidence that this email did not show his intention to confirm </w:t>
      </w:r>
      <w:r w:rsidR="00B06E2D" w:rsidRPr="00B14447">
        <w:rPr>
          <w:rFonts w:ascii="Times New Roman" w:hAnsi="Times New Roman"/>
        </w:rPr>
        <w:t>a launch at risk with Dr</w:t>
      </w:r>
      <w:r w:rsidR="00A43328" w:rsidRPr="00B14447">
        <w:rPr>
          <w:rFonts w:ascii="Times New Roman" w:hAnsi="Times New Roman"/>
        </w:rPr>
        <w:t> </w:t>
      </w:r>
      <w:r w:rsidR="00B06E2D" w:rsidRPr="00B14447">
        <w:rPr>
          <w:rFonts w:ascii="Times New Roman" w:hAnsi="Times New Roman"/>
        </w:rPr>
        <w:t>Sherman</w:t>
      </w:r>
      <w:r w:rsidR="004868EB" w:rsidRPr="00B14447">
        <w:rPr>
          <w:rFonts w:ascii="Times New Roman" w:hAnsi="Times New Roman"/>
        </w:rPr>
        <w:t>:</w:t>
      </w:r>
      <w:r w:rsidR="00154141" w:rsidRPr="00B14447">
        <w:rPr>
          <w:rFonts w:ascii="Times New Roman" w:hAnsi="Times New Roman"/>
        </w:rPr>
        <w:t xml:space="preserve"> </w:t>
      </w:r>
      <w:r w:rsidR="001F45AA" w:rsidRPr="00B14447">
        <w:rPr>
          <w:rFonts w:ascii="Times New Roman" w:hAnsi="Times New Roman"/>
        </w:rPr>
        <w:t>"</w:t>
      </w:r>
      <w:r w:rsidR="00154141" w:rsidRPr="00B14447">
        <w:rPr>
          <w:rFonts w:ascii="Times New Roman" w:hAnsi="Times New Roman"/>
        </w:rPr>
        <w:t>I</w:t>
      </w:r>
      <w:r w:rsidR="005127C5">
        <w:rPr>
          <w:rFonts w:ascii="Times New Roman" w:hAnsi="Times New Roman"/>
        </w:rPr>
        <w:t> </w:t>
      </w:r>
      <w:r w:rsidR="00154141" w:rsidRPr="00B14447">
        <w:rPr>
          <w:rFonts w:ascii="Times New Roman" w:hAnsi="Times New Roman"/>
        </w:rPr>
        <w:t>found this evidence most unconvincing. In my view it was largely non</w:t>
      </w:r>
      <w:r w:rsidR="0020319B">
        <w:rPr>
          <w:rFonts w:ascii="Times New Roman" w:hAnsi="Times New Roman"/>
        </w:rPr>
        <w:noBreakHyphen/>
      </w:r>
      <w:r w:rsidR="00154141" w:rsidRPr="00B14447">
        <w:rPr>
          <w:rFonts w:ascii="Times New Roman" w:hAnsi="Times New Roman"/>
        </w:rPr>
        <w:t>responsive and evasive."</w:t>
      </w:r>
      <w:r w:rsidR="00154141" w:rsidRPr="00B14447">
        <w:rPr>
          <w:rStyle w:val="FootnoteReference"/>
          <w:rFonts w:ascii="Times New Roman" w:hAnsi="Times New Roman"/>
          <w:sz w:val="24"/>
        </w:rPr>
        <w:footnoteReference w:id="142"/>
      </w:r>
      <w:r w:rsidR="00A43328" w:rsidRPr="00B14447">
        <w:rPr>
          <w:rFonts w:ascii="Times New Roman" w:hAnsi="Times New Roman"/>
        </w:rPr>
        <w:t xml:space="preserve"> </w:t>
      </w:r>
    </w:p>
    <w:p w14:paraId="38E8A364" w14:textId="7CD95F94" w:rsidR="0013312B" w:rsidRPr="00B14447" w:rsidRDefault="0013312B" w:rsidP="00B14447">
      <w:pPr>
        <w:pStyle w:val="FixListStyle"/>
        <w:spacing w:after="260" w:line="280" w:lineRule="exact"/>
        <w:ind w:right="0"/>
        <w:jc w:val="both"/>
        <w:rPr>
          <w:rFonts w:ascii="Times New Roman" w:hAnsi="Times New Roman"/>
          <w:iCs/>
        </w:rPr>
      </w:pPr>
      <w:r w:rsidRPr="00B14447">
        <w:rPr>
          <w:rFonts w:ascii="Times New Roman" w:hAnsi="Times New Roman"/>
        </w:rPr>
        <w:tab/>
      </w:r>
      <w:r w:rsidR="004723BC" w:rsidRPr="00B14447">
        <w:rPr>
          <w:rFonts w:ascii="Times New Roman" w:hAnsi="Times New Roman"/>
        </w:rPr>
        <w:t>Further, t</w:t>
      </w:r>
      <w:r w:rsidRPr="00B14447">
        <w:rPr>
          <w:rFonts w:ascii="Times New Roman" w:hAnsi="Times New Roman"/>
        </w:rPr>
        <w:t xml:space="preserve">he Commonwealth's contention in its oral submissions in this Court that "critical bits in the contemporaneous evidence were ignored by the primary judge and were either ignored or not addressed by the Full Court" </w:t>
      </w:r>
      <w:r w:rsidR="00B300D9" w:rsidRPr="00B14447">
        <w:rPr>
          <w:rFonts w:ascii="Times New Roman" w:hAnsi="Times New Roman"/>
        </w:rPr>
        <w:t xml:space="preserve">was </w:t>
      </w:r>
      <w:r w:rsidR="000E1F7D" w:rsidRPr="00B14447">
        <w:rPr>
          <w:rFonts w:ascii="Times New Roman" w:hAnsi="Times New Roman"/>
        </w:rPr>
        <w:t xml:space="preserve">wrong </w:t>
      </w:r>
      <w:r w:rsidR="007D5D4D" w:rsidRPr="00B14447">
        <w:rPr>
          <w:rFonts w:ascii="Times New Roman" w:hAnsi="Times New Roman"/>
        </w:rPr>
        <w:t>or, at the very least, overstated</w:t>
      </w:r>
      <w:r w:rsidRPr="00B14447">
        <w:rPr>
          <w:rFonts w:ascii="Times New Roman" w:hAnsi="Times New Roman"/>
        </w:rPr>
        <w:t>.</w:t>
      </w:r>
      <w:r w:rsidR="00DA6FA3" w:rsidRPr="00B14447">
        <w:rPr>
          <w:rFonts w:ascii="Times New Roman" w:hAnsi="Times New Roman"/>
        </w:rPr>
        <w:t xml:space="preserve"> To take just one example, </w:t>
      </w:r>
      <w:r w:rsidR="000A3185" w:rsidRPr="00B14447">
        <w:rPr>
          <w:rFonts w:ascii="Times New Roman" w:hAnsi="Times New Roman"/>
        </w:rPr>
        <w:t>the Commonwealth</w:t>
      </w:r>
      <w:r w:rsidR="00DA6FA3" w:rsidRPr="00B14447">
        <w:rPr>
          <w:rFonts w:ascii="Times New Roman" w:hAnsi="Times New Roman"/>
        </w:rPr>
        <w:t xml:space="preserve"> submitted that the primary judge </w:t>
      </w:r>
      <w:r w:rsidR="00AD799E" w:rsidRPr="00B14447">
        <w:rPr>
          <w:rFonts w:ascii="Times New Roman" w:hAnsi="Times New Roman"/>
        </w:rPr>
        <w:t xml:space="preserve">"made nothing" of the email of </w:t>
      </w:r>
      <w:r w:rsidR="000754F4" w:rsidRPr="00B14447">
        <w:rPr>
          <w:rFonts w:ascii="Times New Roman" w:hAnsi="Times New Roman"/>
        </w:rPr>
        <w:t>27</w:t>
      </w:r>
      <w:r w:rsidR="004E3039" w:rsidRPr="00B14447">
        <w:rPr>
          <w:rFonts w:ascii="Times New Roman" w:hAnsi="Times New Roman"/>
        </w:rPr>
        <w:t> </w:t>
      </w:r>
      <w:r w:rsidR="000754F4" w:rsidRPr="00B14447">
        <w:rPr>
          <w:rFonts w:ascii="Times New Roman" w:hAnsi="Times New Roman"/>
        </w:rPr>
        <w:t>June 2007 stating "FYI</w:t>
      </w:r>
      <w:r w:rsidR="00C640AF" w:rsidRPr="00B14447">
        <w:rPr>
          <w:rFonts w:ascii="Times New Roman" w:hAnsi="Times New Roman"/>
        </w:rPr>
        <w:t> </w:t>
      </w:r>
      <w:r w:rsidR="000754F4" w:rsidRPr="00B14447">
        <w:rPr>
          <w:rFonts w:ascii="Times New Roman" w:hAnsi="Times New Roman"/>
        </w:rPr>
        <w:t>– Game on</w:t>
      </w:r>
      <w:r w:rsidR="00C640AF" w:rsidRPr="00B14447">
        <w:rPr>
          <w:rFonts w:ascii="Times New Roman" w:hAnsi="Times New Roman"/>
        </w:rPr>
        <w:t xml:space="preserve"> </w:t>
      </w:r>
      <w:r w:rsidR="000754F4" w:rsidRPr="00B14447">
        <w:rPr>
          <w:rFonts w:ascii="Times New Roman" w:hAnsi="Times New Roman"/>
        </w:rPr>
        <w:t>!!!"</w:t>
      </w:r>
      <w:r w:rsidR="00CC1AFB" w:rsidRPr="00B14447">
        <w:rPr>
          <w:rFonts w:ascii="Times New Roman" w:hAnsi="Times New Roman"/>
        </w:rPr>
        <w:t>.</w:t>
      </w:r>
      <w:r w:rsidR="000754F4" w:rsidRPr="00B14447">
        <w:rPr>
          <w:rFonts w:ascii="Times New Roman" w:hAnsi="Times New Roman"/>
        </w:rPr>
        <w:t xml:space="preserve"> </w:t>
      </w:r>
      <w:r w:rsidR="007D5D4D" w:rsidRPr="00B14447">
        <w:rPr>
          <w:rFonts w:ascii="Times New Roman" w:hAnsi="Times New Roman"/>
        </w:rPr>
        <w:t>The Commonwealth ran the same argument in the Full Court and it failed</w:t>
      </w:r>
      <w:r w:rsidR="007D5D4D" w:rsidRPr="00B14447">
        <w:rPr>
          <w:rFonts w:ascii="Times New Roman" w:hAnsi="Times New Roman"/>
          <w:sz w:val="24"/>
          <w:szCs w:val="24"/>
        </w:rPr>
        <w:t xml:space="preserve">. </w:t>
      </w:r>
      <w:r w:rsidR="004F40C4" w:rsidRPr="00B14447">
        <w:rPr>
          <w:rFonts w:ascii="Times New Roman" w:hAnsi="Times New Roman"/>
        </w:rPr>
        <w:t>The Full Court</w:t>
      </w:r>
      <w:r w:rsidR="00562DAD" w:rsidRPr="00B14447">
        <w:rPr>
          <w:rFonts w:ascii="Times New Roman" w:hAnsi="Times New Roman"/>
        </w:rPr>
        <w:t xml:space="preserve"> stated, as was the fact, that </w:t>
      </w:r>
      <w:r w:rsidR="004F40C4" w:rsidRPr="00B14447">
        <w:rPr>
          <w:rFonts w:ascii="Times New Roman" w:hAnsi="Times New Roman"/>
        </w:rPr>
        <w:t>t</w:t>
      </w:r>
      <w:r w:rsidR="000754F4" w:rsidRPr="00B14447">
        <w:rPr>
          <w:rFonts w:ascii="Times New Roman" w:hAnsi="Times New Roman"/>
        </w:rPr>
        <w:t xml:space="preserve">he primary judge </w:t>
      </w:r>
      <w:r w:rsidR="00562DAD" w:rsidRPr="00B14447">
        <w:rPr>
          <w:rFonts w:ascii="Times New Roman" w:hAnsi="Times New Roman"/>
        </w:rPr>
        <w:t xml:space="preserve">had addressed </w:t>
      </w:r>
      <w:r w:rsidR="003242D0" w:rsidRPr="00B14447">
        <w:rPr>
          <w:rFonts w:ascii="Times New Roman" w:hAnsi="Times New Roman"/>
        </w:rPr>
        <w:t>the email</w:t>
      </w:r>
      <w:r w:rsidR="004F40C4" w:rsidRPr="00B14447">
        <w:rPr>
          <w:rFonts w:ascii="Times New Roman" w:hAnsi="Times New Roman"/>
        </w:rPr>
        <w:t xml:space="preserve"> </w:t>
      </w:r>
      <w:r w:rsidR="00A0185F" w:rsidRPr="00B14447">
        <w:rPr>
          <w:rFonts w:ascii="Times New Roman" w:hAnsi="Times New Roman"/>
        </w:rPr>
        <w:t xml:space="preserve">in context </w:t>
      </w:r>
      <w:r w:rsidR="00EF1645" w:rsidRPr="00B14447">
        <w:rPr>
          <w:rFonts w:ascii="Times New Roman" w:hAnsi="Times New Roman"/>
        </w:rPr>
        <w:t xml:space="preserve">and then stated, as </w:t>
      </w:r>
      <w:r w:rsidR="004F40C4" w:rsidRPr="00B14447">
        <w:rPr>
          <w:rFonts w:ascii="Times New Roman" w:hAnsi="Times New Roman"/>
        </w:rPr>
        <w:t>was the fact</w:t>
      </w:r>
      <w:r w:rsidR="00EF1645" w:rsidRPr="00B14447">
        <w:rPr>
          <w:rFonts w:ascii="Times New Roman" w:hAnsi="Times New Roman"/>
        </w:rPr>
        <w:t>,</w:t>
      </w:r>
      <w:r w:rsidR="004F40C4" w:rsidRPr="00B14447">
        <w:rPr>
          <w:rFonts w:ascii="Times New Roman" w:hAnsi="Times New Roman"/>
        </w:rPr>
        <w:t xml:space="preserve"> that </w:t>
      </w:r>
      <w:r w:rsidR="00562DAD" w:rsidRPr="00B14447">
        <w:rPr>
          <w:rFonts w:ascii="Times New Roman" w:hAnsi="Times New Roman"/>
        </w:rPr>
        <w:t xml:space="preserve">many of the 2007 emails </w:t>
      </w:r>
      <w:r w:rsidR="00F96E9E" w:rsidRPr="00B14447">
        <w:rPr>
          <w:rFonts w:ascii="Times New Roman" w:hAnsi="Times New Roman"/>
        </w:rPr>
        <w:t>from Dr</w:t>
      </w:r>
      <w:r w:rsidR="004E3039" w:rsidRPr="00B14447">
        <w:rPr>
          <w:rFonts w:ascii="Times New Roman" w:hAnsi="Times New Roman"/>
        </w:rPr>
        <w:t> </w:t>
      </w:r>
      <w:r w:rsidR="00F96E9E" w:rsidRPr="00B14447">
        <w:rPr>
          <w:rFonts w:ascii="Times New Roman" w:hAnsi="Times New Roman"/>
        </w:rPr>
        <w:t xml:space="preserve">Sherman </w:t>
      </w:r>
      <w:r w:rsidR="00562DAD" w:rsidRPr="00B14447">
        <w:rPr>
          <w:rFonts w:ascii="Times New Roman" w:hAnsi="Times New Roman"/>
        </w:rPr>
        <w:t xml:space="preserve">before and after the </w:t>
      </w:r>
      <w:r w:rsidR="00EF1645" w:rsidRPr="00B14447">
        <w:rPr>
          <w:rFonts w:ascii="Times New Roman" w:hAnsi="Times New Roman"/>
        </w:rPr>
        <w:t>"</w:t>
      </w:r>
      <w:r w:rsidR="00562DAD" w:rsidRPr="00B14447">
        <w:rPr>
          <w:rFonts w:ascii="Times New Roman" w:hAnsi="Times New Roman"/>
        </w:rPr>
        <w:t>Game</w:t>
      </w:r>
      <w:r w:rsidR="004778B0">
        <w:rPr>
          <w:rFonts w:ascii="Times New Roman" w:hAnsi="Times New Roman"/>
        </w:rPr>
        <w:t> </w:t>
      </w:r>
      <w:r w:rsidR="00562DAD" w:rsidRPr="00B14447">
        <w:rPr>
          <w:rFonts w:ascii="Times New Roman" w:hAnsi="Times New Roman"/>
        </w:rPr>
        <w:t>on</w:t>
      </w:r>
      <w:r w:rsidR="00EF1645" w:rsidRPr="00B14447">
        <w:rPr>
          <w:rFonts w:ascii="Times New Roman" w:hAnsi="Times New Roman"/>
        </w:rPr>
        <w:t>"</w:t>
      </w:r>
      <w:r w:rsidR="00562DAD" w:rsidRPr="00B14447">
        <w:rPr>
          <w:rFonts w:ascii="Times New Roman" w:hAnsi="Times New Roman"/>
        </w:rPr>
        <w:t xml:space="preserve"> email were redacted for legal </w:t>
      </w:r>
      <w:r w:rsidR="00EF1645" w:rsidRPr="00B14447">
        <w:rPr>
          <w:rFonts w:ascii="Times New Roman" w:hAnsi="Times New Roman"/>
        </w:rPr>
        <w:t>professional</w:t>
      </w:r>
      <w:r w:rsidR="00562DAD" w:rsidRPr="00B14447">
        <w:rPr>
          <w:rFonts w:ascii="Times New Roman" w:hAnsi="Times New Roman"/>
        </w:rPr>
        <w:t xml:space="preserve"> </w:t>
      </w:r>
      <w:r w:rsidR="00EF1645" w:rsidRPr="00B14447">
        <w:rPr>
          <w:rFonts w:ascii="Times New Roman" w:hAnsi="Times New Roman"/>
        </w:rPr>
        <w:t>privilege</w:t>
      </w:r>
      <w:r w:rsidR="00016B9D" w:rsidRPr="00B14447">
        <w:rPr>
          <w:rFonts w:ascii="Times New Roman" w:hAnsi="Times New Roman"/>
        </w:rPr>
        <w:t>,</w:t>
      </w:r>
      <w:r w:rsidR="00562DAD" w:rsidRPr="00B14447">
        <w:rPr>
          <w:rFonts w:ascii="Times New Roman" w:hAnsi="Times New Roman"/>
        </w:rPr>
        <w:t xml:space="preserve"> </w:t>
      </w:r>
      <w:r w:rsidR="00733DED" w:rsidRPr="00B14447">
        <w:rPr>
          <w:rFonts w:ascii="Times New Roman" w:hAnsi="Times New Roman"/>
        </w:rPr>
        <w:t>which</w:t>
      </w:r>
      <w:r w:rsidR="00A67DD6" w:rsidRPr="00B14447">
        <w:rPr>
          <w:rFonts w:ascii="Times New Roman" w:hAnsi="Times New Roman"/>
        </w:rPr>
        <w:t xml:space="preserve"> begged the question of what the </w:t>
      </w:r>
      <w:r w:rsidR="006D0859" w:rsidRPr="00B14447">
        <w:rPr>
          <w:rFonts w:ascii="Times New Roman" w:hAnsi="Times New Roman"/>
        </w:rPr>
        <w:t>"</w:t>
      </w:r>
      <w:r w:rsidR="00A67DD6" w:rsidRPr="00B14447">
        <w:rPr>
          <w:rFonts w:ascii="Times New Roman" w:hAnsi="Times New Roman"/>
        </w:rPr>
        <w:t>game</w:t>
      </w:r>
      <w:r w:rsidR="00567642" w:rsidRPr="00B14447">
        <w:rPr>
          <w:rFonts w:ascii="Times New Roman" w:hAnsi="Times New Roman"/>
        </w:rPr>
        <w:t>"</w:t>
      </w:r>
      <w:r w:rsidR="00A67DD6" w:rsidRPr="00B14447">
        <w:rPr>
          <w:rFonts w:ascii="Times New Roman" w:hAnsi="Times New Roman"/>
        </w:rPr>
        <w:t xml:space="preserve"> was</w:t>
      </w:r>
      <w:r w:rsidR="003E5426" w:rsidRPr="00B14447">
        <w:rPr>
          <w:rFonts w:ascii="Times New Roman" w:hAnsi="Times New Roman"/>
        </w:rPr>
        <w:t>.</w:t>
      </w:r>
      <w:r w:rsidR="007D5D4D" w:rsidRPr="00B14447">
        <w:rPr>
          <w:rFonts w:ascii="Times New Roman" w:hAnsi="Times New Roman"/>
        </w:rPr>
        <w:t xml:space="preserve"> </w:t>
      </w:r>
      <w:r w:rsidR="0006753B" w:rsidRPr="00B14447">
        <w:rPr>
          <w:rFonts w:ascii="Times New Roman" w:hAnsi="Times New Roman"/>
        </w:rPr>
        <w:t xml:space="preserve">Put in different terms, the primary judge, affirmed unanimously by the Full Court, did not find that </w:t>
      </w:r>
      <w:r w:rsidR="00F96E9E" w:rsidRPr="00B14447">
        <w:rPr>
          <w:rFonts w:ascii="Times New Roman" w:hAnsi="Times New Roman"/>
        </w:rPr>
        <w:t xml:space="preserve">the </w:t>
      </w:r>
      <w:r w:rsidR="006D0859" w:rsidRPr="00B14447">
        <w:rPr>
          <w:rFonts w:ascii="Times New Roman" w:hAnsi="Times New Roman"/>
        </w:rPr>
        <w:t>"</w:t>
      </w:r>
      <w:r w:rsidR="00F96E9E" w:rsidRPr="00B14447">
        <w:rPr>
          <w:rFonts w:ascii="Times New Roman" w:hAnsi="Times New Roman"/>
        </w:rPr>
        <w:t xml:space="preserve">game" was to launch at risk. What </w:t>
      </w:r>
      <w:r w:rsidR="002A3D74" w:rsidRPr="00B14447">
        <w:rPr>
          <w:rFonts w:ascii="Times New Roman" w:hAnsi="Times New Roman"/>
        </w:rPr>
        <w:t xml:space="preserve">the </w:t>
      </w:r>
      <w:r w:rsidR="006D0859" w:rsidRPr="00B14447">
        <w:rPr>
          <w:rFonts w:ascii="Times New Roman" w:hAnsi="Times New Roman"/>
        </w:rPr>
        <w:t>"</w:t>
      </w:r>
      <w:r w:rsidR="002A3D74" w:rsidRPr="00B14447">
        <w:rPr>
          <w:rFonts w:ascii="Times New Roman" w:hAnsi="Times New Roman"/>
        </w:rPr>
        <w:t>game"</w:t>
      </w:r>
      <w:r w:rsidR="00F96E9E" w:rsidRPr="00B14447">
        <w:rPr>
          <w:rFonts w:ascii="Times New Roman" w:hAnsi="Times New Roman"/>
        </w:rPr>
        <w:t xml:space="preserve"> was referring to turned "on the contents of Dr</w:t>
      </w:r>
      <w:r w:rsidR="00C13D61" w:rsidRPr="00B14447">
        <w:rPr>
          <w:rFonts w:ascii="Times New Roman" w:hAnsi="Times New Roman"/>
        </w:rPr>
        <w:t> </w:t>
      </w:r>
      <w:r w:rsidR="00F96E9E" w:rsidRPr="00B14447">
        <w:rPr>
          <w:rFonts w:ascii="Times New Roman" w:hAnsi="Times New Roman"/>
        </w:rPr>
        <w:t>Sherman's two emails which are unknown".</w:t>
      </w:r>
      <w:r w:rsidR="00892496" w:rsidRPr="00B14447">
        <w:rPr>
          <w:rStyle w:val="FootnoteReference"/>
          <w:rFonts w:ascii="Times New Roman" w:hAnsi="Times New Roman"/>
          <w:sz w:val="24"/>
        </w:rPr>
        <w:footnoteReference w:id="143"/>
      </w:r>
      <w:r w:rsidR="008C51D5" w:rsidRPr="00B14447">
        <w:rPr>
          <w:rFonts w:ascii="Times New Roman" w:hAnsi="Times New Roman"/>
          <w:sz w:val="24"/>
          <w:szCs w:val="24"/>
        </w:rPr>
        <w:t xml:space="preserve"> </w:t>
      </w:r>
      <w:r w:rsidR="008C51D5" w:rsidRPr="00B14447">
        <w:rPr>
          <w:rFonts w:ascii="Times New Roman" w:hAnsi="Times New Roman"/>
        </w:rPr>
        <w:t xml:space="preserve">That finding </w:t>
      </w:r>
      <w:r w:rsidR="000F5C81" w:rsidRPr="00B14447">
        <w:rPr>
          <w:rFonts w:ascii="Times New Roman" w:hAnsi="Times New Roman"/>
        </w:rPr>
        <w:t xml:space="preserve">was open and </w:t>
      </w:r>
      <w:r w:rsidR="008C51D5" w:rsidRPr="00B14447">
        <w:rPr>
          <w:rFonts w:ascii="Times New Roman" w:hAnsi="Times New Roman"/>
        </w:rPr>
        <w:t xml:space="preserve">is </w:t>
      </w:r>
      <w:r w:rsidR="00DB17A2" w:rsidRPr="00B14447">
        <w:rPr>
          <w:rFonts w:ascii="Times New Roman" w:hAnsi="Times New Roman"/>
        </w:rPr>
        <w:t>not clearly wrong</w:t>
      </w:r>
      <w:r w:rsidR="008C51D5" w:rsidRPr="00B14447">
        <w:rPr>
          <w:rFonts w:ascii="Times New Roman" w:hAnsi="Times New Roman"/>
          <w:sz w:val="24"/>
          <w:szCs w:val="24"/>
        </w:rPr>
        <w:t xml:space="preserve">. </w:t>
      </w:r>
    </w:p>
    <w:p w14:paraId="384DC8FC" w14:textId="3229748F" w:rsidR="008310F7" w:rsidRPr="00B14447" w:rsidRDefault="00CE4E4F" w:rsidP="00B14447">
      <w:pPr>
        <w:pStyle w:val="FixListStyle"/>
        <w:spacing w:after="260" w:line="280" w:lineRule="exact"/>
        <w:ind w:right="0"/>
        <w:jc w:val="both"/>
        <w:rPr>
          <w:rFonts w:ascii="Times New Roman" w:hAnsi="Times New Roman"/>
          <w:iCs/>
        </w:rPr>
      </w:pPr>
      <w:r w:rsidRPr="00B14447">
        <w:rPr>
          <w:rFonts w:ascii="Times New Roman" w:hAnsi="Times New Roman"/>
        </w:rPr>
        <w:tab/>
        <w:t>A</w:t>
      </w:r>
      <w:r w:rsidR="00D90505" w:rsidRPr="00B14447">
        <w:rPr>
          <w:rFonts w:ascii="Times New Roman" w:hAnsi="Times New Roman"/>
        </w:rPr>
        <w:t xml:space="preserve"> further</w:t>
      </w:r>
      <w:r w:rsidR="00E31023" w:rsidRPr="00B14447">
        <w:rPr>
          <w:rFonts w:ascii="Times New Roman" w:hAnsi="Times New Roman"/>
        </w:rPr>
        <w:t xml:space="preserve"> </w:t>
      </w:r>
      <w:r w:rsidRPr="00B14447">
        <w:rPr>
          <w:rFonts w:ascii="Times New Roman" w:hAnsi="Times New Roman"/>
        </w:rPr>
        <w:t xml:space="preserve">example of factual findings that </w:t>
      </w:r>
      <w:r w:rsidR="009422E3" w:rsidRPr="00B14447">
        <w:rPr>
          <w:rFonts w:ascii="Times New Roman" w:hAnsi="Times New Roman"/>
        </w:rPr>
        <w:t xml:space="preserve">the Commonwealth sought to overturn but which </w:t>
      </w:r>
      <w:r w:rsidRPr="00B14447">
        <w:rPr>
          <w:rFonts w:ascii="Times New Roman" w:hAnsi="Times New Roman"/>
        </w:rPr>
        <w:t>cannot be re-opened</w:t>
      </w:r>
      <w:r w:rsidR="00291D94" w:rsidRPr="00B14447">
        <w:rPr>
          <w:rFonts w:ascii="Times New Roman" w:hAnsi="Times New Roman"/>
        </w:rPr>
        <w:t xml:space="preserve"> is the finding</w:t>
      </w:r>
      <w:r w:rsidR="001E3C03" w:rsidRPr="00B14447">
        <w:rPr>
          <w:rFonts w:ascii="Times New Roman" w:hAnsi="Times New Roman"/>
        </w:rPr>
        <w:t>s</w:t>
      </w:r>
      <w:r w:rsidR="00F3706C" w:rsidRPr="00B14447">
        <w:rPr>
          <w:rFonts w:ascii="Times New Roman" w:hAnsi="Times New Roman"/>
        </w:rPr>
        <w:t xml:space="preserve"> </w:t>
      </w:r>
      <w:r w:rsidR="00291D94" w:rsidRPr="00B14447">
        <w:rPr>
          <w:rFonts w:ascii="Times New Roman" w:hAnsi="Times New Roman"/>
        </w:rPr>
        <w:t>of the primary judge that</w:t>
      </w:r>
      <w:r w:rsidR="000A377E" w:rsidRPr="00B14447">
        <w:rPr>
          <w:rFonts w:ascii="Times New Roman" w:hAnsi="Times New Roman"/>
        </w:rPr>
        <w:t>,</w:t>
      </w:r>
      <w:r w:rsidR="00291D94" w:rsidRPr="00B14447">
        <w:rPr>
          <w:rFonts w:ascii="Times New Roman" w:hAnsi="Times New Roman"/>
        </w:rPr>
        <w:t xml:space="preserve"> </w:t>
      </w:r>
      <w:r w:rsidR="005B4396" w:rsidRPr="00B14447">
        <w:rPr>
          <w:rFonts w:ascii="Times New Roman" w:hAnsi="Times New Roman"/>
        </w:rPr>
        <w:t xml:space="preserve">in assessing the counter-factual </w:t>
      </w:r>
      <w:r w:rsidR="00EC7013" w:rsidRPr="00B14447">
        <w:rPr>
          <w:rFonts w:ascii="Times New Roman" w:hAnsi="Times New Roman"/>
        </w:rPr>
        <w:t xml:space="preserve">question, the evidence of </w:t>
      </w:r>
      <w:r w:rsidR="00291D94" w:rsidRPr="00B14447">
        <w:rPr>
          <w:rFonts w:ascii="Times New Roman" w:hAnsi="Times New Roman"/>
        </w:rPr>
        <w:t xml:space="preserve">Apotex's </w:t>
      </w:r>
      <w:r w:rsidR="005961F2" w:rsidRPr="00B14447">
        <w:rPr>
          <w:rFonts w:ascii="Times New Roman" w:hAnsi="Times New Roman"/>
        </w:rPr>
        <w:t>launch</w:t>
      </w:r>
      <w:r w:rsidR="00EC7013" w:rsidRPr="00B14447">
        <w:rPr>
          <w:rFonts w:ascii="Times New Roman" w:hAnsi="Times New Roman"/>
        </w:rPr>
        <w:t>es</w:t>
      </w:r>
      <w:r w:rsidR="005961F2" w:rsidRPr="00B14447">
        <w:rPr>
          <w:rFonts w:ascii="Times New Roman" w:hAnsi="Times New Roman"/>
        </w:rPr>
        <w:t xml:space="preserve"> </w:t>
      </w:r>
      <w:r w:rsidR="000A377E" w:rsidRPr="00B14447">
        <w:rPr>
          <w:rFonts w:ascii="Times New Roman" w:hAnsi="Times New Roman"/>
        </w:rPr>
        <w:t>of generic products</w:t>
      </w:r>
      <w:r w:rsidR="00EC7013" w:rsidRPr="00B14447">
        <w:rPr>
          <w:rFonts w:ascii="Times New Roman" w:hAnsi="Times New Roman"/>
        </w:rPr>
        <w:t xml:space="preserve"> on different occasions </w:t>
      </w:r>
      <w:r w:rsidR="000B2B2E" w:rsidRPr="00B14447">
        <w:rPr>
          <w:rFonts w:ascii="Times New Roman" w:hAnsi="Times New Roman"/>
        </w:rPr>
        <w:t xml:space="preserve">was </w:t>
      </w:r>
      <w:r w:rsidR="00EC7013" w:rsidRPr="00B14447">
        <w:rPr>
          <w:rFonts w:ascii="Times New Roman" w:hAnsi="Times New Roman"/>
        </w:rPr>
        <w:t>not helpful.</w:t>
      </w:r>
      <w:r w:rsidR="00750175" w:rsidRPr="00B14447">
        <w:rPr>
          <w:rStyle w:val="FootnoteReference"/>
          <w:rFonts w:ascii="Times New Roman" w:hAnsi="Times New Roman"/>
          <w:sz w:val="24"/>
        </w:rPr>
        <w:footnoteReference w:id="144"/>
      </w:r>
      <w:r w:rsidR="00EC7013" w:rsidRPr="00B14447">
        <w:rPr>
          <w:rFonts w:ascii="Times New Roman" w:hAnsi="Times New Roman"/>
        </w:rPr>
        <w:t xml:space="preserve"> </w:t>
      </w:r>
      <w:r w:rsidR="00980DC4" w:rsidRPr="00B14447">
        <w:rPr>
          <w:rFonts w:ascii="Times New Roman" w:hAnsi="Times New Roman"/>
        </w:rPr>
        <w:t>T</w:t>
      </w:r>
      <w:r w:rsidR="00281AAD" w:rsidRPr="00B14447">
        <w:rPr>
          <w:rFonts w:ascii="Times New Roman" w:hAnsi="Times New Roman"/>
        </w:rPr>
        <w:t xml:space="preserve">he primary judge declined to make a finding that Apotex Canada was an aggressive drug company that had a strategy of identifying weak patents and launching generic medicines at risk so long as it was not restrained by an interlocutory injunction. The Commonwealth challenged that in the Full Court and was rejected comprehensively. There was no challenge to that finding in </w:t>
      </w:r>
      <w:r w:rsidR="00EB0570" w:rsidRPr="00B14447">
        <w:rPr>
          <w:rFonts w:ascii="Times New Roman" w:hAnsi="Times New Roman"/>
        </w:rPr>
        <w:t xml:space="preserve">the notice of appeal to </w:t>
      </w:r>
      <w:r w:rsidR="00281AAD" w:rsidRPr="00B14447">
        <w:rPr>
          <w:rFonts w:ascii="Times New Roman" w:hAnsi="Times New Roman"/>
        </w:rPr>
        <w:t xml:space="preserve">this Court. </w:t>
      </w:r>
    </w:p>
    <w:p w14:paraId="6E986A06" w14:textId="08C64FEA" w:rsidR="00044B2B" w:rsidRPr="00B14447" w:rsidRDefault="008310F7" w:rsidP="00B14447">
      <w:pPr>
        <w:pStyle w:val="FixListStyle"/>
        <w:spacing w:after="260" w:line="280" w:lineRule="exact"/>
        <w:ind w:right="0"/>
        <w:jc w:val="both"/>
        <w:rPr>
          <w:rFonts w:ascii="Times New Roman" w:hAnsi="Times New Roman"/>
          <w:iCs/>
        </w:rPr>
      </w:pPr>
      <w:r w:rsidRPr="00B14447">
        <w:rPr>
          <w:rFonts w:ascii="Times New Roman" w:hAnsi="Times New Roman"/>
          <w:iCs/>
        </w:rPr>
        <w:lastRenderedPageBreak/>
        <w:tab/>
      </w:r>
      <w:r w:rsidR="00AD4D60" w:rsidRPr="00B14447">
        <w:rPr>
          <w:rFonts w:ascii="Times New Roman" w:hAnsi="Times New Roman"/>
          <w:iCs/>
        </w:rPr>
        <w:t>At a level of substance</w:t>
      </w:r>
      <w:r w:rsidR="006B097D" w:rsidRPr="00B14447">
        <w:rPr>
          <w:rFonts w:ascii="Times New Roman" w:hAnsi="Times New Roman"/>
          <w:iCs/>
        </w:rPr>
        <w:t xml:space="preserve">, </w:t>
      </w:r>
      <w:r w:rsidR="006B097D" w:rsidRPr="00B14447">
        <w:rPr>
          <w:rFonts w:ascii="Times New Roman" w:hAnsi="Times New Roman"/>
        </w:rPr>
        <w:t>t</w:t>
      </w:r>
      <w:r w:rsidR="00044B2B" w:rsidRPr="00B14447">
        <w:rPr>
          <w:rFonts w:ascii="Times New Roman" w:hAnsi="Times New Roman"/>
        </w:rPr>
        <w:t>he primary judge rejected Mr Millichamp's comparison between the hypothetical launch "at risk" pending initial trial of the clopidogrel products, and the actual launch at risk pending initial trial, by Apotex Australia, of perindopril erbumine in 2006. Th</w:t>
      </w:r>
      <w:r w:rsidR="006B097D" w:rsidRPr="00B14447">
        <w:rPr>
          <w:rFonts w:ascii="Times New Roman" w:hAnsi="Times New Roman"/>
        </w:rPr>
        <w:t>e comparison was inapt</w:t>
      </w:r>
      <w:r w:rsidR="00044B2B" w:rsidRPr="00B14447">
        <w:rPr>
          <w:rFonts w:ascii="Times New Roman" w:hAnsi="Times New Roman"/>
        </w:rPr>
        <w:t xml:space="preserve"> because</w:t>
      </w:r>
      <w:r w:rsidR="003F5AE8" w:rsidRPr="00B14447">
        <w:rPr>
          <w:rFonts w:ascii="Times New Roman" w:hAnsi="Times New Roman"/>
        </w:rPr>
        <w:t xml:space="preserve"> perindopril erbumine</w:t>
      </w:r>
      <w:r w:rsidR="00044B2B" w:rsidRPr="00B14447">
        <w:rPr>
          <w:rFonts w:ascii="Times New Roman" w:hAnsi="Times New Roman"/>
        </w:rPr>
        <w:t xml:space="preserve"> had already been the subject of a 12.5% price reduction</w:t>
      </w:r>
      <w:r w:rsidR="00E05A3D" w:rsidRPr="00B14447">
        <w:rPr>
          <w:rFonts w:ascii="Times New Roman" w:hAnsi="Times New Roman"/>
        </w:rPr>
        <w:t xml:space="preserve"> by the time Apotex launched its own product</w:t>
      </w:r>
      <w:r w:rsidR="00044B2B" w:rsidRPr="00B14447">
        <w:rPr>
          <w:rFonts w:ascii="Times New Roman" w:hAnsi="Times New Roman"/>
        </w:rPr>
        <w:t xml:space="preserve">, the patent for </w:t>
      </w:r>
      <w:r w:rsidR="003F5AE8" w:rsidRPr="00B14447">
        <w:rPr>
          <w:rFonts w:ascii="Times New Roman" w:hAnsi="Times New Roman"/>
        </w:rPr>
        <w:t xml:space="preserve">perindopril erbumine </w:t>
      </w:r>
      <w:r w:rsidR="00044B2B" w:rsidRPr="00B14447">
        <w:rPr>
          <w:rFonts w:ascii="Times New Roman" w:hAnsi="Times New Roman"/>
        </w:rPr>
        <w:t>had expired by th</w:t>
      </w:r>
      <w:r w:rsidR="00E05A3D" w:rsidRPr="00B14447">
        <w:rPr>
          <w:rFonts w:ascii="Times New Roman" w:hAnsi="Times New Roman"/>
        </w:rPr>
        <w:t>at</w:t>
      </w:r>
      <w:r w:rsidR="00044B2B" w:rsidRPr="00B14447">
        <w:rPr>
          <w:rFonts w:ascii="Times New Roman" w:hAnsi="Times New Roman"/>
        </w:rPr>
        <w:t xml:space="preserve"> time, and the relevant trial did not concern patent infringement but rather allegations of misleading or deceptive conduct.</w:t>
      </w:r>
      <w:r w:rsidR="00044B2B" w:rsidRPr="00B14447">
        <w:rPr>
          <w:rStyle w:val="FootnoteReference"/>
          <w:rFonts w:ascii="Times New Roman" w:hAnsi="Times New Roman"/>
          <w:sz w:val="24"/>
        </w:rPr>
        <w:footnoteReference w:id="145"/>
      </w:r>
      <w:r w:rsidR="00044B2B" w:rsidRPr="00B14447">
        <w:rPr>
          <w:rFonts w:ascii="Times New Roman" w:hAnsi="Times New Roman"/>
        </w:rPr>
        <w:t xml:space="preserve"> </w:t>
      </w:r>
      <w:r w:rsidR="003F5AE8" w:rsidRPr="00B14447">
        <w:rPr>
          <w:rFonts w:ascii="Times New Roman" w:hAnsi="Times New Roman"/>
        </w:rPr>
        <w:t>Similarly, t</w:t>
      </w:r>
      <w:r w:rsidR="00044B2B" w:rsidRPr="00B14447">
        <w:rPr>
          <w:rFonts w:ascii="Times New Roman" w:hAnsi="Times New Roman"/>
        </w:rPr>
        <w:t xml:space="preserve">he primary judge also rejected Mr Millichamp's evidence that Apotex's "at risk" launch of carvedilol demonstrated Apotex's willingness to launch its clopidogrel products at risk. The application for an interlocutory injunction in relation to </w:t>
      </w:r>
      <w:r w:rsidR="004C0364" w:rsidRPr="00B14447">
        <w:rPr>
          <w:rFonts w:ascii="Times New Roman" w:hAnsi="Times New Roman"/>
        </w:rPr>
        <w:t>carvedilol</w:t>
      </w:r>
      <w:r w:rsidR="00044B2B" w:rsidRPr="00B14447">
        <w:rPr>
          <w:rFonts w:ascii="Times New Roman" w:hAnsi="Times New Roman"/>
        </w:rPr>
        <w:t xml:space="preserve"> was refused on the basis that it was "less than likely" that the launch would trigger a 12.5% price drop (and no evidence was produced that this price drop ever occurred in relation to carvedilol) thus making that launch a substantially different prospect than an at risk launch of clopidogrel.</w:t>
      </w:r>
      <w:r w:rsidR="00044B2B" w:rsidRPr="00B14447">
        <w:rPr>
          <w:rStyle w:val="FootnoteReference"/>
          <w:rFonts w:ascii="Times New Roman" w:hAnsi="Times New Roman"/>
          <w:sz w:val="24"/>
        </w:rPr>
        <w:footnoteReference w:id="146"/>
      </w:r>
    </w:p>
    <w:p w14:paraId="55563E42" w14:textId="60ACA400" w:rsidR="00E32611" w:rsidRPr="00B14447" w:rsidRDefault="00907D3F"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5B7C87" w:rsidRPr="00B14447">
        <w:rPr>
          <w:rFonts w:ascii="Times New Roman" w:hAnsi="Times New Roman"/>
        </w:rPr>
        <w:t>I</w:t>
      </w:r>
      <w:r w:rsidR="00E337D8" w:rsidRPr="00B14447">
        <w:rPr>
          <w:rFonts w:ascii="Times New Roman" w:hAnsi="Times New Roman"/>
        </w:rPr>
        <w:t xml:space="preserve">t is not open to the Commonwealth now to challenge the </w:t>
      </w:r>
      <w:r w:rsidR="00147B7D" w:rsidRPr="00B14447">
        <w:rPr>
          <w:rFonts w:ascii="Times New Roman" w:hAnsi="Times New Roman"/>
        </w:rPr>
        <w:t xml:space="preserve">unanimous confirmation </w:t>
      </w:r>
      <w:r w:rsidR="00AD4D60" w:rsidRPr="00B14447">
        <w:rPr>
          <w:rFonts w:ascii="Times New Roman" w:hAnsi="Times New Roman"/>
        </w:rPr>
        <w:t>b</w:t>
      </w:r>
      <w:r w:rsidR="00147B7D" w:rsidRPr="00B14447">
        <w:rPr>
          <w:rFonts w:ascii="Times New Roman" w:hAnsi="Times New Roman"/>
        </w:rPr>
        <w:t>y the Full Court</w:t>
      </w:r>
      <w:r w:rsidR="00147B7D" w:rsidRPr="00B14447">
        <w:rPr>
          <w:rStyle w:val="FootnoteReference"/>
          <w:rFonts w:ascii="Times New Roman" w:hAnsi="Times New Roman"/>
          <w:sz w:val="24"/>
        </w:rPr>
        <w:footnoteReference w:id="147"/>
      </w:r>
      <w:r w:rsidR="00147B7D" w:rsidRPr="00B14447">
        <w:rPr>
          <w:rFonts w:ascii="Times New Roman" w:hAnsi="Times New Roman"/>
        </w:rPr>
        <w:t xml:space="preserve"> of the </w:t>
      </w:r>
      <w:r w:rsidR="00E337D8" w:rsidRPr="00B14447">
        <w:rPr>
          <w:rFonts w:ascii="Times New Roman" w:hAnsi="Times New Roman"/>
        </w:rPr>
        <w:t xml:space="preserve">finding of the primary judge rejecting </w:t>
      </w:r>
      <w:r w:rsidRPr="00B14447">
        <w:rPr>
          <w:rFonts w:ascii="Times New Roman" w:hAnsi="Times New Roman"/>
        </w:rPr>
        <w:t xml:space="preserve">Mr Millichamp's evidence that Apotex always took the opportunity to launch where possible as </w:t>
      </w:r>
      <w:r w:rsidR="00D575EE" w:rsidRPr="00B14447">
        <w:rPr>
          <w:rFonts w:ascii="Times New Roman" w:hAnsi="Times New Roman"/>
        </w:rPr>
        <w:t>un</w:t>
      </w:r>
      <w:r w:rsidRPr="00B14447">
        <w:rPr>
          <w:rFonts w:ascii="Times New Roman" w:hAnsi="Times New Roman"/>
        </w:rPr>
        <w:t>persuasive.</w:t>
      </w:r>
      <w:r w:rsidRPr="00B14447">
        <w:rPr>
          <w:rStyle w:val="FootnoteReference"/>
          <w:rFonts w:ascii="Times New Roman" w:hAnsi="Times New Roman"/>
          <w:sz w:val="24"/>
        </w:rPr>
        <w:footnoteReference w:id="148"/>
      </w:r>
      <w:r w:rsidR="00377B17" w:rsidRPr="00B14447">
        <w:rPr>
          <w:rFonts w:ascii="Times New Roman" w:hAnsi="Times New Roman"/>
        </w:rPr>
        <w:t xml:space="preserve"> </w:t>
      </w:r>
      <w:r w:rsidR="00D80B9B" w:rsidRPr="00B14447">
        <w:rPr>
          <w:rFonts w:ascii="Times New Roman" w:hAnsi="Times New Roman"/>
        </w:rPr>
        <w:t>Nor is it open to the Commonwealth</w:t>
      </w:r>
      <w:r w:rsidR="00D575EE" w:rsidRPr="00B14447">
        <w:rPr>
          <w:rFonts w:ascii="Times New Roman" w:hAnsi="Times New Roman"/>
        </w:rPr>
        <w:t>,</w:t>
      </w:r>
      <w:r w:rsidR="008145BC" w:rsidRPr="00B14447">
        <w:rPr>
          <w:rFonts w:ascii="Times New Roman" w:hAnsi="Times New Roman"/>
        </w:rPr>
        <w:t xml:space="preserve"> without any particular of appeal</w:t>
      </w:r>
      <w:r w:rsidR="00E86691" w:rsidRPr="00B14447">
        <w:rPr>
          <w:rFonts w:ascii="Times New Roman" w:hAnsi="Times New Roman"/>
        </w:rPr>
        <w:t xml:space="preserve">, </w:t>
      </w:r>
      <w:r w:rsidR="00D80B9B" w:rsidRPr="00B14447">
        <w:rPr>
          <w:rFonts w:ascii="Times New Roman" w:hAnsi="Times New Roman"/>
        </w:rPr>
        <w:t>to challenge</w:t>
      </w:r>
      <w:r w:rsidR="00B876A2" w:rsidRPr="00B14447">
        <w:rPr>
          <w:rFonts w:ascii="Times New Roman" w:hAnsi="Times New Roman"/>
        </w:rPr>
        <w:t xml:space="preserve"> the </w:t>
      </w:r>
      <w:r w:rsidR="00B277B8" w:rsidRPr="00B14447">
        <w:rPr>
          <w:rFonts w:ascii="Times New Roman" w:hAnsi="Times New Roman"/>
        </w:rPr>
        <w:t>speculation by the Full Court, which</w:t>
      </w:r>
      <w:r w:rsidR="00B4647F" w:rsidRPr="00B14447">
        <w:rPr>
          <w:rFonts w:ascii="Times New Roman" w:hAnsi="Times New Roman"/>
        </w:rPr>
        <w:t xml:space="preserve"> was raised only as one speculative possibility of the meaning of the "Game on" email</w:t>
      </w:r>
      <w:r w:rsidR="00B277B8" w:rsidRPr="00B14447">
        <w:rPr>
          <w:rFonts w:ascii="Times New Roman" w:hAnsi="Times New Roman"/>
        </w:rPr>
        <w:t xml:space="preserve">, that the "Game on" email might have </w:t>
      </w:r>
      <w:r w:rsidR="000E423C" w:rsidRPr="00B14447">
        <w:rPr>
          <w:rFonts w:ascii="Times New Roman" w:hAnsi="Times New Roman"/>
        </w:rPr>
        <w:t xml:space="preserve">concerned a game "to signal to the market that Apotex was going to launch in order to goad Sanofi into </w:t>
      </w:r>
      <w:r w:rsidR="00B4647F" w:rsidRPr="00B14447">
        <w:rPr>
          <w:rFonts w:ascii="Times New Roman" w:hAnsi="Times New Roman"/>
        </w:rPr>
        <w:t>seeking an interlocutory injunction and proffering an undertaking as to damages".</w:t>
      </w:r>
      <w:r w:rsidR="00B4647F" w:rsidRPr="00B14447">
        <w:rPr>
          <w:rStyle w:val="FootnoteReference"/>
          <w:rFonts w:ascii="Times New Roman" w:hAnsi="Times New Roman"/>
          <w:sz w:val="24"/>
        </w:rPr>
        <w:footnoteReference w:id="149"/>
      </w:r>
      <w:r w:rsidR="00B4647F" w:rsidRPr="00B14447">
        <w:rPr>
          <w:rFonts w:ascii="Times New Roman" w:hAnsi="Times New Roman"/>
        </w:rPr>
        <w:t xml:space="preserve"> </w:t>
      </w:r>
    </w:p>
    <w:p w14:paraId="64EC9A74" w14:textId="096B9405" w:rsidR="00A06E05" w:rsidRPr="00B14447" w:rsidRDefault="00572384"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Finally, the Commonwealth </w:t>
      </w:r>
      <w:r w:rsidR="00BF6C62" w:rsidRPr="00B14447">
        <w:rPr>
          <w:rFonts w:ascii="Times New Roman" w:hAnsi="Times New Roman"/>
        </w:rPr>
        <w:t xml:space="preserve">during the course of oral submissions placed particular significance on what it described as three critical facts which were </w:t>
      </w:r>
      <w:r w:rsidR="00BF6C62" w:rsidRPr="00B14447">
        <w:rPr>
          <w:rFonts w:ascii="Times New Roman" w:hAnsi="Times New Roman"/>
        </w:rPr>
        <w:lastRenderedPageBreak/>
        <w:t xml:space="preserve">missed by the Full Court. First, </w:t>
      </w:r>
      <w:r w:rsidR="00A26DC4" w:rsidRPr="00B14447">
        <w:rPr>
          <w:rFonts w:ascii="Times New Roman" w:hAnsi="Times New Roman"/>
        </w:rPr>
        <w:t>the statement by Mr</w:t>
      </w:r>
      <w:r w:rsidR="00337DB8" w:rsidRPr="00B14447">
        <w:rPr>
          <w:rFonts w:ascii="Times New Roman" w:hAnsi="Times New Roman"/>
        </w:rPr>
        <w:t> </w:t>
      </w:r>
      <w:r w:rsidR="00A26DC4" w:rsidRPr="00B14447">
        <w:rPr>
          <w:rFonts w:ascii="Times New Roman" w:hAnsi="Times New Roman"/>
        </w:rPr>
        <w:t>Catterns</w:t>
      </w:r>
      <w:r w:rsidR="00594340" w:rsidRPr="00B14447">
        <w:rPr>
          <w:rFonts w:ascii="Times New Roman" w:hAnsi="Times New Roman"/>
        </w:rPr>
        <w:t> </w:t>
      </w:r>
      <w:r w:rsidR="00B26630" w:rsidRPr="00B14447">
        <w:rPr>
          <w:rFonts w:ascii="Times New Roman" w:hAnsi="Times New Roman"/>
        </w:rPr>
        <w:t>K</w:t>
      </w:r>
      <w:r w:rsidR="00B94925" w:rsidRPr="00B14447">
        <w:rPr>
          <w:rFonts w:ascii="Times New Roman" w:hAnsi="Times New Roman"/>
        </w:rPr>
        <w:t>C</w:t>
      </w:r>
      <w:r w:rsidR="00A26DC4" w:rsidRPr="00B14447">
        <w:rPr>
          <w:rFonts w:ascii="Times New Roman" w:hAnsi="Times New Roman"/>
        </w:rPr>
        <w:t xml:space="preserve">, </w:t>
      </w:r>
      <w:r w:rsidR="00B94925" w:rsidRPr="00B14447">
        <w:rPr>
          <w:rFonts w:ascii="Times New Roman" w:hAnsi="Times New Roman"/>
        </w:rPr>
        <w:t xml:space="preserve">senior </w:t>
      </w:r>
      <w:r w:rsidR="00A26DC4" w:rsidRPr="00B14447">
        <w:rPr>
          <w:rFonts w:ascii="Times New Roman" w:hAnsi="Times New Roman"/>
        </w:rPr>
        <w:t>counsel for Apotex, during the hearing on 18</w:t>
      </w:r>
      <w:r w:rsidR="00540184" w:rsidRPr="00B14447">
        <w:rPr>
          <w:rFonts w:ascii="Times New Roman" w:hAnsi="Times New Roman"/>
        </w:rPr>
        <w:t> </w:t>
      </w:r>
      <w:r w:rsidR="00A26DC4" w:rsidRPr="00B14447">
        <w:rPr>
          <w:rFonts w:ascii="Times New Roman" w:hAnsi="Times New Roman"/>
        </w:rPr>
        <w:t>September 2007</w:t>
      </w:r>
      <w:r w:rsidR="00091733" w:rsidRPr="00B14447">
        <w:rPr>
          <w:rFonts w:ascii="Times New Roman" w:hAnsi="Times New Roman"/>
        </w:rPr>
        <w:t>,</w:t>
      </w:r>
      <w:r w:rsidR="00A26DC4" w:rsidRPr="00B14447">
        <w:rPr>
          <w:rFonts w:ascii="Times New Roman" w:hAnsi="Times New Roman"/>
        </w:rPr>
        <w:t xml:space="preserve"> that Apotex would apply for </w:t>
      </w:r>
      <w:r w:rsidR="00540184" w:rsidRPr="00B14447">
        <w:rPr>
          <w:rFonts w:ascii="Times New Roman" w:hAnsi="Times New Roman"/>
        </w:rPr>
        <w:t xml:space="preserve">PBS </w:t>
      </w:r>
      <w:r w:rsidR="00A26DC4" w:rsidRPr="00B14447">
        <w:rPr>
          <w:rFonts w:ascii="Times New Roman" w:hAnsi="Times New Roman"/>
        </w:rPr>
        <w:t>listing if there was no interlocutory injunction</w:t>
      </w:r>
      <w:r w:rsidR="00215735" w:rsidRPr="00B14447">
        <w:rPr>
          <w:rFonts w:ascii="Times New Roman" w:hAnsi="Times New Roman"/>
        </w:rPr>
        <w:t>,</w:t>
      </w:r>
      <w:r w:rsidR="00A26DC4" w:rsidRPr="00B14447">
        <w:rPr>
          <w:rFonts w:ascii="Times New Roman" w:hAnsi="Times New Roman"/>
        </w:rPr>
        <w:t xml:space="preserve"> supported by the sworn evidence of Mr</w:t>
      </w:r>
      <w:r w:rsidR="00091733" w:rsidRPr="00B14447">
        <w:rPr>
          <w:rFonts w:ascii="Times New Roman" w:hAnsi="Times New Roman"/>
        </w:rPr>
        <w:t> </w:t>
      </w:r>
      <w:r w:rsidR="00A26DC4" w:rsidRPr="00B14447">
        <w:rPr>
          <w:rFonts w:ascii="Times New Roman" w:hAnsi="Times New Roman"/>
        </w:rPr>
        <w:t>Millichamp that it was Apotex's "intention to apply for listing of its clopidog</w:t>
      </w:r>
      <w:r w:rsidR="00540184" w:rsidRPr="00B14447">
        <w:rPr>
          <w:rFonts w:ascii="Times New Roman" w:hAnsi="Times New Roman"/>
        </w:rPr>
        <w:t>r</w:t>
      </w:r>
      <w:r w:rsidR="00A26DC4" w:rsidRPr="00B14447">
        <w:rPr>
          <w:rFonts w:ascii="Times New Roman" w:hAnsi="Times New Roman"/>
        </w:rPr>
        <w:t>el ... tablets at the next available opportunity"</w:t>
      </w:r>
      <w:r w:rsidR="00215735" w:rsidRPr="00B14447">
        <w:rPr>
          <w:rFonts w:ascii="Times New Roman" w:hAnsi="Times New Roman"/>
        </w:rPr>
        <w:t>,</w:t>
      </w:r>
      <w:r w:rsidR="00A26DC4" w:rsidRPr="00B14447">
        <w:rPr>
          <w:rFonts w:ascii="Times New Roman" w:hAnsi="Times New Roman"/>
        </w:rPr>
        <w:t xml:space="preserve"> and made in circumstances where counsel have a duty of candour before the courts</w:t>
      </w:r>
      <w:r w:rsidR="00601A6F" w:rsidRPr="00B14447">
        <w:rPr>
          <w:rFonts w:ascii="Times New Roman" w:hAnsi="Times New Roman"/>
        </w:rPr>
        <w:t>. Second</w:t>
      </w:r>
      <w:r w:rsidR="00B866A2" w:rsidRPr="00B14447">
        <w:rPr>
          <w:rFonts w:ascii="Times New Roman" w:hAnsi="Times New Roman"/>
        </w:rPr>
        <w:t>ly</w:t>
      </w:r>
      <w:r w:rsidR="00601A6F" w:rsidRPr="00B14447">
        <w:rPr>
          <w:rFonts w:ascii="Times New Roman" w:hAnsi="Times New Roman"/>
        </w:rPr>
        <w:t>, that Apotex rejected an express offer of an undertaking as to damages that accompanied Sanofi's claim for interlocutory injunctive relief in its notice of motion. Senior counsel for the Commonwealth submitted that this evidence rule</w:t>
      </w:r>
      <w:r w:rsidR="00334460" w:rsidRPr="00B14447">
        <w:rPr>
          <w:rFonts w:ascii="Times New Roman" w:hAnsi="Times New Roman"/>
        </w:rPr>
        <w:t>d</w:t>
      </w:r>
      <w:r w:rsidR="00601A6F" w:rsidRPr="00B14447">
        <w:rPr>
          <w:rFonts w:ascii="Times New Roman" w:hAnsi="Times New Roman"/>
        </w:rPr>
        <w:t xml:space="preserve"> out </w:t>
      </w:r>
      <w:r w:rsidR="002701C0" w:rsidRPr="00B14447">
        <w:rPr>
          <w:rFonts w:ascii="Times New Roman" w:hAnsi="Times New Roman"/>
        </w:rPr>
        <w:t xml:space="preserve">any </w:t>
      </w:r>
      <w:r w:rsidR="00601A6F" w:rsidRPr="00B14447">
        <w:rPr>
          <w:rFonts w:ascii="Times New Roman" w:hAnsi="Times New Roman"/>
        </w:rPr>
        <w:t xml:space="preserve">possibility that Apotex may have been playing a "game ... to signal to the market that Apotex was going to launch in order to goad Sanofi into seeking an interlocutory injunction and proffering an undertaking as to damages" </w:t>
      </w:r>
      <w:r w:rsidR="002701C0" w:rsidRPr="00B14447">
        <w:rPr>
          <w:rFonts w:ascii="Times New Roman" w:hAnsi="Times New Roman"/>
        </w:rPr>
        <w:t xml:space="preserve">or </w:t>
      </w:r>
      <w:r w:rsidR="00593D5E" w:rsidRPr="00B14447">
        <w:rPr>
          <w:rFonts w:ascii="Times New Roman" w:hAnsi="Times New Roman"/>
        </w:rPr>
        <w:t>that</w:t>
      </w:r>
      <w:r w:rsidR="00601A6F" w:rsidRPr="00B14447">
        <w:rPr>
          <w:rFonts w:ascii="Times New Roman" w:hAnsi="Times New Roman"/>
        </w:rPr>
        <w:t xml:space="preserve"> </w:t>
      </w:r>
      <w:r w:rsidR="002701C0" w:rsidRPr="00B14447">
        <w:rPr>
          <w:rFonts w:ascii="Times New Roman" w:hAnsi="Times New Roman"/>
        </w:rPr>
        <w:t xml:space="preserve">Apotex </w:t>
      </w:r>
      <w:r w:rsidR="00601A6F" w:rsidRPr="00B14447">
        <w:rPr>
          <w:rFonts w:ascii="Times New Roman" w:hAnsi="Times New Roman"/>
        </w:rPr>
        <w:t>had no real intention to launch at risk. Third</w:t>
      </w:r>
      <w:r w:rsidR="00B866A2" w:rsidRPr="00B14447">
        <w:rPr>
          <w:rFonts w:ascii="Times New Roman" w:hAnsi="Times New Roman"/>
        </w:rPr>
        <w:t>ly</w:t>
      </w:r>
      <w:r w:rsidR="00601A6F" w:rsidRPr="00B14447">
        <w:rPr>
          <w:rFonts w:ascii="Times New Roman" w:hAnsi="Times New Roman"/>
        </w:rPr>
        <w:t xml:space="preserve">, </w:t>
      </w:r>
      <w:r w:rsidR="00A06E05" w:rsidRPr="00B14447">
        <w:rPr>
          <w:rFonts w:ascii="Times New Roman" w:hAnsi="Times New Roman"/>
        </w:rPr>
        <w:t>that</w:t>
      </w:r>
      <w:r w:rsidR="00325C7F" w:rsidRPr="00B14447">
        <w:rPr>
          <w:rFonts w:ascii="Times New Roman" w:hAnsi="Times New Roman"/>
        </w:rPr>
        <w:t>,</w:t>
      </w:r>
      <w:r w:rsidR="00A06E05" w:rsidRPr="00B14447">
        <w:rPr>
          <w:rFonts w:ascii="Times New Roman" w:hAnsi="Times New Roman"/>
        </w:rPr>
        <w:t xml:space="preserve"> at the time these statements were made or actions taken</w:t>
      </w:r>
      <w:r w:rsidR="00325C7F" w:rsidRPr="00B14447">
        <w:rPr>
          <w:rFonts w:ascii="Times New Roman" w:hAnsi="Times New Roman"/>
        </w:rPr>
        <w:t>:</w:t>
      </w:r>
      <w:r w:rsidR="00A06E05" w:rsidRPr="00B14447">
        <w:rPr>
          <w:rFonts w:ascii="Times New Roman" w:hAnsi="Times New Roman"/>
        </w:rPr>
        <w:t xml:space="preserve"> (i)</w:t>
      </w:r>
      <w:r w:rsidR="00E03C3B" w:rsidRPr="00B14447">
        <w:rPr>
          <w:rFonts w:ascii="Times New Roman" w:hAnsi="Times New Roman"/>
        </w:rPr>
        <w:t> </w:t>
      </w:r>
      <w:r w:rsidR="00A06E05" w:rsidRPr="00B14447">
        <w:rPr>
          <w:rFonts w:ascii="Times New Roman" w:hAnsi="Times New Roman"/>
        </w:rPr>
        <w:t xml:space="preserve">Apotex knew that it had missed the application date for listing </w:t>
      </w:r>
      <w:r w:rsidR="00EF4FCF" w:rsidRPr="00B14447">
        <w:rPr>
          <w:rFonts w:ascii="Times New Roman" w:hAnsi="Times New Roman"/>
        </w:rPr>
        <w:t xml:space="preserve">its </w:t>
      </w:r>
      <w:r w:rsidR="00A06E05" w:rsidRPr="00B14447">
        <w:rPr>
          <w:rFonts w:ascii="Times New Roman" w:hAnsi="Times New Roman"/>
        </w:rPr>
        <w:t>clopidog</w:t>
      </w:r>
      <w:r w:rsidR="00AD055F" w:rsidRPr="00B14447">
        <w:rPr>
          <w:rFonts w:ascii="Times New Roman" w:hAnsi="Times New Roman"/>
        </w:rPr>
        <w:t>r</w:t>
      </w:r>
      <w:r w:rsidR="00A06E05" w:rsidRPr="00B14447">
        <w:rPr>
          <w:rFonts w:ascii="Times New Roman" w:hAnsi="Times New Roman"/>
        </w:rPr>
        <w:t xml:space="preserve">el </w:t>
      </w:r>
      <w:r w:rsidR="00EF4FCF" w:rsidRPr="00B14447">
        <w:rPr>
          <w:rFonts w:ascii="Times New Roman" w:hAnsi="Times New Roman"/>
        </w:rPr>
        <w:t>product</w:t>
      </w:r>
      <w:r w:rsidR="006D220B" w:rsidRPr="00B14447">
        <w:rPr>
          <w:rFonts w:ascii="Times New Roman" w:hAnsi="Times New Roman"/>
        </w:rPr>
        <w:t>s</w:t>
      </w:r>
      <w:r w:rsidR="00EF4FCF" w:rsidRPr="00B14447">
        <w:rPr>
          <w:rFonts w:ascii="Times New Roman" w:hAnsi="Times New Roman"/>
        </w:rPr>
        <w:t xml:space="preserve"> </w:t>
      </w:r>
      <w:r w:rsidR="00A06E05" w:rsidRPr="00B14447">
        <w:rPr>
          <w:rFonts w:ascii="Times New Roman" w:hAnsi="Times New Roman"/>
        </w:rPr>
        <w:t xml:space="preserve">on the </w:t>
      </w:r>
      <w:r w:rsidR="00E03C3B" w:rsidRPr="00B14447">
        <w:rPr>
          <w:rFonts w:ascii="Times New Roman" w:hAnsi="Times New Roman"/>
        </w:rPr>
        <w:t>PBS</w:t>
      </w:r>
      <w:r w:rsidR="00A06E05" w:rsidRPr="00B14447">
        <w:rPr>
          <w:rFonts w:ascii="Times New Roman" w:hAnsi="Times New Roman"/>
        </w:rPr>
        <w:t xml:space="preserve"> </w:t>
      </w:r>
      <w:r w:rsidR="009D44D9" w:rsidRPr="00B14447">
        <w:rPr>
          <w:rFonts w:ascii="Times New Roman" w:hAnsi="Times New Roman"/>
        </w:rPr>
        <w:t xml:space="preserve">in December </w:t>
      </w:r>
      <w:r w:rsidR="00A06E05" w:rsidRPr="00B14447">
        <w:rPr>
          <w:rFonts w:ascii="Times New Roman" w:hAnsi="Times New Roman"/>
        </w:rPr>
        <w:t>and that the next available listing would not be until April 2008</w:t>
      </w:r>
      <w:r w:rsidR="00C85985" w:rsidRPr="00B14447">
        <w:rPr>
          <w:rFonts w:ascii="Times New Roman" w:hAnsi="Times New Roman"/>
        </w:rPr>
        <w:t>;</w:t>
      </w:r>
      <w:r w:rsidR="00A06E05" w:rsidRPr="00B14447">
        <w:rPr>
          <w:rFonts w:ascii="Times New Roman" w:hAnsi="Times New Roman"/>
        </w:rPr>
        <w:t xml:space="preserve"> and (ii)</w:t>
      </w:r>
      <w:r w:rsidR="00E03C3B" w:rsidRPr="00B14447">
        <w:rPr>
          <w:rFonts w:ascii="Times New Roman" w:hAnsi="Times New Roman"/>
        </w:rPr>
        <w:t> </w:t>
      </w:r>
      <w:r w:rsidR="00A06E05" w:rsidRPr="00B14447">
        <w:rPr>
          <w:rFonts w:ascii="Times New Roman" w:hAnsi="Times New Roman"/>
        </w:rPr>
        <w:t>Apotex reasonably anticipated that</w:t>
      </w:r>
      <w:r w:rsidR="00405099" w:rsidRPr="00B14447">
        <w:rPr>
          <w:rFonts w:ascii="Times New Roman" w:hAnsi="Times New Roman"/>
        </w:rPr>
        <w:t xml:space="preserve"> the </w:t>
      </w:r>
      <w:r w:rsidR="00FF4AEA" w:rsidRPr="00B14447">
        <w:rPr>
          <w:rFonts w:ascii="Times New Roman" w:hAnsi="Times New Roman"/>
        </w:rPr>
        <w:t>trial would be listed before Gyles</w:t>
      </w:r>
      <w:r w:rsidR="00C606B9" w:rsidRPr="00B14447">
        <w:rPr>
          <w:rFonts w:ascii="Times New Roman" w:hAnsi="Times New Roman"/>
        </w:rPr>
        <w:t> </w:t>
      </w:r>
      <w:r w:rsidR="00FF4AEA" w:rsidRPr="00B14447">
        <w:rPr>
          <w:rFonts w:ascii="Times New Roman" w:hAnsi="Times New Roman"/>
        </w:rPr>
        <w:t>J and</w:t>
      </w:r>
      <w:r w:rsidR="00C606B9" w:rsidRPr="00B14447">
        <w:rPr>
          <w:rFonts w:ascii="Times New Roman" w:hAnsi="Times New Roman"/>
        </w:rPr>
        <w:t>,</w:t>
      </w:r>
      <w:r w:rsidR="00FF4AEA" w:rsidRPr="00B14447">
        <w:rPr>
          <w:rFonts w:ascii="Times New Roman" w:hAnsi="Times New Roman"/>
        </w:rPr>
        <w:t xml:space="preserve"> accordingly, that</w:t>
      </w:r>
      <w:r w:rsidR="00A06E05" w:rsidRPr="00B14447">
        <w:rPr>
          <w:rFonts w:ascii="Times New Roman" w:hAnsi="Times New Roman"/>
        </w:rPr>
        <w:t xml:space="preserve"> judgment </w:t>
      </w:r>
      <w:r w:rsidR="008D5D10" w:rsidRPr="00B14447">
        <w:rPr>
          <w:rFonts w:ascii="Times New Roman" w:hAnsi="Times New Roman"/>
        </w:rPr>
        <w:t xml:space="preserve">on final relief </w:t>
      </w:r>
      <w:r w:rsidR="00A06E05" w:rsidRPr="00B14447">
        <w:rPr>
          <w:rFonts w:ascii="Times New Roman" w:hAnsi="Times New Roman"/>
        </w:rPr>
        <w:t xml:space="preserve">would be delivered by </w:t>
      </w:r>
      <w:r w:rsidR="009122B0" w:rsidRPr="00B14447">
        <w:rPr>
          <w:rFonts w:ascii="Times New Roman" w:hAnsi="Times New Roman"/>
        </w:rPr>
        <w:t>22 </w:t>
      </w:r>
      <w:r w:rsidR="00A06E05" w:rsidRPr="00B14447">
        <w:rPr>
          <w:rFonts w:ascii="Times New Roman" w:hAnsi="Times New Roman"/>
        </w:rPr>
        <w:t>August 2008</w:t>
      </w:r>
      <w:r w:rsidR="0018498E" w:rsidRPr="00B14447">
        <w:rPr>
          <w:rFonts w:ascii="Times New Roman" w:hAnsi="Times New Roman"/>
        </w:rPr>
        <w:t>.</w:t>
      </w:r>
      <w:r w:rsidR="00A06E05" w:rsidRPr="00B14447">
        <w:rPr>
          <w:rFonts w:ascii="Times New Roman" w:hAnsi="Times New Roman"/>
        </w:rPr>
        <w:t xml:space="preserve"> </w:t>
      </w:r>
    </w:p>
    <w:p w14:paraId="6CFAA8B1" w14:textId="1275485B" w:rsidR="00377B17" w:rsidRPr="00B14447" w:rsidRDefault="0018498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4209C8" w:rsidRPr="00B14447">
        <w:rPr>
          <w:rFonts w:ascii="Times New Roman" w:hAnsi="Times New Roman"/>
        </w:rPr>
        <w:t>The first</w:t>
      </w:r>
      <w:r w:rsidR="00A85347" w:rsidRPr="00B14447">
        <w:rPr>
          <w:rFonts w:ascii="Times New Roman" w:hAnsi="Times New Roman"/>
        </w:rPr>
        <w:t>,</w:t>
      </w:r>
      <w:r w:rsidR="00C86C04" w:rsidRPr="00B14447">
        <w:rPr>
          <w:rStyle w:val="FootnoteReference"/>
          <w:rFonts w:ascii="Times New Roman" w:hAnsi="Times New Roman"/>
          <w:sz w:val="24"/>
        </w:rPr>
        <w:footnoteReference w:id="150"/>
      </w:r>
      <w:r w:rsidR="00D3641B" w:rsidRPr="00B14447">
        <w:rPr>
          <w:rFonts w:ascii="Times New Roman" w:hAnsi="Times New Roman"/>
        </w:rPr>
        <w:t xml:space="preserve"> second</w:t>
      </w:r>
      <w:r w:rsidR="00E4329E" w:rsidRPr="00B14447">
        <w:rPr>
          <w:rStyle w:val="FootnoteReference"/>
          <w:rFonts w:ascii="Times New Roman" w:hAnsi="Times New Roman"/>
          <w:sz w:val="24"/>
        </w:rPr>
        <w:footnoteReference w:id="151"/>
      </w:r>
      <w:r w:rsidR="00130F19" w:rsidRPr="00B14447">
        <w:rPr>
          <w:rFonts w:ascii="Times New Roman" w:hAnsi="Times New Roman"/>
        </w:rPr>
        <w:t xml:space="preserve"> </w:t>
      </w:r>
      <w:r w:rsidR="004209C8" w:rsidRPr="00B14447">
        <w:rPr>
          <w:rFonts w:ascii="Times New Roman" w:hAnsi="Times New Roman"/>
        </w:rPr>
        <w:t>and third</w:t>
      </w:r>
      <w:r w:rsidR="00810F6C" w:rsidRPr="00B14447">
        <w:rPr>
          <w:rStyle w:val="FootnoteReference"/>
          <w:rFonts w:ascii="Times New Roman" w:hAnsi="Times New Roman"/>
          <w:sz w:val="24"/>
        </w:rPr>
        <w:footnoteReference w:id="152"/>
      </w:r>
      <w:r w:rsidR="004209C8" w:rsidRPr="00B14447">
        <w:rPr>
          <w:rFonts w:ascii="Times New Roman" w:hAnsi="Times New Roman"/>
        </w:rPr>
        <w:t xml:space="preserve"> </w:t>
      </w:r>
      <w:r w:rsidR="009445EC" w:rsidRPr="00B14447">
        <w:rPr>
          <w:rFonts w:ascii="Times New Roman" w:hAnsi="Times New Roman"/>
        </w:rPr>
        <w:t>"</w:t>
      </w:r>
      <w:r w:rsidR="004209C8" w:rsidRPr="00B14447">
        <w:rPr>
          <w:rFonts w:ascii="Times New Roman" w:hAnsi="Times New Roman"/>
        </w:rPr>
        <w:t>facts</w:t>
      </w:r>
      <w:r w:rsidR="009445EC" w:rsidRPr="00B14447">
        <w:rPr>
          <w:rFonts w:ascii="Times New Roman" w:hAnsi="Times New Roman"/>
        </w:rPr>
        <w:t>"</w:t>
      </w:r>
      <w:r w:rsidR="004209C8" w:rsidRPr="00B14447">
        <w:rPr>
          <w:rFonts w:ascii="Times New Roman" w:hAnsi="Times New Roman"/>
        </w:rPr>
        <w:t xml:space="preserve"> </w:t>
      </w:r>
      <w:r w:rsidR="00DA2C9A" w:rsidRPr="00B14447">
        <w:rPr>
          <w:rFonts w:ascii="Times New Roman" w:hAnsi="Times New Roman"/>
        </w:rPr>
        <w:t xml:space="preserve">formed part of </w:t>
      </w:r>
      <w:r w:rsidR="009445EC" w:rsidRPr="00B14447">
        <w:rPr>
          <w:rFonts w:ascii="Times New Roman" w:hAnsi="Times New Roman"/>
        </w:rPr>
        <w:t>the Commonwealth</w:t>
      </w:r>
      <w:r w:rsidR="00DA2C9A" w:rsidRPr="00B14447">
        <w:rPr>
          <w:rFonts w:ascii="Times New Roman" w:hAnsi="Times New Roman"/>
        </w:rPr>
        <w:t>'s case</w:t>
      </w:r>
      <w:r w:rsidR="009445EC" w:rsidRPr="00B14447">
        <w:rPr>
          <w:rFonts w:ascii="Times New Roman" w:hAnsi="Times New Roman"/>
        </w:rPr>
        <w:t xml:space="preserve"> before the Full Court</w:t>
      </w:r>
      <w:r w:rsidR="00FC3F3B" w:rsidRPr="00B14447">
        <w:rPr>
          <w:rFonts w:ascii="Times New Roman" w:hAnsi="Times New Roman"/>
        </w:rPr>
        <w:t xml:space="preserve"> and</w:t>
      </w:r>
      <w:r w:rsidR="009445EC" w:rsidRPr="00B14447">
        <w:rPr>
          <w:rFonts w:ascii="Times New Roman" w:hAnsi="Times New Roman"/>
        </w:rPr>
        <w:t xml:space="preserve"> were </w:t>
      </w:r>
      <w:r w:rsidR="004209C8" w:rsidRPr="00B14447">
        <w:rPr>
          <w:rFonts w:ascii="Times New Roman" w:hAnsi="Times New Roman"/>
        </w:rPr>
        <w:t xml:space="preserve">expressly </w:t>
      </w:r>
      <w:r w:rsidR="009445EC" w:rsidRPr="00B14447">
        <w:rPr>
          <w:rFonts w:ascii="Times New Roman" w:hAnsi="Times New Roman"/>
        </w:rPr>
        <w:t>addressed</w:t>
      </w:r>
      <w:r w:rsidR="00FC3F3B" w:rsidRPr="00B14447">
        <w:rPr>
          <w:rFonts w:ascii="Times New Roman" w:hAnsi="Times New Roman"/>
        </w:rPr>
        <w:t>,</w:t>
      </w:r>
      <w:r w:rsidR="009445EC" w:rsidRPr="00B14447">
        <w:rPr>
          <w:rFonts w:ascii="Times New Roman" w:hAnsi="Times New Roman"/>
        </w:rPr>
        <w:t xml:space="preserve"> and unanimously rejected</w:t>
      </w:r>
      <w:r w:rsidR="00FC3F3B" w:rsidRPr="00B14447">
        <w:rPr>
          <w:rFonts w:ascii="Times New Roman" w:hAnsi="Times New Roman"/>
        </w:rPr>
        <w:t>,</w:t>
      </w:r>
      <w:r w:rsidR="009445EC" w:rsidRPr="00B14447">
        <w:rPr>
          <w:rFonts w:ascii="Times New Roman" w:hAnsi="Times New Roman"/>
        </w:rPr>
        <w:t xml:space="preserve"> </w:t>
      </w:r>
      <w:r w:rsidR="004209C8" w:rsidRPr="00B14447">
        <w:rPr>
          <w:rFonts w:ascii="Times New Roman" w:hAnsi="Times New Roman"/>
        </w:rPr>
        <w:t>by the Full Court</w:t>
      </w:r>
      <w:r w:rsidR="00C22D7E" w:rsidRPr="00B14447">
        <w:rPr>
          <w:rFonts w:ascii="Times New Roman" w:hAnsi="Times New Roman"/>
        </w:rPr>
        <w:t>.</w:t>
      </w:r>
      <w:r w:rsidR="004209C8" w:rsidRPr="00B14447">
        <w:rPr>
          <w:rFonts w:ascii="Times New Roman" w:hAnsi="Times New Roman"/>
        </w:rPr>
        <w:t xml:space="preserve"> </w:t>
      </w:r>
      <w:r w:rsidR="00D3641B" w:rsidRPr="00B14447">
        <w:rPr>
          <w:rFonts w:ascii="Times New Roman" w:hAnsi="Times New Roman"/>
        </w:rPr>
        <w:t xml:space="preserve">Those facts were not missed. </w:t>
      </w:r>
    </w:p>
    <w:p w14:paraId="67170F37" w14:textId="3197EB63" w:rsidR="0009638D" w:rsidRPr="00B14447" w:rsidRDefault="00CD7A84" w:rsidP="00B14447">
      <w:pPr>
        <w:pStyle w:val="HeadingL1"/>
        <w:spacing w:after="260" w:line="280" w:lineRule="exact"/>
        <w:ind w:right="0"/>
        <w:jc w:val="both"/>
        <w:rPr>
          <w:rFonts w:ascii="Times New Roman" w:hAnsi="Times New Roman"/>
        </w:rPr>
      </w:pPr>
      <w:r w:rsidRPr="00B14447">
        <w:rPr>
          <w:rFonts w:ascii="Times New Roman" w:hAnsi="Times New Roman"/>
        </w:rPr>
        <w:t>N</w:t>
      </w:r>
      <w:r w:rsidR="0009638D" w:rsidRPr="00B14447">
        <w:rPr>
          <w:rFonts w:ascii="Times New Roman" w:hAnsi="Times New Roman"/>
        </w:rPr>
        <w:t>otice of contention</w:t>
      </w:r>
    </w:p>
    <w:p w14:paraId="594A8E5E" w14:textId="172BF3B1" w:rsidR="00CE1E30"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CE1E30" w:rsidRPr="00B14447">
        <w:rPr>
          <w:rFonts w:ascii="Times New Roman" w:hAnsi="Times New Roman"/>
        </w:rPr>
        <w:t xml:space="preserve">Although it is strictly unnecessary to address the issues raised in Sanofi's notice of contention, </w:t>
      </w:r>
      <w:r w:rsidR="00F67A8E" w:rsidRPr="00B14447">
        <w:rPr>
          <w:rFonts w:ascii="Times New Roman" w:hAnsi="Times New Roman"/>
        </w:rPr>
        <w:t xml:space="preserve">it is </w:t>
      </w:r>
      <w:r w:rsidR="002E702F" w:rsidRPr="00B14447">
        <w:rPr>
          <w:rFonts w:ascii="Times New Roman" w:hAnsi="Times New Roman"/>
        </w:rPr>
        <w:t>important</w:t>
      </w:r>
      <w:r w:rsidR="00F67A8E" w:rsidRPr="00B14447">
        <w:rPr>
          <w:rFonts w:ascii="Times New Roman" w:hAnsi="Times New Roman"/>
        </w:rPr>
        <w:t xml:space="preserve"> to do so because those issues </w:t>
      </w:r>
      <w:r w:rsidR="00442CE5" w:rsidRPr="00B14447">
        <w:rPr>
          <w:rFonts w:ascii="Times New Roman" w:hAnsi="Times New Roman"/>
        </w:rPr>
        <w:t>reinforce</w:t>
      </w:r>
      <w:r w:rsidR="00F67A8E" w:rsidRPr="00B14447">
        <w:rPr>
          <w:rFonts w:ascii="Times New Roman" w:hAnsi="Times New Roman"/>
        </w:rPr>
        <w:t xml:space="preserve"> two points</w:t>
      </w:r>
      <w:r w:rsidR="008A50B1" w:rsidRPr="00B14447">
        <w:rPr>
          <w:rFonts w:ascii="Times New Roman" w:hAnsi="Times New Roman"/>
        </w:rPr>
        <w:t xml:space="preserve"> upon which the appeal </w:t>
      </w:r>
      <w:r w:rsidR="00C92F54" w:rsidRPr="00B14447">
        <w:rPr>
          <w:rFonts w:ascii="Times New Roman" w:hAnsi="Times New Roman"/>
        </w:rPr>
        <w:t xml:space="preserve">to this Court should be </w:t>
      </w:r>
      <w:r w:rsidR="008A50B1" w:rsidRPr="00B14447">
        <w:rPr>
          <w:rFonts w:ascii="Times New Roman" w:hAnsi="Times New Roman"/>
        </w:rPr>
        <w:t>dismissed</w:t>
      </w:r>
      <w:r w:rsidR="00F67A8E" w:rsidRPr="00B14447">
        <w:rPr>
          <w:rFonts w:ascii="Times New Roman" w:hAnsi="Times New Roman"/>
        </w:rPr>
        <w:t xml:space="preserve">. First, </w:t>
      </w:r>
      <w:r w:rsidR="00F63363" w:rsidRPr="00B14447">
        <w:rPr>
          <w:rFonts w:ascii="Times New Roman" w:hAnsi="Times New Roman"/>
        </w:rPr>
        <w:t>the</w:t>
      </w:r>
      <w:r w:rsidR="000107B4" w:rsidRPr="00B14447">
        <w:rPr>
          <w:rFonts w:ascii="Times New Roman" w:hAnsi="Times New Roman"/>
        </w:rPr>
        <w:t xml:space="preserve"> issues in the notice of contention</w:t>
      </w:r>
      <w:r w:rsidR="00F63363" w:rsidRPr="00B14447">
        <w:rPr>
          <w:rFonts w:ascii="Times New Roman" w:hAnsi="Times New Roman"/>
        </w:rPr>
        <w:t xml:space="preserve"> reinforce </w:t>
      </w:r>
      <w:r w:rsidR="008A50B1" w:rsidRPr="00B14447">
        <w:rPr>
          <w:rFonts w:ascii="Times New Roman" w:hAnsi="Times New Roman"/>
        </w:rPr>
        <w:t xml:space="preserve">the grave difficulty </w:t>
      </w:r>
      <w:r w:rsidR="008F7485" w:rsidRPr="00B14447">
        <w:rPr>
          <w:rFonts w:ascii="Times New Roman" w:hAnsi="Times New Roman"/>
        </w:rPr>
        <w:t xml:space="preserve">for this Court in attempting to </w:t>
      </w:r>
      <w:r w:rsidR="00142D77" w:rsidRPr="00B14447">
        <w:rPr>
          <w:rFonts w:ascii="Times New Roman" w:hAnsi="Times New Roman"/>
        </w:rPr>
        <w:t xml:space="preserve">revisit </w:t>
      </w:r>
      <w:r w:rsidR="00C13DA3" w:rsidRPr="00B14447">
        <w:rPr>
          <w:rFonts w:ascii="Times New Roman" w:hAnsi="Times New Roman"/>
        </w:rPr>
        <w:t xml:space="preserve">findings below </w:t>
      </w:r>
      <w:r w:rsidR="00142D77" w:rsidRPr="00B14447">
        <w:rPr>
          <w:rFonts w:ascii="Times New Roman" w:hAnsi="Times New Roman"/>
        </w:rPr>
        <w:t>without th</w:t>
      </w:r>
      <w:r w:rsidR="00FB2926" w:rsidRPr="00B14447">
        <w:rPr>
          <w:rFonts w:ascii="Times New Roman" w:hAnsi="Times New Roman"/>
        </w:rPr>
        <w:t>is Court being seized of the whole of the record or all of the matters in dispute</w:t>
      </w:r>
      <w:r w:rsidR="00142D77" w:rsidRPr="00B14447">
        <w:rPr>
          <w:rFonts w:ascii="Times New Roman" w:hAnsi="Times New Roman"/>
        </w:rPr>
        <w:t xml:space="preserve">. </w:t>
      </w:r>
      <w:r w:rsidR="0049473F" w:rsidRPr="00B14447">
        <w:rPr>
          <w:rFonts w:ascii="Times New Roman" w:hAnsi="Times New Roman"/>
        </w:rPr>
        <w:t>Indeed, in a number of instances th</w:t>
      </w:r>
      <w:r w:rsidR="00357047" w:rsidRPr="00B14447">
        <w:rPr>
          <w:rFonts w:ascii="Times New Roman" w:hAnsi="Times New Roman"/>
        </w:rPr>
        <w:t>e</w:t>
      </w:r>
      <w:r w:rsidR="0049473F" w:rsidRPr="00B14447">
        <w:rPr>
          <w:rFonts w:ascii="Times New Roman" w:hAnsi="Times New Roman"/>
        </w:rPr>
        <w:t xml:space="preserve"> position </w:t>
      </w:r>
      <w:r w:rsidR="00357047" w:rsidRPr="00B14447">
        <w:rPr>
          <w:rFonts w:ascii="Times New Roman" w:hAnsi="Times New Roman"/>
        </w:rPr>
        <w:t xml:space="preserve">of the Commonwealth itself </w:t>
      </w:r>
      <w:r w:rsidR="0049473F" w:rsidRPr="00B14447">
        <w:rPr>
          <w:rFonts w:ascii="Times New Roman" w:hAnsi="Times New Roman"/>
        </w:rPr>
        <w:t xml:space="preserve">was that this Court should not attempt to </w:t>
      </w:r>
      <w:r w:rsidR="00C13DA3" w:rsidRPr="00B14447">
        <w:rPr>
          <w:rFonts w:ascii="Times New Roman" w:hAnsi="Times New Roman"/>
        </w:rPr>
        <w:t>revisit any finding below</w:t>
      </w:r>
      <w:r w:rsidR="0049473F" w:rsidRPr="00B14447">
        <w:rPr>
          <w:rFonts w:ascii="Times New Roman" w:hAnsi="Times New Roman"/>
        </w:rPr>
        <w:t xml:space="preserve">. </w:t>
      </w:r>
      <w:r w:rsidR="004F6CAC" w:rsidRPr="00B14447">
        <w:rPr>
          <w:rFonts w:ascii="Times New Roman" w:hAnsi="Times New Roman"/>
        </w:rPr>
        <w:t xml:space="preserve">Secondly, </w:t>
      </w:r>
      <w:r w:rsidR="00357047" w:rsidRPr="00B14447">
        <w:rPr>
          <w:rFonts w:ascii="Times New Roman" w:hAnsi="Times New Roman"/>
        </w:rPr>
        <w:t xml:space="preserve">the issues raised by the notice of contention </w:t>
      </w:r>
      <w:r w:rsidR="00567881" w:rsidRPr="00B14447">
        <w:rPr>
          <w:rFonts w:ascii="Times New Roman" w:hAnsi="Times New Roman"/>
        </w:rPr>
        <w:t xml:space="preserve">emphasise </w:t>
      </w:r>
      <w:r w:rsidR="004F6CAC" w:rsidRPr="00B14447">
        <w:rPr>
          <w:rFonts w:ascii="Times New Roman" w:hAnsi="Times New Roman"/>
        </w:rPr>
        <w:t xml:space="preserve">that </w:t>
      </w:r>
      <w:r w:rsidR="00567881" w:rsidRPr="00B14447">
        <w:rPr>
          <w:rFonts w:ascii="Times New Roman" w:hAnsi="Times New Roman"/>
        </w:rPr>
        <w:t xml:space="preserve">the </w:t>
      </w:r>
      <w:r w:rsidR="004F6CAC" w:rsidRPr="00B14447">
        <w:rPr>
          <w:rFonts w:ascii="Times New Roman" w:hAnsi="Times New Roman"/>
        </w:rPr>
        <w:t xml:space="preserve">assertions that the Commonwealth had suffered a loss of </w:t>
      </w:r>
      <w:r w:rsidR="005F0F44" w:rsidRPr="00B14447">
        <w:rPr>
          <w:rFonts w:ascii="Times New Roman" w:hAnsi="Times New Roman"/>
        </w:rPr>
        <w:t xml:space="preserve">approximately </w:t>
      </w:r>
      <w:r w:rsidR="004F6CAC" w:rsidRPr="00B14447">
        <w:rPr>
          <w:rFonts w:ascii="Times New Roman" w:hAnsi="Times New Roman"/>
        </w:rPr>
        <w:lastRenderedPageBreak/>
        <w:t>$325</w:t>
      </w:r>
      <w:r w:rsidR="00162D17" w:rsidRPr="00B14447">
        <w:rPr>
          <w:rFonts w:ascii="Times New Roman" w:hAnsi="Times New Roman"/>
        </w:rPr>
        <w:t> </w:t>
      </w:r>
      <w:r w:rsidR="004F6CAC" w:rsidRPr="00B14447">
        <w:rPr>
          <w:rFonts w:ascii="Times New Roman" w:hAnsi="Times New Roman"/>
        </w:rPr>
        <w:t>million are</w:t>
      </w:r>
      <w:r w:rsidR="00567881" w:rsidRPr="00B14447">
        <w:rPr>
          <w:rFonts w:ascii="Times New Roman" w:hAnsi="Times New Roman"/>
        </w:rPr>
        <w:t xml:space="preserve"> contrary to findings of the primary judge</w:t>
      </w:r>
      <w:r w:rsidR="00EA1C74" w:rsidRPr="00B14447">
        <w:rPr>
          <w:rFonts w:ascii="Times New Roman" w:hAnsi="Times New Roman"/>
        </w:rPr>
        <w:t>,</w:t>
      </w:r>
      <w:r w:rsidR="00567881" w:rsidRPr="00B14447">
        <w:rPr>
          <w:rFonts w:ascii="Times New Roman" w:hAnsi="Times New Roman"/>
        </w:rPr>
        <w:t xml:space="preserve"> which were not disturbed on appeal</w:t>
      </w:r>
      <w:r w:rsidR="00133F74" w:rsidRPr="00B14447">
        <w:rPr>
          <w:rFonts w:ascii="Times New Roman" w:hAnsi="Times New Roman"/>
        </w:rPr>
        <w:t>,</w:t>
      </w:r>
      <w:r w:rsidR="00567881" w:rsidRPr="00B14447">
        <w:rPr>
          <w:rFonts w:ascii="Times New Roman" w:hAnsi="Times New Roman"/>
        </w:rPr>
        <w:t xml:space="preserve"> and which are not before this Court</w:t>
      </w:r>
      <w:r w:rsidR="009D0231" w:rsidRPr="00B14447">
        <w:rPr>
          <w:rFonts w:ascii="Times New Roman" w:hAnsi="Times New Roman"/>
        </w:rPr>
        <w:t>.</w:t>
      </w:r>
      <w:r w:rsidR="00567881" w:rsidRPr="00B14447">
        <w:rPr>
          <w:rFonts w:ascii="Times New Roman" w:hAnsi="Times New Roman"/>
        </w:rPr>
        <w:t xml:space="preserve"> </w:t>
      </w:r>
      <w:r w:rsidR="000107B4" w:rsidRPr="00B14447">
        <w:rPr>
          <w:rFonts w:ascii="Times New Roman" w:hAnsi="Times New Roman"/>
        </w:rPr>
        <w:t>As explained at the outset of these reasons, o</w:t>
      </w:r>
      <w:r w:rsidR="00567881" w:rsidRPr="00B14447">
        <w:rPr>
          <w:rFonts w:ascii="Times New Roman" w:hAnsi="Times New Roman"/>
        </w:rPr>
        <w:t>n the basis of the findings</w:t>
      </w:r>
      <w:r w:rsidR="000107B4" w:rsidRPr="00B14447">
        <w:rPr>
          <w:rFonts w:ascii="Times New Roman" w:hAnsi="Times New Roman"/>
        </w:rPr>
        <w:t xml:space="preserve"> of the primary judge</w:t>
      </w:r>
      <w:r w:rsidR="00567881" w:rsidRPr="00B14447">
        <w:rPr>
          <w:rFonts w:ascii="Times New Roman" w:hAnsi="Times New Roman"/>
        </w:rPr>
        <w:t xml:space="preserve">, the most that any loss to the Commonwealth could be is </w:t>
      </w:r>
      <w:r w:rsidR="00392238" w:rsidRPr="00B14447">
        <w:rPr>
          <w:rFonts w:ascii="Times New Roman" w:hAnsi="Times New Roman"/>
        </w:rPr>
        <w:t xml:space="preserve">approximately </w:t>
      </w:r>
      <w:r w:rsidR="00567881" w:rsidRPr="00B14447">
        <w:rPr>
          <w:rFonts w:ascii="Times New Roman" w:hAnsi="Times New Roman"/>
        </w:rPr>
        <w:t>$</w:t>
      </w:r>
      <w:r w:rsidR="00392238" w:rsidRPr="00B14447">
        <w:rPr>
          <w:rFonts w:ascii="Times New Roman" w:hAnsi="Times New Roman"/>
        </w:rPr>
        <w:t>1</w:t>
      </w:r>
      <w:r w:rsidR="00567881" w:rsidRPr="00B14447">
        <w:rPr>
          <w:rFonts w:ascii="Times New Roman" w:hAnsi="Times New Roman"/>
        </w:rPr>
        <w:t>1</w:t>
      </w:r>
      <w:r w:rsidR="00E25AA7" w:rsidRPr="00B14447">
        <w:rPr>
          <w:rFonts w:ascii="Times New Roman" w:hAnsi="Times New Roman"/>
        </w:rPr>
        <w:t> </w:t>
      </w:r>
      <w:r w:rsidR="00567881" w:rsidRPr="00B14447">
        <w:rPr>
          <w:rFonts w:ascii="Times New Roman" w:hAnsi="Times New Roman"/>
        </w:rPr>
        <w:t>million</w:t>
      </w:r>
      <w:r w:rsidR="00B6543C" w:rsidRPr="00B14447">
        <w:rPr>
          <w:rFonts w:ascii="Times New Roman" w:hAnsi="Times New Roman"/>
        </w:rPr>
        <w:t>.</w:t>
      </w:r>
      <w:r w:rsidR="009D0231" w:rsidRPr="00B14447">
        <w:rPr>
          <w:rFonts w:ascii="Times New Roman" w:hAnsi="Times New Roman"/>
        </w:rPr>
        <w:t xml:space="preserve"> </w:t>
      </w:r>
    </w:p>
    <w:p w14:paraId="437D6D6B" w14:textId="5211C8AA" w:rsidR="0064478B" w:rsidRPr="00B14447" w:rsidRDefault="00CE1E30"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AA738E" w:rsidRPr="00B14447">
        <w:rPr>
          <w:rFonts w:ascii="Times New Roman" w:hAnsi="Times New Roman"/>
        </w:rPr>
        <w:t>Sanofi</w:t>
      </w:r>
      <w:r w:rsidR="0009638D" w:rsidRPr="00B14447">
        <w:rPr>
          <w:rFonts w:ascii="Times New Roman" w:hAnsi="Times New Roman"/>
        </w:rPr>
        <w:t xml:space="preserve"> relied upon seven grounds of contention in their notice of contention. </w:t>
      </w:r>
    </w:p>
    <w:p w14:paraId="620EF8B1" w14:textId="500731E7" w:rsidR="0064478B" w:rsidRPr="00B14447" w:rsidRDefault="00355C28" w:rsidP="00B14447">
      <w:pPr>
        <w:pStyle w:val="HeadingL2"/>
        <w:spacing w:after="260" w:line="280" w:lineRule="exact"/>
        <w:ind w:right="0"/>
        <w:jc w:val="both"/>
        <w:rPr>
          <w:rFonts w:ascii="Times New Roman" w:hAnsi="Times New Roman"/>
        </w:rPr>
      </w:pPr>
      <w:r w:rsidRPr="00B14447">
        <w:rPr>
          <w:rFonts w:ascii="Times New Roman" w:hAnsi="Times New Roman"/>
        </w:rPr>
        <w:t xml:space="preserve">(1) </w:t>
      </w:r>
      <w:r w:rsidR="00D76CCC" w:rsidRPr="00B14447">
        <w:rPr>
          <w:rFonts w:ascii="Times New Roman" w:hAnsi="Times New Roman"/>
        </w:rPr>
        <w:tab/>
      </w:r>
      <w:r w:rsidR="0064478B" w:rsidRPr="00B14447">
        <w:rPr>
          <w:rFonts w:ascii="Times New Roman" w:hAnsi="Times New Roman"/>
        </w:rPr>
        <w:t xml:space="preserve">Grounds </w:t>
      </w:r>
      <w:r w:rsidR="00221071" w:rsidRPr="00B14447">
        <w:rPr>
          <w:rFonts w:ascii="Times New Roman" w:hAnsi="Times New Roman"/>
        </w:rPr>
        <w:t xml:space="preserve">without submissions </w:t>
      </w:r>
    </w:p>
    <w:p w14:paraId="7AAFA30E" w14:textId="036619AB" w:rsidR="0009638D"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Three grounds of their notice of contention</w:t>
      </w:r>
      <w:r w:rsidR="00A968D4" w:rsidRPr="00B14447">
        <w:rPr>
          <w:rFonts w:ascii="Times New Roman" w:hAnsi="Times New Roman"/>
        </w:rPr>
        <w:t xml:space="preserve"> </w:t>
      </w:r>
      <w:r w:rsidR="00C74C92" w:rsidRPr="00B14447">
        <w:rPr>
          <w:rFonts w:ascii="Times New Roman" w:hAnsi="Times New Roman"/>
        </w:rPr>
        <w:t>—</w:t>
      </w:r>
      <w:r w:rsidR="00A968D4" w:rsidRPr="00B14447">
        <w:rPr>
          <w:rFonts w:ascii="Times New Roman" w:hAnsi="Times New Roman"/>
        </w:rPr>
        <w:t xml:space="preserve"> </w:t>
      </w:r>
      <w:r w:rsidRPr="00B14447">
        <w:rPr>
          <w:rFonts w:ascii="Times New Roman" w:hAnsi="Times New Roman"/>
        </w:rPr>
        <w:t>grounds</w:t>
      </w:r>
      <w:r w:rsidR="00312E01" w:rsidRPr="00B14447">
        <w:rPr>
          <w:rFonts w:ascii="Times New Roman" w:hAnsi="Times New Roman"/>
        </w:rPr>
        <w:t> </w:t>
      </w:r>
      <w:r w:rsidR="00A371D7" w:rsidRPr="00B14447">
        <w:rPr>
          <w:rFonts w:ascii="Times New Roman" w:hAnsi="Times New Roman"/>
        </w:rPr>
        <w:t>2</w:t>
      </w:r>
      <w:r w:rsidRPr="00B14447">
        <w:rPr>
          <w:rFonts w:ascii="Times New Roman" w:hAnsi="Times New Roman"/>
        </w:rPr>
        <w:t xml:space="preserve">, </w:t>
      </w:r>
      <w:r w:rsidR="00573BC9" w:rsidRPr="00B14447">
        <w:rPr>
          <w:rFonts w:ascii="Times New Roman" w:hAnsi="Times New Roman"/>
        </w:rPr>
        <w:t>5</w:t>
      </w:r>
      <w:r w:rsidR="005655C6" w:rsidRPr="00B14447">
        <w:rPr>
          <w:rFonts w:ascii="Times New Roman" w:hAnsi="Times New Roman"/>
        </w:rPr>
        <w:t xml:space="preserve"> </w:t>
      </w:r>
      <w:r w:rsidRPr="00B14447">
        <w:rPr>
          <w:rFonts w:ascii="Times New Roman" w:hAnsi="Times New Roman"/>
        </w:rPr>
        <w:t xml:space="preserve">and </w:t>
      </w:r>
      <w:r w:rsidR="00573BC9" w:rsidRPr="00B14447">
        <w:rPr>
          <w:rFonts w:ascii="Times New Roman" w:hAnsi="Times New Roman"/>
        </w:rPr>
        <w:t xml:space="preserve">6 </w:t>
      </w:r>
      <w:r w:rsidR="00C74C92" w:rsidRPr="00B14447">
        <w:rPr>
          <w:rFonts w:ascii="Times New Roman" w:hAnsi="Times New Roman"/>
        </w:rPr>
        <w:t>—</w:t>
      </w:r>
      <w:r w:rsidR="00A968D4" w:rsidRPr="00B14447">
        <w:rPr>
          <w:rFonts w:ascii="Times New Roman" w:hAnsi="Times New Roman"/>
        </w:rPr>
        <w:t xml:space="preserve"> </w:t>
      </w:r>
      <w:r w:rsidRPr="00B14447">
        <w:rPr>
          <w:rFonts w:ascii="Times New Roman" w:hAnsi="Times New Roman"/>
        </w:rPr>
        <w:t xml:space="preserve">were said by </w:t>
      </w:r>
      <w:r w:rsidR="0064478B" w:rsidRPr="00B14447">
        <w:rPr>
          <w:rFonts w:ascii="Times New Roman" w:hAnsi="Times New Roman"/>
        </w:rPr>
        <w:t>Sanofi</w:t>
      </w:r>
      <w:r w:rsidRPr="00B14447">
        <w:rPr>
          <w:rFonts w:ascii="Times New Roman" w:hAnsi="Times New Roman"/>
        </w:rPr>
        <w:t xml:space="preserve"> to be </w:t>
      </w:r>
      <w:r w:rsidR="00C74C92" w:rsidRPr="00B14447">
        <w:rPr>
          <w:rFonts w:ascii="Times New Roman" w:hAnsi="Times New Roman"/>
        </w:rPr>
        <w:t>"</w:t>
      </w:r>
      <w:r w:rsidRPr="00B14447">
        <w:rPr>
          <w:rFonts w:ascii="Times New Roman" w:hAnsi="Times New Roman"/>
        </w:rPr>
        <w:t xml:space="preserve">not ripe for determination" by this Court. Although those three grounds of contention were raised in the Full Court, none of them needed to be, or was, decided by the Full Court. Those three grounds of contention were raised by </w:t>
      </w:r>
      <w:r w:rsidR="0064478B" w:rsidRPr="00B14447">
        <w:rPr>
          <w:rFonts w:ascii="Times New Roman" w:hAnsi="Times New Roman"/>
        </w:rPr>
        <w:t>Sanofi</w:t>
      </w:r>
      <w:r w:rsidRPr="00B14447">
        <w:rPr>
          <w:rFonts w:ascii="Times New Roman" w:hAnsi="Times New Roman"/>
        </w:rPr>
        <w:t xml:space="preserve"> in this Court only so that those grounds could be remitted to the Full Court if the appeal were allowed. In the event that the appeal was dismissed </w:t>
      </w:r>
      <w:r w:rsidR="0064478B" w:rsidRPr="00B14447">
        <w:rPr>
          <w:rFonts w:ascii="Times New Roman" w:hAnsi="Times New Roman"/>
        </w:rPr>
        <w:t>Sanofi</w:t>
      </w:r>
      <w:r w:rsidRPr="00B14447">
        <w:rPr>
          <w:rFonts w:ascii="Times New Roman" w:hAnsi="Times New Roman"/>
        </w:rPr>
        <w:t xml:space="preserve"> made no submissions concerning, and therefore did not press, those grounds. </w:t>
      </w:r>
    </w:p>
    <w:p w14:paraId="7FA5721C" w14:textId="7ABC4738" w:rsidR="0009638D"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Since we have concluded that the appeal should be dismissed, only one point need be made about </w:t>
      </w:r>
      <w:r w:rsidR="00DC318F" w:rsidRPr="00B14447">
        <w:rPr>
          <w:rFonts w:ascii="Times New Roman" w:hAnsi="Times New Roman"/>
        </w:rPr>
        <w:t>grounds </w:t>
      </w:r>
      <w:r w:rsidR="00ED1E6A" w:rsidRPr="00B14447">
        <w:rPr>
          <w:rFonts w:ascii="Times New Roman" w:hAnsi="Times New Roman"/>
        </w:rPr>
        <w:t>2</w:t>
      </w:r>
      <w:r w:rsidRPr="00B14447">
        <w:rPr>
          <w:rFonts w:ascii="Times New Roman" w:hAnsi="Times New Roman"/>
        </w:rPr>
        <w:t xml:space="preserve">, </w:t>
      </w:r>
      <w:r w:rsidR="00ED1E6A" w:rsidRPr="00B14447">
        <w:rPr>
          <w:rFonts w:ascii="Times New Roman" w:hAnsi="Times New Roman"/>
        </w:rPr>
        <w:t>5</w:t>
      </w:r>
      <w:r w:rsidR="00AE71BD" w:rsidRPr="00B14447">
        <w:rPr>
          <w:rFonts w:ascii="Times New Roman" w:hAnsi="Times New Roman"/>
        </w:rPr>
        <w:t xml:space="preserve"> </w:t>
      </w:r>
      <w:r w:rsidRPr="00B14447">
        <w:rPr>
          <w:rFonts w:ascii="Times New Roman" w:hAnsi="Times New Roman"/>
        </w:rPr>
        <w:t xml:space="preserve">and </w:t>
      </w:r>
      <w:r w:rsidR="00ED1E6A" w:rsidRPr="00B14447">
        <w:rPr>
          <w:rFonts w:ascii="Times New Roman" w:hAnsi="Times New Roman"/>
        </w:rPr>
        <w:t>6</w:t>
      </w:r>
      <w:r w:rsidRPr="00B14447">
        <w:rPr>
          <w:rFonts w:ascii="Times New Roman" w:hAnsi="Times New Roman"/>
        </w:rPr>
        <w:t>. That point is that ground</w:t>
      </w:r>
      <w:r w:rsidR="006E7AB2" w:rsidRPr="00B14447">
        <w:rPr>
          <w:rFonts w:ascii="Times New Roman" w:hAnsi="Times New Roman"/>
        </w:rPr>
        <w:t> </w:t>
      </w:r>
      <w:r w:rsidR="00F345D2" w:rsidRPr="00B14447">
        <w:rPr>
          <w:rFonts w:ascii="Times New Roman" w:hAnsi="Times New Roman"/>
        </w:rPr>
        <w:t>2</w:t>
      </w:r>
      <w:r w:rsidRPr="00B14447">
        <w:rPr>
          <w:rFonts w:ascii="Times New Roman" w:hAnsi="Times New Roman"/>
        </w:rPr>
        <w:t xml:space="preserve"> of the notice of contention asserted that the Commonwealth had failed to prove that an application by Apotex to list its clopidogrel products on the PBS from 1</w:t>
      </w:r>
      <w:r w:rsidR="00FE2AE2" w:rsidRPr="00B14447">
        <w:rPr>
          <w:rFonts w:ascii="Times New Roman" w:hAnsi="Times New Roman"/>
        </w:rPr>
        <w:t> </w:t>
      </w:r>
      <w:r w:rsidRPr="00B14447">
        <w:rPr>
          <w:rFonts w:ascii="Times New Roman" w:hAnsi="Times New Roman"/>
        </w:rPr>
        <w:t xml:space="preserve">April 2008 would likely have been approved by the Minister or a delegate of the Minister. In other words, the Commonwealth did not prove that it suffered any loss. </w:t>
      </w:r>
      <w:r w:rsidR="00E539A0" w:rsidRPr="00B14447">
        <w:rPr>
          <w:rFonts w:ascii="Times New Roman" w:hAnsi="Times New Roman"/>
        </w:rPr>
        <w:t>Hence, even</w:t>
      </w:r>
      <w:r w:rsidR="0093472C" w:rsidRPr="00B14447">
        <w:rPr>
          <w:rFonts w:ascii="Times New Roman" w:hAnsi="Times New Roman"/>
        </w:rPr>
        <w:t xml:space="preserve"> if the Commonwealth had proved its counter</w:t>
      </w:r>
      <w:r w:rsidR="00B41167" w:rsidRPr="00B14447">
        <w:rPr>
          <w:rFonts w:ascii="Times New Roman" w:hAnsi="Times New Roman"/>
        </w:rPr>
        <w:t>-</w:t>
      </w:r>
      <w:r w:rsidR="0093472C" w:rsidRPr="00B14447">
        <w:rPr>
          <w:rFonts w:ascii="Times New Roman" w:hAnsi="Times New Roman"/>
        </w:rPr>
        <w:t>factual case,</w:t>
      </w:r>
      <w:r w:rsidR="00E539A0" w:rsidRPr="00B14447">
        <w:rPr>
          <w:rFonts w:ascii="Times New Roman" w:hAnsi="Times New Roman"/>
        </w:rPr>
        <w:t xml:space="preserve"> the amount of </w:t>
      </w:r>
      <w:r w:rsidR="009D150D" w:rsidRPr="00B14447">
        <w:rPr>
          <w:rFonts w:ascii="Times New Roman" w:hAnsi="Times New Roman"/>
        </w:rPr>
        <w:t xml:space="preserve">around </w:t>
      </w:r>
      <w:r w:rsidR="00E539A0" w:rsidRPr="00B14447">
        <w:rPr>
          <w:rFonts w:ascii="Times New Roman" w:hAnsi="Times New Roman"/>
        </w:rPr>
        <w:t>$11</w:t>
      </w:r>
      <w:r w:rsidR="001B21E8" w:rsidRPr="00B14447">
        <w:rPr>
          <w:rFonts w:ascii="Times New Roman" w:hAnsi="Times New Roman"/>
        </w:rPr>
        <w:t> </w:t>
      </w:r>
      <w:r w:rsidR="00E539A0" w:rsidRPr="00B14447">
        <w:rPr>
          <w:rFonts w:ascii="Times New Roman" w:hAnsi="Times New Roman"/>
        </w:rPr>
        <w:t>million</w:t>
      </w:r>
      <w:r w:rsidR="001B21E8" w:rsidRPr="00B14447">
        <w:rPr>
          <w:rFonts w:ascii="Times New Roman" w:hAnsi="Times New Roman"/>
        </w:rPr>
        <w:t>,</w:t>
      </w:r>
      <w:r w:rsidR="00C722CA" w:rsidRPr="00B14447">
        <w:rPr>
          <w:rFonts w:ascii="Times New Roman" w:hAnsi="Times New Roman"/>
        </w:rPr>
        <w:t xml:space="preserve"> as an asserted loss by the Commonwealth</w:t>
      </w:r>
      <w:r w:rsidR="001B21E8" w:rsidRPr="00B14447">
        <w:rPr>
          <w:rFonts w:ascii="Times New Roman" w:hAnsi="Times New Roman"/>
        </w:rPr>
        <w:t>,</w:t>
      </w:r>
      <w:r w:rsidR="0093472C" w:rsidRPr="00B14447">
        <w:rPr>
          <w:rFonts w:ascii="Times New Roman" w:hAnsi="Times New Roman"/>
        </w:rPr>
        <w:t xml:space="preserve"> would</w:t>
      </w:r>
      <w:r w:rsidR="00C722CA" w:rsidRPr="00B14447">
        <w:rPr>
          <w:rFonts w:ascii="Times New Roman" w:hAnsi="Times New Roman"/>
        </w:rPr>
        <w:t xml:space="preserve"> </w:t>
      </w:r>
      <w:r w:rsidR="009E1B2F" w:rsidRPr="00B14447">
        <w:rPr>
          <w:rFonts w:ascii="Times New Roman" w:hAnsi="Times New Roman"/>
        </w:rPr>
        <w:t xml:space="preserve">remain an unresolved matter of dispute between the parties. </w:t>
      </w:r>
      <w:r w:rsidR="00E539A0" w:rsidRPr="00B14447">
        <w:rPr>
          <w:rFonts w:ascii="Times New Roman" w:hAnsi="Times New Roman"/>
        </w:rPr>
        <w:t xml:space="preserve"> </w:t>
      </w:r>
    </w:p>
    <w:p w14:paraId="13807CB5" w14:textId="54B5638D" w:rsidR="0009638D" w:rsidRPr="00B14447" w:rsidRDefault="003D3C5C" w:rsidP="00B14447">
      <w:pPr>
        <w:pStyle w:val="HeadingL2"/>
        <w:spacing w:after="260" w:line="280" w:lineRule="exact"/>
        <w:ind w:left="720" w:right="0" w:hanging="720"/>
        <w:jc w:val="both"/>
        <w:rPr>
          <w:rFonts w:ascii="Times New Roman" w:hAnsi="Times New Roman"/>
        </w:rPr>
      </w:pPr>
      <w:r w:rsidRPr="00B14447">
        <w:rPr>
          <w:rFonts w:ascii="Times New Roman" w:hAnsi="Times New Roman"/>
        </w:rPr>
        <w:t>(2)</w:t>
      </w:r>
      <w:r w:rsidR="00D76CCC" w:rsidRPr="00B14447">
        <w:rPr>
          <w:rFonts w:ascii="Times New Roman" w:hAnsi="Times New Roman"/>
        </w:rPr>
        <w:tab/>
      </w:r>
      <w:r w:rsidR="00862D8D" w:rsidRPr="00B14447">
        <w:rPr>
          <w:rFonts w:ascii="Times New Roman" w:hAnsi="Times New Roman"/>
        </w:rPr>
        <w:t xml:space="preserve">Scope of the undertaking and remoteness </w:t>
      </w:r>
    </w:p>
    <w:p w14:paraId="1CF59F53" w14:textId="0CB0BB88" w:rsidR="008D6FA7" w:rsidRPr="00B14447" w:rsidRDefault="00C5751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8D6FA7" w:rsidRPr="00B14447">
        <w:rPr>
          <w:rFonts w:ascii="Times New Roman" w:hAnsi="Times New Roman"/>
        </w:rPr>
        <w:t xml:space="preserve">The first ground of contention concerns the proper application of the test for the availability and quantification of compensation on an undertaking as to damages and, in particular, whether any of the Commonwealth's alleged losses could be said to flow "directly" from the operation of the interlocutory injunction granted on 25 September 2007. </w:t>
      </w:r>
    </w:p>
    <w:p w14:paraId="15EE0700" w14:textId="2AE224D6" w:rsidR="008D6FA7" w:rsidRPr="00B14447" w:rsidRDefault="008D6FA7"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Sanofi did not, and could not, dispute that the losses alleged to have been suffered by the Commonwealth were of a kind that could reasonably have been foreseen as sufficiently likely. Instead, Sanofi's first ground of contention asserted that the Commonwealth's alleged loss did not "flow directly" from the interlocutory injunction. The Commonwealth's alleged loss was said to be indirect because it required Apotex to apply for, and receive, listing of </w:t>
      </w:r>
      <w:r w:rsidR="00813EDA" w:rsidRPr="00B14447">
        <w:rPr>
          <w:rFonts w:ascii="Times New Roman" w:hAnsi="Times New Roman"/>
        </w:rPr>
        <w:t xml:space="preserve">its </w:t>
      </w:r>
      <w:r w:rsidRPr="00B14447">
        <w:rPr>
          <w:rFonts w:ascii="Times New Roman" w:hAnsi="Times New Roman"/>
        </w:rPr>
        <w:t xml:space="preserve">clopidogrel </w:t>
      </w:r>
      <w:r w:rsidR="00813EDA" w:rsidRPr="00B14447">
        <w:rPr>
          <w:rFonts w:ascii="Times New Roman" w:hAnsi="Times New Roman"/>
        </w:rPr>
        <w:t>product</w:t>
      </w:r>
      <w:r w:rsidR="0065344E" w:rsidRPr="00B14447">
        <w:rPr>
          <w:rFonts w:ascii="Times New Roman" w:hAnsi="Times New Roman"/>
        </w:rPr>
        <w:t>s</w:t>
      </w:r>
      <w:r w:rsidR="00813EDA" w:rsidRPr="00B14447">
        <w:rPr>
          <w:rFonts w:ascii="Times New Roman" w:hAnsi="Times New Roman"/>
        </w:rPr>
        <w:t xml:space="preserve"> </w:t>
      </w:r>
      <w:r w:rsidRPr="00B14447">
        <w:rPr>
          <w:rFonts w:ascii="Times New Roman" w:hAnsi="Times New Roman"/>
        </w:rPr>
        <w:t xml:space="preserve">on the PBS. </w:t>
      </w:r>
    </w:p>
    <w:p w14:paraId="433CE3BA" w14:textId="6F7FB173" w:rsidR="0009638D" w:rsidRPr="00B14447" w:rsidRDefault="00140070" w:rsidP="00B14447">
      <w:pPr>
        <w:pStyle w:val="FixListStyle"/>
        <w:spacing w:after="260" w:line="280" w:lineRule="exact"/>
        <w:ind w:right="0"/>
        <w:jc w:val="both"/>
        <w:rPr>
          <w:rFonts w:ascii="Times New Roman" w:hAnsi="Times New Roman"/>
        </w:rPr>
      </w:pPr>
      <w:r w:rsidRPr="00B14447">
        <w:rPr>
          <w:rFonts w:ascii="Times New Roman" w:hAnsi="Times New Roman"/>
        </w:rPr>
        <w:lastRenderedPageBreak/>
        <w:tab/>
      </w:r>
      <w:r w:rsidR="0009638D" w:rsidRPr="00B14447">
        <w:rPr>
          <w:rFonts w:ascii="Times New Roman" w:hAnsi="Times New Roman"/>
        </w:rPr>
        <w:t xml:space="preserve">Sanofi's undertaking as to damages was given in a form that has been relatively stable since </w:t>
      </w:r>
      <w:r w:rsidR="00EA1053" w:rsidRPr="00B14447">
        <w:rPr>
          <w:rFonts w:ascii="Times New Roman" w:hAnsi="Times New Roman"/>
        </w:rPr>
        <w:t>1842</w:t>
      </w:r>
      <w:r w:rsidR="0009638D" w:rsidRPr="00B14447">
        <w:rPr>
          <w:rFonts w:ascii="Times New Roman" w:hAnsi="Times New Roman"/>
        </w:rPr>
        <w:t>.</w:t>
      </w:r>
      <w:r w:rsidR="0009638D" w:rsidRPr="00B14447">
        <w:rPr>
          <w:rStyle w:val="FootnoteReference"/>
          <w:rFonts w:ascii="Times New Roman" w:hAnsi="Times New Roman"/>
          <w:sz w:val="24"/>
        </w:rPr>
        <w:footnoteReference w:id="153"/>
      </w:r>
      <w:r w:rsidR="0009638D" w:rsidRPr="00B14447">
        <w:rPr>
          <w:rFonts w:ascii="Times New Roman" w:hAnsi="Times New Roman"/>
        </w:rPr>
        <w:t xml:space="preserve"> The terms of the undertaking are open-textured. They require payment of compensation "as the Court may consider to be just" to any person "whether or not a party" who is "adversely affected" by the operation of the interlocutory injunction.</w:t>
      </w:r>
    </w:p>
    <w:p w14:paraId="11F92459" w14:textId="057F71B7" w:rsidR="0009638D"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its submission that any loss suffered by the Commonwealth was not compensation recoverable on an undertaking as to damages, Sanofi relied heavily upon the decision of the Court of Appeal of England and Wales in </w:t>
      </w:r>
      <w:r w:rsidRPr="00B14447">
        <w:rPr>
          <w:rFonts w:ascii="Times New Roman" w:hAnsi="Times New Roman"/>
          <w:i/>
          <w:iCs/>
        </w:rPr>
        <w:t>Smith v Day</w:t>
      </w:r>
      <w:r w:rsidRPr="00B14447">
        <w:rPr>
          <w:rFonts w:ascii="Times New Roman" w:hAnsi="Times New Roman"/>
        </w:rPr>
        <w:t>.</w:t>
      </w:r>
      <w:r w:rsidRPr="00B14447">
        <w:rPr>
          <w:rStyle w:val="FootnoteReference"/>
          <w:rFonts w:ascii="Times New Roman" w:hAnsi="Times New Roman"/>
          <w:sz w:val="24"/>
        </w:rPr>
        <w:footnoteReference w:id="154"/>
      </w:r>
      <w:r w:rsidRPr="00B14447">
        <w:rPr>
          <w:rFonts w:ascii="Times New Roman" w:hAnsi="Times New Roman"/>
        </w:rPr>
        <w:t xml:space="preserve"> That nineteenth century case was the first detailed consideration of the scope of compensation available on an undertaking as to damages. The issue concerned whether there should be an inquiry into damages arising from an undertaking as to damages given by the plaintiff as a condition of an injunction that restrained the </w:t>
      </w:r>
      <w:r w:rsidR="00F15BA7" w:rsidRPr="00B14447">
        <w:rPr>
          <w:rFonts w:ascii="Times New Roman" w:hAnsi="Times New Roman"/>
        </w:rPr>
        <w:t xml:space="preserve">defendant </w:t>
      </w:r>
      <w:r w:rsidRPr="00B14447">
        <w:rPr>
          <w:rFonts w:ascii="Times New Roman" w:hAnsi="Times New Roman"/>
        </w:rPr>
        <w:t>from performing building work. The only damage alleged by the defendant was said to be the loss of a tenancy in the building</w:t>
      </w:r>
      <w:r w:rsidR="008B3AB1" w:rsidRPr="00B14447">
        <w:rPr>
          <w:rFonts w:ascii="Times New Roman" w:hAnsi="Times New Roman"/>
        </w:rPr>
        <w:t>,</w:t>
      </w:r>
      <w:r w:rsidRPr="00B14447">
        <w:rPr>
          <w:rFonts w:ascii="Times New Roman" w:hAnsi="Times New Roman"/>
        </w:rPr>
        <w:t xml:space="preserve"> but the defendant did not prove that there was any binding agreement to lease. The Court of Appeal unanimously refused to order an inquiry as to damages on the basis that no compensation was payable under the undertaking. All members of the Court held that any damage was too remote</w:t>
      </w:r>
      <w:r w:rsidR="00F21690" w:rsidRPr="00B14447">
        <w:rPr>
          <w:rFonts w:ascii="Times New Roman" w:hAnsi="Times New Roman"/>
        </w:rPr>
        <w:t>,</w:t>
      </w:r>
      <w:r w:rsidRPr="00B14447">
        <w:rPr>
          <w:rFonts w:ascii="Times New Roman" w:hAnsi="Times New Roman"/>
        </w:rPr>
        <w:t xml:space="preserve"> </w:t>
      </w:r>
      <w:r w:rsidR="00F21690" w:rsidRPr="00B14447">
        <w:rPr>
          <w:rFonts w:ascii="Times New Roman" w:hAnsi="Times New Roman"/>
        </w:rPr>
        <w:t>regardless of whether</w:t>
      </w:r>
      <w:r w:rsidRPr="00B14447">
        <w:rPr>
          <w:rFonts w:ascii="Times New Roman" w:hAnsi="Times New Roman"/>
        </w:rPr>
        <w:t xml:space="preserve"> there had been a binding tenancy agreement.</w:t>
      </w:r>
      <w:r w:rsidRPr="00B14447">
        <w:rPr>
          <w:rStyle w:val="FootnoteReference"/>
          <w:rFonts w:ascii="Times New Roman" w:hAnsi="Times New Roman"/>
          <w:sz w:val="24"/>
        </w:rPr>
        <w:footnoteReference w:id="155"/>
      </w:r>
      <w:r w:rsidRPr="00B14447">
        <w:rPr>
          <w:rFonts w:ascii="Times New Roman" w:hAnsi="Times New Roman"/>
        </w:rPr>
        <w:t xml:space="preserve"> Brett LJ, with whom Cotton</w:t>
      </w:r>
      <w:r w:rsidR="00F15AFF" w:rsidRPr="00B14447">
        <w:rPr>
          <w:rFonts w:ascii="Times New Roman" w:hAnsi="Times New Roman"/>
        </w:rPr>
        <w:t> </w:t>
      </w:r>
      <w:r w:rsidRPr="00B14447">
        <w:rPr>
          <w:rFonts w:ascii="Times New Roman" w:hAnsi="Times New Roman"/>
        </w:rPr>
        <w:t xml:space="preserve">LJ agreed on this point, applied the principles </w:t>
      </w:r>
      <w:r w:rsidR="00032CF7" w:rsidRPr="00B14447">
        <w:rPr>
          <w:rFonts w:ascii="Times New Roman" w:hAnsi="Times New Roman"/>
        </w:rPr>
        <w:t xml:space="preserve">in </w:t>
      </w:r>
      <w:r w:rsidRPr="00B14447">
        <w:rPr>
          <w:rFonts w:ascii="Times New Roman" w:hAnsi="Times New Roman"/>
          <w:i/>
          <w:iCs/>
        </w:rPr>
        <w:t>Hadley v Baxendale</w:t>
      </w:r>
      <w:r w:rsidR="00032CF7" w:rsidRPr="00B14447">
        <w:rPr>
          <w:rFonts w:ascii="Times New Roman" w:hAnsi="Times New Roman"/>
        </w:rPr>
        <w:t>,</w:t>
      </w:r>
      <w:r w:rsidRPr="00B14447">
        <w:rPr>
          <w:rStyle w:val="FootnoteReference"/>
          <w:rFonts w:ascii="Times New Roman" w:hAnsi="Times New Roman"/>
          <w:sz w:val="24"/>
        </w:rPr>
        <w:footnoteReference w:id="156"/>
      </w:r>
      <w:r w:rsidRPr="00B14447">
        <w:rPr>
          <w:rFonts w:ascii="Times New Roman" w:hAnsi="Times New Roman"/>
          <w:i/>
          <w:iCs/>
        </w:rPr>
        <w:t xml:space="preserve"> </w:t>
      </w:r>
      <w:r w:rsidRPr="00B14447">
        <w:rPr>
          <w:rFonts w:ascii="Times New Roman" w:hAnsi="Times New Roman"/>
        </w:rPr>
        <w:t>by analogy</w:t>
      </w:r>
      <w:r w:rsidR="00032CF7" w:rsidRPr="00B14447">
        <w:rPr>
          <w:rFonts w:ascii="Times New Roman" w:hAnsi="Times New Roman"/>
        </w:rPr>
        <w:t>,</w:t>
      </w:r>
      <w:r w:rsidRPr="00B14447">
        <w:rPr>
          <w:rFonts w:ascii="Times New Roman" w:hAnsi="Times New Roman"/>
        </w:rPr>
        <w:t xml:space="preserve"> to conclude that the loss of the benefit of that agreement would not have been "proximate and natural" and was therefore too remote to be recoverable.</w:t>
      </w:r>
      <w:r w:rsidRPr="00B14447">
        <w:rPr>
          <w:rStyle w:val="FootnoteReference"/>
          <w:rFonts w:ascii="Times New Roman" w:hAnsi="Times New Roman"/>
          <w:sz w:val="24"/>
        </w:rPr>
        <w:footnoteReference w:id="157"/>
      </w:r>
    </w:p>
    <w:p w14:paraId="1DF432A4" w14:textId="16166D28" w:rsidR="0009638D"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t>The law concerning the availability of compensation upon an undertaking as to damages has developed since th</w:t>
      </w:r>
      <w:r w:rsidR="00844FE0" w:rsidRPr="00B14447">
        <w:rPr>
          <w:rFonts w:ascii="Times New Roman" w:hAnsi="Times New Roman"/>
        </w:rPr>
        <w:t>e</w:t>
      </w:r>
      <w:r w:rsidRPr="00B14447">
        <w:rPr>
          <w:rFonts w:ascii="Times New Roman" w:hAnsi="Times New Roman"/>
        </w:rPr>
        <w:t xml:space="preserve"> expression</w:t>
      </w:r>
      <w:r w:rsidR="007D06BB" w:rsidRPr="00B14447">
        <w:rPr>
          <w:rFonts w:ascii="Times New Roman" w:hAnsi="Times New Roman"/>
        </w:rPr>
        <w:t xml:space="preserve"> </w:t>
      </w:r>
      <w:r w:rsidR="00D0333E" w:rsidRPr="00B14447">
        <w:rPr>
          <w:rFonts w:ascii="Times New Roman" w:hAnsi="Times New Roman"/>
        </w:rPr>
        <w:t xml:space="preserve">in </w:t>
      </w:r>
      <w:r w:rsidR="00D0333E" w:rsidRPr="00B14447">
        <w:rPr>
          <w:rFonts w:ascii="Times New Roman" w:hAnsi="Times New Roman"/>
          <w:i/>
          <w:iCs/>
        </w:rPr>
        <w:t>Smith v Day</w:t>
      </w:r>
      <w:r w:rsidR="00D0333E" w:rsidRPr="00B14447">
        <w:rPr>
          <w:rStyle w:val="FootnoteReference"/>
          <w:rFonts w:ascii="Times New Roman" w:hAnsi="Times New Roman"/>
          <w:sz w:val="24"/>
        </w:rPr>
        <w:footnoteReference w:id="158"/>
      </w:r>
      <w:r w:rsidRPr="00B14447">
        <w:rPr>
          <w:rFonts w:ascii="Times New Roman" w:hAnsi="Times New Roman"/>
        </w:rPr>
        <w:t xml:space="preserve"> of the limit based on remoteness of damage. The most recent consideration by this Court </w:t>
      </w:r>
      <w:r w:rsidR="00844FE0" w:rsidRPr="00B14447">
        <w:rPr>
          <w:rFonts w:ascii="Times New Roman" w:hAnsi="Times New Roman"/>
        </w:rPr>
        <w:t xml:space="preserve">of </w:t>
      </w:r>
      <w:r w:rsidRPr="00B14447">
        <w:rPr>
          <w:rFonts w:ascii="Times New Roman" w:hAnsi="Times New Roman"/>
        </w:rPr>
        <w:t xml:space="preserve">compensation on an undertaking as to damages was in </w:t>
      </w:r>
      <w:r w:rsidRPr="00B14447">
        <w:rPr>
          <w:rFonts w:ascii="Times New Roman" w:hAnsi="Times New Roman"/>
          <w:i/>
          <w:iCs/>
        </w:rPr>
        <w:t>European Bank Ltd v Evans</w:t>
      </w:r>
      <w:r w:rsidRPr="00B14447">
        <w:rPr>
          <w:rFonts w:ascii="Times New Roman" w:hAnsi="Times New Roman"/>
        </w:rPr>
        <w:t>.</w:t>
      </w:r>
      <w:r w:rsidRPr="00B14447">
        <w:rPr>
          <w:rStyle w:val="FootnoteReference"/>
          <w:rFonts w:ascii="Times New Roman" w:hAnsi="Times New Roman"/>
          <w:sz w:val="24"/>
        </w:rPr>
        <w:footnoteReference w:id="159"/>
      </w:r>
      <w:r w:rsidRPr="00B14447">
        <w:rPr>
          <w:rFonts w:ascii="Times New Roman" w:hAnsi="Times New Roman"/>
        </w:rPr>
        <w:t xml:space="preserve"> In that case, this Court recognised that the calculation of damages in </w:t>
      </w:r>
      <w:r w:rsidRPr="00B14447">
        <w:rPr>
          <w:rFonts w:ascii="Times New Roman" w:hAnsi="Times New Roman"/>
        </w:rPr>
        <w:lastRenderedPageBreak/>
        <w:t xml:space="preserve">contract, and the remoteness of damage principles </w:t>
      </w:r>
      <w:r w:rsidR="00F27192" w:rsidRPr="00B14447">
        <w:rPr>
          <w:rFonts w:ascii="Times New Roman" w:hAnsi="Times New Roman"/>
        </w:rPr>
        <w:t xml:space="preserve">in </w:t>
      </w:r>
      <w:r w:rsidRPr="00B14447">
        <w:rPr>
          <w:rFonts w:ascii="Times New Roman" w:hAnsi="Times New Roman"/>
          <w:i/>
          <w:iCs/>
        </w:rPr>
        <w:t>Hadley v Baxendale</w:t>
      </w:r>
      <w:r w:rsidRPr="00B14447">
        <w:rPr>
          <w:rFonts w:ascii="Times New Roman" w:hAnsi="Times New Roman"/>
        </w:rPr>
        <w:t>,</w:t>
      </w:r>
      <w:r w:rsidRPr="00B14447">
        <w:rPr>
          <w:rStyle w:val="FootnoteReference"/>
          <w:rFonts w:ascii="Times New Roman" w:hAnsi="Times New Roman"/>
          <w:sz w:val="24"/>
        </w:rPr>
        <w:footnoteReference w:id="160"/>
      </w:r>
      <w:r w:rsidRPr="00B14447">
        <w:rPr>
          <w:rFonts w:ascii="Times New Roman" w:hAnsi="Times New Roman"/>
        </w:rPr>
        <w:t xml:space="preserve"> are only an analogy.</w:t>
      </w:r>
      <w:r w:rsidRPr="00B14447">
        <w:rPr>
          <w:rStyle w:val="FootnoteReference"/>
          <w:rFonts w:ascii="Times New Roman" w:hAnsi="Times New Roman"/>
          <w:sz w:val="24"/>
        </w:rPr>
        <w:footnoteReference w:id="161"/>
      </w:r>
      <w:r w:rsidRPr="00B14447">
        <w:rPr>
          <w:rFonts w:ascii="Times New Roman" w:hAnsi="Times New Roman"/>
        </w:rPr>
        <w:t xml:space="preserve"> An undertaking as to damages is given to the court. It is enforceable by the court, including with sanctions for contempt. It is not a contract between the parties. </w:t>
      </w:r>
    </w:p>
    <w:p w14:paraId="1D69C502" w14:textId="26938A93" w:rsidR="0009638D"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w:t>
      </w:r>
      <w:r w:rsidRPr="00B14447">
        <w:rPr>
          <w:rFonts w:ascii="Times New Roman" w:hAnsi="Times New Roman"/>
          <w:i/>
          <w:iCs/>
        </w:rPr>
        <w:t xml:space="preserve">European Bank Ltd v Evans, </w:t>
      </w:r>
      <w:r w:rsidRPr="00B14447">
        <w:rPr>
          <w:rFonts w:ascii="Times New Roman" w:hAnsi="Times New Roman"/>
        </w:rPr>
        <w:t>this Court held that the varied circumstances in which compensation might be sought prevent the assessment of compensation being "constrained by a rigid formulation".</w:t>
      </w:r>
      <w:r w:rsidRPr="00B14447">
        <w:rPr>
          <w:rStyle w:val="FootnoteReference"/>
          <w:rFonts w:ascii="Times New Roman" w:hAnsi="Times New Roman"/>
          <w:sz w:val="24"/>
        </w:rPr>
        <w:footnoteReference w:id="162"/>
      </w:r>
      <w:r w:rsidRPr="00B14447">
        <w:rPr>
          <w:rFonts w:ascii="Times New Roman" w:hAnsi="Times New Roman"/>
        </w:rPr>
        <w:t xml:space="preserve"> Rather, the flexible formulation endorsed was that proposed by Aickin</w:t>
      </w:r>
      <w:r w:rsidR="009C375D" w:rsidRPr="00B14447">
        <w:rPr>
          <w:rFonts w:ascii="Times New Roman" w:hAnsi="Times New Roman"/>
        </w:rPr>
        <w:t> </w:t>
      </w:r>
      <w:r w:rsidRPr="00B14447">
        <w:rPr>
          <w:rFonts w:ascii="Times New Roman" w:hAnsi="Times New Roman"/>
        </w:rPr>
        <w:t xml:space="preserve">J in </w:t>
      </w:r>
      <w:r w:rsidRPr="00B14447">
        <w:rPr>
          <w:rFonts w:ascii="Times New Roman" w:hAnsi="Times New Roman"/>
          <w:i/>
          <w:iCs/>
        </w:rPr>
        <w:t>Air Express Ltd v Ansett Transport Industries (Operations) Pty Ltd</w:t>
      </w:r>
      <w:r w:rsidR="00FC5569" w:rsidRPr="00B14447">
        <w:rPr>
          <w:rFonts w:ascii="Times New Roman" w:hAnsi="Times New Roman"/>
        </w:rPr>
        <w:t>:</w:t>
      </w:r>
      <w:r w:rsidRPr="00B14447">
        <w:rPr>
          <w:rStyle w:val="FootnoteReference"/>
          <w:rFonts w:ascii="Times New Roman" w:hAnsi="Times New Roman"/>
          <w:sz w:val="24"/>
        </w:rPr>
        <w:footnoteReference w:id="163"/>
      </w:r>
      <w:r w:rsidRPr="00B14447">
        <w:rPr>
          <w:rFonts w:ascii="Times New Roman" w:hAnsi="Times New Roman"/>
        </w:rPr>
        <w:t xml:space="preserve"> </w:t>
      </w:r>
      <w:r w:rsidR="00FC5569" w:rsidRPr="00B14447">
        <w:rPr>
          <w:rFonts w:ascii="Times New Roman" w:hAnsi="Times New Roman"/>
        </w:rPr>
        <w:t>that</w:t>
      </w:r>
      <w:r w:rsidRPr="00B14447">
        <w:rPr>
          <w:rFonts w:ascii="Times New Roman" w:hAnsi="Times New Roman"/>
        </w:rPr>
        <w:t xml:space="preserve"> in most cases it will be just and equitable to award compensation where the damages flow directly from the injunction and could reasonably be foreseen.</w:t>
      </w:r>
      <w:r w:rsidRPr="00B14447">
        <w:rPr>
          <w:rStyle w:val="FootnoteReference"/>
          <w:rFonts w:ascii="Times New Roman" w:hAnsi="Times New Roman"/>
          <w:sz w:val="24"/>
        </w:rPr>
        <w:footnoteReference w:id="164"/>
      </w:r>
      <w:r w:rsidRPr="00B14447">
        <w:rPr>
          <w:rFonts w:ascii="Times New Roman" w:hAnsi="Times New Roman"/>
        </w:rPr>
        <w:t xml:space="preserve"> Two different questions therefore</w:t>
      </w:r>
      <w:r w:rsidR="006D4294" w:rsidRPr="00B14447">
        <w:rPr>
          <w:rFonts w:ascii="Times New Roman" w:hAnsi="Times New Roman"/>
        </w:rPr>
        <w:t xml:space="preserve"> arose</w:t>
      </w:r>
      <w:r w:rsidRPr="00B14447">
        <w:rPr>
          <w:rFonts w:ascii="Times New Roman" w:hAnsi="Times New Roman"/>
        </w:rPr>
        <w:t>: (i)</w:t>
      </w:r>
      <w:r w:rsidR="006D4294" w:rsidRPr="00B14447">
        <w:rPr>
          <w:rFonts w:ascii="Times New Roman" w:hAnsi="Times New Roman"/>
        </w:rPr>
        <w:t> </w:t>
      </w:r>
      <w:r w:rsidRPr="00B14447">
        <w:rPr>
          <w:rFonts w:ascii="Times New Roman" w:hAnsi="Times New Roman"/>
        </w:rPr>
        <w:t>whether the loss flowed directly from the interlocutory injunction ordered; and (ii)</w:t>
      </w:r>
      <w:r w:rsidR="006D4294" w:rsidRPr="00B14447">
        <w:rPr>
          <w:rFonts w:ascii="Times New Roman" w:hAnsi="Times New Roman"/>
        </w:rPr>
        <w:t> </w:t>
      </w:r>
      <w:r w:rsidRPr="00B14447">
        <w:rPr>
          <w:rFonts w:ascii="Times New Roman" w:hAnsi="Times New Roman"/>
        </w:rPr>
        <w:t xml:space="preserve">whether "a </w:t>
      </w:r>
      <w:r w:rsidRPr="00B14447">
        <w:rPr>
          <w:rFonts w:ascii="Times New Roman" w:hAnsi="Times New Roman"/>
          <w:i/>
          <w:iCs/>
        </w:rPr>
        <w:t>loss of the kind</w:t>
      </w:r>
      <w:r w:rsidRPr="00B14447">
        <w:rPr>
          <w:rFonts w:ascii="Times New Roman" w:hAnsi="Times New Roman"/>
        </w:rPr>
        <w:t xml:space="preserve"> actually sustained </w:t>
      </w:r>
      <w:r w:rsidRPr="00B14447">
        <w:rPr>
          <w:rFonts w:ascii="Times New Roman" w:hAnsi="Times New Roman"/>
          <w:i/>
          <w:iCs/>
        </w:rPr>
        <w:t>could have been</w:t>
      </w:r>
      <w:r w:rsidRPr="00B14447">
        <w:rPr>
          <w:rFonts w:ascii="Times New Roman" w:hAnsi="Times New Roman"/>
        </w:rPr>
        <w:t xml:space="preserve"> foreseen"</w:t>
      </w:r>
      <w:r w:rsidR="00E96918" w:rsidRPr="00B14447">
        <w:rPr>
          <w:rFonts w:ascii="Times New Roman" w:hAnsi="Times New Roman"/>
        </w:rPr>
        <w:t>?</w:t>
      </w:r>
      <w:r w:rsidRPr="00B14447">
        <w:rPr>
          <w:rStyle w:val="FootnoteReference"/>
          <w:rFonts w:ascii="Times New Roman" w:hAnsi="Times New Roman"/>
          <w:sz w:val="24"/>
        </w:rPr>
        <w:footnoteReference w:id="165"/>
      </w:r>
      <w:r w:rsidRPr="00B14447">
        <w:rPr>
          <w:rFonts w:ascii="Times New Roman" w:hAnsi="Times New Roman"/>
        </w:rPr>
        <w:t xml:space="preserve"> The first question concerns the scope of the undertaking. The second question concerns remoteness of damage</w:t>
      </w:r>
      <w:r w:rsidR="00B462DD" w:rsidRPr="00B14447">
        <w:rPr>
          <w:rFonts w:ascii="Times New Roman" w:hAnsi="Times New Roman"/>
        </w:rPr>
        <w:t xml:space="preserve"> including the </w:t>
      </w:r>
      <w:r w:rsidR="00F33A25" w:rsidRPr="00B14447">
        <w:rPr>
          <w:rFonts w:ascii="Times New Roman" w:hAnsi="Times New Roman"/>
        </w:rPr>
        <w:t>extent</w:t>
      </w:r>
      <w:r w:rsidR="00B462DD" w:rsidRPr="00B14447">
        <w:rPr>
          <w:rFonts w:ascii="Times New Roman" w:hAnsi="Times New Roman"/>
        </w:rPr>
        <w:t xml:space="preserve"> of the liabilit</w:t>
      </w:r>
      <w:r w:rsidR="00F33A25" w:rsidRPr="00B14447">
        <w:rPr>
          <w:rFonts w:ascii="Times New Roman" w:hAnsi="Times New Roman"/>
        </w:rPr>
        <w:t>ies</w:t>
      </w:r>
      <w:r w:rsidR="00B462DD" w:rsidRPr="00B14447">
        <w:rPr>
          <w:rFonts w:ascii="Times New Roman" w:hAnsi="Times New Roman"/>
        </w:rPr>
        <w:t xml:space="preserve"> that flow from the undertaking</w:t>
      </w:r>
      <w:r w:rsidRPr="00B14447">
        <w:rPr>
          <w:rFonts w:ascii="Times New Roman" w:hAnsi="Times New Roman"/>
        </w:rPr>
        <w:t xml:space="preserve">.    </w:t>
      </w:r>
    </w:p>
    <w:p w14:paraId="79B32B51" w14:textId="1E1DF58C" w:rsidR="0028707E"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concept of "directness" is not a verbal formula for a constraint upon the extent of liability akin to that of damage of a kind that is not </w:t>
      </w:r>
      <w:r w:rsidR="00330739" w:rsidRPr="00B14447">
        <w:rPr>
          <w:rFonts w:ascii="Times New Roman" w:hAnsi="Times New Roman"/>
        </w:rPr>
        <w:t xml:space="preserve">sufficiently </w:t>
      </w:r>
      <w:r w:rsidRPr="00B14447">
        <w:rPr>
          <w:rFonts w:ascii="Times New Roman" w:hAnsi="Times New Roman"/>
        </w:rPr>
        <w:t xml:space="preserve">foreseeable and </w:t>
      </w:r>
      <w:r w:rsidR="00327C7A" w:rsidRPr="00B14447">
        <w:rPr>
          <w:rFonts w:ascii="Times New Roman" w:hAnsi="Times New Roman"/>
        </w:rPr>
        <w:t xml:space="preserve">therefore </w:t>
      </w:r>
      <w:r w:rsidRPr="00B14447">
        <w:rPr>
          <w:rFonts w:ascii="Times New Roman" w:hAnsi="Times New Roman"/>
        </w:rPr>
        <w:t>too remote. Instead, the use of "directness" is an attempt to capture the requirement that</w:t>
      </w:r>
      <w:r w:rsidR="00A24BB7" w:rsidRPr="00B14447">
        <w:rPr>
          <w:rFonts w:ascii="Times New Roman" w:hAnsi="Times New Roman"/>
        </w:rPr>
        <w:t>, for damage to be recoverable under the undertaking,</w:t>
      </w:r>
      <w:r w:rsidRPr="00B14447">
        <w:rPr>
          <w:rFonts w:ascii="Times New Roman" w:hAnsi="Times New Roman"/>
        </w:rPr>
        <w:t xml:space="preserve"> damage caused by the grant of the injunction must fall within the scope of the undertaking.</w:t>
      </w:r>
      <w:r w:rsidRPr="00B14447">
        <w:rPr>
          <w:rStyle w:val="FootnoteReference"/>
          <w:rFonts w:ascii="Times New Roman" w:hAnsi="Times New Roman"/>
          <w:sz w:val="24"/>
        </w:rPr>
        <w:footnoteReference w:id="166"/>
      </w:r>
      <w:r w:rsidRPr="00B14447">
        <w:rPr>
          <w:rFonts w:ascii="Times New Roman" w:hAnsi="Times New Roman"/>
        </w:rPr>
        <w:t xml:space="preserve"> </w:t>
      </w:r>
    </w:p>
    <w:p w14:paraId="0E37DB2D" w14:textId="27234FE4" w:rsidR="002422EA" w:rsidRPr="00B14447" w:rsidRDefault="0028707E"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09638D" w:rsidRPr="00B14447">
        <w:rPr>
          <w:rFonts w:ascii="Times New Roman" w:hAnsi="Times New Roman"/>
        </w:rPr>
        <w:t xml:space="preserve">An example relied upon by Sanofi </w:t>
      </w:r>
      <w:r w:rsidR="00DE07DA" w:rsidRPr="00B14447">
        <w:rPr>
          <w:rFonts w:ascii="Times New Roman" w:hAnsi="Times New Roman"/>
        </w:rPr>
        <w:t>wa</w:t>
      </w:r>
      <w:r w:rsidR="0009638D" w:rsidRPr="00B14447">
        <w:rPr>
          <w:rFonts w:ascii="Times New Roman" w:hAnsi="Times New Roman"/>
        </w:rPr>
        <w:t xml:space="preserve">s </w:t>
      </w:r>
      <w:r w:rsidR="0009638D" w:rsidRPr="00B14447">
        <w:rPr>
          <w:rFonts w:ascii="Times New Roman" w:hAnsi="Times New Roman"/>
          <w:i/>
          <w:iCs/>
        </w:rPr>
        <w:t xml:space="preserve">Ex parte Hall; </w:t>
      </w:r>
      <w:r w:rsidR="00D35567" w:rsidRPr="00B14447">
        <w:rPr>
          <w:rFonts w:ascii="Times New Roman" w:hAnsi="Times New Roman"/>
          <w:i/>
          <w:iCs/>
        </w:rPr>
        <w:t>I</w:t>
      </w:r>
      <w:r w:rsidR="0009638D" w:rsidRPr="00B14447">
        <w:rPr>
          <w:rFonts w:ascii="Times New Roman" w:hAnsi="Times New Roman"/>
          <w:i/>
          <w:iCs/>
        </w:rPr>
        <w:t>n re Wood</w:t>
      </w:r>
      <w:r w:rsidR="0009638D" w:rsidRPr="00B14447">
        <w:rPr>
          <w:rStyle w:val="FootnoteReference"/>
          <w:rFonts w:ascii="Times New Roman" w:hAnsi="Times New Roman"/>
          <w:sz w:val="24"/>
        </w:rPr>
        <w:footnoteReference w:id="167"/>
      </w:r>
      <w:r w:rsidR="0009638D" w:rsidRPr="00B14447">
        <w:rPr>
          <w:rFonts w:ascii="Times New Roman" w:hAnsi="Times New Roman"/>
          <w:i/>
          <w:iCs/>
        </w:rPr>
        <w:t xml:space="preserve"> </w:t>
      </w:r>
      <w:r w:rsidR="0009638D" w:rsidRPr="00B14447">
        <w:rPr>
          <w:rFonts w:ascii="Times New Roman" w:hAnsi="Times New Roman"/>
        </w:rPr>
        <w:t>where Bowen</w:t>
      </w:r>
      <w:r w:rsidR="00DE07DA" w:rsidRPr="00B14447">
        <w:rPr>
          <w:rFonts w:ascii="Times New Roman" w:hAnsi="Times New Roman"/>
        </w:rPr>
        <w:t> </w:t>
      </w:r>
      <w:r w:rsidR="0009638D" w:rsidRPr="00B14447">
        <w:rPr>
          <w:rFonts w:ascii="Times New Roman" w:hAnsi="Times New Roman"/>
        </w:rPr>
        <w:t xml:space="preserve">LJ held that the scope of an undertaking as to damages arising from an </w:t>
      </w:r>
      <w:r w:rsidR="0009638D" w:rsidRPr="00B14447">
        <w:rPr>
          <w:rFonts w:ascii="Times New Roman" w:hAnsi="Times New Roman"/>
        </w:rPr>
        <w:lastRenderedPageBreak/>
        <w:t xml:space="preserve">interlocutory injunction restraining the </w:t>
      </w:r>
      <w:r w:rsidR="001E509C" w:rsidRPr="00B14447">
        <w:rPr>
          <w:rFonts w:ascii="Times New Roman" w:hAnsi="Times New Roman"/>
        </w:rPr>
        <w:t xml:space="preserve">claimant on the undertaking </w:t>
      </w:r>
      <w:r w:rsidR="0009638D" w:rsidRPr="00B14447">
        <w:rPr>
          <w:rFonts w:ascii="Times New Roman" w:hAnsi="Times New Roman"/>
        </w:rPr>
        <w:t xml:space="preserve">from selling </w:t>
      </w:r>
      <w:r w:rsidR="00020E24" w:rsidRPr="00B14447">
        <w:rPr>
          <w:rFonts w:ascii="Times New Roman" w:hAnsi="Times New Roman"/>
        </w:rPr>
        <w:t xml:space="preserve">specified </w:t>
      </w:r>
      <w:r w:rsidR="0009638D" w:rsidRPr="00B14447">
        <w:rPr>
          <w:rFonts w:ascii="Times New Roman" w:hAnsi="Times New Roman"/>
        </w:rPr>
        <w:t xml:space="preserve">property did not extend to losses arising from unlawful acts that </w:t>
      </w:r>
      <w:r w:rsidR="00020E24" w:rsidRPr="00B14447">
        <w:rPr>
          <w:rFonts w:ascii="Times New Roman" w:hAnsi="Times New Roman"/>
        </w:rPr>
        <w:t xml:space="preserve">prevented the claimant obtaining </w:t>
      </w:r>
      <w:r w:rsidR="0009638D" w:rsidRPr="00B14447">
        <w:rPr>
          <w:rFonts w:ascii="Times New Roman" w:hAnsi="Times New Roman"/>
        </w:rPr>
        <w:t>possession of the property.</w:t>
      </w:r>
      <w:r w:rsidR="0009638D" w:rsidRPr="00B14447">
        <w:rPr>
          <w:rFonts w:ascii="Times New Roman" w:hAnsi="Times New Roman"/>
          <w:i/>
          <w:iCs/>
        </w:rPr>
        <w:t xml:space="preserve"> </w:t>
      </w:r>
      <w:r w:rsidR="009449B9" w:rsidRPr="00B14447">
        <w:rPr>
          <w:rFonts w:ascii="Times New Roman" w:hAnsi="Times New Roman"/>
        </w:rPr>
        <w:t>Another example</w:t>
      </w:r>
      <w:r w:rsidR="00003395" w:rsidRPr="00B14447">
        <w:rPr>
          <w:rFonts w:ascii="Times New Roman" w:hAnsi="Times New Roman"/>
        </w:rPr>
        <w:t>, very closely related to the circumstances of the present case,</w:t>
      </w:r>
      <w:r w:rsidR="009449B9" w:rsidRPr="00B14447">
        <w:rPr>
          <w:rFonts w:ascii="Times New Roman" w:hAnsi="Times New Roman"/>
        </w:rPr>
        <w:t xml:space="preserve"> is </w:t>
      </w:r>
      <w:r w:rsidR="00B653AD" w:rsidRPr="00B14447">
        <w:rPr>
          <w:rFonts w:ascii="Times New Roman" w:hAnsi="Times New Roman"/>
        </w:rPr>
        <w:t xml:space="preserve">the decision of </w:t>
      </w:r>
      <w:r w:rsidR="009449B9" w:rsidRPr="00B14447">
        <w:rPr>
          <w:rFonts w:ascii="Times New Roman" w:hAnsi="Times New Roman"/>
        </w:rPr>
        <w:t>the Privy Council in</w:t>
      </w:r>
      <w:r w:rsidR="009449B9" w:rsidRPr="00B14447">
        <w:rPr>
          <w:rFonts w:ascii="Times New Roman" w:hAnsi="Times New Roman"/>
          <w:i/>
        </w:rPr>
        <w:t xml:space="preserve"> </w:t>
      </w:r>
      <w:r w:rsidR="00020E24" w:rsidRPr="00B14447">
        <w:rPr>
          <w:rFonts w:ascii="Times New Roman" w:hAnsi="Times New Roman"/>
          <w:i/>
        </w:rPr>
        <w:t>Fenris Consulting Ltd</w:t>
      </w:r>
      <w:r w:rsidR="00020E24" w:rsidRPr="00B14447">
        <w:rPr>
          <w:rFonts w:ascii="Times New Roman" w:hAnsi="Times New Roman"/>
        </w:rPr>
        <w:t xml:space="preserve"> </w:t>
      </w:r>
      <w:r w:rsidR="00020E24" w:rsidRPr="00B14447">
        <w:rPr>
          <w:rFonts w:ascii="Times New Roman" w:hAnsi="Times New Roman"/>
          <w:i/>
          <w:iCs/>
        </w:rPr>
        <w:t xml:space="preserve">v </w:t>
      </w:r>
      <w:r w:rsidR="009449B9" w:rsidRPr="00B14447">
        <w:rPr>
          <w:rFonts w:ascii="Times New Roman" w:hAnsi="Times New Roman"/>
          <w:i/>
        </w:rPr>
        <w:t>Ennismore Fund Management Ltd</w:t>
      </w:r>
      <w:r w:rsidR="00B653AD" w:rsidRPr="00B14447">
        <w:rPr>
          <w:rFonts w:ascii="Times New Roman" w:hAnsi="Times New Roman"/>
          <w:iCs/>
        </w:rPr>
        <w:t>.</w:t>
      </w:r>
      <w:r w:rsidR="000A78C4" w:rsidRPr="00B14447">
        <w:rPr>
          <w:rStyle w:val="FootnoteReference"/>
          <w:rFonts w:ascii="Times New Roman" w:hAnsi="Times New Roman"/>
          <w:iCs/>
          <w:sz w:val="24"/>
        </w:rPr>
        <w:footnoteReference w:id="168"/>
      </w:r>
      <w:r w:rsidR="00B653AD" w:rsidRPr="00B14447">
        <w:rPr>
          <w:rFonts w:ascii="Times New Roman" w:hAnsi="Times New Roman"/>
          <w:iCs/>
        </w:rPr>
        <w:t xml:space="preserve"> In that case, </w:t>
      </w:r>
      <w:r w:rsidR="0001718A" w:rsidRPr="00B14447">
        <w:rPr>
          <w:rFonts w:ascii="Times New Roman" w:hAnsi="Times New Roman"/>
          <w:iCs/>
        </w:rPr>
        <w:t xml:space="preserve">one issue was the scope of an undertaking as to damages </w:t>
      </w:r>
      <w:r w:rsidR="00600CFE" w:rsidRPr="00B14447">
        <w:rPr>
          <w:rFonts w:ascii="Times New Roman" w:hAnsi="Times New Roman"/>
          <w:iCs/>
        </w:rPr>
        <w:t xml:space="preserve">given in support of an interim freezing order where the interim order was </w:t>
      </w:r>
      <w:r w:rsidR="00ED7692" w:rsidRPr="00B14447">
        <w:rPr>
          <w:rFonts w:ascii="Times New Roman" w:hAnsi="Times New Roman"/>
          <w:iCs/>
        </w:rPr>
        <w:t xml:space="preserve">subsequently replaced by a final order and the final order was overturned on appeal. </w:t>
      </w:r>
      <w:r w:rsidR="00657B15" w:rsidRPr="00B14447">
        <w:rPr>
          <w:rFonts w:ascii="Times New Roman" w:hAnsi="Times New Roman"/>
        </w:rPr>
        <w:t>The Privy Council held that</w:t>
      </w:r>
      <w:r w:rsidR="00005D9B" w:rsidRPr="00B14447">
        <w:rPr>
          <w:rFonts w:ascii="Times New Roman" w:hAnsi="Times New Roman"/>
        </w:rPr>
        <w:t>,</w:t>
      </w:r>
      <w:r w:rsidR="00B653AD" w:rsidRPr="00B14447">
        <w:rPr>
          <w:rFonts w:ascii="Times New Roman" w:hAnsi="Times New Roman"/>
        </w:rPr>
        <w:t xml:space="preserve"> </w:t>
      </w:r>
      <w:r w:rsidR="009449B9" w:rsidRPr="00B14447">
        <w:rPr>
          <w:rFonts w:ascii="Times New Roman" w:hAnsi="Times New Roman"/>
        </w:rPr>
        <w:t xml:space="preserve">although </w:t>
      </w:r>
      <w:r w:rsidR="00B653AD" w:rsidRPr="00B14447">
        <w:rPr>
          <w:rFonts w:ascii="Times New Roman" w:hAnsi="Times New Roman"/>
        </w:rPr>
        <w:t>the final judgment</w:t>
      </w:r>
      <w:r w:rsidR="009449B9" w:rsidRPr="00B14447">
        <w:rPr>
          <w:rFonts w:ascii="Times New Roman" w:hAnsi="Times New Roman"/>
        </w:rPr>
        <w:t xml:space="preserve"> was later overturned</w:t>
      </w:r>
      <w:r w:rsidR="00B653AD" w:rsidRPr="00B14447">
        <w:rPr>
          <w:rFonts w:ascii="Times New Roman" w:hAnsi="Times New Roman"/>
        </w:rPr>
        <w:t xml:space="preserve"> on appeal</w:t>
      </w:r>
      <w:r w:rsidR="009449B9" w:rsidRPr="00B14447">
        <w:rPr>
          <w:rFonts w:ascii="Times New Roman" w:hAnsi="Times New Roman"/>
        </w:rPr>
        <w:t xml:space="preserve">, the final judgment </w:t>
      </w:r>
      <w:r w:rsidR="00657B15" w:rsidRPr="00B14447">
        <w:rPr>
          <w:rFonts w:ascii="Times New Roman" w:hAnsi="Times New Roman"/>
        </w:rPr>
        <w:t>had "</w:t>
      </w:r>
      <w:r w:rsidR="009449B9" w:rsidRPr="00B14447">
        <w:rPr>
          <w:rFonts w:ascii="Times New Roman" w:hAnsi="Times New Roman"/>
        </w:rPr>
        <w:t>totally eclipsed</w:t>
      </w:r>
      <w:r w:rsidR="00657B15" w:rsidRPr="00B14447">
        <w:rPr>
          <w:rFonts w:ascii="Times New Roman" w:hAnsi="Times New Roman"/>
        </w:rPr>
        <w:t>"</w:t>
      </w:r>
      <w:r w:rsidR="009449B9" w:rsidRPr="00B14447">
        <w:rPr>
          <w:rFonts w:ascii="Times New Roman" w:hAnsi="Times New Roman"/>
        </w:rPr>
        <w:t xml:space="preserve"> the interim </w:t>
      </w:r>
      <w:r w:rsidR="00657B15" w:rsidRPr="00B14447">
        <w:rPr>
          <w:rFonts w:ascii="Times New Roman" w:hAnsi="Times New Roman"/>
        </w:rPr>
        <w:t>freezing order</w:t>
      </w:r>
      <w:r w:rsidR="009449B9" w:rsidRPr="00B14447">
        <w:rPr>
          <w:rFonts w:ascii="Times New Roman" w:hAnsi="Times New Roman"/>
        </w:rPr>
        <w:t xml:space="preserve"> upon which the undertaking had been given.</w:t>
      </w:r>
      <w:r w:rsidR="000A78C4" w:rsidRPr="00B14447">
        <w:rPr>
          <w:rStyle w:val="FootnoteReference"/>
          <w:rFonts w:ascii="Times New Roman" w:hAnsi="Times New Roman"/>
          <w:sz w:val="24"/>
        </w:rPr>
        <w:footnoteReference w:id="169"/>
      </w:r>
      <w:r w:rsidR="00EA5C68" w:rsidRPr="00B14447">
        <w:rPr>
          <w:rFonts w:ascii="Times New Roman" w:hAnsi="Times New Roman"/>
        </w:rPr>
        <w:t xml:space="preserve"> Ultimately, i</w:t>
      </w:r>
      <w:r w:rsidR="0009638D" w:rsidRPr="00B14447">
        <w:rPr>
          <w:rFonts w:ascii="Times New Roman" w:hAnsi="Times New Roman"/>
        </w:rPr>
        <w:t>n every case, as senior counsel for Sanofi properly accepted, in the assessment of the scope of a duty arising from an undertaking the fundamental consideration</w:t>
      </w:r>
      <w:r w:rsidR="00C91885" w:rsidRPr="00B14447">
        <w:rPr>
          <w:rFonts w:ascii="Times New Roman" w:hAnsi="Times New Roman"/>
        </w:rPr>
        <w:t>s</w:t>
      </w:r>
      <w:r w:rsidR="0009638D" w:rsidRPr="00B14447">
        <w:rPr>
          <w:rFonts w:ascii="Times New Roman" w:hAnsi="Times New Roman"/>
        </w:rPr>
        <w:t xml:space="preserve"> </w:t>
      </w:r>
      <w:r w:rsidR="00C91885" w:rsidRPr="00B14447">
        <w:rPr>
          <w:rFonts w:ascii="Times New Roman" w:hAnsi="Times New Roman"/>
        </w:rPr>
        <w:t>are</w:t>
      </w:r>
      <w:r w:rsidR="0009638D" w:rsidRPr="00B14447">
        <w:rPr>
          <w:rFonts w:ascii="Times New Roman" w:hAnsi="Times New Roman"/>
        </w:rPr>
        <w:t xml:space="preserve"> the terms of the undertaking and the context in which it was given. </w:t>
      </w:r>
    </w:p>
    <w:p w14:paraId="08A8CE47" w14:textId="3E38F990" w:rsidR="0009638D" w:rsidRPr="00B14447" w:rsidRDefault="002422EA"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09638D" w:rsidRPr="00B14447">
        <w:rPr>
          <w:rFonts w:ascii="Times New Roman" w:hAnsi="Times New Roman"/>
        </w:rPr>
        <w:t>In this case, any losses suffered by the Commonwealth</w:t>
      </w:r>
      <w:r w:rsidR="00E92B51" w:rsidRPr="00B14447">
        <w:rPr>
          <w:rFonts w:ascii="Times New Roman" w:hAnsi="Times New Roman"/>
        </w:rPr>
        <w:t>,</w:t>
      </w:r>
      <w:r w:rsidR="0009638D" w:rsidRPr="00B14447">
        <w:rPr>
          <w:rFonts w:ascii="Times New Roman" w:hAnsi="Times New Roman"/>
        </w:rPr>
        <w:t xml:space="preserve"> </w:t>
      </w:r>
      <w:r w:rsidR="00E92B51" w:rsidRPr="00B14447">
        <w:rPr>
          <w:rFonts w:ascii="Times New Roman" w:hAnsi="Times New Roman"/>
        </w:rPr>
        <w:t xml:space="preserve">during the currency of the interlocutory injunction, </w:t>
      </w:r>
      <w:r w:rsidR="00D57657" w:rsidRPr="00B14447">
        <w:rPr>
          <w:rFonts w:ascii="Times New Roman" w:hAnsi="Times New Roman"/>
        </w:rPr>
        <w:t xml:space="preserve">caused by </w:t>
      </w:r>
      <w:r w:rsidR="0009638D" w:rsidRPr="00B14447">
        <w:rPr>
          <w:rFonts w:ascii="Times New Roman" w:hAnsi="Times New Roman"/>
        </w:rPr>
        <w:t xml:space="preserve">the failure of </w:t>
      </w:r>
      <w:r w:rsidR="00D57657" w:rsidRPr="00B14447">
        <w:rPr>
          <w:rFonts w:ascii="Times New Roman" w:hAnsi="Times New Roman"/>
        </w:rPr>
        <w:t>Apotex's c</w:t>
      </w:r>
      <w:r w:rsidR="0009638D" w:rsidRPr="00B14447">
        <w:rPr>
          <w:rFonts w:ascii="Times New Roman" w:hAnsi="Times New Roman"/>
        </w:rPr>
        <w:t>lopidogrel</w:t>
      </w:r>
      <w:r w:rsidR="00D57657" w:rsidRPr="00B14447">
        <w:rPr>
          <w:rFonts w:ascii="Times New Roman" w:hAnsi="Times New Roman"/>
        </w:rPr>
        <w:t xml:space="preserve"> products</w:t>
      </w:r>
      <w:r w:rsidR="0009638D" w:rsidRPr="00B14447">
        <w:rPr>
          <w:rFonts w:ascii="Times New Roman" w:hAnsi="Times New Roman"/>
        </w:rPr>
        <w:t xml:space="preserve"> to be listed on the </w:t>
      </w:r>
      <w:r w:rsidR="00D57657" w:rsidRPr="00B14447">
        <w:rPr>
          <w:rFonts w:ascii="Times New Roman" w:hAnsi="Times New Roman"/>
        </w:rPr>
        <w:t>PBS on 1 April 2008</w:t>
      </w:r>
      <w:r w:rsidR="005A2A05" w:rsidRPr="00B14447">
        <w:rPr>
          <w:rFonts w:ascii="Times New Roman" w:hAnsi="Times New Roman"/>
        </w:rPr>
        <w:t>,</w:t>
      </w:r>
      <w:r w:rsidR="0009638D" w:rsidRPr="00B14447">
        <w:rPr>
          <w:rFonts w:ascii="Times New Roman" w:hAnsi="Times New Roman"/>
        </w:rPr>
        <w:t xml:space="preserve"> were plainly within the scope of the undertaking as to damages. If, absent the interlocutory injunction, </w:t>
      </w:r>
      <w:r w:rsidR="005A2A05" w:rsidRPr="00B14447">
        <w:rPr>
          <w:rFonts w:ascii="Times New Roman" w:hAnsi="Times New Roman"/>
        </w:rPr>
        <w:t xml:space="preserve">Apotex </w:t>
      </w:r>
      <w:r w:rsidR="0009638D" w:rsidRPr="00B14447">
        <w:rPr>
          <w:rFonts w:ascii="Times New Roman" w:hAnsi="Times New Roman"/>
        </w:rPr>
        <w:t xml:space="preserve">would have applied for listing of </w:t>
      </w:r>
      <w:r w:rsidR="005A2A05" w:rsidRPr="00B14447">
        <w:rPr>
          <w:rFonts w:ascii="Times New Roman" w:hAnsi="Times New Roman"/>
        </w:rPr>
        <w:t>its c</w:t>
      </w:r>
      <w:r w:rsidR="0009638D" w:rsidRPr="00B14447">
        <w:rPr>
          <w:rFonts w:ascii="Times New Roman" w:hAnsi="Times New Roman"/>
        </w:rPr>
        <w:t xml:space="preserve">lopidogrel </w:t>
      </w:r>
      <w:r w:rsidR="005A2A05" w:rsidRPr="00B14447">
        <w:rPr>
          <w:rFonts w:ascii="Times New Roman" w:hAnsi="Times New Roman"/>
        </w:rPr>
        <w:t xml:space="preserve">products </w:t>
      </w:r>
      <w:r w:rsidR="0009638D" w:rsidRPr="00B14447">
        <w:rPr>
          <w:rFonts w:ascii="Times New Roman" w:hAnsi="Times New Roman"/>
        </w:rPr>
        <w:t xml:space="preserve">on the </w:t>
      </w:r>
      <w:r w:rsidR="005A2A05" w:rsidRPr="00B14447">
        <w:rPr>
          <w:rFonts w:ascii="Times New Roman" w:hAnsi="Times New Roman"/>
        </w:rPr>
        <w:t xml:space="preserve">PBS </w:t>
      </w:r>
      <w:r w:rsidR="0009638D" w:rsidRPr="00B14447">
        <w:rPr>
          <w:rFonts w:ascii="Times New Roman" w:hAnsi="Times New Roman"/>
        </w:rPr>
        <w:t xml:space="preserve">(which the concurrent findings below were that it would not have) then it was common ground at the time of the hearing of the interlocutory injunction that it would have been inevitable that </w:t>
      </w:r>
      <w:r w:rsidR="00B34233" w:rsidRPr="00B14447">
        <w:rPr>
          <w:rFonts w:ascii="Times New Roman" w:hAnsi="Times New Roman"/>
        </w:rPr>
        <w:t xml:space="preserve">Apotex's products </w:t>
      </w:r>
      <w:r w:rsidR="0009638D" w:rsidRPr="00B14447">
        <w:rPr>
          <w:rFonts w:ascii="Times New Roman" w:hAnsi="Times New Roman"/>
        </w:rPr>
        <w:t>would have been listed and that</w:t>
      </w:r>
      <w:r w:rsidR="00564CEA" w:rsidRPr="00B14447">
        <w:rPr>
          <w:rFonts w:ascii="Times New Roman" w:hAnsi="Times New Roman"/>
        </w:rPr>
        <w:t>, consequently,</w:t>
      </w:r>
      <w:r w:rsidR="0009638D" w:rsidRPr="00B14447">
        <w:rPr>
          <w:rFonts w:ascii="Times New Roman" w:hAnsi="Times New Roman"/>
        </w:rPr>
        <w:t xml:space="preserve"> there would </w:t>
      </w:r>
      <w:r w:rsidR="00A14BED" w:rsidRPr="00B14447">
        <w:rPr>
          <w:rFonts w:ascii="Times New Roman" w:hAnsi="Times New Roman"/>
        </w:rPr>
        <w:t xml:space="preserve">have </w:t>
      </w:r>
      <w:r w:rsidR="0009638D" w:rsidRPr="00B14447">
        <w:rPr>
          <w:rFonts w:ascii="Times New Roman" w:hAnsi="Times New Roman"/>
        </w:rPr>
        <w:t>be</w:t>
      </w:r>
      <w:r w:rsidR="00A14BED" w:rsidRPr="00B14447">
        <w:rPr>
          <w:rFonts w:ascii="Times New Roman" w:hAnsi="Times New Roman"/>
        </w:rPr>
        <w:t>en</w:t>
      </w:r>
      <w:r w:rsidR="0009638D" w:rsidRPr="00B14447">
        <w:rPr>
          <w:rFonts w:ascii="Times New Roman" w:hAnsi="Times New Roman"/>
        </w:rPr>
        <w:t xml:space="preserve"> a 12</w:t>
      </w:r>
      <w:r w:rsidR="00B34233" w:rsidRPr="00B14447">
        <w:rPr>
          <w:rFonts w:ascii="Times New Roman" w:hAnsi="Times New Roman"/>
        </w:rPr>
        <w:t>.5%</w:t>
      </w:r>
      <w:r w:rsidR="00836694" w:rsidRPr="00B14447">
        <w:rPr>
          <w:rFonts w:ascii="Times New Roman" w:hAnsi="Times New Roman"/>
        </w:rPr>
        <w:t xml:space="preserve"> </w:t>
      </w:r>
      <w:r w:rsidR="0009638D" w:rsidRPr="00B14447">
        <w:rPr>
          <w:rFonts w:ascii="Times New Roman" w:hAnsi="Times New Roman"/>
        </w:rPr>
        <w:t xml:space="preserve">price reduction </w:t>
      </w:r>
      <w:r w:rsidR="00564CEA" w:rsidRPr="00B14447">
        <w:rPr>
          <w:rFonts w:ascii="Times New Roman" w:hAnsi="Times New Roman"/>
        </w:rPr>
        <w:t>for</w:t>
      </w:r>
      <w:r w:rsidR="0009638D" w:rsidRPr="00B14447">
        <w:rPr>
          <w:rFonts w:ascii="Times New Roman" w:hAnsi="Times New Roman"/>
        </w:rPr>
        <w:t xml:space="preserve"> </w:t>
      </w:r>
      <w:r w:rsidR="00716EE7" w:rsidRPr="00B14447">
        <w:rPr>
          <w:rFonts w:ascii="Times New Roman" w:hAnsi="Times New Roman"/>
        </w:rPr>
        <w:t>c</w:t>
      </w:r>
      <w:r w:rsidR="0009638D" w:rsidRPr="00B14447">
        <w:rPr>
          <w:rFonts w:ascii="Times New Roman" w:hAnsi="Times New Roman"/>
        </w:rPr>
        <w:t>lopidogrel</w:t>
      </w:r>
      <w:r w:rsidR="00716EE7" w:rsidRPr="00B14447">
        <w:rPr>
          <w:rFonts w:ascii="Times New Roman" w:hAnsi="Times New Roman"/>
        </w:rPr>
        <w:t xml:space="preserve"> products listed on the PBS and subsidised by the Commonwealth</w:t>
      </w:r>
      <w:r w:rsidR="0009638D" w:rsidRPr="00B14447">
        <w:rPr>
          <w:rFonts w:ascii="Times New Roman" w:hAnsi="Times New Roman"/>
        </w:rPr>
        <w:t xml:space="preserve">. As Sanofi accepted in this Court, </w:t>
      </w:r>
      <w:r w:rsidR="005744AD" w:rsidRPr="00B14447">
        <w:rPr>
          <w:rFonts w:ascii="Times New Roman" w:hAnsi="Times New Roman"/>
        </w:rPr>
        <w:t>Sanofi, Apotex and Gyles J knew</w:t>
      </w:r>
      <w:r w:rsidR="0009638D" w:rsidRPr="00B14447">
        <w:rPr>
          <w:rFonts w:ascii="Times New Roman" w:hAnsi="Times New Roman"/>
        </w:rPr>
        <w:t xml:space="preserve"> that </w:t>
      </w:r>
      <w:r w:rsidR="008031F7" w:rsidRPr="00B14447">
        <w:rPr>
          <w:rFonts w:ascii="Times New Roman" w:hAnsi="Times New Roman"/>
        </w:rPr>
        <w:t xml:space="preserve">a </w:t>
      </w:r>
      <w:r w:rsidR="0009638D" w:rsidRPr="00B14447">
        <w:rPr>
          <w:rFonts w:ascii="Times New Roman" w:hAnsi="Times New Roman"/>
        </w:rPr>
        <w:t>loss that the Commonwealth might suffer</w:t>
      </w:r>
      <w:r w:rsidR="007E22B8" w:rsidRPr="00B14447">
        <w:rPr>
          <w:rFonts w:ascii="Times New Roman" w:hAnsi="Times New Roman"/>
        </w:rPr>
        <w:t xml:space="preserve"> as a result of the interlocutory injunction</w:t>
      </w:r>
      <w:r w:rsidR="0009638D" w:rsidRPr="00B14447">
        <w:rPr>
          <w:rFonts w:ascii="Times New Roman" w:hAnsi="Times New Roman"/>
        </w:rPr>
        <w:t xml:space="preserve"> would be loss arising from this price reduction. This was therefore the very loss to third parties "adversely affected" that was reasonably contemplated at the time the interlocutory injunction was granted and therefore within the scope of the undertaking. The first ground of the notice of contention must be rejected. </w:t>
      </w:r>
    </w:p>
    <w:p w14:paraId="2F34EEAF" w14:textId="5B0062D0" w:rsidR="00CB5882" w:rsidRPr="00B14447" w:rsidRDefault="0009638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7163A3" w:rsidRPr="00B14447">
        <w:rPr>
          <w:rFonts w:ascii="Times New Roman" w:hAnsi="Times New Roman"/>
        </w:rPr>
        <w:t>On the other hand,</w:t>
      </w:r>
      <w:r w:rsidR="00962738" w:rsidRPr="00B14447">
        <w:rPr>
          <w:rFonts w:ascii="Times New Roman" w:hAnsi="Times New Roman"/>
        </w:rPr>
        <w:t xml:space="preserve"> the extent of the Commonwealth's alleged losses that would fall within </w:t>
      </w:r>
      <w:r w:rsidR="007163A3" w:rsidRPr="00B14447">
        <w:rPr>
          <w:rFonts w:ascii="Times New Roman" w:hAnsi="Times New Roman"/>
        </w:rPr>
        <w:t xml:space="preserve">the scope of the undertaking is quite another question. </w:t>
      </w:r>
      <w:r w:rsidR="00681587" w:rsidRPr="00B14447">
        <w:rPr>
          <w:rFonts w:ascii="Times New Roman" w:hAnsi="Times New Roman"/>
        </w:rPr>
        <w:t>Although</w:t>
      </w:r>
      <w:r w:rsidR="009111AA" w:rsidRPr="00B14447">
        <w:rPr>
          <w:rFonts w:ascii="Times New Roman" w:hAnsi="Times New Roman"/>
        </w:rPr>
        <w:t xml:space="preserve"> it is possible to conclude on this appeal that</w:t>
      </w:r>
      <w:r w:rsidR="00AD5BD0" w:rsidRPr="00B14447">
        <w:rPr>
          <w:rFonts w:ascii="Times New Roman" w:hAnsi="Times New Roman"/>
        </w:rPr>
        <w:t xml:space="preserve"> Sanofi's submissions on </w:t>
      </w:r>
      <w:r w:rsidR="002B08A0" w:rsidRPr="00B14447">
        <w:rPr>
          <w:rFonts w:ascii="Times New Roman" w:hAnsi="Times New Roman"/>
        </w:rPr>
        <w:t xml:space="preserve">the </w:t>
      </w:r>
      <w:r w:rsidR="00AD5BD0" w:rsidRPr="00B14447">
        <w:rPr>
          <w:rFonts w:ascii="Times New Roman" w:hAnsi="Times New Roman"/>
        </w:rPr>
        <w:t xml:space="preserve">first ground of the notice of contention misconstrued the legal principles concerning </w:t>
      </w:r>
      <w:r w:rsidR="00383F0D" w:rsidRPr="00B14447">
        <w:rPr>
          <w:rFonts w:ascii="Times New Roman" w:hAnsi="Times New Roman"/>
        </w:rPr>
        <w:t xml:space="preserve">compensation on an undertaking as to damages, Sanofi's </w:t>
      </w:r>
      <w:r w:rsidRPr="00B14447">
        <w:rPr>
          <w:rFonts w:ascii="Times New Roman" w:hAnsi="Times New Roman"/>
        </w:rPr>
        <w:t xml:space="preserve">third ground of </w:t>
      </w:r>
      <w:r w:rsidR="008A6DA4" w:rsidRPr="00B14447">
        <w:rPr>
          <w:rFonts w:ascii="Times New Roman" w:hAnsi="Times New Roman"/>
        </w:rPr>
        <w:t>its</w:t>
      </w:r>
      <w:r w:rsidRPr="00B14447">
        <w:rPr>
          <w:rFonts w:ascii="Times New Roman" w:hAnsi="Times New Roman"/>
        </w:rPr>
        <w:t xml:space="preserve"> notice of contention </w:t>
      </w:r>
      <w:r w:rsidR="008A6DA4" w:rsidRPr="00B14447">
        <w:rPr>
          <w:rFonts w:ascii="Times New Roman" w:hAnsi="Times New Roman"/>
        </w:rPr>
        <w:t xml:space="preserve">illustrates </w:t>
      </w:r>
      <w:r w:rsidR="00312BEF" w:rsidRPr="00B14447">
        <w:rPr>
          <w:rFonts w:ascii="Times New Roman" w:hAnsi="Times New Roman"/>
        </w:rPr>
        <w:t>a</w:t>
      </w:r>
      <w:r w:rsidR="004B5675" w:rsidRPr="00B14447">
        <w:rPr>
          <w:rFonts w:ascii="Times New Roman" w:hAnsi="Times New Roman"/>
        </w:rPr>
        <w:t xml:space="preserve"> further</w:t>
      </w:r>
      <w:r w:rsidR="00625C50" w:rsidRPr="00B14447">
        <w:rPr>
          <w:rFonts w:ascii="Times New Roman" w:hAnsi="Times New Roman"/>
        </w:rPr>
        <w:t xml:space="preserve"> difficulty for this Court in </w:t>
      </w:r>
      <w:r w:rsidR="00BC65DA" w:rsidRPr="00B14447">
        <w:rPr>
          <w:rFonts w:ascii="Times New Roman" w:hAnsi="Times New Roman"/>
        </w:rPr>
        <w:t xml:space="preserve">re-assessing </w:t>
      </w:r>
      <w:r w:rsidR="00A55221" w:rsidRPr="00B14447">
        <w:rPr>
          <w:rFonts w:ascii="Times New Roman" w:hAnsi="Times New Roman"/>
        </w:rPr>
        <w:t>fact</w:t>
      </w:r>
      <w:r w:rsidR="00312BEF" w:rsidRPr="00B14447">
        <w:rPr>
          <w:rFonts w:ascii="Times New Roman" w:hAnsi="Times New Roman"/>
        </w:rPr>
        <w:t>s</w:t>
      </w:r>
      <w:r w:rsidR="004B5675" w:rsidRPr="00B14447">
        <w:rPr>
          <w:rFonts w:ascii="Times New Roman" w:hAnsi="Times New Roman"/>
        </w:rPr>
        <w:t xml:space="preserve">. That </w:t>
      </w:r>
      <w:r w:rsidR="004B5675" w:rsidRPr="00B14447">
        <w:rPr>
          <w:rFonts w:ascii="Times New Roman" w:hAnsi="Times New Roman"/>
        </w:rPr>
        <w:lastRenderedPageBreak/>
        <w:t xml:space="preserve">further difficulty is the </w:t>
      </w:r>
      <w:r w:rsidR="001749BC" w:rsidRPr="00B14447">
        <w:rPr>
          <w:rFonts w:ascii="Times New Roman" w:hAnsi="Times New Roman"/>
        </w:rPr>
        <w:t>problems in assessing facts</w:t>
      </w:r>
      <w:r w:rsidR="00A55221" w:rsidRPr="00B14447">
        <w:rPr>
          <w:rFonts w:ascii="Times New Roman" w:hAnsi="Times New Roman"/>
        </w:rPr>
        <w:t xml:space="preserve"> </w:t>
      </w:r>
      <w:r w:rsidR="00BA6637" w:rsidRPr="00B14447">
        <w:rPr>
          <w:rFonts w:ascii="Times New Roman" w:hAnsi="Times New Roman"/>
        </w:rPr>
        <w:t xml:space="preserve">when only part of the issues </w:t>
      </w:r>
      <w:r w:rsidR="001749BC" w:rsidRPr="00B14447">
        <w:rPr>
          <w:rFonts w:ascii="Times New Roman" w:hAnsi="Times New Roman"/>
        </w:rPr>
        <w:t xml:space="preserve">in dispute </w:t>
      </w:r>
      <w:r w:rsidR="00BA6637" w:rsidRPr="00B14447">
        <w:rPr>
          <w:rFonts w:ascii="Times New Roman" w:hAnsi="Times New Roman"/>
        </w:rPr>
        <w:t>are before this Court</w:t>
      </w:r>
      <w:r w:rsidRPr="00B14447">
        <w:rPr>
          <w:rFonts w:ascii="Times New Roman" w:hAnsi="Times New Roman"/>
        </w:rPr>
        <w:t xml:space="preserve">. </w:t>
      </w:r>
    </w:p>
    <w:p w14:paraId="4E5B2EE9" w14:textId="6B6980D6" w:rsidR="00C5751D" w:rsidRPr="00B14447" w:rsidRDefault="00CB5882"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C5751D" w:rsidRPr="00B14447">
        <w:rPr>
          <w:rFonts w:ascii="Times New Roman" w:hAnsi="Times New Roman"/>
        </w:rPr>
        <w:t xml:space="preserve">The third ground of contention </w:t>
      </w:r>
      <w:r w:rsidR="00C2093D" w:rsidRPr="00B14447">
        <w:rPr>
          <w:rFonts w:ascii="Times New Roman" w:hAnsi="Times New Roman"/>
        </w:rPr>
        <w:t>was</w:t>
      </w:r>
      <w:r w:rsidR="00C5751D" w:rsidRPr="00B14447">
        <w:rPr>
          <w:rFonts w:ascii="Times New Roman" w:hAnsi="Times New Roman"/>
        </w:rPr>
        <w:t xml:space="preserve"> not decided by the Full Court, </w:t>
      </w:r>
      <w:r w:rsidR="00CC752B" w:rsidRPr="00B14447">
        <w:rPr>
          <w:rFonts w:ascii="Times New Roman" w:hAnsi="Times New Roman"/>
        </w:rPr>
        <w:t xml:space="preserve">and </w:t>
      </w:r>
      <w:r w:rsidR="00C5751D" w:rsidRPr="00B14447">
        <w:rPr>
          <w:rFonts w:ascii="Times New Roman" w:hAnsi="Times New Roman"/>
        </w:rPr>
        <w:t>is a particular factual application of the first ground concerning part of the Commonwealth's</w:t>
      </w:r>
      <w:r w:rsidR="00D5681D" w:rsidRPr="00B14447">
        <w:rPr>
          <w:rFonts w:ascii="Times New Roman" w:hAnsi="Times New Roman"/>
        </w:rPr>
        <w:t xml:space="preserve"> alleged</w:t>
      </w:r>
      <w:r w:rsidR="00C5751D" w:rsidRPr="00B14447">
        <w:rPr>
          <w:rFonts w:ascii="Times New Roman" w:hAnsi="Times New Roman"/>
        </w:rPr>
        <w:t xml:space="preserve"> losses that </w:t>
      </w:r>
      <w:r w:rsidR="004E3FA6" w:rsidRPr="00B14447">
        <w:rPr>
          <w:rFonts w:ascii="Times New Roman" w:hAnsi="Times New Roman"/>
        </w:rPr>
        <w:t xml:space="preserve">are </w:t>
      </w:r>
      <w:r w:rsidR="00C5751D" w:rsidRPr="00B14447">
        <w:rPr>
          <w:rFonts w:ascii="Times New Roman" w:hAnsi="Times New Roman"/>
        </w:rPr>
        <w:t xml:space="preserve">said </w:t>
      </w:r>
      <w:r w:rsidR="004E3FA6" w:rsidRPr="00B14447">
        <w:rPr>
          <w:rFonts w:ascii="Times New Roman" w:hAnsi="Times New Roman"/>
        </w:rPr>
        <w:t xml:space="preserve">by Sanofi </w:t>
      </w:r>
      <w:r w:rsidR="00C5751D" w:rsidRPr="00B14447">
        <w:rPr>
          <w:rFonts w:ascii="Times New Roman" w:hAnsi="Times New Roman"/>
        </w:rPr>
        <w:t>not to flow "directly" from the interlocutory injunction. The third ground asserts that approximately $274</w:t>
      </w:r>
      <w:r w:rsidR="00D5681D" w:rsidRPr="00B14447">
        <w:rPr>
          <w:rFonts w:ascii="Times New Roman" w:hAnsi="Times New Roman"/>
        </w:rPr>
        <w:t> </w:t>
      </w:r>
      <w:r w:rsidR="00C5751D" w:rsidRPr="00B14447">
        <w:rPr>
          <w:rFonts w:ascii="Times New Roman" w:hAnsi="Times New Roman"/>
        </w:rPr>
        <w:t>million of the Commonwealth's alleged $325</w:t>
      </w:r>
      <w:r w:rsidR="00D5681D" w:rsidRPr="00B14447">
        <w:rPr>
          <w:rFonts w:ascii="Times New Roman" w:hAnsi="Times New Roman"/>
        </w:rPr>
        <w:t> </w:t>
      </w:r>
      <w:r w:rsidR="00C5751D" w:rsidRPr="00B14447">
        <w:rPr>
          <w:rFonts w:ascii="Times New Roman" w:hAnsi="Times New Roman"/>
        </w:rPr>
        <w:t>million loss did not flow directly from the interlocutory injunction</w:t>
      </w:r>
      <w:r w:rsidR="00434270" w:rsidRPr="00B14447">
        <w:rPr>
          <w:rFonts w:ascii="Times New Roman" w:hAnsi="Times New Roman"/>
        </w:rPr>
        <w:t>, being</w:t>
      </w:r>
      <w:r w:rsidR="00C5751D" w:rsidRPr="00B14447">
        <w:rPr>
          <w:rFonts w:ascii="Times New Roman" w:hAnsi="Times New Roman"/>
        </w:rPr>
        <w:t>: (i)</w:t>
      </w:r>
      <w:r w:rsidR="00D5681D" w:rsidRPr="00B14447">
        <w:rPr>
          <w:rFonts w:ascii="Times New Roman" w:hAnsi="Times New Roman"/>
        </w:rPr>
        <w:t> </w:t>
      </w:r>
      <w:r w:rsidR="00C5751D" w:rsidRPr="00B14447">
        <w:rPr>
          <w:rFonts w:ascii="Times New Roman" w:hAnsi="Times New Roman"/>
        </w:rPr>
        <w:t>asserted loss of approximately $216</w:t>
      </w:r>
      <w:r w:rsidR="00D5681D" w:rsidRPr="00B14447">
        <w:rPr>
          <w:rFonts w:ascii="Times New Roman" w:hAnsi="Times New Roman"/>
        </w:rPr>
        <w:t> </w:t>
      </w:r>
      <w:r w:rsidR="00C5751D" w:rsidRPr="00B14447">
        <w:rPr>
          <w:rFonts w:ascii="Times New Roman" w:hAnsi="Times New Roman"/>
        </w:rPr>
        <w:t xml:space="preserve">million from price disclosure price reductions </w:t>
      </w:r>
      <w:r w:rsidR="00765737" w:rsidRPr="00B14447">
        <w:rPr>
          <w:rFonts w:ascii="Times New Roman" w:hAnsi="Times New Roman"/>
        </w:rPr>
        <w:t xml:space="preserve">in relation </w:t>
      </w:r>
      <w:r w:rsidR="00C5751D" w:rsidRPr="00B14447">
        <w:rPr>
          <w:rFonts w:ascii="Times New Roman" w:hAnsi="Times New Roman"/>
        </w:rPr>
        <w:t xml:space="preserve">to </w:t>
      </w:r>
      <w:r w:rsidR="00765737" w:rsidRPr="00B14447">
        <w:rPr>
          <w:rFonts w:ascii="Times New Roman" w:hAnsi="Times New Roman"/>
        </w:rPr>
        <w:t xml:space="preserve">PBS listed </w:t>
      </w:r>
      <w:r w:rsidR="00C5751D" w:rsidRPr="00B14447">
        <w:rPr>
          <w:rFonts w:ascii="Times New Roman" w:hAnsi="Times New Roman"/>
        </w:rPr>
        <w:t xml:space="preserve">clopidogrel </w:t>
      </w:r>
      <w:r w:rsidR="00765737" w:rsidRPr="00B14447">
        <w:rPr>
          <w:rFonts w:ascii="Times New Roman" w:hAnsi="Times New Roman"/>
        </w:rPr>
        <w:t xml:space="preserve">products </w:t>
      </w:r>
      <w:r w:rsidR="00C5751D" w:rsidRPr="00B14447">
        <w:rPr>
          <w:rFonts w:ascii="Times New Roman" w:hAnsi="Times New Roman"/>
        </w:rPr>
        <w:t xml:space="preserve">that </w:t>
      </w:r>
      <w:r w:rsidR="00C95C6B" w:rsidRPr="00B14447">
        <w:rPr>
          <w:rFonts w:ascii="Times New Roman" w:hAnsi="Times New Roman"/>
        </w:rPr>
        <w:t xml:space="preserve">the Commonwealth says </w:t>
      </w:r>
      <w:r w:rsidR="00C5751D" w:rsidRPr="00B14447">
        <w:rPr>
          <w:rFonts w:ascii="Times New Roman" w:hAnsi="Times New Roman"/>
        </w:rPr>
        <w:t xml:space="preserve">would have occurred under the </w:t>
      </w:r>
      <w:r w:rsidR="00C5751D" w:rsidRPr="00B14447">
        <w:rPr>
          <w:rFonts w:ascii="Times New Roman" w:hAnsi="Times New Roman"/>
          <w:i/>
          <w:iCs/>
        </w:rPr>
        <w:t xml:space="preserve">National Health Act 1953 </w:t>
      </w:r>
      <w:r w:rsidR="00C5751D" w:rsidRPr="00B14447">
        <w:rPr>
          <w:rFonts w:ascii="Times New Roman" w:hAnsi="Times New Roman"/>
        </w:rPr>
        <w:t>(Cth); and (ii)</w:t>
      </w:r>
      <w:r w:rsidR="00D5681D" w:rsidRPr="00B14447">
        <w:rPr>
          <w:rFonts w:ascii="Times New Roman" w:hAnsi="Times New Roman"/>
        </w:rPr>
        <w:t> </w:t>
      </w:r>
      <w:r w:rsidR="00C5751D" w:rsidRPr="00B14447">
        <w:rPr>
          <w:rFonts w:ascii="Times New Roman" w:hAnsi="Times New Roman"/>
        </w:rPr>
        <w:t xml:space="preserve">asserted loss of </w:t>
      </w:r>
      <w:r w:rsidR="0097543E" w:rsidRPr="00B14447">
        <w:rPr>
          <w:rFonts w:ascii="Times New Roman" w:hAnsi="Times New Roman"/>
        </w:rPr>
        <w:t xml:space="preserve">approximately </w:t>
      </w:r>
      <w:r w:rsidR="00C5751D" w:rsidRPr="00B14447">
        <w:rPr>
          <w:rFonts w:ascii="Times New Roman" w:hAnsi="Times New Roman"/>
        </w:rPr>
        <w:t>$58</w:t>
      </w:r>
      <w:r w:rsidR="00D5681D" w:rsidRPr="00B14447">
        <w:rPr>
          <w:rFonts w:ascii="Times New Roman" w:hAnsi="Times New Roman"/>
        </w:rPr>
        <w:t> </w:t>
      </w:r>
      <w:r w:rsidR="00C5751D" w:rsidRPr="00B14447">
        <w:rPr>
          <w:rFonts w:ascii="Times New Roman" w:hAnsi="Times New Roman"/>
        </w:rPr>
        <w:t xml:space="preserve">million from the reduction in the price of combination products (clopidogrel </w:t>
      </w:r>
      <w:r w:rsidR="000032F6" w:rsidRPr="00B14447">
        <w:rPr>
          <w:rFonts w:ascii="Times New Roman" w:hAnsi="Times New Roman"/>
        </w:rPr>
        <w:t xml:space="preserve">with </w:t>
      </w:r>
      <w:r w:rsidR="00C5751D" w:rsidRPr="00B14447">
        <w:rPr>
          <w:rFonts w:ascii="Times New Roman" w:hAnsi="Times New Roman"/>
        </w:rPr>
        <w:t xml:space="preserve">aspirin) that would have occurred due to the </w:t>
      </w:r>
      <w:r w:rsidR="0031397B" w:rsidRPr="00B14447">
        <w:rPr>
          <w:rFonts w:ascii="Times New Roman" w:hAnsi="Times New Roman"/>
        </w:rPr>
        <w:t>Pharmaceutical Benefits Advisory Committee recommendation that the price of the combination products be no higher than the price of PBS listed clopidogrel products</w:t>
      </w:r>
      <w:r w:rsidR="00C5751D" w:rsidRPr="00B14447">
        <w:rPr>
          <w:rFonts w:ascii="Times New Roman" w:hAnsi="Times New Roman"/>
        </w:rPr>
        <w:t xml:space="preserve">. </w:t>
      </w:r>
    </w:p>
    <w:p w14:paraId="0185C8DD" w14:textId="60EEC926" w:rsidR="005B2F8D" w:rsidRPr="00B14447" w:rsidRDefault="00C5751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8611EE" w:rsidRPr="00B14447">
        <w:rPr>
          <w:rFonts w:ascii="Times New Roman" w:hAnsi="Times New Roman"/>
        </w:rPr>
        <w:t>As the Commonwealth succinctly expressed the point, t</w:t>
      </w:r>
      <w:r w:rsidR="0009638D" w:rsidRPr="00B14447">
        <w:rPr>
          <w:rFonts w:ascii="Times New Roman" w:hAnsi="Times New Roman"/>
        </w:rPr>
        <w:t>he third ground</w:t>
      </w:r>
      <w:r w:rsidR="00CB5882" w:rsidRPr="00B14447">
        <w:rPr>
          <w:rFonts w:ascii="Times New Roman" w:hAnsi="Times New Roman"/>
        </w:rPr>
        <w:t xml:space="preserve"> of the notice of contention</w:t>
      </w:r>
      <w:r w:rsidR="0009638D" w:rsidRPr="00B14447">
        <w:rPr>
          <w:rFonts w:ascii="Times New Roman" w:hAnsi="Times New Roman"/>
        </w:rPr>
        <w:t xml:space="preserve"> </w:t>
      </w:r>
      <w:r w:rsidR="0067358A" w:rsidRPr="00B14447">
        <w:rPr>
          <w:rFonts w:ascii="Times New Roman" w:hAnsi="Times New Roman"/>
        </w:rPr>
        <w:t xml:space="preserve">was </w:t>
      </w:r>
      <w:r w:rsidR="0009638D" w:rsidRPr="00B14447">
        <w:rPr>
          <w:rFonts w:ascii="Times New Roman" w:hAnsi="Times New Roman"/>
        </w:rPr>
        <w:t>a submission that "two portions of the Commonwealth's [alleged] loss</w:t>
      </w:r>
      <w:r w:rsidR="001147B1" w:rsidRPr="00B14447">
        <w:rPr>
          <w:rFonts w:ascii="Times New Roman" w:hAnsi="Times New Roman"/>
        </w:rPr>
        <w:t xml:space="preserve">" </w:t>
      </w:r>
      <w:r w:rsidR="00E6571F" w:rsidRPr="00B14447">
        <w:rPr>
          <w:rFonts w:ascii="Times New Roman" w:hAnsi="Times New Roman"/>
        </w:rPr>
        <w:t>were too "factually attenuated" to permit recovery</w:t>
      </w:r>
      <w:r w:rsidR="0009638D" w:rsidRPr="00B14447">
        <w:rPr>
          <w:rFonts w:ascii="Times New Roman" w:hAnsi="Times New Roman"/>
        </w:rPr>
        <w:t xml:space="preserve">. </w:t>
      </w:r>
      <w:r w:rsidR="009008C4" w:rsidRPr="00B14447">
        <w:rPr>
          <w:rFonts w:ascii="Times New Roman" w:hAnsi="Times New Roman"/>
        </w:rPr>
        <w:t xml:space="preserve">The Commonwealth's alleged loss from these two portions were said to be: </w:t>
      </w:r>
      <w:r w:rsidR="0027405C" w:rsidRPr="00B14447">
        <w:rPr>
          <w:rFonts w:ascii="Times New Roman" w:hAnsi="Times New Roman"/>
        </w:rPr>
        <w:t>(i)</w:t>
      </w:r>
      <w:r w:rsidR="008B2E43" w:rsidRPr="00B14447">
        <w:rPr>
          <w:rFonts w:ascii="Times New Roman" w:hAnsi="Times New Roman"/>
        </w:rPr>
        <w:t> </w:t>
      </w:r>
      <w:r w:rsidR="009008C4" w:rsidRPr="00B14447">
        <w:rPr>
          <w:rFonts w:ascii="Times New Roman" w:hAnsi="Times New Roman"/>
        </w:rPr>
        <w:t>the loss of price disclosure price reductions that would have occurred between 1</w:t>
      </w:r>
      <w:r w:rsidR="008B2E43" w:rsidRPr="00B14447">
        <w:rPr>
          <w:rFonts w:ascii="Times New Roman" w:hAnsi="Times New Roman"/>
        </w:rPr>
        <w:t> </w:t>
      </w:r>
      <w:r w:rsidR="009008C4" w:rsidRPr="00B14447">
        <w:rPr>
          <w:rFonts w:ascii="Times New Roman" w:hAnsi="Times New Roman"/>
        </w:rPr>
        <w:t>April 2010 and 31</w:t>
      </w:r>
      <w:r w:rsidR="008B2E43" w:rsidRPr="00B14447">
        <w:rPr>
          <w:rFonts w:ascii="Times New Roman" w:hAnsi="Times New Roman"/>
        </w:rPr>
        <w:t> </w:t>
      </w:r>
      <w:r w:rsidR="009008C4" w:rsidRPr="00B14447">
        <w:rPr>
          <w:rFonts w:ascii="Times New Roman" w:hAnsi="Times New Roman"/>
        </w:rPr>
        <w:t>December 2014</w:t>
      </w:r>
      <w:r w:rsidR="0027405C" w:rsidRPr="00B14447">
        <w:rPr>
          <w:rFonts w:ascii="Times New Roman" w:hAnsi="Times New Roman"/>
        </w:rPr>
        <w:t>;</w:t>
      </w:r>
      <w:r w:rsidR="009008C4" w:rsidRPr="00B14447">
        <w:rPr>
          <w:rFonts w:ascii="Times New Roman" w:hAnsi="Times New Roman"/>
        </w:rPr>
        <w:t xml:space="preserve"> and</w:t>
      </w:r>
      <w:r w:rsidR="0027405C" w:rsidRPr="00B14447">
        <w:rPr>
          <w:rFonts w:ascii="Times New Roman" w:hAnsi="Times New Roman"/>
        </w:rPr>
        <w:t xml:space="preserve"> (ii)</w:t>
      </w:r>
      <w:r w:rsidR="008B2E43" w:rsidRPr="00B14447">
        <w:rPr>
          <w:rFonts w:ascii="Times New Roman" w:hAnsi="Times New Roman"/>
        </w:rPr>
        <w:t> </w:t>
      </w:r>
      <w:r w:rsidR="009008C4" w:rsidRPr="00B14447">
        <w:rPr>
          <w:rFonts w:ascii="Times New Roman" w:hAnsi="Times New Roman"/>
        </w:rPr>
        <w:t>payments made by the Commonwealth in respect of combination products between 1</w:t>
      </w:r>
      <w:r w:rsidR="008B2E43" w:rsidRPr="00B14447">
        <w:rPr>
          <w:rFonts w:ascii="Times New Roman" w:hAnsi="Times New Roman"/>
        </w:rPr>
        <w:t> </w:t>
      </w:r>
      <w:r w:rsidR="009008C4" w:rsidRPr="00B14447">
        <w:rPr>
          <w:rFonts w:ascii="Times New Roman" w:hAnsi="Times New Roman"/>
        </w:rPr>
        <w:t>December 2009 and 31</w:t>
      </w:r>
      <w:r w:rsidR="008B2E43" w:rsidRPr="00B14447">
        <w:rPr>
          <w:rFonts w:ascii="Times New Roman" w:hAnsi="Times New Roman"/>
        </w:rPr>
        <w:t> </w:t>
      </w:r>
      <w:r w:rsidR="009008C4" w:rsidRPr="00B14447">
        <w:rPr>
          <w:rFonts w:ascii="Times New Roman" w:hAnsi="Times New Roman"/>
        </w:rPr>
        <w:t>March 2016.</w:t>
      </w:r>
      <w:r w:rsidR="009008C4" w:rsidRPr="00B14447">
        <w:rPr>
          <w:rStyle w:val="FootnoteReference"/>
          <w:rFonts w:ascii="Times New Roman" w:hAnsi="Times New Roman"/>
          <w:sz w:val="24"/>
        </w:rPr>
        <w:footnoteReference w:id="170"/>
      </w:r>
      <w:r w:rsidR="009008C4" w:rsidRPr="00B14447">
        <w:rPr>
          <w:rFonts w:ascii="Times New Roman" w:hAnsi="Times New Roman"/>
        </w:rPr>
        <w:t xml:space="preserve"> </w:t>
      </w:r>
      <w:r w:rsidR="00F7781E" w:rsidRPr="00B14447">
        <w:rPr>
          <w:rFonts w:ascii="Times New Roman" w:hAnsi="Times New Roman"/>
        </w:rPr>
        <w:t>Sanofi's submissions on</w:t>
      </w:r>
      <w:r w:rsidR="009008C4" w:rsidRPr="00B14447">
        <w:rPr>
          <w:rFonts w:ascii="Times New Roman" w:hAnsi="Times New Roman"/>
        </w:rPr>
        <w:t xml:space="preserve"> the</w:t>
      </w:r>
      <w:r w:rsidR="00F7781E" w:rsidRPr="00B14447">
        <w:rPr>
          <w:rFonts w:ascii="Times New Roman" w:hAnsi="Times New Roman"/>
        </w:rPr>
        <w:t xml:space="preserve"> "indirectness" </w:t>
      </w:r>
      <w:r w:rsidR="009008C4" w:rsidRPr="00B14447">
        <w:rPr>
          <w:rFonts w:ascii="Times New Roman" w:hAnsi="Times New Roman"/>
        </w:rPr>
        <w:t xml:space="preserve">of these two portions of alleged loss </w:t>
      </w:r>
      <w:r w:rsidR="00870E54" w:rsidRPr="00B14447">
        <w:rPr>
          <w:rFonts w:ascii="Times New Roman" w:hAnsi="Times New Roman"/>
        </w:rPr>
        <w:t>w</w:t>
      </w:r>
      <w:r w:rsidR="00150AED" w:rsidRPr="00B14447">
        <w:rPr>
          <w:rFonts w:ascii="Times New Roman" w:hAnsi="Times New Roman"/>
        </w:rPr>
        <w:t>ere sometimes</w:t>
      </w:r>
      <w:r w:rsidR="00870E54" w:rsidRPr="00B14447">
        <w:rPr>
          <w:rFonts w:ascii="Times New Roman" w:hAnsi="Times New Roman"/>
        </w:rPr>
        <w:t xml:space="preserve"> expressed in terms that suggested that </w:t>
      </w:r>
      <w:r w:rsidR="00F7781E" w:rsidRPr="00B14447">
        <w:rPr>
          <w:rFonts w:ascii="Times New Roman" w:hAnsi="Times New Roman"/>
        </w:rPr>
        <w:t xml:space="preserve">these portions of the alleged loss were </w:t>
      </w:r>
      <w:r w:rsidR="000539FF" w:rsidRPr="00B14447">
        <w:rPr>
          <w:rFonts w:ascii="Times New Roman" w:hAnsi="Times New Roman"/>
        </w:rPr>
        <w:t xml:space="preserve">too remote. </w:t>
      </w:r>
      <w:r w:rsidR="00E264E6" w:rsidRPr="00B14447">
        <w:rPr>
          <w:rFonts w:ascii="Times New Roman" w:hAnsi="Times New Roman"/>
        </w:rPr>
        <w:t>But,</w:t>
      </w:r>
      <w:r w:rsidR="00150AED" w:rsidRPr="00B14447">
        <w:rPr>
          <w:rFonts w:ascii="Times New Roman" w:hAnsi="Times New Roman"/>
        </w:rPr>
        <w:t xml:space="preserve"> however expressed,</w:t>
      </w:r>
      <w:r w:rsidR="00E264E6" w:rsidRPr="00B14447">
        <w:rPr>
          <w:rFonts w:ascii="Times New Roman" w:hAnsi="Times New Roman"/>
        </w:rPr>
        <w:t xml:space="preserve"> </w:t>
      </w:r>
      <w:r w:rsidR="008F3484" w:rsidRPr="00B14447">
        <w:rPr>
          <w:rFonts w:ascii="Times New Roman" w:hAnsi="Times New Roman"/>
        </w:rPr>
        <w:t xml:space="preserve">Sanofi's third ground of contention requires an anterior issue to be addressed. That anterior issue is whether </w:t>
      </w:r>
      <w:r w:rsidR="00E632E2" w:rsidRPr="00B14447">
        <w:rPr>
          <w:rFonts w:ascii="Times New Roman" w:hAnsi="Times New Roman"/>
        </w:rPr>
        <w:t>the</w:t>
      </w:r>
      <w:r w:rsidR="003B6B40" w:rsidRPr="00B14447">
        <w:rPr>
          <w:rFonts w:ascii="Times New Roman" w:hAnsi="Times New Roman"/>
        </w:rPr>
        <w:t xml:space="preserve"> two portions of </w:t>
      </w:r>
      <w:r w:rsidR="00E7356E" w:rsidRPr="00B14447">
        <w:rPr>
          <w:rFonts w:ascii="Times New Roman" w:hAnsi="Times New Roman"/>
        </w:rPr>
        <w:t xml:space="preserve">alleged </w:t>
      </w:r>
      <w:r w:rsidR="003414D4" w:rsidRPr="00B14447">
        <w:rPr>
          <w:rFonts w:ascii="Times New Roman" w:hAnsi="Times New Roman"/>
        </w:rPr>
        <w:t xml:space="preserve">loss </w:t>
      </w:r>
      <w:r w:rsidR="003B6B40" w:rsidRPr="00B14447">
        <w:rPr>
          <w:rFonts w:ascii="Times New Roman" w:hAnsi="Times New Roman"/>
        </w:rPr>
        <w:t>were within the scope of the</w:t>
      </w:r>
      <w:r w:rsidR="000539FF" w:rsidRPr="00B14447">
        <w:rPr>
          <w:rFonts w:ascii="Times New Roman" w:hAnsi="Times New Roman"/>
        </w:rPr>
        <w:t xml:space="preserve"> </w:t>
      </w:r>
      <w:r w:rsidR="00E632E2" w:rsidRPr="00B14447">
        <w:rPr>
          <w:rFonts w:ascii="Times New Roman" w:hAnsi="Times New Roman"/>
        </w:rPr>
        <w:t>undertaking as to damages</w:t>
      </w:r>
      <w:r w:rsidR="003B6B40" w:rsidRPr="00B14447">
        <w:rPr>
          <w:rFonts w:ascii="Times New Roman" w:hAnsi="Times New Roman"/>
        </w:rPr>
        <w:t>. If they were not within the scope of the undertaking</w:t>
      </w:r>
      <w:r w:rsidR="00A62970" w:rsidRPr="00B14447">
        <w:rPr>
          <w:rFonts w:ascii="Times New Roman" w:hAnsi="Times New Roman"/>
        </w:rPr>
        <w:t>,</w:t>
      </w:r>
      <w:r w:rsidR="003B6B40" w:rsidRPr="00B14447">
        <w:rPr>
          <w:rFonts w:ascii="Times New Roman" w:hAnsi="Times New Roman"/>
        </w:rPr>
        <w:t xml:space="preserve"> then th</w:t>
      </w:r>
      <w:r w:rsidR="001656E6" w:rsidRPr="00B14447">
        <w:rPr>
          <w:rFonts w:ascii="Times New Roman" w:hAnsi="Times New Roman"/>
        </w:rPr>
        <w:t>e issue of whether they would involve a liability that is too remote from the undertaking would never be reached.</w:t>
      </w:r>
      <w:r w:rsidR="00E632E2" w:rsidRPr="00B14447">
        <w:rPr>
          <w:rFonts w:ascii="Times New Roman" w:hAnsi="Times New Roman"/>
        </w:rPr>
        <w:t xml:space="preserve"> </w:t>
      </w:r>
    </w:p>
    <w:p w14:paraId="6EA0EB14" w14:textId="23E2D524" w:rsidR="008F5E5C" w:rsidRPr="00B14447" w:rsidRDefault="005B2F8D"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E632E2" w:rsidRPr="00B14447">
        <w:rPr>
          <w:rFonts w:ascii="Times New Roman" w:hAnsi="Times New Roman"/>
        </w:rPr>
        <w:t>As</w:t>
      </w:r>
      <w:r w:rsidR="0056294D" w:rsidRPr="00B14447">
        <w:rPr>
          <w:rFonts w:ascii="Times New Roman" w:hAnsi="Times New Roman"/>
        </w:rPr>
        <w:t xml:space="preserve"> </w:t>
      </w:r>
      <w:r w:rsidR="0009638D" w:rsidRPr="00B14447">
        <w:rPr>
          <w:rFonts w:ascii="Times New Roman" w:hAnsi="Times New Roman"/>
        </w:rPr>
        <w:t>the Commonwealth</w:t>
      </w:r>
      <w:r w:rsidR="00992204" w:rsidRPr="00B14447">
        <w:rPr>
          <w:rFonts w:ascii="Times New Roman" w:hAnsi="Times New Roman"/>
        </w:rPr>
        <w:t xml:space="preserve"> </w:t>
      </w:r>
      <w:r w:rsidR="0009638D" w:rsidRPr="00B14447">
        <w:rPr>
          <w:rFonts w:ascii="Times New Roman" w:hAnsi="Times New Roman"/>
        </w:rPr>
        <w:t xml:space="preserve">correctly </w:t>
      </w:r>
      <w:r w:rsidR="00E65AAF" w:rsidRPr="00B14447">
        <w:rPr>
          <w:rFonts w:ascii="Times New Roman" w:hAnsi="Times New Roman"/>
        </w:rPr>
        <w:t>accepted</w:t>
      </w:r>
      <w:r w:rsidR="0009638D" w:rsidRPr="00B14447">
        <w:rPr>
          <w:rFonts w:ascii="Times New Roman" w:hAnsi="Times New Roman"/>
        </w:rPr>
        <w:t>,</w:t>
      </w:r>
      <w:r w:rsidR="0056294D" w:rsidRPr="00B14447">
        <w:rPr>
          <w:rFonts w:ascii="Times New Roman" w:hAnsi="Times New Roman"/>
        </w:rPr>
        <w:t xml:space="preserve"> </w:t>
      </w:r>
      <w:r w:rsidR="00E632E2" w:rsidRPr="00B14447">
        <w:rPr>
          <w:rFonts w:ascii="Times New Roman" w:hAnsi="Times New Roman"/>
        </w:rPr>
        <w:t>th</w:t>
      </w:r>
      <w:r w:rsidR="00943235" w:rsidRPr="00B14447">
        <w:rPr>
          <w:rFonts w:ascii="Times New Roman" w:hAnsi="Times New Roman"/>
        </w:rPr>
        <w:t>e</w:t>
      </w:r>
      <w:r w:rsidR="0009638D" w:rsidRPr="00B14447">
        <w:rPr>
          <w:rFonts w:ascii="Times New Roman" w:hAnsi="Times New Roman"/>
        </w:rPr>
        <w:t xml:space="preserve"> anterior</w:t>
      </w:r>
      <w:r w:rsidR="00A9662A" w:rsidRPr="00B14447">
        <w:rPr>
          <w:rFonts w:ascii="Times New Roman" w:hAnsi="Times New Roman"/>
        </w:rPr>
        <w:t xml:space="preserve"> </w:t>
      </w:r>
      <w:r w:rsidR="005348C1" w:rsidRPr="00B14447">
        <w:rPr>
          <w:rFonts w:ascii="Times New Roman" w:hAnsi="Times New Roman"/>
        </w:rPr>
        <w:t>issue</w:t>
      </w:r>
      <w:r w:rsidR="00943235" w:rsidRPr="00B14447">
        <w:rPr>
          <w:rFonts w:ascii="Times New Roman" w:hAnsi="Times New Roman"/>
        </w:rPr>
        <w:t xml:space="preserve"> concerning the scope of the undertaking as to damages</w:t>
      </w:r>
      <w:r w:rsidRPr="00B14447">
        <w:rPr>
          <w:rFonts w:ascii="Times New Roman" w:hAnsi="Times New Roman"/>
        </w:rPr>
        <w:t xml:space="preserve"> is an issue</w:t>
      </w:r>
      <w:r w:rsidR="002C2057" w:rsidRPr="00B14447">
        <w:rPr>
          <w:rFonts w:ascii="Times New Roman" w:hAnsi="Times New Roman"/>
        </w:rPr>
        <w:t xml:space="preserve"> that is not before this Court</w:t>
      </w:r>
      <w:r w:rsidR="00C83D52" w:rsidRPr="00B14447">
        <w:rPr>
          <w:rFonts w:ascii="Times New Roman" w:hAnsi="Times New Roman"/>
        </w:rPr>
        <w:t xml:space="preserve">. </w:t>
      </w:r>
      <w:r w:rsidR="0094650B" w:rsidRPr="00B14447">
        <w:rPr>
          <w:rFonts w:ascii="Times New Roman" w:hAnsi="Times New Roman"/>
        </w:rPr>
        <w:t xml:space="preserve">The essence of the anterior issue is that the </w:t>
      </w:r>
      <w:r w:rsidR="00DF7E14" w:rsidRPr="00B14447">
        <w:rPr>
          <w:rFonts w:ascii="Times New Roman" w:hAnsi="Times New Roman"/>
        </w:rPr>
        <w:t>undertaking as to damages was given in support of the interlocutory injunction and expressed to be subject to "further order". T</w:t>
      </w:r>
      <w:r w:rsidR="0094650B" w:rsidRPr="00B14447">
        <w:rPr>
          <w:rFonts w:ascii="Times New Roman" w:hAnsi="Times New Roman"/>
        </w:rPr>
        <w:t xml:space="preserve">he </w:t>
      </w:r>
      <w:r w:rsidR="00DF7E14" w:rsidRPr="00B14447">
        <w:rPr>
          <w:rFonts w:ascii="Times New Roman" w:hAnsi="Times New Roman"/>
        </w:rPr>
        <w:t>"</w:t>
      </w:r>
      <w:r w:rsidR="0094650B" w:rsidRPr="00B14447">
        <w:rPr>
          <w:rFonts w:ascii="Times New Roman" w:hAnsi="Times New Roman"/>
        </w:rPr>
        <w:t>further order</w:t>
      </w:r>
      <w:r w:rsidR="00DF7E14" w:rsidRPr="00B14447">
        <w:rPr>
          <w:rFonts w:ascii="Times New Roman" w:hAnsi="Times New Roman"/>
        </w:rPr>
        <w:t>" of Gyles</w:t>
      </w:r>
      <w:r w:rsidR="00A053F2" w:rsidRPr="00B14447">
        <w:rPr>
          <w:rFonts w:ascii="Times New Roman" w:hAnsi="Times New Roman"/>
        </w:rPr>
        <w:t> </w:t>
      </w:r>
      <w:r w:rsidR="00DF7E14" w:rsidRPr="00B14447">
        <w:rPr>
          <w:rFonts w:ascii="Times New Roman" w:hAnsi="Times New Roman"/>
        </w:rPr>
        <w:t>J</w:t>
      </w:r>
      <w:r w:rsidR="0094650B" w:rsidRPr="00B14447">
        <w:rPr>
          <w:rFonts w:ascii="Times New Roman" w:hAnsi="Times New Roman"/>
        </w:rPr>
        <w:t xml:space="preserve">, which dissolved the interlocutory </w:t>
      </w:r>
      <w:r w:rsidR="0094650B" w:rsidRPr="00B14447">
        <w:rPr>
          <w:rFonts w:ascii="Times New Roman" w:hAnsi="Times New Roman"/>
        </w:rPr>
        <w:lastRenderedPageBreak/>
        <w:t>injunction,</w:t>
      </w:r>
      <w:r w:rsidR="0094650B" w:rsidRPr="00B14447">
        <w:rPr>
          <w:rStyle w:val="FootnoteReference"/>
          <w:rFonts w:ascii="Times New Roman" w:hAnsi="Times New Roman"/>
          <w:sz w:val="24"/>
        </w:rPr>
        <w:footnoteReference w:id="171"/>
      </w:r>
      <w:r w:rsidR="00DF7E14" w:rsidRPr="00B14447">
        <w:rPr>
          <w:rFonts w:ascii="Times New Roman" w:hAnsi="Times New Roman"/>
        </w:rPr>
        <w:t xml:space="preserve"> was made </w:t>
      </w:r>
      <w:r w:rsidR="004630FB" w:rsidRPr="00B14447">
        <w:rPr>
          <w:rFonts w:ascii="Times New Roman" w:hAnsi="Times New Roman"/>
        </w:rPr>
        <w:t xml:space="preserve">on </w:t>
      </w:r>
      <w:r w:rsidR="00F1724A" w:rsidRPr="00B14447">
        <w:rPr>
          <w:rFonts w:ascii="Times New Roman" w:hAnsi="Times New Roman"/>
        </w:rPr>
        <w:t>19 </w:t>
      </w:r>
      <w:r w:rsidR="004630FB" w:rsidRPr="00B14447">
        <w:rPr>
          <w:rFonts w:ascii="Times New Roman" w:hAnsi="Times New Roman"/>
        </w:rPr>
        <w:t>August 2008</w:t>
      </w:r>
      <w:r w:rsidR="00F24CAD" w:rsidRPr="00B14447">
        <w:rPr>
          <w:rFonts w:ascii="Times New Roman" w:hAnsi="Times New Roman"/>
        </w:rPr>
        <w:t xml:space="preserve"> based on reasons given on </w:t>
      </w:r>
      <w:r w:rsidR="00F1724A" w:rsidRPr="00B14447">
        <w:rPr>
          <w:rFonts w:ascii="Times New Roman" w:hAnsi="Times New Roman"/>
        </w:rPr>
        <w:t>12 </w:t>
      </w:r>
      <w:r w:rsidR="00F24CAD" w:rsidRPr="00B14447">
        <w:rPr>
          <w:rFonts w:ascii="Times New Roman" w:hAnsi="Times New Roman"/>
        </w:rPr>
        <w:t>August 2008</w:t>
      </w:r>
      <w:r w:rsidR="004630FB" w:rsidRPr="00B14447">
        <w:rPr>
          <w:rFonts w:ascii="Times New Roman" w:hAnsi="Times New Roman"/>
        </w:rPr>
        <w:t xml:space="preserve">. The </w:t>
      </w:r>
      <w:r w:rsidR="00FE0A9F" w:rsidRPr="00B14447">
        <w:rPr>
          <w:rFonts w:ascii="Times New Roman" w:hAnsi="Times New Roman"/>
        </w:rPr>
        <w:t xml:space="preserve">scope of the undertaking as to damages could not extend beyond the scope of the interlocutory injunction that it supported. </w:t>
      </w:r>
      <w:r w:rsidR="0094650B" w:rsidRPr="00B14447">
        <w:rPr>
          <w:rFonts w:ascii="Times New Roman" w:hAnsi="Times New Roman"/>
        </w:rPr>
        <w:t>This point</w:t>
      </w:r>
      <w:r w:rsidR="00C83D52" w:rsidRPr="00B14447">
        <w:rPr>
          <w:rFonts w:ascii="Times New Roman" w:hAnsi="Times New Roman"/>
        </w:rPr>
        <w:t xml:space="preserve"> was resolved by the primary judge adversely to the Commonwealth</w:t>
      </w:r>
      <w:r w:rsidR="00A053F2" w:rsidRPr="00B14447">
        <w:rPr>
          <w:rFonts w:ascii="Times New Roman" w:hAnsi="Times New Roman"/>
        </w:rPr>
        <w:t xml:space="preserve"> </w:t>
      </w:r>
      <w:r w:rsidR="003C57E5" w:rsidRPr="00B14447">
        <w:rPr>
          <w:rFonts w:ascii="Times New Roman" w:hAnsi="Times New Roman"/>
        </w:rPr>
        <w:t>and not addressed on appeal to the Full Court</w:t>
      </w:r>
      <w:r w:rsidR="00C83D52" w:rsidRPr="00B14447">
        <w:rPr>
          <w:rFonts w:ascii="Times New Roman" w:hAnsi="Times New Roman"/>
        </w:rPr>
        <w:t>.</w:t>
      </w:r>
      <w:r w:rsidR="003C57E5" w:rsidRPr="00B14447">
        <w:rPr>
          <w:rFonts w:ascii="Times New Roman" w:hAnsi="Times New Roman"/>
        </w:rPr>
        <w:t xml:space="preserve"> </w:t>
      </w:r>
    </w:p>
    <w:p w14:paraId="437AE871" w14:textId="37D0BAF3" w:rsidR="000D18F1" w:rsidRPr="00B14447" w:rsidRDefault="00FE0A9F" w:rsidP="00B14447">
      <w:pPr>
        <w:pStyle w:val="FixListStyle"/>
        <w:spacing w:after="260" w:line="280" w:lineRule="exact"/>
        <w:ind w:right="0"/>
        <w:jc w:val="both"/>
        <w:rPr>
          <w:rFonts w:ascii="Times New Roman" w:hAnsi="Times New Roman"/>
        </w:rPr>
      </w:pPr>
      <w:r w:rsidRPr="00B14447">
        <w:rPr>
          <w:rFonts w:ascii="Times New Roman" w:hAnsi="Times New Roman"/>
        </w:rPr>
        <w:tab/>
      </w:r>
      <w:r w:rsidR="00866F9A" w:rsidRPr="00B14447">
        <w:rPr>
          <w:rFonts w:ascii="Times New Roman" w:hAnsi="Times New Roman"/>
        </w:rPr>
        <w:t xml:space="preserve">In reasoning which </w:t>
      </w:r>
      <w:r w:rsidR="00F91C89" w:rsidRPr="00B14447">
        <w:rPr>
          <w:rFonts w:ascii="Times New Roman" w:hAnsi="Times New Roman"/>
        </w:rPr>
        <w:t>was echoed by that of</w:t>
      </w:r>
      <w:r w:rsidR="005064D4" w:rsidRPr="00B14447">
        <w:rPr>
          <w:rFonts w:ascii="Times New Roman" w:hAnsi="Times New Roman"/>
        </w:rPr>
        <w:t xml:space="preserve"> the Privy Council in </w:t>
      </w:r>
      <w:r w:rsidR="00A053F2" w:rsidRPr="00B14447">
        <w:rPr>
          <w:rFonts w:ascii="Times New Roman" w:hAnsi="Times New Roman"/>
          <w:i/>
          <w:iCs/>
        </w:rPr>
        <w:t xml:space="preserve">Fenris Consulting Ltd v </w:t>
      </w:r>
      <w:r w:rsidR="005064D4" w:rsidRPr="00B14447">
        <w:rPr>
          <w:rFonts w:ascii="Times New Roman" w:hAnsi="Times New Roman"/>
          <w:i/>
        </w:rPr>
        <w:t xml:space="preserve">Ennismore Fund Management </w:t>
      </w:r>
      <w:r w:rsidR="005064D4" w:rsidRPr="00B14447">
        <w:rPr>
          <w:rFonts w:ascii="Times New Roman" w:hAnsi="Times New Roman"/>
          <w:i/>
          <w:iCs/>
        </w:rPr>
        <w:t>Ltd</w:t>
      </w:r>
      <w:r w:rsidR="005064D4" w:rsidRPr="00B14447">
        <w:rPr>
          <w:rFonts w:ascii="Times New Roman" w:hAnsi="Times New Roman"/>
        </w:rPr>
        <w:t>,</w:t>
      </w:r>
      <w:r w:rsidR="00DD29A3" w:rsidRPr="00B14447">
        <w:rPr>
          <w:rStyle w:val="FootnoteReference"/>
          <w:rFonts w:ascii="Times New Roman" w:hAnsi="Times New Roman"/>
          <w:sz w:val="24"/>
        </w:rPr>
        <w:footnoteReference w:id="172"/>
      </w:r>
      <w:r w:rsidR="005064D4" w:rsidRPr="00B14447">
        <w:rPr>
          <w:rFonts w:ascii="Times New Roman" w:hAnsi="Times New Roman"/>
          <w:i/>
          <w:iCs/>
        </w:rPr>
        <w:t xml:space="preserve"> </w:t>
      </w:r>
      <w:r w:rsidR="005064D4" w:rsidRPr="00B14447">
        <w:rPr>
          <w:rFonts w:ascii="Times New Roman" w:hAnsi="Times New Roman"/>
        </w:rPr>
        <w:t>t</w:t>
      </w:r>
      <w:r w:rsidR="00D8728A" w:rsidRPr="00B14447">
        <w:rPr>
          <w:rFonts w:ascii="Times New Roman" w:hAnsi="Times New Roman"/>
          <w:iCs/>
        </w:rPr>
        <w:t>he</w:t>
      </w:r>
      <w:r w:rsidR="00D8728A" w:rsidRPr="00B14447">
        <w:rPr>
          <w:rFonts w:ascii="Times New Roman" w:hAnsi="Times New Roman"/>
        </w:rPr>
        <w:t xml:space="preserve"> primary judge concluded that </w:t>
      </w:r>
      <w:r w:rsidR="0009638D" w:rsidRPr="00B14447">
        <w:rPr>
          <w:rFonts w:ascii="Times New Roman" w:hAnsi="Times New Roman"/>
        </w:rPr>
        <w:t>these two portions of</w:t>
      </w:r>
      <w:r w:rsidR="0019317A" w:rsidRPr="00B14447">
        <w:rPr>
          <w:rFonts w:ascii="Times New Roman" w:hAnsi="Times New Roman"/>
        </w:rPr>
        <w:t xml:space="preserve"> alleged</w:t>
      </w:r>
      <w:r w:rsidR="0009638D" w:rsidRPr="00B14447">
        <w:rPr>
          <w:rFonts w:ascii="Times New Roman" w:hAnsi="Times New Roman"/>
        </w:rPr>
        <w:t xml:space="preserve"> loss (amounting to </w:t>
      </w:r>
      <w:r w:rsidR="009D150D" w:rsidRPr="00B14447">
        <w:rPr>
          <w:rFonts w:ascii="Times New Roman" w:hAnsi="Times New Roman"/>
        </w:rPr>
        <w:t xml:space="preserve">around </w:t>
      </w:r>
      <w:r w:rsidR="0009638D" w:rsidRPr="00B14447">
        <w:rPr>
          <w:rFonts w:ascii="Times New Roman" w:hAnsi="Times New Roman"/>
        </w:rPr>
        <w:t>$274</w:t>
      </w:r>
      <w:r w:rsidR="006F5D0A" w:rsidRPr="00B14447">
        <w:rPr>
          <w:rFonts w:ascii="Times New Roman" w:hAnsi="Times New Roman"/>
        </w:rPr>
        <w:t> </w:t>
      </w:r>
      <w:r w:rsidR="0009638D" w:rsidRPr="00B14447">
        <w:rPr>
          <w:rFonts w:ascii="Times New Roman" w:hAnsi="Times New Roman"/>
        </w:rPr>
        <w:t>million of the Commonwealth's alleged $325</w:t>
      </w:r>
      <w:r w:rsidR="006F5D0A" w:rsidRPr="00B14447">
        <w:rPr>
          <w:rFonts w:ascii="Times New Roman" w:hAnsi="Times New Roman"/>
        </w:rPr>
        <w:t> </w:t>
      </w:r>
      <w:r w:rsidR="0009638D" w:rsidRPr="00B14447">
        <w:rPr>
          <w:rFonts w:ascii="Times New Roman" w:hAnsi="Times New Roman"/>
        </w:rPr>
        <w:t xml:space="preserve">million loss) </w:t>
      </w:r>
      <w:r w:rsidR="00F062C6" w:rsidRPr="00B14447">
        <w:rPr>
          <w:rFonts w:ascii="Times New Roman" w:hAnsi="Times New Roman"/>
        </w:rPr>
        <w:t>were outside</w:t>
      </w:r>
      <w:r w:rsidR="006D47CF" w:rsidRPr="00B14447">
        <w:rPr>
          <w:rFonts w:ascii="Times New Roman" w:hAnsi="Times New Roman"/>
        </w:rPr>
        <w:t xml:space="preserve"> the scope of</w:t>
      </w:r>
      <w:r w:rsidR="0009638D" w:rsidRPr="00B14447">
        <w:rPr>
          <w:rFonts w:ascii="Times New Roman" w:hAnsi="Times New Roman"/>
        </w:rPr>
        <w:t xml:space="preserve"> the undertaking</w:t>
      </w:r>
      <w:r w:rsidR="00935B7B" w:rsidRPr="00B14447">
        <w:rPr>
          <w:rFonts w:ascii="Times New Roman" w:hAnsi="Times New Roman"/>
        </w:rPr>
        <w:t xml:space="preserve"> that supported the interlocutory injunction </w:t>
      </w:r>
      <w:r w:rsidR="00D208F2" w:rsidRPr="00B14447">
        <w:rPr>
          <w:rFonts w:ascii="Times New Roman" w:hAnsi="Times New Roman"/>
        </w:rPr>
        <w:t xml:space="preserve">made </w:t>
      </w:r>
      <w:r w:rsidR="00935B7B" w:rsidRPr="00B14447">
        <w:rPr>
          <w:rFonts w:ascii="Times New Roman" w:hAnsi="Times New Roman"/>
        </w:rPr>
        <w:t>on 25</w:t>
      </w:r>
      <w:r w:rsidR="006F5D0A" w:rsidRPr="00B14447">
        <w:rPr>
          <w:rFonts w:ascii="Times New Roman" w:hAnsi="Times New Roman"/>
        </w:rPr>
        <w:t> </w:t>
      </w:r>
      <w:r w:rsidR="00935B7B" w:rsidRPr="00B14447">
        <w:rPr>
          <w:rFonts w:ascii="Times New Roman" w:hAnsi="Times New Roman"/>
        </w:rPr>
        <w:t>September 2007</w:t>
      </w:r>
      <w:r w:rsidR="005B2884" w:rsidRPr="00B14447">
        <w:rPr>
          <w:rFonts w:ascii="Times New Roman" w:hAnsi="Times New Roman"/>
        </w:rPr>
        <w:t xml:space="preserve"> </w:t>
      </w:r>
      <w:r w:rsidR="00551822" w:rsidRPr="00B14447">
        <w:rPr>
          <w:rFonts w:ascii="Times New Roman" w:hAnsi="Times New Roman"/>
        </w:rPr>
        <w:t xml:space="preserve">as </w:t>
      </w:r>
      <w:r w:rsidR="005B2884" w:rsidRPr="00B14447">
        <w:rPr>
          <w:rFonts w:ascii="Times New Roman" w:hAnsi="Times New Roman"/>
        </w:rPr>
        <w:t>those alleged losses occurred after Gyles</w:t>
      </w:r>
      <w:r w:rsidR="00551822" w:rsidRPr="00B14447">
        <w:rPr>
          <w:rFonts w:ascii="Times New Roman" w:hAnsi="Times New Roman"/>
        </w:rPr>
        <w:t> </w:t>
      </w:r>
      <w:r w:rsidR="005B2884" w:rsidRPr="00B14447">
        <w:rPr>
          <w:rFonts w:ascii="Times New Roman" w:hAnsi="Times New Roman"/>
        </w:rPr>
        <w:t>J granted the final injunction on 19</w:t>
      </w:r>
      <w:r w:rsidR="00551822" w:rsidRPr="00B14447">
        <w:rPr>
          <w:rFonts w:ascii="Times New Roman" w:hAnsi="Times New Roman"/>
        </w:rPr>
        <w:t> </w:t>
      </w:r>
      <w:r w:rsidR="005B2884" w:rsidRPr="00B14447">
        <w:rPr>
          <w:rFonts w:ascii="Times New Roman" w:hAnsi="Times New Roman"/>
        </w:rPr>
        <w:t>August 2008</w:t>
      </w:r>
      <w:r w:rsidR="00CD0C23" w:rsidRPr="00B14447">
        <w:rPr>
          <w:rFonts w:ascii="Times New Roman" w:hAnsi="Times New Roman"/>
        </w:rPr>
        <w:t>.</w:t>
      </w:r>
      <w:r w:rsidR="00CC41DA" w:rsidRPr="00B14447">
        <w:rPr>
          <w:rFonts w:ascii="Times New Roman" w:hAnsi="Times New Roman"/>
        </w:rPr>
        <w:t xml:space="preserve"> </w:t>
      </w:r>
      <w:r w:rsidR="00DA1E4D" w:rsidRPr="00B14447">
        <w:rPr>
          <w:rFonts w:ascii="Times New Roman" w:hAnsi="Times New Roman"/>
        </w:rPr>
        <w:t>Indeed, even $40</w:t>
      </w:r>
      <w:r w:rsidR="00551822" w:rsidRPr="00B14447">
        <w:rPr>
          <w:rFonts w:ascii="Times New Roman" w:hAnsi="Times New Roman"/>
        </w:rPr>
        <w:t> </w:t>
      </w:r>
      <w:r w:rsidR="00DA1E4D" w:rsidRPr="00B14447">
        <w:rPr>
          <w:rFonts w:ascii="Times New Roman" w:hAnsi="Times New Roman"/>
        </w:rPr>
        <w:t>million of the remaining $51</w:t>
      </w:r>
      <w:r w:rsidR="00551822" w:rsidRPr="00B14447">
        <w:rPr>
          <w:rFonts w:ascii="Times New Roman" w:hAnsi="Times New Roman"/>
        </w:rPr>
        <w:t> </w:t>
      </w:r>
      <w:r w:rsidR="00DA1E4D" w:rsidRPr="00B14447">
        <w:rPr>
          <w:rFonts w:ascii="Times New Roman" w:hAnsi="Times New Roman"/>
        </w:rPr>
        <w:t>million</w:t>
      </w:r>
      <w:r w:rsidR="00551822" w:rsidRPr="00B14447">
        <w:rPr>
          <w:rFonts w:ascii="Times New Roman" w:hAnsi="Times New Roman"/>
        </w:rPr>
        <w:t xml:space="preserve"> of</w:t>
      </w:r>
      <w:r w:rsidR="00DA1E4D" w:rsidRPr="00B14447">
        <w:rPr>
          <w:rFonts w:ascii="Times New Roman" w:hAnsi="Times New Roman"/>
        </w:rPr>
        <w:t xml:space="preserve"> alleged loss by the Commonwealth arose after 19</w:t>
      </w:r>
      <w:r w:rsidR="00551822" w:rsidRPr="00B14447">
        <w:rPr>
          <w:rFonts w:ascii="Times New Roman" w:hAnsi="Times New Roman"/>
        </w:rPr>
        <w:t> </w:t>
      </w:r>
      <w:r w:rsidR="00DA1E4D" w:rsidRPr="00B14447">
        <w:rPr>
          <w:rFonts w:ascii="Times New Roman" w:hAnsi="Times New Roman"/>
        </w:rPr>
        <w:t xml:space="preserve">August 2008. </w:t>
      </w:r>
      <w:r w:rsidR="001D132F" w:rsidRPr="00B14447">
        <w:rPr>
          <w:rFonts w:ascii="Times New Roman" w:hAnsi="Times New Roman"/>
        </w:rPr>
        <w:t>As the primary judge put this point, "the existence of the interlocutory injunction cannot account for the failure of Apotex Australia to obtain a PBS listing of its clopidogrel products at any time after 19</w:t>
      </w:r>
      <w:r w:rsidR="00816109" w:rsidRPr="00B14447">
        <w:rPr>
          <w:rFonts w:ascii="Times New Roman" w:hAnsi="Times New Roman"/>
        </w:rPr>
        <w:t> </w:t>
      </w:r>
      <w:r w:rsidR="001D132F" w:rsidRPr="00B14447">
        <w:rPr>
          <w:rFonts w:ascii="Times New Roman" w:hAnsi="Times New Roman"/>
        </w:rPr>
        <w:t>August 2008".</w:t>
      </w:r>
      <w:r w:rsidR="001D132F" w:rsidRPr="00B14447">
        <w:rPr>
          <w:rStyle w:val="FootnoteReference"/>
          <w:rFonts w:ascii="Times New Roman" w:hAnsi="Times New Roman"/>
          <w:sz w:val="24"/>
        </w:rPr>
        <w:footnoteReference w:id="173"/>
      </w:r>
      <w:r w:rsidR="001D132F" w:rsidRPr="00B14447">
        <w:rPr>
          <w:rFonts w:ascii="Times New Roman" w:hAnsi="Times New Roman"/>
        </w:rPr>
        <w:t xml:space="preserve"> The "adverse effect</w:t>
      </w:r>
      <w:r w:rsidR="00B35A6A" w:rsidRPr="00B14447">
        <w:rPr>
          <w:rFonts w:ascii="Times New Roman" w:hAnsi="Times New Roman"/>
        </w:rPr>
        <w:t>s</w:t>
      </w:r>
      <w:r w:rsidR="001D132F" w:rsidRPr="00B14447">
        <w:rPr>
          <w:rFonts w:ascii="Times New Roman" w:hAnsi="Times New Roman"/>
        </w:rPr>
        <w:t>" of the interlocutory injunction which was the subject of the undertaking ceased when the interlocutory injunction was dissipated or overtaken by the final injunction.</w:t>
      </w:r>
    </w:p>
    <w:p w14:paraId="001B5986" w14:textId="17EB2400" w:rsidR="008015EF" w:rsidRPr="00B14447" w:rsidRDefault="000D18F1"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In short, </w:t>
      </w:r>
      <w:r w:rsidR="005102E5" w:rsidRPr="00B14447">
        <w:rPr>
          <w:rFonts w:ascii="Times New Roman" w:hAnsi="Times New Roman"/>
        </w:rPr>
        <w:t xml:space="preserve">the third ground of the notice of contention cannot be resolved by this Court. It is inextricably </w:t>
      </w:r>
      <w:r w:rsidR="00215F6A" w:rsidRPr="00B14447">
        <w:rPr>
          <w:rFonts w:ascii="Times New Roman" w:hAnsi="Times New Roman"/>
        </w:rPr>
        <w:t xml:space="preserve">entwined with the findings of the primary judge, </w:t>
      </w:r>
      <w:r w:rsidR="00B35A6A" w:rsidRPr="00B14447">
        <w:rPr>
          <w:rFonts w:ascii="Times New Roman" w:hAnsi="Times New Roman"/>
        </w:rPr>
        <w:t>the bas</w:t>
      </w:r>
      <w:r w:rsidR="002712F0" w:rsidRPr="00B14447">
        <w:rPr>
          <w:rFonts w:ascii="Times New Roman" w:hAnsi="Times New Roman"/>
        </w:rPr>
        <w:t>e</w:t>
      </w:r>
      <w:r w:rsidR="00B35A6A" w:rsidRPr="00B14447">
        <w:rPr>
          <w:rFonts w:ascii="Times New Roman" w:hAnsi="Times New Roman"/>
        </w:rPr>
        <w:t>s f</w:t>
      </w:r>
      <w:r w:rsidR="0089409D" w:rsidRPr="00B14447">
        <w:rPr>
          <w:rFonts w:ascii="Times New Roman" w:hAnsi="Times New Roman"/>
        </w:rPr>
        <w:t>or</w:t>
      </w:r>
      <w:r w:rsidR="00B35A6A" w:rsidRPr="00B14447">
        <w:rPr>
          <w:rFonts w:ascii="Times New Roman" w:hAnsi="Times New Roman"/>
        </w:rPr>
        <w:t xml:space="preserve"> </w:t>
      </w:r>
      <w:r w:rsidR="00215F6A" w:rsidRPr="00B14447">
        <w:rPr>
          <w:rFonts w:ascii="Times New Roman" w:hAnsi="Times New Roman"/>
        </w:rPr>
        <w:t>which are not before this Court,</w:t>
      </w:r>
      <w:r w:rsidR="005960DE" w:rsidRPr="00B14447">
        <w:rPr>
          <w:rFonts w:ascii="Times New Roman" w:hAnsi="Times New Roman"/>
        </w:rPr>
        <w:t xml:space="preserve"> to the effect</w:t>
      </w:r>
      <w:r w:rsidR="00215F6A" w:rsidRPr="00B14447">
        <w:rPr>
          <w:rFonts w:ascii="Times New Roman" w:hAnsi="Times New Roman"/>
        </w:rPr>
        <w:t xml:space="preserve"> that </w:t>
      </w:r>
      <w:r w:rsidR="00362E44" w:rsidRPr="00B14447">
        <w:rPr>
          <w:rFonts w:ascii="Times New Roman" w:hAnsi="Times New Roman"/>
        </w:rPr>
        <w:t xml:space="preserve">around </w:t>
      </w:r>
      <w:r w:rsidR="00215F6A" w:rsidRPr="00B14447">
        <w:rPr>
          <w:rFonts w:ascii="Times New Roman" w:hAnsi="Times New Roman"/>
        </w:rPr>
        <w:t>$</w:t>
      </w:r>
      <w:r w:rsidR="00E87CA8" w:rsidRPr="00B14447">
        <w:rPr>
          <w:rFonts w:ascii="Times New Roman" w:hAnsi="Times New Roman"/>
        </w:rPr>
        <w:t>314</w:t>
      </w:r>
      <w:r w:rsidR="0089409D" w:rsidRPr="00B14447">
        <w:rPr>
          <w:rFonts w:ascii="Times New Roman" w:hAnsi="Times New Roman"/>
        </w:rPr>
        <w:t> </w:t>
      </w:r>
      <w:r w:rsidR="00215F6A" w:rsidRPr="00B14447">
        <w:rPr>
          <w:rFonts w:ascii="Times New Roman" w:hAnsi="Times New Roman"/>
        </w:rPr>
        <w:t>million of the Commonwealth's $325</w:t>
      </w:r>
      <w:r w:rsidR="0089409D" w:rsidRPr="00B14447">
        <w:rPr>
          <w:rFonts w:ascii="Times New Roman" w:hAnsi="Times New Roman"/>
        </w:rPr>
        <w:t> </w:t>
      </w:r>
      <w:r w:rsidR="00215F6A" w:rsidRPr="00B14447">
        <w:rPr>
          <w:rFonts w:ascii="Times New Roman" w:hAnsi="Times New Roman"/>
        </w:rPr>
        <w:t xml:space="preserve">million </w:t>
      </w:r>
      <w:r w:rsidR="004133D6" w:rsidRPr="00B14447">
        <w:rPr>
          <w:rFonts w:ascii="Times New Roman" w:hAnsi="Times New Roman"/>
        </w:rPr>
        <w:t xml:space="preserve">of </w:t>
      </w:r>
      <w:r w:rsidR="00C46425" w:rsidRPr="00B14447">
        <w:rPr>
          <w:rFonts w:ascii="Times New Roman" w:hAnsi="Times New Roman"/>
        </w:rPr>
        <w:t xml:space="preserve">alleged </w:t>
      </w:r>
      <w:r w:rsidR="00215F6A" w:rsidRPr="00B14447">
        <w:rPr>
          <w:rFonts w:ascii="Times New Roman" w:hAnsi="Times New Roman"/>
        </w:rPr>
        <w:t>loss</w:t>
      </w:r>
      <w:r w:rsidR="00C46425" w:rsidRPr="00B14447">
        <w:rPr>
          <w:rFonts w:ascii="Times New Roman" w:hAnsi="Times New Roman"/>
        </w:rPr>
        <w:t xml:space="preserve"> is beyond the scope of the undertaking as to damages because </w:t>
      </w:r>
      <w:r w:rsidR="00B33C74" w:rsidRPr="00B14447">
        <w:rPr>
          <w:rFonts w:ascii="Times New Roman" w:hAnsi="Times New Roman"/>
        </w:rPr>
        <w:t xml:space="preserve">the scope of the undertaking </w:t>
      </w:r>
      <w:r w:rsidR="00124989" w:rsidRPr="00B14447">
        <w:rPr>
          <w:rFonts w:ascii="Times New Roman" w:hAnsi="Times New Roman"/>
        </w:rPr>
        <w:t>did not extend beyond the period of operation of the</w:t>
      </w:r>
      <w:r w:rsidR="00B33C74" w:rsidRPr="00B14447">
        <w:rPr>
          <w:rFonts w:ascii="Times New Roman" w:hAnsi="Times New Roman"/>
        </w:rPr>
        <w:t xml:space="preserve"> interlocutory injunction which that undertaking supported</w:t>
      </w:r>
      <w:r w:rsidR="00124989" w:rsidRPr="00B14447">
        <w:rPr>
          <w:rFonts w:ascii="Times New Roman" w:hAnsi="Times New Roman"/>
        </w:rPr>
        <w:t>, a period which concluded on 19</w:t>
      </w:r>
      <w:r w:rsidR="004133D6" w:rsidRPr="00B14447">
        <w:rPr>
          <w:rFonts w:ascii="Times New Roman" w:hAnsi="Times New Roman"/>
        </w:rPr>
        <w:t> </w:t>
      </w:r>
      <w:r w:rsidR="00124989" w:rsidRPr="00B14447">
        <w:rPr>
          <w:rFonts w:ascii="Times New Roman" w:hAnsi="Times New Roman"/>
        </w:rPr>
        <w:t>August 2008.</w:t>
      </w:r>
      <w:r w:rsidR="008D0AD2" w:rsidRPr="00B14447">
        <w:rPr>
          <w:rFonts w:ascii="Times New Roman" w:hAnsi="Times New Roman"/>
        </w:rPr>
        <w:t xml:space="preserve"> </w:t>
      </w:r>
    </w:p>
    <w:p w14:paraId="16DA9756" w14:textId="4C1B1D99" w:rsidR="00400B34" w:rsidRPr="00B14447" w:rsidRDefault="00851BB9" w:rsidP="00B14447">
      <w:pPr>
        <w:pStyle w:val="HeadingL2"/>
        <w:spacing w:after="260" w:line="280" w:lineRule="exact"/>
        <w:ind w:left="720" w:right="0" w:hanging="720"/>
        <w:jc w:val="both"/>
        <w:rPr>
          <w:rFonts w:ascii="Times New Roman" w:hAnsi="Times New Roman"/>
        </w:rPr>
      </w:pPr>
      <w:r w:rsidRPr="00B14447">
        <w:rPr>
          <w:rFonts w:ascii="Times New Roman" w:hAnsi="Times New Roman"/>
        </w:rPr>
        <w:lastRenderedPageBreak/>
        <w:t>(3)</w:t>
      </w:r>
      <w:r w:rsidR="00D76CCC" w:rsidRPr="00B14447">
        <w:rPr>
          <w:rFonts w:ascii="Times New Roman" w:hAnsi="Times New Roman"/>
        </w:rPr>
        <w:tab/>
      </w:r>
      <w:r w:rsidR="0092669B" w:rsidRPr="00B14447">
        <w:rPr>
          <w:rFonts w:ascii="Times New Roman" w:hAnsi="Times New Roman"/>
        </w:rPr>
        <w:t>Recoverability of</w:t>
      </w:r>
      <w:r w:rsidR="00782181" w:rsidRPr="00B14447">
        <w:rPr>
          <w:rFonts w:ascii="Times New Roman" w:hAnsi="Times New Roman"/>
        </w:rPr>
        <w:t xml:space="preserve"> loss</w:t>
      </w:r>
      <w:r w:rsidR="0092669B" w:rsidRPr="00B14447">
        <w:rPr>
          <w:rFonts w:ascii="Times New Roman" w:hAnsi="Times New Roman"/>
        </w:rPr>
        <w:t>es</w:t>
      </w:r>
      <w:r w:rsidR="00782181" w:rsidRPr="00B14447">
        <w:rPr>
          <w:rFonts w:ascii="Times New Roman" w:hAnsi="Times New Roman"/>
        </w:rPr>
        <w:t xml:space="preserve"> to the Commonwealth</w:t>
      </w:r>
    </w:p>
    <w:p w14:paraId="2DA7A482" w14:textId="5B8B0BC5" w:rsidR="00D36BEF" w:rsidRPr="00B14447" w:rsidRDefault="00D202F8" w:rsidP="00B14447">
      <w:pPr>
        <w:pStyle w:val="FixListStyle"/>
        <w:spacing w:after="260" w:line="280" w:lineRule="exact"/>
        <w:ind w:right="0"/>
        <w:jc w:val="both"/>
        <w:rPr>
          <w:rFonts w:ascii="Times New Roman" w:hAnsi="Times New Roman"/>
        </w:rPr>
      </w:pPr>
      <w:r w:rsidRPr="00B14447">
        <w:rPr>
          <w:rFonts w:ascii="Times New Roman" w:hAnsi="Times New Roman"/>
          <w:iCs/>
        </w:rPr>
        <w:tab/>
      </w:r>
      <w:r w:rsidR="00D36BEF" w:rsidRPr="00B14447">
        <w:rPr>
          <w:rFonts w:ascii="Times New Roman" w:hAnsi="Times New Roman"/>
        </w:rPr>
        <w:t>The fourth ground of contention asserts that the body politic of the Commonwealth, by its executive, was not a person "adversely affected" by the interlocutory injunction and had suffered no compensable loss because the alleged loss arose from "the operation of a legislative scheme for social welfare". Alternatively, because the loss arose "by the operation of the Commonwealth's own laws". And, by further alternative, the body politic of the Commonwealth cannot be adversely affected</w:t>
      </w:r>
      <w:r w:rsidR="00184F25" w:rsidRPr="00B14447">
        <w:rPr>
          <w:rFonts w:ascii="Times New Roman" w:hAnsi="Times New Roman"/>
        </w:rPr>
        <w:t>,</w:t>
      </w:r>
      <w:r w:rsidR="00D36BEF" w:rsidRPr="00B14447">
        <w:rPr>
          <w:rFonts w:ascii="Times New Roman" w:hAnsi="Times New Roman"/>
        </w:rPr>
        <w:t xml:space="preserve"> within the meaning of an undertaking as to damages</w:t>
      </w:r>
      <w:r w:rsidR="00184F25" w:rsidRPr="00B14447">
        <w:rPr>
          <w:rFonts w:ascii="Times New Roman" w:hAnsi="Times New Roman"/>
        </w:rPr>
        <w:t>,</w:t>
      </w:r>
      <w:r w:rsidR="00D36BEF" w:rsidRPr="00B14447">
        <w:rPr>
          <w:rFonts w:ascii="Times New Roman" w:hAnsi="Times New Roman"/>
        </w:rPr>
        <w:t xml:space="preserve"> by the operation of an interlocutory injunction because it must be in the interests of the Commonwealth</w:t>
      </w:r>
      <w:r w:rsidR="006F7B60" w:rsidRPr="00B14447">
        <w:rPr>
          <w:rFonts w:ascii="Times New Roman" w:hAnsi="Times New Roman"/>
        </w:rPr>
        <w:t>,</w:t>
      </w:r>
      <w:r w:rsidR="00D36BEF" w:rsidRPr="00B14447">
        <w:rPr>
          <w:rFonts w:ascii="Times New Roman" w:hAnsi="Times New Roman"/>
        </w:rPr>
        <w:t xml:space="preserve"> as a polity</w:t>
      </w:r>
      <w:r w:rsidR="006F7B60" w:rsidRPr="00B14447">
        <w:rPr>
          <w:rFonts w:ascii="Times New Roman" w:hAnsi="Times New Roman"/>
        </w:rPr>
        <w:t>,</w:t>
      </w:r>
      <w:r w:rsidR="00D36BEF" w:rsidRPr="00B14447">
        <w:rPr>
          <w:rFonts w:ascii="Times New Roman" w:hAnsi="Times New Roman"/>
        </w:rPr>
        <w:t xml:space="preserve"> for the losses to be suffered because they reflect the impact upon a body politic of orders made by the judicial branch "in aid of rights asserted under </w:t>
      </w:r>
      <w:r w:rsidR="004F4D59" w:rsidRPr="00B14447">
        <w:rPr>
          <w:rFonts w:ascii="Times New Roman" w:hAnsi="Times New Roman"/>
        </w:rPr>
        <w:t xml:space="preserve">the </w:t>
      </w:r>
      <w:r w:rsidR="00D36BEF" w:rsidRPr="00B14447">
        <w:rPr>
          <w:rFonts w:ascii="Times New Roman" w:hAnsi="Times New Roman"/>
        </w:rPr>
        <w:t xml:space="preserve">laws of the Commonwealth". </w:t>
      </w:r>
    </w:p>
    <w:p w14:paraId="1421C145" w14:textId="7662049E" w:rsidR="00BC54F6" w:rsidRPr="00B14447" w:rsidRDefault="00D872EC" w:rsidP="00B14447">
      <w:pPr>
        <w:pStyle w:val="FixListStyle"/>
        <w:spacing w:after="260" w:line="280" w:lineRule="exact"/>
        <w:ind w:right="0"/>
        <w:jc w:val="both"/>
        <w:rPr>
          <w:rFonts w:ascii="Times New Roman" w:hAnsi="Times New Roman"/>
          <w:iCs/>
        </w:rPr>
      </w:pPr>
      <w:r w:rsidRPr="00B14447">
        <w:rPr>
          <w:rFonts w:ascii="Times New Roman" w:hAnsi="Times New Roman"/>
          <w:iCs/>
        </w:rPr>
        <w:t xml:space="preserve">The fourth </w:t>
      </w:r>
      <w:r w:rsidR="00AC7CEA" w:rsidRPr="00B14447">
        <w:rPr>
          <w:rFonts w:ascii="Times New Roman" w:hAnsi="Times New Roman"/>
          <w:iCs/>
        </w:rPr>
        <w:t>ground of contention would, if correct, be a simple answer to the whole of this appeal. But it is not correct.</w:t>
      </w:r>
      <w:r w:rsidR="00BC54F6" w:rsidRPr="00B14447">
        <w:rPr>
          <w:rFonts w:ascii="Times New Roman" w:hAnsi="Times New Roman"/>
          <w:iCs/>
        </w:rPr>
        <w:t xml:space="preserve"> </w:t>
      </w:r>
      <w:r w:rsidR="002B7394" w:rsidRPr="00B14447">
        <w:rPr>
          <w:rFonts w:ascii="Times New Roman" w:hAnsi="Times New Roman"/>
          <w:iCs/>
        </w:rPr>
        <w:t xml:space="preserve">Each of the submissions that support the fourth ground of contention assumes that a loss to the body politic of the Commonwealth of Australia </w:t>
      </w:r>
      <w:r w:rsidR="00DF6E2F" w:rsidRPr="00B14447">
        <w:rPr>
          <w:rFonts w:ascii="Times New Roman" w:hAnsi="Times New Roman"/>
          <w:iCs/>
        </w:rPr>
        <w:t>is to be treated differently from a loss to any other legal person</w:t>
      </w:r>
      <w:r w:rsidR="00694123" w:rsidRPr="00B14447">
        <w:rPr>
          <w:rFonts w:ascii="Times New Roman" w:hAnsi="Times New Roman"/>
          <w:iCs/>
        </w:rPr>
        <w:t xml:space="preserve"> because </w:t>
      </w:r>
      <w:r w:rsidR="003F0FD8" w:rsidRPr="00B14447">
        <w:rPr>
          <w:rFonts w:ascii="Times New Roman" w:hAnsi="Times New Roman"/>
          <w:iCs/>
        </w:rPr>
        <w:t xml:space="preserve">the </w:t>
      </w:r>
      <w:r w:rsidR="00C0608F" w:rsidRPr="00B14447">
        <w:rPr>
          <w:rFonts w:ascii="Times New Roman" w:hAnsi="Times New Roman"/>
          <w:iCs/>
        </w:rPr>
        <w:t xml:space="preserve">alleged </w:t>
      </w:r>
      <w:r w:rsidR="003F0FD8" w:rsidRPr="00B14447">
        <w:rPr>
          <w:rFonts w:ascii="Times New Roman" w:hAnsi="Times New Roman"/>
          <w:iCs/>
        </w:rPr>
        <w:t xml:space="preserve">loss arises from </w:t>
      </w:r>
      <w:r w:rsidR="00BC54F6" w:rsidRPr="00B14447">
        <w:rPr>
          <w:rFonts w:ascii="Times New Roman" w:hAnsi="Times New Roman"/>
        </w:rPr>
        <w:t>"a legislative scheme for social welfare"</w:t>
      </w:r>
      <w:r w:rsidR="00DA3CCE" w:rsidRPr="00B14447">
        <w:rPr>
          <w:rFonts w:ascii="Times New Roman" w:hAnsi="Times New Roman"/>
        </w:rPr>
        <w:t>,</w:t>
      </w:r>
      <w:r w:rsidR="003F0FD8" w:rsidRPr="00B14447">
        <w:rPr>
          <w:rFonts w:ascii="Times New Roman" w:hAnsi="Times New Roman"/>
        </w:rPr>
        <w:t xml:space="preserve"> from </w:t>
      </w:r>
      <w:r w:rsidR="00BC54F6" w:rsidRPr="00B14447">
        <w:rPr>
          <w:rFonts w:ascii="Times New Roman" w:hAnsi="Times New Roman"/>
        </w:rPr>
        <w:t>"the operation of the Commonwealth's own laws"</w:t>
      </w:r>
      <w:r w:rsidR="007350A8" w:rsidRPr="00B14447">
        <w:rPr>
          <w:rFonts w:ascii="Times New Roman" w:hAnsi="Times New Roman"/>
        </w:rPr>
        <w:t>,</w:t>
      </w:r>
      <w:r w:rsidR="003F0FD8" w:rsidRPr="00B14447">
        <w:rPr>
          <w:rFonts w:ascii="Times New Roman" w:hAnsi="Times New Roman"/>
        </w:rPr>
        <w:t xml:space="preserve"> or </w:t>
      </w:r>
      <w:r w:rsidR="009962B1" w:rsidRPr="00B14447">
        <w:rPr>
          <w:rFonts w:ascii="Times New Roman" w:hAnsi="Times New Roman"/>
        </w:rPr>
        <w:t xml:space="preserve">from </w:t>
      </w:r>
      <w:r w:rsidR="00132754" w:rsidRPr="00B14447">
        <w:rPr>
          <w:rFonts w:ascii="Times New Roman" w:hAnsi="Times New Roman"/>
        </w:rPr>
        <w:t xml:space="preserve">actions of the judicial </w:t>
      </w:r>
      <w:r w:rsidR="002F2BF3" w:rsidRPr="00B14447">
        <w:rPr>
          <w:rFonts w:ascii="Times New Roman" w:hAnsi="Times New Roman"/>
        </w:rPr>
        <w:t>branch of the Commonwealth</w:t>
      </w:r>
      <w:r w:rsidR="004119A3" w:rsidRPr="00B14447">
        <w:rPr>
          <w:rFonts w:ascii="Times New Roman" w:hAnsi="Times New Roman"/>
        </w:rPr>
        <w:t xml:space="preserve"> in enforcing those laws</w:t>
      </w:r>
      <w:r w:rsidR="00BC54F6" w:rsidRPr="00B14447">
        <w:rPr>
          <w:rFonts w:ascii="Times New Roman" w:hAnsi="Times New Roman"/>
        </w:rPr>
        <w:t xml:space="preserve">. </w:t>
      </w:r>
    </w:p>
    <w:p w14:paraId="58DAD851" w14:textId="2C08AE9F" w:rsidR="00590046" w:rsidRPr="00B14447" w:rsidRDefault="00AC7CEA" w:rsidP="00B14447">
      <w:pPr>
        <w:pStyle w:val="FixListStyle"/>
        <w:spacing w:after="260" w:line="280" w:lineRule="exact"/>
        <w:ind w:right="0"/>
        <w:jc w:val="both"/>
        <w:rPr>
          <w:rFonts w:ascii="Times New Roman" w:hAnsi="Times New Roman"/>
          <w:iCs/>
        </w:rPr>
      </w:pPr>
      <w:r w:rsidRPr="00B14447">
        <w:rPr>
          <w:rFonts w:ascii="Times New Roman" w:hAnsi="Times New Roman"/>
          <w:iCs/>
        </w:rPr>
        <w:tab/>
        <w:t xml:space="preserve"> </w:t>
      </w:r>
      <w:r w:rsidR="00E9144D" w:rsidRPr="00B14447">
        <w:rPr>
          <w:rFonts w:ascii="Times New Roman" w:hAnsi="Times New Roman"/>
          <w:iCs/>
        </w:rPr>
        <w:t xml:space="preserve">Each aspect of this argument involves a basic </w:t>
      </w:r>
      <w:r w:rsidR="003E7955" w:rsidRPr="00B14447">
        <w:rPr>
          <w:rFonts w:ascii="Times New Roman" w:hAnsi="Times New Roman"/>
          <w:iCs/>
        </w:rPr>
        <w:t xml:space="preserve">constitutional misconception. </w:t>
      </w:r>
      <w:r w:rsidR="00400B34" w:rsidRPr="00B14447">
        <w:rPr>
          <w:rFonts w:ascii="Times New Roman" w:hAnsi="Times New Roman"/>
          <w:iCs/>
        </w:rPr>
        <w:t xml:space="preserve">The Commonwealth of Australia, as a body politic, is a legal person with three "branches" or </w:t>
      </w:r>
      <w:r w:rsidR="00960A60" w:rsidRPr="00B14447">
        <w:rPr>
          <w:rFonts w:ascii="Times New Roman" w:hAnsi="Times New Roman"/>
          <w:iCs/>
        </w:rPr>
        <w:t>dimensions of power.</w:t>
      </w:r>
      <w:r w:rsidR="00960A60" w:rsidRPr="00B14447">
        <w:rPr>
          <w:rStyle w:val="FootnoteReference"/>
          <w:rFonts w:ascii="Times New Roman" w:hAnsi="Times New Roman"/>
          <w:iCs/>
          <w:sz w:val="24"/>
        </w:rPr>
        <w:footnoteReference w:id="174"/>
      </w:r>
      <w:r w:rsidR="00F76C16" w:rsidRPr="00B14447">
        <w:rPr>
          <w:rFonts w:ascii="Times New Roman" w:hAnsi="Times New Roman"/>
          <w:iCs/>
        </w:rPr>
        <w:t xml:space="preserve"> </w:t>
      </w:r>
      <w:r w:rsidR="00B17D91" w:rsidRPr="00B14447">
        <w:rPr>
          <w:rFonts w:ascii="Times New Roman" w:hAnsi="Times New Roman"/>
          <w:iCs/>
        </w:rPr>
        <w:t xml:space="preserve">But as a </w:t>
      </w:r>
      <w:r w:rsidR="0003170F" w:rsidRPr="00B14447">
        <w:rPr>
          <w:rFonts w:ascii="Times New Roman" w:hAnsi="Times New Roman"/>
          <w:iCs/>
        </w:rPr>
        <w:t>legal person</w:t>
      </w:r>
      <w:r w:rsidR="00B17D91" w:rsidRPr="00B14447">
        <w:rPr>
          <w:rFonts w:ascii="Times New Roman" w:hAnsi="Times New Roman"/>
          <w:iCs/>
        </w:rPr>
        <w:t xml:space="preserve">, the </w:t>
      </w:r>
      <w:r w:rsidR="00662B21" w:rsidRPr="00B14447">
        <w:rPr>
          <w:rFonts w:ascii="Times New Roman" w:hAnsi="Times New Roman"/>
          <w:iCs/>
        </w:rPr>
        <w:t>body politic</w:t>
      </w:r>
      <w:r w:rsidR="00B17D91" w:rsidRPr="00B14447">
        <w:rPr>
          <w:rFonts w:ascii="Times New Roman" w:hAnsi="Times New Roman"/>
          <w:iCs/>
        </w:rPr>
        <w:t xml:space="preserve"> generally falls to be treated in the same way as any other person. </w:t>
      </w:r>
      <w:r w:rsidR="00D31425" w:rsidRPr="00B14447">
        <w:rPr>
          <w:rFonts w:ascii="Times New Roman" w:hAnsi="Times New Roman"/>
          <w:iCs/>
        </w:rPr>
        <w:t>Section</w:t>
      </w:r>
      <w:r w:rsidR="0003170F" w:rsidRPr="00B14447">
        <w:rPr>
          <w:rFonts w:ascii="Times New Roman" w:hAnsi="Times New Roman"/>
        </w:rPr>
        <w:t> </w:t>
      </w:r>
      <w:r w:rsidR="00D31425" w:rsidRPr="00B14447">
        <w:rPr>
          <w:rFonts w:ascii="Times New Roman" w:hAnsi="Times New Roman"/>
          <w:iCs/>
        </w:rPr>
        <w:t xml:space="preserve">64 of the </w:t>
      </w:r>
      <w:r w:rsidR="00D31425" w:rsidRPr="00B14447">
        <w:rPr>
          <w:rFonts w:ascii="Times New Roman" w:hAnsi="Times New Roman"/>
          <w:i/>
        </w:rPr>
        <w:t xml:space="preserve">Judiciary Act 1903 </w:t>
      </w:r>
      <w:r w:rsidR="00D31425" w:rsidRPr="00B14447">
        <w:rPr>
          <w:rFonts w:ascii="Times New Roman" w:hAnsi="Times New Roman"/>
          <w:iCs/>
        </w:rPr>
        <w:t xml:space="preserve">(Cth) assumes that this equality of treatment </w:t>
      </w:r>
      <w:r w:rsidR="009150A8" w:rsidRPr="00B14447">
        <w:rPr>
          <w:rFonts w:ascii="Times New Roman" w:hAnsi="Times New Roman"/>
          <w:iCs/>
        </w:rPr>
        <w:t xml:space="preserve">with </w:t>
      </w:r>
      <w:r w:rsidR="0003170F" w:rsidRPr="00B14447">
        <w:rPr>
          <w:rFonts w:ascii="Times New Roman" w:hAnsi="Times New Roman"/>
          <w:iCs/>
        </w:rPr>
        <w:t>subjects of the Crown</w:t>
      </w:r>
      <w:r w:rsidR="009150A8" w:rsidRPr="00B14447">
        <w:rPr>
          <w:rFonts w:ascii="Times New Roman" w:hAnsi="Times New Roman"/>
          <w:iCs/>
        </w:rPr>
        <w:t xml:space="preserve"> </w:t>
      </w:r>
      <w:r w:rsidR="00D31425" w:rsidRPr="00B14447">
        <w:rPr>
          <w:rFonts w:ascii="Times New Roman" w:hAnsi="Times New Roman"/>
          <w:iCs/>
        </w:rPr>
        <w:t xml:space="preserve">will apply not merely to duties imposed upon the </w:t>
      </w:r>
      <w:r w:rsidR="006B45BC" w:rsidRPr="00B14447">
        <w:rPr>
          <w:rFonts w:ascii="Times New Roman" w:hAnsi="Times New Roman"/>
          <w:iCs/>
        </w:rPr>
        <w:t>public generally</w:t>
      </w:r>
      <w:r w:rsidR="009150A8" w:rsidRPr="00B14447">
        <w:rPr>
          <w:rStyle w:val="FootnoteReference"/>
          <w:rFonts w:ascii="Times New Roman" w:hAnsi="Times New Roman"/>
          <w:iCs/>
          <w:sz w:val="24"/>
        </w:rPr>
        <w:footnoteReference w:id="175"/>
      </w:r>
      <w:r w:rsidR="006B45BC" w:rsidRPr="00B14447">
        <w:rPr>
          <w:rFonts w:ascii="Times New Roman" w:hAnsi="Times New Roman"/>
          <w:iCs/>
        </w:rPr>
        <w:t xml:space="preserve"> </w:t>
      </w:r>
      <w:r w:rsidR="00D31425" w:rsidRPr="00B14447">
        <w:rPr>
          <w:rFonts w:ascii="Times New Roman" w:hAnsi="Times New Roman"/>
          <w:iCs/>
        </w:rPr>
        <w:t xml:space="preserve">but also to rights that are granted </w:t>
      </w:r>
      <w:r w:rsidR="006B45BC" w:rsidRPr="00B14447">
        <w:rPr>
          <w:rFonts w:ascii="Times New Roman" w:hAnsi="Times New Roman"/>
          <w:iCs/>
        </w:rPr>
        <w:t>to the public generally.</w:t>
      </w:r>
    </w:p>
    <w:p w14:paraId="0794809F" w14:textId="136BDA9E" w:rsidR="0009638D" w:rsidRPr="00B14447" w:rsidRDefault="00590046" w:rsidP="00B14447">
      <w:pPr>
        <w:pStyle w:val="FixListStyle"/>
        <w:spacing w:after="260" w:line="280" w:lineRule="exact"/>
        <w:ind w:right="0"/>
        <w:jc w:val="both"/>
        <w:rPr>
          <w:rFonts w:ascii="Times New Roman" w:hAnsi="Times New Roman"/>
          <w:iCs/>
        </w:rPr>
      </w:pPr>
      <w:r w:rsidRPr="00B14447">
        <w:rPr>
          <w:rFonts w:ascii="Times New Roman" w:hAnsi="Times New Roman"/>
          <w:iCs/>
        </w:rPr>
        <w:tab/>
      </w:r>
      <w:r w:rsidR="0046700F" w:rsidRPr="00B14447">
        <w:rPr>
          <w:rFonts w:ascii="Times New Roman" w:hAnsi="Times New Roman"/>
          <w:iCs/>
        </w:rPr>
        <w:t xml:space="preserve">That constitutional background informs the interpretation of Sanofi's undertaking as to damages. </w:t>
      </w:r>
      <w:r w:rsidR="00231404" w:rsidRPr="00B14447">
        <w:rPr>
          <w:rFonts w:ascii="Times New Roman" w:hAnsi="Times New Roman"/>
          <w:iCs/>
        </w:rPr>
        <w:t xml:space="preserve">It is possible, although </w:t>
      </w:r>
      <w:r w:rsidR="008760AE" w:rsidRPr="00B14447">
        <w:rPr>
          <w:rFonts w:ascii="Times New Roman" w:hAnsi="Times New Roman"/>
          <w:iCs/>
        </w:rPr>
        <w:t>very unlikely, that an undertaking as to damages might be given in terms which</w:t>
      </w:r>
      <w:r w:rsidR="00A55929" w:rsidRPr="00B14447">
        <w:rPr>
          <w:rFonts w:ascii="Times New Roman" w:hAnsi="Times New Roman"/>
          <w:iCs/>
        </w:rPr>
        <w:t>, while extending to third parties,</w:t>
      </w:r>
      <w:r w:rsidR="008760AE" w:rsidRPr="00B14447">
        <w:rPr>
          <w:rFonts w:ascii="Times New Roman" w:hAnsi="Times New Roman"/>
          <w:iCs/>
        </w:rPr>
        <w:t xml:space="preserve"> expressly or impliedly</w:t>
      </w:r>
      <w:r w:rsidR="00A55929" w:rsidRPr="00B14447">
        <w:rPr>
          <w:rFonts w:ascii="Times New Roman" w:hAnsi="Times New Roman"/>
          <w:iCs/>
        </w:rPr>
        <w:t xml:space="preserve"> exclude the</w:t>
      </w:r>
      <w:r w:rsidR="00391A57" w:rsidRPr="00B14447">
        <w:rPr>
          <w:rFonts w:ascii="Times New Roman" w:hAnsi="Times New Roman"/>
          <w:iCs/>
        </w:rPr>
        <w:t xml:space="preserve"> effect </w:t>
      </w:r>
      <w:r w:rsidR="00970EAB" w:rsidRPr="00B14447">
        <w:rPr>
          <w:rFonts w:ascii="Times New Roman" w:hAnsi="Times New Roman"/>
          <w:iCs/>
        </w:rPr>
        <w:t xml:space="preserve">of the interlocutory injunction </w:t>
      </w:r>
      <w:r w:rsidR="00391A57" w:rsidRPr="00B14447">
        <w:rPr>
          <w:rFonts w:ascii="Times New Roman" w:hAnsi="Times New Roman"/>
          <w:iCs/>
        </w:rPr>
        <w:t>on the body politic of the Commonwealth of Australia as a third party.</w:t>
      </w:r>
      <w:r w:rsidR="008760AE" w:rsidRPr="00B14447">
        <w:rPr>
          <w:rFonts w:ascii="Times New Roman" w:hAnsi="Times New Roman"/>
          <w:iCs/>
        </w:rPr>
        <w:t xml:space="preserve"> </w:t>
      </w:r>
      <w:r w:rsidR="005C4E6A" w:rsidRPr="00B14447">
        <w:rPr>
          <w:rFonts w:ascii="Times New Roman" w:hAnsi="Times New Roman"/>
          <w:iCs/>
        </w:rPr>
        <w:t>But, a</w:t>
      </w:r>
      <w:r w:rsidR="00301DFB" w:rsidRPr="00B14447">
        <w:rPr>
          <w:rFonts w:ascii="Times New Roman" w:hAnsi="Times New Roman"/>
          <w:iCs/>
        </w:rPr>
        <w:t xml:space="preserve">s </w:t>
      </w:r>
      <w:r w:rsidR="00301DFB" w:rsidRPr="00B14447">
        <w:rPr>
          <w:rFonts w:ascii="Times New Roman" w:hAnsi="Times New Roman"/>
          <w:iCs/>
        </w:rPr>
        <w:lastRenderedPageBreak/>
        <w:t xml:space="preserve">explained above in relation to the first ground of the notice of contention, the undertaking by Sanofi </w:t>
      </w:r>
      <w:r w:rsidR="005C4E6A" w:rsidRPr="00B14447">
        <w:rPr>
          <w:rFonts w:ascii="Times New Roman" w:hAnsi="Times New Roman"/>
          <w:iCs/>
        </w:rPr>
        <w:t xml:space="preserve">was plainly not of that nature. Nothing in the terms of Sanofi's undertaking suggested an exclusion of the Commonwealth of Australia from its scope. Rather, the context in which the undertaking was given </w:t>
      </w:r>
      <w:r w:rsidR="00153919" w:rsidRPr="00B14447">
        <w:rPr>
          <w:rFonts w:ascii="Times New Roman" w:hAnsi="Times New Roman"/>
          <w:iCs/>
        </w:rPr>
        <w:t xml:space="preserve">involved express recognition that the Commonwealth of Australia was contemplated as within the scope of the undertaking. </w:t>
      </w:r>
    </w:p>
    <w:p w14:paraId="04064D61" w14:textId="3AE7964C" w:rsidR="00B53F9F" w:rsidRPr="00B14447" w:rsidRDefault="00851BB9" w:rsidP="00B14447">
      <w:pPr>
        <w:pStyle w:val="HeadingL2"/>
        <w:spacing w:after="260" w:line="280" w:lineRule="exact"/>
        <w:ind w:right="0"/>
        <w:jc w:val="both"/>
        <w:rPr>
          <w:rFonts w:ascii="Times New Roman" w:hAnsi="Times New Roman"/>
          <w:i w:val="0"/>
          <w:iCs/>
        </w:rPr>
      </w:pPr>
      <w:r w:rsidRPr="00B14447">
        <w:rPr>
          <w:rFonts w:ascii="Times New Roman" w:hAnsi="Times New Roman"/>
        </w:rPr>
        <w:t xml:space="preserve">(4) </w:t>
      </w:r>
      <w:r w:rsidR="00D76CCC" w:rsidRPr="00B14447">
        <w:rPr>
          <w:rFonts w:ascii="Times New Roman" w:hAnsi="Times New Roman"/>
        </w:rPr>
        <w:tab/>
      </w:r>
      <w:r w:rsidR="009D36E9" w:rsidRPr="00B14447">
        <w:rPr>
          <w:rFonts w:ascii="Times New Roman" w:hAnsi="Times New Roman"/>
          <w:i w:val="0"/>
          <w:iCs/>
        </w:rPr>
        <w:t>Therapeutic Goods Act 1989 (Cth)</w:t>
      </w:r>
    </w:p>
    <w:p w14:paraId="1AD56BCD" w14:textId="0F1881AB" w:rsidR="00D36BEF" w:rsidRPr="00B14447" w:rsidRDefault="00B53F9F" w:rsidP="00B14447">
      <w:pPr>
        <w:pStyle w:val="FixListStyle"/>
        <w:spacing w:after="260" w:line="280" w:lineRule="exact"/>
        <w:ind w:right="0"/>
        <w:jc w:val="both"/>
        <w:rPr>
          <w:rFonts w:ascii="Times New Roman" w:hAnsi="Times New Roman"/>
        </w:rPr>
      </w:pPr>
      <w:r w:rsidRPr="00B14447">
        <w:rPr>
          <w:rFonts w:ascii="Times New Roman" w:hAnsi="Times New Roman"/>
          <w:iCs/>
        </w:rPr>
        <w:tab/>
      </w:r>
      <w:r w:rsidR="00D36BEF" w:rsidRPr="00B14447">
        <w:rPr>
          <w:rFonts w:ascii="Times New Roman" w:hAnsi="Times New Roman"/>
        </w:rPr>
        <w:t>The seventh ground of contention concerns an argument that was the subject of a stated case by the Commonwealth and Sanofi to a differently constituted Full Court.</w:t>
      </w:r>
      <w:r w:rsidR="00D36BEF" w:rsidRPr="00B14447">
        <w:rPr>
          <w:rStyle w:val="FootnoteReference"/>
          <w:rFonts w:ascii="Times New Roman" w:hAnsi="Times New Roman"/>
          <w:sz w:val="24"/>
        </w:rPr>
        <w:footnoteReference w:id="176"/>
      </w:r>
      <w:r w:rsidR="00D36BEF" w:rsidRPr="00B14447">
        <w:rPr>
          <w:rFonts w:ascii="Times New Roman" w:hAnsi="Times New Roman"/>
        </w:rPr>
        <w:t xml:space="preserve"> That </w:t>
      </w:r>
      <w:r w:rsidR="003D7087" w:rsidRPr="00B14447">
        <w:rPr>
          <w:rFonts w:ascii="Times New Roman" w:hAnsi="Times New Roman"/>
        </w:rPr>
        <w:t xml:space="preserve">argument </w:t>
      </w:r>
      <w:r w:rsidR="00D36BEF" w:rsidRPr="00B14447">
        <w:rPr>
          <w:rFonts w:ascii="Times New Roman" w:hAnsi="Times New Roman"/>
        </w:rPr>
        <w:t xml:space="preserve">was rejected by that Full Court and </w:t>
      </w:r>
      <w:r w:rsidR="003D7087" w:rsidRPr="00B14447">
        <w:rPr>
          <w:rFonts w:ascii="Times New Roman" w:hAnsi="Times New Roman"/>
        </w:rPr>
        <w:t>two</w:t>
      </w:r>
      <w:r w:rsidR="00D36BEF" w:rsidRPr="00B14447">
        <w:rPr>
          <w:rFonts w:ascii="Times New Roman" w:hAnsi="Times New Roman"/>
        </w:rPr>
        <w:t xml:space="preserve"> application</w:t>
      </w:r>
      <w:r w:rsidR="003D7087" w:rsidRPr="00B14447">
        <w:rPr>
          <w:rFonts w:ascii="Times New Roman" w:hAnsi="Times New Roman"/>
        </w:rPr>
        <w:t>s</w:t>
      </w:r>
      <w:r w:rsidR="00D36BEF" w:rsidRPr="00B14447">
        <w:rPr>
          <w:rFonts w:ascii="Times New Roman" w:hAnsi="Times New Roman"/>
        </w:rPr>
        <w:t xml:space="preserve"> for special leave</w:t>
      </w:r>
      <w:r w:rsidR="00515048" w:rsidRPr="00B14447">
        <w:rPr>
          <w:rFonts w:ascii="Times New Roman" w:hAnsi="Times New Roman"/>
        </w:rPr>
        <w:t xml:space="preserve"> to appeal</w:t>
      </w:r>
      <w:r w:rsidR="00D36BEF" w:rsidRPr="00B14447">
        <w:rPr>
          <w:rFonts w:ascii="Times New Roman" w:hAnsi="Times New Roman"/>
        </w:rPr>
        <w:t xml:space="preserve"> </w:t>
      </w:r>
      <w:r w:rsidR="003D7087" w:rsidRPr="00B14447">
        <w:rPr>
          <w:rFonts w:ascii="Times New Roman" w:hAnsi="Times New Roman"/>
        </w:rPr>
        <w:t>from that judg</w:t>
      </w:r>
      <w:r w:rsidR="00A90C14" w:rsidRPr="00B14447">
        <w:rPr>
          <w:rFonts w:ascii="Times New Roman" w:hAnsi="Times New Roman"/>
        </w:rPr>
        <w:t>m</w:t>
      </w:r>
      <w:r w:rsidR="003D7087" w:rsidRPr="00B14447">
        <w:rPr>
          <w:rFonts w:ascii="Times New Roman" w:hAnsi="Times New Roman"/>
        </w:rPr>
        <w:t>e</w:t>
      </w:r>
      <w:r w:rsidR="00A90C14" w:rsidRPr="00B14447">
        <w:rPr>
          <w:rFonts w:ascii="Times New Roman" w:hAnsi="Times New Roman"/>
        </w:rPr>
        <w:t>nt</w:t>
      </w:r>
      <w:r w:rsidR="003D7087" w:rsidRPr="00B14447">
        <w:rPr>
          <w:rFonts w:ascii="Times New Roman" w:hAnsi="Times New Roman"/>
        </w:rPr>
        <w:t xml:space="preserve"> </w:t>
      </w:r>
      <w:r w:rsidR="00D36BEF" w:rsidRPr="00B14447">
        <w:rPr>
          <w:rFonts w:ascii="Times New Roman" w:hAnsi="Times New Roman"/>
        </w:rPr>
        <w:t>to this Court w</w:t>
      </w:r>
      <w:r w:rsidR="003D7087" w:rsidRPr="00B14447">
        <w:rPr>
          <w:rFonts w:ascii="Times New Roman" w:hAnsi="Times New Roman"/>
        </w:rPr>
        <w:t>ere</w:t>
      </w:r>
      <w:r w:rsidR="00D36BEF" w:rsidRPr="00B14447">
        <w:rPr>
          <w:rFonts w:ascii="Times New Roman" w:hAnsi="Times New Roman"/>
        </w:rPr>
        <w:t xml:space="preserve"> refused.</w:t>
      </w:r>
      <w:r w:rsidR="00D36BEF" w:rsidRPr="00B14447">
        <w:rPr>
          <w:rStyle w:val="FootnoteReference"/>
          <w:rFonts w:ascii="Times New Roman" w:hAnsi="Times New Roman"/>
          <w:sz w:val="24"/>
        </w:rPr>
        <w:footnoteReference w:id="177"/>
      </w:r>
      <w:r w:rsidR="00D36BEF" w:rsidRPr="00B14447">
        <w:rPr>
          <w:rFonts w:ascii="Times New Roman" w:hAnsi="Times New Roman"/>
        </w:rPr>
        <w:t xml:space="preserve"> Sanofi now seek</w:t>
      </w:r>
      <w:r w:rsidR="00A90C14" w:rsidRPr="00B14447">
        <w:rPr>
          <w:rFonts w:ascii="Times New Roman" w:hAnsi="Times New Roman"/>
        </w:rPr>
        <w:t>s</w:t>
      </w:r>
      <w:r w:rsidR="00D36BEF" w:rsidRPr="00B14447">
        <w:rPr>
          <w:rFonts w:ascii="Times New Roman" w:hAnsi="Times New Roman"/>
        </w:rPr>
        <w:t xml:space="preserve"> to reagitate the point, arguing that the provisions of the </w:t>
      </w:r>
      <w:r w:rsidR="00D36BEF" w:rsidRPr="00B14447">
        <w:rPr>
          <w:rFonts w:ascii="Times New Roman" w:hAnsi="Times New Roman"/>
          <w:i/>
          <w:iCs/>
        </w:rPr>
        <w:t xml:space="preserve">Therapeutic Goods Act 1989 </w:t>
      </w:r>
      <w:r w:rsidR="00D36BEF" w:rsidRPr="00B14447">
        <w:rPr>
          <w:rFonts w:ascii="Times New Roman" w:hAnsi="Times New Roman"/>
        </w:rPr>
        <w:t xml:space="preserve">(Cth) constitute a specific regime that </w:t>
      </w:r>
      <w:r w:rsidR="00A90C14" w:rsidRPr="00B14447">
        <w:rPr>
          <w:rFonts w:ascii="Times New Roman" w:hAnsi="Times New Roman"/>
        </w:rPr>
        <w:t xml:space="preserve">is </w:t>
      </w:r>
      <w:r w:rsidR="00D36BEF" w:rsidRPr="00B14447">
        <w:rPr>
          <w:rFonts w:ascii="Times New Roman" w:hAnsi="Times New Roman"/>
        </w:rPr>
        <w:t>a code for the recovery of compensation for loss arising from the erroneous assertion of patent rights.</w:t>
      </w:r>
    </w:p>
    <w:p w14:paraId="7C76A534" w14:textId="3E4D6084" w:rsidR="001E3348" w:rsidRPr="00B14447" w:rsidRDefault="00920FEF" w:rsidP="00B14447">
      <w:pPr>
        <w:pStyle w:val="FixListStyle"/>
        <w:spacing w:after="260" w:line="280" w:lineRule="exact"/>
        <w:ind w:right="0"/>
        <w:jc w:val="both"/>
        <w:rPr>
          <w:rFonts w:ascii="Times New Roman" w:hAnsi="Times New Roman"/>
          <w:iCs/>
        </w:rPr>
      </w:pPr>
      <w:r w:rsidRPr="00B14447">
        <w:rPr>
          <w:rFonts w:ascii="Times New Roman" w:hAnsi="Times New Roman"/>
          <w:iCs/>
        </w:rPr>
        <w:tab/>
      </w:r>
      <w:r w:rsidR="00973A52" w:rsidRPr="00B14447">
        <w:rPr>
          <w:rFonts w:ascii="Times New Roman" w:hAnsi="Times New Roman"/>
          <w:iCs/>
        </w:rPr>
        <w:t>Th</w:t>
      </w:r>
      <w:r w:rsidR="001E3348" w:rsidRPr="00B14447">
        <w:rPr>
          <w:rFonts w:ascii="Times New Roman" w:hAnsi="Times New Roman"/>
          <w:iCs/>
        </w:rPr>
        <w:t>is</w:t>
      </w:r>
      <w:r w:rsidR="00973A52" w:rsidRPr="00B14447">
        <w:rPr>
          <w:rFonts w:ascii="Times New Roman" w:hAnsi="Times New Roman"/>
          <w:iCs/>
        </w:rPr>
        <w:t xml:space="preserve"> </w:t>
      </w:r>
      <w:r w:rsidR="001E3348" w:rsidRPr="00B14447">
        <w:rPr>
          <w:rFonts w:ascii="Times New Roman" w:hAnsi="Times New Roman"/>
          <w:iCs/>
        </w:rPr>
        <w:t>ground of contention</w:t>
      </w:r>
      <w:r w:rsidR="00973A52" w:rsidRPr="00B14447">
        <w:rPr>
          <w:rFonts w:ascii="Times New Roman" w:hAnsi="Times New Roman"/>
          <w:iCs/>
        </w:rPr>
        <w:t xml:space="preserve"> was </w:t>
      </w:r>
      <w:r w:rsidR="002B771D" w:rsidRPr="00B14447">
        <w:rPr>
          <w:rFonts w:ascii="Times New Roman" w:hAnsi="Times New Roman"/>
          <w:iCs/>
        </w:rPr>
        <w:t xml:space="preserve">unsuccessfully </w:t>
      </w:r>
      <w:r w:rsidR="00973A52" w:rsidRPr="00B14447">
        <w:rPr>
          <w:rFonts w:ascii="Times New Roman" w:hAnsi="Times New Roman"/>
          <w:iCs/>
        </w:rPr>
        <w:t xml:space="preserve">agitated </w:t>
      </w:r>
      <w:r w:rsidR="0016621B" w:rsidRPr="00B14447">
        <w:rPr>
          <w:rFonts w:ascii="Times New Roman" w:hAnsi="Times New Roman"/>
          <w:iCs/>
        </w:rPr>
        <w:t xml:space="preserve">by Sanofi as an interlocutory argument in </w:t>
      </w:r>
      <w:r w:rsidR="009B51D0" w:rsidRPr="00B14447">
        <w:rPr>
          <w:rFonts w:ascii="Times New Roman" w:hAnsi="Times New Roman"/>
          <w:iCs/>
        </w:rPr>
        <w:t xml:space="preserve">a </w:t>
      </w:r>
      <w:r w:rsidR="0016621B" w:rsidRPr="00B14447">
        <w:rPr>
          <w:rFonts w:ascii="Times New Roman" w:hAnsi="Times New Roman"/>
          <w:iCs/>
        </w:rPr>
        <w:t>proceeding</w:t>
      </w:r>
      <w:r w:rsidR="002B771D" w:rsidRPr="00B14447">
        <w:rPr>
          <w:rFonts w:ascii="Times New Roman" w:hAnsi="Times New Roman"/>
          <w:iCs/>
        </w:rPr>
        <w:t xml:space="preserve"> where the argument was fully ventilated and </w:t>
      </w:r>
      <w:r w:rsidR="00842CE2" w:rsidRPr="00B14447">
        <w:rPr>
          <w:rFonts w:ascii="Times New Roman" w:hAnsi="Times New Roman"/>
          <w:iCs/>
        </w:rPr>
        <w:t xml:space="preserve">full reasoning was given for rejecting it </w:t>
      </w:r>
      <w:r w:rsidR="00344089" w:rsidRPr="00B14447">
        <w:rPr>
          <w:rFonts w:ascii="Times New Roman" w:hAnsi="Times New Roman"/>
          <w:iCs/>
        </w:rPr>
        <w:t xml:space="preserve">on a case stated to the </w:t>
      </w:r>
      <w:r w:rsidR="00842CE2" w:rsidRPr="00B14447">
        <w:rPr>
          <w:rFonts w:ascii="Times New Roman" w:hAnsi="Times New Roman"/>
          <w:iCs/>
        </w:rPr>
        <w:t>Full Court</w:t>
      </w:r>
      <w:r w:rsidR="00FD05C1" w:rsidRPr="00B14447">
        <w:rPr>
          <w:rFonts w:ascii="Times New Roman" w:hAnsi="Times New Roman"/>
          <w:iCs/>
        </w:rPr>
        <w:t xml:space="preserve">, </w:t>
      </w:r>
      <w:r w:rsidR="009B51D0" w:rsidRPr="00B14447">
        <w:rPr>
          <w:rFonts w:ascii="Times New Roman" w:hAnsi="Times New Roman"/>
          <w:iCs/>
        </w:rPr>
        <w:t xml:space="preserve">and </w:t>
      </w:r>
      <w:r w:rsidR="00FD05C1" w:rsidRPr="00B14447">
        <w:rPr>
          <w:rFonts w:ascii="Times New Roman" w:hAnsi="Times New Roman"/>
          <w:iCs/>
        </w:rPr>
        <w:t xml:space="preserve">which is the very same proceeding from which </w:t>
      </w:r>
      <w:r w:rsidR="00DB5B24" w:rsidRPr="00B14447">
        <w:rPr>
          <w:rFonts w:ascii="Times New Roman" w:hAnsi="Times New Roman"/>
          <w:iCs/>
        </w:rPr>
        <w:t>th</w:t>
      </w:r>
      <w:r w:rsidR="00CD5043" w:rsidRPr="00B14447">
        <w:rPr>
          <w:rFonts w:ascii="Times New Roman" w:hAnsi="Times New Roman"/>
          <w:iCs/>
        </w:rPr>
        <w:t>is</w:t>
      </w:r>
      <w:r w:rsidR="00DB5B24" w:rsidRPr="00B14447">
        <w:rPr>
          <w:rFonts w:ascii="Times New Roman" w:hAnsi="Times New Roman"/>
          <w:iCs/>
        </w:rPr>
        <w:t xml:space="preserve"> appeal </w:t>
      </w:r>
      <w:r w:rsidR="00DC4476" w:rsidRPr="00B14447">
        <w:rPr>
          <w:rFonts w:ascii="Times New Roman" w:hAnsi="Times New Roman"/>
          <w:iCs/>
        </w:rPr>
        <w:t>lies</w:t>
      </w:r>
      <w:r w:rsidR="0016621B" w:rsidRPr="00B14447">
        <w:rPr>
          <w:rFonts w:ascii="Times New Roman" w:hAnsi="Times New Roman"/>
          <w:iCs/>
        </w:rPr>
        <w:t>.</w:t>
      </w:r>
      <w:r w:rsidR="002B771D" w:rsidRPr="00B14447">
        <w:rPr>
          <w:rStyle w:val="FootnoteReference"/>
          <w:rFonts w:ascii="Times New Roman" w:hAnsi="Times New Roman"/>
          <w:iCs/>
          <w:sz w:val="24"/>
        </w:rPr>
        <w:footnoteReference w:id="178"/>
      </w:r>
      <w:r w:rsidR="00842CE2" w:rsidRPr="00B14447">
        <w:rPr>
          <w:rFonts w:ascii="Times New Roman" w:hAnsi="Times New Roman"/>
          <w:iCs/>
        </w:rPr>
        <w:t xml:space="preserve"> </w:t>
      </w:r>
      <w:r w:rsidR="009A7C76" w:rsidRPr="00B14447">
        <w:rPr>
          <w:rFonts w:ascii="Times New Roman" w:hAnsi="Times New Roman"/>
          <w:iCs/>
        </w:rPr>
        <w:t xml:space="preserve">Sanofi applied </w:t>
      </w:r>
      <w:r w:rsidR="00842CE2" w:rsidRPr="00B14447">
        <w:rPr>
          <w:rFonts w:ascii="Times New Roman" w:hAnsi="Times New Roman"/>
          <w:iCs/>
        </w:rPr>
        <w:t>for special leave to appeal to this Court</w:t>
      </w:r>
      <w:r w:rsidR="00D70B03" w:rsidRPr="00B14447">
        <w:rPr>
          <w:rFonts w:ascii="Times New Roman" w:hAnsi="Times New Roman"/>
          <w:iCs/>
        </w:rPr>
        <w:t>,</w:t>
      </w:r>
      <w:r w:rsidR="00F17FDA" w:rsidRPr="00B14447">
        <w:rPr>
          <w:rFonts w:ascii="Times New Roman" w:hAnsi="Times New Roman"/>
          <w:iCs/>
        </w:rPr>
        <w:t xml:space="preserve"> </w:t>
      </w:r>
      <w:r w:rsidR="007C426D" w:rsidRPr="00B14447">
        <w:rPr>
          <w:rFonts w:ascii="Times New Roman" w:hAnsi="Times New Roman"/>
          <w:iCs/>
        </w:rPr>
        <w:t>from the Full Court's judgment on the stated case</w:t>
      </w:r>
      <w:r w:rsidR="00D70B03" w:rsidRPr="00B14447">
        <w:rPr>
          <w:rFonts w:ascii="Times New Roman" w:hAnsi="Times New Roman"/>
          <w:iCs/>
        </w:rPr>
        <w:t>,</w:t>
      </w:r>
      <w:r w:rsidR="007C426D" w:rsidRPr="00B14447">
        <w:rPr>
          <w:rFonts w:ascii="Times New Roman" w:hAnsi="Times New Roman"/>
          <w:iCs/>
        </w:rPr>
        <w:t xml:space="preserve"> </w:t>
      </w:r>
      <w:r w:rsidR="009A7C76" w:rsidRPr="00B14447">
        <w:rPr>
          <w:rFonts w:ascii="Times New Roman" w:hAnsi="Times New Roman"/>
          <w:iCs/>
        </w:rPr>
        <w:t xml:space="preserve">and </w:t>
      </w:r>
      <w:r w:rsidR="00F17FDA" w:rsidRPr="00B14447">
        <w:rPr>
          <w:rFonts w:ascii="Times New Roman" w:hAnsi="Times New Roman"/>
          <w:iCs/>
        </w:rPr>
        <w:t>was refused</w:t>
      </w:r>
      <w:r w:rsidR="00B241E4" w:rsidRPr="00B14447">
        <w:rPr>
          <w:rFonts w:ascii="Times New Roman" w:hAnsi="Times New Roman"/>
          <w:iCs/>
        </w:rPr>
        <w:t xml:space="preserve"> on the basis that there was no reason to doubt the correctness of the conclusion of the Full Court</w:t>
      </w:r>
      <w:r w:rsidR="00973A52" w:rsidRPr="00B14447">
        <w:rPr>
          <w:rFonts w:ascii="Times New Roman" w:hAnsi="Times New Roman"/>
        </w:rPr>
        <w:t>.</w:t>
      </w:r>
      <w:r w:rsidR="00973A52" w:rsidRPr="00B14447">
        <w:rPr>
          <w:rStyle w:val="FootnoteReference"/>
          <w:rFonts w:ascii="Times New Roman" w:hAnsi="Times New Roman"/>
          <w:sz w:val="24"/>
        </w:rPr>
        <w:footnoteReference w:id="179"/>
      </w:r>
      <w:r w:rsidR="0089479B" w:rsidRPr="00B14447">
        <w:rPr>
          <w:rFonts w:ascii="Times New Roman" w:hAnsi="Times New Roman"/>
        </w:rPr>
        <w:t xml:space="preserve"> </w:t>
      </w:r>
      <w:r w:rsidR="00C9060A" w:rsidRPr="00B14447">
        <w:rPr>
          <w:rFonts w:ascii="Times New Roman" w:hAnsi="Times New Roman"/>
        </w:rPr>
        <w:t>Having obtained this decision, i</w:t>
      </w:r>
      <w:r w:rsidR="00976F16" w:rsidRPr="00B14447">
        <w:rPr>
          <w:rFonts w:ascii="Times New Roman" w:hAnsi="Times New Roman"/>
        </w:rPr>
        <w:t xml:space="preserve">n the substantive determination of </w:t>
      </w:r>
      <w:r w:rsidR="00C9060A" w:rsidRPr="00B14447">
        <w:rPr>
          <w:rFonts w:ascii="Times New Roman" w:hAnsi="Times New Roman"/>
        </w:rPr>
        <w:t xml:space="preserve">this proceeding concerning Sanofi's undertaking as to damages, this point was not raised again before the primary judge or before the Full Court. But </w:t>
      </w:r>
      <w:r w:rsidR="00C26E03" w:rsidRPr="00B14447">
        <w:rPr>
          <w:rFonts w:ascii="Times New Roman" w:hAnsi="Times New Roman"/>
        </w:rPr>
        <w:t xml:space="preserve">Sanofi now seeks to relitigate the same point </w:t>
      </w:r>
      <w:r w:rsidR="00C9060A" w:rsidRPr="00B14447">
        <w:rPr>
          <w:rFonts w:ascii="Times New Roman" w:hAnsi="Times New Roman"/>
        </w:rPr>
        <w:t xml:space="preserve">in this Court </w:t>
      </w:r>
      <w:r w:rsidR="00672C7E" w:rsidRPr="00B14447">
        <w:rPr>
          <w:rFonts w:ascii="Times New Roman" w:hAnsi="Times New Roman"/>
        </w:rPr>
        <w:t xml:space="preserve">by its seventh ground of contention. </w:t>
      </w:r>
    </w:p>
    <w:p w14:paraId="19FA2C1A" w14:textId="01ED0895" w:rsidR="00331B50" w:rsidRPr="00B14447" w:rsidRDefault="00C9060A" w:rsidP="00B14447">
      <w:pPr>
        <w:pStyle w:val="FixListStyle"/>
        <w:spacing w:after="260" w:line="280" w:lineRule="exact"/>
        <w:ind w:right="0"/>
        <w:jc w:val="both"/>
        <w:rPr>
          <w:rFonts w:ascii="Times New Roman" w:hAnsi="Times New Roman"/>
          <w:iCs/>
        </w:rPr>
      </w:pPr>
      <w:r w:rsidRPr="00B14447">
        <w:rPr>
          <w:rFonts w:ascii="Times New Roman" w:hAnsi="Times New Roman"/>
          <w:iCs/>
        </w:rPr>
        <w:tab/>
      </w:r>
      <w:r w:rsidR="00B054B9" w:rsidRPr="00B14447">
        <w:rPr>
          <w:rFonts w:ascii="Times New Roman" w:hAnsi="Times New Roman"/>
          <w:iCs/>
        </w:rPr>
        <w:t xml:space="preserve">It can be accepted that </w:t>
      </w:r>
      <w:r w:rsidR="00BD5294" w:rsidRPr="00B14447">
        <w:rPr>
          <w:rFonts w:ascii="Times New Roman" w:hAnsi="Times New Roman"/>
          <w:iCs/>
        </w:rPr>
        <w:t>a</w:t>
      </w:r>
      <w:r w:rsidR="00BB2834" w:rsidRPr="00B14447">
        <w:rPr>
          <w:rFonts w:ascii="Times New Roman" w:hAnsi="Times New Roman"/>
          <w:iCs/>
        </w:rPr>
        <w:t xml:space="preserve"> ground of contention </w:t>
      </w:r>
      <w:r w:rsidR="006C0C03" w:rsidRPr="00B14447">
        <w:rPr>
          <w:rFonts w:ascii="Times New Roman" w:hAnsi="Times New Roman"/>
          <w:iCs/>
        </w:rPr>
        <w:t xml:space="preserve">can </w:t>
      </w:r>
      <w:r w:rsidR="00BB2834" w:rsidRPr="00B14447">
        <w:rPr>
          <w:rFonts w:ascii="Times New Roman" w:hAnsi="Times New Roman"/>
          <w:iCs/>
        </w:rPr>
        <w:t>fall within r</w:t>
      </w:r>
      <w:r w:rsidR="00F2621C" w:rsidRPr="00B14447">
        <w:rPr>
          <w:rFonts w:ascii="Times New Roman" w:hAnsi="Times New Roman"/>
          <w:iCs/>
        </w:rPr>
        <w:t> </w:t>
      </w:r>
      <w:r w:rsidR="008C4095" w:rsidRPr="00B14447">
        <w:rPr>
          <w:rFonts w:ascii="Times New Roman" w:hAnsi="Times New Roman"/>
          <w:iCs/>
        </w:rPr>
        <w:t xml:space="preserve">42.08.5 </w:t>
      </w:r>
      <w:r w:rsidR="00F2621C" w:rsidRPr="00B14447">
        <w:rPr>
          <w:rFonts w:ascii="Times New Roman" w:hAnsi="Times New Roman"/>
          <w:iCs/>
        </w:rPr>
        <w:t xml:space="preserve">of the </w:t>
      </w:r>
      <w:r w:rsidR="00F2621C" w:rsidRPr="00B14447">
        <w:rPr>
          <w:rFonts w:ascii="Times New Roman" w:hAnsi="Times New Roman"/>
          <w:i/>
        </w:rPr>
        <w:t xml:space="preserve">High Court Rules 2004 </w:t>
      </w:r>
      <w:r w:rsidR="00F2621C" w:rsidRPr="00B14447">
        <w:rPr>
          <w:rFonts w:ascii="Times New Roman" w:hAnsi="Times New Roman"/>
          <w:iCs/>
        </w:rPr>
        <w:t xml:space="preserve">(Cth) </w:t>
      </w:r>
      <w:r w:rsidR="008C4095" w:rsidRPr="00B14447">
        <w:rPr>
          <w:rFonts w:ascii="Times New Roman" w:hAnsi="Times New Roman"/>
          <w:iCs/>
        </w:rPr>
        <w:t>as a matter that the court below "has failed to decide"</w:t>
      </w:r>
      <w:r w:rsidR="006C0C03" w:rsidRPr="00B14447">
        <w:rPr>
          <w:rFonts w:ascii="Times New Roman" w:hAnsi="Times New Roman"/>
          <w:iCs/>
        </w:rPr>
        <w:t xml:space="preserve"> even if the matter was not raised</w:t>
      </w:r>
      <w:r w:rsidR="000A4933" w:rsidRPr="00B14447">
        <w:rPr>
          <w:rFonts w:ascii="Times New Roman" w:hAnsi="Times New Roman"/>
          <w:iCs/>
        </w:rPr>
        <w:t xml:space="preserve"> before the court below</w:t>
      </w:r>
      <w:r w:rsidR="000661AF" w:rsidRPr="00B14447">
        <w:rPr>
          <w:rFonts w:ascii="Times New Roman" w:hAnsi="Times New Roman"/>
          <w:iCs/>
        </w:rPr>
        <w:t>,</w:t>
      </w:r>
      <w:r w:rsidR="00D06EBB" w:rsidRPr="00B14447">
        <w:rPr>
          <w:rFonts w:ascii="Times New Roman" w:hAnsi="Times New Roman"/>
          <w:iCs/>
        </w:rPr>
        <w:t xml:space="preserve"> provided that it </w:t>
      </w:r>
      <w:r w:rsidR="00D06EBB" w:rsidRPr="00B14447">
        <w:rPr>
          <w:rFonts w:ascii="Times New Roman" w:hAnsi="Times New Roman"/>
          <w:iCs/>
        </w:rPr>
        <w:lastRenderedPageBreak/>
        <w:t>involves no new issue of fact</w:t>
      </w:r>
      <w:r w:rsidR="005F2469" w:rsidRPr="00B14447">
        <w:rPr>
          <w:rFonts w:ascii="Times New Roman" w:hAnsi="Times New Roman"/>
          <w:iCs/>
        </w:rPr>
        <w:t>.</w:t>
      </w:r>
      <w:r w:rsidR="00C2398B" w:rsidRPr="00B14447">
        <w:rPr>
          <w:rStyle w:val="FootnoteReference"/>
          <w:rFonts w:ascii="Times New Roman" w:hAnsi="Times New Roman"/>
          <w:iCs/>
          <w:sz w:val="24"/>
        </w:rPr>
        <w:footnoteReference w:id="180"/>
      </w:r>
      <w:r w:rsidR="005F2469" w:rsidRPr="00B14447">
        <w:rPr>
          <w:rFonts w:ascii="Times New Roman" w:hAnsi="Times New Roman"/>
          <w:iCs/>
        </w:rPr>
        <w:t xml:space="preserve"> </w:t>
      </w:r>
      <w:r w:rsidR="00E02D77" w:rsidRPr="00B14447">
        <w:rPr>
          <w:rFonts w:ascii="Times New Roman" w:hAnsi="Times New Roman"/>
          <w:iCs/>
        </w:rPr>
        <w:t>But</w:t>
      </w:r>
      <w:r w:rsidR="00BD5294" w:rsidRPr="00B14447">
        <w:rPr>
          <w:rFonts w:ascii="Times New Roman" w:hAnsi="Times New Roman"/>
          <w:iCs/>
        </w:rPr>
        <w:t xml:space="preserve"> this issue was decided in these proceedings</w:t>
      </w:r>
      <w:r w:rsidR="00222CDE" w:rsidRPr="00B14447">
        <w:rPr>
          <w:rFonts w:ascii="Times New Roman" w:hAnsi="Times New Roman"/>
          <w:iCs/>
        </w:rPr>
        <w:t xml:space="preserve"> as a preliminary issue</w:t>
      </w:r>
      <w:r w:rsidR="00BD5294" w:rsidRPr="00B14447">
        <w:rPr>
          <w:rFonts w:ascii="Times New Roman" w:hAnsi="Times New Roman"/>
          <w:iCs/>
        </w:rPr>
        <w:t xml:space="preserve"> </w:t>
      </w:r>
      <w:r w:rsidR="00222CDE" w:rsidRPr="00B14447">
        <w:rPr>
          <w:rFonts w:ascii="Times New Roman" w:hAnsi="Times New Roman"/>
          <w:iCs/>
        </w:rPr>
        <w:t xml:space="preserve">by the Full Court in 2015. </w:t>
      </w:r>
      <w:r w:rsidR="00965B99" w:rsidRPr="00B14447">
        <w:rPr>
          <w:rFonts w:ascii="Times New Roman" w:hAnsi="Times New Roman"/>
          <w:iCs/>
        </w:rPr>
        <w:t>In any event</w:t>
      </w:r>
      <w:r w:rsidR="00222CDE" w:rsidRPr="00B14447">
        <w:rPr>
          <w:rFonts w:ascii="Times New Roman" w:hAnsi="Times New Roman"/>
          <w:iCs/>
        </w:rPr>
        <w:t>,</w:t>
      </w:r>
      <w:r w:rsidR="00E02D77" w:rsidRPr="00B14447">
        <w:rPr>
          <w:rFonts w:ascii="Times New Roman" w:hAnsi="Times New Roman"/>
          <w:iCs/>
        </w:rPr>
        <w:t xml:space="preserve"> </w:t>
      </w:r>
      <w:r w:rsidR="003206D2" w:rsidRPr="00B14447">
        <w:rPr>
          <w:rFonts w:ascii="Times New Roman" w:hAnsi="Times New Roman"/>
          <w:iCs/>
        </w:rPr>
        <w:t xml:space="preserve">depending upon the "way in which the case has been conducted", </w:t>
      </w:r>
      <w:r w:rsidR="00FB287E" w:rsidRPr="00B14447">
        <w:rPr>
          <w:rFonts w:ascii="Times New Roman" w:hAnsi="Times New Roman"/>
          <w:iCs/>
        </w:rPr>
        <w:t>there are circumstances where</w:t>
      </w:r>
      <w:r w:rsidR="00C9261E" w:rsidRPr="00B14447">
        <w:rPr>
          <w:rFonts w:ascii="Times New Roman" w:hAnsi="Times New Roman"/>
          <w:iCs/>
        </w:rPr>
        <w:t xml:space="preserve"> </w:t>
      </w:r>
      <w:r w:rsidR="003206D2" w:rsidRPr="00B14447">
        <w:rPr>
          <w:rFonts w:ascii="Times New Roman" w:hAnsi="Times New Roman"/>
          <w:iCs/>
        </w:rPr>
        <w:t>a</w:t>
      </w:r>
      <w:r w:rsidR="00C9261E" w:rsidRPr="00B14447">
        <w:rPr>
          <w:rFonts w:ascii="Times New Roman" w:hAnsi="Times New Roman"/>
          <w:iCs/>
        </w:rPr>
        <w:t xml:space="preserve"> ground</w:t>
      </w:r>
      <w:r w:rsidR="003206D2" w:rsidRPr="00B14447">
        <w:rPr>
          <w:rFonts w:ascii="Times New Roman" w:hAnsi="Times New Roman"/>
          <w:iCs/>
        </w:rPr>
        <w:t xml:space="preserve"> that is not raised in the court below</w:t>
      </w:r>
      <w:r w:rsidR="00C9261E" w:rsidRPr="00B14447">
        <w:rPr>
          <w:rFonts w:ascii="Times New Roman" w:hAnsi="Times New Roman"/>
          <w:iCs/>
        </w:rPr>
        <w:t xml:space="preserve"> will </w:t>
      </w:r>
      <w:r w:rsidR="00FB287E" w:rsidRPr="00B14447">
        <w:rPr>
          <w:rFonts w:ascii="Times New Roman" w:hAnsi="Times New Roman"/>
          <w:iCs/>
        </w:rPr>
        <w:t xml:space="preserve">not </w:t>
      </w:r>
      <w:r w:rsidR="00C9261E" w:rsidRPr="00B14447">
        <w:rPr>
          <w:rFonts w:ascii="Times New Roman" w:hAnsi="Times New Roman"/>
          <w:iCs/>
        </w:rPr>
        <w:t>be entertained.</w:t>
      </w:r>
      <w:r w:rsidR="00E02D77" w:rsidRPr="00B14447">
        <w:rPr>
          <w:rStyle w:val="FootnoteReference"/>
          <w:rFonts w:ascii="Times New Roman" w:hAnsi="Times New Roman"/>
          <w:iCs/>
          <w:sz w:val="24"/>
        </w:rPr>
        <w:footnoteReference w:id="181"/>
      </w:r>
      <w:r w:rsidR="00C9261E" w:rsidRPr="00B14447">
        <w:rPr>
          <w:rFonts w:ascii="Times New Roman" w:hAnsi="Times New Roman"/>
          <w:iCs/>
        </w:rPr>
        <w:t xml:space="preserve"> </w:t>
      </w:r>
      <w:r w:rsidR="004B24AD" w:rsidRPr="00B14447">
        <w:rPr>
          <w:rFonts w:ascii="Times New Roman" w:hAnsi="Times New Roman"/>
          <w:iCs/>
        </w:rPr>
        <w:t xml:space="preserve">The most obvious of those circumstances is where the </w:t>
      </w:r>
      <w:r w:rsidRPr="00B14447">
        <w:rPr>
          <w:rFonts w:ascii="Times New Roman" w:hAnsi="Times New Roman"/>
          <w:iCs/>
        </w:rPr>
        <w:t xml:space="preserve">ground of contention is an abuse of process. </w:t>
      </w:r>
      <w:r w:rsidR="004B24AD" w:rsidRPr="00B14447">
        <w:rPr>
          <w:rFonts w:ascii="Times New Roman" w:hAnsi="Times New Roman"/>
          <w:iCs/>
        </w:rPr>
        <w:t>That is the case with ground</w:t>
      </w:r>
      <w:r w:rsidR="007E404E" w:rsidRPr="00B14447">
        <w:rPr>
          <w:rFonts w:ascii="Times New Roman" w:hAnsi="Times New Roman"/>
          <w:iCs/>
        </w:rPr>
        <w:t> </w:t>
      </w:r>
      <w:r w:rsidR="004B24AD" w:rsidRPr="00B14447">
        <w:rPr>
          <w:rFonts w:ascii="Times New Roman" w:hAnsi="Times New Roman"/>
          <w:iCs/>
        </w:rPr>
        <w:t xml:space="preserve">7 of Sanofi's </w:t>
      </w:r>
      <w:r w:rsidR="00331B50" w:rsidRPr="00B14447">
        <w:rPr>
          <w:rFonts w:ascii="Times New Roman" w:hAnsi="Times New Roman"/>
          <w:iCs/>
        </w:rPr>
        <w:t>notice of contention.</w:t>
      </w:r>
    </w:p>
    <w:p w14:paraId="053A690C" w14:textId="06830367" w:rsidR="00521396" w:rsidRPr="00B14447" w:rsidRDefault="00331B50" w:rsidP="00B14447">
      <w:pPr>
        <w:pStyle w:val="FixListStyle"/>
        <w:spacing w:after="260" w:line="280" w:lineRule="exact"/>
        <w:ind w:right="0"/>
        <w:jc w:val="both"/>
        <w:rPr>
          <w:rFonts w:ascii="Times New Roman" w:hAnsi="Times New Roman"/>
          <w:iCs/>
        </w:rPr>
      </w:pPr>
      <w:r w:rsidRPr="00B14447">
        <w:rPr>
          <w:rFonts w:ascii="Times New Roman" w:hAnsi="Times New Roman"/>
          <w:iCs/>
        </w:rPr>
        <w:tab/>
      </w:r>
      <w:r w:rsidR="00B860C4" w:rsidRPr="00B14447">
        <w:rPr>
          <w:rFonts w:ascii="Times New Roman" w:hAnsi="Times New Roman"/>
        </w:rPr>
        <w:t>Although Sanofi's first special leave application was not res judicata</w:t>
      </w:r>
      <w:r w:rsidR="00214011" w:rsidRPr="00B14447">
        <w:rPr>
          <w:rFonts w:ascii="Times New Roman" w:hAnsi="Times New Roman"/>
        </w:rPr>
        <w:t xml:space="preserve"> and did not give rise to an issue estoppel,</w:t>
      </w:r>
      <w:r w:rsidR="00B860C4" w:rsidRPr="00B14447">
        <w:rPr>
          <w:rFonts w:ascii="Times New Roman" w:hAnsi="Times New Roman"/>
        </w:rPr>
        <w:t xml:space="preserve"> the </w:t>
      </w:r>
      <w:r w:rsidR="00214011" w:rsidRPr="00B14447">
        <w:rPr>
          <w:rFonts w:ascii="Times New Roman" w:hAnsi="Times New Roman"/>
        </w:rPr>
        <w:t>long</w:t>
      </w:r>
      <w:r w:rsidR="00811A6A" w:rsidRPr="00B14447">
        <w:rPr>
          <w:rFonts w:ascii="Times New Roman" w:hAnsi="Times New Roman"/>
        </w:rPr>
        <w:noBreakHyphen/>
      </w:r>
      <w:r w:rsidR="00214011" w:rsidRPr="00B14447">
        <w:rPr>
          <w:rFonts w:ascii="Times New Roman" w:hAnsi="Times New Roman"/>
        </w:rPr>
        <w:t xml:space="preserve">standing </w:t>
      </w:r>
      <w:r w:rsidR="003A0050" w:rsidRPr="00B14447">
        <w:rPr>
          <w:rFonts w:ascii="Times New Roman" w:hAnsi="Times New Roman"/>
        </w:rPr>
        <w:t>authority</w:t>
      </w:r>
      <w:r w:rsidR="00B860C4" w:rsidRPr="00B14447">
        <w:rPr>
          <w:rFonts w:ascii="Times New Roman" w:hAnsi="Times New Roman"/>
        </w:rPr>
        <w:t xml:space="preserve"> of this Court</w:t>
      </w:r>
      <w:r w:rsidR="00214011" w:rsidRPr="00B14447">
        <w:rPr>
          <w:rFonts w:ascii="Times New Roman" w:hAnsi="Times New Roman"/>
        </w:rPr>
        <w:t xml:space="preserve"> </w:t>
      </w:r>
      <w:r w:rsidR="00FF6D79" w:rsidRPr="00B14447">
        <w:rPr>
          <w:rFonts w:ascii="Times New Roman" w:hAnsi="Times New Roman"/>
        </w:rPr>
        <w:t>ha</w:t>
      </w:r>
      <w:r w:rsidR="00214011" w:rsidRPr="00B14447">
        <w:rPr>
          <w:rFonts w:ascii="Times New Roman" w:hAnsi="Times New Roman"/>
        </w:rPr>
        <w:t>s</w:t>
      </w:r>
      <w:r w:rsidR="00FF6D79" w:rsidRPr="00B14447">
        <w:rPr>
          <w:rFonts w:ascii="Times New Roman" w:hAnsi="Times New Roman"/>
        </w:rPr>
        <w:t xml:space="preserve"> been</w:t>
      </w:r>
      <w:r w:rsidR="00DA646E" w:rsidRPr="00B14447">
        <w:rPr>
          <w:rFonts w:ascii="Times New Roman" w:hAnsi="Times New Roman"/>
        </w:rPr>
        <w:t xml:space="preserve"> that,</w:t>
      </w:r>
      <w:r w:rsidR="00FF6D79" w:rsidRPr="00B14447">
        <w:rPr>
          <w:rFonts w:ascii="Times New Roman" w:hAnsi="Times New Roman"/>
        </w:rPr>
        <w:t xml:space="preserve"> other than in exceptional circumstances</w:t>
      </w:r>
      <w:r w:rsidR="00DA646E" w:rsidRPr="00B14447">
        <w:rPr>
          <w:rFonts w:ascii="Times New Roman" w:hAnsi="Times New Roman"/>
        </w:rPr>
        <w:t>,</w:t>
      </w:r>
      <w:r w:rsidR="00B860C4" w:rsidRPr="00B14447">
        <w:rPr>
          <w:rFonts w:ascii="Times New Roman" w:hAnsi="Times New Roman"/>
        </w:rPr>
        <w:t xml:space="preserve"> a subsequent application for special leave t</w:t>
      </w:r>
      <w:r w:rsidR="003A0050" w:rsidRPr="00B14447">
        <w:rPr>
          <w:rFonts w:ascii="Times New Roman" w:hAnsi="Times New Roman"/>
        </w:rPr>
        <w:t>hat traverses</w:t>
      </w:r>
      <w:r w:rsidR="00B860C4" w:rsidRPr="00B14447">
        <w:rPr>
          <w:rFonts w:ascii="Times New Roman" w:hAnsi="Times New Roman"/>
        </w:rPr>
        <w:t xml:space="preserve"> substantially the same subject matter as an earlier application </w:t>
      </w:r>
      <w:r w:rsidR="00FF6D79" w:rsidRPr="00B14447">
        <w:rPr>
          <w:rFonts w:ascii="Times New Roman" w:hAnsi="Times New Roman"/>
        </w:rPr>
        <w:t>will be</w:t>
      </w:r>
      <w:r w:rsidR="00B860C4" w:rsidRPr="00B14447">
        <w:rPr>
          <w:rFonts w:ascii="Times New Roman" w:hAnsi="Times New Roman"/>
        </w:rPr>
        <w:t xml:space="preserve"> an abuse of process</w:t>
      </w:r>
      <w:r w:rsidR="00FF6D79" w:rsidRPr="00B14447">
        <w:rPr>
          <w:rFonts w:ascii="Times New Roman" w:hAnsi="Times New Roman"/>
        </w:rPr>
        <w:t>.</w:t>
      </w:r>
      <w:r w:rsidR="00FF6D79" w:rsidRPr="00B14447">
        <w:rPr>
          <w:rStyle w:val="FootnoteReference"/>
          <w:rFonts w:ascii="Times New Roman" w:hAnsi="Times New Roman"/>
          <w:sz w:val="24"/>
        </w:rPr>
        <w:footnoteReference w:id="182"/>
      </w:r>
      <w:r w:rsidR="00DF2A3B" w:rsidRPr="00B14447">
        <w:rPr>
          <w:rFonts w:ascii="Times New Roman" w:hAnsi="Times New Roman"/>
        </w:rPr>
        <w:t xml:space="preserve"> </w:t>
      </w:r>
      <w:r w:rsidR="001519F9" w:rsidRPr="00B14447">
        <w:rPr>
          <w:rFonts w:ascii="Times New Roman" w:hAnsi="Times New Roman"/>
        </w:rPr>
        <w:t>This principle cannot be subverted by raising the special leave issue in a notice of contention between the same parties</w:t>
      </w:r>
      <w:r w:rsidR="00FF5444" w:rsidRPr="00B14447">
        <w:rPr>
          <w:rFonts w:ascii="Times New Roman" w:hAnsi="Times New Roman"/>
        </w:rPr>
        <w:t xml:space="preserve">. Exceptional circumstances are likewise required. </w:t>
      </w:r>
      <w:r w:rsidR="000358B4" w:rsidRPr="00B14447">
        <w:rPr>
          <w:rFonts w:ascii="Times New Roman" w:hAnsi="Times New Roman"/>
        </w:rPr>
        <w:t xml:space="preserve">There are no exceptional circumstances in this case. </w:t>
      </w:r>
      <w:r w:rsidR="003C671A" w:rsidRPr="00B14447">
        <w:rPr>
          <w:rFonts w:ascii="Times New Roman" w:hAnsi="Times New Roman"/>
        </w:rPr>
        <w:t>The</w:t>
      </w:r>
      <w:r w:rsidR="00FF5444" w:rsidRPr="00B14447">
        <w:rPr>
          <w:rFonts w:ascii="Times New Roman" w:hAnsi="Times New Roman"/>
        </w:rPr>
        <w:t> </w:t>
      </w:r>
      <w:r w:rsidR="003C671A" w:rsidRPr="00B14447">
        <w:rPr>
          <w:rFonts w:ascii="Times New Roman" w:hAnsi="Times New Roman"/>
        </w:rPr>
        <w:t xml:space="preserve">argument was not raised in the substantive hearing in the Full Court below because it had been fully disposed of </w:t>
      </w:r>
      <w:r w:rsidR="008B7EA4" w:rsidRPr="00B14447">
        <w:rPr>
          <w:rFonts w:ascii="Times New Roman" w:hAnsi="Times New Roman"/>
        </w:rPr>
        <w:t xml:space="preserve">in the previous case stated, from which special leave was sought. </w:t>
      </w:r>
      <w:r w:rsidR="00851F3D" w:rsidRPr="00B14447">
        <w:rPr>
          <w:rFonts w:ascii="Times New Roman" w:hAnsi="Times New Roman"/>
        </w:rPr>
        <w:t xml:space="preserve">As senior counsel for Sanofi properly accepted, </w:t>
      </w:r>
      <w:r w:rsidR="000358B4" w:rsidRPr="00B14447">
        <w:rPr>
          <w:rFonts w:ascii="Times New Roman" w:hAnsi="Times New Roman"/>
        </w:rPr>
        <w:t>the arguments that Sanofi seeks to put in relation to ground</w:t>
      </w:r>
      <w:r w:rsidR="0055261F" w:rsidRPr="00B14447">
        <w:rPr>
          <w:rFonts w:ascii="Times New Roman" w:hAnsi="Times New Roman"/>
        </w:rPr>
        <w:t> </w:t>
      </w:r>
      <w:r w:rsidR="000358B4" w:rsidRPr="00B14447">
        <w:rPr>
          <w:rFonts w:ascii="Times New Roman" w:hAnsi="Times New Roman"/>
        </w:rPr>
        <w:t xml:space="preserve">7 of the notice of contention </w:t>
      </w:r>
      <w:r w:rsidR="00851F3D" w:rsidRPr="00B14447">
        <w:rPr>
          <w:rFonts w:ascii="Times New Roman" w:hAnsi="Times New Roman"/>
        </w:rPr>
        <w:t>differ from those previously put to</w:t>
      </w:r>
      <w:r w:rsidR="008B7EA4" w:rsidRPr="00B14447">
        <w:rPr>
          <w:rFonts w:ascii="Times New Roman" w:hAnsi="Times New Roman"/>
        </w:rPr>
        <w:t xml:space="preserve"> the Full Court</w:t>
      </w:r>
      <w:r w:rsidR="00C26EB0" w:rsidRPr="00B14447">
        <w:rPr>
          <w:rFonts w:ascii="Times New Roman" w:hAnsi="Times New Roman"/>
        </w:rPr>
        <w:t>,</w:t>
      </w:r>
      <w:r w:rsidR="008B7EA4" w:rsidRPr="00B14447">
        <w:rPr>
          <w:rFonts w:ascii="Times New Roman" w:hAnsi="Times New Roman"/>
        </w:rPr>
        <w:t xml:space="preserve"> and to</w:t>
      </w:r>
      <w:r w:rsidR="00851F3D" w:rsidRPr="00B14447">
        <w:rPr>
          <w:rFonts w:ascii="Times New Roman" w:hAnsi="Times New Roman"/>
        </w:rPr>
        <w:t xml:space="preserve"> this Court</w:t>
      </w:r>
      <w:r w:rsidR="00C26EB0" w:rsidRPr="00B14447">
        <w:rPr>
          <w:rFonts w:ascii="Times New Roman" w:hAnsi="Times New Roman"/>
        </w:rPr>
        <w:t>, only</w:t>
      </w:r>
      <w:r w:rsidR="00851F3D" w:rsidRPr="00B14447">
        <w:rPr>
          <w:rFonts w:ascii="Times New Roman" w:hAnsi="Times New Roman"/>
        </w:rPr>
        <w:t xml:space="preserve"> in matters of "nuance"</w:t>
      </w:r>
      <w:r w:rsidR="00BB28D3" w:rsidRPr="00B14447">
        <w:rPr>
          <w:rFonts w:ascii="Times New Roman" w:hAnsi="Times New Roman"/>
        </w:rPr>
        <w:t>; the substance of the argument is "exactly the same"</w:t>
      </w:r>
      <w:r w:rsidR="00481D5A" w:rsidRPr="00B14447">
        <w:rPr>
          <w:rFonts w:ascii="Times New Roman" w:hAnsi="Times New Roman"/>
        </w:rPr>
        <w:t xml:space="preserve">. </w:t>
      </w:r>
    </w:p>
    <w:p w14:paraId="290E0782" w14:textId="76924032" w:rsidR="00521396" w:rsidRPr="00B14447" w:rsidRDefault="00521396" w:rsidP="00B14447">
      <w:pPr>
        <w:pStyle w:val="HeadingL1"/>
        <w:spacing w:after="260" w:line="280" w:lineRule="exact"/>
        <w:ind w:right="0"/>
        <w:jc w:val="both"/>
        <w:rPr>
          <w:rFonts w:ascii="Times New Roman" w:hAnsi="Times New Roman"/>
        </w:rPr>
      </w:pPr>
      <w:r w:rsidRPr="00B14447">
        <w:rPr>
          <w:rFonts w:ascii="Times New Roman" w:hAnsi="Times New Roman"/>
        </w:rPr>
        <w:t>Conclusion</w:t>
      </w:r>
    </w:p>
    <w:p w14:paraId="1471BC4B" w14:textId="77777777" w:rsidR="00CC75FC" w:rsidRDefault="008B613C" w:rsidP="00B14447">
      <w:pPr>
        <w:pStyle w:val="FixListStyle"/>
        <w:spacing w:after="260" w:line="280" w:lineRule="exact"/>
        <w:ind w:right="0"/>
        <w:jc w:val="both"/>
        <w:rPr>
          <w:rFonts w:ascii="Times New Roman" w:hAnsi="Times New Roman"/>
        </w:rPr>
      </w:pPr>
      <w:r w:rsidRPr="00B14447">
        <w:rPr>
          <w:rFonts w:ascii="Times New Roman" w:hAnsi="Times New Roman"/>
        </w:rPr>
        <w:tab/>
        <w:t xml:space="preserve">The appeal should be dismissed with costs. </w:t>
      </w:r>
    </w:p>
    <w:p w14:paraId="4B0BE5F0" w14:textId="77777777" w:rsidR="00CC75FC" w:rsidRDefault="00CC75FC" w:rsidP="00B14447">
      <w:pPr>
        <w:pStyle w:val="FixListStyle"/>
        <w:spacing w:after="260" w:line="280" w:lineRule="exact"/>
        <w:ind w:right="0"/>
        <w:jc w:val="both"/>
        <w:rPr>
          <w:rFonts w:ascii="Times New Roman" w:hAnsi="Times New Roman"/>
        </w:rPr>
        <w:sectPr w:rsidR="00CC75FC" w:rsidSect="007A3534">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8C81B64" w14:textId="77777777" w:rsidR="00CC75FC" w:rsidRPr="00AB1A14" w:rsidRDefault="00CC75FC" w:rsidP="00AB1A14">
      <w:pPr>
        <w:pStyle w:val="NormalBody"/>
        <w:tabs>
          <w:tab w:val="clear" w:pos="720"/>
          <w:tab w:val="left" w:pos="0"/>
        </w:tabs>
        <w:spacing w:after="260" w:line="280" w:lineRule="exact"/>
        <w:ind w:right="0"/>
        <w:jc w:val="both"/>
        <w:rPr>
          <w:rFonts w:ascii="Times New Roman" w:hAnsi="Times New Roman"/>
        </w:rPr>
      </w:pPr>
      <w:r w:rsidRPr="00AB1A14">
        <w:rPr>
          <w:rFonts w:ascii="Times New Roman" w:hAnsi="Times New Roman"/>
        </w:rPr>
        <w:lastRenderedPageBreak/>
        <w:t xml:space="preserve">JAGOT J.   </w:t>
      </w:r>
    </w:p>
    <w:p w14:paraId="7FCF85D8"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The appeal</w:t>
      </w:r>
    </w:p>
    <w:p w14:paraId="574EAA5A"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This appeal concerns decisions of the Federal Court of Australia (Nicholas J)</w:t>
      </w:r>
      <w:r w:rsidRPr="00AB1A14">
        <w:rPr>
          <w:rStyle w:val="FootnoteReference"/>
          <w:rFonts w:ascii="Times New Roman" w:hAnsi="Times New Roman"/>
          <w:sz w:val="24"/>
        </w:rPr>
        <w:footnoteReference w:id="183"/>
      </w:r>
      <w:r w:rsidRPr="00AB1A14">
        <w:rPr>
          <w:rFonts w:ascii="Times New Roman" w:hAnsi="Times New Roman"/>
        </w:rPr>
        <w:t xml:space="preserve"> and the Full Court of the Federal Court of Australia (Besanko, Perram and Yates JJ)</w:t>
      </w:r>
      <w:r>
        <w:rPr>
          <w:rFonts w:ascii="Times New Roman" w:hAnsi="Times New Roman"/>
        </w:rPr>
        <w:t>,</w:t>
      </w:r>
      <w:r w:rsidRPr="00AB1A14">
        <w:rPr>
          <w:rStyle w:val="FootnoteReference"/>
          <w:rFonts w:ascii="Times New Roman" w:hAnsi="Times New Roman"/>
          <w:sz w:val="24"/>
        </w:rPr>
        <w:footnoteReference w:id="184"/>
      </w:r>
      <w:r w:rsidRPr="00AB1A14">
        <w:rPr>
          <w:rFonts w:ascii="Times New Roman" w:hAnsi="Times New Roman"/>
        </w:rPr>
        <w:t xml:space="preserve"> respectively: (a) dismissing the application of the Commonwealth to be paid compensation pursuant to an undertaking as to damages that Sanofi</w:t>
      </w:r>
      <w:r w:rsidRPr="00AB1A14">
        <w:rPr>
          <w:rStyle w:val="FootnoteReference"/>
          <w:rFonts w:ascii="Times New Roman" w:hAnsi="Times New Roman"/>
          <w:sz w:val="24"/>
        </w:rPr>
        <w:footnoteReference w:id="185"/>
      </w:r>
      <w:r w:rsidRPr="00AB1A14">
        <w:rPr>
          <w:rFonts w:ascii="Times New Roman" w:hAnsi="Times New Roman"/>
        </w:rPr>
        <w:t xml:space="preserve"> gave to the Federal Court of Australia on 25 September 2007 as the price for obtaining an interlocutory injunction restraining a pharmaceutical company, Apotex Pty Ltd ("Apotex Australia"), from supplying a generic medicine in Australia alleged to infringe a patent of Sanofi that was subsequently declared invalid; and (b) dismissing the Commonwealth's appeal from that order. </w:t>
      </w:r>
    </w:p>
    <w:p w14:paraId="7FEA145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appeal should be allowed. As will be explained, this is not a case in which the principle of particular appellate restraint in the face of relevant concurrent findings of fact by the Courts below is engaged. Nor is it a case in which, in truth, there is a vast amount of conflicting evidence. Further, and in accordance with the common law adversarial system, both parties have put before this Court all evidence they contend is relevant to the resolution of the issues in the appeal and this Court is entitled to proceed on that basis. In any event, on the evidence adduced below</w:t>
      </w:r>
      <w:r>
        <w:rPr>
          <w:rFonts w:ascii="Times New Roman" w:hAnsi="Times New Roman"/>
        </w:rPr>
        <w:t xml:space="preserve">, </w:t>
      </w:r>
      <w:r w:rsidRPr="00AB1A14">
        <w:rPr>
          <w:rFonts w:ascii="Times New Roman" w:hAnsi="Times New Roman"/>
        </w:rPr>
        <w:t>and as relied on by the parties in the appeal to this Court, the reasoning processes of both Courts below involved clear error productive of plain injustice, demanding this Court's intervention.</w:t>
      </w:r>
      <w:r w:rsidRPr="00AB1A14">
        <w:rPr>
          <w:rStyle w:val="FootnoteReference"/>
          <w:rFonts w:ascii="Times New Roman" w:hAnsi="Times New Roman"/>
          <w:sz w:val="24"/>
        </w:rPr>
        <w:footnoteReference w:id="186"/>
      </w:r>
      <w:r w:rsidRPr="00AB1A14">
        <w:rPr>
          <w:rFonts w:ascii="Times New Roman" w:hAnsi="Times New Roman"/>
        </w:rPr>
        <w:t xml:space="preserve"> Importantly, the</w:t>
      </w:r>
      <w:r>
        <w:rPr>
          <w:rFonts w:ascii="Times New Roman" w:hAnsi="Times New Roman"/>
        </w:rPr>
        <w:t>se</w:t>
      </w:r>
      <w:r w:rsidRPr="00AB1A14">
        <w:rPr>
          <w:rFonts w:ascii="Times New Roman" w:hAnsi="Times New Roman"/>
        </w:rPr>
        <w:t xml:space="preserve"> clear errors reflect that the Courts below did not directly confront the Commonwealth's case or the totality of the evidence the Commonwealth adduced in support of its case. This reinforces that, third hearing or not, a real injustice would be inflicted on the Commonwealth were this Court to repeat the errors of the Courts below. Once the Commonwealth's case and the totality of the evidence the Commonwealth adduced in support are considered, the unavoidable conclusion is that the Commonwealth proved that, but for the grant of the interlocutory injunction on 25 September 2007, Apotex Australia would have applied for (and obtained) listing of its generic medicine on the Pharmaceutical Benefits Scheme ("PBS")</w:t>
      </w:r>
      <w:r w:rsidRPr="00AB1A14">
        <w:rPr>
          <w:rStyle w:val="FootnoteReference"/>
          <w:rFonts w:ascii="Times New Roman" w:hAnsi="Times New Roman"/>
          <w:sz w:val="24"/>
        </w:rPr>
        <w:footnoteReference w:id="187"/>
      </w:r>
      <w:r w:rsidRPr="00AB1A14">
        <w:rPr>
          <w:rFonts w:ascii="Times New Roman" w:hAnsi="Times New Roman"/>
        </w:rPr>
        <w:t xml:space="preserve"> and would have supplied its products to the market in Australia on and from 1 April 2008. As such, the Commonwealth is a person "adversely affected" </w:t>
      </w:r>
      <w:r w:rsidRPr="00AB1A14">
        <w:rPr>
          <w:rFonts w:ascii="Times New Roman" w:hAnsi="Times New Roman"/>
        </w:rPr>
        <w:lastRenderedPageBreak/>
        <w:t xml:space="preserve">by the interlocutory injunction </w:t>
      </w:r>
      <w:r>
        <w:rPr>
          <w:rFonts w:ascii="Times New Roman" w:hAnsi="Times New Roman"/>
        </w:rPr>
        <w:t xml:space="preserve">and is </w:t>
      </w:r>
      <w:r w:rsidRPr="00AB1A14">
        <w:rPr>
          <w:rFonts w:ascii="Times New Roman" w:hAnsi="Times New Roman"/>
        </w:rPr>
        <w:t>entitled to claim compensation from Sanofi in accordance with the terms of Sanofi's undertaking as to damages.</w:t>
      </w:r>
    </w:p>
    <w:p w14:paraId="521B18AF"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Grounds of appeal and contention</w:t>
      </w:r>
    </w:p>
    <w:p w14:paraId="748ECBB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Commonwealth's appeal is brought on two grounds as follows: </w:t>
      </w:r>
    </w:p>
    <w:p w14:paraId="2529F2AA"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"1.</w:t>
      </w:r>
      <w:r w:rsidRPr="00AB1A14">
        <w:rPr>
          <w:rFonts w:ascii="Times New Roman" w:hAnsi="Times New Roman"/>
        </w:rPr>
        <w:tab/>
        <w:t>The Full Court erred in failing to hold that:</w:t>
      </w:r>
    </w:p>
    <w:p w14:paraId="554F2CD0"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(a)</w:t>
      </w:r>
      <w:r w:rsidRPr="00AB1A14">
        <w:rPr>
          <w:rFonts w:ascii="Times New Roman" w:hAnsi="Times New Roman"/>
        </w:rPr>
        <w:tab/>
        <w:t xml:space="preserve">the Commonwealth's evidential burden was to establish a </w:t>
      </w:r>
      <w:r w:rsidRPr="00AB1A14">
        <w:rPr>
          <w:rFonts w:ascii="Times New Roman" w:hAnsi="Times New Roman"/>
          <w:i/>
          <w:iCs/>
        </w:rPr>
        <w:t>prima facie</w:t>
      </w:r>
      <w:r w:rsidRPr="00AB1A14">
        <w:rPr>
          <w:rFonts w:ascii="Times New Roman" w:hAnsi="Times New Roman"/>
        </w:rPr>
        <w:t xml:space="preserve"> case that its loss flowed directly from the interlocutory injunction and that, once that was established, an evidential burden shifted to the respondents to establish their contention that Apotex would not have sought listing on the Pharmaceutical Benefits Scheme (</w:t>
      </w:r>
      <w:r w:rsidRPr="00AB1A14">
        <w:rPr>
          <w:rFonts w:ascii="Times New Roman" w:hAnsi="Times New Roman"/>
          <w:b/>
          <w:bCs/>
        </w:rPr>
        <w:t>PBS</w:t>
      </w:r>
      <w:r w:rsidRPr="00AB1A14">
        <w:rPr>
          <w:rFonts w:ascii="Times New Roman" w:hAnsi="Times New Roman"/>
        </w:rPr>
        <w:t>) even if not enjoined; and</w:t>
      </w:r>
    </w:p>
    <w:p w14:paraId="59770539"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(b)</w:t>
      </w:r>
      <w:r w:rsidRPr="00AB1A14">
        <w:rPr>
          <w:rFonts w:ascii="Times New Roman" w:hAnsi="Times New Roman"/>
        </w:rPr>
        <w:tab/>
        <w:t>the Commonwealth discharged its evidential burden but the respondents did not.</w:t>
      </w:r>
    </w:p>
    <w:p w14:paraId="4610377F" w14:textId="77777777" w:rsidR="00CC75FC"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2.</w:t>
      </w:r>
      <w:r w:rsidRPr="00AB1A14">
        <w:rPr>
          <w:rFonts w:ascii="Times New Roman" w:hAnsi="Times New Roman"/>
        </w:rPr>
        <w:tab/>
        <w:t>The Full Court erred in failing to find, by inference from the evidence, that in the absence of the interlocutory injunction, it was likely that Dr Sherman would have reconfirmed the plan to seek PBS listing."</w:t>
      </w:r>
    </w:p>
    <w:p w14:paraId="772DCA2A"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Ultimately, however, the Commonwealth accepted that the construct informing ground 1 of its appeal was merely an analytical tool and not determinative. Accordingly, the focus of these reasons for judgment is ground 2. </w:t>
      </w:r>
    </w:p>
    <w:p w14:paraId="32B1B4F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Sanofi's notice of contention is more extensive. Excluding particulars, the grounds raised in the notice of contention and pressed before this Court</w:t>
      </w:r>
      <w:r w:rsidRPr="00AB1A14">
        <w:rPr>
          <w:rStyle w:val="FootnoteReference"/>
          <w:rFonts w:ascii="Times New Roman" w:hAnsi="Times New Roman"/>
          <w:sz w:val="24"/>
        </w:rPr>
        <w:footnoteReference w:id="188"/>
      </w:r>
      <w:r w:rsidRPr="00AB1A14">
        <w:rPr>
          <w:rFonts w:ascii="Times New Roman" w:hAnsi="Times New Roman"/>
        </w:rPr>
        <w:t xml:space="preserve"> are:</w:t>
      </w:r>
    </w:p>
    <w:p w14:paraId="6677CCAE"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"1.</w:t>
      </w:r>
      <w:r w:rsidRPr="00AB1A14">
        <w:rPr>
          <w:rFonts w:ascii="Times New Roman" w:hAnsi="Times New Roman"/>
        </w:rPr>
        <w:tab/>
        <w:t>The Full Court of the Federal Court of Australia (</w:t>
      </w:r>
      <w:r w:rsidRPr="00AB1A14">
        <w:rPr>
          <w:rFonts w:ascii="Times New Roman" w:hAnsi="Times New Roman"/>
          <w:b/>
          <w:bCs/>
        </w:rPr>
        <w:t>Full Court</w:t>
      </w:r>
      <w:r w:rsidRPr="00AB1A14">
        <w:rPr>
          <w:rFonts w:ascii="Times New Roman" w:hAnsi="Times New Roman"/>
        </w:rPr>
        <w:t>) erred in failing to hold that the claimed loss of the appellant (</w:t>
      </w:r>
      <w:r w:rsidRPr="00AB1A14">
        <w:rPr>
          <w:rFonts w:ascii="Times New Roman" w:hAnsi="Times New Roman"/>
          <w:b/>
          <w:bCs/>
        </w:rPr>
        <w:t>Commonwealth</w:t>
      </w:r>
      <w:r w:rsidRPr="00AB1A14">
        <w:rPr>
          <w:rFonts w:ascii="Times New Roman" w:hAnsi="Times New Roman"/>
        </w:rPr>
        <w:t>) did not flow directly from the operation of the interlocutory injunction granted on 25 September 2007 (</w:t>
      </w:r>
      <w:r w:rsidRPr="00AB1A14">
        <w:rPr>
          <w:rFonts w:ascii="Times New Roman" w:hAnsi="Times New Roman"/>
          <w:b/>
          <w:bCs/>
        </w:rPr>
        <w:t>Interlocutory Injunction</w:t>
      </w:r>
      <w:r w:rsidRPr="00AB1A14">
        <w:rPr>
          <w:rFonts w:ascii="Times New Roman" w:hAnsi="Times New Roman"/>
        </w:rPr>
        <w:t>) against Apotex Pty Ltd (</w:t>
      </w:r>
      <w:r w:rsidRPr="00AB1A14">
        <w:rPr>
          <w:rFonts w:ascii="Times New Roman" w:hAnsi="Times New Roman"/>
          <w:b/>
          <w:bCs/>
        </w:rPr>
        <w:t>Apotex</w:t>
      </w:r>
      <w:r w:rsidRPr="00AB1A14">
        <w:rPr>
          <w:rFonts w:ascii="Times New Roman" w:hAnsi="Times New Roman"/>
        </w:rPr>
        <w:t>) and therefore that compensation for the Commonwealth's claimed loss is not recoverable pursuant to the undertakings as to damages given by the respondents in support of the Interlocutory Injunction.</w:t>
      </w:r>
    </w:p>
    <w:p w14:paraId="1CF41976"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lastRenderedPageBreak/>
        <w:t>...</w:t>
      </w:r>
    </w:p>
    <w:p w14:paraId="5B818D12"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3.</w:t>
      </w:r>
      <w:r w:rsidRPr="00AB1A14">
        <w:rPr>
          <w:rFonts w:ascii="Times New Roman" w:hAnsi="Times New Roman"/>
        </w:rPr>
        <w:tab/>
        <w:t>The Full Court ought to have held that the Commonwealth's claimed loss in respect of price disclosure price reductions and the combination products did not directly flow from the granting of the Interlocutory Injunction by reason not only of the matters at J[441]</w:t>
      </w:r>
      <w:r>
        <w:rPr>
          <w:rFonts w:ascii="Times New Roman" w:hAnsi="Times New Roman"/>
        </w:rPr>
        <w:noBreakHyphen/>
      </w:r>
      <w:r w:rsidRPr="00AB1A14">
        <w:rPr>
          <w:rFonts w:ascii="Times New Roman" w:hAnsi="Times New Roman"/>
        </w:rPr>
        <w:t>[451], but also by reason that such alleged loss was posited as the outcome of a number of suppliers having made, in the counterfactual, various commercial decisions, and the outcome of various regulatory changes, in the period of several years after the grant of the Interlocutory Injunction, as well as (in the case of the combination products of clopidogrel and aspirin) the course and outcome of hypothetical negotiations between the Commonwealth and the respondents.</w:t>
      </w:r>
    </w:p>
    <w:p w14:paraId="140DD724"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4.</w:t>
      </w:r>
      <w:r w:rsidRPr="00AB1A14">
        <w:rPr>
          <w:rFonts w:ascii="Times New Roman" w:hAnsi="Times New Roman"/>
        </w:rPr>
        <w:tab/>
        <w:t>The Full Court ought to have held that the primary judge erred in finding at J[574] and J[581] that the Commonwealth was a person 'adversely affected' by the Interlocutory Injunction and had suffered compensable loss</w:t>
      </w:r>
      <w:r>
        <w:rPr>
          <w:rFonts w:ascii="Times New Roman" w:hAnsi="Times New Roman"/>
        </w:rPr>
        <w:t> ... </w:t>
      </w:r>
      <w:r w:rsidRPr="00AB1A14">
        <w:rPr>
          <w:rFonts w:ascii="Times New Roman" w:hAnsi="Times New Roman"/>
        </w:rPr>
        <w:t>[particulars (a)</w:t>
      </w:r>
      <w:r>
        <w:rPr>
          <w:rFonts w:ascii="Times New Roman" w:hAnsi="Times New Roman"/>
        </w:rPr>
        <w:noBreakHyphen/>
      </w:r>
      <w:r w:rsidRPr="00AB1A14">
        <w:rPr>
          <w:rFonts w:ascii="Times New Roman" w:hAnsi="Times New Roman"/>
        </w:rPr>
        <w:t>(c)] ... and ought instead to have dismissed the Commonwealth's claim on the basis that it was not a person 'adversely affected' by the Interlocutory Injunction and in any event had suffered no compensable loss.</w:t>
      </w:r>
    </w:p>
    <w:p w14:paraId="72032D42"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w:t>
      </w:r>
    </w:p>
    <w:p w14:paraId="7EEC2B1E" w14:textId="77777777" w:rsidR="00CC75FC"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7.</w:t>
      </w:r>
      <w:r w:rsidRPr="00AB1A14">
        <w:rPr>
          <w:rFonts w:ascii="Times New Roman" w:hAnsi="Times New Roman"/>
        </w:rPr>
        <w:tab/>
        <w:t xml:space="preserve">The Full Court ought to have held that the Commonwealth is precluded, as a matter of law, from recovering compensation pursuant to any of the undertakings as to damages given by the respondents in support of the Interlocutory Injunction by reason of Chapter 3, Part 3-2, Division 2 of the </w:t>
      </w:r>
      <w:r w:rsidRPr="00AB1A14">
        <w:rPr>
          <w:rFonts w:ascii="Times New Roman" w:hAnsi="Times New Roman"/>
          <w:i/>
          <w:iCs/>
        </w:rPr>
        <w:t>Therapeutic Goods Act 1989</w:t>
      </w:r>
      <w:r w:rsidRPr="00AB1A14">
        <w:rPr>
          <w:rFonts w:ascii="Times New Roman" w:hAnsi="Times New Roman"/>
        </w:rPr>
        <w:t> (Cth), and that the decision of the Full Court given on 7 December 2015 ... was wrong."</w:t>
      </w:r>
    </w:p>
    <w:p w14:paraId="453F1EB3"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Basic facts</w:t>
      </w:r>
    </w:p>
    <w:p w14:paraId="21899C2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Sanofi, as patentee, had exclusive rights in Australia to the exploitation of a patent for a "blockbuster" drug, a blood platelet aggregation inhibitor, known as clopidogrel. A "blockbuster" drug is one that generates substantial global sales. Annual global sales of clopidogrel were equivalent to more than USD $1 billion in revenue for Sanofi. </w:t>
      </w:r>
    </w:p>
    <w:p w14:paraId="3738904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Sanofi's Australian clopidogrel patent was granted on 7 June 1990 and was due to expire on 4 February 2013. By reason of the patent, and since registration </w:t>
      </w:r>
      <w:r w:rsidRPr="00AB1A14">
        <w:rPr>
          <w:rFonts w:ascii="Times New Roman" w:hAnsi="Times New Roman"/>
        </w:rPr>
        <w:lastRenderedPageBreak/>
        <w:t>of their products on the Australian Register of Therapeutic Goods ("ARTG")</w:t>
      </w:r>
      <w:r w:rsidRPr="00AB1A14">
        <w:rPr>
          <w:rStyle w:val="FootnoteReference"/>
          <w:rFonts w:ascii="Times New Roman" w:hAnsi="Times New Roman"/>
          <w:sz w:val="24"/>
        </w:rPr>
        <w:footnoteReference w:id="189"/>
      </w:r>
      <w:r w:rsidRPr="00AB1A14">
        <w:rPr>
          <w:rFonts w:ascii="Times New Roman" w:hAnsi="Times New Roman"/>
        </w:rPr>
        <w:t xml:space="preserve"> on 2 December 1998 and listing of their products on the PBS on 1 November 1999, Sanofi was the exclusive supplier of clopidogrel in Australia </w:t>
      </w:r>
      <w:r>
        <w:rPr>
          <w:rFonts w:ascii="Times New Roman" w:hAnsi="Times New Roman"/>
        </w:rPr>
        <w:t>(</w:t>
      </w:r>
      <w:r w:rsidRPr="00AB1A14">
        <w:rPr>
          <w:rFonts w:ascii="Times New Roman" w:hAnsi="Times New Roman"/>
        </w:rPr>
        <w:t>in hydrogen sulfate form under two different brand names</w:t>
      </w:r>
      <w:r>
        <w:rPr>
          <w:rFonts w:ascii="Times New Roman" w:hAnsi="Times New Roman"/>
        </w:rPr>
        <w:t>)</w:t>
      </w:r>
      <w:r w:rsidRPr="00AB1A14">
        <w:rPr>
          <w:rFonts w:ascii="Times New Roman" w:hAnsi="Times New Roman"/>
        </w:rPr>
        <w:t xml:space="preserve">. </w:t>
      </w:r>
    </w:p>
    <w:p w14:paraId="10040DA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Apotex Australia is a generic pharmaceutical company formerly known as GenRx Pty Ltd and Apotex Australia Pty Ltd. It is part of a larger company group, which is referred to as "Apotex" in these reasons. </w:t>
      </w:r>
    </w:p>
    <w:p w14:paraId="068B631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16 August 2007 Apotex Australia filed an application in the Federal Court of Australia seeking an order revoking Sanofi's Australian clopidogrel patent on the ground the patent was invalid. </w:t>
      </w:r>
    </w:p>
    <w:p w14:paraId="2C64D9B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17 September 2007 Sanofi filed a cross-claim seeking final and interlocutory relief against Apotex Australia for threatened infringement of Sanofi's Australian clopidogrel patent and a notice of motion detailing the interlocutory relief claimed. </w:t>
      </w:r>
    </w:p>
    <w:p w14:paraId="34005CE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notice of motion was heard before Gyles J on 18 September 2007. His Honour reserved his decision. </w:t>
      </w:r>
    </w:p>
    <w:p w14:paraId="0CF9D31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On 21 September 2007 Gyles J delivered oral reasons to the effect that he would grant the interlocutory injunction Sanofi sought other than in respect of the listing of the Apotex clopidogrel products on the PBS. On 25 September 2007 Gyles J published revised written reasons for the grant of the interlocutory injunction</w:t>
      </w:r>
      <w:r w:rsidRPr="00AB1A14">
        <w:rPr>
          <w:rStyle w:val="FootnoteReference"/>
          <w:rFonts w:ascii="Times New Roman" w:hAnsi="Times New Roman"/>
          <w:sz w:val="24"/>
        </w:rPr>
        <w:footnoteReference w:id="190"/>
      </w:r>
      <w:r w:rsidRPr="00AB1A14">
        <w:rPr>
          <w:rFonts w:ascii="Times New Roman" w:hAnsi="Times New Roman"/>
        </w:rPr>
        <w:t xml:space="preserve"> and made orders. The orders of 25 September 2007 are in these terms: </w:t>
      </w:r>
    </w:p>
    <w:p w14:paraId="67237E14"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"UPON the Respondent/Cross-Claimant [Sanofi] undertaking to the Court to:</w:t>
      </w:r>
    </w:p>
    <w:p w14:paraId="57A8C0F9"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(a)</w:t>
      </w:r>
      <w:r w:rsidRPr="00AB1A14">
        <w:rPr>
          <w:rFonts w:ascii="Times New Roman" w:hAnsi="Times New Roman"/>
        </w:rPr>
        <w:tab/>
        <w:t>submit to such order (if any) as the Court may consider to be just for the payment of compensation, to be assessed by the Court or as it may direct, to any person whether or not a party, adversely affected by the operation of Order 1 set out below or any continuation (with or without variation); and</w:t>
      </w:r>
    </w:p>
    <w:p w14:paraId="7FFFE606"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(b)</w:t>
      </w:r>
      <w:r w:rsidRPr="00AB1A14">
        <w:rPr>
          <w:rFonts w:ascii="Times New Roman" w:hAnsi="Times New Roman"/>
        </w:rPr>
        <w:tab/>
        <w:t>pay the compensation referred to in (a) to the person or persons there referred to.</w:t>
      </w:r>
    </w:p>
    <w:p w14:paraId="17285EA8" w14:textId="77777777" w:rsidR="00CC75FC" w:rsidRPr="00AB1A14" w:rsidRDefault="00CC75FC" w:rsidP="00D86975">
      <w:pPr>
        <w:pStyle w:val="leftright"/>
        <w:keepNext/>
        <w:spacing w:before="0" w:after="260" w:line="280" w:lineRule="exact"/>
        <w:ind w:right="0"/>
        <w:jc w:val="both"/>
        <w:rPr>
          <w:rFonts w:ascii="Times New Roman" w:hAnsi="Times New Roman"/>
        </w:rPr>
      </w:pPr>
      <w:r w:rsidRPr="00AB1A14">
        <w:rPr>
          <w:rFonts w:ascii="Times New Roman" w:hAnsi="Times New Roman"/>
          <w:b/>
          <w:bCs/>
        </w:rPr>
        <w:lastRenderedPageBreak/>
        <w:t>THE COURT</w:t>
      </w:r>
      <w:r w:rsidRPr="00AB1A14">
        <w:rPr>
          <w:rFonts w:ascii="Times New Roman" w:hAnsi="Times New Roman"/>
        </w:rPr>
        <w:t>:</w:t>
      </w:r>
    </w:p>
    <w:p w14:paraId="02C40ADB" w14:textId="77777777" w:rsidR="00CC75FC" w:rsidRPr="00AB1A14" w:rsidRDefault="00CC75FC" w:rsidP="00D86975">
      <w:pPr>
        <w:pStyle w:val="leftright"/>
        <w:keepNext/>
        <w:spacing w:before="0" w:after="260" w:line="280" w:lineRule="exact"/>
        <w:ind w:left="1440" w:right="0" w:hanging="720"/>
        <w:jc w:val="both"/>
        <w:rPr>
          <w:rFonts w:ascii="Times New Roman" w:hAnsi="Times New Roman"/>
        </w:rPr>
      </w:pPr>
      <w:r w:rsidRPr="00AB1A14">
        <w:rPr>
          <w:rFonts w:ascii="Times New Roman" w:hAnsi="Times New Roman"/>
        </w:rPr>
        <w:t>1.</w:t>
      </w:r>
      <w:r w:rsidRPr="00AB1A14">
        <w:rPr>
          <w:rFonts w:ascii="Times New Roman" w:hAnsi="Times New Roman"/>
        </w:rPr>
        <w:tab/>
        <w:t xml:space="preserve">ORDERS that, pending the determination of the proceedings or further order, the Applicant/Cross-Respondent [Apotex Australia] ... be restrained from infringing Australian Letters Patent No 597784 (the </w:t>
      </w:r>
      <w:r w:rsidRPr="00AB1A14">
        <w:rPr>
          <w:rFonts w:ascii="Times New Roman" w:hAnsi="Times New Roman"/>
          <w:b/>
          <w:bCs/>
        </w:rPr>
        <w:t>Patent</w:t>
      </w:r>
      <w:r w:rsidRPr="00AB1A14">
        <w:rPr>
          <w:rFonts w:ascii="Times New Roman" w:hAnsi="Times New Roman"/>
        </w:rPr>
        <w:t xml:space="preserve">) and, in particular, from engaging in the following acts within the patent area (as that term is defined in </w:t>
      </w:r>
      <w:r w:rsidRPr="00AB1A14">
        <w:rPr>
          <w:rFonts w:ascii="Times New Roman" w:hAnsi="Times New Roman"/>
          <w:i/>
          <w:iCs/>
        </w:rPr>
        <w:t xml:space="preserve">Patents Act </w:t>
      </w:r>
      <w:r w:rsidRPr="00AB1A14">
        <w:rPr>
          <w:rFonts w:ascii="Times New Roman" w:hAnsi="Times New Roman"/>
        </w:rPr>
        <w:t>1990 (Cth)), without the license or authority of the Respondent/Cross-Claimant:</w:t>
      </w:r>
    </w:p>
    <w:p w14:paraId="35E13366"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(a)</w:t>
      </w:r>
      <w:r w:rsidRPr="00AB1A14">
        <w:rPr>
          <w:rFonts w:ascii="Times New Roman" w:hAnsi="Times New Roman"/>
        </w:rPr>
        <w:tab/>
        <w:t xml:space="preserve">making, selling or otherwise disposing of the products known as [GenRx Clopidogrel Products] or any other pharmaceutical composition the active ingredient of which is clopidogrel bisulfate, a compound claimed in claims 1, 3, 10 and 11 of the Patent (collectively, the </w:t>
      </w:r>
      <w:r w:rsidRPr="00AB1A14">
        <w:rPr>
          <w:rFonts w:ascii="Times New Roman" w:hAnsi="Times New Roman"/>
          <w:b/>
          <w:bCs/>
        </w:rPr>
        <w:t>GenRx Clopidogrel Products</w:t>
      </w:r>
      <w:r w:rsidRPr="00AB1A14">
        <w:rPr>
          <w:rFonts w:ascii="Times New Roman" w:hAnsi="Times New Roman"/>
        </w:rPr>
        <w:t>);</w:t>
      </w:r>
    </w:p>
    <w:p w14:paraId="1B7DA09C"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(b)</w:t>
      </w:r>
      <w:r w:rsidRPr="00AB1A14">
        <w:rPr>
          <w:rFonts w:ascii="Times New Roman" w:hAnsi="Times New Roman"/>
        </w:rPr>
        <w:tab/>
        <w:t>offering to make, sell or otherwise dispose of the GenRx Clopidogrel Products;</w:t>
      </w:r>
    </w:p>
    <w:p w14:paraId="3D872EE7"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(c)</w:t>
      </w:r>
      <w:r w:rsidRPr="00AB1A14">
        <w:rPr>
          <w:rFonts w:ascii="Times New Roman" w:hAnsi="Times New Roman"/>
        </w:rPr>
        <w:tab/>
        <w:t>using or importing the GenRx Clopidogrel Products;</w:t>
      </w:r>
    </w:p>
    <w:p w14:paraId="061F3088"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(d)</w:t>
      </w:r>
      <w:r w:rsidRPr="00AB1A14">
        <w:rPr>
          <w:rFonts w:ascii="Times New Roman" w:hAnsi="Times New Roman"/>
        </w:rPr>
        <w:tab/>
        <w:t>keeping the GenRx Clopidogrel Products for the purpose of doing any of the acts described in sub-paragraphs (a) to (c) above;</w:t>
      </w:r>
    </w:p>
    <w:p w14:paraId="7595985C" w14:textId="77777777" w:rsidR="00CC75FC" w:rsidRPr="00AB1A14" w:rsidRDefault="00CC75FC" w:rsidP="00AB1A14">
      <w:pPr>
        <w:pStyle w:val="leftright"/>
        <w:spacing w:before="0" w:after="260" w:line="280" w:lineRule="exact"/>
        <w:ind w:left="2160" w:right="0" w:hanging="1440"/>
        <w:jc w:val="both"/>
        <w:rPr>
          <w:rFonts w:ascii="Times New Roman" w:hAnsi="Times New Roman"/>
        </w:rPr>
      </w:pPr>
      <w:r w:rsidRPr="00AB1A14">
        <w:rPr>
          <w:rFonts w:ascii="Times New Roman" w:hAnsi="Times New Roman"/>
        </w:rPr>
        <w:tab/>
        <w:t>(e)</w:t>
      </w:r>
      <w:r w:rsidRPr="00AB1A14">
        <w:rPr>
          <w:rFonts w:ascii="Times New Roman" w:hAnsi="Times New Roman"/>
        </w:rPr>
        <w:tab/>
        <w:t>authorising other people to engage in any of the acts described in sub-paragraphs (a) to (d) above.</w:t>
      </w:r>
    </w:p>
    <w:p w14:paraId="07030227"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2.</w:t>
      </w:r>
      <w:r w:rsidRPr="00AB1A14">
        <w:rPr>
          <w:rFonts w:ascii="Times New Roman" w:hAnsi="Times New Roman"/>
        </w:rPr>
        <w:tab/>
        <w:t xml:space="preserve">NOTES that the Applicant/Cross-Respondent [Apotex Australia] undertakes to the Court that, pending the determination of the proceedings or further order, it will not, whether by itself, its directors, officers, servants or agents or otherwise, take any steps to obtain listing of any of the GenRx Clopidogrel products under the pharmaceutical benefits scheme maintained by the Commonwealth under the </w:t>
      </w:r>
      <w:r w:rsidRPr="00AB1A14">
        <w:rPr>
          <w:rFonts w:ascii="Times New Roman" w:hAnsi="Times New Roman"/>
          <w:i/>
          <w:iCs/>
        </w:rPr>
        <w:t xml:space="preserve">National Health Act </w:t>
      </w:r>
      <w:r w:rsidRPr="00AB1A14">
        <w:rPr>
          <w:rFonts w:ascii="Times New Roman" w:hAnsi="Times New Roman"/>
        </w:rPr>
        <w:t>1953 (Cth).</w:t>
      </w:r>
    </w:p>
    <w:p w14:paraId="1976480B"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t>3.</w:t>
      </w:r>
      <w:r w:rsidRPr="00AB1A14">
        <w:rPr>
          <w:rFonts w:ascii="Times New Roman" w:hAnsi="Times New Roman"/>
        </w:rPr>
        <w:tab/>
        <w:t>ORDERS the Respondent/Cross-Claimant [Sanofi] to provide by 23 October 2007 to the Applicant/Cross-Respondent security in the sum of A$40 million, either by way of a cash deposit into a joint account or by way of bank guarantee or irrevocable standby letter of credit or any combination of these, pending the determination of the amount of compensation, if any, that the Court may consider should be paid to the Applicant/Cross-Respondent [Apotex Australia] should it be found to have been adversely affected by Order 1.</w:t>
      </w:r>
    </w:p>
    <w:p w14:paraId="69B69879"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w:t>
      </w:r>
    </w:p>
    <w:p w14:paraId="1D0448EE" w14:textId="77777777" w:rsidR="00CC75FC" w:rsidRPr="00AB1A14" w:rsidRDefault="00CC75FC" w:rsidP="00AB1A14">
      <w:pPr>
        <w:pStyle w:val="leftright"/>
        <w:spacing w:before="0" w:after="260" w:line="280" w:lineRule="exact"/>
        <w:ind w:left="1440" w:right="0" w:hanging="720"/>
        <w:jc w:val="both"/>
        <w:rPr>
          <w:rFonts w:ascii="Times New Roman" w:hAnsi="Times New Roman"/>
        </w:rPr>
      </w:pPr>
      <w:r w:rsidRPr="00AB1A14">
        <w:rPr>
          <w:rFonts w:ascii="Times New Roman" w:hAnsi="Times New Roman"/>
        </w:rPr>
        <w:lastRenderedPageBreak/>
        <w:t>12.</w:t>
      </w:r>
      <w:r w:rsidRPr="00AB1A14">
        <w:rPr>
          <w:rFonts w:ascii="Times New Roman" w:hAnsi="Times New Roman"/>
        </w:rPr>
        <w:tab/>
        <w:t>DIRECTS the proceeding be fixed for final hearing for a period of two to three weeks commencing on 28 April 2008.</w:t>
      </w:r>
    </w:p>
    <w:p w14:paraId="486E8650" w14:textId="77777777" w:rsidR="00CC75FC"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w:t>
      </w:r>
    </w:p>
    <w:p w14:paraId="5323793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Gyles J heard the substantive proceedings between 28 April and 15 May</w:t>
      </w:r>
      <w:r>
        <w:rPr>
          <w:rFonts w:ascii="Times New Roman" w:hAnsi="Times New Roman"/>
        </w:rPr>
        <w:t> </w:t>
      </w:r>
      <w:r w:rsidRPr="00AB1A14">
        <w:rPr>
          <w:rFonts w:ascii="Times New Roman" w:hAnsi="Times New Roman"/>
        </w:rPr>
        <w:t xml:space="preserve">2008. His Honour delivered judgment on 12 August 2008. Gyles J found claims 2-5 of Sanofi's Australian clopidogrel patent to be valid (which, if it had launched its products, Apotex Australia would have therefore infringed). Gyles J made final orders in the proceedings on 19 August 2008 in accordance with these findings. </w:t>
      </w:r>
    </w:p>
    <w:p w14:paraId="12EDF7C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Apotex Australia filed an appeal against Gyles J's orders on 19 August</w:t>
      </w:r>
      <w:r>
        <w:rPr>
          <w:rFonts w:ascii="Times New Roman" w:hAnsi="Times New Roman"/>
        </w:rPr>
        <w:t> </w:t>
      </w:r>
      <w:r w:rsidRPr="00AB1A14">
        <w:rPr>
          <w:rFonts w:ascii="Times New Roman" w:hAnsi="Times New Roman"/>
        </w:rPr>
        <w:t xml:space="preserve">2008. Sanofi filed a cross-appeal on 8 September 2008. </w:t>
      </w:r>
    </w:p>
    <w:p w14:paraId="4E46EA4D"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of the Federal Court of Australia (Emmett, Bennett, and Middleton JJ) heard the appeal in February 2009. The Full Court delivered judgment on 29 September 2009.</w:t>
      </w:r>
      <w:r w:rsidRPr="00AB1A14">
        <w:rPr>
          <w:rStyle w:val="FootnoteReference"/>
          <w:rFonts w:ascii="Times New Roman" w:hAnsi="Times New Roman"/>
          <w:sz w:val="24"/>
        </w:rPr>
        <w:footnoteReference w:id="191"/>
      </w:r>
      <w:r w:rsidRPr="00AB1A14">
        <w:rPr>
          <w:rFonts w:ascii="Times New Roman" w:hAnsi="Times New Roman"/>
        </w:rPr>
        <w:t xml:space="preserve"> </w:t>
      </w:r>
    </w:p>
    <w:p w14:paraId="11976C7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13 October 2009 the Full Court made orders allowing Apotex Australia's appeal, setting aside the final injunction (order 2 of the orders of 19 August 2008), and revoking Sanofi's Australian clopidogrel patent. </w:t>
      </w:r>
    </w:p>
    <w:p w14:paraId="792982B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12 March 2010 Sanofi was refused special leave to appeal to the High Court against the orders made on 13 October 2009. </w:t>
      </w:r>
    </w:p>
    <w:p w14:paraId="4888DD7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4 May 2010 Apotex claimed compensation under the various undertakings Sanofi had given to the Court. These compensation claims were discontinued on 7 November 2014 pursuant to a settlement deed between Sanofi and Apotex executed on 4 November 2014. </w:t>
      </w:r>
    </w:p>
    <w:p w14:paraId="45A49AD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11 April 2013 the Commonwealth filed an interlocutory application in the proceeding which Gyles J had heard. The Commonwealth claimed compensation for loss pursuant to Sanofi's undertaking as to damages given on 25 September 2007. The Commonwealth's case was (and is) that, but for the interlocutory injunction granted on 25 September 2007 on the basis of Sanofi's undertaking as to damages, Apotex Australia would have applied to list its clopidogrel products on the PBS and, as a matter of course, those products would have been so listed on 1 April 2008 and supplied in Australia thereafter. If that had occurred, by operation of provisions of the </w:t>
      </w:r>
      <w:r w:rsidRPr="00AB1A14">
        <w:rPr>
          <w:rFonts w:ascii="Times New Roman" w:hAnsi="Times New Roman"/>
          <w:i/>
          <w:iCs/>
        </w:rPr>
        <w:t>National Health Act 1953</w:t>
      </w:r>
      <w:r w:rsidRPr="00AB1A14">
        <w:rPr>
          <w:rFonts w:ascii="Times New Roman" w:hAnsi="Times New Roman"/>
        </w:rPr>
        <w:t xml:space="preserve"> (Cth), the price paid by the Commonwealth for all clopidogrel products supplied in Australia would have decreased by 12.5% on and from 1 April 2008 (the PBS listing date), and by other amounts on several occasions thereafter also in accordance with the </w:t>
      </w:r>
      <w:r w:rsidRPr="00AB1A14">
        <w:rPr>
          <w:rFonts w:ascii="Times New Roman" w:hAnsi="Times New Roman"/>
          <w:i/>
          <w:iCs/>
        </w:rPr>
        <w:lastRenderedPageBreak/>
        <w:t>National Health Act</w:t>
      </w:r>
      <w:r w:rsidRPr="00AB1A14">
        <w:rPr>
          <w:rFonts w:ascii="Times New Roman" w:hAnsi="Times New Roman"/>
        </w:rPr>
        <w:t xml:space="preserve">. The Commonwealth claims compensation for the difference between the price it paid for clopidogrel products supplied in Australia since 1 April 2008 and the price it would have paid for those products had Apotex Australia's clopidogrel products been listed on the PBS on 1 April 2008 in the amount of approximately $325 million. </w:t>
      </w:r>
    </w:p>
    <w:p w14:paraId="56D5BD1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 11 May 2015 the Federal Court of Australia (Nicholas J) stated a case to the Full Court of the Federal Court of Australia. The question of law stated was: "[i]s the Commonwealth of Australia precluded, as a matter of law, from recovering compensation pursuant to any of the Undertakings as to Damages by reason of Chapter 3, Part 3-2, Division 2 of the </w:t>
      </w:r>
      <w:r w:rsidRPr="00AB1A14">
        <w:rPr>
          <w:rFonts w:ascii="Times New Roman" w:hAnsi="Times New Roman"/>
          <w:i/>
          <w:iCs/>
        </w:rPr>
        <w:t>Therapeutic Goods Act 1989</w:t>
      </w:r>
      <w:r w:rsidRPr="00AB1A14">
        <w:rPr>
          <w:rFonts w:ascii="Times New Roman" w:hAnsi="Times New Roman"/>
        </w:rPr>
        <w:t> (Cth)?". The Full Court (Dowsett, Kenny and Nicholas JJ) delivered judgment and made orders on 7 December 2015 answering that question "[n]o".</w:t>
      </w:r>
      <w:r w:rsidRPr="00AB1A14">
        <w:rPr>
          <w:rStyle w:val="FootnoteReference"/>
          <w:rFonts w:ascii="Times New Roman" w:hAnsi="Times New Roman"/>
          <w:sz w:val="24"/>
        </w:rPr>
        <w:footnoteReference w:id="192"/>
      </w:r>
      <w:r w:rsidRPr="00AB1A14">
        <w:rPr>
          <w:rFonts w:ascii="Times New Roman" w:hAnsi="Times New Roman"/>
        </w:rPr>
        <w:t xml:space="preserve"> </w:t>
      </w:r>
    </w:p>
    <w:p w14:paraId="60C40D0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On 12 May 2016 Sanofi was refused special leave to appeal against the answer in the stated case.</w:t>
      </w:r>
      <w:r w:rsidRPr="00AB1A14">
        <w:rPr>
          <w:rStyle w:val="FootnoteReference"/>
          <w:rFonts w:ascii="Times New Roman" w:hAnsi="Times New Roman"/>
          <w:sz w:val="24"/>
        </w:rPr>
        <w:footnoteReference w:id="193"/>
      </w:r>
      <w:r w:rsidRPr="00AB1A14">
        <w:rPr>
          <w:rFonts w:ascii="Times New Roman" w:hAnsi="Times New Roman"/>
        </w:rPr>
        <w:t xml:space="preserve"> </w:t>
      </w:r>
    </w:p>
    <w:p w14:paraId="5C3467B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heard the Commonwealth's claim for compensation between 28 August and 29 September 2017. On 28 April 2020 the primary judge dismissed the Commonwealth's claim for compensation.</w:t>
      </w:r>
      <w:r w:rsidRPr="00AB1A14">
        <w:rPr>
          <w:rStyle w:val="FootnoteReference"/>
          <w:rFonts w:ascii="Times New Roman" w:hAnsi="Times New Roman"/>
          <w:sz w:val="24"/>
        </w:rPr>
        <w:footnoteReference w:id="194"/>
      </w:r>
      <w:r w:rsidRPr="00AB1A14">
        <w:rPr>
          <w:rFonts w:ascii="Times New Roman" w:hAnsi="Times New Roman"/>
        </w:rPr>
        <w:t xml:space="preserve"> </w:t>
      </w:r>
    </w:p>
    <w:p w14:paraId="617B845C" w14:textId="77777777" w:rsidR="00CC75FC" w:rsidRDefault="00CC75FC" w:rsidP="00901BB7">
      <w:pPr>
        <w:pStyle w:val="FixListStyle"/>
        <w:spacing w:after="260" w:line="280" w:lineRule="exact"/>
        <w:ind w:right="0"/>
        <w:jc w:val="both"/>
        <w:rPr>
          <w:rFonts w:ascii="Times New Roman" w:hAnsi="Times New Roman"/>
        </w:rPr>
      </w:pPr>
      <w:r w:rsidRPr="00901BB7">
        <w:rPr>
          <w:rFonts w:ascii="Times New Roman" w:hAnsi="Times New Roman"/>
        </w:rPr>
        <w:tab/>
        <w:t>The Full Court of the Federal Court of Australia heard the Commonwealth's appeal between 16 and 24 February 2021 and dismissed that appeal on 26 June 2023.</w:t>
      </w:r>
      <w:r w:rsidRPr="00AB1A14">
        <w:rPr>
          <w:rStyle w:val="FootnoteReference"/>
          <w:rFonts w:ascii="Times New Roman" w:hAnsi="Times New Roman"/>
          <w:sz w:val="24"/>
        </w:rPr>
        <w:footnoteReference w:id="195"/>
      </w:r>
      <w:r w:rsidRPr="00901BB7">
        <w:rPr>
          <w:rFonts w:ascii="Times New Roman" w:hAnsi="Times New Roman"/>
        </w:rPr>
        <w:t xml:space="preserve"> The Commonwealth was granted special leave to appeal to this Court against the orders dismissing its appeal on 18 December 2023. </w:t>
      </w:r>
    </w:p>
    <w:p w14:paraId="5A91B60E" w14:textId="77777777" w:rsidR="00CC75FC" w:rsidRPr="00D86975" w:rsidRDefault="00CC75FC" w:rsidP="00D86975">
      <w:pPr>
        <w:pStyle w:val="HeadingL1"/>
        <w:spacing w:after="260"/>
        <w:rPr>
          <w:rFonts w:ascii="Times New Roman" w:hAnsi="Times New Roman"/>
        </w:rPr>
      </w:pPr>
      <w:r w:rsidRPr="00D86975">
        <w:rPr>
          <w:rFonts w:ascii="Times New Roman" w:hAnsi="Times New Roman"/>
        </w:rPr>
        <w:t>Legislative context</w:t>
      </w:r>
    </w:p>
    <w:p w14:paraId="230221D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Apotex and Sanofi were sophisticated international pharmaceutical companies, the former a generic pharmaceutical company and the latter an originator pharmaceutical company. Both were advised nationally and internationally by experienced patent and intellectual property lawyers. </w:t>
      </w:r>
    </w:p>
    <w:p w14:paraId="23D9C88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At all times both would have understood the relevant legislative context. That is, they would have understood that: (a) in order for Apotex Australia (or any other generic company) to market and supply clopidogrel products in Australia they needed to have their products registered on the ARTG; (b) registration on the </w:t>
      </w:r>
      <w:r w:rsidRPr="00AB1A14">
        <w:rPr>
          <w:rFonts w:ascii="Times New Roman" w:hAnsi="Times New Roman"/>
        </w:rPr>
        <w:lastRenderedPageBreak/>
        <w:t>ARTG was also necessary before any product could be listed on the PBS; and (c) while a product can be marketed and supplied in Australia without PBS listing (provided it is registered on the ARTG), the sale of a prescription medication product will be as a private prescription only, without the Commonwealth subsidising the price to be paid by the person prescribed the product by co-payment to the pharmacist (or approved medical practitioner) dispensing the product.</w:t>
      </w:r>
      <w:r w:rsidRPr="00AB1A14">
        <w:rPr>
          <w:rStyle w:val="FootnoteReference"/>
          <w:rFonts w:ascii="Times New Roman" w:hAnsi="Times New Roman"/>
          <w:sz w:val="24"/>
        </w:rPr>
        <w:footnoteReference w:id="196"/>
      </w:r>
      <w:r w:rsidRPr="00AB1A14">
        <w:rPr>
          <w:rFonts w:ascii="Times New Roman" w:hAnsi="Times New Roman"/>
        </w:rPr>
        <w:t xml:space="preserve"> Further, they would have known that for any application to list generic medications on the PBS which would result in a change to the price subsidised by the Commonwealth for a drug there were, at the relevant time, three application deadlines (about four months before the listing date) and three listing dates (1 April, 1 August and 1 December) each year.</w:t>
      </w:r>
      <w:r w:rsidRPr="00AB1A14">
        <w:rPr>
          <w:rStyle w:val="FootnoteReference"/>
          <w:rFonts w:ascii="Times New Roman" w:hAnsi="Times New Roman"/>
          <w:sz w:val="24"/>
        </w:rPr>
        <w:footnoteReference w:id="197"/>
      </w:r>
    </w:p>
    <w:p w14:paraId="74EF4B3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They also would have understood that from 1 August 2007, upon commencement of amendments to the </w:t>
      </w:r>
      <w:r w:rsidRPr="00AB1A14">
        <w:rPr>
          <w:rFonts w:ascii="Times New Roman" w:hAnsi="Times New Roman"/>
          <w:i/>
          <w:iCs/>
        </w:rPr>
        <w:t>National Health Act</w:t>
      </w:r>
      <w:r w:rsidRPr="00AB1A14">
        <w:rPr>
          <w:rFonts w:ascii="Times New Roman" w:hAnsi="Times New Roman"/>
        </w:rPr>
        <w:t>,</w:t>
      </w:r>
      <w:r w:rsidRPr="00AB1A14">
        <w:rPr>
          <w:rStyle w:val="FootnoteReference"/>
          <w:rFonts w:ascii="Times New Roman" w:hAnsi="Times New Roman"/>
          <w:sz w:val="24"/>
        </w:rPr>
        <w:footnoteReference w:id="198"/>
      </w:r>
      <w:r w:rsidRPr="00AB1A14">
        <w:rPr>
          <w:rFonts w:ascii="Times New Roman" w:hAnsi="Times New Roman"/>
        </w:rPr>
        <w:t xml:space="preserve"> the listing of a "new brand of a pharmaceutical item (eg a generic version of the listed pharmaceutical item) triggers an automatic and immediate 12.5% price reduction"</w:t>
      </w:r>
      <w:r w:rsidRPr="00AB1A14">
        <w:rPr>
          <w:rStyle w:val="FootnoteReference"/>
          <w:rFonts w:ascii="Times New Roman" w:hAnsi="Times New Roman"/>
          <w:sz w:val="24"/>
        </w:rPr>
        <w:footnoteReference w:id="199"/>
      </w:r>
      <w:r w:rsidRPr="00AB1A14">
        <w:rPr>
          <w:rFonts w:ascii="Times New Roman" w:hAnsi="Times New Roman"/>
        </w:rPr>
        <w:t xml:space="preserve"> for all versions of the medicine.</w:t>
      </w:r>
      <w:r w:rsidRPr="00AB1A14">
        <w:rPr>
          <w:rStyle w:val="FootnoteReference"/>
          <w:rFonts w:ascii="Times New Roman" w:hAnsi="Times New Roman"/>
          <w:sz w:val="24"/>
        </w:rPr>
        <w:footnoteReference w:id="200"/>
      </w:r>
      <w:r w:rsidRPr="00AB1A14">
        <w:rPr>
          <w:rFonts w:ascii="Times New Roman" w:hAnsi="Times New Roman"/>
        </w:rPr>
        <w:t xml:space="preserve"> They further would have understood that from 1 August 2007, the listing of a generic bioequivalent pharmaceutical item on the PBS required the applicant to guarantee the supply of the item from the listing date for a period of 24 months. If unable to supply (or if a belief was formed to that effect)</w:t>
      </w:r>
      <w:r>
        <w:rPr>
          <w:rFonts w:ascii="Times New Roman" w:hAnsi="Times New Roman"/>
        </w:rPr>
        <w:t>,</w:t>
      </w:r>
      <w:r w:rsidRPr="00AB1A14">
        <w:rPr>
          <w:rFonts w:ascii="Times New Roman" w:hAnsi="Times New Roman"/>
        </w:rPr>
        <w:t xml:space="preserve"> the applicant had to notify the Minister as soon as possible, failure to do so being a criminal offence.</w:t>
      </w:r>
      <w:r w:rsidRPr="00AB1A14">
        <w:rPr>
          <w:rStyle w:val="FootnoteReference"/>
          <w:rFonts w:ascii="Times New Roman" w:hAnsi="Times New Roman"/>
          <w:sz w:val="24"/>
        </w:rPr>
        <w:footnoteReference w:id="201"/>
      </w:r>
      <w:r w:rsidRPr="00AB1A14">
        <w:rPr>
          <w:rFonts w:ascii="Times New Roman" w:hAnsi="Times New Roman"/>
        </w:rPr>
        <w:t xml:space="preserve"> Failure to supply in accordance with the required </w:t>
      </w:r>
      <w:r w:rsidRPr="00AB1A14">
        <w:rPr>
          <w:rFonts w:ascii="Times New Roman" w:hAnsi="Times New Roman"/>
        </w:rPr>
        <w:lastRenderedPageBreak/>
        <w:t>guarantee could also have other serious consequences, including in respect of the PBS listing of other products sponsored by the same supplier.</w:t>
      </w:r>
      <w:r w:rsidRPr="00AB1A14">
        <w:rPr>
          <w:rStyle w:val="FootnoteReference"/>
          <w:rFonts w:ascii="Times New Roman" w:hAnsi="Times New Roman"/>
          <w:sz w:val="24"/>
        </w:rPr>
        <w:footnoteReference w:id="202"/>
      </w:r>
      <w:r w:rsidRPr="00AB1A14">
        <w:rPr>
          <w:rFonts w:ascii="Times New Roman" w:hAnsi="Times New Roman"/>
        </w:rPr>
        <w:t xml:space="preserve"> </w:t>
      </w:r>
    </w:p>
    <w:p w14:paraId="1B26860F"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Principal conclusions of the primary judge</w:t>
      </w:r>
    </w:p>
    <w:p w14:paraId="2FF19CB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dismissed the Commonwealth's application for compensation. His Honour recorded that the first issue was whether "the evidence establishes that Apotex Australia would have applied for a PBS listing of its clopidogrel products by 1 December 2007 so that they would be listed on the PBS from 1 April 2008", it being common ground that this issue was to be determined on the balance of probabilities and, if answered in the negative, that the Commonwealth's application for compensation must be dismissed.</w:t>
      </w:r>
      <w:r w:rsidRPr="00AB1A14">
        <w:rPr>
          <w:rStyle w:val="FootnoteReference"/>
          <w:rFonts w:ascii="Times New Roman" w:hAnsi="Times New Roman"/>
          <w:sz w:val="24"/>
        </w:rPr>
        <w:footnoteReference w:id="203"/>
      </w:r>
      <w:r w:rsidRPr="00AB1A14">
        <w:rPr>
          <w:rFonts w:ascii="Times New Roman" w:hAnsi="Times New Roman"/>
        </w:rPr>
        <w:t xml:space="preserve"> His Honour answered the question in the negative on several bases.</w:t>
      </w:r>
    </w:p>
    <w:p w14:paraId="63167D0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coming to that negative answer, the primary judge made various factual findings. To understand these findings, it is necessary to explain the following. The Chief Executive Officer </w:t>
      </w:r>
      <w:r>
        <w:rPr>
          <w:rFonts w:ascii="Times New Roman" w:hAnsi="Times New Roman"/>
        </w:rPr>
        <w:t xml:space="preserve">("CEO") </w:t>
      </w:r>
      <w:r w:rsidRPr="00AB1A14">
        <w:rPr>
          <w:rFonts w:ascii="Times New Roman" w:hAnsi="Times New Roman"/>
        </w:rPr>
        <w:t xml:space="preserve">and Chairman of Apotex was Dr Bernard "Barry" Sherman (also its co-founder). Mr Andrew Kay, President of Apotex International Inc, reported to Mr Craig Baxter and Dr Sherman. Mr Baxter, of a related Apotex entity, reported directly to Dr Sherman. Mr Millichamp, as Managing Director of Apotex Australia, reported to Mr Michael Weingarten of Apotex Inc ("Apotex Canada") before June 2007 and to Mr Kay after June 2007. Ms Karen McTavish (National Sales and Marketing Director, Apotex Australia) reported to Mr Millichamp, as did Mr Paddy Smith (Chief Financial Officer, Apotex Australia). Apotex's supply and manufacturing arm involved a separate line of reporting in which Mr Stephen Haas (Corporate Project Manager, New Product Demand Planning, Apotex Canada) reported to Mr Gord Fahner (Vice President, Finance, Apotex Canada) and Mr Fahner reported directly to Dr Sherman. Dr Jeremy Desai was Apotex Canada's Executive Vice President of Research and Development and reported directly to Dr Sherman. </w:t>
      </w:r>
    </w:p>
    <w:p w14:paraId="70C6B61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primary judge's findings included that in an email of 20 February 2007 from Dr Sherman to Mr Millichamp ("[p]lan is as follows ... [i]f [Sanofi] do not give an undertaking for our damages and do not get an injunction, we will launch"), Dr Sherman was "intending to have Apotex Australia launch at risk in the event that Sanofi did not obtain any interlocutory injunction" and this "no longer </w:t>
      </w:r>
      <w:r w:rsidRPr="00AB1A14">
        <w:rPr>
          <w:rFonts w:ascii="Times New Roman" w:hAnsi="Times New Roman"/>
        </w:rPr>
        <w:lastRenderedPageBreak/>
        <w:t>depended on the outcome of the litigation in Canada or the United States".</w:t>
      </w:r>
      <w:r w:rsidRPr="00AB1A14">
        <w:rPr>
          <w:rStyle w:val="FootnoteReference"/>
          <w:rFonts w:ascii="Times New Roman" w:hAnsi="Times New Roman"/>
          <w:sz w:val="24"/>
        </w:rPr>
        <w:footnoteReference w:id="204"/>
      </w:r>
      <w:r w:rsidRPr="00AB1A14">
        <w:rPr>
          <w:rFonts w:ascii="Times New Roman" w:hAnsi="Times New Roman"/>
        </w:rPr>
        <w:t xml:space="preserve"> Further, that Apotex Australia launching its products depended on PBS listing as "there would have been no commercial benefit to Apotex Australia if it were to market its clopidogrel products in Australia in the absence of a PBS listing".</w:t>
      </w:r>
      <w:r w:rsidRPr="00AB1A14">
        <w:rPr>
          <w:rStyle w:val="FootnoteReference"/>
          <w:rFonts w:ascii="Times New Roman" w:hAnsi="Times New Roman"/>
          <w:sz w:val="24"/>
        </w:rPr>
        <w:footnoteReference w:id="205"/>
      </w:r>
    </w:p>
    <w:p w14:paraId="1243FCE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observed that "Mr Millichamp's email to Mr Haas [of 27 June 2007 at 1.59pm, saying "... If we are successful in avoiding an injunction we will plan to launch subject to Barry's further advice/approval"] suggests that at the time it was sent it was Mr Millichamp’s understanding that even if Apotex Australia was successful in avoiding an interlocutory injunction, the launch of a generic clopidogrel was subject to Dr Sherman's further advice or approval", which was inconsistent with Mr Millichamp's evidence that Dr Sherman had approved the launch at risk on 20 February 2007. The primary judge said the email of 27 June 2007 at 1.59pm "reflects an understanding on Mr Millichamp's part that even if the application for the interlocutory injunction was successfully resisted by Apotex Australia, Mr Millichamp would still need to consult with Dr Sherman (either directly or more likely through Mr Kay or Mr Baxter) for the purpose of obtaining Dr Sherman's authority to proceed with a product launch".</w:t>
      </w:r>
      <w:r w:rsidRPr="00AB1A14">
        <w:rPr>
          <w:rStyle w:val="FootnoteReference"/>
          <w:rFonts w:ascii="Times New Roman" w:hAnsi="Times New Roman"/>
          <w:sz w:val="24"/>
        </w:rPr>
        <w:footnoteReference w:id="206"/>
      </w:r>
    </w:p>
    <w:p w14:paraId="5548EE8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found Mr Millichamp's evidence about the reference to "Barry's further advice/approval" in the email of 27 June 2007 at 1.59pm "most unconvincing" and "largely non-responsive and evasive".</w:t>
      </w:r>
      <w:r w:rsidRPr="00AB1A14">
        <w:rPr>
          <w:rStyle w:val="FootnoteReference"/>
          <w:rFonts w:ascii="Times New Roman" w:hAnsi="Times New Roman"/>
          <w:sz w:val="24"/>
        </w:rPr>
        <w:footnoteReference w:id="207"/>
      </w:r>
      <w:r w:rsidRPr="00AB1A14">
        <w:rPr>
          <w:rFonts w:ascii="Times New Roman" w:hAnsi="Times New Roman"/>
        </w:rPr>
        <w:t xml:space="preserve"> The primary judge concluded that "the terms of Mr Millichamp's email are more likely than not to be correct in so far as they suggest that Dr Sherman had not finally committed to a launch at risk in Australia and that it would be necessary for Mr Millichamp to obtain final approval to launch at risk in the event that no interlocutory injunction was granted".</w:t>
      </w:r>
      <w:r w:rsidRPr="00AB1A14">
        <w:rPr>
          <w:rStyle w:val="FootnoteReference"/>
          <w:rFonts w:ascii="Times New Roman" w:hAnsi="Times New Roman"/>
          <w:sz w:val="24"/>
        </w:rPr>
        <w:footnoteReference w:id="208"/>
      </w:r>
    </w:p>
    <w:p w14:paraId="69F359A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primary judge also considered an email from Mr Kay to Mr Haas and others on 8 August 2007 ("[t]he current plan is to put Sanofi on notice of our intention to launch and so invite them to seek an interlocutory [injunction] against </w:t>
      </w:r>
      <w:r w:rsidRPr="00AB1A14">
        <w:rPr>
          <w:rFonts w:ascii="Times New Roman" w:hAnsi="Times New Roman"/>
        </w:rPr>
        <w:lastRenderedPageBreak/>
        <w:t>us launching. We are assuming that this will be successful and are thus not planning to launch at this stage") to be significant as it indicated that "Mr Kay was not expecting that Apotex Australia would be successful in its efforts to resist an application for an interlocutory injunction".</w:t>
      </w:r>
      <w:r w:rsidRPr="00AB1A14">
        <w:rPr>
          <w:rStyle w:val="FootnoteReference"/>
          <w:rFonts w:ascii="Times New Roman" w:hAnsi="Times New Roman"/>
          <w:sz w:val="24"/>
        </w:rPr>
        <w:footnoteReference w:id="209"/>
      </w:r>
      <w:r w:rsidRPr="00AB1A14">
        <w:rPr>
          <w:rFonts w:ascii="Times New Roman" w:hAnsi="Times New Roman"/>
        </w:rPr>
        <w:t xml:space="preserve"> The primary judge referred to Dr Sherman's email in response ("[w]e should put Sanofi on notice ASAP") and said that on "the basis of the emails exchanged between Mr Kay and Dr Sherman on 8 August 2007, and in the absence of evidence to the contrary, I infer that neither Dr Sherman nor Mr Kay were expecting that Apotex Australia would be successful in resisting an application for an interlocutory injunction by Sanofi".</w:t>
      </w:r>
      <w:r w:rsidRPr="00AB1A14">
        <w:rPr>
          <w:rStyle w:val="FootnoteReference"/>
          <w:rFonts w:ascii="Times New Roman" w:hAnsi="Times New Roman"/>
          <w:sz w:val="24"/>
        </w:rPr>
        <w:footnoteReference w:id="210"/>
      </w:r>
    </w:p>
    <w:p w14:paraId="37C346B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recorded that at the hearing of the interlocutory injunction application before Gyles J on 18 September 2007, Mr Catterns KC for Apotex Australia was "explicit and direct in stating that Apotex would apply for [PBS] listing as at 1 April 2008 if there was no interlocutory injunction".</w:t>
      </w:r>
      <w:r w:rsidRPr="00AB1A14">
        <w:rPr>
          <w:rStyle w:val="FootnoteReference"/>
          <w:rFonts w:ascii="Times New Roman" w:hAnsi="Times New Roman"/>
          <w:sz w:val="24"/>
        </w:rPr>
        <w:footnoteReference w:id="211"/>
      </w:r>
      <w:r w:rsidRPr="00AB1A14">
        <w:rPr>
          <w:rFonts w:ascii="Times New Roman" w:hAnsi="Times New Roman"/>
        </w:rPr>
        <w:t xml:space="preserve"> According to the primary judge, however, there "were two related developments in September 2007 which could have led Dr Sherman to conclude that it might be preferable not to launch at risk even if Gyles J was to have refused the interlocutory injunction".</w:t>
      </w:r>
      <w:r w:rsidRPr="00AB1A14">
        <w:rPr>
          <w:rStyle w:val="FootnoteReference"/>
          <w:rFonts w:ascii="Times New Roman" w:hAnsi="Times New Roman"/>
          <w:sz w:val="24"/>
        </w:rPr>
        <w:footnoteReference w:id="212"/>
      </w:r>
      <w:r w:rsidRPr="00AB1A14">
        <w:rPr>
          <w:rFonts w:ascii="Times New Roman" w:hAnsi="Times New Roman"/>
        </w:rPr>
        <w:t xml:space="preserve"> </w:t>
      </w:r>
    </w:p>
    <w:p w14:paraId="597DB02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first development to which the primary judge referred was that "in early September ... Apotex Australia became aware that its application to list its clopidogrel products on the PBS on 1 December 2007 had been filed too late for that to occur, and that the earliest possible date for a PBS listing was 1 April 2008", as reported by Mr Millichamp to Mr Kay on 4 September 2007.</w:t>
      </w:r>
      <w:r w:rsidRPr="00AB1A14">
        <w:rPr>
          <w:rStyle w:val="FootnoteReference"/>
          <w:rFonts w:ascii="Times New Roman" w:hAnsi="Times New Roman"/>
          <w:sz w:val="24"/>
        </w:rPr>
        <w:footnoteReference w:id="213"/>
      </w:r>
      <w:r w:rsidRPr="00AB1A14">
        <w:rPr>
          <w:rFonts w:ascii="Times New Roman" w:hAnsi="Times New Roman"/>
        </w:rPr>
        <w:t xml:space="preserve"> The primary judge said this "information appears to have been conveyed to Dr Sherman by email from Mr Haas on 14 [sic – 15] September 2007".</w:t>
      </w:r>
      <w:r w:rsidRPr="00AB1A14">
        <w:rPr>
          <w:rStyle w:val="FootnoteReference"/>
          <w:rFonts w:ascii="Times New Roman" w:hAnsi="Times New Roman"/>
          <w:sz w:val="24"/>
        </w:rPr>
        <w:footnoteReference w:id="214"/>
      </w:r>
      <w:r w:rsidRPr="00AB1A14">
        <w:rPr>
          <w:rFonts w:ascii="Times New Roman" w:hAnsi="Times New Roman"/>
        </w:rPr>
        <w:t xml:space="preserve"> </w:t>
      </w:r>
    </w:p>
    <w:p w14:paraId="45DBACC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lastRenderedPageBreak/>
        <w:tab/>
        <w:t>The second development to which the primary judge referred was that when Gyles J said he would grant the interlocutory injunction on 21 September 2007, he also informed the parties that the final hearing would be before him commencing on 28 April 2008.</w:t>
      </w:r>
      <w:r w:rsidRPr="00AB1A14">
        <w:rPr>
          <w:rStyle w:val="FootnoteReference"/>
          <w:rFonts w:ascii="Times New Roman" w:hAnsi="Times New Roman"/>
          <w:sz w:val="24"/>
        </w:rPr>
        <w:footnoteReference w:id="215"/>
      </w:r>
      <w:r w:rsidRPr="00AB1A14">
        <w:rPr>
          <w:rFonts w:ascii="Times New Roman" w:hAnsi="Times New Roman"/>
        </w:rPr>
        <w:t xml:space="preserve"> The primary judge said that since "the application for the relevant PBS listing did not need to be filed before 1 December 2007 to obtain a listing on 1 April 2008, there was no reason why Apotex Australia had to make any final decision in relation to PBS listing before 1 December 2007. Even then, it still would have been possible for Apotex Australia to withdraw any such application at any time up to 14 February 2008 or thereabouts."</w:t>
      </w:r>
      <w:r w:rsidRPr="00AB1A14">
        <w:rPr>
          <w:rStyle w:val="FootnoteReference"/>
          <w:rFonts w:ascii="Times New Roman" w:hAnsi="Times New Roman"/>
          <w:sz w:val="24"/>
        </w:rPr>
        <w:footnoteReference w:id="216"/>
      </w:r>
    </w:p>
    <w:p w14:paraId="1780E5C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then said:</w:t>
      </w:r>
      <w:r w:rsidRPr="00AB1A14">
        <w:rPr>
          <w:rStyle w:val="FootnoteReference"/>
          <w:rFonts w:ascii="Times New Roman" w:hAnsi="Times New Roman"/>
          <w:sz w:val="24"/>
        </w:rPr>
        <w:footnoteReference w:id="217"/>
      </w:r>
    </w:p>
    <w:p w14:paraId="46FBCAB3"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"Mr Millichamp's evidence based on the hypothetical proposition that there could be a final hearing in December 2007 to the effect that '… we would almost certainly … launch at risk' seems to me to assume that this would be Dr Sherman's instruction to him in such circumstances. It does not explain why Dr Sherman would have wished to launch at risk before the final hearing in the event that it was scheduled to occur in the very near future, and in the same month as the next available PBS listing date. The risks of doing so were substantial if Apotex Australia were to launch at risk in such circumstances given the possibility that, in the event that it failed to persuade the trial judge that the Patent was invalid, it could find itself having to cease any further sales following the grant of a final injunction shortly after obtaining a PBS listing that triggered a price reduction that might not be reversed or, at least, might not be reversed for some significant period of time. </w:t>
      </w:r>
    </w:p>
    <w:p w14:paraId="449C12D6"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w:t>
      </w:r>
    </w:p>
    <w:p w14:paraId="328B8578"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In the absence of evidence from Dr Sherman, I am not persuaded that he would have authorised a launch at risk in circumstances where an interlocutory injunction had been refused, but a final hearing was fixed to commence on 28 April 2008. The advice previously communicated by Mr Millichamp in his letter of 17 August 2007 was that a trial was to take place within approximately 12 to 18 months. In the absence of evidence to </w:t>
      </w:r>
      <w:r w:rsidRPr="00AB1A14">
        <w:rPr>
          <w:rFonts w:ascii="Times New Roman" w:hAnsi="Times New Roman"/>
        </w:rPr>
        <w:lastRenderedPageBreak/>
        <w:t>the contrary I infer that Apotex Canada was also acting on this understanding until no earlier than 13 September 2007.</w:t>
      </w:r>
    </w:p>
    <w:p w14:paraId="2D8C0B63"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w:t>
      </w:r>
    </w:p>
    <w:p w14:paraId="709D90AE"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It is not possible to know how Dr Sherman would have reacted to news that the proceeding had been fixed for hearing on 28 April 2008 in the hypothetical situation in which no interlocutory injunction had been granted. He may well have wanted to know how long the final hearing would take and how long it may take for Gyles J to deliver his judgment. Had Dr Sherman asked, he would most likely have been told that his Honour would cease to hold his judicial office from 22 August 2008 (unless he retired sooner) and that he would need to deliver judgment before then."</w:t>
      </w:r>
    </w:p>
    <w:p w14:paraId="67C45A7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In respect of events after the grant of the interlocutory injunction, the primary judge accepted that "[Apotex's] July 2008 and September 2009 risk/reward analyses addressed different circumstances from those that existed in August 2007. Nevertheless, those analyses and Apotex Canada's ultimate response to them [not to launch at risk at that time] tends to contradict the assertion made in Mr Millichamp's oral evidence that Apotex tries to get on the market as soon as possible."</w:t>
      </w:r>
      <w:r w:rsidRPr="00AB1A14">
        <w:rPr>
          <w:rStyle w:val="FootnoteReference"/>
          <w:rFonts w:ascii="Times New Roman" w:hAnsi="Times New Roman"/>
          <w:sz w:val="24"/>
        </w:rPr>
        <w:footnoteReference w:id="218"/>
      </w:r>
      <w:r w:rsidRPr="00AB1A14">
        <w:rPr>
          <w:rFonts w:ascii="Times New Roman" w:hAnsi="Times New Roman"/>
        </w:rPr>
        <w:t xml:space="preserve"> The primary judge also said that "[a]nother important matter when assessing the veracity of Mr Millichamp's evidence on this topic is that the profit forecasts forwarded to Mr Kay by Mr Millichamp in his email of 22 June 2007 incorporated two scenarios that essentially mirrored the first two of the three scenarios included in the July 2008 analysis ... [and] in all three scenarios the potential exposure arising out of a claim for damages by Sanofi greatly exceeded the forecast profit".</w:t>
      </w:r>
      <w:r w:rsidRPr="00AB1A14">
        <w:rPr>
          <w:rStyle w:val="FootnoteReference"/>
          <w:rFonts w:ascii="Times New Roman" w:hAnsi="Times New Roman"/>
          <w:sz w:val="24"/>
        </w:rPr>
        <w:footnoteReference w:id="219"/>
      </w:r>
    </w:p>
    <w:p w14:paraId="72D09A9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also said that:</w:t>
      </w:r>
      <w:r w:rsidRPr="00AB1A14">
        <w:rPr>
          <w:rStyle w:val="FootnoteReference"/>
          <w:rFonts w:ascii="Times New Roman" w:hAnsi="Times New Roman"/>
          <w:sz w:val="24"/>
        </w:rPr>
        <w:footnoteReference w:id="220"/>
      </w:r>
    </w:p>
    <w:p w14:paraId="47C6A41D"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"I do not accept that the 20 February 2007 email was an instruction on which Mr Millichamp would have considered himself entitled to act in late 2007 without reverting, either directly or indirectly, to Dr Sherman for the purpose of obtaining confirmation of that instruction and the necessary final approval from him authorising a launch at risk. The suggestion that Mr Millichamp did not need to obtain any further approval from </w:t>
      </w:r>
      <w:r w:rsidRPr="00AB1A14">
        <w:rPr>
          <w:rFonts w:ascii="Times New Roman" w:hAnsi="Times New Roman"/>
        </w:rPr>
        <w:lastRenderedPageBreak/>
        <w:t>Dr Sherman before launching at risk is, in my view, inconsistent with the email correspondence between Mr Kay and Dr Sherman and Mr Millichamp and Mr Haas.</w:t>
      </w:r>
    </w:p>
    <w:p w14:paraId="2A92B4B1"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Nor do I consider that the email sent by Dr Sherman on 20 February 2007 is persuasive evidence as to what Dr Sherman’s thinking may have been eight or nine months later. The 20 February 2007 email was sent prior to any decision by the US District Court in relation to the US Patent. Some of the developments that subsequently occurred in 2007 were expected; the ARTG registration of Apotex's clopidogrel products was one of these. However, the coincidence of events that would have led to both a PBS listing on 1 April 2008 (in the counterfactual scenario in which no interlocutory injunction was granted) followed by the commencement of the trial of the patent proceeding (as actually occurred) later that month was a result of developments that could not have been anticipated until about the time the interlocutory application was determined."</w:t>
      </w:r>
    </w:p>
    <w:p w14:paraId="592AC11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said further: (a) "[i]n this case I would have expected Dr Sherman to have been available to the Commonwealth rather than to Sanofi"; (b) "[i]n circumstances where Mr Fahner, a senior executive at Apotex Canada, was called by the Commonwealth, it seems to me it would be reasonable to expect it to have also called Dr Sherman to give direct evidence of his state of mind at relevant times"; (c) "[t]here was no evidence called by the Commonwealth that would provide any explanation as to why it did not call Dr Sherman or what attempts, if any, it made to call him"; and (d) "[i]n circumstances where the Commonwealth's decision not to call Dr Sherman was wholly unexplained, I infer that the Commonwealth chose not to call him because it considered that his evidence would not have assisted its case".</w:t>
      </w:r>
      <w:r w:rsidRPr="00AB1A14">
        <w:rPr>
          <w:rStyle w:val="FootnoteReference"/>
          <w:rFonts w:ascii="Times New Roman" w:hAnsi="Times New Roman"/>
          <w:sz w:val="24"/>
        </w:rPr>
        <w:t xml:space="preserve"> </w:t>
      </w:r>
      <w:r w:rsidRPr="00AB1A14">
        <w:rPr>
          <w:rStyle w:val="FootnoteReference"/>
          <w:rFonts w:ascii="Times New Roman" w:hAnsi="Times New Roman"/>
          <w:sz w:val="24"/>
        </w:rPr>
        <w:footnoteReference w:id="221"/>
      </w:r>
      <w:r w:rsidRPr="00AB1A14">
        <w:rPr>
          <w:rFonts w:ascii="Times New Roman" w:hAnsi="Times New Roman"/>
        </w:rPr>
        <w:t xml:space="preserve"> The primary judge concluded that:</w:t>
      </w:r>
      <w:r w:rsidRPr="00AB1A14">
        <w:rPr>
          <w:rStyle w:val="FootnoteReference"/>
          <w:rFonts w:ascii="Times New Roman" w:hAnsi="Times New Roman"/>
          <w:sz w:val="24"/>
        </w:rPr>
        <w:footnoteReference w:id="222"/>
      </w:r>
    </w:p>
    <w:p w14:paraId="583D900D"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"I am not prepared to infer, based on the 20 February 2007 email, or any of the subsequent correspondence in evidence which was said to justify the drawing of such an inference, that Dr Sherman was likely to have instructed Mr Millichamp to procure the listing of Apotex's clopidogrel products with effect from 1 April 2008. </w:t>
      </w:r>
    </w:p>
    <w:p w14:paraId="4CCC2B9F"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In my opinion, the Commonwealth's case suffers from an evidentiary deficiency which cannot be made good by drawing inferences from correspondence written by Dr Sherman in the lead up to the hearing of the interlocutory application. In particular, I do not think it can be inferred that </w:t>
      </w:r>
      <w:r w:rsidRPr="00AB1A14">
        <w:rPr>
          <w:rFonts w:ascii="Times New Roman" w:hAnsi="Times New Roman"/>
        </w:rPr>
        <w:lastRenderedPageBreak/>
        <w:t>if Dr Sherman had known that the trial of the patent proceeding would commence in the same month that Apotex Australia obtained a PBS listing of its clopidogrel products (triggering a 12.5% statutory price reduction), that he would have, in those circumstances, authorised Apotex Australia to obtain such a listing before judgment was delivered or, at least, until the trial had concluded (by which time he and his colleagues and his legal advisers may have had a clearer view of the strength of Sanofi's case).</w:t>
      </w:r>
    </w:p>
    <w:p w14:paraId="4FB257FD"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w:t>
      </w:r>
    </w:p>
    <w:p w14:paraId="07E66DF7"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In the result, I am not persuaded that Apotex Australia would have sought and obtained a PBS listing of its clopidogrel products from 1 April 2008 even if the interlocutory injunction had not been granted. It follows that the Commonwealth's claim for compensation must be dismissed."</w:t>
      </w:r>
    </w:p>
    <w:p w14:paraId="2E15432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further concluded that if he were incorrect in this conclusion, the Commonwealth's loss did not flow directly from the interlocutory injunction.</w:t>
      </w:r>
      <w:r w:rsidRPr="00AB1A14">
        <w:rPr>
          <w:rStyle w:val="FootnoteReference"/>
          <w:rFonts w:ascii="Times New Roman" w:hAnsi="Times New Roman"/>
          <w:sz w:val="24"/>
        </w:rPr>
        <w:footnoteReference w:id="223"/>
      </w:r>
      <w:r w:rsidRPr="00AB1A14">
        <w:rPr>
          <w:rFonts w:ascii="Times New Roman" w:hAnsi="Times New Roman"/>
        </w:rPr>
        <w:t xml:space="preserve"> </w:t>
      </w:r>
    </w:p>
    <w:p w14:paraId="00BEA96F"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Principal conclusions of the Full Court</w:t>
      </w:r>
    </w:p>
    <w:p w14:paraId="2D76AE8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on appeal, disagreed with the primary judge's conclusion that the Commonwealth's loss did not flow directly from the interlocutory injunction.</w:t>
      </w:r>
      <w:r w:rsidRPr="00AB1A14">
        <w:rPr>
          <w:rStyle w:val="FootnoteReference"/>
          <w:rFonts w:ascii="Times New Roman" w:hAnsi="Times New Roman"/>
          <w:sz w:val="24"/>
        </w:rPr>
        <w:footnoteReference w:id="224"/>
      </w:r>
      <w:r w:rsidRPr="00AB1A14">
        <w:rPr>
          <w:rFonts w:ascii="Times New Roman" w:hAnsi="Times New Roman"/>
        </w:rPr>
        <w:t xml:space="preserve"> </w:t>
      </w:r>
    </w:p>
    <w:p w14:paraId="3D11B15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Otherwise, in respect of the question whether Apotex Australia would have launched its clopidogrel products at risk on 1 April 2008 but for the interlocutory injunction, the Full Court recorded that Sanofi's case included "first, evidence tending to suggest that Apotex was better off being restrained with the benefit of the undertaking as to damages than it would have been if it had launched at risk and was exposed to the risk of damages for patent infringement; and, second, evidence that once it was no longer restrained by the injunction after winning its appeal to the Full Court, it still did not launch at risk whilst Sanofi's special leave application was pending in the High Court", the latter of which was said to be "actual evidence of what Apotex would have done in the counterfactual".</w:t>
      </w:r>
      <w:r w:rsidRPr="00AB1A14">
        <w:rPr>
          <w:rStyle w:val="FootnoteReference"/>
          <w:rFonts w:ascii="Times New Roman" w:hAnsi="Times New Roman"/>
          <w:sz w:val="24"/>
        </w:rPr>
        <w:footnoteReference w:id="225"/>
      </w:r>
      <w:r w:rsidRPr="00AB1A14">
        <w:rPr>
          <w:rFonts w:ascii="Times New Roman" w:hAnsi="Times New Roman"/>
        </w:rPr>
        <w:t xml:space="preserve"> </w:t>
      </w:r>
    </w:p>
    <w:p w14:paraId="6ACDC64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lastRenderedPageBreak/>
        <w:tab/>
        <w:t>The Full Court rejected the Commonwealth's contentions that the primary judge overlooked important evidence, finding various emails on which the Commonwealth had relied and to which the primary judge did not refer to be immaterial. The Full Court's conclusion of immateriality applied (expressly or inferentially) to: (a) two emails from Dr Sherman sent on 27 June 2007 at 4.44am and 5.12 am (copied to Mr Millichamp, but redacted on account of a claim for legal professional privilege);</w:t>
      </w:r>
      <w:r w:rsidRPr="00AB1A14">
        <w:rPr>
          <w:rStyle w:val="FootnoteReference"/>
          <w:rFonts w:ascii="Times New Roman" w:hAnsi="Times New Roman"/>
          <w:sz w:val="24"/>
        </w:rPr>
        <w:footnoteReference w:id="226"/>
      </w:r>
      <w:r w:rsidRPr="00AB1A14">
        <w:rPr>
          <w:rFonts w:ascii="Times New Roman" w:hAnsi="Times New Roman"/>
        </w:rPr>
        <w:t xml:space="preserve"> (b) Mr Millichamp's email on 27 June 2007 </w:t>
      </w:r>
      <w:r>
        <w:rPr>
          <w:rFonts w:ascii="Times New Roman" w:hAnsi="Times New Roman"/>
        </w:rPr>
        <w:t xml:space="preserve">at </w:t>
      </w:r>
      <w:r w:rsidRPr="00AB1A14">
        <w:rPr>
          <w:rFonts w:ascii="Times New Roman" w:hAnsi="Times New Roman"/>
        </w:rPr>
        <w:t>11.23am saying "FYI –Game on !!!"</w:t>
      </w:r>
      <w:r>
        <w:rPr>
          <w:rFonts w:ascii="Times New Roman" w:hAnsi="Times New Roman"/>
        </w:rPr>
        <w:t xml:space="preserve"> and </w:t>
      </w:r>
      <w:r w:rsidRPr="00AB1A14">
        <w:rPr>
          <w:rFonts w:ascii="Times New Roman" w:hAnsi="Times New Roman"/>
        </w:rPr>
        <w:t>forwarding Dr Sherman's emails;</w:t>
      </w:r>
      <w:r w:rsidRPr="00AB1A14">
        <w:rPr>
          <w:rStyle w:val="FootnoteReference"/>
          <w:rFonts w:ascii="Times New Roman" w:hAnsi="Times New Roman"/>
          <w:sz w:val="24"/>
        </w:rPr>
        <w:footnoteReference w:id="227"/>
      </w:r>
      <w:r w:rsidRPr="00AB1A14">
        <w:rPr>
          <w:rFonts w:ascii="Times New Roman" w:hAnsi="Times New Roman"/>
        </w:rPr>
        <w:t xml:space="preserve"> (c) Ms McTavish's email of 28 June 2007 in response asking if Sanofi had been notified;</w:t>
      </w:r>
      <w:r w:rsidRPr="00AB1A14">
        <w:rPr>
          <w:rStyle w:val="FootnoteReference"/>
          <w:rFonts w:ascii="Times New Roman" w:hAnsi="Times New Roman"/>
          <w:sz w:val="24"/>
        </w:rPr>
        <w:t xml:space="preserve"> </w:t>
      </w:r>
      <w:r w:rsidRPr="00AB1A14">
        <w:rPr>
          <w:rStyle w:val="FootnoteReference"/>
          <w:rFonts w:ascii="Times New Roman" w:hAnsi="Times New Roman"/>
          <w:sz w:val="24"/>
        </w:rPr>
        <w:footnoteReference w:id="228"/>
      </w:r>
      <w:r w:rsidRPr="00AB1A14">
        <w:rPr>
          <w:rFonts w:ascii="Times New Roman" w:hAnsi="Times New Roman"/>
        </w:rPr>
        <w:t xml:space="preserve"> (d) an email from Mr Haas to Mr Millichamp of 28 June 2007 saying "please advise as to estimated launch date so that I can have forecasts shifted out accordingly. I will, however, initiate blister tooling activities to determine timing for providing you with pack count desired for AUS market";</w:t>
      </w:r>
      <w:r w:rsidRPr="00AB1A14">
        <w:rPr>
          <w:rStyle w:val="FootnoteReference"/>
          <w:rFonts w:ascii="Times New Roman" w:hAnsi="Times New Roman"/>
          <w:sz w:val="24"/>
        </w:rPr>
        <w:footnoteReference w:id="229"/>
      </w:r>
      <w:r w:rsidRPr="00AB1A14">
        <w:rPr>
          <w:rFonts w:ascii="Times New Roman" w:hAnsi="Times New Roman"/>
        </w:rPr>
        <w:t xml:space="preserve"> (e) Mr Millichamp's email to Mr Haas of 28 June 2007 at 10.28pm</w:t>
      </w:r>
      <w:r w:rsidRPr="00AB1A14" w:rsidDel="00F24DDA">
        <w:rPr>
          <w:rFonts w:ascii="Times New Roman" w:hAnsi="Times New Roman"/>
        </w:rPr>
        <w:t xml:space="preserve"> </w:t>
      </w:r>
      <w:r w:rsidRPr="00AB1A14">
        <w:rPr>
          <w:rFonts w:ascii="Times New Roman" w:hAnsi="Times New Roman"/>
        </w:rPr>
        <w:t>("as per instructions from Barry the plan (in outline) for clopidogrel is as follows ... If we are successful in defending our position vs Sanofi and an injunction is not granted by the courts then we will launch");</w:t>
      </w:r>
      <w:r w:rsidRPr="00AB1A14">
        <w:rPr>
          <w:rStyle w:val="FootnoteReference"/>
          <w:rFonts w:ascii="Times New Roman" w:hAnsi="Times New Roman"/>
          <w:sz w:val="24"/>
        </w:rPr>
        <w:footnoteReference w:id="230"/>
      </w:r>
      <w:r w:rsidRPr="00AB1A14">
        <w:rPr>
          <w:rFonts w:ascii="Times New Roman" w:hAnsi="Times New Roman"/>
        </w:rPr>
        <w:t xml:space="preserve"> (f) Mr Haas's email in reply to Mr Millichamp on 28 June 2007 at 11.02pm ("[s]trategy from my side is to get everything in place so that we can proceed with commercial manufacture immediately once given the go-ahead");</w:t>
      </w:r>
      <w:r w:rsidRPr="00AB1A14">
        <w:rPr>
          <w:rStyle w:val="FootnoteReference"/>
          <w:rFonts w:ascii="Times New Roman" w:hAnsi="Times New Roman"/>
          <w:sz w:val="24"/>
        </w:rPr>
        <w:t xml:space="preserve"> </w:t>
      </w:r>
      <w:r w:rsidRPr="00AB1A14">
        <w:rPr>
          <w:rStyle w:val="FootnoteReference"/>
          <w:rFonts w:ascii="Times New Roman" w:hAnsi="Times New Roman"/>
          <w:sz w:val="24"/>
        </w:rPr>
        <w:footnoteReference w:id="231"/>
      </w:r>
      <w:r w:rsidRPr="00AB1A14">
        <w:rPr>
          <w:rFonts w:ascii="Times New Roman" w:hAnsi="Times New Roman"/>
        </w:rPr>
        <w:t xml:space="preserve"> (g) Mr Haas's email of 28 June 2007 at 11.44pm ("[o]ne further question[.] Is Barry in the loop the strategy below (potentially launch end October but latest Mid November)?");</w:t>
      </w:r>
      <w:r w:rsidRPr="00AB1A14">
        <w:rPr>
          <w:rStyle w:val="FootnoteReference"/>
          <w:rFonts w:ascii="Times New Roman" w:hAnsi="Times New Roman"/>
          <w:sz w:val="24"/>
        </w:rPr>
        <w:footnoteReference w:id="232"/>
      </w:r>
      <w:r w:rsidRPr="00AB1A14">
        <w:rPr>
          <w:rFonts w:ascii="Times New Roman" w:hAnsi="Times New Roman"/>
        </w:rPr>
        <w:t xml:space="preserve"> (h) Dr Desai's </w:t>
      </w:r>
      <w:r w:rsidRPr="00AB1A14">
        <w:rPr>
          <w:rFonts w:ascii="Times New Roman" w:hAnsi="Times New Roman"/>
        </w:rPr>
        <w:lastRenderedPageBreak/>
        <w:t>email of 29 June 2007 ("I just want to clarify our position for Australia ...");</w:t>
      </w:r>
      <w:r w:rsidRPr="00AB1A14">
        <w:rPr>
          <w:rStyle w:val="FootnoteReference"/>
          <w:rFonts w:ascii="Times New Roman" w:hAnsi="Times New Roman"/>
          <w:sz w:val="24"/>
        </w:rPr>
        <w:footnoteReference w:id="233"/>
      </w:r>
      <w:r w:rsidRPr="00AB1A14">
        <w:rPr>
          <w:rFonts w:ascii="Times New Roman" w:hAnsi="Times New Roman"/>
        </w:rPr>
        <w:t xml:space="preserve"> (i) Mr Haas's email of 29 June 2007 forwarding Dr Desai's email to Mr Millichamp;</w:t>
      </w:r>
      <w:r w:rsidRPr="00AB1A14">
        <w:rPr>
          <w:rStyle w:val="FootnoteReference"/>
          <w:rFonts w:ascii="Times New Roman" w:hAnsi="Times New Roman"/>
          <w:sz w:val="24"/>
        </w:rPr>
        <w:footnoteReference w:id="234"/>
      </w:r>
      <w:r w:rsidRPr="00AB1A14">
        <w:rPr>
          <w:rFonts w:ascii="Times New Roman" w:hAnsi="Times New Roman"/>
        </w:rPr>
        <w:t xml:space="preserve"> (j) Mr Millichamp's email of 29 June 2007 in response to Mr Haas ("I was probably not clear enough in my mail to you ... The scenario I referred to was in the event that we avoid the imposition of an injunction granted in favour of Sanofi. We will be free to sell until final trial, and after, if we are successful. In the instance that we are successful we will need stock ready for a December PBS listing ... Thus if we are successful we will go ahead and launch");</w:t>
      </w:r>
      <w:r w:rsidRPr="00AB1A14">
        <w:rPr>
          <w:rStyle w:val="FootnoteReference"/>
          <w:rFonts w:ascii="Times New Roman" w:hAnsi="Times New Roman"/>
          <w:sz w:val="24"/>
        </w:rPr>
        <w:footnoteReference w:id="235"/>
      </w:r>
      <w:r w:rsidRPr="00AB1A14">
        <w:rPr>
          <w:rFonts w:ascii="Times New Roman" w:hAnsi="Times New Roman"/>
        </w:rPr>
        <w:t xml:space="preserve"> (k) two emails of 10 August 2007 (responding to an email from Mr Millichamp on 9 August 2007 "[i]f we are successful and defend against an application for interlocutory relief from Sanofi we would like to launch as soon as possible") from Mr Kay ("[t]hanks for the comprehensive update[.]  OK by me") and Mr Caccamo ("[w]e have aligned our launch plans accordingly") respectively;</w:t>
      </w:r>
      <w:r w:rsidRPr="00AB1A14">
        <w:rPr>
          <w:rStyle w:val="FootnoteReference"/>
          <w:rFonts w:ascii="Times New Roman" w:hAnsi="Times New Roman"/>
          <w:sz w:val="24"/>
        </w:rPr>
        <w:footnoteReference w:id="236"/>
      </w:r>
      <w:r w:rsidRPr="00AB1A14">
        <w:rPr>
          <w:rFonts w:ascii="Times New Roman" w:hAnsi="Times New Roman"/>
        </w:rPr>
        <w:t xml:space="preserve"> (l) Mr Kay's further email of 10 August 2007 to Mr Millichamp ("[t]his looks fine");</w:t>
      </w:r>
      <w:r w:rsidRPr="00AB1A14">
        <w:rPr>
          <w:rStyle w:val="FootnoteReference"/>
          <w:rFonts w:ascii="Times New Roman" w:hAnsi="Times New Roman"/>
          <w:sz w:val="24"/>
        </w:rPr>
        <w:footnoteReference w:id="237"/>
      </w:r>
      <w:r w:rsidRPr="00AB1A14">
        <w:rPr>
          <w:rFonts w:ascii="Times New Roman" w:hAnsi="Times New Roman"/>
        </w:rPr>
        <w:t xml:space="preserve"> (m) an email from Mr Haas to Mr Millichamp of 5 September 2007 ("[t]arget launch date and forecasts will now be shifted out to Mar '08 ...");</w:t>
      </w:r>
      <w:r w:rsidRPr="00AB1A14">
        <w:rPr>
          <w:rStyle w:val="FootnoteReference"/>
          <w:rFonts w:ascii="Times New Roman" w:hAnsi="Times New Roman"/>
          <w:sz w:val="24"/>
        </w:rPr>
        <w:t xml:space="preserve"> </w:t>
      </w:r>
      <w:r w:rsidRPr="00AB1A14">
        <w:rPr>
          <w:rStyle w:val="FootnoteReference"/>
          <w:rFonts w:ascii="Times New Roman" w:hAnsi="Times New Roman"/>
          <w:sz w:val="24"/>
        </w:rPr>
        <w:footnoteReference w:id="238"/>
      </w:r>
      <w:r w:rsidRPr="00AB1A14">
        <w:rPr>
          <w:rFonts w:ascii="Times New Roman" w:hAnsi="Times New Roman"/>
        </w:rPr>
        <w:t xml:space="preserve"> and (n) Mr Haas's email of 15 September 2007, amongst other things, quoting Mr Millichamp.</w:t>
      </w:r>
      <w:r w:rsidRPr="00AB1A14">
        <w:rPr>
          <w:rStyle w:val="FootnoteReference"/>
          <w:rFonts w:ascii="Times New Roman" w:hAnsi="Times New Roman"/>
          <w:sz w:val="24"/>
        </w:rPr>
        <w:footnoteReference w:id="239"/>
      </w:r>
      <w:r w:rsidRPr="00AB1A14">
        <w:rPr>
          <w:rFonts w:ascii="Times New Roman" w:hAnsi="Times New Roman"/>
        </w:rPr>
        <w:t xml:space="preserve"> </w:t>
      </w:r>
    </w:p>
    <w:p w14:paraId="733BE489" w14:textId="77777777" w:rsidR="00CC75FC" w:rsidRPr="00AB1A14" w:rsidRDefault="00CC75FC" w:rsidP="003532BA">
      <w:pPr>
        <w:pStyle w:val="FixListStyle"/>
        <w:keepNext/>
        <w:spacing w:after="260" w:line="280" w:lineRule="exact"/>
        <w:ind w:right="0"/>
        <w:jc w:val="both"/>
        <w:rPr>
          <w:rFonts w:ascii="Times New Roman" w:hAnsi="Times New Roman"/>
        </w:rPr>
      </w:pPr>
      <w:r w:rsidRPr="00AB1A14">
        <w:rPr>
          <w:rFonts w:ascii="Times New Roman" w:hAnsi="Times New Roman"/>
        </w:rPr>
        <w:lastRenderedPageBreak/>
        <w:tab/>
        <w:t>Overall, in respect of the contemporaneous evidence to which the primary judge did not refer in his reasoning process, the Full Court concluded that:</w:t>
      </w:r>
      <w:r w:rsidRPr="00AB1A14">
        <w:rPr>
          <w:rStyle w:val="FootnoteReference"/>
          <w:rFonts w:ascii="Times New Roman" w:hAnsi="Times New Roman"/>
          <w:sz w:val="24"/>
        </w:rPr>
        <w:footnoteReference w:id="240"/>
      </w:r>
    </w:p>
    <w:p w14:paraId="5BBB40B2" w14:textId="77777777" w:rsidR="00CC75FC" w:rsidRDefault="00CC75FC" w:rsidP="003532BA">
      <w:pPr>
        <w:pStyle w:val="leftright"/>
        <w:keepNex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"Much of the evidence which the Commonwealth submits was not referred to by the [primary] judge was in fact referred to. To the extent that some of it was not, none of it was material for the reasons we have given and we are unpersuaded that his Honour did not refer to it because he had overlooked it. The inference we would draw is that his Honour did consider it but, like us, did not regard it as material worth mentioning. We do not therefore accept that the five matters set out above made it 'abundantly clear' that Dr Sherman had reconfirmed the decision to launch at risk or that there was no evidence in the period from June to September 2007 (scil 'the all</w:t>
      </w:r>
      <w:r>
        <w:rPr>
          <w:rFonts w:ascii="Times New Roman" w:hAnsi="Times New Roman"/>
        </w:rPr>
        <w:noBreakHyphen/>
      </w:r>
      <w:r w:rsidRPr="00AB1A14">
        <w:rPr>
          <w:rFonts w:ascii="Times New Roman" w:hAnsi="Times New Roman"/>
        </w:rPr>
        <w:t>important months in 2007' (AS [73])) that Dr Sherman had wavered from his desire to launch at risk: AS [73]. On the contrary, the evidence strongly points to the correctness of the [primary] judge's conclusion."</w:t>
      </w:r>
    </w:p>
    <w:p w14:paraId="39ADE04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also rejected the Commonwealth's reliance on the submissions of Mr Catterns KC to Gyles J on 18 September 2007 to the effect that, if not restrained by an interlocutory injunction, Apotex Australia would obtain PBS listing and launch its generic clopidogrel products onto the Australian market on 1 April 2008, to support the inference that Apotex Australia would have launched those products at risk on the basis that the primary judge had referred to those submissions.</w:t>
      </w:r>
      <w:r w:rsidRPr="00AB1A14">
        <w:rPr>
          <w:rStyle w:val="FootnoteReference"/>
          <w:rFonts w:ascii="Times New Roman" w:hAnsi="Times New Roman"/>
          <w:sz w:val="24"/>
        </w:rPr>
        <w:footnoteReference w:id="241"/>
      </w:r>
      <w:r w:rsidRPr="00AB1A14">
        <w:rPr>
          <w:rFonts w:ascii="Times New Roman" w:hAnsi="Times New Roman"/>
        </w:rPr>
        <w:t xml:space="preserve"> </w:t>
      </w:r>
    </w:p>
    <w:p w14:paraId="5E81E80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further rejected the Commonwealth's reliance on Apotex Australia's conduct in arranging and offering $50 million security to avoid the grant of the interlocutory injunction as evidence supporting the inference that Apotex had decided to and would launch at risk if not restrained by interlocutory injunction. The Full Court said this evidence went "nowhere" as "whilst we accept that this was not a minor step, it is not possible to say just what kind of financial commitment this was from Apotex Canada's perspective".</w:t>
      </w:r>
      <w:r w:rsidRPr="00AB1A14">
        <w:rPr>
          <w:rStyle w:val="FootnoteReference"/>
          <w:rFonts w:ascii="Times New Roman" w:hAnsi="Times New Roman"/>
          <w:sz w:val="24"/>
        </w:rPr>
        <w:footnoteReference w:id="242"/>
      </w:r>
      <w:r w:rsidRPr="00AB1A14">
        <w:rPr>
          <w:rFonts w:ascii="Times New Roman" w:hAnsi="Times New Roman"/>
        </w:rPr>
        <w:t xml:space="preserve"> Further, according to the Full Court, "the proffering of an undertaking to provide security was consistent with Apotex keeping its options open" and it "is entirely possible as a matter of logic for Apotex to have been willing to proffer the undertaking to provide the </w:t>
      </w:r>
      <w:r w:rsidRPr="00AB1A14">
        <w:rPr>
          <w:rFonts w:ascii="Times New Roman" w:hAnsi="Times New Roman"/>
        </w:rPr>
        <w:lastRenderedPageBreak/>
        <w:t>security and, as yet, not to have made a final decision as to whether it was going to launch".</w:t>
      </w:r>
      <w:r w:rsidRPr="00AB1A14">
        <w:rPr>
          <w:rStyle w:val="FootnoteReference"/>
          <w:rFonts w:ascii="Times New Roman" w:hAnsi="Times New Roman"/>
          <w:sz w:val="24"/>
        </w:rPr>
        <w:footnoteReference w:id="243"/>
      </w:r>
      <w:r w:rsidRPr="00AB1A14">
        <w:rPr>
          <w:rFonts w:ascii="Times New Roman" w:hAnsi="Times New Roman"/>
        </w:rPr>
        <w:t xml:space="preserve"> </w:t>
      </w:r>
    </w:p>
    <w:p w14:paraId="38AFEF8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also said this:</w:t>
      </w:r>
      <w:r w:rsidRPr="00AB1A14">
        <w:rPr>
          <w:rStyle w:val="FootnoteReference"/>
          <w:rFonts w:ascii="Times New Roman" w:hAnsi="Times New Roman"/>
          <w:sz w:val="24"/>
        </w:rPr>
        <w:footnoteReference w:id="244"/>
      </w:r>
    </w:p>
    <w:p w14:paraId="5085A9DF"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"Although the Commonwealth made much of this email [ie</w:t>
      </w:r>
      <w:r>
        <w:rPr>
          <w:rFonts w:ascii="Times New Roman" w:hAnsi="Times New Roman"/>
        </w:rPr>
        <w:t>,</w:t>
      </w:r>
      <w:r w:rsidRPr="00AB1A14">
        <w:rPr>
          <w:rFonts w:ascii="Times New Roman" w:hAnsi="Times New Roman"/>
        </w:rPr>
        <w:t xml:space="preserve"> Mr Millichamp's email forwarding Dr Sherman's emails to a number of other persons at 11.23 am on 27 June 2007 </w:t>
      </w:r>
      <w:r>
        <w:rPr>
          <w:rFonts w:ascii="Times New Roman" w:hAnsi="Times New Roman"/>
        </w:rPr>
        <w:t xml:space="preserve">and </w:t>
      </w:r>
      <w:r w:rsidRPr="00AB1A14">
        <w:rPr>
          <w:rFonts w:ascii="Times New Roman" w:hAnsi="Times New Roman"/>
        </w:rPr>
        <w:t>saying 'FYI –Game on !!!'], it begs the question of what the game was. There are at least two possibilities. One 'game' was to seek to launch at risk. Another 'game' was to signal to the market that Apotex was going to launch in order to goad Sanofi into seeking an interlocutory injunction and proffering an undertaking as to damages. Which of these was the 'game' to which Mr Millichamp was referring rather turns on the contents of Dr Sherman's two emails which are unknown."</w:t>
      </w:r>
    </w:p>
    <w:p w14:paraId="32D2ABF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In rejecting the Commonwealth's submissions that the primary judge's process of reasoning involved error in respect of Dr Sherman not having been called to fill an "evidentiary deficiency", the Full Court said:</w:t>
      </w:r>
      <w:r w:rsidRPr="00AB1A14">
        <w:rPr>
          <w:rStyle w:val="FootnoteReference"/>
          <w:rFonts w:ascii="Times New Roman" w:hAnsi="Times New Roman"/>
          <w:sz w:val="24"/>
        </w:rPr>
        <w:footnoteReference w:id="245"/>
      </w:r>
    </w:p>
    <w:p w14:paraId="571B5E3F"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 xml:space="preserve">"The [primary] judge did not accept that the inference sought by the Commonwealth should be drawn. The first step was that his Honour found that the coincidence of the PBS listing date of 1 April 2008 and the trial date of 28 April 2008 was not something which could have been anticipated until the time that the interlocutory injunction application was determined: J [341]. The second step was to observe that his Honour was not minded to draw the inference that Dr Sherman would have launched at risk in the counterfactual on the basis of [indirect evidence of Dr Sherman's likely disposition towards launching at risk on 1 April 2008, consisting of correspondence to which Dr Sherman was a party, statements made by persons who were dealing with Dr Sherman and other objectively available evidence]: J [348]. The third step was to identify as an evidentiary lacuna the fact that Dr Sherman had not given [direct evidence as to whether he would have decided to launch at risk on 1 April 2008 but for the interlocutory injunction]. Contrary to the Commonwealth's submissions, his Honour did not speculate about what Dr Sherman would, or would not have </w:t>
      </w:r>
      <w:r w:rsidRPr="00AB1A14">
        <w:rPr>
          <w:rFonts w:ascii="Times New Roman" w:hAnsi="Times New Roman"/>
        </w:rPr>
        <w:lastRenderedPageBreak/>
        <w:t>done, once apprised of the 1 April 2008 launch date and 28 April 2008 trial date. Rather, what his Honour said at J [349] was that he was not going to draw any inference about it in the absence of evidence from Dr Sherman."</w:t>
      </w:r>
    </w:p>
    <w:p w14:paraId="4FFB6FFA"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In respect of the Commonwealth's submissions that it had not been put to Mr Millichamp that paragraph 38 of his 17 September 2007 affidavit</w:t>
      </w:r>
      <w:r w:rsidRPr="00AB1A14">
        <w:rPr>
          <w:rStyle w:val="FootnoteReference"/>
          <w:rFonts w:ascii="Times New Roman" w:hAnsi="Times New Roman"/>
          <w:sz w:val="24"/>
        </w:rPr>
        <w:footnoteReference w:id="246"/>
      </w:r>
      <w:r w:rsidRPr="00AB1A14">
        <w:rPr>
          <w:rFonts w:ascii="Times New Roman" w:hAnsi="Times New Roman"/>
        </w:rPr>
        <w:t xml:space="preserve"> put before Gyles J was false, the Full Court considered that, because the primary judge had not found this evidence to be knowingly false, "there was no direct finding that the [primary] judge made that was required to be put to Mr Millichamp".</w:t>
      </w:r>
      <w:r w:rsidRPr="00AB1A14">
        <w:rPr>
          <w:rStyle w:val="FootnoteReference"/>
          <w:rFonts w:ascii="Times New Roman" w:hAnsi="Times New Roman"/>
          <w:sz w:val="24"/>
        </w:rPr>
        <w:footnoteReference w:id="247"/>
      </w:r>
      <w:r w:rsidRPr="00AB1A14">
        <w:rPr>
          <w:rFonts w:ascii="Times New Roman" w:hAnsi="Times New Roman"/>
        </w:rPr>
        <w:t xml:space="preserve"> Therefore, "his Honour found only that the Commonwealth had failed to prove that Dr Sherman would have directed Apotex to seek a PBS listing if the injunction were refused".</w:t>
      </w:r>
      <w:r w:rsidRPr="00AB1A14">
        <w:rPr>
          <w:rStyle w:val="FootnoteReference"/>
          <w:rFonts w:ascii="Times New Roman" w:hAnsi="Times New Roman"/>
          <w:sz w:val="24"/>
        </w:rPr>
        <w:footnoteReference w:id="248"/>
      </w:r>
      <w:r w:rsidRPr="00AB1A14">
        <w:rPr>
          <w:rFonts w:ascii="Times New Roman" w:hAnsi="Times New Roman"/>
        </w:rPr>
        <w:t xml:space="preserve"> As a result, "nothing the [primary] judge found required that it be put to Mr Millichamp that §38 of his affidavit was false".</w:t>
      </w:r>
      <w:r w:rsidRPr="00AB1A14">
        <w:rPr>
          <w:rStyle w:val="FootnoteReference"/>
          <w:rFonts w:ascii="Times New Roman" w:hAnsi="Times New Roman"/>
          <w:sz w:val="24"/>
        </w:rPr>
        <w:footnoteReference w:id="249"/>
      </w:r>
    </w:p>
    <w:p w14:paraId="7C03A288"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Given the Full Court's conclusions that the evidence to which the primary judge did not refer in his reasoning process was immaterial, the Commonwealth's submission that the oversights were a consequence of the inordinate delay between the hearing before the primary judge and the delivery of judgment (29 September</w:t>
      </w:r>
      <w:r>
        <w:rPr>
          <w:rFonts w:ascii="Times New Roman" w:hAnsi="Times New Roman"/>
        </w:rPr>
        <w:t> </w:t>
      </w:r>
      <w:r w:rsidRPr="00AB1A14">
        <w:rPr>
          <w:rFonts w:ascii="Times New Roman" w:hAnsi="Times New Roman"/>
        </w:rPr>
        <w:t>2017 until 28 April 2020) was also rejected as immaterial.</w:t>
      </w:r>
      <w:r w:rsidRPr="00AB1A14">
        <w:rPr>
          <w:rStyle w:val="FootnoteReference"/>
          <w:rFonts w:ascii="Times New Roman" w:hAnsi="Times New Roman"/>
          <w:sz w:val="24"/>
        </w:rPr>
        <w:footnoteReference w:id="250"/>
      </w:r>
      <w:r w:rsidRPr="00AB1A14">
        <w:rPr>
          <w:rFonts w:ascii="Times New Roman" w:hAnsi="Times New Roman"/>
        </w:rPr>
        <w:t xml:space="preserve"> In respect of the same submission of inordinate delay vitiating the credit findings made against Mr Millichamp, the Full Court said that the "Commonwealth's case became that Dr Sherman had decided in February 2007 that Apotex would launch at risk" but one "difficulty with this case was the absence of Dr Sherman to give any evidence as to what he would have done" and a "further problem with that case was the large amount of evidence which was only consistent with Dr Sherman having a continuing role in the decision making process". To the extent the primary judge did reject Mr Millichamp's evidence as lacking credit in respect of his 27 June</w:t>
      </w:r>
      <w:r>
        <w:rPr>
          <w:rFonts w:ascii="Times New Roman" w:hAnsi="Times New Roman"/>
        </w:rPr>
        <w:t> </w:t>
      </w:r>
      <w:r w:rsidRPr="00AB1A14">
        <w:rPr>
          <w:rFonts w:ascii="Times New Roman" w:hAnsi="Times New Roman"/>
        </w:rPr>
        <w:t xml:space="preserve">2007 email to Mr Haas ("... subject to Barry's further advice/approval"), the Full Court said that the primary judge's "criticisms were not related to the </w:t>
      </w:r>
      <w:r w:rsidRPr="00AB1A14">
        <w:rPr>
          <w:rFonts w:ascii="Times New Roman" w:hAnsi="Times New Roman"/>
        </w:rPr>
        <w:lastRenderedPageBreak/>
        <w:t>demeanour of Mr Millichamp. Rather, they were directed at the content of what he had said. The [primary] judge examined that content and found it wanting. This is not a case, therefore, where a trial judge has said that he did not accept a witness's evidence because he found it unconvincing. ... The basis for the credit finding is therefore entirely before this Court." As the primary judge's "reasons as a whole represent a most thorough and searching excavation of the very complicated factual questions which the case generated", the Full Court was "not satisfied that the delay provides any reason for reviewing his Honour’s conclusion that this aspect of Mr Millichamp's evidence was unsatisfactory".</w:t>
      </w:r>
      <w:r w:rsidRPr="00AB1A14">
        <w:rPr>
          <w:rStyle w:val="FootnoteReference"/>
          <w:rFonts w:ascii="Times New Roman" w:hAnsi="Times New Roman"/>
          <w:sz w:val="24"/>
        </w:rPr>
        <w:footnoteReference w:id="251"/>
      </w:r>
    </w:p>
    <w:p w14:paraId="327F3E02"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Concurrent factual findings?</w:t>
      </w:r>
    </w:p>
    <w:p w14:paraId="567A9D4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Sanofi submitted that, as there are concurrent or co-ordinate factual findings by the primary judge and the Full Court, the Commonwealth had to establish not merely error below but "special reasons such as plain injustice or clear error" for this Court to disturb those findings.</w:t>
      </w:r>
      <w:r w:rsidRPr="00AB1A14">
        <w:rPr>
          <w:rStyle w:val="FootnoteReference"/>
          <w:rFonts w:ascii="Times New Roman" w:hAnsi="Times New Roman"/>
          <w:sz w:val="24"/>
        </w:rPr>
        <w:footnoteReference w:id="252"/>
      </w:r>
      <w:r w:rsidRPr="00AB1A14">
        <w:rPr>
          <w:rFonts w:ascii="Times New Roman" w:hAnsi="Times New Roman"/>
        </w:rPr>
        <w:t xml:space="preserve"> </w:t>
      </w:r>
    </w:p>
    <w:p w14:paraId="38F0A2BB"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The practice in respect of concurrent factual findings</w:t>
      </w:r>
    </w:p>
    <w:p w14:paraId="029FB608"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requirement for "special reasons" to exist before this Court will overturn concurrent factual findings has been referred to as a "practice".</w:t>
      </w:r>
      <w:r w:rsidRPr="00AB1A14">
        <w:rPr>
          <w:rStyle w:val="FootnoteReference"/>
          <w:rFonts w:ascii="Times New Roman" w:hAnsi="Times New Roman"/>
          <w:sz w:val="24"/>
        </w:rPr>
        <w:footnoteReference w:id="253"/>
      </w:r>
      <w:r w:rsidRPr="00AB1A14">
        <w:rPr>
          <w:rFonts w:ascii="Times New Roman" w:hAnsi="Times New Roman"/>
        </w:rPr>
        <w:t xml:space="preserve"> In </w:t>
      </w:r>
      <w:r w:rsidRPr="00AB1A14">
        <w:rPr>
          <w:rFonts w:ascii="Times New Roman" w:hAnsi="Times New Roman"/>
          <w:i/>
          <w:iCs/>
        </w:rPr>
        <w:t>Louth</w:t>
      </w:r>
      <w:r>
        <w:rPr>
          <w:rFonts w:ascii="Times New Roman" w:hAnsi="Times New Roman"/>
          <w:i/>
          <w:iCs/>
        </w:rPr>
        <w:t> </w:t>
      </w:r>
      <w:r w:rsidRPr="00AB1A14">
        <w:rPr>
          <w:rFonts w:ascii="Times New Roman" w:hAnsi="Times New Roman"/>
          <w:i/>
          <w:iCs/>
        </w:rPr>
        <w:t>v Diprose</w:t>
      </w:r>
      <w:r w:rsidRPr="00AB1A14">
        <w:rPr>
          <w:rFonts w:ascii="Times New Roman" w:hAnsi="Times New Roman"/>
        </w:rPr>
        <w:t xml:space="preserve"> the advantages of the primary judge in having seen and heard all the witnesses give evidence were "immeasurable".</w:t>
      </w:r>
      <w:r w:rsidRPr="00AB1A14">
        <w:rPr>
          <w:rStyle w:val="FootnoteReference"/>
          <w:rFonts w:ascii="Times New Roman" w:hAnsi="Times New Roman"/>
          <w:sz w:val="24"/>
        </w:rPr>
        <w:footnoteReference w:id="254"/>
      </w:r>
      <w:r w:rsidRPr="00AB1A14">
        <w:rPr>
          <w:rFonts w:ascii="Times New Roman" w:hAnsi="Times New Roman"/>
        </w:rPr>
        <w:t xml:space="preserve"> In that context, and where the intermediate appellate court said "that the evidence as a whole, the findings as to the reliability of the witnesses, as well as many undisputed facts clearly supported the conclusions" of the primary judge and upheld those findings, Deane J said that "the case is one in which there have been concurrent findings of fact by the primary court, and the intermediate appellate court. It is well settled that a second appellate court, such as this Court is in the present case, should not, in the absence of special reasons such as plain injustice or clear error, disturb such concurrent findings".</w:t>
      </w:r>
      <w:r w:rsidRPr="00AB1A14">
        <w:rPr>
          <w:rStyle w:val="FootnoteReference"/>
          <w:rFonts w:ascii="Times New Roman" w:hAnsi="Times New Roman"/>
          <w:sz w:val="24"/>
        </w:rPr>
        <w:footnoteReference w:id="255"/>
      </w:r>
      <w:r w:rsidRPr="00AB1A14">
        <w:rPr>
          <w:rFonts w:ascii="Times New Roman" w:hAnsi="Times New Roman"/>
        </w:rPr>
        <w:t xml:space="preserve"> Deane J considered the rationale for the practice to be "the overall interests of the administration of justice and of the preservation of at least some vestige of practical equality before the law that, in the absence of special circumstances, there should be an end to the litigation of an issue of fact at least </w:t>
      </w:r>
      <w:r w:rsidRPr="00AB1A14">
        <w:rPr>
          <w:rFonts w:ascii="Times New Roman" w:hAnsi="Times New Roman"/>
        </w:rPr>
        <w:lastRenderedPageBreak/>
        <w:t>when the stage is reached that one party has succeeded upon it both on the hearing before the court of first instance and on a rehearing before the court of first appeal".</w:t>
      </w:r>
      <w:r w:rsidRPr="00AB1A14">
        <w:rPr>
          <w:rStyle w:val="FootnoteReference"/>
          <w:rFonts w:ascii="Times New Roman" w:hAnsi="Times New Roman"/>
          <w:sz w:val="24"/>
        </w:rPr>
        <w:footnoteReference w:id="256"/>
      </w:r>
    </w:p>
    <w:p w14:paraId="4416F91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cases to which Deane J referred in support of the practice describe it in different ways</w:t>
      </w:r>
      <w:r>
        <w:rPr>
          <w:rFonts w:ascii="Times New Roman" w:hAnsi="Times New Roman"/>
        </w:rPr>
        <w:t>.</w:t>
      </w:r>
      <w:r w:rsidRPr="00AB1A14">
        <w:rPr>
          <w:rFonts w:ascii="Times New Roman" w:hAnsi="Times New Roman"/>
        </w:rPr>
        <w:t xml:space="preserve"> Mason J referred to Barwick CJ's statement (</w:t>
      </w:r>
      <w:r>
        <w:rPr>
          <w:rFonts w:ascii="Times New Roman" w:hAnsi="Times New Roman"/>
        </w:rPr>
        <w:t xml:space="preserve">with which </w:t>
      </w:r>
      <w:r w:rsidRPr="00AB1A14">
        <w:rPr>
          <w:rFonts w:ascii="Times New Roman" w:hAnsi="Times New Roman"/>
        </w:rPr>
        <w:t xml:space="preserve">Stephen, Jacobs and Aickin JJ </w:t>
      </w:r>
      <w:r>
        <w:rPr>
          <w:rFonts w:ascii="Times New Roman" w:hAnsi="Times New Roman"/>
        </w:rPr>
        <w:t xml:space="preserve">had </w:t>
      </w:r>
      <w:r w:rsidRPr="00AB1A14">
        <w:rPr>
          <w:rFonts w:ascii="Times New Roman" w:hAnsi="Times New Roman"/>
        </w:rPr>
        <w:t>also agree</w:t>
      </w:r>
      <w:r>
        <w:rPr>
          <w:rFonts w:ascii="Times New Roman" w:hAnsi="Times New Roman"/>
        </w:rPr>
        <w:t>d</w:t>
      </w:r>
      <w:r w:rsidRPr="00AB1A14">
        <w:rPr>
          <w:rFonts w:ascii="Times New Roman" w:hAnsi="Times New Roman"/>
        </w:rPr>
        <w:t>) that "'... where there have been concurrent findings of fact ... an appellant has in this Court at least a difficult task in persuading it that nonetheless it ought to set aside such findings or that exercise of discretion. This Court must necessarily give weight to such concurrent findings though, of course, in a proper case' [it is] 'able to depart from them.'"</w:t>
      </w:r>
      <w:r w:rsidRPr="00AB1A14">
        <w:rPr>
          <w:rStyle w:val="FootnoteReference"/>
          <w:rFonts w:ascii="Times New Roman" w:hAnsi="Times New Roman"/>
          <w:sz w:val="24"/>
        </w:rPr>
        <w:footnoteReference w:id="257"/>
      </w:r>
      <w:r w:rsidRPr="00AB1A14">
        <w:rPr>
          <w:rFonts w:ascii="Times New Roman" w:hAnsi="Times New Roman"/>
        </w:rPr>
        <w:t xml:space="preserve"> Gibbs CJ, Mason, Murphy, Wilson and Brennan JJ endorsed the practice on the basis that, in a case involving a vast body of conflicting evidence upon which concurrent factual findings were made, an appellant "naturally faces a difficult task" as the Court "will give the greatest respect to such concurrent findings, although free of course to depart from them if convinced that they are wrong".</w:t>
      </w:r>
      <w:r w:rsidRPr="00AB1A14">
        <w:rPr>
          <w:rStyle w:val="FootnoteReference"/>
          <w:rFonts w:ascii="Times New Roman" w:hAnsi="Times New Roman"/>
          <w:sz w:val="24"/>
        </w:rPr>
        <w:footnoteReference w:id="258"/>
      </w:r>
      <w:r w:rsidRPr="00AB1A14">
        <w:rPr>
          <w:rFonts w:ascii="Times New Roman" w:hAnsi="Times New Roman"/>
        </w:rPr>
        <w:t xml:space="preserve"> In the latter case, their Honours were so convinced and allowed the appeal.</w:t>
      </w:r>
      <w:r w:rsidRPr="00AB1A14">
        <w:rPr>
          <w:rStyle w:val="FootnoteReference"/>
          <w:rFonts w:ascii="Times New Roman" w:hAnsi="Times New Roman"/>
          <w:sz w:val="24"/>
        </w:rPr>
        <w:footnoteReference w:id="259"/>
      </w:r>
    </w:p>
    <w:p w14:paraId="405DE8C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Gleeson CJ described the practice as a "principle of long standing", the importance of which "has not been diminished, but rather has been increased, in the circumstances of modern litigation".</w:t>
      </w:r>
      <w:r w:rsidRPr="00AB1A14">
        <w:rPr>
          <w:rStyle w:val="FootnoteReference"/>
          <w:rFonts w:ascii="Times New Roman" w:hAnsi="Times New Roman"/>
          <w:sz w:val="24"/>
        </w:rPr>
        <w:footnoteReference w:id="260"/>
      </w:r>
      <w:r w:rsidRPr="00AB1A14">
        <w:rPr>
          <w:rFonts w:ascii="Times New Roman" w:hAnsi="Times New Roman"/>
        </w:rPr>
        <w:t xml:space="preserve"> Gleeson CJ quoted versions of the threshold justifying the overturning of concurrent factual findings including "plain injustice or clear error", "clearly demonstrated" error, "a tolerably clear conviction" of error, and a "clear conviction" of error.</w:t>
      </w:r>
      <w:r w:rsidRPr="00AB1A14">
        <w:rPr>
          <w:rStyle w:val="FootnoteReference"/>
          <w:rFonts w:ascii="Times New Roman" w:hAnsi="Times New Roman"/>
          <w:sz w:val="24"/>
        </w:rPr>
        <w:footnoteReference w:id="261"/>
      </w:r>
      <w:r w:rsidRPr="00AB1A14">
        <w:rPr>
          <w:rFonts w:ascii="Times New Roman" w:hAnsi="Times New Roman"/>
        </w:rPr>
        <w:t xml:space="preserve"> In the same case, Kirby J considered that "a clear case of error is needed for interference in concurrent findings of fact made below".</w:t>
      </w:r>
      <w:r w:rsidRPr="00AB1A14">
        <w:rPr>
          <w:rStyle w:val="FootnoteReference"/>
          <w:rFonts w:ascii="Times New Roman" w:hAnsi="Times New Roman"/>
          <w:sz w:val="24"/>
        </w:rPr>
        <w:footnoteReference w:id="262"/>
      </w:r>
      <w:r w:rsidRPr="00AB1A14">
        <w:rPr>
          <w:rFonts w:ascii="Times New Roman" w:hAnsi="Times New Roman"/>
        </w:rPr>
        <w:t xml:space="preserve"> Heydon J considered the practice to be unobjectionable if it was merely functional (that is, if "all that is meant is that if </w:t>
      </w:r>
      <w:r w:rsidRPr="00AB1A14">
        <w:rPr>
          <w:rFonts w:ascii="Times New Roman" w:hAnsi="Times New Roman"/>
        </w:rPr>
        <w:lastRenderedPageBreak/>
        <w:t>four judges have agreed on what the facts are, it will be difficult in a practical sense to persuade three more to disagree"</w:t>
      </w:r>
      <w:r w:rsidRPr="00AB1A14">
        <w:rPr>
          <w:rStyle w:val="FootnoteReference"/>
          <w:rFonts w:ascii="Times New Roman" w:hAnsi="Times New Roman"/>
          <w:sz w:val="24"/>
        </w:rPr>
        <w:footnoteReference w:id="263"/>
      </w:r>
      <w:r>
        <w:rPr>
          <w:rFonts w:ascii="Times New Roman" w:hAnsi="Times New Roman"/>
        </w:rPr>
        <w:t>)</w:t>
      </w:r>
      <w:r w:rsidRPr="00AB1A14">
        <w:rPr>
          <w:rFonts w:ascii="Times New Roman" w:hAnsi="Times New Roman"/>
        </w:rPr>
        <w:t>, but otherwise problematic.</w:t>
      </w:r>
      <w:r w:rsidRPr="00AB1A14">
        <w:rPr>
          <w:rStyle w:val="FootnoteReference"/>
          <w:rFonts w:ascii="Times New Roman" w:hAnsi="Times New Roman"/>
          <w:sz w:val="24"/>
        </w:rPr>
        <w:footnoteReference w:id="264"/>
      </w:r>
    </w:p>
    <w:p w14:paraId="6DB8F95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the present case, the precise nature of the practice and its content need not be resolved. The approach to concurrent factual findings of this Court assumes that the courts below have weighed the relevant evidence and come to the same conclusions about it. The approach cannot apply to a case where a principal plank of the appeal is that the courts below did not confront and weigh the relevant evidence. In those circumstances, the question whether the reasoning below miscarried (in that neither court below confronted and weighed the relevant evidence as required in order to make ultimate factual findings) must precede the question of relevance of any proposed concurrent factual findings. </w:t>
      </w:r>
    </w:p>
    <w:p w14:paraId="6C420B31"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The "concurrent" factual findings in this case</w:t>
      </w:r>
    </w:p>
    <w:p w14:paraId="3CB4446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In any event, all but one of the "concurrent" factual findings on which Sanofi relied are either relatively insignificant or are based only on the interpretation of contemporaneous documents. The other "concurrent" factual finding is the ultimate factual finding that the Commonwealth did not discharge its onus of proof. To the extent interpretation of documents is involved, while in some cases the primary judge will have the advantage of "seeing the oral and documentary evidence unfold in a coherent manner, which cannot be replicated on appeal",</w:t>
      </w:r>
      <w:r w:rsidRPr="00AB1A14">
        <w:rPr>
          <w:rStyle w:val="FootnoteReference"/>
          <w:rFonts w:ascii="Times New Roman" w:hAnsi="Times New Roman"/>
          <w:sz w:val="24"/>
        </w:rPr>
        <w:footnoteReference w:id="265"/>
      </w:r>
      <w:r w:rsidRPr="00AB1A14">
        <w:rPr>
          <w:rFonts w:ascii="Times New Roman" w:hAnsi="Times New Roman"/>
        </w:rPr>
        <w:t xml:space="preserve"> that advantage was undermined in the present case by the period of 31 months between the hearing and the primary judge's delivery of judgment. As a result, this Court is as well-placed as either of the Courts below to undertake the required interpretative and inferential exercise. More importantly, in that exercise, the whole of the contemporaneous evidence on which the Commonwealth relied is important and neither Court below confronted the whole of that evidence in the context of the case as put by the Commonwealth. This is why the interests of justice demand that this Court perform that exercise. </w:t>
      </w:r>
    </w:p>
    <w:p w14:paraId="6AB1B32E"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Dr Sherman "bullish" based on US launch?</w:t>
      </w:r>
    </w:p>
    <w:p w14:paraId="3E33E4A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primary judge did not accept that Apotex's launch of its clopidogrel products in the United States of America ("the US") was "genuinely 'at risk'" </w:t>
      </w:r>
      <w:r w:rsidRPr="00AB1A14">
        <w:rPr>
          <w:rFonts w:ascii="Times New Roman" w:hAnsi="Times New Roman"/>
        </w:rPr>
        <w:lastRenderedPageBreak/>
        <w:t>because, as Apotex knew, under a settlement agreement reached in the US with Sanofi on 26 May 2006, its liability was capped at a percentage of its profits on sales if, ultimately, the US equivalent clopidogrel patent was held to be valid and infringed by Apotex.</w:t>
      </w:r>
      <w:r w:rsidRPr="00AB1A14">
        <w:rPr>
          <w:rStyle w:val="FootnoteReference"/>
          <w:rFonts w:ascii="Times New Roman" w:hAnsi="Times New Roman"/>
          <w:sz w:val="24"/>
        </w:rPr>
        <w:footnoteReference w:id="266"/>
      </w:r>
      <w:r w:rsidRPr="00AB1A14">
        <w:rPr>
          <w:rFonts w:ascii="Times New Roman" w:hAnsi="Times New Roman"/>
        </w:rPr>
        <w:t xml:space="preserve"> The Commonwealth did not challenge this finding before the Full Court. The Full Court said that it would not have accepted such a challenge in any event. The Full Court therefore said that this evidence was "not available as an aid to the drawing of an inference that Dr Sherman was 'bullish'".</w:t>
      </w:r>
      <w:r w:rsidRPr="00AB1A14">
        <w:rPr>
          <w:rStyle w:val="FootnoteReference"/>
          <w:rFonts w:ascii="Times New Roman" w:hAnsi="Times New Roman"/>
          <w:sz w:val="24"/>
        </w:rPr>
        <w:footnoteReference w:id="267"/>
      </w:r>
      <w:r w:rsidRPr="00AB1A14">
        <w:rPr>
          <w:rFonts w:ascii="Times New Roman" w:hAnsi="Times New Roman"/>
        </w:rPr>
        <w:t xml:space="preserve"> </w:t>
      </w:r>
    </w:p>
    <w:p w14:paraId="67D76E3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concurrent findings are that the evidence of the launch in the US does not support an inference that Dr Sherman was "bullish", meaning an aggressive risk-taker at any possible cost. That Dr Sherman was not an aggressive risk-taker at any possible cost accords with Dr Sherman being a rational commercial decision-maker. That, however, does not mean he was other than entrepreneurial and willing to take large, albeit calculated, risks. As the </w:t>
      </w:r>
      <w:r>
        <w:rPr>
          <w:rFonts w:ascii="Times New Roman" w:hAnsi="Times New Roman"/>
        </w:rPr>
        <w:t>CEO</w:t>
      </w:r>
      <w:r w:rsidRPr="00AB1A14">
        <w:rPr>
          <w:rFonts w:ascii="Times New Roman" w:hAnsi="Times New Roman"/>
        </w:rPr>
        <w:t xml:space="preserve"> of a generic pharmaceutical company such as Apotex, Dr Sherman could hardly have been otherwise.</w:t>
      </w:r>
    </w:p>
    <w:p w14:paraId="4EAC6A35"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Dr Sherman's February 2007 decision relating to Australian launch</w:t>
      </w:r>
    </w:p>
    <w:p w14:paraId="4773438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found that on 20 February 2007 Dr Sherman's plan was clear, being "to have Apotex Australia launch at risk in the event that Sanofi did not obtain any interlocutory injunction".</w:t>
      </w:r>
      <w:r w:rsidRPr="00AB1A14">
        <w:rPr>
          <w:rStyle w:val="FootnoteReference"/>
          <w:rFonts w:ascii="Times New Roman" w:hAnsi="Times New Roman"/>
          <w:sz w:val="24"/>
        </w:rPr>
        <w:footnoteReference w:id="268"/>
      </w:r>
      <w:r w:rsidRPr="00AB1A14">
        <w:rPr>
          <w:rFonts w:ascii="Times New Roman" w:hAnsi="Times New Roman"/>
        </w:rPr>
        <w:t xml:space="preserve"> The Full Court did not make this finding, but the finding is correct on the evidence.</w:t>
      </w:r>
    </w:p>
    <w:p w14:paraId="2BF173F2"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Mr Millichamp's explanation of the 27 June 2007 email to Mr Haas</w:t>
      </w:r>
    </w:p>
    <w:p w14:paraId="68F9DAB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This email said "... If we are successful in avoiding an injunction we will plan to launch subject to Barry's further advice/approval." The primary judge did not accept Mr Millichamp's explanation of the reference to "subject to Barry's further advice/approval".</w:t>
      </w:r>
      <w:r w:rsidRPr="00AB1A14">
        <w:rPr>
          <w:rStyle w:val="FootnoteReference"/>
          <w:rFonts w:ascii="Times New Roman" w:hAnsi="Times New Roman"/>
          <w:sz w:val="24"/>
        </w:rPr>
        <w:footnoteReference w:id="269"/>
      </w:r>
      <w:r w:rsidRPr="00AB1A14">
        <w:rPr>
          <w:rFonts w:ascii="Times New Roman" w:hAnsi="Times New Roman"/>
        </w:rPr>
        <w:t xml:space="preserve"> </w:t>
      </w:r>
    </w:p>
    <w:p w14:paraId="5448631D"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Full Court said that, as the primary judge's conclusion was based not on demeanour but the content of the evidence, the "basis for the credit finding is </w:t>
      </w:r>
      <w:r w:rsidRPr="00AB1A14">
        <w:rPr>
          <w:rFonts w:ascii="Times New Roman" w:hAnsi="Times New Roman"/>
        </w:rPr>
        <w:lastRenderedPageBreak/>
        <w:t>therefore entirely before this Court".</w:t>
      </w:r>
      <w:r w:rsidRPr="00AB1A14">
        <w:rPr>
          <w:rStyle w:val="FootnoteReference"/>
          <w:rFonts w:ascii="Times New Roman" w:hAnsi="Times New Roman"/>
          <w:sz w:val="24"/>
        </w:rPr>
        <w:footnoteReference w:id="270"/>
      </w:r>
      <w:r w:rsidRPr="00AB1A14">
        <w:rPr>
          <w:rFonts w:ascii="Times New Roman" w:hAnsi="Times New Roman"/>
        </w:rPr>
        <w:t xml:space="preserve"> It is also clear that the Full Court agreed with the primary judge that this 27 June 2007 email, in effect, supported the inference that Dr Sherman had not made a final decision to launch at risk in Australia as at June 2007.</w:t>
      </w:r>
      <w:r w:rsidRPr="00AB1A14">
        <w:rPr>
          <w:rStyle w:val="FootnoteReference"/>
          <w:rFonts w:ascii="Times New Roman" w:hAnsi="Times New Roman"/>
          <w:sz w:val="24"/>
        </w:rPr>
        <w:footnoteReference w:id="271"/>
      </w:r>
    </w:p>
    <w:p w14:paraId="780F380F"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Apotex's 17 August 2007 public statement</w:t>
      </w:r>
    </w:p>
    <w:p w14:paraId="7AE6803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Mr Millichamp sent a letter to Apotex staff on 17 August 2007 on the basis that sales team members could provide it to customers. That letter said, amongst other things, "[w]e intend to launch this product into the Australian market in the near future" and "[a]ssuming Sanofi-Aventis do apply for an interim injunction, then the decision whether to launch these products will be delayed until the outcome of that application has been determined (one or two months)". </w:t>
      </w:r>
    </w:p>
    <w:p w14:paraId="77D0FBF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said that in this letter "Apotex Australia had not committed itself to launching in the event no interlocutory injunction was granted".</w:t>
      </w:r>
      <w:r w:rsidRPr="00AB1A14">
        <w:rPr>
          <w:rStyle w:val="FootnoteReference"/>
          <w:rFonts w:ascii="Times New Roman" w:hAnsi="Times New Roman"/>
          <w:sz w:val="24"/>
        </w:rPr>
        <w:footnoteReference w:id="272"/>
      </w:r>
      <w:r w:rsidRPr="00AB1A14">
        <w:rPr>
          <w:rFonts w:ascii="Times New Roman" w:hAnsi="Times New Roman"/>
        </w:rPr>
        <w:t xml:space="preserve"> The Full Court agreed with the primary judge about the meaning of this letter.</w:t>
      </w:r>
      <w:r w:rsidRPr="00AB1A14">
        <w:rPr>
          <w:rStyle w:val="FootnoteReference"/>
          <w:rFonts w:ascii="Times New Roman" w:hAnsi="Times New Roman"/>
          <w:sz w:val="24"/>
        </w:rPr>
        <w:footnoteReference w:id="273"/>
      </w:r>
    </w:p>
    <w:p w14:paraId="275F3209"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Apotex's potential liability</w:t>
      </w:r>
    </w:p>
    <w:p w14:paraId="0A0F4E2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considered Apotex's July 2008 risk/reward analysis to be "revealing" of "what Apotex Australia perceived its financial exposure to Sanofi could be if it successfully resisted Sanofi's application for an interlocutory injunction and then proceeded to launch its clopidogrel products in Australia with the benefit of PBS listing from 1 April 2008".</w:t>
      </w:r>
      <w:r w:rsidRPr="00AB1A14">
        <w:rPr>
          <w:rStyle w:val="FootnoteReference"/>
          <w:rFonts w:ascii="Times New Roman" w:hAnsi="Times New Roman"/>
          <w:sz w:val="24"/>
        </w:rPr>
        <w:footnoteReference w:id="274"/>
      </w:r>
      <w:r w:rsidRPr="00AB1A14">
        <w:rPr>
          <w:rFonts w:ascii="Times New Roman" w:hAnsi="Times New Roman"/>
        </w:rPr>
        <w:t xml:space="preserve"> The primary judge said that the "evidence does not suggest that the business case for Apotex Australia launching its clopidogrel products in August or September 2008 followed by PBS listing from 1 December 2008 would have been significantly less attractive to Apotex Australia than a launch at risk in February or March 2008 followed by a PBS listing </w:t>
      </w:r>
      <w:r w:rsidRPr="00AB1A14">
        <w:rPr>
          <w:rFonts w:ascii="Times New Roman" w:hAnsi="Times New Roman"/>
        </w:rPr>
        <w:lastRenderedPageBreak/>
        <w:t>from 1 April 2008".</w:t>
      </w:r>
      <w:r w:rsidRPr="00AB1A14">
        <w:rPr>
          <w:rStyle w:val="FootnoteReference"/>
          <w:rFonts w:ascii="Times New Roman" w:hAnsi="Times New Roman"/>
          <w:sz w:val="24"/>
        </w:rPr>
        <w:footnoteReference w:id="275"/>
      </w:r>
      <w:r w:rsidRPr="00AB1A14">
        <w:rPr>
          <w:rFonts w:ascii="Times New Roman" w:hAnsi="Times New Roman"/>
        </w:rPr>
        <w:t xml:space="preserve"> In this context, the primary judge also said that, as at August</w:t>
      </w:r>
      <w:r>
        <w:rPr>
          <w:rFonts w:ascii="Times New Roman" w:hAnsi="Times New Roman"/>
        </w:rPr>
        <w:t> </w:t>
      </w:r>
      <w:r w:rsidRPr="00AB1A14">
        <w:rPr>
          <w:rFonts w:ascii="Times New Roman" w:hAnsi="Times New Roman"/>
        </w:rPr>
        <w:t>2008, "no other generic supplier (including Spirit [Pharmaceuticals Pty Ltd (Spirit), another generic pharmaceutical company]) had obtained ARTG registration for any clopidogrel product. The deadline for applying for a PBS listing on 1 December 2008 was 1 September 2008. In the circumstances, it is difficult to see how Apotex Australia's opportunity to secure the first mover advantage was significantly diminished and I do not think it was. It should also be recalled that according to Mr Millichamp's July 2008 email to Mr Kay, Apotex Australia's preferred position was to launch."</w:t>
      </w:r>
      <w:r w:rsidRPr="00AB1A14">
        <w:rPr>
          <w:rStyle w:val="FootnoteReference"/>
          <w:rFonts w:ascii="Times New Roman" w:hAnsi="Times New Roman"/>
          <w:sz w:val="24"/>
        </w:rPr>
        <w:footnoteReference w:id="276"/>
      </w:r>
    </w:p>
    <w:p w14:paraId="0834E6B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rejected the challenge to the primary judge's use of material from after the grant of the interlocutory injunction and said that "the contention that circumstances had changed because Apotex had been kept out of the market for a year falls away, for the 35% market share assumption remained" between 2007 and 2008. The Full Court agreed with the primary judge that the risk/reward analyses in June 2007 and July 2008 "showed that Apotex stood to lose much more than it stood to gain by launching" which "meant that Mr Millichamp's evidence that the business case had changed could not be correct".</w:t>
      </w:r>
      <w:r w:rsidRPr="00AB1A14">
        <w:rPr>
          <w:rStyle w:val="FootnoteReference"/>
          <w:rFonts w:ascii="Times New Roman" w:hAnsi="Times New Roman"/>
          <w:sz w:val="24"/>
        </w:rPr>
        <w:footnoteReference w:id="277"/>
      </w:r>
    </w:p>
    <w:p w14:paraId="708399B9"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Events in 2007 after 20 February 2007</w:t>
      </w:r>
    </w:p>
    <w:p w14:paraId="03AD449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said that the "coincidence of events that would have led to both a PBS listing on 1 April 2008 (in the counterfactual scenario in which no interlocutory injunction was granted) followed by the commencement of the trial of the patent proceeding (as actually occurred) later that month was a result of developments that could not have been anticipated until about the time the interlocutory application was determined".</w:t>
      </w:r>
      <w:r w:rsidRPr="00AB1A14">
        <w:rPr>
          <w:rStyle w:val="FootnoteReference"/>
          <w:rFonts w:ascii="Times New Roman" w:hAnsi="Times New Roman"/>
          <w:sz w:val="24"/>
        </w:rPr>
        <w:footnoteReference w:id="278"/>
      </w:r>
      <w:r w:rsidRPr="00AB1A14">
        <w:rPr>
          <w:rFonts w:ascii="Times New Roman" w:hAnsi="Times New Roman"/>
        </w:rPr>
        <w:t xml:space="preserve"> The Full Court found no error in this reasoning, describing the events as "unanticipated developments" about which Dr Sherman's reaction was unknown,</w:t>
      </w:r>
      <w:r w:rsidRPr="00AB1A14">
        <w:rPr>
          <w:rStyle w:val="FootnoteReference"/>
          <w:rFonts w:ascii="Times New Roman" w:hAnsi="Times New Roman"/>
          <w:sz w:val="24"/>
        </w:rPr>
        <w:footnoteReference w:id="279"/>
      </w:r>
      <w:r w:rsidRPr="00AB1A14">
        <w:rPr>
          <w:rFonts w:ascii="Times New Roman" w:hAnsi="Times New Roman"/>
        </w:rPr>
        <w:t xml:space="preserve"> and said that "[t]hese two matters were not </w:t>
      </w:r>
      <w:r w:rsidRPr="00AB1A14">
        <w:rPr>
          <w:rFonts w:ascii="Times New Roman" w:hAnsi="Times New Roman"/>
        </w:rPr>
        <w:lastRenderedPageBreak/>
        <w:t>known at the time of any of the correspondence upon which the Commonwealth relied".</w:t>
      </w:r>
      <w:r w:rsidRPr="00AB1A14">
        <w:rPr>
          <w:rStyle w:val="FootnoteReference"/>
          <w:rFonts w:ascii="Times New Roman" w:hAnsi="Times New Roman"/>
          <w:sz w:val="24"/>
        </w:rPr>
        <w:footnoteReference w:id="280"/>
      </w:r>
    </w:p>
    <w:p w14:paraId="292D54C3"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Dr Sherman's reaction to early final hearing</w:t>
      </w:r>
    </w:p>
    <w:p w14:paraId="4B1972A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said that it is "not possible to know how Dr Sherman would have reacted to news that the proceeding had been fixed for hearing on 28 April 2008 in the hypothetical situation in which no interlocutory injunction had been granted" but, if he had asked, he would most likely have been told that Gyles J would be retiring by 22 August 2008 and would have to deliver judgment before then.</w:t>
      </w:r>
      <w:r w:rsidRPr="00AB1A14">
        <w:rPr>
          <w:rStyle w:val="FootnoteReference"/>
          <w:rFonts w:ascii="Times New Roman" w:hAnsi="Times New Roman"/>
          <w:sz w:val="24"/>
        </w:rPr>
        <w:footnoteReference w:id="281"/>
      </w:r>
      <w:r w:rsidRPr="00AB1A14">
        <w:rPr>
          <w:rFonts w:ascii="Times New Roman" w:hAnsi="Times New Roman"/>
        </w:rPr>
        <w:t xml:space="preserve"> The Full Court rejected the Commonwealth's contention that this involved impermissible speculation by the primary judge, saying that the primary judge "did not decline to draw inferences because Dr Sherman was not called. Rather, his Honour felt that the documents upon which the Commonwealth relied could not, in themselves, sustain any inference about what Dr Sherman would have done if the injunction were refused. The reason this was so was because by the time the injunction was granted, it was known that there would be an early trial in April 2008 and that this was the same month that Apotex would have obtained its PBS listing. These two matters were not known at the time of any of the correspondence upon which the Commonwealth relied."</w:t>
      </w:r>
      <w:r w:rsidRPr="00AB1A14">
        <w:rPr>
          <w:rStyle w:val="FootnoteReference"/>
          <w:rFonts w:ascii="Times New Roman" w:hAnsi="Times New Roman"/>
          <w:sz w:val="24"/>
        </w:rPr>
        <w:footnoteReference w:id="282"/>
      </w:r>
    </w:p>
    <w:p w14:paraId="2A4FC117" w14:textId="77777777" w:rsidR="00CC75FC" w:rsidRPr="00AB1A14" w:rsidRDefault="00CC75FC" w:rsidP="00AB1A14">
      <w:pPr>
        <w:pStyle w:val="HeadingL3"/>
        <w:spacing w:after="260" w:line="280" w:lineRule="exact"/>
        <w:ind w:right="0"/>
        <w:jc w:val="both"/>
        <w:rPr>
          <w:rFonts w:ascii="Times New Roman" w:hAnsi="Times New Roman"/>
        </w:rPr>
      </w:pPr>
      <w:r w:rsidRPr="00AB1A14">
        <w:rPr>
          <w:rFonts w:ascii="Times New Roman" w:hAnsi="Times New Roman"/>
        </w:rPr>
        <w:t>PBS listing and launch at risk decision</w:t>
      </w:r>
    </w:p>
    <w:p w14:paraId="50AF5C1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said that "[i]n the absence of evidence from Dr Sherman, I am not persuaded that he would have authorised a launch at risk in circumstances where an interlocutory injunction had been refused, but a final hearing was fixed to commence on 28 April 2008. The advice previously communicated by Mr Millichamp in his letter of 17 August 2007 was that a trial was to take place within approximately 12 to 18 months. In the absence of evidence to the contrary I infer that Apotex Canada was also acting on this understanding until no earlier than 13 September 2007."</w:t>
      </w:r>
      <w:r w:rsidRPr="00AB1A14">
        <w:rPr>
          <w:rStyle w:val="FootnoteReference"/>
          <w:rFonts w:ascii="Times New Roman" w:hAnsi="Times New Roman"/>
          <w:sz w:val="24"/>
        </w:rPr>
        <w:footnoteReference w:id="283"/>
      </w:r>
      <w:r w:rsidRPr="00AB1A14">
        <w:rPr>
          <w:rFonts w:ascii="Times New Roman" w:hAnsi="Times New Roman"/>
        </w:rPr>
        <w:t xml:space="preserve"> The primary judge also said that "I am not prepared to infer, based on the 20 February 2007 email, or any of the subsequent correspondence in evidence which was said to justify the drawing of such an </w:t>
      </w:r>
      <w:r w:rsidRPr="00AB1A14">
        <w:rPr>
          <w:rFonts w:ascii="Times New Roman" w:hAnsi="Times New Roman"/>
        </w:rPr>
        <w:lastRenderedPageBreak/>
        <w:t>inference, that Dr Sherman was likely to have instructed Mr Millichamp to procure the listing of Apotex's clopidogrel products with effect from 1 April 2008."</w:t>
      </w:r>
      <w:r w:rsidRPr="00AB1A14">
        <w:rPr>
          <w:rStyle w:val="FootnoteReference"/>
          <w:rFonts w:ascii="Times New Roman" w:hAnsi="Times New Roman"/>
          <w:sz w:val="24"/>
        </w:rPr>
        <w:footnoteReference w:id="284"/>
      </w:r>
    </w:p>
    <w:p w14:paraId="726C6B7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said that "[t]he premise upon which the Commonwealth's claim for damages rests is that but for the injunction, Apotex would have successfully launched its clopidogrel products on 1 April 2008 including by applying for and successfully securing listing on the PBS by that date. The [primary] judge was not persuaded of this as a matter of fact and we reject the challenge to that conclusion below"</w:t>
      </w:r>
      <w:r w:rsidRPr="00AB1A14">
        <w:rPr>
          <w:rStyle w:val="FootnoteReference"/>
          <w:rFonts w:ascii="Times New Roman" w:hAnsi="Times New Roman"/>
          <w:sz w:val="24"/>
        </w:rPr>
        <w:footnoteReference w:id="285"/>
      </w:r>
      <w:r w:rsidRPr="00AB1A14">
        <w:rPr>
          <w:rFonts w:ascii="Times New Roman" w:hAnsi="Times New Roman"/>
        </w:rPr>
        <w:t xml:space="preserve"> and that the primary judge "did not err in declining to draw an inference that Dr Sherman would have instructed Mr Millichamp to procure the PBS listing of Apotex's clopidogrel products from 1 April 2008".</w:t>
      </w:r>
      <w:r w:rsidRPr="00AB1A14">
        <w:rPr>
          <w:rStyle w:val="FootnoteReference"/>
          <w:rFonts w:ascii="Times New Roman" w:hAnsi="Times New Roman"/>
          <w:sz w:val="24"/>
        </w:rPr>
        <w:footnoteReference w:id="286"/>
      </w:r>
      <w:r w:rsidRPr="00AB1A14">
        <w:rPr>
          <w:rFonts w:ascii="Times New Roman" w:hAnsi="Times New Roman"/>
        </w:rPr>
        <w:t xml:space="preserve"> </w:t>
      </w:r>
    </w:p>
    <w:p w14:paraId="4463AC4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Parts of the Full Court's reasons on which Sanofi relied are expressed as mere rejections of error by the primary judge. As the Full Court elsewhere put it, however, "the evidence strongly points to the correctness of the [primary] judge's conclusion" that "Dr Sherman's decision to launch at risk was only provisional",</w:t>
      </w:r>
      <w:r w:rsidRPr="00AB1A14">
        <w:rPr>
          <w:rStyle w:val="FootnoteReference"/>
          <w:rFonts w:ascii="Times New Roman" w:hAnsi="Times New Roman"/>
          <w:sz w:val="24"/>
        </w:rPr>
        <w:footnoteReference w:id="287"/>
      </w:r>
      <w:r w:rsidRPr="00AB1A14">
        <w:rPr>
          <w:rFonts w:ascii="Times New Roman" w:hAnsi="Times New Roman"/>
        </w:rPr>
        <w:t xml:space="preserve"> and there "was abundant evidence from which it could be inferred that Apotex would not launch at risk on 1 April 2008. This included the facts that it had not launched at risk in the US, had not been proposing to launch at risk if it had succeeded before Gyles J and did not launch at risk once it fully succeeded in the Full Court."</w:t>
      </w:r>
      <w:r w:rsidRPr="00AB1A14">
        <w:rPr>
          <w:rStyle w:val="FootnoteReference"/>
          <w:rFonts w:ascii="Times New Roman" w:hAnsi="Times New Roman"/>
          <w:sz w:val="24"/>
        </w:rPr>
        <w:footnoteReference w:id="288"/>
      </w:r>
      <w:r w:rsidRPr="00AB1A14">
        <w:rPr>
          <w:rFonts w:ascii="Times New Roman" w:hAnsi="Times New Roman"/>
        </w:rPr>
        <w:t xml:space="preserve"> </w:t>
      </w:r>
    </w:p>
    <w:p w14:paraId="3ED4863E"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The two developments "unanticipated" before 18 September 2007</w:t>
      </w:r>
    </w:p>
    <w:p w14:paraId="7A2ED4A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As noted, the primary judge considered it significant that there were two "developments" that Dr Sherman could not have anticipated "until about the time the interlocutory application was determined".</w:t>
      </w:r>
      <w:r w:rsidRPr="00AB1A14">
        <w:rPr>
          <w:rStyle w:val="FootnoteReference"/>
          <w:rFonts w:ascii="Times New Roman" w:hAnsi="Times New Roman"/>
          <w:sz w:val="24"/>
        </w:rPr>
        <w:footnoteReference w:id="289"/>
      </w:r>
      <w:r w:rsidRPr="00AB1A14">
        <w:rPr>
          <w:rFonts w:ascii="Times New Roman" w:hAnsi="Times New Roman"/>
        </w:rPr>
        <w:t xml:space="preserve"> The Full Court saw no error in </w:t>
      </w:r>
      <w:r w:rsidRPr="00AB1A14">
        <w:rPr>
          <w:rFonts w:ascii="Times New Roman" w:hAnsi="Times New Roman"/>
        </w:rPr>
        <w:lastRenderedPageBreak/>
        <w:t>this description of the matters.</w:t>
      </w:r>
      <w:r w:rsidRPr="00AB1A14">
        <w:rPr>
          <w:rStyle w:val="FootnoteReference"/>
          <w:rFonts w:ascii="Times New Roman" w:hAnsi="Times New Roman"/>
          <w:sz w:val="24"/>
        </w:rPr>
        <w:footnoteReference w:id="290"/>
      </w:r>
      <w:r w:rsidRPr="00AB1A14">
        <w:rPr>
          <w:rFonts w:ascii="Times New Roman" w:hAnsi="Times New Roman"/>
        </w:rPr>
        <w:t xml:space="preserve"> As noted, the matters were that: (a) Apotex Australia had missed the deadline for PBS listing on 1 December 2007 and therefore could next apply for PBS listing by 1 December 2007, with PBS listing then occurring only on 1 April 2008; and (b) Apotex Australia's revocation proceeding would be heard in April-May 2008 and judgment had to be published by 22 August 2008 (being the date by which Gyles J had to retire). </w:t>
      </w:r>
    </w:p>
    <w:p w14:paraId="71A2277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first problem with the reasoning of the Courts below is that timing matters in this case. It cannot be said that Dr Sherman could not have known about these events "until about the time the interlocutory application was determined". The second problem is that neither the primary judge nor the Full Court confronted the contemporaneous documentary evidence which indicated to the contrary of their reasoning. The third problem is that the two events occurred before the hearing of the interlocutory injunction application on 18 September 2007 – what occurred before that time in fact occurred and is not hypothetical. As such, the best evidence of what Dr Sherman could or would have done in response to these events, which he must have known about before 18 September 2007, is what he in fact did (which was to continue to pursue PBS listing and launch of Apotex Australia's clopidogrel products on 1 April 2008). There was no scope to treat these events as part of the hypothetical or "counterfactual" analysis as they occurred well before 18 September 2007.</w:t>
      </w:r>
    </w:p>
    <w:p w14:paraId="74D03393"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Earliest PBS listing of 1 April 2008</w:t>
      </w:r>
    </w:p>
    <w:p w14:paraId="725795A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Apotex Australia's application for PBS listing of its clopidogrel products was dated 1 September 2007. Apotex Australia knew by 4 September 2007 that it had missed the application date for PBS listing on 1 December 2007 and withdrew its application on that day, 4 September 2007. This was two weeks before the hearing of the interlocutory injunction. </w:t>
      </w:r>
    </w:p>
    <w:p w14:paraId="2514D5E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idea that Dr Sherman would not have known of this fact on or soon after 4 September 2007 should not be seriously entertained. That there is no evidence of Dr Sherman being so informed before 15 September 2007 is correct. But to infer that the email was the first time Dr Sherman knew of that fact defies reality and involves clear error. </w:t>
      </w:r>
    </w:p>
    <w:p w14:paraId="2B5EB53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It is plain from the evidence that: (a) Dr Sherman, as co-founder of Apotex Canada, its CEO and Chairman, and the ultimate controller of Apotex, was the ultimate decision-maker for Apotex Australia to obtain PBS listing and launch its clopidogrel products in Australia but, more than that, was involved in detailed aspects of the logistical and related arrangements for that purpose; and (b) while Mr Millichamp reported directly to Mr Kay from mid-2007, as would be expected </w:t>
      </w:r>
      <w:r w:rsidRPr="00AB1A14">
        <w:rPr>
          <w:rFonts w:ascii="Times New Roman" w:hAnsi="Times New Roman"/>
        </w:rPr>
        <w:lastRenderedPageBreak/>
        <w:t xml:space="preserve">in the ordinary course of a business, Mr Millichamp also had direct dealings with Dr Sherman (Mr Millichamp said, for example, that he had "pretty good direct contact with Dr Sherman"). </w:t>
      </w:r>
    </w:p>
    <w:p w14:paraId="6B5BD97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Mr Millichamp informed Mr Kay, Mr Haas, and Mr Caccamo (of Apotex Canada), and others at Apotex Australia, of the earliest PBS listing date of 1 April</w:t>
      </w:r>
      <w:r>
        <w:rPr>
          <w:rFonts w:ascii="Times New Roman" w:hAnsi="Times New Roman"/>
        </w:rPr>
        <w:t> </w:t>
      </w:r>
      <w:r w:rsidRPr="00AB1A14">
        <w:rPr>
          <w:rFonts w:ascii="Times New Roman" w:hAnsi="Times New Roman"/>
        </w:rPr>
        <w:t>2008 on the same day (4 September 2007) that the Department of Health and Aged Care informed Apotex Australia that it had missed the deadline for 1 December 2007 listing. Mr Millichamp's email of 4 September 2007 was sent to, amongst others, Mr Kay, who reported directly to Dr Sherman, and Mr Haas, as the new listing date affected all logistical aspects for supply. It must be inferred that Mr Millichamp sent this email immediately because the information was important, and the kind of information Dr Sherman needed to be told promptly by Mr Kay. Further, Mr Haas's email of 15 September 2007 to Dr Sherman mentioning the April 2008 PBS listing date did not present that information as new or unexpected information. Mr Haas quoted the email from Mr Millichamp of 4 September 2007 (and described it as the "[l]ast communication" received from Mr Millichamp) only to answer questions from Dr Sherman about the possibility of re-packaging the US product for the Australian market. There is no hint in Mr Haas's email that the fact Apotex Australia could not launch before 1 April 2008 (as the next available PBS listing date) would have been a surprise to Dr Sherman. Nor is there any hint of Dr Sherman considering this to be new information on 15 September 2007. Had Dr Sherman believed that Apotex Australia could obtain PBS listing and launch its products on 1 December 2007, but was being told for the first time on 15 September 2007 that it could not do so until April 2008 (with the interlocutory injunction hearing scheduled for 18 September 2007, as had occurred at the 13 September 2007 directions hearing</w:t>
      </w:r>
      <w:r>
        <w:rPr>
          <w:rFonts w:ascii="Times New Roman" w:hAnsi="Times New Roman"/>
        </w:rPr>
        <w:t>)</w:t>
      </w:r>
      <w:r w:rsidRPr="00AB1A14">
        <w:rPr>
          <w:rFonts w:ascii="Times New Roman" w:hAnsi="Times New Roman"/>
        </w:rPr>
        <w:t xml:space="preserve">, some expression of at least surprise by Dr Sherman might be expected in the ordinary course. Instead, Dr Sherman continued to deal with the practicalities of having product with an adequate shelf life available for import to Australia. </w:t>
      </w:r>
    </w:p>
    <w:p w14:paraId="3DB1E70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these circumstances, the only reasonably open inference on the evidence was that Dr Sherman knew about the earliest PBS listing date of 1 April 2008 on or soon after 4 September 2007. And, even if the significance of that had somehow escaped Dr Sherman until 15 September 2007 (which is frankly impossible to believe), that was still well before the hearing on 18 September 2007. </w:t>
      </w:r>
    </w:p>
    <w:p w14:paraId="6CF8875A"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Final hearing in April-May 2008</w:t>
      </w:r>
    </w:p>
    <w:p w14:paraId="156D6E0D"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primary judge said that at the directions hearing on 13 September 2007 "Gyles J raised the possibility of fixing the proceeding for a final hearing to take place within the next six months. A trial in six months was much sooner than Mr Millichamp had until this time anticipated. He had previously understood that </w:t>
      </w:r>
      <w:r w:rsidRPr="00AB1A14">
        <w:rPr>
          <w:rFonts w:ascii="Times New Roman" w:hAnsi="Times New Roman"/>
        </w:rPr>
        <w:lastRenderedPageBreak/>
        <w:t>the trial was likely to occur in somewhere between 12 and 18 months' time."</w:t>
      </w:r>
      <w:r w:rsidRPr="00AB1A14">
        <w:rPr>
          <w:rStyle w:val="FootnoteReference"/>
          <w:rFonts w:ascii="Times New Roman" w:hAnsi="Times New Roman"/>
          <w:sz w:val="24"/>
        </w:rPr>
        <w:footnoteReference w:id="291"/>
      </w:r>
      <w:r w:rsidRPr="00AB1A14">
        <w:rPr>
          <w:rFonts w:ascii="Times New Roman" w:hAnsi="Times New Roman"/>
        </w:rPr>
        <w:t xml:space="preserve"> The primary judge then said that it was only on 21 September 2007 that Gyles J said the final hearing would be commencing on 28 April 2008 before him.</w:t>
      </w:r>
      <w:r w:rsidRPr="00AB1A14">
        <w:rPr>
          <w:rStyle w:val="FootnoteReference"/>
          <w:rFonts w:ascii="Times New Roman" w:hAnsi="Times New Roman"/>
          <w:sz w:val="24"/>
        </w:rPr>
        <w:footnoteReference w:id="292"/>
      </w:r>
      <w:r w:rsidRPr="00AB1A14">
        <w:rPr>
          <w:rFonts w:ascii="Times New Roman" w:hAnsi="Times New Roman"/>
        </w:rPr>
        <w:t xml:space="preserve"> According to the primary judge "[s]ince the application for the relevant PBS listing did not need to be filed before 1 December 2007 to obtain a listing on 1 April 2008, there was no reason why Apotex Australia had to make any final decision in relation to PBS listing before 1 December 2007. Even then, it still would have been possible for Apotex Australia to withdraw any such application at any time up to 14 February 2008 or thereabouts."</w:t>
      </w:r>
      <w:r w:rsidRPr="00AB1A14">
        <w:rPr>
          <w:rStyle w:val="FootnoteReference"/>
          <w:rFonts w:ascii="Times New Roman" w:hAnsi="Times New Roman"/>
          <w:sz w:val="24"/>
        </w:rPr>
        <w:footnoteReference w:id="293"/>
      </w:r>
    </w:p>
    <w:p w14:paraId="2223A0F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directions hearing on 13 September 2007 was five days before the interlocutory injunction hearing on 18 September 2007. The fact that Gyles J did not "confirm" that the final hearing would be before him commencing 28 April</w:t>
      </w:r>
      <w:r>
        <w:rPr>
          <w:rFonts w:ascii="Times New Roman" w:hAnsi="Times New Roman"/>
        </w:rPr>
        <w:t> </w:t>
      </w:r>
      <w:r w:rsidRPr="00AB1A14">
        <w:rPr>
          <w:rFonts w:ascii="Times New Roman" w:hAnsi="Times New Roman"/>
        </w:rPr>
        <w:t>2008 until 21 September 2007 does not mean that Apotex would not have had that prospect firmly in its mind after the directions hearing on 13 September</w:t>
      </w:r>
      <w:r>
        <w:rPr>
          <w:rFonts w:ascii="Times New Roman" w:hAnsi="Times New Roman"/>
        </w:rPr>
        <w:t> </w:t>
      </w:r>
      <w:r w:rsidRPr="00AB1A14">
        <w:rPr>
          <w:rFonts w:ascii="Times New Roman" w:hAnsi="Times New Roman"/>
        </w:rPr>
        <w:t xml:space="preserve">2007, where Gyles J indicated his intention for the final hearing to be held sooner rather than later and potentially within the next six months. The contemporaneous evidence is precisely to that effect. </w:t>
      </w:r>
    </w:p>
    <w:p w14:paraId="4BE419E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Far from being disturbed by the prospect of a hearing within six months, Mr Millichamp was delighted. Mr Millichamp sent an email to Mr Kay on 13 September 2007 (the same day as the directions hearing, again, because the information was important) disclosing that Mr Millichamp considered that a final hearing occurring soon was very much in favour of Apotex's interests and against Sanofi's interests. Speed of final hearing was so important to Apotex that Mr Kay's response was still to express concern about other generic competitors having clopidogrel products registered on the ARTG and being able to obtain PBS listing to launch before or shortly after Apotex Australia had done so. Mr Millichamp's response was that "[o]ur strategy will be to launch ASAP, assuming no injunction, and ensure we sell in stock and lock in customers to optimize our revenues and block any potential competition for as long as we can". Similarly, Mr Smith emailed Mr Fahner on 13 September 2007 about the case moving quickly and attached Mr Millichamp's email to Mr Kay. </w:t>
      </w:r>
    </w:p>
    <w:p w14:paraId="08C350E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other words, while the prospect of obtaining a final hearing in April 2008 was a surprise to Apotex on 13 September 2007, from a contemporaneous </w:t>
      </w:r>
      <w:r w:rsidRPr="00AB1A14">
        <w:rPr>
          <w:rFonts w:ascii="Times New Roman" w:hAnsi="Times New Roman"/>
        </w:rPr>
        <w:lastRenderedPageBreak/>
        <w:t>objective perspective, it was nothing but important and good news f</w:t>
      </w:r>
      <w:r>
        <w:rPr>
          <w:rFonts w:ascii="Times New Roman" w:hAnsi="Times New Roman"/>
        </w:rPr>
        <w:t>or</w:t>
      </w:r>
      <w:r w:rsidRPr="00AB1A14">
        <w:rPr>
          <w:rFonts w:ascii="Times New Roman" w:hAnsi="Times New Roman"/>
        </w:rPr>
        <w:t xml:space="preserve"> Apotex. Apotex rightly believed that, in 2007, it had the jump on its generic competitors in respect of clopidogrel. Under pain of criminal sanction for false or misleading statements, Mr Millichamp had certified on 14 August 2007 that, acting in good faith, Apotex Australia believed on reasonable grounds that it was not and did not propose to market its clopidogrel products in a manner or circumstance that would infringe a valid claim of a patent. That is, Apotex believed on reasonable grounds that the relevant claims of Sanofi's Australian clopidogrel patent were invalid. From Apotex's contemporaneous perspective, the sooner Apotex Australia could get a final judgment invalidating Sanofi's patent, the better. This is particularly so given: (a) Apotex's clear (rational and correct) belief that Sanofi would not be content to claim damages from Apotex later if the patent was found to be valid, but would seek to restrain Apotex Australia from launching its clopidogrel products; and (b) Apotex's undoubted appreciation (which it must have had from legal advice) that the </w:t>
      </w:r>
      <w:r w:rsidRPr="00AB1A14">
        <w:rPr>
          <w:rFonts w:ascii="Times New Roman" w:hAnsi="Times New Roman"/>
          <w:i/>
          <w:iCs/>
        </w:rPr>
        <w:t>status quo</w:t>
      </w:r>
      <w:r w:rsidRPr="00AB1A14">
        <w:rPr>
          <w:rFonts w:ascii="Times New Roman" w:hAnsi="Times New Roman"/>
        </w:rPr>
        <w:t xml:space="preserve">, a highly relevant factor in any interlocutory injunction application, would favour Sanofi being granted interlocutory relief. </w:t>
      </w:r>
    </w:p>
    <w:p w14:paraId="48042D9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worst outcome from Apotex's contemporaneous perspective would have been to have had its clopidogrel products listed on the PBS and then be subject to an interlocutory injunction (consistently with the submissions of Mr Catterns KC to Gyles J on 18 September 2007). The second worst outcome from Apotex's contemporaneous perspective, however, would have been to be subject to an interlocutory injunction and a delayed final hearing and judgment (as then Apotex Australia's commercial advantage over its generic competitors would have been lost). </w:t>
      </w:r>
    </w:p>
    <w:p w14:paraId="635530F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primary judge's proposition that Gyles J confirming the early hearing date commencing 28 April 2008 before him was a significant new development on 21 September 2007, which "could" have led Dr Sherman to conclude that it "might" be preferable not to launch at risk, even if Gyles J was to have refused the interlocutory injunction, is speculation contrary to: (a) the incontrovertible fact that Gyles J had raised a hearing within this timeframe with the parties on 13 September 2007; and (b) Apotex's contemporaneous records between 13 and 18 September 2007, which incontrovertibly expose how important and desirable this was from Apotex's perspective. </w:t>
      </w:r>
    </w:p>
    <w:p w14:paraId="5643BE3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Three matters follow. First, and for the same reasons given above about Dr Sherman's "hands on" role, the only reasonably open inference on the evidence was that Dr Sherman knew about the real prospect of an April-May 2008 hearing before Gyles J (with judgment by no later than 22 August 2008) on or shortly after 13 September 2007. Second, Dr Sherman therefore had plenty of time to change strategy if he wished before the interlocutory hearing on 18 September 2007. Third, there is no hint in any contemporaneous Apotex document that these new circumstances on 13 September 2007 meant that there should be or was any change of Apotex's strategy of PBS listing and launching on 1 April 2008 if Sanofi did not </w:t>
      </w:r>
      <w:r w:rsidRPr="00AB1A14">
        <w:rPr>
          <w:rFonts w:ascii="Times New Roman" w:hAnsi="Times New Roman"/>
        </w:rPr>
        <w:lastRenderedPageBreak/>
        <w:t xml:space="preserve">obtain an interlocutory injunction; the contemporaneous Apotex documents in fact confirm that the early hearing date did not cause any change to Apotex's strategy. </w:t>
      </w:r>
    </w:p>
    <w:p w14:paraId="7FE5C31C"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 xml:space="preserve">Consequences </w:t>
      </w:r>
    </w:p>
    <w:p w14:paraId="2C7AF5A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These clear errors in the reasoning process of the Courts below are significant. In terms of the primary judge's reasoning process, the errors occurred at the outset and before consideration of the so-called "counterfactual" of what Apotex would have done had it not been subject to the interlocutory injunction. These errors must be inferred to have influenced the primary judge's assessment of all factors relevant to his Honour's subsequent analysis. </w:t>
      </w:r>
    </w:p>
    <w:p w14:paraId="042F7B9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Before the Full Court the Commonwealth contended that the primary judge had erred in this regard as: (a) "there was not a single document from Dr Sherman in evidence from the all-important months in 2007 which indicated any wavering in his desire to launch at risk in Australia if not restrained"; (b) the "possible change of position based on the first fact [the 1 April 2008 PBS listing] was unsubstantiated speculation directly contradicted by the contemporaneous records and actions"; (c) the "possible change of position based on the second fact was mere speculation that – if it was to be entertained – had to be set against all of the compelling reasons why Dr Sherman had made the decision to launch in the first place, and the interlocking steps which had since been taken by Apotex to launch at risk. The [primary] judge did not engage in that analysis"; and (d) had the primary judge "properly brought all of the Commonwealth’s submissions and evidence to bear, ... Sanofi’s speculation that an early trial might have made a difference to Dr Sherman would have gone nowhere". </w:t>
      </w:r>
    </w:p>
    <w:p w14:paraId="2CA4000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 rejected any error by the primary judge in this regard on the basis that the primary judge had in fact declined to speculate about what Dr Sherman would have done if confronted with these facts in the absence of evidence from Dr Sherman.</w:t>
      </w:r>
      <w:r w:rsidRPr="00AB1A14">
        <w:rPr>
          <w:rStyle w:val="FootnoteReference"/>
          <w:rFonts w:ascii="Times New Roman" w:hAnsi="Times New Roman"/>
          <w:sz w:val="24"/>
        </w:rPr>
        <w:footnoteReference w:id="294"/>
      </w:r>
      <w:r w:rsidRPr="00AB1A14">
        <w:rPr>
          <w:rFonts w:ascii="Times New Roman" w:hAnsi="Times New Roman"/>
        </w:rPr>
        <w:t xml:space="preserve"> The Full Court's characterisation of the primary judge's reasons, however, does not confront the substance of those reasons or of the Commonwealth's submissions. The primary judge said in terms that the "two related developments in September 2007 ... </w:t>
      </w:r>
      <w:r w:rsidRPr="00AB1A14">
        <w:rPr>
          <w:rFonts w:ascii="Times New Roman" w:hAnsi="Times New Roman"/>
          <w:i/>
          <w:iCs/>
        </w:rPr>
        <w:t>could</w:t>
      </w:r>
      <w:r w:rsidRPr="00AB1A14">
        <w:rPr>
          <w:rFonts w:ascii="Times New Roman" w:hAnsi="Times New Roman"/>
        </w:rPr>
        <w:t xml:space="preserve"> have led Dr Sherman to conclude that it </w:t>
      </w:r>
      <w:r w:rsidRPr="00AB1A14">
        <w:rPr>
          <w:rFonts w:ascii="Times New Roman" w:hAnsi="Times New Roman"/>
          <w:i/>
          <w:iCs/>
        </w:rPr>
        <w:t>might</w:t>
      </w:r>
      <w:r w:rsidRPr="00AB1A14">
        <w:rPr>
          <w:rFonts w:ascii="Times New Roman" w:hAnsi="Times New Roman"/>
        </w:rPr>
        <w:t xml:space="preserve"> be preferable not to launch at risk even if Gyles J was to have refused the interlocutory injunction".</w:t>
      </w:r>
      <w:r w:rsidRPr="00AB1A14">
        <w:rPr>
          <w:rStyle w:val="FootnoteReference"/>
          <w:rFonts w:ascii="Times New Roman" w:hAnsi="Times New Roman"/>
          <w:sz w:val="24"/>
        </w:rPr>
        <w:footnoteReference w:id="295"/>
      </w:r>
      <w:r w:rsidRPr="00AB1A14">
        <w:rPr>
          <w:rFonts w:ascii="Times New Roman" w:hAnsi="Times New Roman"/>
        </w:rPr>
        <w:t xml:space="preserve"> This speculation led the primary judge directly to the view that "there was no reason why Apotex Australia had to </w:t>
      </w:r>
      <w:r w:rsidRPr="00AB1A14">
        <w:rPr>
          <w:rFonts w:ascii="Times New Roman" w:hAnsi="Times New Roman"/>
        </w:rPr>
        <w:lastRenderedPageBreak/>
        <w:t>make any final decision in relation to PBS listing before 1 December 2007".</w:t>
      </w:r>
      <w:r w:rsidRPr="00AB1A14">
        <w:rPr>
          <w:rStyle w:val="FootnoteReference"/>
          <w:rFonts w:ascii="Times New Roman" w:hAnsi="Times New Roman"/>
          <w:sz w:val="24"/>
        </w:rPr>
        <w:footnoteReference w:id="296"/>
      </w:r>
      <w:r w:rsidRPr="00AB1A14">
        <w:rPr>
          <w:rFonts w:ascii="Times New Roman" w:hAnsi="Times New Roman"/>
        </w:rPr>
        <w:t xml:space="preserve"> This in turn led the primary judge to characterise Mr Millichamp's evidence as not explaining "why Dr Sherman would have wished to launch at risk before the final hearing in the event that it was scheduled to occur in the very near future, and in the same month as the next available PBS listing date".</w:t>
      </w:r>
      <w:r w:rsidRPr="00AB1A14">
        <w:rPr>
          <w:rStyle w:val="FootnoteReference"/>
          <w:rFonts w:ascii="Times New Roman" w:hAnsi="Times New Roman"/>
          <w:sz w:val="24"/>
        </w:rPr>
        <w:footnoteReference w:id="297"/>
      </w:r>
      <w:r w:rsidRPr="00AB1A14">
        <w:rPr>
          <w:rFonts w:ascii="Times New Roman" w:hAnsi="Times New Roman"/>
        </w:rPr>
        <w:t xml:space="preserve"> And that fed directly into the primary judge's critical conclusion that "[i]n the absence of evidence from Dr Sherman, I am not persuaded that he would have authorised a launch at risk in circumstances where an interlocutory injunction had been refused, but a final hearing was fixed to commence on 28 April 2008".</w:t>
      </w:r>
      <w:r w:rsidRPr="00AB1A14">
        <w:rPr>
          <w:rStyle w:val="FootnoteReference"/>
          <w:rFonts w:ascii="Times New Roman" w:hAnsi="Times New Roman"/>
          <w:sz w:val="24"/>
        </w:rPr>
        <w:footnoteReference w:id="298"/>
      </w:r>
    </w:p>
    <w:p w14:paraId="2AA1052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Full Court's further conclusion that the Commonwealth's submissions in this regard were not within the scope of its notice of appeal as they were "not a contention that the trial judge overlooked evidence or submissions"</w:t>
      </w:r>
      <w:r w:rsidRPr="00AB1A14">
        <w:rPr>
          <w:rStyle w:val="FootnoteReference"/>
          <w:rFonts w:ascii="Times New Roman" w:hAnsi="Times New Roman"/>
          <w:sz w:val="24"/>
        </w:rPr>
        <w:footnoteReference w:id="299"/>
      </w:r>
      <w:r w:rsidRPr="00AB1A14">
        <w:rPr>
          <w:rFonts w:ascii="Times New Roman" w:hAnsi="Times New Roman"/>
        </w:rPr>
        <w:t xml:space="preserve"> reinforces that the Full Court did not confront the substance of the Commonwealth's case on appeal. Part of the problem is that, as the Commonwealth submitted, the Full Court took an atomised approach to the materiality of the errors the Commonwealth alleged in the primary judge's reasoning. For example, in dismissing the Commonwealth's contention that the primary judge had not grappled with the significance of what Mr Catterns KC said to Gyles J on 18 September 2007, the Full Court said that "this lacks merit since the trial judge expressly dealt with it at J [272]",</w:t>
      </w:r>
      <w:r w:rsidRPr="00AB1A14">
        <w:rPr>
          <w:rStyle w:val="FootnoteReference"/>
          <w:rFonts w:ascii="Times New Roman" w:hAnsi="Times New Roman"/>
          <w:sz w:val="24"/>
        </w:rPr>
        <w:footnoteReference w:id="300"/>
      </w:r>
      <w:r w:rsidRPr="00AB1A14">
        <w:rPr>
          <w:rFonts w:ascii="Times New Roman" w:hAnsi="Times New Roman"/>
        </w:rPr>
        <w:t xml:space="preserve"> but did not identify that the references which the primary judge made to the submissions of Mr Catterns KC to Gyles J on 18 September 2007 occurred only in the context of his Honour's description of events.</w:t>
      </w:r>
      <w:r w:rsidRPr="00AB1A14">
        <w:rPr>
          <w:rStyle w:val="FootnoteReference"/>
          <w:rFonts w:ascii="Times New Roman" w:hAnsi="Times New Roman"/>
          <w:sz w:val="24"/>
        </w:rPr>
        <w:footnoteReference w:id="301"/>
      </w:r>
      <w:r w:rsidRPr="00AB1A14">
        <w:rPr>
          <w:rFonts w:ascii="Times New Roman" w:hAnsi="Times New Roman"/>
        </w:rPr>
        <w:t xml:space="preserve"> There is no such reference by the primary judge in the context of his Honour's weighing the possibilities and probabilities of what would have occurred if Gyles J had not granted the interlocutory injunction on 25 September 2007.</w:t>
      </w:r>
    </w:p>
    <w:p w14:paraId="7E4F540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lastRenderedPageBreak/>
        <w:tab/>
        <w:t xml:space="preserve">Given these clear errors it would be plainly unjust if this Court declined to consider for itself the whole of the evidence the parties put before it to determine the Commonwealth's appeal to this Court. As noted, the rationale for this Court's reticence in respect of interfering with concurrent factual findings by courts below, bringing an ultimate end to disputation about factual findings where two courts have examined the same evidence, assumes that the courts below have confronted the evidence and reached a conclusion informed by that confrontation. This case is different. The very basis of complaint to the Full Court was that the primary judge had not confronted the whole of the relevant evidence, which then led to the primary judge engaging in an impermissible chain of reasoning. The Full Court itself did not confront the whole of the relevant evidence when it evaluated the primary judge's chain of reasoning and mischaracterised that chain of reasoning. In these circumstances, the importance and value of finality in the administration of justice cannot outweigh that it is justice that is being administered. </w:t>
      </w:r>
    </w:p>
    <w:p w14:paraId="4457667C"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"Counterfactual" analysis</w:t>
      </w:r>
    </w:p>
    <w:p w14:paraId="68038A1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"so-called 'counter-factual' approach is merely a tool to assess whether the operation of [an interlocutory injunction] has caused loss".</w:t>
      </w:r>
      <w:r w:rsidRPr="00AB1A14">
        <w:rPr>
          <w:rStyle w:val="FootnoteReference"/>
          <w:rFonts w:ascii="Times New Roman" w:hAnsi="Times New Roman"/>
          <w:sz w:val="24"/>
        </w:rPr>
        <w:footnoteReference w:id="302"/>
      </w:r>
      <w:r w:rsidRPr="00AB1A14">
        <w:rPr>
          <w:rFonts w:ascii="Times New Roman" w:hAnsi="Times New Roman"/>
        </w:rPr>
        <w:t xml:space="preserve"> The ultimate question in this appeal is would Apotex Australia have sought to list its clopidogrel products on the PBS to achieve a listing date of 1 April 2008 and, on listing, launched its products onto the Australian market if it had not been the subject of an interlocutory injunction as ordered on 25 September 2007. This is the relevant question because Sanofi's undertaking, being the basis for the grant of that interlocutory injunction, requires Sanofi to submit to such order (if any) for the payment of compensation to any person "adversely affected by the operation of Order 1 set out below". Order 1 is the interlocutory injunction restraining Apotex </w:t>
      </w:r>
      <w:r>
        <w:rPr>
          <w:rFonts w:ascii="Times New Roman" w:hAnsi="Times New Roman"/>
        </w:rPr>
        <w:t xml:space="preserve">Australia </w:t>
      </w:r>
      <w:r w:rsidRPr="00AB1A14">
        <w:rPr>
          <w:rFonts w:ascii="Times New Roman" w:hAnsi="Times New Roman"/>
        </w:rPr>
        <w:t xml:space="preserve">from "making, selling or otherwise disposing of" or "offering to make, sell or otherwise dispose of" Apotex's clopidogrel products. Order 1 operated from 25 September 2007. No person could be adversely affected by order 1 until it commenced operating on 25 September 2007 (despite the making of such an order being inevitable from 21 September 2007, given Gyles J's oral reasons delivered on that date). A party who wishes for an undertaking to apply to adverse effects that might have occurred before the restraining order is made has to ask for it. </w:t>
      </w:r>
    </w:p>
    <w:p w14:paraId="6AD4CB5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There is nothing hypothetical or "counterfactual" about what occurred up to the making of the interlocutory order on 25 September 2007. The first hypothetical or "counterfactual" event is that it is to be assumed that Gyles J did not grant the interlocutory injunction on 25 September 2007. Speculation about why Gyles J hypothetically did not grant the interlocutory injunction on 25 September 2007 is impermissible. It is not permissible to speculate, for example, that Gyles J hypothetically did not grant the interlocutory injunction because he considered it highly likely Sanofi's Australian clopidogrel patent would be found invalid. Nor is </w:t>
      </w:r>
      <w:r w:rsidRPr="00AB1A14">
        <w:rPr>
          <w:rFonts w:ascii="Times New Roman" w:hAnsi="Times New Roman"/>
        </w:rPr>
        <w:lastRenderedPageBreak/>
        <w:t xml:space="preserve">it permissible to speculate that Sanofi did not apply for an interlocutory injunction, because it did in fact apply for an interlocutory injunction. It is permissible to consider everything that did in fact occur up to 25 September 2007, including, for example, that Gyles J's oral reasons were given on 21 September 2007. It is also permissible to consider everything that did in fact occur after 25 September 2007 but, in answering the ultimate question, the relevance and significance of everything that occurred after that date is to be evaluated assuming that no interlocutory injunction had been granted. No more complexity should be permitted to intrude into the so-called "counterfactual" or hypothetical analysis than this. </w:t>
      </w:r>
    </w:p>
    <w:p w14:paraId="008AFEDD"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Reconstructive hypothetical evidence</w:t>
      </w:r>
    </w:p>
    <w:p w14:paraId="6F6027CB"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The problems with this kind of evidence</w:t>
      </w:r>
    </w:p>
    <w:p w14:paraId="56E389D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fundamental problem with any witness giving hypothetical evidence of what they would have done in a past hypothetical situation is the human condition. In the ordinary course witnesses give evidence of what they in fact perceived or thought in the past. They also routinely give evidence of the intentions they held in the past. Giving hypothetical evidence of what they say they would have done in a past hypothetical situation is different. In such a case, the mere state of being human has significant consequences because the witness is not being asked to </w:t>
      </w:r>
      <w:r w:rsidRPr="00AB1A14">
        <w:rPr>
          <w:rFonts w:ascii="Times New Roman" w:hAnsi="Times New Roman"/>
          <w:i/>
          <w:iCs/>
        </w:rPr>
        <w:t>recollect</w:t>
      </w:r>
      <w:r w:rsidRPr="00AB1A14">
        <w:rPr>
          <w:rFonts w:ascii="Times New Roman" w:hAnsi="Times New Roman"/>
        </w:rPr>
        <w:t xml:space="preserve"> anything, they are being asked to </w:t>
      </w:r>
      <w:r w:rsidRPr="00AB1A14">
        <w:rPr>
          <w:rFonts w:ascii="Times New Roman" w:hAnsi="Times New Roman"/>
          <w:i/>
          <w:iCs/>
        </w:rPr>
        <w:t>reconstruct</w:t>
      </w:r>
      <w:r w:rsidRPr="00AB1A14">
        <w:rPr>
          <w:rFonts w:ascii="Times New Roman" w:hAnsi="Times New Roman"/>
        </w:rPr>
        <w:t xml:space="preserve"> something. It is impossible for the witness to unknow what has happened or undo the life experiences they have had between the time in the past and the time of giving evidence. If the time in the past is many years ago, the witness is unlikely to be able to recall all (or even most of) the things they knew then that would have been relevant to their actions or understandings at that time, nor to accurately reconstruct the significance of each of those things in the actual circumstances at that time (particularly if those circumstances were complex and rapidly evolving), let alone in an hypothesised circumstance. </w:t>
      </w:r>
    </w:p>
    <w:p w14:paraId="722BBC1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These problems exist even before the unconscious or conscious pull of self</w:t>
      </w:r>
      <w:r>
        <w:rPr>
          <w:rFonts w:ascii="Times New Roman" w:hAnsi="Times New Roman"/>
        </w:rPr>
        <w:noBreakHyphen/>
      </w:r>
      <w:r w:rsidRPr="00AB1A14">
        <w:rPr>
          <w:rFonts w:ascii="Times New Roman" w:hAnsi="Times New Roman"/>
        </w:rPr>
        <w:t xml:space="preserve">interest is considered. Self-interest is not merely confined to a party who stands to gain some benefit from a particular event or circumstance. To be interested in appearing to be the best version of oneself is to be human. This kind of interest is likely to affect reconstructive evidence a witness gives in ways as various as human nature itself. </w:t>
      </w:r>
    </w:p>
    <w:p w14:paraId="12DCC1E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These issues do not mean that the party bearing the onus of proof in a complex case, even one involving past hypothetical reconstruction, must be unsuccessful. Rather, they mean that contemporaneous documentary and circumstantial evidence relating to actual circumstances before the critical event (in this case, the grant of the interlocutory injunction) that must be hypothesised out of existence is far more likely to be a reliable source of evidence upon which a court may determine the probabilities or possibilities of the reconstructive </w:t>
      </w:r>
      <w:r w:rsidRPr="00AB1A14">
        <w:rPr>
          <w:rFonts w:ascii="Times New Roman" w:hAnsi="Times New Roman"/>
        </w:rPr>
        <w:lastRenderedPageBreak/>
        <w:t xml:space="preserve">hypothetical past. This is why close attention to that contemporaneous documentary evidence is essential. </w:t>
      </w:r>
    </w:p>
    <w:p w14:paraId="3A06E60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Judges also need to be mindful of these issues when considering whether any witness could or should have been called to give reconstructive hypothetical evidence. The past in question in this case was a decade before the hearing and was complex. Further, ample contemporaneous documentary and other contextual evidence was available in this case to inform the assessment of the possibilities and the probabilities relevant to the ultimate question. Finally, Mr Millichamp, the person responsible for implementing Dr Sherman's decisions in Australia, was called. Having called Mr Millichamp to give evidence, there would be no expectation of the relevant kind that the Commonwealth also must call Dr Sherman to give evidence, which would thereby engage the kind of inference considered in </w:t>
      </w:r>
      <w:r w:rsidRPr="00AB1A14">
        <w:rPr>
          <w:rFonts w:ascii="Times New Roman" w:hAnsi="Times New Roman"/>
          <w:i/>
          <w:iCs/>
        </w:rPr>
        <w:t>Jones v Dunkel</w:t>
      </w:r>
      <w:r w:rsidRPr="00AB1A14">
        <w:rPr>
          <w:rFonts w:ascii="Times New Roman" w:hAnsi="Times New Roman"/>
        </w:rPr>
        <w:t xml:space="preserve">. </w:t>
      </w:r>
    </w:p>
    <w:p w14:paraId="35B355BD"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This case exposes the problems</w:t>
      </w:r>
    </w:p>
    <w:p w14:paraId="3BECFA2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most important piece of evidence Mr Millichamp gave occurred in this exchange:</w:t>
      </w:r>
    </w:p>
    <w:p w14:paraId="0D461A8B" w14:textId="77777777" w:rsidR="00CC75FC" w:rsidRPr="00AB1A14"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"Now, in this email [Mr Millichamp's email to Mr Haas sent at 10.28pm on 28 June 2007] you say to Mr [Haas] that:</w:t>
      </w:r>
    </w:p>
    <w:p w14:paraId="5574EE95" w14:textId="77777777" w:rsidR="00CC75FC" w:rsidRPr="00AB1A14" w:rsidRDefault="00CC75FC" w:rsidP="00AB1A14">
      <w:pPr>
        <w:pStyle w:val="leftright"/>
        <w:spacing w:before="0" w:after="260" w:line="280" w:lineRule="exact"/>
        <w:ind w:right="0"/>
        <w:jc w:val="both"/>
        <w:rPr>
          <w:rFonts w:ascii="Times New Roman" w:hAnsi="Times New Roman"/>
        </w:rPr>
      </w:pPr>
      <w:r>
        <w:rPr>
          <w:rFonts w:ascii="Times New Roman" w:hAnsi="Times New Roman"/>
          <w:i/>
          <w:iCs/>
        </w:rPr>
        <w:tab/>
      </w:r>
      <w:r w:rsidRPr="00AB1A14">
        <w:rPr>
          <w:rFonts w:ascii="Times New Roman" w:hAnsi="Times New Roman"/>
          <w:i/>
          <w:iCs/>
        </w:rPr>
        <w:t xml:space="preserve">As per instructions from Barry, the plan </w:t>
      </w:r>
      <w:r w:rsidRPr="00AB1A14">
        <w:rPr>
          <w:rFonts w:ascii="Times New Roman" w:hAnsi="Times New Roman"/>
        </w:rPr>
        <w:t>[</w:t>
      </w:r>
      <w:r w:rsidRPr="00AB1A14">
        <w:rPr>
          <w:rFonts w:ascii="Times New Roman" w:hAnsi="Times New Roman"/>
          <w:i/>
          <w:iCs/>
        </w:rPr>
        <w:t>(in outline</w:t>
      </w:r>
      <w:r w:rsidRPr="00AB1A14">
        <w:rPr>
          <w:rFonts w:ascii="Times New Roman" w:hAnsi="Times New Roman"/>
        </w:rPr>
        <w:t>)] –</w:t>
      </w:r>
    </w:p>
    <w:p w14:paraId="01F1AACA" w14:textId="23313920" w:rsidR="00CC75FC"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just pausing there. Do you say those instructions from Barry are the ones that we saw in February 2007 [Dr Sherman's email of 20 February 2007] earlier this morning?---Unless there were any interim instructions, which I can</w:t>
      </w:r>
      <w:r>
        <w:rPr>
          <w:rFonts w:ascii="Times New Roman" w:hAnsi="Times New Roman"/>
        </w:rPr>
        <w:t>'</w:t>
      </w:r>
      <w:r w:rsidRPr="00AB1A14">
        <w:rPr>
          <w:rFonts w:ascii="Times New Roman" w:hAnsi="Times New Roman"/>
        </w:rPr>
        <w:t>t remember, I would be referring to the original ones, yes.</w:t>
      </w:r>
      <w:r w:rsidR="005C4397">
        <w:rPr>
          <w:rFonts w:ascii="Times New Roman" w:hAnsi="Times New Roman"/>
        </w:rPr>
        <w:t>"</w:t>
      </w:r>
    </w:p>
    <w:p w14:paraId="2F31C70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That is, Mr Millichamp was expressly allowing for the possibility that there was an instruction from Dr Sherman after 20 February 2007 and before 18 September 2007 to PBS list and launch at risk but saying that he could not recall any such instruction. Mr Millichamp therefore believed that the only instruction he had from Dr Sherman to PBS list and launch at risk was the email of 20 February 2007. He gave all his evidence based on this belief. In giving that evidence, however, he was never taken to any of Apotex's contemporaneous documentary records indicating that this recollection might well be wrong. This is in circumstances where Mr Millichamp was giving evidence in August-September</w:t>
      </w:r>
      <w:r>
        <w:rPr>
          <w:rFonts w:ascii="Times New Roman" w:hAnsi="Times New Roman"/>
        </w:rPr>
        <w:t> </w:t>
      </w:r>
      <w:r w:rsidRPr="00AB1A14">
        <w:rPr>
          <w:rFonts w:ascii="Times New Roman" w:hAnsi="Times New Roman"/>
        </w:rPr>
        <w:t xml:space="preserve">2017 about events that occurred in June 2007, a decade earlier. </w:t>
      </w:r>
    </w:p>
    <w:p w14:paraId="23AC06A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significance of Mr Millichamp's recollection that he was acting based on Dr Sherman's instructions of 20 February 2007 to the reasoning of the primary judge and Full Court cannot be overstated. The primary judge considered, for example: Mr Millichamp's email to Mr Haas on 27 June 2007 at 1.59pm to be "not consistent with the understanding that Mr Millichamp claimed to have held at this </w:t>
      </w:r>
      <w:r w:rsidRPr="00AB1A14">
        <w:rPr>
          <w:rFonts w:ascii="Times New Roman" w:hAnsi="Times New Roman"/>
        </w:rPr>
        <w:lastRenderedPageBreak/>
        <w:t>time based on Dr Sherman's email of 20 February 2007";</w:t>
      </w:r>
      <w:r w:rsidRPr="00AB1A14">
        <w:rPr>
          <w:rStyle w:val="FootnoteReference"/>
          <w:rFonts w:ascii="Times New Roman" w:hAnsi="Times New Roman"/>
          <w:sz w:val="24"/>
        </w:rPr>
        <w:footnoteReference w:id="303"/>
      </w:r>
      <w:r w:rsidRPr="00AB1A14">
        <w:rPr>
          <w:rFonts w:ascii="Times New Roman" w:hAnsi="Times New Roman"/>
        </w:rPr>
        <w:t xml:space="preserve"> that Mr Millichamp's recollection made the two new and unanticipated developments about the PBS listing date deferral and the final hearing in April 2008 even more important;</w:t>
      </w:r>
      <w:r w:rsidRPr="00AB1A14">
        <w:rPr>
          <w:rStyle w:val="FootnoteReference"/>
          <w:rFonts w:ascii="Times New Roman" w:hAnsi="Times New Roman"/>
          <w:sz w:val="24"/>
        </w:rPr>
        <w:footnoteReference w:id="304"/>
      </w:r>
      <w:r w:rsidRPr="00AB1A14">
        <w:rPr>
          <w:rFonts w:ascii="Times New Roman" w:hAnsi="Times New Roman"/>
        </w:rPr>
        <w:t xml:space="preserve"> that Dr Sherman's email of 20 February 2007 was not "persuasive evidence as to what Dr Sherman's thinking may have been eight or nine months later";</w:t>
      </w:r>
      <w:r w:rsidRPr="00AB1A14">
        <w:rPr>
          <w:rStyle w:val="FootnoteReference"/>
          <w:rFonts w:ascii="Times New Roman" w:hAnsi="Times New Roman"/>
          <w:sz w:val="24"/>
        </w:rPr>
        <w:footnoteReference w:id="305"/>
      </w:r>
      <w:r w:rsidRPr="00AB1A14">
        <w:rPr>
          <w:rFonts w:ascii="Times New Roman" w:hAnsi="Times New Roman"/>
        </w:rPr>
        <w:t xml:space="preserve"> and that he was "not prepared to infer, based on the 20 February 2007 email, or any of the subsequent correspondence in evidence which was said to justify the drawing of such an inference, that Dr Sherman was likely to have instructed Mr Millichamp to procure the listing of Apotex's clopidogrel products with effect from 1 April</w:t>
      </w:r>
      <w:r>
        <w:rPr>
          <w:rFonts w:ascii="Times New Roman" w:hAnsi="Times New Roman"/>
        </w:rPr>
        <w:t> </w:t>
      </w:r>
      <w:r w:rsidRPr="00AB1A14">
        <w:rPr>
          <w:rFonts w:ascii="Times New Roman" w:hAnsi="Times New Roman"/>
        </w:rPr>
        <w:t>2008".</w:t>
      </w:r>
      <w:r w:rsidRPr="00AB1A14">
        <w:rPr>
          <w:rStyle w:val="FootnoteReference"/>
          <w:rFonts w:ascii="Times New Roman" w:hAnsi="Times New Roman"/>
          <w:sz w:val="24"/>
        </w:rPr>
        <w:footnoteReference w:id="306"/>
      </w:r>
      <w:r w:rsidRPr="00AB1A14">
        <w:rPr>
          <w:rFonts w:ascii="Times New Roman" w:hAnsi="Times New Roman"/>
        </w:rPr>
        <w:t xml:space="preserve"> </w:t>
      </w:r>
    </w:p>
    <w:p w14:paraId="1987C8E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case the Commonwealth put to the primary judge in closing submissions, however, was that it had to be inferred from the email correspondence in and from June 2007 that Dr Sherman had, at that time, "re-confirmed" his instructions of 20 February 2007. This is the evidence to which the primary judge made only selective reference. </w:t>
      </w:r>
    </w:p>
    <w:p w14:paraId="0932FB0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Mr Millichamp's evidence about the 20 February 2007 email took on even greater significance before the Full Court than before the primary judge. The Commonwealth submitted to the Full Court that Dr Sherman had decided to PBS list and launch at risk on 20 February 2007 and had thereafter maintained that decision up to and throughout the hearing of Sanofi's interlocutory application. As the Commonwealth put to the Full Court, the 20 February 2007 </w:t>
      </w:r>
      <w:r>
        <w:rPr>
          <w:rFonts w:ascii="Times New Roman" w:hAnsi="Times New Roman"/>
        </w:rPr>
        <w:t xml:space="preserve">email </w:t>
      </w:r>
      <w:r w:rsidRPr="00AB1A14">
        <w:rPr>
          <w:rFonts w:ascii="Times New Roman" w:hAnsi="Times New Roman"/>
        </w:rPr>
        <w:t xml:space="preserve">was Dr Sherman's "[i]nitial decision to launch" whereas the emails of late June 2007 and thereafter evidenced Dr Sherman's "[r]econfirmation" of the decision to launch. The Full Court, however, focused on Mr Millichamp's evidence about the 20 February 2007 email being the decision which he believed instructed him to PBS list and launch and </w:t>
      </w:r>
      <w:r>
        <w:rPr>
          <w:rFonts w:ascii="Times New Roman" w:hAnsi="Times New Roman"/>
        </w:rPr>
        <w:t xml:space="preserve">on </w:t>
      </w:r>
      <w:r w:rsidRPr="00AB1A14">
        <w:rPr>
          <w:rFonts w:ascii="Times New Roman" w:hAnsi="Times New Roman"/>
        </w:rPr>
        <w:t xml:space="preserve">the inconsistency of that evidence with the emails in and from late June 2007 onwards. The Full Court found no error in the fact that the primary judge did not refer to many of the key emails in reaching his conclusions, particularly his conclusion that "the 20 February 2007 email was [not] an instruction on which Mr Millichamp would have considered himself entitled to act in late 2007 without reverting, either directly or indirectly, to Dr Sherman for </w:t>
      </w:r>
      <w:r w:rsidRPr="00AB1A14">
        <w:rPr>
          <w:rFonts w:ascii="Times New Roman" w:hAnsi="Times New Roman"/>
        </w:rPr>
        <w:lastRenderedPageBreak/>
        <w:t>the purpose of obtaining confirmation of that instruction and the necessary final approval from him authorising a launch at risk".</w:t>
      </w:r>
      <w:r w:rsidRPr="00AB1A14">
        <w:rPr>
          <w:rStyle w:val="FootnoteReference"/>
          <w:rFonts w:ascii="Times New Roman" w:hAnsi="Times New Roman"/>
          <w:sz w:val="24"/>
        </w:rPr>
        <w:footnoteReference w:id="307"/>
      </w:r>
      <w:r w:rsidRPr="00AB1A14">
        <w:rPr>
          <w:rFonts w:ascii="Times New Roman" w:hAnsi="Times New Roman"/>
        </w:rPr>
        <w:t xml:space="preserve"> </w:t>
      </w:r>
    </w:p>
    <w:p w14:paraId="03D5A68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Once it is recognised that Mr Millichamp was giving evidence of his recollection of events from 10 years in the past, Mr Millichamp's repeated insistence that the instruction he had in mind was the 20 February 2007 email from Dr Sherman is of no great moment. It says nothing about Mr Millichamp's credit or reliability as a witness. It creates no "evidentiary gap" that only Dr Sherman could fill. Mr Millichamp referred in his evidence to the possibility of an instruction from Dr Sherman after 20 February 2007 and before 18 September</w:t>
      </w:r>
      <w:r>
        <w:rPr>
          <w:rFonts w:ascii="Times New Roman" w:hAnsi="Times New Roman"/>
        </w:rPr>
        <w:t> </w:t>
      </w:r>
      <w:r w:rsidRPr="00AB1A14">
        <w:rPr>
          <w:rFonts w:ascii="Times New Roman" w:hAnsi="Times New Roman"/>
        </w:rPr>
        <w:t>2007 but said he could not recall any such instruction. He was never taken to any of the June 2007 emails (redacted in this proceeding, but which Mr Millichamp would have seen at the time) which the Commonwealth argued contained the "reconfirmation" of Dr Sherman's instructions to PBS list and launch.</w:t>
      </w:r>
    </w:p>
    <w:p w14:paraId="366207C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Nor is it apparent why it would be expected that the Commonwealth would call Dr Sherman when the Commonwealth had called Mr Millichamp and had adduced the supporting contemporaneous documentary evidence. After all, it was Sanofi who was asserting Mr Millichamp to be dishonest (rather than merely mistaken about Dr Sherman's only relevant instruction being on 20 February 2007 and not later in June 2007). Further, Apotex (not the Commonwealth) had claimed legal professional privilege over the later emails from Dr Sherman on which the Commonwealth relied as giving rise to the inevitable inference of Dr Sherman's "re-confirmed" instruction to Mr Millichamp to PBS list and launch if not subject to an interlocutory injunction. In these circumstances it is not apparent that it would be "natural"</w:t>
      </w:r>
      <w:r w:rsidRPr="00AB1A14">
        <w:rPr>
          <w:rStyle w:val="FootnoteReference"/>
          <w:rFonts w:ascii="Times New Roman" w:hAnsi="Times New Roman"/>
          <w:sz w:val="24"/>
        </w:rPr>
        <w:footnoteReference w:id="308"/>
      </w:r>
      <w:r w:rsidRPr="00AB1A14">
        <w:rPr>
          <w:rFonts w:ascii="Times New Roman" w:hAnsi="Times New Roman"/>
        </w:rPr>
        <w:t xml:space="preserve"> for the Commonwealth to have called Dr Sherman and for Sanofi not to have called Dr Sherman. The fact that Apotex and Sanofi were competitors who had engaged in significant litigation with each other is immaterial given the relevant issue concerns a hypothetical past from a decade</w:t>
      </w:r>
      <w:r>
        <w:rPr>
          <w:rFonts w:ascii="Times New Roman" w:hAnsi="Times New Roman"/>
        </w:rPr>
        <w:t xml:space="preserve"> before the hearing</w:t>
      </w:r>
      <w:r w:rsidRPr="00AB1A14">
        <w:rPr>
          <w:rFonts w:ascii="Times New Roman" w:hAnsi="Times New Roman"/>
        </w:rPr>
        <w:t>.</w:t>
      </w:r>
      <w:r w:rsidRPr="00AB1A14">
        <w:rPr>
          <w:rStyle w:val="FootnoteReference"/>
          <w:rFonts w:ascii="Times New Roman" w:hAnsi="Times New Roman"/>
          <w:sz w:val="24"/>
        </w:rPr>
        <w:footnoteReference w:id="309"/>
      </w:r>
      <w:r w:rsidRPr="00AB1A14">
        <w:rPr>
          <w:rFonts w:ascii="Times New Roman" w:hAnsi="Times New Roman"/>
        </w:rPr>
        <w:t xml:space="preserve"> That other Apotex witnesses were called by and co-operated with the Commonwealth in the proceeding is not to the point. The fact is either party could have called Dr Sherman (if he was willing to give evidence) or sought an order (if possible) to require him to give evidence. Neither party did. There was no scope </w:t>
      </w:r>
      <w:r w:rsidRPr="00AB1A14">
        <w:rPr>
          <w:rFonts w:ascii="Times New Roman" w:hAnsi="Times New Roman"/>
        </w:rPr>
        <w:lastRenderedPageBreak/>
        <w:t>or support for any inference in Sanofi's favour or against the Commonwealth from that fact in the circumstances.</w:t>
      </w:r>
    </w:p>
    <w:p w14:paraId="69D0E708"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Did the Commonwealth discharge its legal onus of proof?</w:t>
      </w:r>
    </w:p>
    <w:p w14:paraId="0E3C0F4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question in the Commonwealth's appeal remains whether the Commonwealth discharged its legal onus to prove that Apotex Australia would have applied for (and obtained) PBS listing of its clopidogrel products on 1 April</w:t>
      </w:r>
      <w:r>
        <w:rPr>
          <w:rFonts w:ascii="Times New Roman" w:hAnsi="Times New Roman"/>
        </w:rPr>
        <w:t> </w:t>
      </w:r>
      <w:r w:rsidRPr="00AB1A14">
        <w:rPr>
          <w:rFonts w:ascii="Times New Roman" w:hAnsi="Times New Roman"/>
        </w:rPr>
        <w:t>2008 and on that date launched those products onto the Australian market at risk of ultimately being found to have infringed Sanofi's Australian clopidogrel patent (if Apotex Australia's challenge to the validity of that patent failed). Insofar as this question includes the obtaining of PBS listing, the issue is not part of the appeal as the primary judge found that "an application made by Apotex Australia to list its clopidogrel products on the PBS from 1 April 2008 would most likely have been approved by the Minister or Delegate"</w:t>
      </w:r>
      <w:r w:rsidRPr="00AB1A14">
        <w:rPr>
          <w:rStyle w:val="FootnoteReference"/>
          <w:rFonts w:ascii="Times New Roman" w:hAnsi="Times New Roman"/>
          <w:sz w:val="24"/>
        </w:rPr>
        <w:footnoteReference w:id="310"/>
      </w:r>
      <w:r w:rsidRPr="00AB1A14">
        <w:rPr>
          <w:rFonts w:ascii="Times New Roman" w:hAnsi="Times New Roman"/>
        </w:rPr>
        <w:t xml:space="preserve"> and Sanofi's challenge to that conclusion has not yet been determined. Suffice to say, however, Sanofi's contention that Apotex Australia would not have obtained PBS listing for its clopidogrel products on 1 April 2008 if it had applied to do so by 1 December 2007 directly contradicts the common assumed position before Gyles J on the hearing of the interlocutory injunction application. In this regard it remains the case that when a party who has obtained the benefit of an interlocutory injunction on one assumed factual basis later asserts to the contrary to avoid liability under that party's undertaking as to damages, "close scrutiny and a degree of scepticism" are required "because inconsistency may involve permitting a party who has obtained equity not to do equity".</w:t>
      </w:r>
      <w:r w:rsidRPr="00AB1A14">
        <w:rPr>
          <w:rStyle w:val="FootnoteReference"/>
          <w:rFonts w:ascii="Times New Roman" w:hAnsi="Times New Roman"/>
          <w:sz w:val="24"/>
        </w:rPr>
        <w:footnoteReference w:id="311"/>
      </w:r>
    </w:p>
    <w:p w14:paraId="3122C37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It is also relevant to note at the outset the basic wisdom informing the observation of Mason J that:</w:t>
      </w:r>
      <w:r w:rsidRPr="00AB1A14">
        <w:rPr>
          <w:rStyle w:val="FootnoteReference"/>
          <w:rFonts w:ascii="Times New Roman" w:hAnsi="Times New Roman"/>
          <w:sz w:val="24"/>
        </w:rPr>
        <w:footnoteReference w:id="312"/>
      </w:r>
    </w:p>
    <w:p w14:paraId="1DB0F682" w14:textId="77777777" w:rsidR="00CC75FC" w:rsidRDefault="00CC75FC" w:rsidP="00AB1A14">
      <w:pPr>
        <w:pStyle w:val="leftright"/>
        <w:spacing w:before="0" w:after="260" w:line="280" w:lineRule="exact"/>
        <w:ind w:right="0"/>
        <w:jc w:val="both"/>
        <w:rPr>
          <w:rFonts w:ascii="Times New Roman" w:hAnsi="Times New Roman"/>
        </w:rPr>
      </w:pPr>
      <w:r w:rsidRPr="00AB1A14">
        <w:rPr>
          <w:rFonts w:ascii="Times New Roman" w:hAnsi="Times New Roman"/>
        </w:rPr>
        <w:tab/>
        <w:t>"Unless the circumstances indicate otherwise, when it appears that damage flows from the non-performance of an act and the performance of that act has been restrained by an interim injunction, the inference will generally be drawn that the damage has been occasioned by the injunction."</w:t>
      </w:r>
    </w:p>
    <w:p w14:paraId="28EDAA0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Contrary to Sanofi's submissions, Gibbs and Stephen JJ in </w:t>
      </w:r>
      <w:r w:rsidRPr="00AB1A14">
        <w:rPr>
          <w:rFonts w:ascii="Times New Roman" w:hAnsi="Times New Roman"/>
          <w:i/>
          <w:iCs/>
        </w:rPr>
        <w:t>Air Express</w:t>
      </w:r>
      <w:r w:rsidRPr="00AB1A14">
        <w:rPr>
          <w:rFonts w:ascii="Times New Roman" w:hAnsi="Times New Roman"/>
        </w:rPr>
        <w:t xml:space="preserve"> did not express any general principle that a party claiming on an undertaking must fail if they do not call the decision-maker in the face of any potential countervailing </w:t>
      </w:r>
      <w:r w:rsidRPr="00AB1A14">
        <w:rPr>
          <w:rFonts w:ascii="Times New Roman" w:hAnsi="Times New Roman"/>
        </w:rPr>
        <w:lastRenderedPageBreak/>
        <w:t xml:space="preserve">consideration. The problem in </w:t>
      </w:r>
      <w:r w:rsidRPr="00AB1A14">
        <w:rPr>
          <w:rFonts w:ascii="Times New Roman" w:hAnsi="Times New Roman"/>
          <w:i/>
          <w:iCs/>
        </w:rPr>
        <w:t>Air Express</w:t>
      </w:r>
      <w:r w:rsidRPr="00AB1A14">
        <w:rPr>
          <w:rFonts w:ascii="Times New Roman" w:hAnsi="Times New Roman"/>
        </w:rPr>
        <w:t xml:space="preserve"> was the lack of any evidence about the grant of the required permission, which meant that no inference about the probability of such permission being granted (in contrast to mere speculation) was possible.</w:t>
      </w:r>
      <w:r w:rsidRPr="00AB1A14">
        <w:rPr>
          <w:rStyle w:val="FootnoteReference"/>
          <w:rFonts w:ascii="Times New Roman" w:hAnsi="Times New Roman"/>
          <w:sz w:val="24"/>
        </w:rPr>
        <w:footnoteReference w:id="313"/>
      </w:r>
      <w:r w:rsidRPr="00AB1A14">
        <w:rPr>
          <w:rFonts w:ascii="Times New Roman" w:hAnsi="Times New Roman"/>
        </w:rPr>
        <w:t xml:space="preserve"> The present case bears no resemblance to that factual context.</w:t>
      </w:r>
    </w:p>
    <w:p w14:paraId="409F947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evidence establishes that the basic business of Apotex, as a generic pharmaceutical company, was to make and sell drugs that other pharmaceutical companies had developed and, most likely, patented. As Mr Millichamp's contemporaneous emails and evidence disclosed, getting on the market with a generic version of a "blockbuster" drug is a generic pharmaceutical company's ideal, not just because of the money it could make but because of the broader and long-term commercial relationships it could facilitate with large pharmacy chains. Patents and related litigation, and related sophisticated legal advice and representation and the associated costs, are part of the business. Generic pharmaceuticals must be bioequivalent to the original drug in Australia, meaning it is very important for a generic pharmaceutical company to have the first generic version of the original drug on the market, because that generic pharmaceutical company can then lock both the pharmacy, and the patient as the ultimate buyer of that brand of the drug, into a long-term supply arrangement. </w:t>
      </w:r>
    </w:p>
    <w:p w14:paraId="4510A57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Therefore, while no commercially rational generic pharmaceutical company would act without undertaking an analysis of all the possible risks and rewards of potentially infringing a patent by exploiting a molecule or formula the subject of the patent, the risks for the generic pharmaceutical company are not confined to the liability to pay damages to the registered owner of the patent and the rewards are not confined to the profits the generic pharmaceutical company could make by its exploitation of the molecule or formula. This context is exposed in Mr Millichamp's email to Mr Kay of 22 June 2007 identifying Apotex's business model and the importance of the incremental benefits that launching at risk involved in the form of acquiring major new customers (that is, pharmacy chains). That email reflects the reality that a generic pharmaceutical company like Apotex (which was not a developer of new drugs) had to be entrepreneurial and willing to take large, albeit calculated, risks to improve its market position. </w:t>
      </w:r>
    </w:p>
    <w:p w14:paraId="2AA81A6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Rational commercial entities of complex businesses, like Apotex, plan their future actions well in advance of implementing them. They must do so because their businesses involve interrelated components. If they did not do so, they could not be sure that they would be able to act when they wanted to. In planning, responsible people must make decisions. In this case, the responsible person for making the decisions was Dr Sherman and the responsible person for implementing Dr Sherman's decisions in Australia was Mr Millichamp. The idea that a person such as Dr Sherman decides, and that any decision having been made </w:t>
      </w:r>
      <w:r w:rsidRPr="00AB1A14">
        <w:rPr>
          <w:rFonts w:ascii="Times New Roman" w:hAnsi="Times New Roman"/>
        </w:rPr>
        <w:lastRenderedPageBreak/>
        <w:t>is irrevocable, is one unrealistic extreme. The other unrealistic extreme is that a person such as Dr Sherman would never make a decision until the last possible moment or that every decision he made was purely provisional. The reality of Apotex's business is that Dr Sherman would have had to make decisions about important strategic matters well in advance of the implementation of those decisions. Having so decided, no decision would be irrevocable unless it had in fact been implemented. In the ordinary and usual course of Apotex's business, it would be expected that Dr Sherman would keep all important commercial decisions under review so that he could respond to circumstances as and when they arose. Keeping decisions under review does not mean that no decision was made or that any such decision was merely provisional. For these reasons, the Full Court's conclusion that Dr Sherman would have had a continuing role in all major decisions,</w:t>
      </w:r>
      <w:r w:rsidRPr="00AB1A14">
        <w:rPr>
          <w:rStyle w:val="FootnoteReference"/>
          <w:rFonts w:ascii="Times New Roman" w:hAnsi="Times New Roman"/>
          <w:sz w:val="24"/>
        </w:rPr>
        <w:footnoteReference w:id="314"/>
      </w:r>
      <w:r w:rsidRPr="00AB1A14">
        <w:rPr>
          <w:rFonts w:ascii="Times New Roman" w:hAnsi="Times New Roman"/>
        </w:rPr>
        <w:t xml:space="preserve"> including keeping all important decisions under review, does not mean that: (a) Dr Sherman had not decided to PBS list and launch in late June</w:t>
      </w:r>
      <w:r>
        <w:rPr>
          <w:rFonts w:ascii="Times New Roman" w:hAnsi="Times New Roman"/>
        </w:rPr>
        <w:t> </w:t>
      </w:r>
      <w:r w:rsidRPr="00AB1A14">
        <w:rPr>
          <w:rFonts w:ascii="Times New Roman" w:hAnsi="Times New Roman"/>
        </w:rPr>
        <w:t>2007; (b) Dr Sherman had not maintained that decision at 18 September</w:t>
      </w:r>
      <w:r>
        <w:rPr>
          <w:rFonts w:ascii="Times New Roman" w:hAnsi="Times New Roman"/>
        </w:rPr>
        <w:t> </w:t>
      </w:r>
      <w:r w:rsidRPr="00AB1A14">
        <w:rPr>
          <w:rFonts w:ascii="Times New Roman" w:hAnsi="Times New Roman"/>
        </w:rPr>
        <w:t xml:space="preserve">2007 (when Gyles J heard the interlocutory injunction application); or (c) Dr Sherman, inconsistently with all his decisions to 18 September 2007, would have changed his mind after that time merely because another decision-maker (not Dr Sherman) could rationally consider that it might be preferable to defer deciding until after Gyles J had given judgment on the interlocutory injunction application. </w:t>
      </w:r>
    </w:p>
    <w:p w14:paraId="0E098AE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contemporaneous documentary evidence exposes that Apotex's business decision-making processes operated </w:t>
      </w:r>
      <w:r>
        <w:rPr>
          <w:rFonts w:ascii="Times New Roman" w:hAnsi="Times New Roman"/>
        </w:rPr>
        <w:t xml:space="preserve">in </w:t>
      </w:r>
      <w:r w:rsidRPr="00AB1A14">
        <w:rPr>
          <w:rFonts w:ascii="Times New Roman" w:hAnsi="Times New Roman"/>
        </w:rPr>
        <w:t>exactly this manner. Dr Sherman wanted to get Apotex's clopidogrel products on the market in Australia. In June</w:t>
      </w:r>
      <w:r>
        <w:rPr>
          <w:rFonts w:ascii="Times New Roman" w:hAnsi="Times New Roman"/>
        </w:rPr>
        <w:t> </w:t>
      </w:r>
      <w:r w:rsidRPr="00AB1A14">
        <w:rPr>
          <w:rFonts w:ascii="Times New Roman" w:hAnsi="Times New Roman"/>
        </w:rPr>
        <w:t xml:space="preserve">2006, he decided that if Apotex entities succeeded in the litigation in the US and Canada, Apotex would launch its clopidogrel products on the market in Australia (which means that it also would have obtained PBS listing for its products). Mr Millichamp understood this to be Dr Sherman's instruction to him, as Mr Millichamp's email of 15 February 2007 makes clear. By that time, however, it was also clear that the litigation in the US and Canada would not be resolved quickly. Dr Sherman therefore decided that Apotex would launch its clopidogrel products on the market in Australia without waiting for the results of that litigation. This is recorded in the email of 20 February 2007. </w:t>
      </w:r>
    </w:p>
    <w:p w14:paraId="1F23981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It is obvious from later emails of 22 and 25 June 2007 that Mr Kay wanted more up to date information. Mr Millichamp explained to Mr Kay why he remained of the view that Apotex should launch its clopidogrel products on the market in Australia, as Dr Sherman had instructed in February 2007. This does not mean that Dr Sherman had changed his mind about the decision communicated on 20 February 2007. It means only that Mr Kay and Mr Millichamp were doing exactly what they should have been doing in ensuring that Dr Sherman could be made aware of current circumstances relevant to his prior decision. This is why </w:t>
      </w:r>
      <w:r w:rsidRPr="00AB1A14">
        <w:rPr>
          <w:rFonts w:ascii="Times New Roman" w:hAnsi="Times New Roman"/>
        </w:rPr>
        <w:lastRenderedPageBreak/>
        <w:t xml:space="preserve">Mr Kay emailed Dr Sherman on 25 June 2007 with the then current information asking that he "re-confirm or otherwise our approach in Australia". The approach, which Mr Millichamp was implementing, was to PBS list and launch at risk if Sanofi did not obtain an interlocutory injunction. </w:t>
      </w:r>
    </w:p>
    <w:p w14:paraId="338D8238"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Not unexpectedly, the next round of emails within Apotex included emails to and from Apotex's lawyers in Australia which are subject to claims for legal professional privilege. One email from Dr Sherman not entirely subject to such a claim is that of 26 June 2007 saying "[w]e will stay with bisulfate in Australia", with wholly redacted emails from Dr Sherman following on 27 June 2007, leading to Mr Millichamp's 27 June 2007 "FYI –Game on !!!" email. "FYI –Game on !!!" on its own is ambiguous. In context, however, its meaning is clear. Put to one side, for the moment, Mr Millichamp's later email on 27 June 2007 at 1.59pm saying "... If we are successful in avoiding an injunction we will plan to launch subject to Barry's further advice/approval." What else does the contemporaneous evidence disclose? The answers are unavoidable. </w:t>
      </w:r>
    </w:p>
    <w:p w14:paraId="56C9611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Why would Dr Sherman have said "[w]e will stay with bisulfate in Australia" on 26 June 2007 if his decision was not to seek PBS listing and launch at risk in Australia? He did not need to do so to "goad" Sanofi into applying for an interlocutory injunction. It </w:t>
      </w:r>
      <w:r>
        <w:rPr>
          <w:rFonts w:ascii="Times New Roman" w:hAnsi="Times New Roman"/>
        </w:rPr>
        <w:t>was said in</w:t>
      </w:r>
      <w:r w:rsidRPr="00AB1A14">
        <w:rPr>
          <w:rFonts w:ascii="Times New Roman" w:hAnsi="Times New Roman"/>
        </w:rPr>
        <w:t xml:space="preserve"> an internal Apotex email. Dr Sherman only needed to do so if he was re-confirming the 20 February 2007 decision. </w:t>
      </w:r>
    </w:p>
    <w:p w14:paraId="069F1C9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Why would Mr Haas need to know the estimated launch date to "initiate blister tooling activities to determine timing for providing you with pack count desired for AUS market", as he asked on 28 June 2007? Again, none of these internal documents were for Sanofi's benefit to "goad" Sanofi into applying for an interlocutory injunction. They are internal Apotex emails enabling Apotex to be ready to apply for PBS listing and launch </w:t>
      </w:r>
      <w:r>
        <w:rPr>
          <w:rFonts w:ascii="Times New Roman" w:hAnsi="Times New Roman"/>
        </w:rPr>
        <w:t xml:space="preserve">of </w:t>
      </w:r>
      <w:r w:rsidRPr="00AB1A14">
        <w:rPr>
          <w:rFonts w:ascii="Times New Roman" w:hAnsi="Times New Roman"/>
        </w:rPr>
        <w:t xml:space="preserve">its clopidogrel products onto the Australian market on 1 April 2008 if not subject to an interlocutory injunction. </w:t>
      </w:r>
    </w:p>
    <w:p w14:paraId="2118367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Similarly, Mr Millichamp telling Mr Haas at 10.28pm on 28 June 2007 that "as per instructions from Barry the plan (in outline) for clopidogrel is as follows"; "[i]f we are successful in defending our position vs Sanofi and an injunction is not granted by the courts then we will launch"; and "[t]herefore if we are successful and are able to launch we will need product (blister packed by Apotex) in Australia ideally end October but latest Mid November" also makes no sense if Dr Sherman had not confirmed his decision to PBS list and launch at risk if Sanofi did not obtain an interlocutory injunction. </w:t>
      </w:r>
    </w:p>
    <w:p w14:paraId="38EDCE1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ambiguities in the contemporaneous documentary evidence, when considered in context, are insignificant and readily resolved. The meaning of Mr Millichamp's email on 27 June 2007 at 1.59pm saying "... If we are successful in avoiding an injunction we will plan to launch subject to Barry's further advice/approval"</w:t>
      </w:r>
      <w:r>
        <w:rPr>
          <w:rFonts w:ascii="Times New Roman" w:hAnsi="Times New Roman"/>
        </w:rPr>
        <w:t>,</w:t>
      </w:r>
      <w:r w:rsidRPr="00AB1A14">
        <w:rPr>
          <w:rFonts w:ascii="Times New Roman" w:hAnsi="Times New Roman"/>
        </w:rPr>
        <w:t xml:space="preserve"> understood in context</w:t>
      </w:r>
      <w:r>
        <w:rPr>
          <w:rFonts w:ascii="Times New Roman" w:hAnsi="Times New Roman"/>
        </w:rPr>
        <w:t>,</w:t>
      </w:r>
      <w:r w:rsidRPr="00AB1A14">
        <w:rPr>
          <w:rFonts w:ascii="Times New Roman" w:hAnsi="Times New Roman"/>
        </w:rPr>
        <w:t xml:space="preserve"> is sufficiently clear. It is not that Dr Sherman had not re-confirmed his decision to PBS list and launch at risk on or </w:t>
      </w:r>
      <w:r w:rsidRPr="00AB1A14">
        <w:rPr>
          <w:rFonts w:ascii="Times New Roman" w:hAnsi="Times New Roman"/>
        </w:rPr>
        <w:lastRenderedPageBreak/>
        <w:t xml:space="preserve">about 26 or 27 June 2007. The inference from the evidence that he had done so cannot be avoided; it was the only reasonably open inference on the evidence. It is that Dr Sherman was a rational commercial decision-maker and would always keep his important decisions under review until (and no doubt after) implementation. That is, Mr Millichamp would have expected that, in the ordinary course, Dr Sherman would continue to be provided with up-to-date information as and when required to enable Dr Sherman to confirm or review his decisions from time to time. </w:t>
      </w:r>
    </w:p>
    <w:p w14:paraId="1607386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Mr Haas's email of 28 June 2007, "[o]ne further question[.] Is Barry in the loop the strategy below (potentially launch end October but latest Mid November)?" is also readily explicable. In context, Mr Haas was asking about the details, including timing, of the specific implementation strategy that Mr Millichamp had provided. He was not seeking to ensure that Mr Millichamp was not off on some frolic of his own in arranging to PBS list and launch if Apotex Australia was not subject to an interlocutory injunction.</w:t>
      </w:r>
    </w:p>
    <w:p w14:paraId="2E0C3D5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Apotex not making launch stocks (when it could probably re-deploy stock from the US) and Dr Sherman having made it clear that he did not want to waste money on launch activities until Apotex knew if it could launch or not discloses good commercial sense and no more. Nothing can change the fact that Apotex expected Sanofi to apply for an interlocutory injunction and recognised that Sanofi had a case for interlocutory relief. In these circumstances it was commercially sensible for Apotex not to spend more money than necessary to ensure that it could PBS list and launch on PBS listing once it knew whether Sanofi had obtained an interlocutory injunction or not. It is not evidence that Apotex might not PBS list and launch if Sanofi did not obtain an interlocutory injunction. This is exactly the explanation Mr Millichamp gave Mr Haas in his email of 29 June 2007. That email, consistent with the other contemporaneous documentary evidence, said that "if we are successful [in defending the interlocutory injunction application] we will go ahead and launch". </w:t>
      </w:r>
    </w:p>
    <w:p w14:paraId="2699C54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For the same reasons, Mr Kay's email to Mr Haas and others on 8 August</w:t>
      </w:r>
      <w:r>
        <w:rPr>
          <w:rFonts w:ascii="Times New Roman" w:hAnsi="Times New Roman"/>
        </w:rPr>
        <w:t> </w:t>
      </w:r>
      <w:r w:rsidRPr="00AB1A14">
        <w:rPr>
          <w:rFonts w:ascii="Times New Roman" w:hAnsi="Times New Roman"/>
        </w:rPr>
        <w:t xml:space="preserve">2007, indicating that Apotex was assuming that Sanofi's interlocutory injunction application would succeed and that Apotex was "thus not planning to launch at this stage", must be understood in the context of the fact that Apotex did think it most likely that Sanofi would obtain an interlocutory injunction. Again, this did not mean that Dr Sherman had not decided in late June 2007 to confirm his 20 February 2007 decision to PBS list and launch if Sanofi did not obtain an interlocutory injunction. It meant only that Apotex believed that it would likely (but by no means certainly) be subject to an interlocutory injunction, in which event, it could not launch. Even if there was any doubt as to </w:t>
      </w:r>
      <w:r>
        <w:rPr>
          <w:rFonts w:ascii="Times New Roman" w:hAnsi="Times New Roman"/>
        </w:rPr>
        <w:t xml:space="preserve">what </w:t>
      </w:r>
      <w:r w:rsidRPr="00AB1A14">
        <w:rPr>
          <w:rFonts w:ascii="Times New Roman" w:hAnsi="Times New Roman"/>
        </w:rPr>
        <w:t>Mr Kay mean</w:t>
      </w:r>
      <w:r>
        <w:rPr>
          <w:rFonts w:ascii="Times New Roman" w:hAnsi="Times New Roman"/>
        </w:rPr>
        <w:t>t</w:t>
      </w:r>
      <w:r w:rsidRPr="00AB1A14">
        <w:rPr>
          <w:rFonts w:ascii="Times New Roman" w:hAnsi="Times New Roman"/>
        </w:rPr>
        <w:t xml:space="preserve">, Mr Millichamp sought to clarify this in his email of 9 August 2007 to Mr Kay, Dr Sherman and Mr Haas saying "[i]f we are successful and defend against an application for interlocutory relief from Sanofi we would like to launch as soon as possible. The earliest date that we can get PBS (Government reimbursement) </w:t>
      </w:r>
      <w:r w:rsidRPr="00AB1A14">
        <w:rPr>
          <w:rFonts w:ascii="Times New Roman" w:hAnsi="Times New Roman"/>
        </w:rPr>
        <w:lastRenderedPageBreak/>
        <w:t xml:space="preserve">listing is Dec 07." Mr Kay's response, "OK by me", into which Dr Sherman was copied, leaves no room for doubt. Dr Sherman wanted Apotex to obtain PBS listing and launch as soon as possible, believed to be 1 December 2007 at that time, if Sanofi did not obtain an interlocutory injunction. Mr Caccamo's email "[w]e have aligned our launch plans accordingly" confirms that position. </w:t>
      </w:r>
    </w:p>
    <w:p w14:paraId="74317DF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This explains why Apotex Australia then applied for registration of its clopidogrel products on the ARTG; commenced the proceeding; notified Sanofi that it was preparing to launch; and instructed its lawyers to defend the interlocutory injunction application. Mr Millichamp's letter to Apotex Australia employees of 17 August 2007, in this context and given that it says "[w]e intend to launch this product into the Australian market in the near future", cannot be understood as saying that Apotex had made no decision to PBS list and launch if Sanofi did not obtain an interlocutory injunction. Again, in context, the statement in that letter ("[a]ssuming Sanofi-Aventis do apply for an interim injunction, then the decision whether to launch these products will be delayed until the outcome of that application has been determined") accorded with Mr Millichamp's understanding that Dr Sherman kept all his important commercial decisions under review and would expect to be updated about all relevant circumstances should Sanofi apply for an interlocutory injunction and on the determination of that application. </w:t>
      </w:r>
    </w:p>
    <w:p w14:paraId="29B9884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It is also relevant that, at all times, Apotex and Sanofi both had sophisticated and experienced lawyers, including senior and junior counsel with specialist patent law expertise. This is why, for example, Mr Millichamp knew that Apotex Australia would have to both provide substantial security ($50 million to $70 million) to have a real chance of avoiding Sanofi obtaining the interlocutory injunction and give undertakings of its own about record keeping and the like. To entertain as a real possibility that Apotex had wanted to "goad" Sanofi into applying for an interlocutory injunction to obtain an undertaking as to damages without in fact intending to PBS list and launch its own clopidogrel products onto the Australian market (as the Full Court did</w:t>
      </w:r>
      <w:r w:rsidRPr="00AB1A14">
        <w:rPr>
          <w:rStyle w:val="FootnoteReference"/>
          <w:rFonts w:ascii="Times New Roman" w:hAnsi="Times New Roman"/>
          <w:sz w:val="24"/>
        </w:rPr>
        <w:footnoteReference w:id="315"/>
      </w:r>
      <w:r w:rsidRPr="00AB1A14">
        <w:rPr>
          <w:rFonts w:ascii="Times New Roman" w:hAnsi="Times New Roman"/>
        </w:rPr>
        <w:t>) required several matters to be directly confronted.</w:t>
      </w:r>
    </w:p>
    <w:p w14:paraId="4DACE94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First, it was never put to Mr Millichamp that Apotex had wanted to "goad" Sanofi into applying for an interlocutory injunction to obtain an undertaking as to damages without in fact intending to PBS list and launch its own clopidogrel products onto the Australian market. The closest the cross-examination came (and it was not close) was the question to Mr Millichamp that the point of him notifying Sanofi of Apotex's intentions on 17 August 2007 was to goad Sanofi into applying for an interlocutory injunction. What was not put to Mr Millichamp is that this goading was dishonest in that, in fact, Apotex wanted Sanofi to believe it would </w:t>
      </w:r>
      <w:r w:rsidRPr="00AB1A14">
        <w:rPr>
          <w:rFonts w:ascii="Times New Roman" w:hAnsi="Times New Roman"/>
        </w:rPr>
        <w:lastRenderedPageBreak/>
        <w:t>PBS list and launch if not subject to an interlocutory injunction when it did not have any such intention. Mr Millichamp denied the goading but was given no opportunity at any time to deny the further imputation of dishonesty.</w:t>
      </w:r>
    </w:p>
    <w:p w14:paraId="7D7DFD17"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Second, the seriousness of the dishonesty that would have been involved in Apotex misleading Sanofi into believing it intended to PBS list and launch if not subject to an interlocutory injunction if it had no intention of doing so is not to be underestimated. That conduct would not have been a mere litigious "game" or "sharp" commercial practice. It would have been misleading and deceptive conduct and perhaps a fraud. It could have amounted to attempting to obtain a financial advantage by deception, which is a crime. Moreover, it would have been a plan that Apotex could never have shared with its lawyers or counsel. Apotex Australia's lawyers and counsel could not have adduced Mr Millichamp's evidence before Gyles J that "it is [Apotex's] intention to apply for listing of its clopidogrel 75mg (as hydrogen sulfate) tablets at the next available opportunity, which is by 1 December 2007" or informed Gyles J, as Mr Catterns KC did, that Apotex would apply for PBS listing on 1 December 2007, obtain it as a matter of course on 1 April 2008, and launch its clopidogrel products onto the market then (having taken orders in advance), unless they had been </w:t>
      </w:r>
      <w:r>
        <w:rPr>
          <w:rFonts w:ascii="Times New Roman" w:hAnsi="Times New Roman"/>
        </w:rPr>
        <w:t>instructed</w:t>
      </w:r>
      <w:r w:rsidRPr="00AB1A14">
        <w:rPr>
          <w:rFonts w:ascii="Times New Roman" w:hAnsi="Times New Roman"/>
        </w:rPr>
        <w:t xml:space="preserve"> that this was Apotex Australia's intention. </w:t>
      </w:r>
    </w:p>
    <w:p w14:paraId="6563535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Third, if this deception was Apotex's secret plan, Apotex appears to have undertaken no risk assessment of any kind of the chance that its plan might be foiled by Sanofi ultimately proving that it had been deceived by Apotex into providing the undertaking as to damages. Further, no hint or suggestion of this secret plan emerges from any of Apotex's documents. This is in circumstances where subsequently, after the final hearing before Gyles J and before his Honour delivered judgment, Mr Kay emailed Mr Millichamp saying "I wonder if the best outcome would be that we win at first instance, </w:t>
      </w:r>
      <w:r>
        <w:rPr>
          <w:rFonts w:ascii="Times New Roman" w:hAnsi="Times New Roman"/>
        </w:rPr>
        <w:t>[Sanofi]</w:t>
      </w:r>
      <w:r w:rsidRPr="00AB1A14">
        <w:rPr>
          <w:rFonts w:ascii="Times New Roman" w:hAnsi="Times New Roman"/>
        </w:rPr>
        <w:t xml:space="preserve"> appeal and the injunction remains in place pending appeal. That way, we don't expose ourselves to potentially ruinous damages, but would collect damages off </w:t>
      </w:r>
      <w:r>
        <w:rPr>
          <w:rFonts w:ascii="Times New Roman" w:hAnsi="Times New Roman"/>
        </w:rPr>
        <w:t>[Sanofi]</w:t>
      </w:r>
      <w:r w:rsidRPr="00AB1A14">
        <w:rPr>
          <w:rFonts w:ascii="Times New Roman" w:hAnsi="Times New Roman"/>
        </w:rPr>
        <w:t xml:space="preserve"> for the further period of being off the market in the event the </w:t>
      </w:r>
      <w:r>
        <w:rPr>
          <w:rFonts w:ascii="Times New Roman" w:hAnsi="Times New Roman"/>
        </w:rPr>
        <w:t>[Sanofi]</w:t>
      </w:r>
      <w:r w:rsidRPr="00AB1A14">
        <w:rPr>
          <w:rFonts w:ascii="Times New Roman" w:hAnsi="Times New Roman"/>
        </w:rPr>
        <w:t xml:space="preserve"> appeal fails. What do you think?" Mr Kay followed this up with this musing: "my view is that in the event of our success and should </w:t>
      </w:r>
      <w:r>
        <w:rPr>
          <w:rFonts w:ascii="Times New Roman" w:hAnsi="Times New Roman"/>
        </w:rPr>
        <w:t>[Sanofi]</w:t>
      </w:r>
      <w:r w:rsidRPr="00AB1A14">
        <w:rPr>
          <w:rFonts w:ascii="Times New Roman" w:hAnsi="Times New Roman"/>
        </w:rPr>
        <w:t xml:space="preserve"> decide to appeal we should in some way allow the injunction to continue, and seek damages should any appeal fail to go </w:t>
      </w:r>
      <w:r>
        <w:rPr>
          <w:rFonts w:ascii="Times New Roman" w:hAnsi="Times New Roman"/>
        </w:rPr>
        <w:t>[Sanofi's]</w:t>
      </w:r>
      <w:r w:rsidRPr="00AB1A14">
        <w:rPr>
          <w:rFonts w:ascii="Times New Roman" w:hAnsi="Times New Roman"/>
        </w:rPr>
        <w:t xml:space="preserve"> way". The key words here are "in some way". Mr Kay obviously did not know how this could be achieved. If it had already been achieved on 18 September 2007 (at the hearing of the interlocutory injunction application), however, Mr Kay's musings to this effect in August 2008 make no sense. Had Mr Kay or anyone else in Apotex had the same thoughts before 18 September 2007, it would be expected that some hint of them might appear in the documents leading up to that date. But there is no such hint.</w:t>
      </w:r>
    </w:p>
    <w:p w14:paraId="2E801CE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Fourth, had anyone in Apotex communicated any such idea to their lawyers, the response would have had to include advice that: (a) Apotex Australia could not mislead the Court to obtain the potential financial advantage of Sanofi's </w:t>
      </w:r>
      <w:r w:rsidRPr="00AB1A14">
        <w:rPr>
          <w:rFonts w:ascii="Times New Roman" w:hAnsi="Times New Roman"/>
        </w:rPr>
        <w:lastRenderedPageBreak/>
        <w:t xml:space="preserve">undertaking as to damages; and (b) accordingly, if Apotex Australia did not intend to PBS list and launch on 1 April 2008, then Sanofi could not obtain an interlocutory injunction (as there would be no real threat of infringement of the patent) and Apotex </w:t>
      </w:r>
      <w:r>
        <w:rPr>
          <w:rFonts w:ascii="Times New Roman" w:hAnsi="Times New Roman"/>
        </w:rPr>
        <w:t xml:space="preserve">Australia </w:t>
      </w:r>
      <w:r w:rsidRPr="00AB1A14">
        <w:rPr>
          <w:rFonts w:ascii="Times New Roman" w:hAnsi="Times New Roman"/>
        </w:rPr>
        <w:t xml:space="preserve">could not obtain the benefit of Sanofi's undertaking as to damages (as it would bear the onus of proving actual loss). That is, either Apotex had to decide before 18 September 2007 that it was going to PBS list and launch on 1 April 2008 or it was involved in a sophisticated deception of not only Sanofi and Gyles J but also of its own lawyers.  </w:t>
      </w:r>
    </w:p>
    <w:p w14:paraId="03E2630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Fifth, the idea is difficult to reconcile with Apotex's actual conduct of the defence of Sanofi's interlocutory application, including the arrangements it made to offer security for Sanofi's losses of $50 million. As to the security, the important point is not what it would have cost Apotex to obtain the letter of credit,</w:t>
      </w:r>
      <w:r w:rsidRPr="00AB1A14">
        <w:rPr>
          <w:rStyle w:val="FootnoteReference"/>
          <w:rFonts w:ascii="Times New Roman" w:hAnsi="Times New Roman"/>
          <w:sz w:val="24"/>
        </w:rPr>
        <w:footnoteReference w:id="316"/>
      </w:r>
      <w:r w:rsidRPr="00AB1A14">
        <w:rPr>
          <w:rFonts w:ascii="Times New Roman" w:hAnsi="Times New Roman"/>
        </w:rPr>
        <w:t xml:space="preserve"> but that it formed part of Apotex determinedly and seriously defending against the grant of an interlocutory injunction because it thought it had a genuine (even if not a probable) chance of succeeding – a chance which was well worth trying to achieve given that clopidogrel was a "blockbuster" drug. If Apotex Australia had preferred to be enjoined and obtain an undertaking as to damages on the fundamental (and, given its sophisticated legal advice, inexplicable) misunderstanding that it did not ultimately have to prove actual loss to be compensated under the undertaking (which meant that it had to prove that but for the interlocutory injunction it would have obtained PBS listing and launched, in order to satisfy the requirement of causation), then Apotex Australia had no reason to run a comprehensive defence of Sanofi's application and offer serious security to avoid being enjoined. </w:t>
      </w:r>
    </w:p>
    <w:p w14:paraId="1EFEB0F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Sixth, the Full Court's conclusion that the offering of the security was "consistent with Apotex keeping its options open"</w:t>
      </w:r>
      <w:r w:rsidRPr="00AB1A14">
        <w:rPr>
          <w:rStyle w:val="FootnoteReference"/>
          <w:rFonts w:ascii="Times New Roman" w:hAnsi="Times New Roman"/>
          <w:sz w:val="24"/>
        </w:rPr>
        <w:footnoteReference w:id="317"/>
      </w:r>
      <w:r w:rsidRPr="00AB1A14">
        <w:rPr>
          <w:rFonts w:ascii="Times New Roman" w:hAnsi="Times New Roman"/>
        </w:rPr>
        <w:t xml:space="preserve"> is perplexing. Had Apotex Australia's defence of Sanofi's application been successful it would have had to provide the security within 28 days as it offered. If, after 18 September 2007, and having succeeded in defending against the application for an interlocutory injunction so that no such interlocutory order was made, Apotex Australia informed Gyles J that it had changed its mind and did not want to PBS list and launch on 1 April 2008 and therefore would not be providing the security, there would have been potentially serious consequences for Apotex Australia if it could not also identify a material change of circumstances justifying its changed position (which it would not have been able to do). At the least, Apotex Australia would have been ordered to pay indemnity costs in respect of Sanofi's application and </w:t>
      </w:r>
      <w:r>
        <w:rPr>
          <w:rFonts w:ascii="Times New Roman" w:hAnsi="Times New Roman"/>
        </w:rPr>
        <w:t xml:space="preserve">would have </w:t>
      </w:r>
      <w:r w:rsidRPr="00AB1A14">
        <w:rPr>
          <w:rFonts w:ascii="Times New Roman" w:hAnsi="Times New Roman"/>
        </w:rPr>
        <w:t xml:space="preserve">lost any chance of an early final hearing, which would have been to its substantial commercial detriment. The prospect of the desired commercial </w:t>
      </w:r>
      <w:r w:rsidRPr="00AB1A14">
        <w:rPr>
          <w:rFonts w:ascii="Times New Roman" w:hAnsi="Times New Roman"/>
        </w:rPr>
        <w:lastRenderedPageBreak/>
        <w:t xml:space="preserve">consequence of Apotex Australia being taken seriously in the market in Australia, as referred to in Mr Millichamp's email of 22 June 2007, also would have been seriously damaged. </w:t>
      </w:r>
    </w:p>
    <w:p w14:paraId="2BD85D0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Seventh, Sanofi had access to equally sophisticated legal advice as Apotex</w:t>
      </w:r>
      <w:r>
        <w:rPr>
          <w:rFonts w:ascii="Times New Roman" w:hAnsi="Times New Roman"/>
        </w:rPr>
        <w:t xml:space="preserve"> did</w:t>
      </w:r>
      <w:r w:rsidRPr="00AB1A14">
        <w:rPr>
          <w:rFonts w:ascii="Times New Roman" w:hAnsi="Times New Roman"/>
        </w:rPr>
        <w:t>. For example, the lawyers for both parties in Australia would have known what was occurring in the US and Canada, including the settlement agreement reached in the US on 26 May 2006. They would have been advising their respective clients of the potential classes of recoverable loss in Australia. In applying for the interlocutory injunction at the price of the undertaking as to damages, offering any amount of security for Apotex</w:t>
      </w:r>
      <w:r>
        <w:rPr>
          <w:rFonts w:ascii="Times New Roman" w:hAnsi="Times New Roman"/>
        </w:rPr>
        <w:t xml:space="preserve"> Australia</w:t>
      </w:r>
      <w:r w:rsidRPr="00AB1A14">
        <w:rPr>
          <w:rFonts w:ascii="Times New Roman" w:hAnsi="Times New Roman"/>
        </w:rPr>
        <w:t>'s losses Gyles J might require, and giving security for Apotex</w:t>
      </w:r>
      <w:r>
        <w:rPr>
          <w:rFonts w:ascii="Times New Roman" w:hAnsi="Times New Roman"/>
        </w:rPr>
        <w:t xml:space="preserve"> Australia</w:t>
      </w:r>
      <w:r w:rsidRPr="00AB1A14">
        <w:rPr>
          <w:rFonts w:ascii="Times New Roman" w:hAnsi="Times New Roman"/>
        </w:rPr>
        <w:t>'s potential losses of $40 million, Sanofi proved that on 18 September</w:t>
      </w:r>
      <w:r>
        <w:rPr>
          <w:rFonts w:ascii="Times New Roman" w:hAnsi="Times New Roman"/>
        </w:rPr>
        <w:t> </w:t>
      </w:r>
      <w:r w:rsidRPr="00AB1A14">
        <w:rPr>
          <w:rFonts w:ascii="Times New Roman" w:hAnsi="Times New Roman"/>
        </w:rPr>
        <w:t>2007 it believed that Apotex Australia would PBS list and launch on 1 April 2008 if not restrained by interlocutory injunction. Had Sanofi believed on 18 September 2007 that Apotex Australia was bluffing, it need not have applied for the interlocutory injunction. Had Sanofi come to believe after 25 September</w:t>
      </w:r>
      <w:r>
        <w:rPr>
          <w:rFonts w:ascii="Times New Roman" w:hAnsi="Times New Roman"/>
        </w:rPr>
        <w:t> </w:t>
      </w:r>
      <w:r w:rsidRPr="00AB1A14">
        <w:rPr>
          <w:rFonts w:ascii="Times New Roman" w:hAnsi="Times New Roman"/>
        </w:rPr>
        <w:t xml:space="preserve">2007 that Apotex Australia was bluffing, it could have approached the Court on that basis to dissolve the interlocutory injunction and withdraw the security and undertaking as to damages. </w:t>
      </w:r>
    </w:p>
    <w:p w14:paraId="2676D40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Courts below did not directly confront these matters in the weighing of the possibilities and probabilities of Apotex's conduct had it not been subject to the interlocutory injunction. In that process of weighing, the Courts below instead focused on five matters. First, that the delayed PBS listing date of 1 April 2008 coincided with the early hearing in April-May 2008, two events which were said not to be known "until about the time the interlocutory application was determined"</w:t>
      </w:r>
      <w:r w:rsidRPr="00AB1A14">
        <w:rPr>
          <w:rStyle w:val="FootnoteReference"/>
          <w:rFonts w:ascii="Times New Roman" w:hAnsi="Times New Roman"/>
          <w:sz w:val="24"/>
        </w:rPr>
        <w:footnoteReference w:id="318"/>
      </w:r>
      <w:r w:rsidRPr="00AB1A14">
        <w:rPr>
          <w:rFonts w:ascii="Times New Roman" w:hAnsi="Times New Roman"/>
        </w:rPr>
        <w:t xml:space="preserve"> and could have led Dr Sherman to change his mind or not commit to PBS listing and launch until the final hearing had concluded.</w:t>
      </w:r>
      <w:r w:rsidRPr="00AB1A14">
        <w:rPr>
          <w:rStyle w:val="FootnoteReference"/>
          <w:rFonts w:ascii="Times New Roman" w:hAnsi="Times New Roman"/>
          <w:sz w:val="24"/>
        </w:rPr>
        <w:footnoteReference w:id="319"/>
      </w:r>
      <w:r w:rsidRPr="00AB1A14">
        <w:rPr>
          <w:rFonts w:ascii="Times New Roman" w:hAnsi="Times New Roman"/>
        </w:rPr>
        <w:t xml:space="preserve"> Second, that the risk/reward calculations from July 2008 exposed the substantial risk to Apotex Australia of it having PBS listed and launched at risk, as did the subsequent calculations in September 2009, and that these calculations would have also been reflective of the risk/reward position immediately before September 2007 (that is, that in all cases, Apotex Australia's potential liability to Sanofi greatly exceeded its potential profits). Third, that Apotex Australia did not launch at risk when it could have done so after it succeeded before the Full Court in September</w:t>
      </w:r>
      <w:r>
        <w:rPr>
          <w:rFonts w:ascii="Times New Roman" w:hAnsi="Times New Roman"/>
        </w:rPr>
        <w:noBreakHyphen/>
        <w:t>October </w:t>
      </w:r>
      <w:r w:rsidRPr="00AB1A14">
        <w:rPr>
          <w:rFonts w:ascii="Times New Roman" w:hAnsi="Times New Roman"/>
        </w:rPr>
        <w:t>2009. Fourth, the inconsistency of part of Mr Millichamp's evidence with the contemporaneous documentary evidence. Fifth, the fact that Dr Sherman was not called by the Commonwealth.</w:t>
      </w:r>
    </w:p>
    <w:p w14:paraId="37B1DB2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lastRenderedPageBreak/>
        <w:tab/>
        <w:t>The fourth and fifth matters have been considered above and, for the reasons given, cannot sustain the conclusions of the primary judge and the Full Court. The first matter has also largely been dealt with and found to involve clear error. The first matter is also inconsistent with the discussion above to the effect that: (a) Dr</w:t>
      </w:r>
      <w:r>
        <w:rPr>
          <w:rFonts w:ascii="Times New Roman" w:hAnsi="Times New Roman"/>
        </w:rPr>
        <w:t> </w:t>
      </w:r>
      <w:r w:rsidRPr="00AB1A14">
        <w:rPr>
          <w:rFonts w:ascii="Times New Roman" w:hAnsi="Times New Roman"/>
        </w:rPr>
        <w:t>Sherman had to make an effective decision before 18 September 2007 to PBS list and launch Apotex's clopidogrel products onto the Australian market; (b) the evidence demands an inference that Dr Sherman so decided in late June 2007 and maintained that decision until 18 September 2007; (c) the early final hearing was in Apotex's interests and the shorter period of selling at risk was preferred by Apotex; (d) while Dr Sherman's decision would not have been irrevocable before 1 April 2008, in the sense that it should be inferred that Dr Sherman would maintain his key commercial decisions under review, there is no basis to infer that Dr Sherman would have changed his mind after 18 September</w:t>
      </w:r>
      <w:r>
        <w:rPr>
          <w:rFonts w:ascii="Times New Roman" w:hAnsi="Times New Roman"/>
        </w:rPr>
        <w:t> </w:t>
      </w:r>
      <w:r w:rsidRPr="00AB1A14">
        <w:rPr>
          <w:rFonts w:ascii="Times New Roman" w:hAnsi="Times New Roman"/>
        </w:rPr>
        <w:t xml:space="preserve">2007 and before 1 April 2008 unless some material change of circumstances occurred making it effectively impractical for Apotex Australia to supply its clopidogrel products to the market; and (e) there is no evidence of any such change of circumstances. </w:t>
      </w:r>
    </w:p>
    <w:p w14:paraId="3D3043C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second and third matters, understood in context, do not undermine the conclusion that, but for the grant of the interlocutory injunction on 25 September</w:t>
      </w:r>
      <w:r>
        <w:rPr>
          <w:rFonts w:ascii="Times New Roman" w:hAnsi="Times New Roman"/>
        </w:rPr>
        <w:t> </w:t>
      </w:r>
      <w:r w:rsidRPr="00AB1A14">
        <w:rPr>
          <w:rFonts w:ascii="Times New Roman" w:hAnsi="Times New Roman"/>
        </w:rPr>
        <w:t xml:space="preserve">2007, Apotex Australia would have applied for (and obtained) PBS listing on 1 April 2008 and launched its clopidogrel products onto the Australian market on that day (having taken orders from pharmacists before 1 April 2008 in anticipation of PBS listing). There were fundamental differences in circumstances between September 2007 and the subsequent periods. </w:t>
      </w:r>
    </w:p>
    <w:p w14:paraId="7FA3F08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One fundamental difference in circumstance is that in September 2007 Apotex knew that it would be the first generic supplier of clopidogrel in Australia if it obtained PBS listing on 1 April 2008. Being the first generic onto the market, or first mover, was critically important to Apotex, as the evidence exposes (and as is consistent with commercial common sense for a generic pharmaceutical company which needs to lock in pharmacies to buy its products). Mr Millichamp gave evidence that, once Apotex Australia started the proceeding, he expected other generic companies to accelerate their plans to have their generic clopidogrel products available for sale in Australia. As it turns out, Mr Millichamp was right. Two other generic pharmaceutical companies were able to apply for registration of their clopidogrel products on the ARTG in September 2008, within about 12 months of the litigation starting. </w:t>
      </w:r>
    </w:p>
    <w:p w14:paraId="4F4EFB01"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primary judge considered that Apotex Australia's first mover advantage was not diminished by August 2008 as "no other generic supplier ... had obtained ARTG registration for any clopidogrel product"</w:t>
      </w:r>
      <w:r>
        <w:rPr>
          <w:rFonts w:ascii="Times New Roman" w:hAnsi="Times New Roman"/>
        </w:rPr>
        <w:t>.</w:t>
      </w:r>
      <w:r w:rsidRPr="00AB1A14">
        <w:rPr>
          <w:rStyle w:val="FootnoteReference"/>
          <w:rFonts w:ascii="Times New Roman" w:hAnsi="Times New Roman"/>
          <w:sz w:val="24"/>
        </w:rPr>
        <w:footnoteReference w:id="320"/>
      </w:r>
      <w:r w:rsidRPr="00AB1A14">
        <w:rPr>
          <w:rFonts w:ascii="Times New Roman" w:hAnsi="Times New Roman"/>
        </w:rPr>
        <w:t xml:space="preserve"> His Honour also concluded that </w:t>
      </w:r>
      <w:r w:rsidRPr="00AB1A14">
        <w:rPr>
          <w:rFonts w:ascii="Times New Roman" w:hAnsi="Times New Roman"/>
        </w:rPr>
        <w:lastRenderedPageBreak/>
        <w:t>the July 2008 and September 2009 risk/reward analyses and Apotex Canada's response to them "tends to contradict the assertion made in Mr Millichamp's oral evidence that Apotex tries to get on the market as soon as possible".</w:t>
      </w:r>
      <w:r w:rsidRPr="00AB1A14">
        <w:rPr>
          <w:rStyle w:val="FootnoteReference"/>
          <w:rFonts w:ascii="Times New Roman" w:hAnsi="Times New Roman"/>
          <w:sz w:val="24"/>
        </w:rPr>
        <w:footnoteReference w:id="321"/>
      </w:r>
      <w:r w:rsidRPr="00AB1A14">
        <w:rPr>
          <w:rFonts w:ascii="Times New Roman" w:hAnsi="Times New Roman"/>
        </w:rPr>
        <w:t xml:space="preserve"> The Full Court agreed.</w:t>
      </w:r>
      <w:r w:rsidRPr="00AB1A14">
        <w:rPr>
          <w:rStyle w:val="FootnoteReference"/>
          <w:rFonts w:ascii="Times New Roman" w:hAnsi="Times New Roman"/>
          <w:sz w:val="24"/>
        </w:rPr>
        <w:footnoteReference w:id="322"/>
      </w:r>
    </w:p>
    <w:p w14:paraId="2400235E"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These conclusions, however, overlook Apotex's anticipation that from the moment the litigation commenced, other generic companies would be accelerating their plans to have their generic clopidogrel products on the Australian market. For Apotex the issue was being the first to the market and being the supplier of the only PBS listed generic version of clopidogrel for as long as possible. In that circumstance, Apotex's only competition would be Sanofi. Apotex would not necessarily know when any other generic company applied for ARTG registration of a clopidogrel product (as an application was kept confidential)</w:t>
      </w:r>
      <w:r>
        <w:rPr>
          <w:rFonts w:ascii="Times New Roman" w:hAnsi="Times New Roman"/>
        </w:rPr>
        <w:t>,</w:t>
      </w:r>
      <w:r w:rsidRPr="00AB1A14">
        <w:rPr>
          <w:rFonts w:ascii="Times New Roman" w:hAnsi="Times New Roman"/>
        </w:rPr>
        <w:t xml:space="preserve"> but its anticipation was correct (as the fact of ARTG registration applications by Sandoz</w:t>
      </w:r>
      <w:r>
        <w:rPr>
          <w:rFonts w:ascii="Times New Roman" w:hAnsi="Times New Roman"/>
        </w:rPr>
        <w:t> </w:t>
      </w:r>
      <w:r w:rsidRPr="00AB1A14">
        <w:rPr>
          <w:rFonts w:ascii="Times New Roman" w:hAnsi="Times New Roman"/>
        </w:rPr>
        <w:t>Pty</w:t>
      </w:r>
      <w:r>
        <w:rPr>
          <w:rFonts w:ascii="Times New Roman" w:hAnsi="Times New Roman"/>
        </w:rPr>
        <w:t> </w:t>
      </w:r>
      <w:r w:rsidRPr="00AB1A14">
        <w:rPr>
          <w:rFonts w:ascii="Times New Roman" w:hAnsi="Times New Roman"/>
        </w:rPr>
        <w:t>Ltd and Spirit in September 2008 show). By the time it did the July 2008 calculations, moreover, Apotex allowed for the possibility that up to two other generic companies would have clopidogrel products on the market, which would cut Apotex's market share from an estimated 35% to 8.5%. It must be inferred that Apotex knew the longer it was not on the market, the greater the likelihood that when it did make it to market, that market would be split with other generic competitors. That this likelihood is not reflected in the September</w:t>
      </w:r>
      <w:r>
        <w:rPr>
          <w:rFonts w:ascii="Times New Roman" w:hAnsi="Times New Roman"/>
        </w:rPr>
        <w:t> </w:t>
      </w:r>
      <w:r w:rsidRPr="00AB1A14">
        <w:rPr>
          <w:rFonts w:ascii="Times New Roman" w:hAnsi="Times New Roman"/>
        </w:rPr>
        <w:t xml:space="preserve">2009 calculations does not mean that, by that time, Apotex no longer had a concern about generic competition. The September 2009 document merely </w:t>
      </w:r>
      <w:r w:rsidRPr="00AB1A14">
        <w:rPr>
          <w:rFonts w:ascii="Times New Roman" w:hAnsi="Times New Roman"/>
          <w:i/>
          <w:iCs/>
        </w:rPr>
        <w:t>assumes</w:t>
      </w:r>
      <w:r w:rsidRPr="00AB1A14">
        <w:rPr>
          <w:rFonts w:ascii="Times New Roman" w:hAnsi="Times New Roman"/>
        </w:rPr>
        <w:t xml:space="preserve"> no other generic competition. </w:t>
      </w:r>
    </w:p>
    <w:p w14:paraId="345983FF"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prospect of other generic competition soon after Apotex Australia obtaining PBS listing and launching its products is fundamental because of its consequences. It is not just that Apotex Australia would lose market share to other generics (but that is important). It is that Apotex Australia alone would be responsible for the 12.5% price drop of Sanofi's products. Other generic competitors would be able to enter the market knowing that they had no potential liability for the 12.5% price drop of Sanofi's clopidogrel products. It is one thing to be potentially liable for a 12.5% price drop when the market will be divided between one generic and one originator. It is another to pave the way for other generics to be protected from potential liability for the 12.5% price drop and share the market with them in addition to the originator. </w:t>
      </w:r>
    </w:p>
    <w:p w14:paraId="6929A5FA"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Apotex Australia manifestly lost its clear run as first mover by being subject to the interlocutory injunction on 25 September 2007. That clear run had </w:t>
      </w:r>
      <w:r w:rsidRPr="00AB1A14">
        <w:rPr>
          <w:rFonts w:ascii="Times New Roman" w:hAnsi="Times New Roman"/>
        </w:rPr>
        <w:lastRenderedPageBreak/>
        <w:t xml:space="preserve">substantial value to Apotex Australia over and above the profits it would make. While Apotex Australia's profits could never match Sanofi's potential losses (because of the 12.5% price drop and generic discounting to which Sanofi would respond by discounting its own prices below the 12.5% price drop level), Sanofi's potential losses and Apotex's risk of liability for those losses both depended on the validity of Sanofi's Australian clopidogrel patent. In contrast, Apotex Australia's potential profits and other gains would be in its hand immediately on PBS listing and launching on 1 April 2008. </w:t>
      </w:r>
    </w:p>
    <w:p w14:paraId="7DD1479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This leads to the other fundamental change in circumstance after September</w:t>
      </w:r>
      <w:r>
        <w:rPr>
          <w:rFonts w:ascii="Times New Roman" w:hAnsi="Times New Roman"/>
        </w:rPr>
        <w:t> </w:t>
      </w:r>
      <w:r w:rsidRPr="00AB1A14">
        <w:rPr>
          <w:rFonts w:ascii="Times New Roman" w:hAnsi="Times New Roman"/>
        </w:rPr>
        <w:t>2007. The inference that should be drawn from the evidence is that up to and in September 2007 Apotex was confident that it would succeed in having Sanofi's Australian clopidogrel patent declared invalid. This is apparent from several facts: (a) Dr Sherman decided to PBS list and launch at risk on 20 February</w:t>
      </w:r>
      <w:r>
        <w:rPr>
          <w:rFonts w:ascii="Times New Roman" w:hAnsi="Times New Roman"/>
        </w:rPr>
        <w:t> </w:t>
      </w:r>
      <w:r w:rsidRPr="00AB1A14">
        <w:rPr>
          <w:rFonts w:ascii="Times New Roman" w:hAnsi="Times New Roman"/>
        </w:rPr>
        <w:t>2007 despite not then knowing the outcome of the litigation in the US and Canada</w:t>
      </w:r>
      <w:r>
        <w:rPr>
          <w:rFonts w:ascii="Times New Roman" w:hAnsi="Times New Roman"/>
        </w:rPr>
        <w:t>,</w:t>
      </w:r>
      <w:r w:rsidRPr="00AB1A14">
        <w:rPr>
          <w:rFonts w:ascii="Times New Roman" w:hAnsi="Times New Roman"/>
        </w:rPr>
        <w:t xml:space="preserve"> and confirmed that decision in late June 2007; (b) on 14 August</w:t>
      </w:r>
      <w:r>
        <w:rPr>
          <w:rFonts w:ascii="Times New Roman" w:hAnsi="Times New Roman"/>
        </w:rPr>
        <w:t> </w:t>
      </w:r>
      <w:r w:rsidRPr="00AB1A14">
        <w:rPr>
          <w:rFonts w:ascii="Times New Roman" w:hAnsi="Times New Roman"/>
        </w:rPr>
        <w:t>2007 Mr Millichamp and Mr Smith certified that Apotex Australia believed on reasonable grounds that it was not marketing and did not propose to market its Apotex clopidogrel products "in a manner or circumstance that would infringe a valid claim of a patent", under pain of criminal sanction for false or misleading statements; (c) Apotex Australia wanted a final hearing soon; and (d) Apotex Australia offered the $50 million security when it did not have to do so. Moreover, any doubt in this regard is dispelled by Mr Millichamp's email of 19 September</w:t>
      </w:r>
      <w:r>
        <w:rPr>
          <w:rFonts w:ascii="Times New Roman" w:hAnsi="Times New Roman"/>
        </w:rPr>
        <w:t> </w:t>
      </w:r>
      <w:r w:rsidRPr="00AB1A14">
        <w:rPr>
          <w:rFonts w:ascii="Times New Roman" w:hAnsi="Times New Roman"/>
        </w:rPr>
        <w:t xml:space="preserve">2007 saying "[e]ven if we get an injunction imposed I am very confident that we will win at final [trial]. In that case we will obviously seek damages (a large amount)." </w:t>
      </w:r>
    </w:p>
    <w:p w14:paraId="60B3D7D9"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Mr Millichamp was not challenged about the veracity of his email of 19 September 2007 accurately reflecting his (and Apotex's) state of mind in 2007. Nor was he challenged about the veracity of his oral evidence that "we always believed that all of the claims of the patent were invalid". If Apotex was confident it was going to succeed in having Sanofi's Australian clopidogrel patent declared invalid and revoked, the potentially ruinous damages to which it might be subject if it failed would have had a different, and far less significant, complexion to Apotex in 2007-2008 than is apparent in the reasoning of the Courts below. As Mr Millichamp put it, "[i]f we launched at risk, yes. It's a large exposure. But only if we were found to infringe the patent. The launch at risk I</w:t>
      </w:r>
      <w:r>
        <w:rPr>
          <w:rFonts w:ascii="Times New Roman" w:hAnsi="Times New Roman"/>
        </w:rPr>
        <w:t>'</w:t>
      </w:r>
      <w:r w:rsidRPr="00AB1A14">
        <w:rPr>
          <w:rFonts w:ascii="Times New Roman" w:hAnsi="Times New Roman"/>
        </w:rPr>
        <w:t xml:space="preserve">m not found to infringe, though. The risk is nothing." In its actual commercial context at the time, it must be inferred that Apotex was committed to take what it considered to be a low risk of potentially ruinous damages for what it considered to be a high likelihood of a very large potential reward. </w:t>
      </w:r>
    </w:p>
    <w:p w14:paraId="6E6C8D0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Further, Apotex Australia's arguments to defeat the interlocutory application included that the relevant compound claimed in Sanofi's Australian clopidogrel patent had been disclosed in the equivalent Canadian patent published in Australia on 7 November 1985, so there was a "very substantial issue" as to the </w:t>
      </w:r>
      <w:r w:rsidRPr="00AB1A14">
        <w:rPr>
          <w:rFonts w:ascii="Times New Roman" w:hAnsi="Times New Roman"/>
        </w:rPr>
        <w:lastRenderedPageBreak/>
        <w:t>novelty of Sanofi's Australian clopidogrel patent. In the hearing before Gyles J on 18 September 2007, Mr Catterns KC explained that Apotex Australia had a "strong case" on lack of novelty because of the disclosure in the Canadian patent of the racemic mixture</w:t>
      </w:r>
      <w:r>
        <w:rPr>
          <w:rFonts w:ascii="Times New Roman" w:hAnsi="Times New Roman"/>
        </w:rPr>
        <w:t>.</w:t>
      </w:r>
      <w:r w:rsidRPr="00AB1A14">
        <w:rPr>
          <w:rFonts w:ascii="Times New Roman" w:hAnsi="Times New Roman"/>
        </w:rPr>
        <w:t xml:space="preserve"> While nothing is certain in litigation, novelty is the kind of issue on which a party is able to receive meaningful advice before a hearing starts (even if subject to the usual caveats about litigation uncertainty). It must be inferred that Apotex received advice on its prospects of having Sanofi's Australian clopidogrel patent revoked for invalidity and that such advice provided a basis for Mr Millichamp's view that he was "very confident" Apotex would succeed.</w:t>
      </w:r>
    </w:p>
    <w:p w14:paraId="556A2BCA"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contrast, by the time the final hearing before Gyles J was completed in May 2008, Apotex had experienced either having seen or having had reported to it a day-by-day account of the hearing – including the cross-examination of their expert witnesses, the competing submissions of the parties, and the reactions of Gyles J (in circumstances where events show that Gyles J concluded, albeit in the event wrongly, that the key claims of Sanofi's Australian clopidogrel patent should not be revoked for invalidity). Whatever Apotex did after the final hearing before Gyles J concluded in May 2008 it did knowing what occurred in that hearing. That makes Apotex's deliberations from that time onwards incomparable to its actual deliberations before 25 September 2007 and to its "counterfactual" or hypothetical deliberations after 25 September 2007. As to the former, the two circumstances are entirely different. As to the latter, if Apotex Australia had not been restrained on 25 September 2007, the required inference is that it would have PBS listed and launched on 1 April 2008, also creating an entirely different set of circumstances from those which in fact existed after 25 September 2007. </w:t>
      </w:r>
    </w:p>
    <w:p w14:paraId="651EC8B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Accordingly, the inescapable actual (non-hypothetical) facts are that Dr Sherman decided to PBS list and launch Apotex's generic clopidogrel products in Australia on three occasions: in June 2006 (on the condition that Apotex succeeded in the litigation in the US and Canada); on 20 February 2007 (irrespective of the position in the litigation in the US and Canada); and again in late June 2007. On each occasion Dr Sherman must be inferred to have known that Apotex's potential profits could never exceed or be remotely close to Sanofi's potential losses. Unless Dr Sherman was willing to have Apotex Australia take the risk of liability for such losses based on the view that Apotex Australia was ultimately likely to succeed in having Sanofi's Australian clopidogrel patent declared invalid and revoked, he was wasting a lot of time and money in taking all necessary steps to do so. In fact, if not so willing, Dr Sherman's instructions to Apotex Canada and Apotex Australia are nonsensical and irrational. </w:t>
      </w:r>
    </w:p>
    <w:p w14:paraId="6906D045"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this context, the potentially ruinous damages to which Apotex Australia would be subjected if it ultimately failed in having Sanofi's Australian clopidogrel patent declared invalid and revoked depended on that contingency which, it should be inferred from the evidence, Dr Sherman considered was most unlikely. Against that low risk of Apotex Australia failing to have Sanofi's Australian clopidogrel patent declared invalid and revoked, there was an enormous upside for Apotex if </w:t>
      </w:r>
      <w:r w:rsidRPr="00AB1A14">
        <w:rPr>
          <w:rFonts w:ascii="Times New Roman" w:hAnsi="Times New Roman"/>
        </w:rPr>
        <w:lastRenderedPageBreak/>
        <w:t>it obtained PBS listing for and launched its clopidogrel products on the Australian market. Had Sanofi not succeeded in obtaining the interlocutory injunction and had Apotex Australia obtained PBS listing and launched its clopidogrel products on the Australian market on 1 April 2008, Apotex Australia anticipated that it could be the sole generic provider of that product for up to 12 months. As noted, it is not only the profit that Apotex Australia would have made as a result of PBS listing and launching at risk which is relevant. Equally relevant are the benefits it would have obtained in potential long-term deals and commercial relationships with pharmacists across Australia by supplying the only generic blockbuster drug of this kind. These were the opportunities that it must be inferred Dr Sherman perceived at the time (</w:t>
      </w:r>
      <w:r>
        <w:rPr>
          <w:rFonts w:ascii="Times New Roman" w:hAnsi="Times New Roman"/>
        </w:rPr>
        <w:t xml:space="preserve">from </w:t>
      </w:r>
      <w:r w:rsidRPr="00AB1A14">
        <w:rPr>
          <w:rFonts w:ascii="Times New Roman" w:hAnsi="Times New Roman"/>
        </w:rPr>
        <w:t xml:space="preserve">2007 to 1 April 2008). In these circumstances it was commercially rational for Dr Sherman to have sought to exploit these opportunities by seeking </w:t>
      </w:r>
      <w:r>
        <w:rPr>
          <w:rFonts w:ascii="Times New Roman" w:hAnsi="Times New Roman"/>
        </w:rPr>
        <w:t xml:space="preserve">to </w:t>
      </w:r>
      <w:r w:rsidRPr="00AB1A14">
        <w:rPr>
          <w:rFonts w:ascii="Times New Roman" w:hAnsi="Times New Roman"/>
        </w:rPr>
        <w:t>PBS list Apotex's clopidogrel products and launch those products onto the Australian market on 1 April 2008. As Mr Millichamp put it, Apotex was "absolutely prepared to take the risk and knew what the risk was" at the relevant time between 2007 and 1 April 2008. Properly placed in context, the evidence amply supported this conclusion, meaning the Commonwealth discharged its onus of proof.</w:t>
      </w:r>
    </w:p>
    <w:p w14:paraId="4570E552"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Another important observation should now be made. It is that a party such as Sanofi which comes to a court seeking an interlocutory injunction on the basis that it will give the usual undertaking as to damages must be taken to be acting in good faith on a reasonable belief that: (a) if not restrained</w:t>
      </w:r>
      <w:r>
        <w:rPr>
          <w:rFonts w:ascii="Times New Roman" w:hAnsi="Times New Roman"/>
        </w:rPr>
        <w:t>,</w:t>
      </w:r>
      <w:r w:rsidRPr="00AB1A14">
        <w:rPr>
          <w:rFonts w:ascii="Times New Roman" w:hAnsi="Times New Roman"/>
        </w:rPr>
        <w:t xml:space="preserve"> the party that it seeks to enjoin will carry out the threatened act; and (b) if it is ultimately wrong about its legal right to prevent that act, it will be liable to not only the restrained parties but also to adversely affected third parties. Where, as here, Sanofi knew that the relevant third party was the Commonwealth, and the financial position that Sanofi was seeking to preserve was the Commonwealth paying substantially more than would otherwise be the case if Apotex Australia did what it said it was going to do (obtain PBS listing and launch its clopidogrel products on 1 April 2008), it would be one thing for Sanofi to prove a material and unanticipated change of circumstances after the grant of interlocutory injunction making it practically impossible for Apotex Australia to do that which it had been restrained from doing (in which event a sophisticated litigator like Sanofi would, it must be inferred, approach the Court to dissolve the interlocutory injunction and withdraw the undertaking as to damages and the security). It is another thing altogether for such a party instead to contend that the very thing which it obtained the interlocutory injunction to prevent would not have occurred in any event. Such a contention demands the closest scrutiny because it could bring the administration of justice into disrepute for one judge to be persuaded that there is a real threat of potentially unlawful action requiring restraint, only for another judge years later to conclude there was no such threat at all. </w:t>
      </w:r>
    </w:p>
    <w:p w14:paraId="171A571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Further, in circumstances where the only person other than Apotex Australia to have been at a real risk of loss from the (ultimately) wrongful grant of the interlocutory injunction is the Commonwealth, the potential injustice is all the </w:t>
      </w:r>
      <w:r w:rsidRPr="00AB1A14">
        <w:rPr>
          <w:rFonts w:ascii="Times New Roman" w:hAnsi="Times New Roman"/>
        </w:rPr>
        <w:lastRenderedPageBreak/>
        <w:t xml:space="preserve">greater. In 2019, in the Second Reading Speech for the </w:t>
      </w:r>
      <w:r w:rsidRPr="00AB1A14">
        <w:rPr>
          <w:rFonts w:ascii="Times New Roman" w:hAnsi="Times New Roman"/>
          <w:i/>
          <w:iCs/>
        </w:rPr>
        <w:t>National Health Amendment (Pharmaceutical Benefits) Bill 2019</w:t>
      </w:r>
      <w:r w:rsidRPr="00AB1A14">
        <w:rPr>
          <w:rFonts w:ascii="Times New Roman" w:hAnsi="Times New Roman"/>
        </w:rPr>
        <w:t xml:space="preserve"> (Cth), the Minister for Health said that the PBS provides Australians with "access to vital medicines" and "is rightly respected and valued for the high-quality, cost-effective services it delivers". According to the Second Reading Speech the PBS "covers more than 5,000 clinically proven products across a broad range of conditions" and, since 2013, the Commonwealth had "made over 2,100 new or amended PBS listings, at an investment of over $10.6 billion".</w:t>
      </w:r>
      <w:r w:rsidRPr="00AB1A14">
        <w:rPr>
          <w:rStyle w:val="FootnoteReference"/>
          <w:rFonts w:ascii="Times New Roman" w:hAnsi="Times New Roman"/>
          <w:sz w:val="24"/>
        </w:rPr>
        <w:footnoteReference w:id="323"/>
      </w:r>
      <w:r w:rsidRPr="00AB1A14">
        <w:rPr>
          <w:rFonts w:ascii="Times New Roman" w:hAnsi="Times New Roman"/>
        </w:rPr>
        <w:t xml:space="preserve"> </w:t>
      </w:r>
    </w:p>
    <w:p w14:paraId="688C51E4"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Commonwealth (and the taxpayer) has a real interest in ensuring that the Commonwealth is not paying more for medicines than it ought to be paying. Given the interlocutory injunction wrongfully granted on 25 September 2007, the Commonwealth was paying more for Sanofi's clopidogrel products in Australia than it ought to have been paying since 1 April 2008 (even if that amounted to a fraction of the sums involved in operating the PBS). Sanofi took the benefit of the interlocutory injunction which had the effect of the Commonwealth paying the higher price for two years after 1 April 2008. Sanofi also took the benefit of that higher price in the commercial arrangements it made with pharmacists during that period. Having done so, it would be fundamentally unjust for Sanofi to retain the benefits it has been permitted to retain by the clearly erroneous judgments below. </w:t>
      </w:r>
    </w:p>
    <w:p w14:paraId="6A2E82AC"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Sanofi's notice of contention</w:t>
      </w:r>
    </w:p>
    <w:p w14:paraId="15580170"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grounds of Sanofi's notice of contention which are ripe for determination by this Court can be dismissed within a short compass. </w:t>
      </w:r>
    </w:p>
    <w:p w14:paraId="6C3BF050"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Ground 1</w:t>
      </w:r>
    </w:p>
    <w:p w14:paraId="527F29F8"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Sanofi undertook to "submit to such order (if any) as the Court may consider to be just for the payment of compensation, to be assessed by the Court or as it may direct, to any person whether or not a party, adversely affected by the operation of Order 1 ...". The relevant question posed by ground 1 of Sanofi's notice of contention is whether the Commonwealth has been "adversely affected" by order 1, which restrained Apotex Australia from "making, selling or otherwise disposing of" or "offering to make, sell or otherwise dispose of" its clopidogrel products. The relevant controls on the potential liability of a party giving the usual undertaking as to damages are twofold. First, the person must be adversely affected by the interlocutory injunction, not the mere fact of the litigation. That is, the interlocutory injunction must be the cause of the claimed loss. Second, the loss claimed by that person must be sufficiently connected to the substance of the interlocutory injunction to justify the characterisation of that loss as the person having been "adversely affected" by the interlocutory injunction. While that </w:t>
      </w:r>
      <w:r w:rsidRPr="00AB1A14">
        <w:rPr>
          <w:rFonts w:ascii="Times New Roman" w:hAnsi="Times New Roman"/>
        </w:rPr>
        <w:lastRenderedPageBreak/>
        <w:t>sufficiency of connection has been identified in various ways, including that the loss flow directly from the interlocutory order, that means nothing more than that the loss must be the natural consequence of the interlocutory order which could have been foreseen when the interlocutory order was granted.</w:t>
      </w:r>
      <w:r w:rsidRPr="00AB1A14">
        <w:rPr>
          <w:rStyle w:val="FootnoteReference"/>
          <w:rFonts w:ascii="Times New Roman" w:hAnsi="Times New Roman"/>
          <w:sz w:val="24"/>
        </w:rPr>
        <w:footnoteReference w:id="324"/>
      </w:r>
      <w:r w:rsidRPr="00AB1A14">
        <w:rPr>
          <w:rFonts w:ascii="Times New Roman" w:hAnsi="Times New Roman"/>
        </w:rPr>
        <w:t xml:space="preserve"> This best reflects the object of the undertaking as to damages, which is to ensure that persons are protected from loss sustained "by reason of the grant of the interim injunction in the event that it emerges that the plaintiff is not entitled to relief".</w:t>
      </w:r>
      <w:r w:rsidRPr="00AB1A14">
        <w:rPr>
          <w:rStyle w:val="FootnoteReference"/>
          <w:rFonts w:ascii="Times New Roman" w:hAnsi="Times New Roman"/>
          <w:sz w:val="24"/>
        </w:rPr>
        <w:footnoteReference w:id="325"/>
      </w:r>
    </w:p>
    <w:p w14:paraId="7379E12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The Commonwealth's loss was a natural consequence of the interlocutory injunction granted on 25 September 2007. Nothing more should be necessary to reach this conclusion other than to point to the reasons for judgment of Gyles J in granting the interlocutory injunction, in which his Honour said "I am much influenced by the effects of disturbing the status quo, particularly as it relates to the operation of the PBS".</w:t>
      </w:r>
      <w:r w:rsidRPr="00AB1A14">
        <w:rPr>
          <w:rStyle w:val="FootnoteReference"/>
          <w:rFonts w:ascii="Times New Roman" w:hAnsi="Times New Roman"/>
          <w:sz w:val="24"/>
        </w:rPr>
        <w:footnoteReference w:id="326"/>
      </w:r>
    </w:p>
    <w:p w14:paraId="25BEF7F3"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In any event, the evidence discloses that unless it could supply its generic clopidogrel products to the market, Apotex Australia had no reason to seek PBS listing of those products. Sanofi knew this at all material times. Sanofi gave the undertaking contemplating that the Commonwealth would continue to pay higher prices for Sanofi's clopidogrel products for so long as Apotex Australia did not obtain PBS listing of its generic clopidogrel products, and that Apotex Australia would not do so for so long as it could not supply its generic clopidogrel products in Australia. The Commonwealth's loss was a natural and specifically foreseen kind of consequence of the granting of the interlocutory injunction. </w:t>
      </w:r>
    </w:p>
    <w:p w14:paraId="2A3ADF0C"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Ground 3</w:t>
      </w:r>
    </w:p>
    <w:p w14:paraId="2F8BAAEC"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Ground 3 is not able to be determined by this Court. Neither the primary judge nor the Full Court dealt with this issue, and it depends on factual considerations. </w:t>
      </w:r>
    </w:p>
    <w:p w14:paraId="1C28F83A"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Ground 4</w:t>
      </w:r>
    </w:p>
    <w:p w14:paraId="6AC7906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contention in ground 4 is that the Commonwealth is not a person who could be "adversely affected" by the interlocutory injunction through the suffering of compensable loss because: (a) the consequential impact on the level of costs </w:t>
      </w:r>
      <w:r w:rsidRPr="00AB1A14">
        <w:rPr>
          <w:rFonts w:ascii="Times New Roman" w:hAnsi="Times New Roman"/>
        </w:rPr>
        <w:lastRenderedPageBreak/>
        <w:t xml:space="preserve">incurred in the operation of a legislative scheme for social welfare is not a compensable loss; (b) the alleged loss was caused by the operation of the Commonwealth's own laws governing the PBS; and (c) it must be in the interests of the Commonwealth for orders made by a superior court of the Commonwealth, in aid of rights asserted under the laws of the Commonwealth, to operate, and be complied with, according to their terms. </w:t>
      </w:r>
    </w:p>
    <w:p w14:paraId="04FB9644" w14:textId="089F8A34"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The contention is without merit. The Commonwealth is a "person" within Sanofi's undertaking. It is a person, moreover, specifically contemplated in the hearing before Gyles J as being within the scope of the undertaking. There is no principled basis which would lead to the Commonwealth's claim as a person adversely affected by the interlocutory injunction being assessed differently from the claim of any other person. As the Commonwealth noted, s 64 of the </w:t>
      </w:r>
      <w:r w:rsidRPr="00AB1A14">
        <w:rPr>
          <w:rFonts w:ascii="Times New Roman" w:hAnsi="Times New Roman"/>
          <w:i/>
          <w:iCs/>
        </w:rPr>
        <w:t>Judiciary Act 1903</w:t>
      </w:r>
      <w:r w:rsidRPr="00AB1A14">
        <w:rPr>
          <w:rFonts w:ascii="Times New Roman" w:hAnsi="Times New Roman"/>
        </w:rPr>
        <w:t xml:space="preserve"> (Cth) provides that "[i]n any suit to which the Commonwealth … is a party, the rights of parties shall as nearly as possible be the same, and judgment may be given …  as in a suit between subject and subject". No reason to apply s 64 other than in accordance with its terms is apparent. As the Commonwealth submitted: </w:t>
      </w:r>
    </w:p>
    <w:p w14:paraId="42C04FE6" w14:textId="77777777" w:rsidR="00CC75FC" w:rsidRDefault="00CC75FC" w:rsidP="00AB1A14">
      <w:pPr>
        <w:pStyle w:val="leftright"/>
        <w:spacing w:before="0" w:after="260" w:line="280" w:lineRule="exact"/>
        <w:ind w:right="0"/>
        <w:jc w:val="both"/>
        <w:rPr>
          <w:rFonts w:ascii="Times New Roman" w:hAnsi="Times New Roman"/>
        </w:rPr>
      </w:pPr>
      <w:r>
        <w:rPr>
          <w:rFonts w:ascii="Times New Roman" w:hAnsi="Times New Roman"/>
        </w:rPr>
        <w:tab/>
      </w:r>
      <w:r w:rsidRPr="00AB1A14">
        <w:rPr>
          <w:rFonts w:ascii="Times New Roman" w:hAnsi="Times New Roman"/>
        </w:rPr>
        <w:t>"The result of the interlocutory injunction was a real and substantial overpayment by the Commonwealth of PBS subsidies, the primary beneficiary of which was Sanofi. Such effects are within the concept of adverse effect. They were within Sanofi</w:t>
      </w:r>
      <w:r>
        <w:rPr>
          <w:rFonts w:ascii="Times New Roman" w:hAnsi="Times New Roman"/>
        </w:rPr>
        <w:t>'</w:t>
      </w:r>
      <w:r w:rsidRPr="00AB1A14">
        <w:rPr>
          <w:rFonts w:ascii="Times New Roman" w:hAnsi="Times New Roman"/>
        </w:rPr>
        <w:t>s contemplation when it approached the Court for an injunction. Its evidence before Gyles J concerned the operation of the PBS and the effect it would have on Sanofi should Apotex’s clopidogrel products be listed on the PBS. That evidence was a key reason for his Honour making the injunction that he did ..."</w:t>
      </w:r>
    </w:p>
    <w:p w14:paraId="66C5EFF0" w14:textId="77777777" w:rsidR="00CC75FC" w:rsidRPr="00AB1A14" w:rsidRDefault="00CC75FC" w:rsidP="00AB1A14">
      <w:pPr>
        <w:pStyle w:val="HeadingL2"/>
        <w:spacing w:after="260" w:line="280" w:lineRule="exact"/>
        <w:ind w:right="0"/>
        <w:jc w:val="both"/>
        <w:rPr>
          <w:rFonts w:ascii="Times New Roman" w:hAnsi="Times New Roman"/>
        </w:rPr>
      </w:pPr>
      <w:r w:rsidRPr="00AB1A14">
        <w:rPr>
          <w:rFonts w:ascii="Times New Roman" w:hAnsi="Times New Roman"/>
        </w:rPr>
        <w:t>Ground 7</w:t>
      </w:r>
    </w:p>
    <w:p w14:paraId="5292ABAB"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Ground 7 is opportunistic at best and approaching an abuse of process at worst.</w:t>
      </w:r>
      <w:r w:rsidRPr="00AB1A14">
        <w:rPr>
          <w:rStyle w:val="FootnoteReference"/>
          <w:rFonts w:ascii="Times New Roman" w:hAnsi="Times New Roman"/>
          <w:sz w:val="24"/>
        </w:rPr>
        <w:footnoteReference w:id="327"/>
      </w:r>
      <w:r w:rsidRPr="00AB1A14">
        <w:rPr>
          <w:rFonts w:ascii="Times New Roman" w:hAnsi="Times New Roman"/>
        </w:rPr>
        <w:t xml:space="preserve"> Sanofi has already argued and lost the same point in the same proceeding in circumstances where it was refused special leave to appeal against that fully reasoned loss in the Full Court of the Federal Court of Australia and where there has been no material change in circumstances to justify the re-litigation of the point.</w:t>
      </w:r>
      <w:r w:rsidRPr="00AB1A14">
        <w:rPr>
          <w:rStyle w:val="FootnoteReference"/>
          <w:rFonts w:ascii="Times New Roman" w:hAnsi="Times New Roman"/>
          <w:sz w:val="24"/>
        </w:rPr>
        <w:footnoteReference w:id="328"/>
      </w:r>
      <w:r w:rsidRPr="00AB1A14">
        <w:rPr>
          <w:rFonts w:ascii="Times New Roman" w:hAnsi="Times New Roman"/>
        </w:rPr>
        <w:t xml:space="preserve"> </w:t>
      </w:r>
    </w:p>
    <w:p w14:paraId="5FD0A506" w14:textId="77777777" w:rsidR="00CC75FC" w:rsidRPr="00AB1A14" w:rsidRDefault="00CC75FC" w:rsidP="00AB1A14">
      <w:pPr>
        <w:pStyle w:val="FixListStyle"/>
        <w:spacing w:after="260" w:line="280" w:lineRule="exact"/>
        <w:ind w:right="0"/>
        <w:jc w:val="both"/>
        <w:rPr>
          <w:rFonts w:ascii="Times New Roman" w:hAnsi="Times New Roman"/>
        </w:rPr>
      </w:pPr>
      <w:r w:rsidRPr="00AB1A14">
        <w:rPr>
          <w:rFonts w:ascii="Times New Roman" w:hAnsi="Times New Roman"/>
        </w:rPr>
        <w:tab/>
        <w:t xml:space="preserve">Repetition does not improve the point. Chapter 3, Pt 3-2, Div 2 of the </w:t>
      </w:r>
      <w:r w:rsidRPr="00AB1A14">
        <w:rPr>
          <w:rFonts w:ascii="Times New Roman" w:hAnsi="Times New Roman"/>
          <w:i/>
          <w:iCs/>
        </w:rPr>
        <w:t>Therapeutic Goods Act</w:t>
      </w:r>
      <w:r w:rsidRPr="00AB1A14">
        <w:rPr>
          <w:rFonts w:ascii="Times New Roman" w:hAnsi="Times New Roman"/>
        </w:rPr>
        <w:t xml:space="preserve"> is not a code. As the Full Court observed in dismissing </w:t>
      </w:r>
      <w:r w:rsidRPr="00AB1A14">
        <w:rPr>
          <w:rFonts w:ascii="Times New Roman" w:hAnsi="Times New Roman"/>
        </w:rPr>
        <w:lastRenderedPageBreak/>
        <w:t>Sanofi's arguments the first time around: (a) "Div 2 of Pt 3-2 of Ch 3 of the [</w:t>
      </w:r>
      <w:r w:rsidRPr="00AB1A14">
        <w:rPr>
          <w:rFonts w:ascii="Times New Roman" w:hAnsi="Times New Roman"/>
          <w:i/>
          <w:iCs/>
        </w:rPr>
        <w:t>Therapeutic Goods Act</w:t>
      </w:r>
      <w:r w:rsidRPr="00AB1A14">
        <w:rPr>
          <w:rFonts w:ascii="Times New Roman" w:hAnsi="Times New Roman"/>
        </w:rPr>
        <w:t>] does not include any express restriction which prevents the Commonwealth, or any other person, from recovering under the usual undertaking as to damages in the ordinary way in circumstances where the patentee fails to obtain a final injunction but is not shown to have engaged in any relevant misconduct";</w:t>
      </w:r>
      <w:r w:rsidRPr="00AB1A14">
        <w:rPr>
          <w:rStyle w:val="FootnoteReference"/>
          <w:rFonts w:ascii="Times New Roman" w:hAnsi="Times New Roman"/>
          <w:sz w:val="24"/>
        </w:rPr>
        <w:footnoteReference w:id="329"/>
      </w:r>
      <w:r w:rsidRPr="00AB1A14">
        <w:rPr>
          <w:rFonts w:ascii="Times New Roman" w:hAnsi="Times New Roman"/>
        </w:rPr>
        <w:t xml:space="preserve"> (b) "the notion that Div 2 might operate as an exhaustive code in respect of the Commonwealth's claim but not the claim of the applicant for registration, does not reflect a rational legislative choice";</w:t>
      </w:r>
      <w:r w:rsidRPr="00AB1A14">
        <w:rPr>
          <w:rStyle w:val="FootnoteReference"/>
          <w:rFonts w:ascii="Times New Roman" w:hAnsi="Times New Roman"/>
          <w:sz w:val="24"/>
        </w:rPr>
        <w:footnoteReference w:id="330"/>
      </w:r>
      <w:r w:rsidRPr="00AB1A14">
        <w:rPr>
          <w:rFonts w:ascii="Times New Roman" w:hAnsi="Times New Roman"/>
        </w:rPr>
        <w:t xml:space="preserve"> (c) the "contrary view of Div 2 is likely to produce results that are inconvenient and unjust";</w:t>
      </w:r>
      <w:r w:rsidRPr="00AB1A14">
        <w:rPr>
          <w:rStyle w:val="FootnoteReference"/>
          <w:rFonts w:ascii="Times New Roman" w:hAnsi="Times New Roman"/>
          <w:sz w:val="24"/>
        </w:rPr>
        <w:footnoteReference w:id="331"/>
      </w:r>
      <w:r w:rsidRPr="00AB1A14">
        <w:rPr>
          <w:rFonts w:ascii="Times New Roman" w:hAnsi="Times New Roman"/>
        </w:rPr>
        <w:t xml:space="preserve"> (d) s 26C "has nothing to say about the entitlement of the Commonwealth to recover under the usual undertaking as to damages. In particular, s 26C(5) to (8) are essentially concerned with ... permitting the Commonwealth ... to recover damages where a false or misleading certificate is given by the patentee prior to commencing proceedings in which an interlocutory injunction is obtained";</w:t>
      </w:r>
      <w:r w:rsidRPr="00AB1A14">
        <w:rPr>
          <w:rStyle w:val="FootnoteReference"/>
          <w:rFonts w:ascii="Times New Roman" w:hAnsi="Times New Roman"/>
          <w:sz w:val="24"/>
        </w:rPr>
        <w:footnoteReference w:id="332"/>
      </w:r>
      <w:r w:rsidRPr="00AB1A14">
        <w:rPr>
          <w:rFonts w:ascii="Times New Roman" w:hAnsi="Times New Roman"/>
        </w:rPr>
        <w:t xml:space="preserve"> and (e) there "is nothing in the ... relevant legislative history to suggest that ss 26B, 26C and 26D were intended to curtail the right of any person, including ... the Commonwealth ... to recover on a usual undertaking as to damages given by a patentee as a condition of obtaining an interlocutory injunction".</w:t>
      </w:r>
      <w:r w:rsidRPr="00AB1A14">
        <w:rPr>
          <w:rStyle w:val="FootnoteReference"/>
          <w:rFonts w:ascii="Times New Roman" w:hAnsi="Times New Roman"/>
          <w:sz w:val="24"/>
        </w:rPr>
        <w:footnoteReference w:id="333"/>
      </w:r>
    </w:p>
    <w:p w14:paraId="6257B237" w14:textId="77777777" w:rsidR="00CC75FC" w:rsidRPr="00AB1A14" w:rsidRDefault="00CC75FC" w:rsidP="00AB1A14">
      <w:pPr>
        <w:pStyle w:val="HeadingL1"/>
        <w:spacing w:after="260" w:line="280" w:lineRule="exact"/>
        <w:ind w:right="0"/>
        <w:jc w:val="both"/>
        <w:rPr>
          <w:rFonts w:ascii="Times New Roman" w:hAnsi="Times New Roman"/>
        </w:rPr>
      </w:pPr>
      <w:r w:rsidRPr="00AB1A14">
        <w:rPr>
          <w:rFonts w:ascii="Times New Roman" w:hAnsi="Times New Roman"/>
        </w:rPr>
        <w:t>Conclusion and orders</w:t>
      </w:r>
    </w:p>
    <w:p w14:paraId="3DB98F80" w14:textId="77777777" w:rsidR="00067C14" w:rsidRDefault="00CC75FC" w:rsidP="00CC75FC">
      <w:pPr>
        <w:pStyle w:val="FixListStyle"/>
        <w:spacing w:after="260" w:line="280" w:lineRule="exact"/>
        <w:ind w:right="0"/>
        <w:jc w:val="both"/>
        <w:rPr>
          <w:rFonts w:ascii="Times New Roman" w:hAnsi="Times New Roman"/>
        </w:rPr>
      </w:pPr>
      <w:r w:rsidRPr="00AB1A14">
        <w:rPr>
          <w:rFonts w:ascii="Times New Roman" w:hAnsi="Times New Roman"/>
        </w:rPr>
        <w:tab/>
        <w:t>The Commonwealth's appeal on ground 2 should succeed. Sanofi's notice of contention should fail. The orders of the Full Court made on 26 June 2023 and order 1 of the orders of the Federal Court of Australia made on 28 April 2020 should be set aside.</w:t>
      </w:r>
      <w:r w:rsidRPr="00AB1A14" w:rsidDel="00B62D61">
        <w:rPr>
          <w:rFonts w:ascii="Times New Roman" w:hAnsi="Times New Roman"/>
        </w:rPr>
        <w:t xml:space="preserve"> </w:t>
      </w:r>
      <w:r w:rsidRPr="00AB1A14">
        <w:rPr>
          <w:rFonts w:ascii="Times New Roman" w:hAnsi="Times New Roman"/>
        </w:rPr>
        <w:t>The matter should be remitted to a newly constituted Full Court for determination of grounds 2, 3, 5 and 6 of Sanofi's notice of contention.</w:t>
      </w:r>
      <w:r w:rsidRPr="00AB1A14" w:rsidDel="00B62D61">
        <w:rPr>
          <w:rFonts w:ascii="Times New Roman" w:hAnsi="Times New Roman"/>
        </w:rPr>
        <w:t xml:space="preserve"> </w:t>
      </w:r>
      <w:r w:rsidRPr="00AB1A14">
        <w:rPr>
          <w:rFonts w:ascii="Times New Roman" w:hAnsi="Times New Roman"/>
        </w:rPr>
        <w:t xml:space="preserve">The respondents should pay the appellant's costs of the proceedings below to date and of the appeal to this Court. </w:t>
      </w:r>
    </w:p>
    <w:p w14:paraId="5EDA7723" w14:textId="77777777" w:rsidR="00067C14" w:rsidRDefault="00067C14" w:rsidP="00CC75FC">
      <w:pPr>
        <w:pStyle w:val="FixListStyle"/>
        <w:spacing w:after="260" w:line="280" w:lineRule="exact"/>
        <w:ind w:right="0"/>
        <w:jc w:val="both"/>
        <w:rPr>
          <w:rFonts w:ascii="Times New Roman" w:hAnsi="Times New Roman"/>
        </w:rPr>
        <w:sectPr w:rsidR="00067C14" w:rsidSect="00CC75FC">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1E3EF7BA" w14:textId="77777777" w:rsidR="00067C14" w:rsidRPr="006519AA" w:rsidRDefault="00067C14" w:rsidP="00582158">
      <w:pPr>
        <w:pStyle w:val="FixListStyle"/>
        <w:tabs>
          <w:tab w:val="clear" w:pos="720"/>
          <w:tab w:val="left" w:pos="0"/>
        </w:tabs>
        <w:spacing w:after="260" w:line="240" w:lineRule="auto"/>
        <w:ind w:right="0"/>
        <w:jc w:val="both"/>
        <w:rPr>
          <w:rFonts w:ascii="Times New Roman" w:hAnsi="Times New Roman"/>
        </w:rPr>
      </w:pPr>
      <w:r w:rsidRPr="006519AA">
        <w:rPr>
          <w:rFonts w:ascii="Times New Roman" w:hAnsi="Times New Roman"/>
        </w:rPr>
        <w:lastRenderedPageBreak/>
        <w:t>BEECH-JONES J.   When a well-resourced and sophisticated litigant, such as a pharmaceutical company, approaches a court seeking an injunction to restrain another well-resourced and sophisticated litigant from launching a competing drug, both litigants should be held to the unqualified statements each make to the court as to their intentions and the risks each assumes in seeking and resisting the injunction.</w:t>
      </w:r>
    </w:p>
    <w:p w14:paraId="70B25383"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premise of the reasoning of the courts below is that if one of those litigants informed a court that, absent an injunction restraining them from doing so, they intended to launch a product on the market when that was not their intention, then that would not be deceitful conduct attracting severe consequences. That premise should not be countenanced. When the unequivocal statements made on behalf of Apotex Australia Pty Ltd (formerly known as GenRx Pty Ltd) ("Apotex Australia") to the Federal Court of Australia on 18 September 2007 about its intention to launch its range of clopidogrel pharmaceutical products are understood in that context, then the findings of the courts below cannot be sustained and the appellant, the Commonwealth of Australia, should succeed.</w:t>
      </w:r>
    </w:p>
    <w:p w14:paraId="043ACA98"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full circumstances and issues arising in this appeal, including the notice of contention, are set out in the judgment of Jagot J. Subject to what follows I agree with her Honour's reasoning on all issues.</w:t>
      </w:r>
    </w:p>
    <w:p w14:paraId="5E7AE263"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Background</w:t>
      </w:r>
    </w:p>
    <w:p w14:paraId="2B4BE082"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7 June 1990, the first respondent, Sanofi (formerly Sanofi-Aventis), was granted an Australian patent for the drug "clopidogrel". In August 2007, Apotex Australia commenced proceedings in the Federal Court seeking the revocation of the patent ("the revocation proceedings"). On 17 September 2007, Sanofi filed a cross-claim seeking final relief in respect of a threatened infringement of the patent by Apotex Australia. Sanofi also filed an application for an interlocutory injunction restraining any infringement by Apotex Australia pending a final hearing of its cross-claim. The hearing of the application for the interlocutory injunction took place before Gyles J on 18 September 2007. On 21 September 2007, his Honour delivered ex tempore reasons for granting the injunction. On 25 September 2007, his Honour published revised reasons for granting the interlocutory injunction,</w:t>
      </w:r>
      <w:r w:rsidRPr="006519AA">
        <w:rPr>
          <w:rStyle w:val="FootnoteReference"/>
          <w:rFonts w:ascii="Times New Roman" w:hAnsi="Times New Roman"/>
          <w:sz w:val="24"/>
        </w:rPr>
        <w:footnoteReference w:id="334"/>
      </w:r>
      <w:r w:rsidRPr="006519AA">
        <w:rPr>
          <w:rFonts w:ascii="Times New Roman" w:hAnsi="Times New Roman"/>
        </w:rPr>
        <w:t xml:space="preserve"> noted Sanofi's undertaking as to damages and made injunctive orders restraining Apotex Australia from, inter alia, making, selling, importing or otherwise disposing of clopidogrel products.</w:t>
      </w:r>
    </w:p>
    <w:p w14:paraId="18F0AE53"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On 20 February 2008, another pharmaceutical company, Spirit Pharmaceuticals Pty Ltd, filed an application seeking revocation of Sanofi's patent. </w:t>
      </w:r>
      <w:r w:rsidRPr="006519AA">
        <w:rPr>
          <w:rFonts w:ascii="Times New Roman" w:hAnsi="Times New Roman"/>
        </w:rPr>
        <w:lastRenderedPageBreak/>
        <w:t>The final hearing of that proceeding and the revocation proceedings commenced before Gyles</w:t>
      </w:r>
      <w:r>
        <w:rPr>
          <w:rFonts w:ascii="Times New Roman" w:hAnsi="Times New Roman"/>
        </w:rPr>
        <w:t> </w:t>
      </w:r>
      <w:r w:rsidRPr="006519AA">
        <w:rPr>
          <w:rFonts w:ascii="Times New Roman" w:hAnsi="Times New Roman"/>
        </w:rPr>
        <w:t>J on 28 April 2008. On 12 August 2008, judgment was delivered.</w:t>
      </w:r>
      <w:r w:rsidRPr="006519AA">
        <w:rPr>
          <w:rStyle w:val="FootnoteReference"/>
          <w:rFonts w:ascii="Times New Roman" w:hAnsi="Times New Roman"/>
          <w:sz w:val="24"/>
        </w:rPr>
        <w:footnoteReference w:id="335"/>
      </w:r>
      <w:r w:rsidRPr="006519AA">
        <w:rPr>
          <w:rFonts w:ascii="Times New Roman" w:hAnsi="Times New Roman"/>
        </w:rPr>
        <w:t xml:space="preserve"> Apotex Australia was only partly successful in seeking to have the patent revoked.</w:t>
      </w:r>
      <w:r w:rsidRPr="006519AA">
        <w:rPr>
          <w:rStyle w:val="FootnoteReference"/>
          <w:rFonts w:ascii="Times New Roman" w:hAnsi="Times New Roman"/>
          <w:sz w:val="24"/>
        </w:rPr>
        <w:footnoteReference w:id="336"/>
      </w:r>
      <w:r w:rsidRPr="006519AA">
        <w:rPr>
          <w:rFonts w:ascii="Times New Roman" w:hAnsi="Times New Roman"/>
        </w:rPr>
        <w:t xml:space="preserve"> Apotex Australia appealed the judgment of Gyles</w:t>
      </w:r>
      <w:r>
        <w:rPr>
          <w:rFonts w:ascii="Times New Roman" w:hAnsi="Times New Roman"/>
        </w:rPr>
        <w:t> </w:t>
      </w:r>
      <w:r w:rsidRPr="006519AA">
        <w:rPr>
          <w:rFonts w:ascii="Times New Roman" w:hAnsi="Times New Roman"/>
        </w:rPr>
        <w:t>J to the Full Court of the Federal Court. On 29 September 2009, the Full Court upheld Apotex Australia's appeal.</w:t>
      </w:r>
      <w:r w:rsidRPr="006519AA">
        <w:rPr>
          <w:rStyle w:val="FootnoteReference"/>
          <w:rFonts w:ascii="Times New Roman" w:hAnsi="Times New Roman"/>
          <w:sz w:val="24"/>
        </w:rPr>
        <w:footnoteReference w:id="337"/>
      </w:r>
      <w:r w:rsidRPr="006519AA">
        <w:rPr>
          <w:rFonts w:ascii="Times New Roman" w:hAnsi="Times New Roman"/>
        </w:rPr>
        <w:t xml:space="preserve"> On 13 October 2009, the Full Court made orders revoking the entirety of Sanofi's patent. Sanofi sought special leave to appeal from those orders to this Court. The application for special leave to appeal from the decision of the Full Court to this Court was refused on 12 March 2010.</w:t>
      </w:r>
    </w:p>
    <w:p w14:paraId="645C6A7C"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undertaking as to damages proffered by Sanofi to the Federal Court on 25</w:t>
      </w:r>
      <w:r>
        <w:rPr>
          <w:rFonts w:ascii="Times New Roman" w:hAnsi="Times New Roman"/>
        </w:rPr>
        <w:t> </w:t>
      </w:r>
      <w:r w:rsidRPr="006519AA">
        <w:rPr>
          <w:rFonts w:ascii="Times New Roman" w:hAnsi="Times New Roman"/>
        </w:rPr>
        <w:t>September 2007 in support of the interlocutory injunction against Apotex Australia obliged Sanofi to pay compensation to any person adversely affected by the injunction, whether or not that person was a party to the litigation.</w:t>
      </w:r>
      <w:r w:rsidRPr="006519AA">
        <w:rPr>
          <w:rStyle w:val="FootnoteReference"/>
          <w:rFonts w:ascii="Times New Roman" w:hAnsi="Times New Roman"/>
          <w:sz w:val="24"/>
        </w:rPr>
        <w:footnoteReference w:id="338"/>
      </w:r>
      <w:r w:rsidRPr="006519AA">
        <w:rPr>
          <w:rFonts w:ascii="Times New Roman" w:hAnsi="Times New Roman"/>
        </w:rPr>
        <w:t xml:space="preserve"> In 2013, the Commonwealth applied for payment of compensation by Sanofi pursuant to that undertaking.</w:t>
      </w:r>
    </w:p>
    <w:p w14:paraId="486E0A1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The Commonwealth's application for compensation was heard in 2017. The Commonwealth sought recovery of an amount representing the difference between the price subsidies it paid for the supply of clopidogrel under the Pharmaceutical Benefits Scheme ("the PBS") on and from 1 April 2008, and the reduced amount of price subsidies it would have paid had Apotex Australia obtained a listing </w:t>
      </w:r>
      <w:r>
        <w:rPr>
          <w:rFonts w:ascii="Times New Roman" w:hAnsi="Times New Roman"/>
        </w:rPr>
        <w:t>on</w:t>
      </w:r>
      <w:r w:rsidRPr="006519AA">
        <w:rPr>
          <w:rFonts w:ascii="Times New Roman" w:hAnsi="Times New Roman"/>
        </w:rPr>
        <w:t xml:space="preserve"> the PBS for its clopidogrel products from that date. It was common ground that one of the effects of the legislative provisions governing the PBS was that,</w:t>
      </w:r>
      <w:r w:rsidRPr="006519AA">
        <w:rPr>
          <w:rStyle w:val="FootnoteReference"/>
          <w:rFonts w:ascii="Times New Roman" w:hAnsi="Times New Roman"/>
          <w:sz w:val="24"/>
        </w:rPr>
        <w:footnoteReference w:id="339"/>
      </w:r>
      <w:r w:rsidRPr="006519AA">
        <w:rPr>
          <w:rFonts w:ascii="Times New Roman" w:hAnsi="Times New Roman"/>
        </w:rPr>
        <w:t xml:space="preserve"> if Apotex Australia obtained a listing on 1</w:t>
      </w:r>
      <w:r>
        <w:rPr>
          <w:rFonts w:ascii="Times New Roman" w:hAnsi="Times New Roman"/>
        </w:rPr>
        <w:t> </w:t>
      </w:r>
      <w:r w:rsidRPr="006519AA">
        <w:rPr>
          <w:rFonts w:ascii="Times New Roman" w:hAnsi="Times New Roman"/>
        </w:rPr>
        <w:t>April 2008, it would have triggered a 12.5% reduction in the price of supply of clopidogrel with a consequential reduction in the subsidy paid by the Commonwealth. The Commonwealth also contended that other aspects of the legislative scheme would have resulted in further price reductions.</w:t>
      </w:r>
    </w:p>
    <w:p w14:paraId="4084DAAF"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lastRenderedPageBreak/>
        <w:tab/>
        <w:t>The Commonwealth's claim for compensation rested on the contention that, if Sanofi's claim for an interlocutory injunction had been refused, Apotex Australia would have sought and obtained a PBS listing for its clopidogrel products with effect from 1 April 2008 and would have sold its clopidogrel products from that date even though, if the validity of Sanofi's patent was upheld, Apotex Australia would have been exposed to a damages claim ("a launch at risk"). The injunctive relief granted by Gyles J against Apotex Australia did not specifically restrain it from having its products listed on the PBS. In fact, Apotex Australia gave an undertaking that it would not seek such a listing and that undertaking was not supported by Sanofi's undertaking as to damages. However, for the reasons given by Jagot J,</w:t>
      </w:r>
      <w:r w:rsidRPr="006519AA">
        <w:rPr>
          <w:rStyle w:val="FootnoteReference"/>
          <w:rFonts w:ascii="Times New Roman" w:hAnsi="Times New Roman"/>
          <w:sz w:val="24"/>
        </w:rPr>
        <w:footnoteReference w:id="340"/>
      </w:r>
      <w:r w:rsidRPr="006519AA">
        <w:rPr>
          <w:rFonts w:ascii="Times New Roman" w:hAnsi="Times New Roman"/>
        </w:rPr>
        <w:t xml:space="preserve"> the injunction granted by Gyles J had the practical effect of preventing Apotex Australia from seeking a PBS listing and any loss to the Commonwealth that flows from that failure was caused by the injunction. Further, it was common ground during the hearing before Gyles J that, had Apotex Australia applied for a listing on the PBS, its application would have been granted.</w:t>
      </w:r>
    </w:p>
    <w:p w14:paraId="43C6415E"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It follows that the critical factual issue on which the Commonwealth's claim depended was whether, had the injunction been refused, Apotex Australia would have sought to have its clopidogrel products listed on the PBS with effect from 1 April 2008 and would have launched its clopidogrel products at risk. The primary judge did not accept that the Commonwealth proved that on the balance of probabilities</w:t>
      </w:r>
      <w:r w:rsidRPr="006519AA">
        <w:rPr>
          <w:rStyle w:val="FootnoteReference"/>
          <w:rFonts w:ascii="Times New Roman" w:hAnsi="Times New Roman"/>
          <w:sz w:val="24"/>
        </w:rPr>
        <w:footnoteReference w:id="341"/>
      </w:r>
      <w:r w:rsidRPr="006519AA">
        <w:rPr>
          <w:rFonts w:ascii="Times New Roman" w:hAnsi="Times New Roman"/>
        </w:rPr>
        <w:t xml:space="preserve"> and the Full Court upheld the primary judge's finding.</w:t>
      </w:r>
      <w:r w:rsidRPr="006519AA">
        <w:rPr>
          <w:rStyle w:val="FootnoteReference"/>
          <w:rFonts w:ascii="Times New Roman" w:hAnsi="Times New Roman"/>
          <w:sz w:val="24"/>
        </w:rPr>
        <w:footnoteReference w:id="342"/>
      </w:r>
    </w:p>
    <w:p w14:paraId="27C68C2A"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The appeal in this Court</w:t>
      </w:r>
    </w:p>
    <w:p w14:paraId="06FBF902"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By a grant of special leave to appeal, the Commonwealth appealed the decision of the Full Court to this Court. The Commonwealth's notice of appeal contained two grounds of appeal. The first ground sought to raise an issue of principle about shifting evidential burdens in respect of applications for compensation pursuant to an undertaking as to damages contingent, as they are, upon the demonstration of the counterfactual of what would have happened had the injunction been refused.</w:t>
      </w:r>
    </w:p>
    <w:p w14:paraId="0B8C7BB9"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It is not necessary to address the first ground of the Commonwealth's appeal in any detail. It suffices to state that the Commonwealth bore the legal onus of </w:t>
      </w:r>
      <w:r w:rsidRPr="006519AA">
        <w:rPr>
          <w:rFonts w:ascii="Times New Roman" w:hAnsi="Times New Roman"/>
        </w:rPr>
        <w:lastRenderedPageBreak/>
        <w:t>proof</w:t>
      </w:r>
      <w:r w:rsidRPr="006519AA">
        <w:rPr>
          <w:rStyle w:val="FootnoteReference"/>
          <w:rFonts w:ascii="Times New Roman" w:hAnsi="Times New Roman"/>
          <w:sz w:val="24"/>
        </w:rPr>
        <w:footnoteReference w:id="343"/>
      </w:r>
      <w:r w:rsidRPr="006519AA">
        <w:rPr>
          <w:rFonts w:ascii="Times New Roman" w:hAnsi="Times New Roman"/>
        </w:rPr>
        <w:t xml:space="preserve"> and had to establish that, but for the injunction, damage would have been suffered,</w:t>
      </w:r>
      <w:r w:rsidRPr="006519AA">
        <w:rPr>
          <w:rStyle w:val="FootnoteReference"/>
          <w:rFonts w:ascii="Times New Roman" w:hAnsi="Times New Roman"/>
          <w:sz w:val="24"/>
        </w:rPr>
        <w:footnoteReference w:id="344"/>
      </w:r>
      <w:r w:rsidRPr="006519AA">
        <w:rPr>
          <w:rFonts w:ascii="Times New Roman" w:hAnsi="Times New Roman"/>
        </w:rPr>
        <w:t xml:space="preserve"> although that should not be taken as excluding the award of compensation for the loss of a valuable commercial opportunity. In considering whether that burden has been discharged, regard must be had to the distinction between damage flowing from the injunction and damage flowing from the litigation itself.</w:t>
      </w:r>
      <w:r w:rsidRPr="006519AA">
        <w:rPr>
          <w:rStyle w:val="FootnoteReference"/>
          <w:rFonts w:ascii="Times New Roman" w:hAnsi="Times New Roman"/>
          <w:sz w:val="24"/>
        </w:rPr>
        <w:footnoteReference w:id="345"/>
      </w:r>
      <w:r w:rsidRPr="006519AA">
        <w:rPr>
          <w:rFonts w:ascii="Times New Roman" w:hAnsi="Times New Roman"/>
        </w:rPr>
        <w:t xml:space="preserve"> Otherwise, questions of shifting evidential onuses or burdens fall to be determined by reference to established principles, the application of which are case dependent on the evidence each party adduces and what each party contends.</w:t>
      </w:r>
      <w:r w:rsidRPr="006519AA">
        <w:rPr>
          <w:rStyle w:val="FootnoteReference"/>
          <w:rFonts w:ascii="Times New Roman" w:hAnsi="Times New Roman"/>
          <w:sz w:val="24"/>
        </w:rPr>
        <w:footnoteReference w:id="346"/>
      </w:r>
    </w:p>
    <w:p w14:paraId="2773325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balance of these reasons concern the Commonwealth's second ground of appeal. That ground contends that "[t]he Full Court erred in failing to find, by inference from the evidence, that in the absence of the interlocutory injunction, it was likely that Dr Sherman would have reconfirmed the plan to seek PBS listing". The reference to "Dr Sherman" is to Dr Bernard ("Barry") Sherman who was the ultimate controller of Apotex Australia. The reference to "inference" in this ground of appeal needs to be treated with caution. The Commonwealth's case concerned the establishment of a counterfactual, namely whether Apotex Australia would have listed its clopidogrel products and launched at risk from 1 April 2008 had the injunction been refused. However, as explained below, the Commonwealth sought to prove that "inference" by principally relying on direct evidence as to Apotex Australia's intentions up to and including the time the injunction was granted.</w:t>
      </w:r>
    </w:p>
    <w:p w14:paraId="095DF33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During the appeal there was debate about the point in time at which the counterfactual inquiry commenced for the purpose of determining the Commonwealth's claim on the undertaking as to damages. On one view, it commenced when Gyles J gave ex tempore reasons for granting the injunction (21 September 2007) and on another, it only commenced when the injunctive orders were made (25 September 2007). According to Sanofi it did not commence until 28 days after the injunction was granted because, had the injunction been refused, that was the time when Apotex Australia would have been obliged to provide $50 million in security for Sanofi's claim for damages</w:t>
      </w:r>
      <w:r w:rsidRPr="00FA21A7">
        <w:rPr>
          <w:rFonts w:ascii="Times New Roman" w:hAnsi="Times New Roman"/>
        </w:rPr>
        <w:t>.</w:t>
      </w:r>
      <w:r w:rsidRPr="006519AA">
        <w:rPr>
          <w:rStyle w:val="FootnoteReference"/>
          <w:rFonts w:ascii="Times New Roman" w:hAnsi="Times New Roman"/>
          <w:b w:val="0"/>
          <w:bCs/>
          <w:sz w:val="24"/>
        </w:rPr>
        <w:footnoteReference w:id="347"/>
      </w:r>
    </w:p>
    <w:p w14:paraId="7447674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lastRenderedPageBreak/>
        <w:tab/>
        <w:t>Sanofi's contention as to the time when the counterfactual commences should be rejected. On any view, had the injunction been refused by Gyles J, then any further consideration by Apotex Australia of whether to list and launch and, if so, when, would have commenced immediately upon learning that there was no restriction on it doing so. Otherwise, it</w:t>
      </w:r>
      <w:r w:rsidRPr="006519AA">
        <w:rPr>
          <w:rFonts w:ascii="Times New Roman" w:hAnsi="Times New Roman"/>
          <w:b/>
          <w:bCs/>
        </w:rPr>
        <w:t xml:space="preserve"> </w:t>
      </w:r>
      <w:r w:rsidRPr="006519AA">
        <w:rPr>
          <w:rFonts w:ascii="Times New Roman" w:hAnsi="Times New Roman"/>
        </w:rPr>
        <w:t>is not necessary to resolve precisely when the counterfactual inquiry commences, although, as noted by Jagot J,</w:t>
      </w:r>
      <w:r w:rsidRPr="006519AA">
        <w:rPr>
          <w:rStyle w:val="FootnoteReference"/>
          <w:rFonts w:ascii="Times New Roman" w:hAnsi="Times New Roman"/>
          <w:sz w:val="24"/>
        </w:rPr>
        <w:footnoteReference w:id="348"/>
      </w:r>
      <w:r w:rsidRPr="006519AA">
        <w:rPr>
          <w:rFonts w:ascii="Times New Roman" w:hAnsi="Times New Roman"/>
        </w:rPr>
        <w:t xml:space="preserve"> that inquiry must exclude any consideration of the reasons why Gyles J might have refused the injunction. It also must exclude consideration of the actual reasons given by Gyles J for granting the injunction (and most likely any views expressed by his Honour during the course of the interlocutory hearing about the strength of each party's case). However, the parties did not contend that it excluded consideration of any statement made to Gyles J during the hearing of the application for the interlocutory injunction.</w:t>
      </w:r>
    </w:p>
    <w:p w14:paraId="72511B4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Regardless of whether the analysis changed from ascertaining past actual events to counterfactual events on 21</w:t>
      </w:r>
      <w:r>
        <w:rPr>
          <w:rFonts w:ascii="Times New Roman" w:hAnsi="Times New Roman"/>
        </w:rPr>
        <w:t> </w:t>
      </w:r>
      <w:r w:rsidRPr="006519AA">
        <w:rPr>
          <w:rFonts w:ascii="Times New Roman" w:hAnsi="Times New Roman"/>
        </w:rPr>
        <w:t>September 2007 or 25</w:t>
      </w:r>
      <w:r>
        <w:rPr>
          <w:rFonts w:ascii="Times New Roman" w:hAnsi="Times New Roman"/>
        </w:rPr>
        <w:t> </w:t>
      </w:r>
      <w:r w:rsidRPr="006519AA">
        <w:rPr>
          <w:rFonts w:ascii="Times New Roman" w:hAnsi="Times New Roman"/>
        </w:rPr>
        <w:t>September 2007, the outcome is the same, namely that the Commonwealth overwhelmingly proved that, but for the grant of the injunction, Apotex Australia would have had its clopidogrel products listed on the PBS from 1 April 2008 and launched those products at risk. The primary judge and the Full Court were in error in finding otherwise.</w:t>
      </w:r>
    </w:p>
    <w:p w14:paraId="2C8F6328"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The events of 2017</w:t>
      </w:r>
    </w:p>
    <w:p w14:paraId="13DBC79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Before the primary judge, the Commonwealth tendered numerous internal documents that it obtained from Apotex Australia about its decision making and planning from 2006 to 2007, as well as documents concerning the proceedings before Gyles J. Parts of the internal documents were redacted by Apotex Australia on the basis of legal professional privilege; a claim that was accepted by all parties.</w:t>
      </w:r>
      <w:r w:rsidRPr="006519AA">
        <w:rPr>
          <w:rStyle w:val="FootnoteReference"/>
          <w:rFonts w:ascii="Times New Roman" w:hAnsi="Times New Roman"/>
          <w:sz w:val="24"/>
        </w:rPr>
        <w:footnoteReference w:id="349"/>
      </w:r>
      <w:r w:rsidRPr="006519AA">
        <w:rPr>
          <w:rFonts w:ascii="Times New Roman" w:hAnsi="Times New Roman"/>
        </w:rPr>
        <w:t xml:space="preserve"> These documents were admitted without limitation</w:t>
      </w:r>
      <w:r w:rsidRPr="006519AA">
        <w:rPr>
          <w:rStyle w:val="FootnoteReference"/>
          <w:rFonts w:ascii="Times New Roman" w:hAnsi="Times New Roman"/>
          <w:sz w:val="24"/>
        </w:rPr>
        <w:footnoteReference w:id="350"/>
      </w:r>
      <w:r w:rsidRPr="006519AA">
        <w:rPr>
          <w:rFonts w:ascii="Times New Roman" w:hAnsi="Times New Roman"/>
        </w:rPr>
        <w:t xml:space="preserve"> and were evidence of the matters they asserted.</w:t>
      </w:r>
    </w:p>
    <w:p w14:paraId="71844EA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The Commonwealth also adduced evidence from Mr Roger Millichamp, who was the managing director of Apotex Australia throughout the relevant period. Apotex Australia's ultimate holding company was Sherfam Inc. One of the companies in the Apotex group was Apotex Inc ("Apotex Canada"). As noted, the principal and directing mind of Apotex Australia and the corporate structure which it formed part of was Dr Sherman. In his oral evidence, Mr Millichamp said that </w:t>
      </w:r>
      <w:r w:rsidRPr="006519AA">
        <w:rPr>
          <w:rFonts w:ascii="Times New Roman" w:hAnsi="Times New Roman"/>
        </w:rPr>
        <w:lastRenderedPageBreak/>
        <w:t>the strategic decisions in relation to litigation were made at the Apotex group's "HQ" in Canada and that he executed those instructions in Australia.</w:t>
      </w:r>
    </w:p>
    <w:p w14:paraId="7BC97CD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Leaving aside two documents, the documents admitted into evidence concerning Apotex Australia's intentions in the period from February 2007 leading up to the application for the injunction filed on 17</w:t>
      </w:r>
      <w:r>
        <w:rPr>
          <w:rFonts w:ascii="Times New Roman" w:hAnsi="Times New Roman"/>
        </w:rPr>
        <w:t> </w:t>
      </w:r>
      <w:r w:rsidRPr="006519AA">
        <w:rPr>
          <w:rFonts w:ascii="Times New Roman" w:hAnsi="Times New Roman"/>
        </w:rPr>
        <w:t>September 2007 were unequivocal in stating its intention to list and launch its</w:t>
      </w:r>
      <w:bookmarkStart w:id="4" w:name="_Hlk179985962"/>
      <w:r w:rsidRPr="006519AA">
        <w:rPr>
          <w:rFonts w:ascii="Times New Roman" w:hAnsi="Times New Roman"/>
        </w:rPr>
        <w:t xml:space="preserve"> clopidogrel </w:t>
      </w:r>
      <w:bookmarkEnd w:id="4"/>
      <w:r w:rsidRPr="006519AA">
        <w:rPr>
          <w:rFonts w:ascii="Times New Roman" w:hAnsi="Times New Roman"/>
        </w:rPr>
        <w:t>products at risk unless it was restrained by injunction. On 20 February 2007, Dr Sherman emailed Mr Millichamp confirming that, if no injunction was granted, then Apotex Australia would launch its clopidogrel products. This intention was reiterated in subsequent emails sent throughout 2007 between Mr Millichamp and other executives of the Apotex group located in Canada and Australia.</w:t>
      </w:r>
    </w:p>
    <w:p w14:paraId="7BC6EB7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documents tendered by the Commonwealth revealed that Apotex Australia analysed the financial risk of launching in terms of its exposure to Sanofi for damages at around $50 million if it was unsuccessful in seeking to revoke the patent. The documents adduced also demonstrate that Apotex Australia addressed the logistics of manufacturing and distributing its clopidogrel products.</w:t>
      </w:r>
    </w:p>
    <w:p w14:paraId="194335D4"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One document that the primary judge accepted raised a doubt about Apotex Australia's intentions, at least in the period from February 2007 to September 2007, was a partly redacted email sent by Mr Millichamp to Apotex Canada's Corporate Project Manager, Mr Stephen Haas, on 27 June 2007 at 1.59 pm.</w:t>
      </w:r>
      <w:r w:rsidRPr="006519AA">
        <w:rPr>
          <w:rStyle w:val="FootnoteReference"/>
          <w:rFonts w:ascii="Times New Roman" w:hAnsi="Times New Roman"/>
          <w:sz w:val="24"/>
        </w:rPr>
        <w:footnoteReference w:id="351"/>
      </w:r>
      <w:r w:rsidRPr="006519AA">
        <w:rPr>
          <w:rFonts w:ascii="Times New Roman" w:hAnsi="Times New Roman"/>
        </w:rPr>
        <w:t xml:space="preserve"> The email stated, inter alia, that "[i]f we are successful in avoiding an injunction we will plan to launch </w:t>
      </w:r>
      <w:r w:rsidRPr="006519AA">
        <w:rPr>
          <w:rFonts w:ascii="Times New Roman" w:hAnsi="Times New Roman"/>
          <w:i/>
          <w:iCs/>
        </w:rPr>
        <w:t>subject to Barry's further advice / approval</w:t>
      </w:r>
      <w:r w:rsidRPr="006519AA">
        <w:rPr>
          <w:rFonts w:ascii="Times New Roman" w:hAnsi="Times New Roman"/>
        </w:rPr>
        <w:t>" (emphasis added). The primary judge's treatment of this email is addressed below.</w:t>
      </w:r>
      <w:r w:rsidRPr="006519AA">
        <w:rPr>
          <w:rStyle w:val="FootnoteReference"/>
          <w:rFonts w:ascii="Times New Roman" w:hAnsi="Times New Roman"/>
          <w:sz w:val="24"/>
        </w:rPr>
        <w:footnoteReference w:id="352"/>
      </w:r>
      <w:r w:rsidRPr="006519AA">
        <w:rPr>
          <w:rFonts w:ascii="Times New Roman" w:hAnsi="Times New Roman"/>
        </w:rPr>
        <w:t xml:space="preserve"> At this point, it is important to place this email in context.</w:t>
      </w:r>
    </w:p>
    <w:p w14:paraId="4274CF8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25 June 2007, Mr Millichamp sent an email to Mr Andrew Kay, the President of Apotex Canada. Mr Kay reported to Dr Sherman. The email was copied to Mr Paddy Smith, the Chief Financial Officer of Apotex Australia and Ms</w:t>
      </w:r>
      <w:r>
        <w:rPr>
          <w:rFonts w:ascii="Times New Roman" w:hAnsi="Times New Roman"/>
        </w:rPr>
        <w:t> </w:t>
      </w:r>
      <w:r w:rsidRPr="006519AA">
        <w:rPr>
          <w:rFonts w:ascii="Times New Roman" w:hAnsi="Times New Roman"/>
        </w:rPr>
        <w:t>Karen</w:t>
      </w:r>
      <w:r>
        <w:rPr>
          <w:rFonts w:ascii="Times New Roman" w:hAnsi="Times New Roman"/>
        </w:rPr>
        <w:t xml:space="preserve"> </w:t>
      </w:r>
      <w:r w:rsidRPr="006519AA">
        <w:rPr>
          <w:rFonts w:ascii="Times New Roman" w:hAnsi="Times New Roman"/>
        </w:rPr>
        <w:t>McTavish, the National Sales and Marketing Director of Apotex Australia. The email set out a detailed timeline for the PBS listing and launch at risk of Apotex Australia's clopidogrel products. On the same day, Mr Kay sent an email to Dr Sherman asking that he "re-confirm" the decision to launch. At 11.44 am on 26 June 2007, Dr Sherman sent an email to Mr Kay that was redacted, except for the words "[w]e will stay with bisulfate in Australia", that being a reference to an ingredient of clopidogrel. At 11.54</w:t>
      </w:r>
      <w:r>
        <w:rPr>
          <w:rFonts w:ascii="Times New Roman" w:hAnsi="Times New Roman"/>
        </w:rPr>
        <w:t xml:space="preserve"> </w:t>
      </w:r>
      <w:r w:rsidRPr="006519AA">
        <w:rPr>
          <w:rFonts w:ascii="Times New Roman" w:hAnsi="Times New Roman"/>
        </w:rPr>
        <w:t>am on 26</w:t>
      </w:r>
      <w:r>
        <w:rPr>
          <w:rFonts w:ascii="Times New Roman" w:hAnsi="Times New Roman"/>
        </w:rPr>
        <w:t> </w:t>
      </w:r>
      <w:r w:rsidRPr="006519AA">
        <w:rPr>
          <w:rFonts w:ascii="Times New Roman" w:hAnsi="Times New Roman"/>
        </w:rPr>
        <w:t xml:space="preserve">June 2007, Mr Kay sent an email to Dr Sherman stating, "[p]lease advise when you have decided </w:t>
      </w:r>
      <w:r w:rsidRPr="006519AA">
        <w:rPr>
          <w:rFonts w:ascii="Times New Roman" w:hAnsi="Times New Roman"/>
        </w:rPr>
        <w:lastRenderedPageBreak/>
        <w:t>whether to pursue revocation ... and if you wish us to move to launch at risk"</w:t>
      </w:r>
      <w:r>
        <w:rPr>
          <w:rFonts w:ascii="Times New Roman" w:hAnsi="Times New Roman"/>
        </w:rPr>
        <w:t>.</w:t>
      </w:r>
      <w:r w:rsidRPr="006519AA">
        <w:rPr>
          <w:rFonts w:ascii="Times New Roman" w:hAnsi="Times New Roman"/>
        </w:rPr>
        <w:t xml:space="preserve"> Dr</w:t>
      </w:r>
      <w:r>
        <w:rPr>
          <w:rFonts w:ascii="Times New Roman" w:hAnsi="Times New Roman"/>
        </w:rPr>
        <w:t> </w:t>
      </w:r>
      <w:r w:rsidRPr="006519AA">
        <w:rPr>
          <w:rFonts w:ascii="Times New Roman" w:hAnsi="Times New Roman"/>
        </w:rPr>
        <w:t>Sherman responded to that email at 4.44 am on 27 June 2007. At 5.12 am on 27 June 2007, Dr Sherman sent another email to Mr Kay. Both of the emails sent by Dr Sherman were copied to Mr Millichamp and their entire contents were redacted. At 11.23 am, Mr Millichamp forwarded that email to various executives of Apotex Australia with the comment "[g]ame on". As discussed above, at 1.59 pm on 27 June 2007, Mr Millichamp sent an email to Mr Haas which stated</w:t>
      </w:r>
      <w:r>
        <w:rPr>
          <w:rFonts w:ascii="Times New Roman" w:hAnsi="Times New Roman"/>
        </w:rPr>
        <w:t>,</w:t>
      </w:r>
      <w:r w:rsidRPr="006519AA">
        <w:rPr>
          <w:rFonts w:ascii="Times New Roman" w:hAnsi="Times New Roman"/>
        </w:rPr>
        <w:t xml:space="preserve"> "we will plan to launch subject to Barry's further advice / approval". Around ten hours later, Mr Haas responded seeking an estimated launch date.</w:t>
      </w:r>
    </w:p>
    <w:p w14:paraId="164A026D"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At 10.28 pm on 28 June 2007, Mr Millichamp sent an email to Mr Haas which was copied to several executives of Apotex Australia. The email, which was partially redacted, stated:</w:t>
      </w:r>
    </w:p>
    <w:p w14:paraId="304BD2A9"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w:t>
      </w:r>
      <w:r w:rsidRPr="006519AA">
        <w:rPr>
          <w:rFonts w:ascii="Times New Roman" w:hAnsi="Times New Roman"/>
          <w:i/>
          <w:iCs/>
        </w:rPr>
        <w:t xml:space="preserve">as per instructions from Barry the plan </w:t>
      </w:r>
      <w:r w:rsidRPr="006519AA">
        <w:rPr>
          <w:rFonts w:ascii="Times New Roman" w:hAnsi="Times New Roman"/>
        </w:rPr>
        <w:t>(in outline) for clopidogrel is as follows:</w:t>
      </w:r>
    </w:p>
    <w:p w14:paraId="67DD66AC"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1)</w:t>
      </w:r>
      <w:r>
        <w:rPr>
          <w:rFonts w:ascii="Times New Roman" w:hAnsi="Times New Roman"/>
        </w:rPr>
        <w:t xml:space="preserve"> </w:t>
      </w:r>
      <w:r w:rsidRPr="006519AA">
        <w:rPr>
          <w:rFonts w:ascii="Times New Roman" w:hAnsi="Times New Roman"/>
        </w:rPr>
        <w:t xml:space="preserve">Seek to revoke the Sanofi patents at time of TGA approval ... </w:t>
      </w:r>
    </w:p>
    <w:p w14:paraId="33B8C70D"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2) Sanofi will apply for interlocutory relief. If they get it and we are enjoined we will not be able to launch until after final trial (if we are successful) which could be 18 months away from now or more.</w:t>
      </w:r>
    </w:p>
    <w:p w14:paraId="52B90D25"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 xml:space="preserve">3) If we are successful in defending our position vs Sanofi and </w:t>
      </w:r>
      <w:r w:rsidRPr="006519AA">
        <w:rPr>
          <w:rFonts w:ascii="Times New Roman" w:hAnsi="Times New Roman"/>
          <w:i/>
          <w:iCs/>
        </w:rPr>
        <w:t>an injunction is not granted by the courts then we will launch</w:t>
      </w:r>
      <w:r w:rsidRPr="006519AA">
        <w:rPr>
          <w:rFonts w:ascii="Times New Roman" w:hAnsi="Times New Roman"/>
        </w:rPr>
        <w:t>.</w:t>
      </w:r>
    </w:p>
    <w:p w14:paraId="203A32F7"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w:t>
      </w:r>
    </w:p>
    <w:p w14:paraId="73C1DE22" w14:textId="77777777" w:rsidR="00067C14"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We are not sure that we can launch yet so need to know if we should place orders in anticipation or should wait." (emphasis added)</w:t>
      </w:r>
    </w:p>
    <w:p w14:paraId="6F73A53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Another document that the primary judge treated as evidence of a lack of firm intention on the part of Apotex Australia was a circular sent to Apotex Australia's staff on 17 August 2007, under Mr Millichamp's name, on the basis that staff could provide the circular to customers. The circular stated, "[w]e intend to launch [a clopidogrel] product into the Australian market in the near future". The circular outlined the potential for that launch to be affected by legal proceedings. It noted that, if Sanofi were to apply for an injunction, then such an application would be "vigorously defend[ed]", although Apotex Australia would refrain from seeking "PBS listing for clopidogrel or take orders from pharmacists until the application has been determined". The circular added, "[a]ssuming Sanofi-Aventis do apply for an interim injunction, then the decision whether to launch these products will be delayed until the outcome of that application has been determined".</w:t>
      </w:r>
    </w:p>
    <w:p w14:paraId="42968B0C"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lastRenderedPageBreak/>
        <w:tab/>
        <w:t>The primary judge treated this circular as evidence that "Apotex Australia had not committed itself to launching in the event no interlocutory injunction was granted".</w:t>
      </w:r>
      <w:r w:rsidRPr="006519AA">
        <w:rPr>
          <w:rStyle w:val="FootnoteReference"/>
          <w:rFonts w:ascii="Times New Roman" w:hAnsi="Times New Roman"/>
          <w:sz w:val="24"/>
        </w:rPr>
        <w:footnoteReference w:id="353"/>
      </w:r>
      <w:r w:rsidRPr="006519AA">
        <w:rPr>
          <w:rFonts w:ascii="Times New Roman" w:hAnsi="Times New Roman"/>
        </w:rPr>
        <w:t xml:space="preserve"> The Full Court agreed with the primary judge's characterisation of its effect.</w:t>
      </w:r>
      <w:r w:rsidRPr="006519AA">
        <w:rPr>
          <w:rStyle w:val="FootnoteReference"/>
          <w:rFonts w:ascii="Times New Roman" w:hAnsi="Times New Roman"/>
          <w:sz w:val="24"/>
        </w:rPr>
        <w:footnoteReference w:id="354"/>
      </w:r>
    </w:p>
    <w:p w14:paraId="2461114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16 August 2007, Apotex Australia commenced the revocation proceedings. The next day, it notified Sanofi of its intention to market and sell its clopidogrel products in the near future. From that time until early September 2007, there was an exchange of correspondence between the parties' respective solicitors seeking and denying undertakings.</w:t>
      </w:r>
    </w:p>
    <w:p w14:paraId="3AE0499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1 September 2007, Apotex Australia lodged its application for a PBS listing. However, it withdrew the application soon after because it was advised that it was too late to secure a listing in December 2007. Apotex Australia then recalibrated its timetable with a view to securing a listing from 1 April 2008.</w:t>
      </w:r>
    </w:p>
    <w:p w14:paraId="4974620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6 September 2007, Apotex Australia advised Sanofi that it was prepared to undertake to not have its clopidogrel products listed on the PBS and to not take orders from pharmacists for its supply until 11 October 2007, provided that any interlocutory injunction brought by Sanofi had been commenced and determined by that date.</w:t>
      </w:r>
    </w:p>
    <w:p w14:paraId="10E077A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On 14 September 2007, Apotex Australia offered undertakings to keep accounting records of, inter alia, units of clopidogrel product sold and to provide security of $50 million within 28 days for any damages and costs that may be ultimately awarded against it if Sanofi's patent was not revoked.</w:t>
      </w:r>
    </w:p>
    <w:p w14:paraId="0E5B6A2F"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In the meantime, the revocation proceedings were listed for directions on 13 September 2007. After the directions hearing, Mr Millichamp enthusiastically reported to Mr Kay that, "the court wants our case to move quickly" with a possible date for a final hearing within "the next six months". Mr Millichamp reiterated that "[o]ur plan is to launch to customers (take orders) immediately, assuming that we are free to sell, and then supply product in early 2008 for an April PBS listing".</w:t>
      </w:r>
    </w:p>
    <w:p w14:paraId="6405541B"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As noted, on 17 September 2007, Sanofi filed its cross-claim and application for an interlocutory injunction. It also proffered an undertaking as to damages to support its application. On the same day, Mr Millichamp swore an affidavit in which he reiterated Apotex Australia's intention to "apply for listing of its clopidogrel ... tablets at the next available opportunity, which is by 1 December </w:t>
      </w:r>
      <w:r w:rsidRPr="006519AA">
        <w:rPr>
          <w:rFonts w:ascii="Times New Roman" w:hAnsi="Times New Roman"/>
        </w:rPr>
        <w:lastRenderedPageBreak/>
        <w:t>2007". He noted that listing the clopidogrel products would trigger a 12.5% reduction in price for all clopidogrel brands and that Apotex Australia offered $50 million as security for damages and costs that may be awarded in favour of Sanofi if it succeeded at a final hearing.</w:t>
      </w:r>
    </w:p>
    <w:p w14:paraId="3B787124"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Mr Millichamp's affidavit was read during the interlocutory hearing before Gyles J on 18 September 2007. During that hearing, the following exchange occurred:</w:t>
      </w:r>
    </w:p>
    <w:p w14:paraId="16994A0C" w14:textId="77777777" w:rsidR="00067C14" w:rsidRPr="006519AA" w:rsidRDefault="00067C14" w:rsidP="00582158">
      <w:pPr>
        <w:pStyle w:val="LeftrightafterHC"/>
        <w:spacing w:before="0" w:after="260" w:line="240" w:lineRule="auto"/>
        <w:ind w:right="0"/>
        <w:jc w:val="both"/>
        <w:rPr>
          <w:rFonts w:ascii="Times New Roman" w:hAnsi="Times New Roman"/>
        </w:rPr>
      </w:pPr>
      <w:r w:rsidRPr="006519AA">
        <w:rPr>
          <w:rFonts w:ascii="Times New Roman" w:hAnsi="Times New Roman"/>
        </w:rPr>
        <w:t>"[Gyles J]: No, but it is said that you will not get your PBS listing until April.</w:t>
      </w:r>
    </w:p>
    <w:p w14:paraId="11BA6B47"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 xml:space="preserve">MR CATTERNS </w:t>
      </w:r>
      <w:r>
        <w:rPr>
          <w:rFonts w:ascii="Times New Roman" w:hAnsi="Times New Roman"/>
        </w:rPr>
        <w:t>[s</w:t>
      </w:r>
      <w:r w:rsidRPr="006519AA">
        <w:rPr>
          <w:rFonts w:ascii="Times New Roman" w:hAnsi="Times New Roman"/>
        </w:rPr>
        <w:t>enior counsel for Apotex Australia</w:t>
      </w:r>
      <w:r>
        <w:rPr>
          <w:rFonts w:ascii="Times New Roman" w:hAnsi="Times New Roman"/>
        </w:rPr>
        <w:t>]</w:t>
      </w:r>
      <w:r w:rsidRPr="006519AA">
        <w:rPr>
          <w:rFonts w:ascii="Times New Roman" w:hAnsi="Times New Roman"/>
        </w:rPr>
        <w:t>: Yes. We agree, your Honour. We apply on 1 December and we get it [ie, PBS listing] on 1 April.</w:t>
      </w:r>
    </w:p>
    <w:p w14:paraId="37B2501F" w14:textId="77777777" w:rsidR="00067C14" w:rsidRPr="006519AA"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 xml:space="preserve">[Gyles J]: And being practical about it, </w:t>
      </w:r>
      <w:r w:rsidRPr="006519AA">
        <w:rPr>
          <w:rFonts w:ascii="Times New Roman" w:hAnsi="Times New Roman"/>
          <w:i/>
          <w:iCs/>
        </w:rPr>
        <w:t>that's the time you'll launch is that right</w:t>
      </w:r>
      <w:r w:rsidRPr="006519AA">
        <w:rPr>
          <w:rFonts w:ascii="Times New Roman" w:hAnsi="Times New Roman"/>
        </w:rPr>
        <w:t>?</w:t>
      </w:r>
    </w:p>
    <w:p w14:paraId="4EB87A1F" w14:textId="77777777" w:rsidR="00067C14"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 xml:space="preserve">MR CATTERNS: </w:t>
      </w:r>
      <w:r w:rsidRPr="006519AA">
        <w:rPr>
          <w:rFonts w:ascii="Times New Roman" w:hAnsi="Times New Roman"/>
          <w:i/>
          <w:iCs/>
        </w:rPr>
        <w:t>Yes</w:t>
      </w:r>
      <w:r w:rsidRPr="006519AA">
        <w:rPr>
          <w:rFonts w:ascii="Times New Roman" w:hAnsi="Times New Roman"/>
        </w:rPr>
        <w:t>, your Honour." (emphasis added)</w:t>
      </w:r>
    </w:p>
    <w:p w14:paraId="1631CE5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Mr Catterns then described the pre-launch activities that Apotex Australia would undertake prior to 1 April 2008, including "taking orders now, even before we apply for PBS listing and unless restrained we would do so". Mr Catterns informed the Court that it was "virtually impossible" for Apotex Australia not to obtain a listing on the PBS effective from 1 April 2008 and that "both sides" regarded listing on 1</w:t>
      </w:r>
      <w:r>
        <w:rPr>
          <w:rFonts w:ascii="Times New Roman" w:hAnsi="Times New Roman"/>
        </w:rPr>
        <w:t> </w:t>
      </w:r>
      <w:r w:rsidRPr="006519AA">
        <w:rPr>
          <w:rFonts w:ascii="Times New Roman" w:hAnsi="Times New Roman"/>
        </w:rPr>
        <w:t>April and the consequential 12.5% price reduction as "inevitable". Senior counsel for Sanofi, Mr Bannon, was not overawed by the occasion before Gyles J. He did not demur to any of these statements. He noted that the Commonwealth had not applied to be a party to the proceedings but observed that his client's undertaking as to damages was "not limited to the parties".</w:t>
      </w:r>
    </w:p>
    <w:p w14:paraId="0FC548E8"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next day, being 19 September 2007, Mr Millichamp reported on the hearing to an executive of Apotex Canada. He observed that, even if Apotex Australia was injuncted, he expected to win at trial but added, "[w]e are of course hoping that we get some great news on Friday that we are free to sell".</w:t>
      </w:r>
    </w:p>
    <w:p w14:paraId="1E8A9E56"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course of the litigation from the time of the grant of the injunction is set out above.</w:t>
      </w:r>
      <w:r w:rsidRPr="006519AA">
        <w:rPr>
          <w:rStyle w:val="FootnoteReference"/>
          <w:rFonts w:ascii="Times New Roman" w:hAnsi="Times New Roman"/>
          <w:sz w:val="24"/>
        </w:rPr>
        <w:footnoteReference w:id="355"/>
      </w:r>
      <w:r w:rsidRPr="006519AA">
        <w:rPr>
          <w:rFonts w:ascii="Times New Roman" w:hAnsi="Times New Roman"/>
        </w:rPr>
        <w:t xml:space="preserve"> In the immediate period prior to the handing down of judgment in the revocation proceedings (ie, 12 August 2008), emails passing between </w:t>
      </w:r>
      <w:r w:rsidRPr="006519AA">
        <w:rPr>
          <w:rFonts w:ascii="Times New Roman" w:hAnsi="Times New Roman"/>
        </w:rPr>
        <w:lastRenderedPageBreak/>
        <w:t>Mr Millichamp, Mr Kay, Mr Smith and another executive of Apotex Canada reveal they were hesitant at that time to list and launch the clopidogrel products at risk if Apotex Australia was successful in having the patent revoked.</w:t>
      </w:r>
      <w:r w:rsidRPr="006519AA">
        <w:rPr>
          <w:rStyle w:val="FootnoteReference"/>
          <w:rFonts w:ascii="Times New Roman" w:hAnsi="Times New Roman"/>
          <w:sz w:val="24"/>
        </w:rPr>
        <w:footnoteReference w:id="356"/>
      </w:r>
      <w:r w:rsidRPr="006519AA">
        <w:rPr>
          <w:rFonts w:ascii="Times New Roman" w:hAnsi="Times New Roman"/>
        </w:rPr>
        <w:t xml:space="preserve"> Further, after Apotex Australia succeeded on appeal to the Full Court, it applied for a PBS listing of its clopidogrel products on 10 November 2009, but withdrew that application on 21</w:t>
      </w:r>
      <w:r>
        <w:rPr>
          <w:rFonts w:ascii="Times New Roman" w:hAnsi="Times New Roman"/>
        </w:rPr>
        <w:t> </w:t>
      </w:r>
      <w:r w:rsidRPr="006519AA">
        <w:rPr>
          <w:rFonts w:ascii="Times New Roman" w:hAnsi="Times New Roman"/>
        </w:rPr>
        <w:t>December 2009 as the special leave application filed by Sanofi in this Court was unlikely to be heard before the last day that it could withdraw its application. On 15</w:t>
      </w:r>
      <w:r>
        <w:rPr>
          <w:rFonts w:ascii="Times New Roman" w:hAnsi="Times New Roman"/>
        </w:rPr>
        <w:t> </w:t>
      </w:r>
      <w:r w:rsidRPr="006519AA">
        <w:rPr>
          <w:rFonts w:ascii="Times New Roman" w:hAnsi="Times New Roman"/>
        </w:rPr>
        <w:t>February 2010, Apotex Australia relodged its PBS listing application, but requested the approval be made conditional on the outcome of Sanofi's application for special leave to appeal.</w:t>
      </w:r>
    </w:p>
    <w:p w14:paraId="46E9099B"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After Sanofi's application for special leave to appeal was refused on 12</w:t>
      </w:r>
      <w:r>
        <w:rPr>
          <w:rFonts w:ascii="Times New Roman" w:hAnsi="Times New Roman"/>
        </w:rPr>
        <w:t> </w:t>
      </w:r>
      <w:r w:rsidRPr="006519AA">
        <w:rPr>
          <w:rFonts w:ascii="Times New Roman" w:hAnsi="Times New Roman"/>
        </w:rPr>
        <w:t>March 2010, Apotex Australia notified the Department of Health that its PBS listing application was now unconditional</w:t>
      </w:r>
      <w:r w:rsidRPr="00F836C0">
        <w:rPr>
          <w:rFonts w:ascii="Times New Roman" w:hAnsi="Times New Roman"/>
        </w:rPr>
        <w:t>.</w:t>
      </w:r>
      <w:r w:rsidRPr="006519AA">
        <w:rPr>
          <w:rFonts w:ascii="Times New Roman" w:hAnsi="Times New Roman"/>
          <w:b/>
          <w:bCs/>
        </w:rPr>
        <w:t xml:space="preserve"> </w:t>
      </w:r>
      <w:r w:rsidRPr="006519AA">
        <w:rPr>
          <w:rFonts w:ascii="Times New Roman" w:hAnsi="Times New Roman"/>
        </w:rPr>
        <w:t>It secured a listing of its clopidogrel products on the PBS on 1 May 2010, triggering the 12.5% price reduction.</w:t>
      </w:r>
    </w:p>
    <w:p w14:paraId="75225A45"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 xml:space="preserve">The primary judge's reasoning </w:t>
      </w:r>
    </w:p>
    <w:p w14:paraId="41EDF689"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primary judge set out the effect of some of this material concerning the events up to the granting of the injunction by Gyles J. His Honour construed the email from Mr Millichamp of 27 June 2007 that stated "we will plan to launch subject to Barry's further advice / approval" as suggesting that "Dr Sherman had not finally committed to a launch at risk in Australia and that it would be necessary for Mr Millichamp to obtain final approval to launch at risk in the event that no interlocutory injunction was granted".</w:t>
      </w:r>
      <w:r w:rsidRPr="006519AA">
        <w:rPr>
          <w:rStyle w:val="FootnoteReference"/>
          <w:rFonts w:ascii="Times New Roman" w:hAnsi="Times New Roman"/>
          <w:sz w:val="24"/>
        </w:rPr>
        <w:footnoteReference w:id="357"/>
      </w:r>
      <w:r w:rsidRPr="006519AA">
        <w:rPr>
          <w:rFonts w:ascii="Times New Roman" w:hAnsi="Times New Roman"/>
        </w:rPr>
        <w:t xml:space="preserve"> His Honour did not accept Mr Millichamp's oral evidence to the effect that the comment in his email of 27</w:t>
      </w:r>
      <w:r>
        <w:rPr>
          <w:rFonts w:ascii="Times New Roman" w:hAnsi="Times New Roman"/>
        </w:rPr>
        <w:t> </w:t>
      </w:r>
      <w:r w:rsidRPr="006519AA">
        <w:rPr>
          <w:rFonts w:ascii="Times New Roman" w:hAnsi="Times New Roman"/>
        </w:rPr>
        <w:t>June 2007 did not reflect any requirement to obtain further approval from Dr Sherman.</w:t>
      </w:r>
      <w:r w:rsidRPr="006519AA">
        <w:rPr>
          <w:rStyle w:val="FootnoteReference"/>
          <w:rFonts w:ascii="Times New Roman" w:hAnsi="Times New Roman"/>
          <w:sz w:val="24"/>
        </w:rPr>
        <w:footnoteReference w:id="358"/>
      </w:r>
      <w:r w:rsidRPr="006519AA">
        <w:rPr>
          <w:rFonts w:ascii="Times New Roman" w:hAnsi="Times New Roman"/>
        </w:rPr>
        <w:t xml:space="preserve"> </w:t>
      </w:r>
    </w:p>
    <w:p w14:paraId="6117CE2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Having construed the email as evidence demonstrating that any intention on the part of Dr Sherman to list and launch was provisional, the primary judge discounted the events that occurred during the course of the revocation proceedings as demonstrating any firmer intention on Dr Sherman's or Apotex Australia's part. In particular, the primary judge identified "two related developments" in September 2007 as affecting whether Dr Sherman would have decided that it was preferable not to launch at risk even if Gyles J refused the </w:t>
      </w:r>
      <w:r w:rsidRPr="006519AA">
        <w:rPr>
          <w:rFonts w:ascii="Times New Roman" w:hAnsi="Times New Roman"/>
        </w:rPr>
        <w:lastRenderedPageBreak/>
        <w:t>interlocutory injunction.</w:t>
      </w:r>
      <w:r w:rsidRPr="006519AA">
        <w:rPr>
          <w:rStyle w:val="FootnoteReference"/>
          <w:rFonts w:ascii="Times New Roman" w:hAnsi="Times New Roman"/>
          <w:sz w:val="24"/>
        </w:rPr>
        <w:footnoteReference w:id="359"/>
      </w:r>
      <w:r w:rsidRPr="006519AA">
        <w:rPr>
          <w:rFonts w:ascii="Times New Roman" w:hAnsi="Times New Roman"/>
        </w:rPr>
        <w:t xml:space="preserve"> The first development was the notification on 4</w:t>
      </w:r>
      <w:r>
        <w:rPr>
          <w:rFonts w:ascii="Times New Roman" w:hAnsi="Times New Roman"/>
        </w:rPr>
        <w:t> </w:t>
      </w:r>
      <w:r w:rsidRPr="006519AA">
        <w:rPr>
          <w:rFonts w:ascii="Times New Roman" w:hAnsi="Times New Roman"/>
        </w:rPr>
        <w:t>September 2007 that Apotex Australia could not achieve a PBS listing until 1 April 2008.</w:t>
      </w:r>
      <w:r w:rsidRPr="006519AA">
        <w:rPr>
          <w:rStyle w:val="FootnoteReference"/>
          <w:rFonts w:ascii="Times New Roman" w:hAnsi="Times New Roman"/>
          <w:sz w:val="24"/>
        </w:rPr>
        <w:footnoteReference w:id="360"/>
      </w:r>
      <w:r w:rsidRPr="006519AA">
        <w:rPr>
          <w:rFonts w:ascii="Times New Roman" w:hAnsi="Times New Roman"/>
        </w:rPr>
        <w:t xml:space="preserve"> The second development occurred on 21</w:t>
      </w:r>
      <w:r>
        <w:rPr>
          <w:rFonts w:ascii="Times New Roman" w:hAnsi="Times New Roman"/>
        </w:rPr>
        <w:t> </w:t>
      </w:r>
      <w:r w:rsidRPr="006519AA">
        <w:rPr>
          <w:rFonts w:ascii="Times New Roman" w:hAnsi="Times New Roman"/>
        </w:rPr>
        <w:t>September 2007 when</w:t>
      </w:r>
      <w:r w:rsidRPr="006519AA">
        <w:rPr>
          <w:rFonts w:ascii="Times New Roman" w:hAnsi="Times New Roman"/>
          <w:b/>
          <w:bCs/>
        </w:rPr>
        <w:t xml:space="preserve"> </w:t>
      </w:r>
      <w:r w:rsidRPr="006519AA">
        <w:rPr>
          <w:rFonts w:ascii="Times New Roman" w:hAnsi="Times New Roman"/>
        </w:rPr>
        <w:t>Gyles</w:t>
      </w:r>
      <w:r>
        <w:rPr>
          <w:rFonts w:ascii="Times New Roman" w:hAnsi="Times New Roman"/>
        </w:rPr>
        <w:t> </w:t>
      </w:r>
      <w:r w:rsidRPr="006519AA">
        <w:rPr>
          <w:rFonts w:ascii="Times New Roman" w:hAnsi="Times New Roman"/>
        </w:rPr>
        <w:t>J published his reasons for granting the interlocutory injunction and confirmed that a final hearing in the revocation proceedings would commence on 28</w:t>
      </w:r>
      <w:r>
        <w:rPr>
          <w:rFonts w:ascii="Times New Roman" w:hAnsi="Times New Roman"/>
        </w:rPr>
        <w:t> </w:t>
      </w:r>
      <w:r w:rsidRPr="006519AA">
        <w:rPr>
          <w:rFonts w:ascii="Times New Roman" w:hAnsi="Times New Roman"/>
        </w:rPr>
        <w:t>April 2008.</w:t>
      </w:r>
      <w:r w:rsidRPr="006519AA">
        <w:rPr>
          <w:rStyle w:val="FootnoteReference"/>
          <w:rFonts w:ascii="Times New Roman" w:hAnsi="Times New Roman"/>
          <w:sz w:val="24"/>
        </w:rPr>
        <w:footnoteReference w:id="361"/>
      </w:r>
    </w:p>
    <w:p w14:paraId="694C3C4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Ultimately, the primary judge concluded that "[i]n the absence of evidence from Dr Sherman, I am not persuaded that he would have authorised a launch at risk in circumstances where an interlocutory injunction had been refused, but a final hearing was fixed to commence on 28 April 2008".</w:t>
      </w:r>
      <w:r w:rsidRPr="006519AA">
        <w:rPr>
          <w:rStyle w:val="FootnoteReference"/>
          <w:rFonts w:ascii="Times New Roman" w:hAnsi="Times New Roman"/>
          <w:sz w:val="24"/>
        </w:rPr>
        <w:footnoteReference w:id="362"/>
      </w:r>
    </w:p>
    <w:p w14:paraId="2CB06926"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primary judge also made reference to the circumstance that in 2008 and 2009 Apotex Australia did not seek to list and launch at risk,</w:t>
      </w:r>
      <w:r w:rsidRPr="006519AA">
        <w:rPr>
          <w:rStyle w:val="FootnoteReference"/>
          <w:rFonts w:ascii="Times New Roman" w:hAnsi="Times New Roman"/>
          <w:sz w:val="24"/>
        </w:rPr>
        <w:footnoteReference w:id="363"/>
      </w:r>
      <w:r w:rsidRPr="006519AA">
        <w:rPr>
          <w:rFonts w:ascii="Times New Roman" w:hAnsi="Times New Roman"/>
        </w:rPr>
        <w:t xml:space="preserve"> as bearing on whether it would have done so in September 2007 had the application for an injunction been refused by Gyles J. His Honour noted that Apotex Australia had prepared revised financial risk and reward analyses in July 2008 and September 2009 that showed a much-reduced potential upside and substantially increased financial downside from a launch at risk.</w:t>
      </w:r>
      <w:r w:rsidRPr="006519AA">
        <w:rPr>
          <w:rStyle w:val="FootnoteReference"/>
          <w:rFonts w:ascii="Times New Roman" w:hAnsi="Times New Roman"/>
          <w:sz w:val="24"/>
        </w:rPr>
        <w:footnoteReference w:id="364"/>
      </w:r>
      <w:r w:rsidRPr="006519AA">
        <w:rPr>
          <w:rFonts w:ascii="Times New Roman" w:hAnsi="Times New Roman"/>
        </w:rPr>
        <w:t xml:space="preserve"> In particular, the revised estimate of Apotex Australia's financial exposure to Sanofi if it launched at risk and the patent was held valid was around $166 million in July 2008</w:t>
      </w:r>
      <w:r w:rsidRPr="006519AA">
        <w:rPr>
          <w:rStyle w:val="FootnoteReference"/>
          <w:rFonts w:ascii="Times New Roman" w:hAnsi="Times New Roman"/>
          <w:sz w:val="24"/>
        </w:rPr>
        <w:footnoteReference w:id="365"/>
      </w:r>
      <w:r w:rsidRPr="006519AA">
        <w:rPr>
          <w:rFonts w:ascii="Times New Roman" w:hAnsi="Times New Roman"/>
        </w:rPr>
        <w:t xml:space="preserve"> and $650 million in September 2009.</w:t>
      </w:r>
      <w:r w:rsidRPr="006519AA">
        <w:rPr>
          <w:rStyle w:val="FootnoteReference"/>
          <w:rFonts w:ascii="Times New Roman" w:hAnsi="Times New Roman"/>
          <w:sz w:val="24"/>
        </w:rPr>
        <w:footnoteReference w:id="366"/>
      </w:r>
    </w:p>
    <w:p w14:paraId="06BEA0FD"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However, in the end result, the primary judge drew little support from the events of 2008 and 2009 for the overall conclusion that the Commonwealth failed to discharge its onus of proof. His Honour merely concluded that the financial analyses and "Apotex Canada's ultimate response to them tend[ed] to contradict the assertion made in Mr Millichamp's oral evidence that Apotex [Australia] trie[d] </w:t>
      </w:r>
      <w:r w:rsidRPr="006519AA">
        <w:rPr>
          <w:rFonts w:ascii="Times New Roman" w:hAnsi="Times New Roman"/>
        </w:rPr>
        <w:lastRenderedPageBreak/>
        <w:t>to get on the market as soon as possible".</w:t>
      </w:r>
      <w:r w:rsidRPr="006519AA">
        <w:rPr>
          <w:rStyle w:val="FootnoteReference"/>
          <w:rFonts w:ascii="Times New Roman" w:hAnsi="Times New Roman"/>
          <w:sz w:val="24"/>
        </w:rPr>
        <w:footnoteReference w:id="367"/>
      </w:r>
      <w:r w:rsidRPr="006519AA">
        <w:rPr>
          <w:rFonts w:ascii="Times New Roman" w:hAnsi="Times New Roman"/>
        </w:rPr>
        <w:t xml:space="preserve"> In any event, I agree with Jagot J's analysis of the lack of utility of the events of 2008 and 2009 to an assessment as to what Apotex Australia would have done had the injunction been refused.</w:t>
      </w:r>
      <w:r w:rsidRPr="006519AA">
        <w:rPr>
          <w:rStyle w:val="FootnoteReference"/>
          <w:rFonts w:ascii="Times New Roman" w:hAnsi="Times New Roman"/>
          <w:sz w:val="24"/>
        </w:rPr>
        <w:footnoteReference w:id="368"/>
      </w:r>
    </w:p>
    <w:p w14:paraId="5A32B6A4"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The statements made to Gyles J in 2007</w:t>
      </w:r>
    </w:p>
    <w:p w14:paraId="66959C46"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It is necessary to address the evidential effect of the statements made on behalf of Apotex Australia to Gyles J in 2007. Both the primary judge and the Full Court failed to address their significance.</w:t>
      </w:r>
    </w:p>
    <w:p w14:paraId="14991C73"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Before the primary judge the Commonwealth relied on Mr Catterns' exchange with Gyles J in which he unequivocally stated that, if not restrained by an injunction, Apotex Australia intended to list and launch its clopidogrel products at risk from 1 April 2008.</w:t>
      </w:r>
      <w:r w:rsidRPr="006519AA">
        <w:rPr>
          <w:rStyle w:val="FootnoteReference"/>
          <w:rFonts w:ascii="Times New Roman" w:hAnsi="Times New Roman"/>
          <w:sz w:val="24"/>
        </w:rPr>
        <w:footnoteReference w:id="369"/>
      </w:r>
      <w:r w:rsidRPr="006519AA">
        <w:rPr>
          <w:rFonts w:ascii="Times New Roman" w:hAnsi="Times New Roman"/>
        </w:rPr>
        <w:t xml:space="preserve"> That statement was supported by Mr Millichamp's affidavit sworn on 17</w:t>
      </w:r>
      <w:r>
        <w:rPr>
          <w:rFonts w:ascii="Times New Roman" w:hAnsi="Times New Roman"/>
        </w:rPr>
        <w:t> </w:t>
      </w:r>
      <w:r w:rsidRPr="006519AA">
        <w:rPr>
          <w:rFonts w:ascii="Times New Roman" w:hAnsi="Times New Roman"/>
        </w:rPr>
        <w:t>September 2007.</w:t>
      </w:r>
    </w:p>
    <w:p w14:paraId="50E51449"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Both the primary judge and the Full Court dealt with that reliance in part by pointing out that, while Mr Millichamp wished to launch at risk if the injunction application by Sanofi was refused, the real question was whether Dr Sherman would have decided to launch at risk after that refusal.</w:t>
      </w:r>
      <w:r w:rsidRPr="006519AA">
        <w:rPr>
          <w:rStyle w:val="FootnoteReference"/>
          <w:rFonts w:ascii="Times New Roman" w:hAnsi="Times New Roman"/>
          <w:sz w:val="24"/>
        </w:rPr>
        <w:footnoteReference w:id="370"/>
      </w:r>
      <w:r w:rsidRPr="006519AA">
        <w:rPr>
          <w:rFonts w:ascii="Times New Roman" w:hAnsi="Times New Roman"/>
        </w:rPr>
        <w:t xml:space="preserve"> On that basis, the Full Court rejected the Commonwealth's submission that the primary judge's reasoning was flawed because it was never put to Mr Millichamp that the assertion in his affidavit sworn on 17 September 2007 that Apotex Australia would launch at risk if the injunction was refused was false.</w:t>
      </w:r>
      <w:r w:rsidRPr="006519AA">
        <w:rPr>
          <w:rStyle w:val="FootnoteReference"/>
          <w:rFonts w:ascii="Times New Roman" w:hAnsi="Times New Roman"/>
          <w:sz w:val="24"/>
        </w:rPr>
        <w:footnoteReference w:id="371"/>
      </w:r>
    </w:p>
    <w:p w14:paraId="7F480A4F"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reasoning of the primary judge and the Full Court concerning the statements made during the injunction hearing before Gyles J rests in part on the edifice created from Mr</w:t>
      </w:r>
      <w:r>
        <w:rPr>
          <w:rFonts w:ascii="Times New Roman" w:hAnsi="Times New Roman"/>
        </w:rPr>
        <w:t> </w:t>
      </w:r>
      <w:r w:rsidRPr="006519AA">
        <w:rPr>
          <w:rFonts w:ascii="Times New Roman" w:hAnsi="Times New Roman"/>
        </w:rPr>
        <w:t>Millichamp's email of 27 June 2007 to the effect that Dr Sherman's further approval was required to list and launch. Even so, the reasoning of the primary judge and the Full Court did not address how, in the face of the unequivocal statements that were made to Gyles</w:t>
      </w:r>
      <w:r>
        <w:rPr>
          <w:rFonts w:ascii="Times New Roman" w:hAnsi="Times New Roman"/>
        </w:rPr>
        <w:t> </w:t>
      </w:r>
      <w:r w:rsidRPr="006519AA">
        <w:rPr>
          <w:rFonts w:ascii="Times New Roman" w:hAnsi="Times New Roman"/>
        </w:rPr>
        <w:t xml:space="preserve">J and the offer to provide </w:t>
      </w:r>
      <w:r w:rsidRPr="006519AA">
        <w:rPr>
          <w:rFonts w:ascii="Times New Roman" w:hAnsi="Times New Roman"/>
        </w:rPr>
        <w:lastRenderedPageBreak/>
        <w:t>security, Dr Sherman could have decided not to launch (or not approve a launch) if an injunction was not granted.</w:t>
      </w:r>
    </w:p>
    <w:p w14:paraId="09C0781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hypothetical context in which Dr Sherman would have had to make any decision about whether or not to launch at risk if the application for an interlocutory injunction had been refused was one in which Apotex Australia, via its managing director and senior counsel, would have already told Gyles J in emphatic terms that it would list and launch at risk. If the injunction was refused, and then for some reason Dr Sherman decided not to launch, what would have been the fate of Apotex Australia's undertaking to the Federal Court to provide security of $50 million for Sanofi's damages claim (and costs)? Apotex Australia could not have assumed that it would be relieved of that undertaking simply because Sanofi would no longer incur losses from Apotex Australia having launched its clopidogrel products on the market. Instead, Apotex Australia would have had to apply to the Court to be relieved from its undertaking. Absent a compelling change of circumstances justifying a change of intention, on that application, Apotex Australia would have had to embark on the potentially excruciating and perilous task of explaining why its earlier statements about its intentions were "overstated" (if not outright false).</w:t>
      </w:r>
    </w:p>
    <w:p w14:paraId="37CB6903"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Full Court were dismissive of the Commonwealth's reliance on Apotex Australia's proffering of the undertaking to provide security of $50 million. Their Honours noted that there was no evidence about the level of financial commitment required of Apotex Australia to provide the security and observed that it was "entirely possible as a matter of logic for Apotex [Australia] to have been willing to proffer the undertaking to provide the security and, as yet, not to have made a final decision as to whether it was going to launch".</w:t>
      </w:r>
      <w:r w:rsidRPr="006519AA">
        <w:rPr>
          <w:rStyle w:val="FootnoteReference"/>
          <w:rFonts w:ascii="Times New Roman" w:hAnsi="Times New Roman"/>
          <w:sz w:val="24"/>
        </w:rPr>
        <w:footnoteReference w:id="372"/>
      </w:r>
    </w:p>
    <w:p w14:paraId="11887873" w14:textId="706DCD68"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If the Full Court's reference to a "matter of logic" means consideration in isolation, then that may be correct, although whatever the cost of the security to Apotex Australia, it was, as the Full Court conceded, "not a small step".</w:t>
      </w:r>
      <w:r w:rsidRPr="006519AA">
        <w:rPr>
          <w:rStyle w:val="FootnoteReference"/>
          <w:rFonts w:ascii="Times New Roman" w:hAnsi="Times New Roman"/>
          <w:sz w:val="24"/>
        </w:rPr>
        <w:footnoteReference w:id="373"/>
      </w:r>
      <w:r w:rsidRPr="006519AA">
        <w:rPr>
          <w:rFonts w:ascii="Times New Roman" w:hAnsi="Times New Roman"/>
        </w:rPr>
        <w:t xml:space="preserve"> However, Apotex Australia's offer of security is not to be considered in isolation. If Apotex Australia had abandoned its stated intention to launch at risk, but proffered the security, the company and its managing director would still have been exposed to an allegation that they had misled Gyles</w:t>
      </w:r>
      <w:r>
        <w:rPr>
          <w:rFonts w:ascii="Times New Roman" w:hAnsi="Times New Roman"/>
        </w:rPr>
        <w:t> </w:t>
      </w:r>
      <w:r w:rsidRPr="006519AA">
        <w:rPr>
          <w:rFonts w:ascii="Times New Roman" w:hAnsi="Times New Roman"/>
        </w:rPr>
        <w:t xml:space="preserve">J about the company's intentions. No doubt Gyles J conducted directions hearings in the lead up to the final hearing of the revocation proceedings in April 2008. It is inevitable that his </w:t>
      </w:r>
      <w:r w:rsidRPr="006519AA">
        <w:rPr>
          <w:rFonts w:ascii="Times New Roman" w:hAnsi="Times New Roman"/>
        </w:rPr>
        <w:lastRenderedPageBreak/>
        <w:t>Honour would have been informed if Apotex Australia had not sought PBS listing or launched at risk as it said it would.</w:t>
      </w:r>
    </w:p>
    <w:p w14:paraId="3B819DE2"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Further, any attempt by Dr Sherman to cause Apotex Australia to abandon the stated intention to launch at risk in the event that the injunction was refused without some compelling change of circumstances justifying that course would have most likely required Mr Catterns and the rest of Apotex Australia's legal representatives to cease acting on Apotex Australia's behalf. On that scenario, it might have appeared that they had been party to misleading statements made to Gyles J as to their client's intentions. Any attempt by Apotex Australia to recant could have invited scrutiny as to the instructions that had previously been given to its legal representatives and the advice the legal representatives had provided.</w:t>
      </w:r>
    </w:p>
    <w:p w14:paraId="7692B33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If an injunction had been refused, then Apotex Australia and its managing director, Mr Millichamp, would have already committed to listing its clopidogrel products on the PBS and launching at risk. If, absent some change in circumstances justifying an abandoning of that intention, Dr Sherman had decided to cause Apotex Australia not to list and launch at risk, he would have placed his Australian operations team including Mr Millichamp in significant peril and severely disrupted the application to revoke Sanofi's patent.</w:t>
      </w:r>
    </w:p>
    <w:p w14:paraId="74F2A6E3"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Otherwise, when considered in light of the emphatic statements made to Gyles J on behalf of Apotex Australia about its intention to list and launch, neither of the two points identified by the primary judge as leading to Dr Sherman concluding that it was preferable not to launch if an injunction was refused have any force. As noted, by no later than 14</w:t>
      </w:r>
      <w:r>
        <w:rPr>
          <w:rFonts w:ascii="Times New Roman" w:hAnsi="Times New Roman"/>
        </w:rPr>
        <w:t> </w:t>
      </w:r>
      <w:r w:rsidRPr="006519AA">
        <w:rPr>
          <w:rFonts w:ascii="Times New Roman" w:hAnsi="Times New Roman"/>
        </w:rPr>
        <w:t>September 2007, Dr Sherman had been advised of the revised date of the proposed PBS listing.</w:t>
      </w:r>
      <w:r w:rsidRPr="006519AA">
        <w:rPr>
          <w:rStyle w:val="FootnoteReference"/>
          <w:rFonts w:ascii="Times New Roman" w:hAnsi="Times New Roman"/>
          <w:sz w:val="24"/>
        </w:rPr>
        <w:footnoteReference w:id="374"/>
      </w:r>
      <w:r w:rsidRPr="006519AA">
        <w:rPr>
          <w:rFonts w:ascii="Times New Roman" w:hAnsi="Times New Roman"/>
        </w:rPr>
        <w:t xml:space="preserve"> The entire premise of the hearing before Gyles J was that the revised proposed list and launch date was 1 April 2008. Further, the early hearing date that his Honour announced when granting the injunction had already been foreshadowed in Mr</w:t>
      </w:r>
      <w:r>
        <w:rPr>
          <w:rFonts w:ascii="Times New Roman" w:hAnsi="Times New Roman"/>
        </w:rPr>
        <w:t> </w:t>
      </w:r>
      <w:r w:rsidRPr="006519AA">
        <w:rPr>
          <w:rFonts w:ascii="Times New Roman" w:hAnsi="Times New Roman"/>
        </w:rPr>
        <w:t>Millichamp's email of 13</w:t>
      </w:r>
      <w:r>
        <w:rPr>
          <w:rFonts w:ascii="Times New Roman" w:hAnsi="Times New Roman"/>
        </w:rPr>
        <w:t> </w:t>
      </w:r>
      <w:r w:rsidRPr="006519AA">
        <w:rPr>
          <w:rFonts w:ascii="Times New Roman" w:hAnsi="Times New Roman"/>
        </w:rPr>
        <w:t>September 2007 to Mr</w:t>
      </w:r>
      <w:r>
        <w:rPr>
          <w:rFonts w:ascii="Times New Roman" w:hAnsi="Times New Roman"/>
        </w:rPr>
        <w:t> </w:t>
      </w:r>
      <w:r w:rsidRPr="006519AA">
        <w:rPr>
          <w:rFonts w:ascii="Times New Roman" w:hAnsi="Times New Roman"/>
        </w:rPr>
        <w:t>Kay. Any suggestion that Mr Kay would not have passed that information onto Dr Sherman is risible.</w:t>
      </w:r>
    </w:p>
    <w:p w14:paraId="1BF9452F"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For the sake of completeness, it should be noted that there is no evidence that Mr</w:t>
      </w:r>
      <w:r>
        <w:rPr>
          <w:rFonts w:ascii="Times New Roman" w:hAnsi="Times New Roman"/>
        </w:rPr>
        <w:t> </w:t>
      </w:r>
      <w:r w:rsidRPr="006519AA">
        <w:rPr>
          <w:rFonts w:ascii="Times New Roman" w:hAnsi="Times New Roman"/>
        </w:rPr>
        <w:t>Millichamp's evidence did not represent his understanding of Apotex Australia's intentions or that Mr Catterns</w:t>
      </w:r>
      <w:r>
        <w:rPr>
          <w:rFonts w:ascii="Times New Roman" w:hAnsi="Times New Roman"/>
        </w:rPr>
        <w:t>'</w:t>
      </w:r>
      <w:r w:rsidRPr="006519AA">
        <w:rPr>
          <w:rFonts w:ascii="Times New Roman" w:hAnsi="Times New Roman"/>
        </w:rPr>
        <w:t xml:space="preserve"> statements to Gyles J did not genuinely represent his instructions.</w:t>
      </w:r>
    </w:p>
    <w:p w14:paraId="44DFD326"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lastRenderedPageBreak/>
        <w:t xml:space="preserve">The email of 26 June 2007 and </w:t>
      </w:r>
      <w:r w:rsidRPr="006519AA">
        <w:rPr>
          <w:rFonts w:ascii="Times New Roman" w:hAnsi="Times New Roman"/>
          <w:i/>
          <w:iCs/>
        </w:rPr>
        <w:t>Jones v Dunkel</w:t>
      </w:r>
    </w:p>
    <w:p w14:paraId="59B41FB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In addressing the effect of the documents concerning Apotex Australia's intentions up to the time the injunction was sought by Sanofi, the primary judge did not accept that the email of 20 February 2007 was an instruction that provided Mr Millichamp with sufficient authority to launch at risk in late 2007 without reverting to Dr Sherman, or that the email was "persuasive evidence" of what Dr</w:t>
      </w:r>
      <w:r>
        <w:rPr>
          <w:rFonts w:ascii="Times New Roman" w:hAnsi="Times New Roman"/>
        </w:rPr>
        <w:t> </w:t>
      </w:r>
      <w:r w:rsidRPr="006519AA">
        <w:rPr>
          <w:rFonts w:ascii="Times New Roman" w:hAnsi="Times New Roman"/>
        </w:rPr>
        <w:t>Sherman's thought process would have been "eight or nine months later" if the injunction was refused.</w:t>
      </w:r>
      <w:r w:rsidRPr="006519AA">
        <w:rPr>
          <w:rStyle w:val="FootnoteReference"/>
          <w:rFonts w:ascii="Times New Roman" w:hAnsi="Times New Roman"/>
          <w:sz w:val="24"/>
        </w:rPr>
        <w:footnoteReference w:id="375"/>
      </w:r>
      <w:r w:rsidRPr="006519AA">
        <w:rPr>
          <w:rFonts w:ascii="Times New Roman" w:hAnsi="Times New Roman"/>
        </w:rPr>
        <w:t xml:space="preserve"> This latter finding built on the primary judge's interpretation of the email of 26 June 2007 noted above.</w:t>
      </w:r>
      <w:r w:rsidRPr="006519AA">
        <w:rPr>
          <w:rStyle w:val="FootnoteReference"/>
          <w:rFonts w:ascii="Times New Roman" w:hAnsi="Times New Roman"/>
          <w:sz w:val="24"/>
        </w:rPr>
        <w:footnoteReference w:id="376"/>
      </w:r>
    </w:p>
    <w:p w14:paraId="6E30765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From that premise, the primary judge concluded that Dr Sherman was a witness whom it was expected that the Commonwealth would have called and that justified drawing an inference of the kind referred to in </w:t>
      </w:r>
      <w:r w:rsidRPr="006519AA">
        <w:rPr>
          <w:rFonts w:ascii="Times New Roman" w:hAnsi="Times New Roman"/>
          <w:i/>
          <w:iCs/>
        </w:rPr>
        <w:t>Jones v Dunkel,</w:t>
      </w:r>
      <w:r w:rsidRPr="006519AA">
        <w:rPr>
          <w:rStyle w:val="FootnoteReference"/>
          <w:rFonts w:ascii="Times New Roman" w:hAnsi="Times New Roman"/>
          <w:sz w:val="24"/>
        </w:rPr>
        <w:footnoteReference w:id="377"/>
      </w:r>
      <w:r w:rsidRPr="006519AA">
        <w:rPr>
          <w:rFonts w:ascii="Times New Roman" w:hAnsi="Times New Roman"/>
          <w:i/>
          <w:iCs/>
        </w:rPr>
        <w:t xml:space="preserve"> </w:t>
      </w:r>
      <w:r w:rsidRPr="006519AA">
        <w:rPr>
          <w:rFonts w:ascii="Times New Roman" w:hAnsi="Times New Roman"/>
        </w:rPr>
        <w:t>namely "that the Commonwealth chose not to call [Dr Sherman] because it considered that his evidence would not have assisted its case".</w:t>
      </w:r>
      <w:r w:rsidRPr="006519AA">
        <w:rPr>
          <w:rStyle w:val="FootnoteReference"/>
          <w:rFonts w:ascii="Times New Roman" w:hAnsi="Times New Roman"/>
          <w:sz w:val="24"/>
        </w:rPr>
        <w:footnoteReference w:id="378"/>
      </w:r>
      <w:r w:rsidRPr="006519AA">
        <w:rPr>
          <w:rFonts w:ascii="Times New Roman" w:hAnsi="Times New Roman"/>
        </w:rPr>
        <w:t xml:space="preserve"> The primary judge then reasoned as follows:</w:t>
      </w:r>
      <w:r w:rsidRPr="006519AA">
        <w:rPr>
          <w:rStyle w:val="FootnoteReference"/>
          <w:rFonts w:ascii="Times New Roman" w:hAnsi="Times New Roman"/>
          <w:sz w:val="24"/>
        </w:rPr>
        <w:footnoteReference w:id="379"/>
      </w:r>
      <w:r w:rsidRPr="006519AA">
        <w:rPr>
          <w:rFonts w:ascii="Times New Roman" w:hAnsi="Times New Roman"/>
        </w:rPr>
        <w:t xml:space="preserve"> </w:t>
      </w:r>
    </w:p>
    <w:p w14:paraId="54387B16" w14:textId="77777777" w:rsidR="00067C14" w:rsidRPr="006519AA" w:rsidRDefault="00067C14" w:rsidP="00582158">
      <w:pPr>
        <w:pStyle w:val="LeftrightafterHC"/>
        <w:spacing w:before="0" w:after="260" w:line="240" w:lineRule="auto"/>
        <w:ind w:right="0"/>
        <w:jc w:val="both"/>
        <w:rPr>
          <w:rFonts w:ascii="Times New Roman" w:hAnsi="Times New Roman"/>
        </w:rPr>
      </w:pPr>
      <w:r w:rsidRPr="006519AA">
        <w:rPr>
          <w:rFonts w:ascii="Times New Roman" w:hAnsi="Times New Roman"/>
        </w:rPr>
        <w:t>"I am not prepared to infer, based on the 20 February 2007 email, or any of the subsequent correspondence in evidence which was said to justify the drawing of such an inference, that Dr Sherman was likely to have instructed Mr Millichamp to procure the listing of Apotex [Australia's] clopidogrel products with effect from 1 April 2008.</w:t>
      </w:r>
    </w:p>
    <w:p w14:paraId="15D6DD87" w14:textId="77777777" w:rsidR="00067C14" w:rsidRDefault="00067C14" w:rsidP="00582158">
      <w:pPr>
        <w:pStyle w:val="leftright"/>
        <w:spacing w:before="0" w:after="260" w:line="240" w:lineRule="auto"/>
        <w:ind w:right="0"/>
        <w:jc w:val="both"/>
        <w:rPr>
          <w:rFonts w:ascii="Times New Roman" w:hAnsi="Times New Roman"/>
        </w:rPr>
      </w:pPr>
      <w:r w:rsidRPr="006519AA">
        <w:rPr>
          <w:rFonts w:ascii="Times New Roman" w:hAnsi="Times New Roman"/>
        </w:rPr>
        <w:t xml:space="preserve">In my opinion, the Commonwealth’s case suffers from an evidentiary deficiency which cannot be made good by drawing inferences from correspondence written by Dr Sherman in the lead up to the hearing of the interlocutory application. In particular, I do not think it can be inferred that if Dr Sherman had known that the trial of the patent proceeding would commence in the same month that Apotex Australia obtained a PBS listing of its clopidogrel products (triggering a 12.5% statutory price reduction), that he would have, in those circumstances, authorised Apotex Australia to obtain such a listing before judgment was delivered or, at least, until the </w:t>
      </w:r>
      <w:r w:rsidRPr="006519AA">
        <w:rPr>
          <w:rFonts w:ascii="Times New Roman" w:hAnsi="Times New Roman"/>
        </w:rPr>
        <w:lastRenderedPageBreak/>
        <w:t>trial had concluded (by which time he and his colleagues and his legal advisers may have had a clearer view of the strength of Sanofi's case)."</w:t>
      </w:r>
    </w:p>
    <w:p w14:paraId="6EFD320C"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difficulty with the second paragraph of the above extract has already been identified, namely that, prior to the hearing of the application for an interlocutory injunction, Dr Sherman was apprised of both the likely date of the final hearing of the revocation proceedings and the revised likely PBS listing date, yet Apotex Australia proceeded to fight the injunction and tell Gyles J of its intention to list and launch at risk regardless. There was no "evidentiary deficiency" as described. Both the primary judge and the Full Court erred in concluding otherwise.</w:t>
      </w:r>
      <w:r w:rsidRPr="006519AA">
        <w:rPr>
          <w:rStyle w:val="FootnoteReference"/>
          <w:rFonts w:ascii="Times New Roman" w:hAnsi="Times New Roman"/>
          <w:sz w:val="24"/>
        </w:rPr>
        <w:footnoteReference w:id="380"/>
      </w:r>
      <w:r w:rsidRPr="006519AA">
        <w:rPr>
          <w:rFonts w:ascii="Times New Roman" w:hAnsi="Times New Roman"/>
        </w:rPr>
        <w:t xml:space="preserve"> </w:t>
      </w:r>
    </w:p>
    <w:p w14:paraId="0275E46F"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Further, these paragraphs purport to apply </w:t>
      </w:r>
      <w:r w:rsidRPr="006519AA">
        <w:rPr>
          <w:rFonts w:ascii="Times New Roman" w:hAnsi="Times New Roman"/>
          <w:i/>
          <w:iCs/>
        </w:rPr>
        <w:t>Jones v Dunkel</w:t>
      </w:r>
      <w:r w:rsidRPr="006519AA">
        <w:rPr>
          <w:rFonts w:ascii="Times New Roman" w:hAnsi="Times New Roman"/>
        </w:rPr>
        <w:t xml:space="preserve"> in the manner explained by Glass JA in </w:t>
      </w:r>
      <w:r w:rsidRPr="006519AA">
        <w:rPr>
          <w:rFonts w:ascii="Times New Roman" w:hAnsi="Times New Roman"/>
          <w:i/>
          <w:iCs/>
        </w:rPr>
        <w:t>Payne v Parker</w:t>
      </w:r>
      <w:r w:rsidRPr="006519AA">
        <w:rPr>
          <w:rFonts w:ascii="Times New Roman" w:hAnsi="Times New Roman"/>
        </w:rPr>
        <w:t>,</w:t>
      </w:r>
      <w:r w:rsidRPr="006519AA">
        <w:rPr>
          <w:rStyle w:val="FootnoteReference"/>
          <w:rFonts w:ascii="Times New Roman" w:hAnsi="Times New Roman"/>
          <w:sz w:val="24"/>
        </w:rPr>
        <w:footnoteReference w:id="381"/>
      </w:r>
      <w:r w:rsidRPr="006519AA">
        <w:rPr>
          <w:rFonts w:ascii="Times New Roman" w:hAnsi="Times New Roman"/>
          <w:i/>
          <w:iCs/>
        </w:rPr>
        <w:t xml:space="preserve"> </w:t>
      </w:r>
      <w:r w:rsidRPr="006519AA">
        <w:rPr>
          <w:rFonts w:ascii="Times New Roman" w:hAnsi="Times New Roman"/>
        </w:rPr>
        <w:t>namely that the failure by a party who bears the legal onus of proof to call a witness whom it is expected they would have called may result in the inferences for which they contend being treated with greater reserve.</w:t>
      </w:r>
      <w:r w:rsidRPr="006519AA">
        <w:rPr>
          <w:rStyle w:val="FootnoteReference"/>
          <w:rFonts w:ascii="Times New Roman" w:hAnsi="Times New Roman"/>
          <w:sz w:val="24"/>
        </w:rPr>
        <w:footnoteReference w:id="382"/>
      </w:r>
      <w:r w:rsidRPr="006519AA">
        <w:rPr>
          <w:rFonts w:ascii="Times New Roman" w:hAnsi="Times New Roman"/>
        </w:rPr>
        <w:t xml:space="preserve"> The Commonwealth carried the legal onus of proof and, as noted, the primary judge found that it was expected that it would have called Dr Sherman.</w:t>
      </w:r>
      <w:r w:rsidRPr="006519AA">
        <w:rPr>
          <w:rStyle w:val="FootnoteReference"/>
          <w:rFonts w:ascii="Times New Roman" w:hAnsi="Times New Roman"/>
          <w:sz w:val="24"/>
        </w:rPr>
        <w:footnoteReference w:id="383"/>
      </w:r>
      <w:r w:rsidRPr="006519AA">
        <w:rPr>
          <w:rFonts w:ascii="Times New Roman" w:hAnsi="Times New Roman"/>
        </w:rPr>
        <w:t xml:space="preserve"> </w:t>
      </w:r>
    </w:p>
    <w:p w14:paraId="7FC9235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However, the approach of the primary judge as seen in the above passage, and that of the Full Court, misstated the Commonwealth's case. The Commonwealth did not seek to prove that, had the injunction been refused, Dr Sherman was likely to have given </w:t>
      </w:r>
      <w:r w:rsidRPr="006519AA">
        <w:rPr>
          <w:rFonts w:ascii="Times New Roman" w:hAnsi="Times New Roman"/>
          <w:i/>
          <w:iCs/>
        </w:rPr>
        <w:t>fresh instructions</w:t>
      </w:r>
      <w:r w:rsidRPr="006519AA">
        <w:rPr>
          <w:rFonts w:ascii="Times New Roman" w:hAnsi="Times New Roman"/>
        </w:rPr>
        <w:t xml:space="preserve"> to Mr Millichamp to procure the listing of Apotex Australia's clopidogrel products with effect from 1 April 2008. Instead, the Commonwealth's case was that, prior to the hearing before Gyles J, Apotex Australia was unequivocally committed to listing and launching at risk and, to the extent that depended on a decision by Dr Sherman, he </w:t>
      </w:r>
      <w:r w:rsidRPr="006519AA">
        <w:rPr>
          <w:rFonts w:ascii="Times New Roman" w:hAnsi="Times New Roman"/>
          <w:i/>
          <w:iCs/>
        </w:rPr>
        <w:t>had already</w:t>
      </w:r>
      <w:r w:rsidRPr="006519AA">
        <w:rPr>
          <w:rFonts w:ascii="Times New Roman" w:hAnsi="Times New Roman"/>
        </w:rPr>
        <w:t xml:space="preserve"> made it. To the extent that the Commonwealth's case involved the drawing of an inference about what Dr Sherman would have decided if the application for an interlocutory injunction had been refused, it was only that there was no proper basis for concluding that he would have caused Apotex Australia to </w:t>
      </w:r>
      <w:r w:rsidRPr="006519AA">
        <w:rPr>
          <w:rFonts w:ascii="Times New Roman" w:hAnsi="Times New Roman"/>
        </w:rPr>
        <w:lastRenderedPageBreak/>
        <w:t>recant what it told Gyles J. The constraints on him doing so have already been addressed.</w:t>
      </w:r>
      <w:r w:rsidRPr="006519AA">
        <w:rPr>
          <w:rStyle w:val="FootnoteReference"/>
          <w:rFonts w:ascii="Times New Roman" w:hAnsi="Times New Roman"/>
          <w:sz w:val="24"/>
        </w:rPr>
        <w:footnoteReference w:id="384"/>
      </w:r>
    </w:p>
    <w:p w14:paraId="625E3A44"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As noted, the Commonwealth's case deployed direct evidence of Apotex Australia's intentions immediately prior to the grant of the interlocutory injunction, being the statement made to Gyles J by Mr Catterns and Mr Millichamp's affidavit. In submissions before the primary judge, the only specific inference that the Commonwealth submitted should be drawn was that, in the emails sent by Dr Sherman at 4.44 am and at 5.12 am on 27 June 2007, he reiterated the instructions he gave on 20 February 2007 to launch at risk unless restrained. The absence of Dr Sherman from the witness box could not justify refusing to draw that inference because the undisputed claim for privilege over the redacted portion of Dr Sherman's emails meant that no witness could be asked to give direct evidence of their contents; ie, there was no (admissible) evidence about those emails that Dr Sherman could elucidate.</w:t>
      </w:r>
      <w:r w:rsidRPr="006519AA">
        <w:rPr>
          <w:rStyle w:val="FootnoteReference"/>
          <w:rFonts w:ascii="Times New Roman" w:hAnsi="Times New Roman"/>
          <w:sz w:val="24"/>
        </w:rPr>
        <w:footnoteReference w:id="385"/>
      </w:r>
      <w:r w:rsidRPr="006519AA">
        <w:rPr>
          <w:rFonts w:ascii="Times New Roman" w:hAnsi="Times New Roman"/>
        </w:rPr>
        <w:t xml:space="preserve"> </w:t>
      </w:r>
    </w:p>
    <w:p w14:paraId="53EE3C5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Commonwealth's submission about the contents of Dr Sherman's emails sent on 27 June 2007 was never expressly addressed by the primary judge. The Full Court rejected the Commonwealth's complaint about that failure by reasoning that the submission was just a recitation of the Commonwealth's case that Dr Sherman had instructed Apotex Australia to launch at risk and that the primary judge had addressed that submission below.</w:t>
      </w:r>
      <w:r w:rsidRPr="006519AA">
        <w:rPr>
          <w:rStyle w:val="FootnoteReference"/>
          <w:rFonts w:ascii="Times New Roman" w:hAnsi="Times New Roman"/>
          <w:sz w:val="24"/>
        </w:rPr>
        <w:footnoteReference w:id="386"/>
      </w:r>
      <w:r w:rsidRPr="006519AA">
        <w:rPr>
          <w:rFonts w:ascii="Times New Roman" w:hAnsi="Times New Roman"/>
        </w:rPr>
        <w:t xml:space="preserve"> However, that reasoning mischaracterises the Commonwealth's submission which, as noted, concerned the drawing of a particular inference about the contents of certain emails. Thus, in the end result, an important submission made by the Commonwealth was not addressed at first instance or on appeal. </w:t>
      </w:r>
    </w:p>
    <w:p w14:paraId="758C9B5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In fact, the Commonwealth's submission had great force. In particular, the Commonwealth contended that an inference about the contents of Dr Sherman's emails sent on 27 June 2007 should be drawn from three of the emails sent in the immediate period afterwards, which have been described above,</w:t>
      </w:r>
      <w:r w:rsidRPr="006519AA">
        <w:rPr>
          <w:rStyle w:val="FootnoteReference"/>
          <w:rFonts w:ascii="Times New Roman" w:hAnsi="Times New Roman"/>
          <w:sz w:val="24"/>
        </w:rPr>
        <w:footnoteReference w:id="387"/>
      </w:r>
      <w:r w:rsidRPr="006519AA">
        <w:rPr>
          <w:rFonts w:ascii="Times New Roman" w:hAnsi="Times New Roman"/>
        </w:rPr>
        <w:t xml:space="preserve"> namely: the email from Mr Millichamp to Mr Haas at 1.59 pm on 27 June 2007 that said "we will plan to launch subject to Barry's further advice / approval"; the email from Mr Millichamp to executives of Apotex Australia at 11.23 am on 27 June 2007 that passed on Dr Sherman's redacted email, and which said "[g]ame on"; and the </w:t>
      </w:r>
      <w:r w:rsidRPr="006519AA">
        <w:rPr>
          <w:rFonts w:ascii="Times New Roman" w:hAnsi="Times New Roman"/>
        </w:rPr>
        <w:lastRenderedPageBreak/>
        <w:t>email sent by Mr Millichamp to Mr Haas and copied to others at 10.28 pm on 28 June 2007 which said "as per instructions from Barry" and provided a list of objectives detailing the "plan" for Apotex Australia's clopidogrel products, with the third point stating "[i]f we are successful in defending our position vs Sanofi and an injunction is not granted by the courts then we will launch".</w:t>
      </w:r>
    </w:p>
    <w:p w14:paraId="2E2FF6A7"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 second email in which Mr Millichamp said "[g]ame on" was noted by the primary judge, but its contents were not engaged with.</w:t>
      </w:r>
      <w:r w:rsidRPr="006519AA">
        <w:rPr>
          <w:rStyle w:val="FootnoteReference"/>
          <w:rFonts w:ascii="Times New Roman" w:hAnsi="Times New Roman"/>
          <w:sz w:val="24"/>
        </w:rPr>
        <w:footnoteReference w:id="388"/>
      </w:r>
      <w:r w:rsidRPr="006519AA">
        <w:rPr>
          <w:rFonts w:ascii="Times New Roman" w:hAnsi="Times New Roman"/>
        </w:rPr>
        <w:t xml:space="preserve"> The Full Court addressed that email by identifying two possibilities as to what was meant by the "game". The first possibility identified by the Full Court was to launch at risk. The second possibility identified by the Full Court was "to signal to the market that Apotex [Australia] was going to launch in order to goad Sanofi into seeking an interlocutory injunction and proffering an undertaking as to damages". The Full Court added that "[w]hich of these was the 'game' to which Mr Millichamp was referring rather turns on the contents of Dr Sherman’s two emails which are unknown".</w:t>
      </w:r>
      <w:r w:rsidRPr="006519AA">
        <w:rPr>
          <w:rStyle w:val="FootnoteReference"/>
          <w:rFonts w:ascii="Times New Roman" w:hAnsi="Times New Roman"/>
          <w:sz w:val="24"/>
        </w:rPr>
        <w:footnoteReference w:id="389"/>
      </w:r>
      <w:r w:rsidRPr="006519AA">
        <w:rPr>
          <w:rFonts w:ascii="Times New Roman" w:hAnsi="Times New Roman"/>
        </w:rPr>
        <w:t xml:space="preserve"> </w:t>
      </w:r>
    </w:p>
    <w:p w14:paraId="0116385E"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There are three difficulties with the Full Court's analysis of the reference to "game" in Mr Millichamp's email. First, the word "game" was coined by Mr Millichamp and his email was not redacted. It was never suggested to Mr</w:t>
      </w:r>
      <w:r>
        <w:rPr>
          <w:rFonts w:ascii="Times New Roman" w:hAnsi="Times New Roman"/>
        </w:rPr>
        <w:t> </w:t>
      </w:r>
      <w:r w:rsidRPr="006519AA">
        <w:rPr>
          <w:rFonts w:ascii="Times New Roman" w:hAnsi="Times New Roman"/>
        </w:rPr>
        <w:t>Millichamp that his intention was to "goad" Sanofi into proffering an undertaking as to damages without genuinely intending to resist the injunction and launch at risk if an injunction was not granted.</w:t>
      </w:r>
      <w:r w:rsidRPr="006519AA">
        <w:rPr>
          <w:rStyle w:val="FootnoteReference"/>
          <w:rFonts w:ascii="Times New Roman" w:hAnsi="Times New Roman"/>
          <w:sz w:val="24"/>
        </w:rPr>
        <w:footnoteReference w:id="390"/>
      </w:r>
      <w:r w:rsidRPr="006519AA">
        <w:rPr>
          <w:rFonts w:ascii="Times New Roman" w:hAnsi="Times New Roman"/>
        </w:rPr>
        <w:t xml:space="preserve"> Second, if the "game" was to "goad" Sanofi into proffering an undertaking as to damages, then that object was achieved by no later than 17 September 2007 when such an undertaking was proffered by Sanofi (although no doubt from the outset, all the parties envisaged it would be required as the price of Sanofi obtaining an injunction). Despite that offer, Apotex Australia continued to vigorously resist Sanofi's application for an injunction. Third, the possibility that Sanofi was being goaded disregards the unequivocal statements made by Apotex Australia to Gyles J as to its intentions. Goading a commercial rival in correspondence is one thing. Deliberately misleading a court is a very different thing. Once that possibility of goading is removed, as it must be, the Full Court's reasoning bolsters the drawing of the particular inference sought by the Commonwealth at trial. </w:t>
      </w:r>
    </w:p>
    <w:p w14:paraId="4C7D1D8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Despite being set out verbatim in the Commonwealth's written submissions, the third email it relied on, being the email from Mr Millichamp in which he </w:t>
      </w:r>
      <w:r w:rsidRPr="006519AA">
        <w:rPr>
          <w:rFonts w:ascii="Times New Roman" w:hAnsi="Times New Roman"/>
        </w:rPr>
        <w:lastRenderedPageBreak/>
        <w:t>referred to "as per instructions from Barry", was not referred to at all by the primary judge. The Full Court found it was not necessary for the primary judge to do so "once the full scope of the trial judge's reasoning [was] grasped".</w:t>
      </w:r>
      <w:r w:rsidRPr="006519AA">
        <w:rPr>
          <w:rStyle w:val="FootnoteReference"/>
          <w:rFonts w:ascii="Times New Roman" w:hAnsi="Times New Roman"/>
          <w:sz w:val="24"/>
        </w:rPr>
        <w:footnoteReference w:id="391"/>
      </w:r>
      <w:r w:rsidRPr="006519AA">
        <w:rPr>
          <w:rFonts w:ascii="Times New Roman" w:hAnsi="Times New Roman"/>
        </w:rPr>
        <w:t xml:space="preserve"> This was a reference to the primary judge's reasoning that, while Mr Millichamp was enthusiastic to launch, that was no answer to the "proposition that Dr Sherman's final approval before a launch would be necessary".</w:t>
      </w:r>
      <w:r w:rsidRPr="006519AA">
        <w:rPr>
          <w:rStyle w:val="FootnoteReference"/>
          <w:rFonts w:ascii="Times New Roman" w:hAnsi="Times New Roman"/>
          <w:sz w:val="24"/>
        </w:rPr>
        <w:footnoteReference w:id="392"/>
      </w:r>
      <w:r w:rsidRPr="006519AA">
        <w:rPr>
          <w:rFonts w:ascii="Times New Roman" w:hAnsi="Times New Roman"/>
        </w:rPr>
        <w:t xml:space="preserve"> However, that reasoning failed to address the point being made by the Commonwealth in its submission, namely that, when considered in context, the opening words to Mr Millichamp's email suggested that he was passing on an instruction from Dr Sherman that was contained in the redacted emails sent on 27 June 2007. </w:t>
      </w:r>
    </w:p>
    <w:p w14:paraId="76E1AFE8"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Instead, as noted, from the first of the emails that the Commonwealth relied, the primary judge extracted the suggestion that any approval given by Dr Sherman was provisional and had to be confirmed. That conclusion failed to address the context in which the email was sent. As the Commonwealth's submission suggested, that context strongly supported the contention that Dr Sherman had reiterated the intention to launch ("[g]ame on") and had not qualified the intention to launch. </w:t>
      </w:r>
    </w:p>
    <w:p w14:paraId="4B265EFA"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Lastly, the inference sought to be drawn by the Commonwealth about those emails was not undermined by Mr Millichamp's oral evidence before the primary judge when he was asked about the source of his instructions for the "plan" referred to in his email to Mr Haas on 28 June 2007 ("as per instructions from Barry the plan"). In response to this question, Mr Millichamp said that "[u]nless there were any interim instructions, which I can't remember, I would be referring to the original ones [from 20 Feb 2007], yes". As explained by Jagot J,</w:t>
      </w:r>
      <w:r w:rsidRPr="006519AA">
        <w:rPr>
          <w:rStyle w:val="FootnoteReference"/>
          <w:rFonts w:ascii="Times New Roman" w:hAnsi="Times New Roman"/>
          <w:sz w:val="24"/>
        </w:rPr>
        <w:footnoteReference w:id="393"/>
      </w:r>
      <w:r w:rsidRPr="006519AA">
        <w:rPr>
          <w:rFonts w:ascii="Times New Roman" w:hAnsi="Times New Roman"/>
        </w:rPr>
        <w:t xml:space="preserve"> much was made of this by the primary judge</w:t>
      </w:r>
      <w:r w:rsidRPr="006519AA">
        <w:rPr>
          <w:rStyle w:val="FootnoteReference"/>
          <w:rFonts w:ascii="Times New Roman" w:hAnsi="Times New Roman"/>
          <w:sz w:val="24"/>
        </w:rPr>
        <w:footnoteReference w:id="394"/>
      </w:r>
      <w:r w:rsidRPr="006519AA">
        <w:rPr>
          <w:rFonts w:ascii="Times New Roman" w:hAnsi="Times New Roman"/>
        </w:rPr>
        <w:t xml:space="preserve"> and the Full Court.</w:t>
      </w:r>
      <w:r w:rsidRPr="006519AA">
        <w:rPr>
          <w:rStyle w:val="FootnoteReference"/>
          <w:rFonts w:ascii="Times New Roman" w:hAnsi="Times New Roman"/>
          <w:sz w:val="24"/>
        </w:rPr>
        <w:footnoteReference w:id="395"/>
      </w:r>
      <w:r w:rsidRPr="006519AA">
        <w:rPr>
          <w:rFonts w:ascii="Times New Roman" w:hAnsi="Times New Roman"/>
        </w:rPr>
        <w:t xml:space="preserve"> However, this evidence could not detract from the Commonwealth's case, and that is not just because Mr Millichamp was giving evidence in 2017 about events that took place in 2007.</w:t>
      </w:r>
      <w:r w:rsidRPr="006519AA">
        <w:rPr>
          <w:rStyle w:val="FootnoteReference"/>
          <w:rFonts w:ascii="Times New Roman" w:hAnsi="Times New Roman"/>
          <w:sz w:val="24"/>
        </w:rPr>
        <w:footnoteReference w:id="396"/>
      </w:r>
      <w:r w:rsidRPr="006519AA">
        <w:rPr>
          <w:rFonts w:ascii="Times New Roman" w:hAnsi="Times New Roman"/>
        </w:rPr>
        <w:t xml:space="preserve"> The redactions for privilege meant Mr Millichamp could not be shown the very emails the Commonwealth contended contained the instructions given by Dr Sherman. As already noted, neither Mr Millichamp nor anyone else, including </w:t>
      </w:r>
      <w:r w:rsidRPr="006519AA">
        <w:rPr>
          <w:rFonts w:ascii="Times New Roman" w:hAnsi="Times New Roman"/>
        </w:rPr>
        <w:lastRenderedPageBreak/>
        <w:t xml:space="preserve">Dr Sherman, could give direct evidence of their contents (unless privilege was waived by Apotex Australia). </w:t>
      </w:r>
    </w:p>
    <w:p w14:paraId="1A1674DD"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Thus, in addressing the period up to the hearing of the injunction, the primary judge failed to properly address the Commonwealth's case and overlooked cogent evidence concerning Apotex Australia's intention to list and launch at risk if not restrained. The Full Court similarly erred in dismissing the Commonwealth's complaints about his Honour's fact finding concerning this period. </w:t>
      </w:r>
    </w:p>
    <w:p w14:paraId="6A8E062B"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Compounding this failure was the approach adopted by both the primary judge</w:t>
      </w:r>
      <w:r w:rsidRPr="006519AA">
        <w:rPr>
          <w:rStyle w:val="FootnoteReference"/>
          <w:rFonts w:ascii="Times New Roman" w:hAnsi="Times New Roman"/>
          <w:sz w:val="24"/>
        </w:rPr>
        <w:footnoteReference w:id="397"/>
      </w:r>
      <w:r w:rsidRPr="006519AA">
        <w:rPr>
          <w:rFonts w:ascii="Times New Roman" w:hAnsi="Times New Roman"/>
        </w:rPr>
        <w:t xml:space="preserve"> and the Full Court</w:t>
      </w:r>
      <w:r w:rsidRPr="006519AA">
        <w:rPr>
          <w:rStyle w:val="FootnoteReference"/>
          <w:rFonts w:ascii="Times New Roman" w:hAnsi="Times New Roman"/>
          <w:sz w:val="24"/>
        </w:rPr>
        <w:footnoteReference w:id="398"/>
      </w:r>
      <w:r w:rsidRPr="006519AA">
        <w:rPr>
          <w:rFonts w:ascii="Times New Roman" w:hAnsi="Times New Roman"/>
        </w:rPr>
        <w:t xml:space="preserve"> to the circular of 17 August 2007. When the reference to "the decision whether to launch ... will be delayed until the outcome" of the injunction application is known is read with the balance of the document, especially the early statement of, "[w]e intend to launch", then the circular is not evidence of a lack of a firm intention to launch at risk. It simply reflects the commercial reality that the outcome of the injunction application and what occurred during the application would, or at least could, affect Apotex Australia's launch of its clopidogrel products. </w:t>
      </w:r>
    </w:p>
    <w:p w14:paraId="658F8F3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In the end result, the inference sought by the Commonwealth about the instructions given by Dr Sherman in his emails of 27 June 2007 should be drawn. The formation of that intention at that time did not exclude Dr Sherman revisiting the issue or later confirming it. However, by late June 2007 and throughout July and August 2007, it was "[g]ame on" as far as Apotex Australia was concerned. </w:t>
      </w:r>
    </w:p>
    <w:p w14:paraId="4F751009"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Further, even if the particular inference the Commonwealth contended about the contents of Dr Sherman's emails of 27 June 2007 was not drawn, and even if Mr Millichamp's email of 27 June 2007 was capable of raising some doubt at that time about the firmness of Apotex Australia's intention to seek listing and launch if an injunction was refused, then that did not obviate the necessity to consider what was demonstrated by the totality of the Commonwealth's evidence concerning Apotex Australia's intentions up until the grant of the interlocutory injunction by Gyles J. That evidence demonstrated that throughout 2007 Apotex Australia formed an intention to list its </w:t>
      </w:r>
      <w:bookmarkStart w:id="12" w:name="_Hlk180413733"/>
      <w:r w:rsidRPr="006519AA">
        <w:rPr>
          <w:rFonts w:ascii="Times New Roman" w:hAnsi="Times New Roman"/>
        </w:rPr>
        <w:t xml:space="preserve">clopidogrel products </w:t>
      </w:r>
      <w:bookmarkEnd w:id="12"/>
      <w:r w:rsidRPr="006519AA">
        <w:rPr>
          <w:rFonts w:ascii="Times New Roman" w:hAnsi="Times New Roman"/>
        </w:rPr>
        <w:t xml:space="preserve">on the PBS and launch those products at risk unless restrained by an injunction. It culminated in Apotex Australia unequivocally communicating that intention to Gyles J. Until that occurred, it was undoubtedly open to Dr Sherman to change course. However, for </w:t>
      </w:r>
      <w:r w:rsidRPr="006519AA">
        <w:rPr>
          <w:rFonts w:ascii="Times New Roman" w:hAnsi="Times New Roman"/>
        </w:rPr>
        <w:lastRenderedPageBreak/>
        <w:t xml:space="preserve">the reasons set out above, his scope to do so after the statements were made to Gyles J was very much narrowed, if not removed entirely. </w:t>
      </w:r>
    </w:p>
    <w:p w14:paraId="58F4FCD0" w14:textId="77777777" w:rsidR="00067C14" w:rsidRPr="006519AA" w:rsidRDefault="00067C14" w:rsidP="00582158">
      <w:pPr>
        <w:pStyle w:val="HeadingL2"/>
        <w:spacing w:after="260" w:line="240" w:lineRule="auto"/>
        <w:ind w:right="0"/>
        <w:jc w:val="both"/>
        <w:rPr>
          <w:rFonts w:ascii="Times New Roman" w:hAnsi="Times New Roman"/>
        </w:rPr>
      </w:pPr>
      <w:r w:rsidRPr="006519AA">
        <w:rPr>
          <w:rFonts w:ascii="Times New Roman" w:hAnsi="Times New Roman"/>
          <w:b/>
          <w:bCs/>
          <w:i w:val="0"/>
          <w:iCs/>
        </w:rPr>
        <w:t>No inference adverse to the Commonwealth can be drawn</w:t>
      </w:r>
    </w:p>
    <w:p w14:paraId="4993A5B5"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As noted, relying on </w:t>
      </w:r>
      <w:r w:rsidRPr="006519AA">
        <w:rPr>
          <w:rFonts w:ascii="Times New Roman" w:hAnsi="Times New Roman"/>
          <w:i/>
          <w:iCs/>
        </w:rPr>
        <w:t>Jones v Dunkel</w:t>
      </w:r>
      <w:r w:rsidRPr="006519AA">
        <w:rPr>
          <w:rFonts w:ascii="Times New Roman" w:hAnsi="Times New Roman"/>
        </w:rPr>
        <w:t xml:space="preserve"> and </w:t>
      </w:r>
      <w:r w:rsidRPr="006519AA">
        <w:rPr>
          <w:rFonts w:ascii="Times New Roman" w:hAnsi="Times New Roman"/>
          <w:i/>
          <w:iCs/>
        </w:rPr>
        <w:t>Payne v Parker</w:t>
      </w:r>
      <w:r w:rsidRPr="006519AA">
        <w:rPr>
          <w:rFonts w:ascii="Times New Roman" w:hAnsi="Times New Roman"/>
        </w:rPr>
        <w:t>, the primary judge declined to draw an inference that the Commonwealth did not seek, namely that, had no injunction been granted, Dr Sherman was likely to have instructed Mr Millichamp to procure the listing of Apotex Australia's clopidogrel products with effect from 1 April 2008.</w:t>
      </w:r>
      <w:r w:rsidRPr="006519AA">
        <w:rPr>
          <w:rStyle w:val="FootnoteReference"/>
          <w:rFonts w:ascii="Times New Roman" w:hAnsi="Times New Roman"/>
          <w:sz w:val="24"/>
        </w:rPr>
        <w:footnoteReference w:id="399"/>
      </w:r>
      <w:r w:rsidRPr="006519AA">
        <w:rPr>
          <w:rFonts w:ascii="Times New Roman" w:hAnsi="Times New Roman"/>
        </w:rPr>
        <w:t xml:space="preserve"> The Full Court adopted the same approach in rejecting the Commonwealth's criticism of the primary judge's reliance on </w:t>
      </w:r>
      <w:r w:rsidRPr="006519AA">
        <w:rPr>
          <w:rFonts w:ascii="Times New Roman" w:hAnsi="Times New Roman"/>
          <w:i/>
          <w:iCs/>
        </w:rPr>
        <w:t>Jones v Dunkel</w:t>
      </w:r>
      <w:r w:rsidRPr="006519AA">
        <w:rPr>
          <w:rFonts w:ascii="Times New Roman" w:hAnsi="Times New Roman"/>
        </w:rPr>
        <w:t>. The Full Court observed that "Dr Sherman's evidence would have undoubtedly elucidated the central issue in this case: what would Dr Sherman have done if the injunction had been refused?".</w:t>
      </w:r>
      <w:r w:rsidRPr="006519AA">
        <w:rPr>
          <w:rStyle w:val="FootnoteReference"/>
          <w:rFonts w:ascii="Times New Roman" w:hAnsi="Times New Roman"/>
          <w:sz w:val="24"/>
        </w:rPr>
        <w:footnoteReference w:id="400"/>
      </w:r>
      <w:r w:rsidRPr="006519AA">
        <w:rPr>
          <w:rFonts w:ascii="Times New Roman" w:hAnsi="Times New Roman"/>
        </w:rPr>
        <w:t xml:space="preserve"> </w:t>
      </w:r>
    </w:p>
    <w:p w14:paraId="4048EB0B"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However, that was not the central issue. The central issue was whether Apotex Australia would have listed and launched its clopidogrel products at risk if the injunction had been refused? It is true that Dr Sherman was its directing mind, but Apotex Australia had already committed itself to listing and launching at risk by telling Gyles J that it would do so. Even though the statements made concerned Apotex Australia's future intentions, the fact they were made to a court meant that they could not be withdrawn without good reason. Like the company minutes considered in </w:t>
      </w:r>
      <w:r w:rsidRPr="006519AA">
        <w:rPr>
          <w:rFonts w:ascii="Times New Roman" w:hAnsi="Times New Roman"/>
          <w:i/>
          <w:iCs/>
        </w:rPr>
        <w:t xml:space="preserve">Australia Securities and Investments Commission v Hellicar </w:t>
      </w:r>
      <w:r w:rsidRPr="006519AA">
        <w:rPr>
          <w:rFonts w:ascii="Times New Roman" w:hAnsi="Times New Roman"/>
        </w:rPr>
        <w:t>("</w:t>
      </w:r>
      <w:r w:rsidRPr="006519AA">
        <w:rPr>
          <w:rFonts w:ascii="Times New Roman" w:hAnsi="Times New Roman"/>
          <w:i/>
          <w:iCs/>
        </w:rPr>
        <w:t>Hellicar</w:t>
      </w:r>
      <w:r w:rsidRPr="006519AA">
        <w:rPr>
          <w:rFonts w:ascii="Times New Roman" w:hAnsi="Times New Roman"/>
        </w:rPr>
        <w:t>"), the evidence of the statements made to Gyles J were an "exact proof",</w:t>
      </w:r>
      <w:r w:rsidRPr="006519AA">
        <w:rPr>
          <w:rStyle w:val="FootnoteReference"/>
          <w:rFonts w:ascii="Times New Roman" w:hAnsi="Times New Roman"/>
          <w:sz w:val="24"/>
        </w:rPr>
        <w:footnoteReference w:id="401"/>
      </w:r>
      <w:r w:rsidRPr="006519AA">
        <w:rPr>
          <w:rFonts w:ascii="Times New Roman" w:hAnsi="Times New Roman"/>
        </w:rPr>
        <w:t xml:space="preserve"> and, save for the specific inference sought about the contents of the email from Dr Sherman of 27 June 2007, so much of the Commonwealth's case that contended that Apotex Australia had the requisite intention just prior to the grant of the injunction did not depend on inferences, "let alone on 'uncertain inferences'".</w:t>
      </w:r>
      <w:r w:rsidRPr="006519AA">
        <w:rPr>
          <w:rStyle w:val="FootnoteReference"/>
          <w:rFonts w:ascii="Times New Roman" w:hAnsi="Times New Roman"/>
          <w:sz w:val="24"/>
        </w:rPr>
        <w:footnoteReference w:id="402"/>
      </w:r>
      <w:r w:rsidRPr="006519AA">
        <w:rPr>
          <w:rFonts w:ascii="Times New Roman" w:hAnsi="Times New Roman"/>
        </w:rPr>
        <w:t xml:space="preserve"> There was no scope for any application of </w:t>
      </w:r>
      <w:r w:rsidRPr="006519AA">
        <w:rPr>
          <w:rFonts w:ascii="Times New Roman" w:hAnsi="Times New Roman"/>
          <w:i/>
          <w:iCs/>
        </w:rPr>
        <w:t>Jones v Dunkel</w:t>
      </w:r>
      <w:r w:rsidRPr="006519AA">
        <w:rPr>
          <w:rFonts w:ascii="Times New Roman" w:hAnsi="Times New Roman"/>
        </w:rPr>
        <w:t xml:space="preserve"> or any analogous principle to detract from the evidentiary force of the evidence of the statements made to Gyles J. </w:t>
      </w:r>
    </w:p>
    <w:p w14:paraId="486DDA1D"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As for the counterfactual period after the injunction was hypothetically refused, even if the preconditions to the drawing of a </w:t>
      </w:r>
      <w:r w:rsidRPr="006519AA">
        <w:rPr>
          <w:rFonts w:ascii="Times New Roman" w:hAnsi="Times New Roman"/>
          <w:i/>
          <w:iCs/>
        </w:rPr>
        <w:t>Jones v Dunkel</w:t>
      </w:r>
      <w:r w:rsidRPr="006519AA">
        <w:rPr>
          <w:rFonts w:ascii="Times New Roman" w:hAnsi="Times New Roman"/>
        </w:rPr>
        <w:t xml:space="preserve"> inference by </w:t>
      </w:r>
      <w:r w:rsidRPr="006519AA">
        <w:rPr>
          <w:rFonts w:ascii="Times New Roman" w:hAnsi="Times New Roman"/>
        </w:rPr>
        <w:lastRenderedPageBreak/>
        <w:t>reason of the Commonwealth's failure to call Dr Sherman were otherwise established, the only inference that could have been drawn was that his evidence would not have assisted the Commonwealth.</w:t>
      </w:r>
      <w:r w:rsidRPr="006519AA">
        <w:rPr>
          <w:rStyle w:val="FootnoteReference"/>
          <w:rFonts w:ascii="Times New Roman" w:hAnsi="Times New Roman"/>
          <w:sz w:val="24"/>
        </w:rPr>
        <w:footnoteReference w:id="403"/>
      </w:r>
      <w:r w:rsidRPr="006519AA">
        <w:rPr>
          <w:rFonts w:ascii="Times New Roman" w:hAnsi="Times New Roman"/>
        </w:rPr>
        <w:t xml:space="preserve"> In light of what Gyles J was told about Apotex Australia's intentions, the passage of time between 2007 and the hearing before the primary judge and the counterfactual nature of the evidence sought to be elicited, such an inference would take the matter nowhere. It would be no different to Dr Sherman giving evidence to the effect that, without the benefit of hindsight, he could not remember or reconstruct what he would have done.</w:t>
      </w:r>
      <w:r w:rsidRPr="006519AA">
        <w:rPr>
          <w:rStyle w:val="FootnoteReference"/>
          <w:rFonts w:ascii="Times New Roman" w:hAnsi="Times New Roman"/>
          <w:sz w:val="24"/>
        </w:rPr>
        <w:footnoteReference w:id="404"/>
      </w:r>
      <w:r w:rsidRPr="006519AA">
        <w:rPr>
          <w:rFonts w:ascii="Times New Roman" w:hAnsi="Times New Roman"/>
        </w:rPr>
        <w:t xml:space="preserve"> </w:t>
      </w:r>
    </w:p>
    <w:p w14:paraId="39557190"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 xml:space="preserve">In any event, the absence of Dr Sherman could not found an inference that was </w:t>
      </w:r>
      <w:r w:rsidRPr="006519AA">
        <w:rPr>
          <w:rFonts w:ascii="Times New Roman" w:hAnsi="Times New Roman"/>
          <w:i/>
          <w:iCs/>
        </w:rPr>
        <w:t>adverse</w:t>
      </w:r>
      <w:r w:rsidRPr="006519AA">
        <w:rPr>
          <w:rFonts w:ascii="Times New Roman" w:hAnsi="Times New Roman"/>
        </w:rPr>
        <w:t xml:space="preserve"> to the Commonwealth's case.</w:t>
      </w:r>
      <w:r w:rsidRPr="006519AA">
        <w:rPr>
          <w:rStyle w:val="FootnoteReference"/>
          <w:rFonts w:ascii="Times New Roman" w:hAnsi="Times New Roman"/>
          <w:sz w:val="24"/>
        </w:rPr>
        <w:footnoteReference w:id="405"/>
      </w:r>
      <w:r w:rsidRPr="006519AA">
        <w:rPr>
          <w:rFonts w:ascii="Times New Roman" w:hAnsi="Times New Roman"/>
        </w:rPr>
        <w:t xml:space="preserve"> In particular, his absence could not be used to support a finding that he would have instructed Apotex Australia to recant what it told Gyles J and abandon its stated intention to launch. Like the absent witness, Mr Robb, considered in </w:t>
      </w:r>
      <w:r w:rsidRPr="006519AA">
        <w:rPr>
          <w:rFonts w:ascii="Times New Roman" w:hAnsi="Times New Roman"/>
          <w:i/>
          <w:iCs/>
        </w:rPr>
        <w:t>Hellicar</w:t>
      </w:r>
      <w:r w:rsidRPr="006519AA">
        <w:rPr>
          <w:rFonts w:ascii="Times New Roman" w:hAnsi="Times New Roman"/>
        </w:rPr>
        <w:t>, there is no basis for concluding that it was likely that, if called, Dr Sherman might have either disowned Mr Millichamp's and Mr Catterns' statements to Gyles J or provided some plausible basis upon which Apotex Australia could have abandoned its stated intention to launch at risk without attracting any sanction for doing so.</w:t>
      </w:r>
      <w:r w:rsidRPr="006519AA">
        <w:rPr>
          <w:rStyle w:val="FootnoteReference"/>
          <w:rFonts w:ascii="Times New Roman" w:hAnsi="Times New Roman"/>
          <w:sz w:val="24"/>
        </w:rPr>
        <w:footnoteReference w:id="406"/>
      </w:r>
      <w:r w:rsidRPr="006519AA">
        <w:rPr>
          <w:rFonts w:ascii="Times New Roman" w:hAnsi="Times New Roman"/>
        </w:rPr>
        <w:t xml:space="preserve"> Without evidence of that kind, the Commonwealth was entitled to succeed on this part of its case.</w:t>
      </w:r>
    </w:p>
    <w:p w14:paraId="1DF271CA" w14:textId="77777777" w:rsidR="00067C14" w:rsidRPr="006519AA" w:rsidRDefault="00067C14" w:rsidP="00582158">
      <w:pPr>
        <w:pStyle w:val="HeadingL1"/>
        <w:spacing w:after="260" w:line="240" w:lineRule="auto"/>
        <w:ind w:right="0"/>
        <w:jc w:val="both"/>
        <w:rPr>
          <w:rFonts w:ascii="Times New Roman" w:hAnsi="Times New Roman"/>
        </w:rPr>
      </w:pPr>
      <w:r w:rsidRPr="006519AA">
        <w:rPr>
          <w:rFonts w:ascii="Times New Roman" w:hAnsi="Times New Roman"/>
        </w:rPr>
        <w:t>Conclusion</w:t>
      </w:r>
    </w:p>
    <w:p w14:paraId="79040901" w14:textId="77777777" w:rsidR="00067C14" w:rsidRPr="006519AA" w:rsidRDefault="00067C14" w:rsidP="00582158">
      <w:pPr>
        <w:pStyle w:val="FixListStyle"/>
        <w:spacing w:after="260" w:line="240" w:lineRule="auto"/>
        <w:ind w:right="0"/>
        <w:jc w:val="both"/>
        <w:rPr>
          <w:rFonts w:ascii="Times New Roman" w:hAnsi="Times New Roman"/>
        </w:rPr>
      </w:pPr>
      <w:r w:rsidRPr="006519AA">
        <w:rPr>
          <w:rFonts w:ascii="Times New Roman" w:hAnsi="Times New Roman"/>
        </w:rPr>
        <w:tab/>
        <w:t>Neither the primary judge nor the Full Court properly addressed the Commonwealth's case. To the extent that "concurrent" factual findings were made that were materially adverse to the Commonwealth's case, the standard of review for each has been emphatically met in that there was both "clear error" as well as a "plain injustice"</w:t>
      </w:r>
      <w:r w:rsidRPr="006519AA">
        <w:rPr>
          <w:rStyle w:val="FootnoteReference"/>
          <w:rFonts w:ascii="Times New Roman" w:hAnsi="Times New Roman"/>
          <w:sz w:val="24"/>
        </w:rPr>
        <w:footnoteReference w:id="407"/>
      </w:r>
      <w:r w:rsidRPr="006519AA">
        <w:rPr>
          <w:rFonts w:ascii="Times New Roman" w:hAnsi="Times New Roman"/>
        </w:rPr>
        <w:t xml:space="preserve"> to the Commonwealth in that its case was not addressed on its merits. The Commonwealth overwhelmingly demonstrated that, had the injunction been refused, Apotex Australia would have sought and obtained a PBS listing of its clopidogrel products with effect from 1 April 2008 and launched at risk. </w:t>
      </w:r>
      <w:r w:rsidRPr="006519AA">
        <w:rPr>
          <w:rFonts w:ascii="Times New Roman" w:hAnsi="Times New Roman"/>
        </w:rPr>
        <w:lastRenderedPageBreak/>
        <w:t xml:space="preserve">Ground 2 of the Commonwealth's appeal should be upheld. For the reasons given by Jagot J, Sanofi's notice of contention should be rejected. </w:t>
      </w:r>
    </w:p>
    <w:p w14:paraId="5AFE3A34" w14:textId="77777777" w:rsidR="004E4148" w:rsidRDefault="00067C14" w:rsidP="004E4148">
      <w:pPr>
        <w:pStyle w:val="FixListStyle"/>
        <w:spacing w:after="260" w:line="240" w:lineRule="auto"/>
        <w:ind w:right="0"/>
        <w:jc w:val="both"/>
        <w:rPr>
          <w:rFonts w:ascii="Times New Roman" w:hAnsi="Times New Roman"/>
        </w:rPr>
      </w:pPr>
      <w:r w:rsidRPr="006519AA">
        <w:rPr>
          <w:rFonts w:ascii="Times New Roman" w:hAnsi="Times New Roman"/>
        </w:rPr>
        <w:tab/>
        <w:t>The orders proposed by Jagot J should be made.</w:t>
      </w:r>
    </w:p>
    <w:p w14:paraId="097ACB47" w14:textId="77777777" w:rsidR="00EA11B6" w:rsidRDefault="00EA11B6" w:rsidP="004E4148">
      <w:pPr>
        <w:pStyle w:val="FixListStyle"/>
        <w:spacing w:after="260" w:line="240" w:lineRule="auto"/>
        <w:ind w:right="0"/>
        <w:jc w:val="both"/>
        <w:rPr>
          <w:rFonts w:ascii="Times New Roman" w:hAnsi="Times New Roman"/>
        </w:rPr>
        <w:sectPr w:rsidR="00EA11B6" w:rsidSect="00067C14">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544741C9" w14:textId="59B17FA5" w:rsidR="00583E3E" w:rsidRPr="004E4148" w:rsidRDefault="00583E3E" w:rsidP="004E4148">
      <w:pPr>
        <w:pStyle w:val="NormalBody"/>
      </w:pPr>
    </w:p>
    <w:sectPr w:rsidR="00583E3E" w:rsidRPr="004E4148" w:rsidSect="00067C14">
      <w:headerReference w:type="default" r:id="rId29"/>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8C0E" w14:textId="77777777" w:rsidR="00DE6658" w:rsidRDefault="00DE6658">
      <w:pPr>
        <w:spacing w:line="240" w:lineRule="auto"/>
      </w:pPr>
      <w:r>
        <w:separator/>
      </w:r>
    </w:p>
  </w:endnote>
  <w:endnote w:type="continuationSeparator" w:id="0">
    <w:p w14:paraId="1954E752" w14:textId="77777777" w:rsidR="00DE6658" w:rsidRDefault="00DE6658">
      <w:pPr>
        <w:spacing w:line="240" w:lineRule="auto"/>
      </w:pPr>
      <w:r>
        <w:continuationSeparator/>
      </w:r>
    </w:p>
  </w:endnote>
  <w:endnote w:type="continuationNotice" w:id="1">
    <w:p w14:paraId="132CB30B" w14:textId="77777777" w:rsidR="00DE6658" w:rsidRDefault="00DE66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2922" w14:textId="77777777" w:rsidR="007A3534" w:rsidRDefault="007A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2CA0" w14:textId="77777777" w:rsidR="007A3534" w:rsidRDefault="007A3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FAC8" w14:textId="77777777" w:rsidR="007A3534" w:rsidRDefault="007A3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8885A" w14:textId="77777777" w:rsidR="007A3534" w:rsidRDefault="007A35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880D" w14:textId="77777777" w:rsidR="007A3534" w:rsidRDefault="007A35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DE7" w14:textId="77777777" w:rsidR="007A3534" w:rsidRDefault="007A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2757" w14:textId="77777777" w:rsidR="00DE6658" w:rsidRPr="00B14447" w:rsidRDefault="00DE6658" w:rsidP="00B14447">
      <w:pPr>
        <w:pStyle w:val="Footer"/>
        <w:spacing w:before="120" w:after="20"/>
        <w:ind w:right="0"/>
        <w:rPr>
          <w:rFonts w:ascii="Times New Roman" w:hAnsi="Times New Roman"/>
        </w:rPr>
      </w:pPr>
      <w:r>
        <w:continuationSeparator/>
      </w:r>
    </w:p>
  </w:footnote>
  <w:footnote w:type="continuationSeparator" w:id="0">
    <w:p w14:paraId="2CB51936" w14:textId="77777777" w:rsidR="00DE6658" w:rsidRPr="00B14447" w:rsidRDefault="00DE6658" w:rsidP="00B14447">
      <w:pPr>
        <w:pStyle w:val="Footer"/>
        <w:spacing w:before="120" w:after="20"/>
        <w:ind w:right="0"/>
        <w:rPr>
          <w:rFonts w:ascii="Times New Roman" w:hAnsi="Times New Roman"/>
        </w:rPr>
      </w:pPr>
      <w:r w:rsidRPr="00B14447">
        <w:rPr>
          <w:rFonts w:ascii="Times New Roman" w:hAnsi="Times New Roman"/>
        </w:rPr>
        <w:continuationSeparator/>
      </w:r>
    </w:p>
  </w:footnote>
  <w:footnote w:type="continuationNotice" w:id="1">
    <w:p w14:paraId="7E291615" w14:textId="77777777" w:rsidR="00DE6658" w:rsidRPr="00CC75FC" w:rsidRDefault="00DE6658">
      <w:pPr>
        <w:jc w:val="right"/>
        <w:rPr>
          <w:rFonts w:ascii="Times New Roman" w:hAnsi="Times New Roman"/>
          <w:sz w:val="24"/>
        </w:rPr>
      </w:pPr>
    </w:p>
  </w:footnote>
  <w:footnote w:id="2">
    <w:p w14:paraId="30EC284E" w14:textId="4BAA4BB9" w:rsidR="00DB57AF" w:rsidRPr="00B14447" w:rsidRDefault="00DB57A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sz w:val="24"/>
        </w:rPr>
        <w:t>Fenris Consulting Ltd</w:t>
      </w:r>
      <w:r w:rsidRPr="00B14447">
        <w:rPr>
          <w:rFonts w:ascii="Times New Roman" w:hAnsi="Times New Roman"/>
          <w:sz w:val="24"/>
        </w:rPr>
        <w:t xml:space="preserve"> </w:t>
      </w:r>
      <w:r w:rsidR="00552918" w:rsidRPr="00B14447">
        <w:rPr>
          <w:rFonts w:ascii="Times New Roman" w:hAnsi="Times New Roman"/>
          <w:i/>
          <w:iCs/>
          <w:sz w:val="24"/>
        </w:rPr>
        <w:t xml:space="preserve">v Ennismore Fund Management Ltd </w:t>
      </w:r>
      <w:r w:rsidRPr="00B14447">
        <w:rPr>
          <w:rFonts w:ascii="Times New Roman" w:hAnsi="Times New Roman"/>
          <w:sz w:val="24"/>
        </w:rPr>
        <w:t xml:space="preserve">[2022] </w:t>
      </w:r>
      <w:r w:rsidR="00552918" w:rsidRPr="00B14447">
        <w:rPr>
          <w:rFonts w:ascii="Times New Roman" w:hAnsi="Times New Roman"/>
          <w:sz w:val="24"/>
        </w:rPr>
        <w:t xml:space="preserve">2 CILR 1 </w:t>
      </w:r>
      <w:r w:rsidRPr="00B14447">
        <w:rPr>
          <w:rFonts w:ascii="Times New Roman" w:hAnsi="Times New Roman"/>
          <w:sz w:val="24"/>
        </w:rPr>
        <w:t xml:space="preserve">at </w:t>
      </w:r>
      <w:r w:rsidR="00614974" w:rsidRPr="00B14447">
        <w:rPr>
          <w:rFonts w:ascii="Times New Roman" w:hAnsi="Times New Roman"/>
          <w:sz w:val="24"/>
        </w:rPr>
        <w:t xml:space="preserve">21 </w:t>
      </w:r>
      <w:r w:rsidRPr="00B14447">
        <w:rPr>
          <w:rFonts w:ascii="Times New Roman" w:hAnsi="Times New Roman"/>
          <w:sz w:val="24"/>
        </w:rPr>
        <w:t>[50]</w:t>
      </w:r>
      <w:r w:rsidR="007A0F49" w:rsidRPr="00B14447">
        <w:rPr>
          <w:rFonts w:ascii="Times New Roman" w:hAnsi="Times New Roman"/>
          <w:sz w:val="24"/>
        </w:rPr>
        <w:t xml:space="preserve"> (Privy Council)</w:t>
      </w:r>
      <w:r w:rsidR="00262483" w:rsidRPr="00B14447">
        <w:rPr>
          <w:rFonts w:ascii="Times New Roman" w:hAnsi="Times New Roman"/>
          <w:sz w:val="24"/>
        </w:rPr>
        <w:t xml:space="preserve">, quoting </w:t>
      </w:r>
      <w:r w:rsidR="00F00631" w:rsidRPr="00B14447">
        <w:rPr>
          <w:rFonts w:ascii="Times New Roman" w:hAnsi="Times New Roman"/>
          <w:i/>
          <w:iCs/>
          <w:sz w:val="24"/>
        </w:rPr>
        <w:t xml:space="preserve">Ennismore Fund Management Ltd v Fenris Consulting Ltd </w:t>
      </w:r>
      <w:r w:rsidR="00F00631" w:rsidRPr="00B14447">
        <w:rPr>
          <w:rFonts w:ascii="Times New Roman" w:hAnsi="Times New Roman"/>
          <w:sz w:val="24"/>
        </w:rPr>
        <w:t xml:space="preserve">[2020] 2 CILR 147 at </w:t>
      </w:r>
      <w:r w:rsidR="003279E5" w:rsidRPr="00B14447">
        <w:rPr>
          <w:rFonts w:ascii="Times New Roman" w:hAnsi="Times New Roman"/>
          <w:sz w:val="24"/>
        </w:rPr>
        <w:t>191 [110]</w:t>
      </w:r>
      <w:r w:rsidRPr="00B14447">
        <w:rPr>
          <w:rFonts w:ascii="Times New Roman" w:hAnsi="Times New Roman"/>
          <w:sz w:val="24"/>
        </w:rPr>
        <w:t>.</w:t>
      </w:r>
    </w:p>
  </w:footnote>
  <w:footnote w:id="3">
    <w:p w14:paraId="7F5A28FF" w14:textId="50B97811" w:rsidR="000471E1" w:rsidRPr="00B14447" w:rsidRDefault="000471E1"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w:t>
      </w:r>
      <w:r w:rsidRPr="00B14447">
        <w:rPr>
          <w:rFonts w:ascii="Times New Roman" w:hAnsi="Times New Roman"/>
          <w:sz w:val="24"/>
        </w:rPr>
        <w:t xml:space="preserve"> </w:t>
      </w:r>
      <w:r w:rsidRPr="00B14447">
        <w:rPr>
          <w:rFonts w:ascii="Times New Roman" w:hAnsi="Times New Roman"/>
          <w:i/>
          <w:iCs/>
          <w:sz w:val="24"/>
        </w:rPr>
        <w:t>Commonwealth v Sanofi (formerly Sanofi-Aventis)</w:t>
      </w:r>
      <w:r w:rsidR="00B96955" w:rsidRPr="00B14447">
        <w:rPr>
          <w:rFonts w:ascii="Times New Roman" w:hAnsi="Times New Roman"/>
          <w:i/>
          <w:iCs/>
          <w:sz w:val="24"/>
        </w:rPr>
        <w:t xml:space="preserve"> [No</w:t>
      </w:r>
      <w:r w:rsidR="00636975" w:rsidRPr="00B14447">
        <w:rPr>
          <w:rFonts w:ascii="Times New Roman" w:hAnsi="Times New Roman"/>
          <w:i/>
          <w:iCs/>
          <w:sz w:val="24"/>
        </w:rPr>
        <w:t> </w:t>
      </w:r>
      <w:r w:rsidR="00B96955" w:rsidRPr="00B14447">
        <w:rPr>
          <w:rFonts w:ascii="Times New Roman" w:hAnsi="Times New Roman"/>
          <w:i/>
          <w:iCs/>
          <w:sz w:val="24"/>
        </w:rPr>
        <w:t>5]</w:t>
      </w:r>
      <w:r w:rsidRPr="00B14447">
        <w:rPr>
          <w:rFonts w:ascii="Times New Roman" w:hAnsi="Times New Roman"/>
          <w:i/>
          <w:iCs/>
          <w:sz w:val="24"/>
        </w:rPr>
        <w:t xml:space="preserve"> </w:t>
      </w:r>
      <w:r w:rsidRPr="00B14447">
        <w:rPr>
          <w:rFonts w:ascii="Times New Roman" w:hAnsi="Times New Roman"/>
          <w:sz w:val="24"/>
        </w:rPr>
        <w:t>(2020) 151 IPR 237 at 309 [351].</w:t>
      </w:r>
    </w:p>
  </w:footnote>
  <w:footnote w:id="4">
    <w:p w14:paraId="73668887" w14:textId="77777777" w:rsidR="00932E43" w:rsidRPr="00B14447" w:rsidRDefault="00932E4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393 [358].</w:t>
      </w:r>
    </w:p>
  </w:footnote>
  <w:footnote w:id="5">
    <w:p w14:paraId="625AD9D6" w14:textId="441B6439" w:rsidR="007E6DCF" w:rsidRPr="00B14447" w:rsidRDefault="007E6DC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w:t>
      </w:r>
      <w:r w:rsidRPr="00B14447">
        <w:rPr>
          <w:rFonts w:ascii="Times New Roman" w:hAnsi="Times New Roman"/>
          <w:sz w:val="24"/>
        </w:rPr>
        <w:t xml:space="preserve"> </w:t>
      </w:r>
      <w:r w:rsidRPr="00B14447">
        <w:rPr>
          <w:rFonts w:ascii="Times New Roman" w:hAnsi="Times New Roman"/>
          <w:i/>
          <w:iCs/>
          <w:sz w:val="24"/>
        </w:rPr>
        <w:t>Commonwealth v Sanofi (formerly Sanofi-Aventis) [No</w:t>
      </w:r>
      <w:r w:rsidR="00636975" w:rsidRPr="00B14447">
        <w:rPr>
          <w:rFonts w:ascii="Times New Roman" w:hAnsi="Times New Roman"/>
          <w:i/>
          <w:iCs/>
          <w:sz w:val="24"/>
        </w:rPr>
        <w:t> </w:t>
      </w:r>
      <w:r w:rsidRPr="00B14447">
        <w:rPr>
          <w:rFonts w:ascii="Times New Roman" w:hAnsi="Times New Roman"/>
          <w:i/>
          <w:iCs/>
          <w:sz w:val="24"/>
        </w:rPr>
        <w:t xml:space="preserve">5] </w:t>
      </w:r>
      <w:r w:rsidRPr="00B14447">
        <w:rPr>
          <w:rFonts w:ascii="Times New Roman" w:hAnsi="Times New Roman"/>
          <w:sz w:val="24"/>
        </w:rPr>
        <w:t xml:space="preserve">(2020) 151 IPR 237 at </w:t>
      </w:r>
      <w:r w:rsidR="009807C3" w:rsidRPr="00B14447">
        <w:rPr>
          <w:rFonts w:ascii="Times New Roman" w:hAnsi="Times New Roman"/>
          <w:sz w:val="24"/>
        </w:rPr>
        <w:t>281</w:t>
      </w:r>
      <w:r w:rsidRPr="00B14447">
        <w:rPr>
          <w:rFonts w:ascii="Times New Roman" w:hAnsi="Times New Roman"/>
          <w:sz w:val="24"/>
        </w:rPr>
        <w:t xml:space="preserve"> [</w:t>
      </w:r>
      <w:r w:rsidR="009807C3" w:rsidRPr="00B14447">
        <w:rPr>
          <w:rFonts w:ascii="Times New Roman" w:hAnsi="Times New Roman"/>
          <w:sz w:val="24"/>
        </w:rPr>
        <w:t>199</w:t>
      </w:r>
      <w:r w:rsidRPr="00B14447">
        <w:rPr>
          <w:rFonts w:ascii="Times New Roman" w:hAnsi="Times New Roman"/>
          <w:sz w:val="24"/>
        </w:rPr>
        <w:t>].</w:t>
      </w:r>
    </w:p>
  </w:footnote>
  <w:footnote w:id="6">
    <w:p w14:paraId="15FCC41D" w14:textId="592B0273" w:rsidR="009F5F59" w:rsidRPr="00B14447" w:rsidRDefault="009F5F5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CF0F0F" w:rsidRPr="00B14447">
        <w:rPr>
          <w:rFonts w:ascii="Times New Roman" w:hAnsi="Times New Roman"/>
          <w:i/>
          <w:iCs/>
          <w:sz w:val="24"/>
        </w:rPr>
        <w:t>The</w:t>
      </w:r>
      <w:r w:rsidR="00CF0F0F" w:rsidRPr="00B14447">
        <w:rPr>
          <w:rFonts w:ascii="Times New Roman" w:hAnsi="Times New Roman"/>
          <w:sz w:val="24"/>
        </w:rPr>
        <w:t xml:space="preserve"> </w:t>
      </w:r>
      <w:r w:rsidR="00CF0F0F" w:rsidRPr="00B14447">
        <w:rPr>
          <w:rFonts w:ascii="Times New Roman" w:hAnsi="Times New Roman"/>
          <w:i/>
          <w:iCs/>
          <w:sz w:val="24"/>
        </w:rPr>
        <w:t xml:space="preserve">Commonwealth v Sanofi (formerly Sanofi-Aventis) [No 5] </w:t>
      </w:r>
      <w:r w:rsidR="00CF0F0F" w:rsidRPr="00B14447">
        <w:rPr>
          <w:rFonts w:ascii="Times New Roman" w:hAnsi="Times New Roman"/>
          <w:sz w:val="24"/>
        </w:rPr>
        <w:t>(2020) 151 IPR 237</w:t>
      </w:r>
      <w:r w:rsidR="000556E3" w:rsidRPr="00B14447">
        <w:rPr>
          <w:rFonts w:ascii="Times New Roman" w:hAnsi="Times New Roman"/>
          <w:sz w:val="24"/>
        </w:rPr>
        <w:t xml:space="preserve"> at 307</w:t>
      </w:r>
      <w:r w:rsidR="00E00FE1" w:rsidRPr="00B14447">
        <w:rPr>
          <w:rFonts w:ascii="Times New Roman" w:hAnsi="Times New Roman"/>
          <w:sz w:val="24"/>
        </w:rPr>
        <w:t xml:space="preserve"> [339]</w:t>
      </w:r>
      <w:r w:rsidR="00FA6F2D" w:rsidRPr="00B14447">
        <w:rPr>
          <w:rFonts w:ascii="Times New Roman" w:hAnsi="Times New Roman"/>
          <w:sz w:val="24"/>
        </w:rPr>
        <w:t>.</w:t>
      </w:r>
    </w:p>
  </w:footnote>
  <w:footnote w:id="7">
    <w:p w14:paraId="6A3F1504" w14:textId="528BCADA" w:rsidR="003936C5" w:rsidRPr="00B14447" w:rsidRDefault="003936C5"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F67FBD" w:rsidRPr="00B14447">
        <w:rPr>
          <w:rFonts w:ascii="Times New Roman" w:hAnsi="Times New Roman"/>
          <w:sz w:val="24"/>
        </w:rPr>
        <w:t xml:space="preserve">Williams, "Burdens and Standards in Civil Litigation" (2003) 25 </w:t>
      </w:r>
      <w:r w:rsidR="00F67FBD" w:rsidRPr="00B14447">
        <w:rPr>
          <w:rFonts w:ascii="Times New Roman" w:hAnsi="Times New Roman"/>
          <w:i/>
          <w:iCs/>
          <w:sz w:val="24"/>
        </w:rPr>
        <w:t>Sydney Law Review</w:t>
      </w:r>
      <w:r w:rsidR="00F67FBD" w:rsidRPr="00B14447">
        <w:rPr>
          <w:rFonts w:ascii="Times New Roman" w:hAnsi="Times New Roman"/>
          <w:sz w:val="24"/>
        </w:rPr>
        <w:t xml:space="preserve"> 165 at 168.</w:t>
      </w:r>
    </w:p>
  </w:footnote>
  <w:footnote w:id="8">
    <w:p w14:paraId="57924027" w14:textId="1F26CCC2" w:rsidR="000B6182" w:rsidRPr="00B14447" w:rsidRDefault="000B6182"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(2010) 240 CLR 432</w:t>
      </w:r>
      <w:r w:rsidR="006741F3" w:rsidRPr="00B14447">
        <w:rPr>
          <w:rFonts w:ascii="Times New Roman" w:hAnsi="Times New Roman"/>
          <w:sz w:val="24"/>
        </w:rPr>
        <w:t xml:space="preserve"> at </w:t>
      </w:r>
      <w:r w:rsidR="00614DDC" w:rsidRPr="00B14447">
        <w:rPr>
          <w:rFonts w:ascii="Times New Roman" w:hAnsi="Times New Roman"/>
          <w:sz w:val="24"/>
        </w:rPr>
        <w:t>439 [17]</w:t>
      </w:r>
      <w:r w:rsidRPr="00B14447">
        <w:rPr>
          <w:rFonts w:ascii="Times New Roman" w:hAnsi="Times New Roman"/>
          <w:sz w:val="24"/>
        </w:rPr>
        <w:t xml:space="preserve">. </w:t>
      </w:r>
    </w:p>
  </w:footnote>
  <w:footnote w:id="9">
    <w:p w14:paraId="6B72EC59" w14:textId="083465DF" w:rsidR="00487806" w:rsidRPr="00B14447" w:rsidRDefault="0048780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F663D5" w:rsidRPr="00B14447">
        <w:rPr>
          <w:rFonts w:ascii="Times New Roman" w:hAnsi="Times New Roman"/>
          <w:i/>
          <w:iCs/>
          <w:sz w:val="24"/>
        </w:rPr>
        <w:t>Armory v De</w:t>
      </w:r>
      <w:r w:rsidR="00D068C4" w:rsidRPr="00B14447">
        <w:rPr>
          <w:rFonts w:ascii="Times New Roman" w:hAnsi="Times New Roman"/>
          <w:i/>
          <w:iCs/>
          <w:sz w:val="24"/>
        </w:rPr>
        <w:t xml:space="preserve">lamirie </w:t>
      </w:r>
      <w:r w:rsidR="00D068C4" w:rsidRPr="00B14447">
        <w:rPr>
          <w:rFonts w:ascii="Times New Roman" w:hAnsi="Times New Roman"/>
          <w:sz w:val="24"/>
        </w:rPr>
        <w:t>(1722) 1 Strange 505 [93 ER 664];</w:t>
      </w:r>
      <w:r w:rsidR="00F031E3" w:rsidRPr="00B14447">
        <w:rPr>
          <w:rFonts w:ascii="Times New Roman" w:hAnsi="Times New Roman"/>
          <w:sz w:val="24"/>
        </w:rPr>
        <w:t xml:space="preserve"> </w:t>
      </w:r>
      <w:r w:rsidR="00003B2F" w:rsidRPr="00B14447">
        <w:rPr>
          <w:rFonts w:ascii="Times New Roman" w:hAnsi="Times New Roman"/>
          <w:i/>
          <w:iCs/>
          <w:sz w:val="24"/>
        </w:rPr>
        <w:t>Houghton v Immer (No 155</w:t>
      </w:r>
      <w:r w:rsidR="000418D3" w:rsidRPr="00B14447">
        <w:rPr>
          <w:rFonts w:ascii="Times New Roman" w:hAnsi="Times New Roman"/>
          <w:i/>
          <w:iCs/>
          <w:sz w:val="24"/>
        </w:rPr>
        <w:t>)</w:t>
      </w:r>
      <w:r w:rsidR="00003B2F" w:rsidRPr="00B14447">
        <w:rPr>
          <w:rFonts w:ascii="Times New Roman" w:hAnsi="Times New Roman"/>
          <w:i/>
          <w:iCs/>
          <w:sz w:val="24"/>
        </w:rPr>
        <w:t xml:space="preserve"> Pty Ltd </w:t>
      </w:r>
      <w:r w:rsidR="00003B2F" w:rsidRPr="00B14447">
        <w:rPr>
          <w:rFonts w:ascii="Times New Roman" w:hAnsi="Times New Roman"/>
          <w:sz w:val="24"/>
        </w:rPr>
        <w:t xml:space="preserve">(1997) 44 NSWLR 46 at 59; </w:t>
      </w:r>
      <w:r w:rsidR="00075F70" w:rsidRPr="00B14447">
        <w:rPr>
          <w:rFonts w:ascii="Times New Roman" w:hAnsi="Times New Roman"/>
          <w:i/>
          <w:iCs/>
          <w:sz w:val="24"/>
        </w:rPr>
        <w:t xml:space="preserve">Cessnock </w:t>
      </w:r>
      <w:r w:rsidR="00173786" w:rsidRPr="00B14447">
        <w:rPr>
          <w:rFonts w:ascii="Times New Roman" w:hAnsi="Times New Roman"/>
          <w:i/>
          <w:iCs/>
          <w:sz w:val="24"/>
        </w:rPr>
        <w:t xml:space="preserve">City Council v 123 </w:t>
      </w:r>
      <w:r w:rsidR="004E4ABB" w:rsidRPr="00B14447">
        <w:rPr>
          <w:rFonts w:ascii="Times New Roman" w:hAnsi="Times New Roman"/>
          <w:i/>
          <w:iCs/>
          <w:sz w:val="24"/>
        </w:rPr>
        <w:t xml:space="preserve">259 932 Pty Ltd </w:t>
      </w:r>
      <w:r w:rsidR="004E4ABB" w:rsidRPr="00B14447">
        <w:rPr>
          <w:rFonts w:ascii="Times New Roman" w:hAnsi="Times New Roman"/>
          <w:sz w:val="24"/>
        </w:rPr>
        <w:t xml:space="preserve">(2024) 98 ALJR 719 at </w:t>
      </w:r>
      <w:r w:rsidR="00F663D5" w:rsidRPr="00B14447">
        <w:rPr>
          <w:rFonts w:ascii="Times New Roman" w:hAnsi="Times New Roman"/>
          <w:sz w:val="24"/>
        </w:rPr>
        <w:t>747 [129]</w:t>
      </w:r>
      <w:r w:rsidR="00471166" w:rsidRPr="00B14447">
        <w:rPr>
          <w:rFonts w:ascii="Times New Roman" w:hAnsi="Times New Roman"/>
          <w:sz w:val="24"/>
        </w:rPr>
        <w:t xml:space="preserve">; 418 ALR 304 at </w:t>
      </w:r>
      <w:r w:rsidR="00FD4292" w:rsidRPr="00B14447">
        <w:rPr>
          <w:rFonts w:ascii="Times New Roman" w:hAnsi="Times New Roman"/>
          <w:sz w:val="24"/>
        </w:rPr>
        <w:t>338</w:t>
      </w:r>
      <w:r w:rsidR="00861A8C" w:rsidRPr="00B14447">
        <w:rPr>
          <w:rFonts w:ascii="Times New Roman" w:hAnsi="Times New Roman"/>
          <w:sz w:val="24"/>
        </w:rPr>
        <w:t xml:space="preserve">. </w:t>
      </w:r>
    </w:p>
  </w:footnote>
  <w:footnote w:id="10">
    <w:p w14:paraId="05955138" w14:textId="78729B7E" w:rsidR="00487806" w:rsidRPr="00B14447" w:rsidRDefault="0048780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861A8C" w:rsidRPr="00B14447">
        <w:rPr>
          <w:rFonts w:ascii="Times New Roman" w:hAnsi="Times New Roman"/>
          <w:i/>
          <w:iCs/>
          <w:sz w:val="24"/>
        </w:rPr>
        <w:t xml:space="preserve">Blatch v Archer </w:t>
      </w:r>
      <w:r w:rsidR="002124CE" w:rsidRPr="00B14447">
        <w:rPr>
          <w:rFonts w:ascii="Times New Roman" w:hAnsi="Times New Roman"/>
          <w:sz w:val="24"/>
        </w:rPr>
        <w:t>(1774) 1 Cowper 63</w:t>
      </w:r>
      <w:r w:rsidR="004C2E1B" w:rsidRPr="00B14447">
        <w:rPr>
          <w:rFonts w:ascii="Times New Roman" w:hAnsi="Times New Roman"/>
          <w:sz w:val="24"/>
        </w:rPr>
        <w:t xml:space="preserve"> at 65 [98 ER 969 at 970]</w:t>
      </w:r>
      <w:r w:rsidR="007204B9" w:rsidRPr="00B14447">
        <w:rPr>
          <w:rFonts w:ascii="Times New Roman" w:hAnsi="Times New Roman"/>
          <w:sz w:val="24"/>
        </w:rPr>
        <w:t xml:space="preserve">; </w:t>
      </w:r>
      <w:r w:rsidR="007204B9" w:rsidRPr="00B14447">
        <w:rPr>
          <w:rFonts w:ascii="Times New Roman" w:hAnsi="Times New Roman"/>
          <w:i/>
          <w:iCs/>
          <w:sz w:val="24"/>
        </w:rPr>
        <w:t>Vetter v Lake Macquarie City Council</w:t>
      </w:r>
      <w:r w:rsidR="007204B9" w:rsidRPr="00B14447">
        <w:rPr>
          <w:rFonts w:ascii="Times New Roman" w:hAnsi="Times New Roman"/>
          <w:sz w:val="24"/>
        </w:rPr>
        <w:t xml:space="preserve"> (200</w:t>
      </w:r>
      <w:r w:rsidR="000418D3" w:rsidRPr="00B14447">
        <w:rPr>
          <w:rFonts w:ascii="Times New Roman" w:hAnsi="Times New Roman"/>
          <w:sz w:val="24"/>
        </w:rPr>
        <w:t>1</w:t>
      </w:r>
      <w:r w:rsidR="007204B9" w:rsidRPr="00B14447">
        <w:rPr>
          <w:rFonts w:ascii="Times New Roman" w:hAnsi="Times New Roman"/>
          <w:sz w:val="24"/>
        </w:rPr>
        <w:t xml:space="preserve">) </w:t>
      </w:r>
      <w:r w:rsidR="000418D3" w:rsidRPr="00B14447">
        <w:rPr>
          <w:rFonts w:ascii="Times New Roman" w:hAnsi="Times New Roman"/>
          <w:sz w:val="24"/>
        </w:rPr>
        <w:t>202</w:t>
      </w:r>
      <w:r w:rsidR="007204B9" w:rsidRPr="00B14447">
        <w:rPr>
          <w:rFonts w:ascii="Times New Roman" w:hAnsi="Times New Roman"/>
          <w:sz w:val="24"/>
        </w:rPr>
        <w:t xml:space="preserve"> CLR 439 at 454 [36]</w:t>
      </w:r>
      <w:r w:rsidR="004C2E1B" w:rsidRPr="00B14447">
        <w:rPr>
          <w:rFonts w:ascii="Times New Roman" w:hAnsi="Times New Roman"/>
          <w:sz w:val="24"/>
        </w:rPr>
        <w:t>.</w:t>
      </w:r>
    </w:p>
  </w:footnote>
  <w:footnote w:id="11">
    <w:p w14:paraId="1848AA67" w14:textId="555877C6" w:rsidR="00F42C68" w:rsidRPr="00B14447" w:rsidRDefault="00F42C68" w:rsidP="00B14447">
      <w:pPr>
        <w:pStyle w:val="FootnoteText"/>
        <w:spacing w:line="280" w:lineRule="exact"/>
        <w:ind w:right="0"/>
        <w:jc w:val="both"/>
        <w:rPr>
          <w:rFonts w:ascii="Times New Roman" w:hAnsi="Times New Roman"/>
          <w:i/>
          <w:iCs/>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7F0612" w:rsidRPr="00B14447">
        <w:rPr>
          <w:rFonts w:ascii="Times New Roman" w:hAnsi="Times New Roman"/>
          <w:sz w:val="24"/>
        </w:rPr>
        <w:t xml:space="preserve">(1981) 146 CLR 249. </w:t>
      </w:r>
      <w:r w:rsidR="00D86535" w:rsidRPr="00B14447">
        <w:rPr>
          <w:rFonts w:ascii="Times New Roman" w:hAnsi="Times New Roman"/>
          <w:sz w:val="24"/>
        </w:rPr>
        <w:t xml:space="preserve">See also </w:t>
      </w:r>
      <w:r w:rsidR="008D012B" w:rsidRPr="00B14447">
        <w:rPr>
          <w:rFonts w:ascii="Times New Roman" w:hAnsi="Times New Roman"/>
          <w:i/>
          <w:sz w:val="24"/>
        </w:rPr>
        <w:t>Fenris Consulting Ltd</w:t>
      </w:r>
      <w:r w:rsidR="008D012B" w:rsidRPr="00B14447">
        <w:rPr>
          <w:rFonts w:ascii="Times New Roman" w:hAnsi="Times New Roman"/>
          <w:sz w:val="24"/>
        </w:rPr>
        <w:t xml:space="preserve"> </w:t>
      </w:r>
      <w:r w:rsidR="004B34A2" w:rsidRPr="00B14447">
        <w:rPr>
          <w:rFonts w:ascii="Times New Roman" w:hAnsi="Times New Roman"/>
          <w:i/>
          <w:iCs/>
          <w:sz w:val="24"/>
        </w:rPr>
        <w:t xml:space="preserve">v Ennismore Fund Management Ltd </w:t>
      </w:r>
      <w:r w:rsidR="004B34A2" w:rsidRPr="00B14447">
        <w:rPr>
          <w:rFonts w:ascii="Times New Roman" w:hAnsi="Times New Roman"/>
          <w:sz w:val="24"/>
        </w:rPr>
        <w:t xml:space="preserve">[2022] 2 CILR 1 </w:t>
      </w:r>
      <w:r w:rsidR="00A17C82" w:rsidRPr="00B14447">
        <w:rPr>
          <w:rFonts w:ascii="Times New Roman" w:hAnsi="Times New Roman"/>
          <w:sz w:val="24"/>
        </w:rPr>
        <w:t>at</w:t>
      </w:r>
      <w:r w:rsidR="00A419C4" w:rsidRPr="00B14447">
        <w:rPr>
          <w:rFonts w:ascii="Times New Roman" w:hAnsi="Times New Roman"/>
          <w:sz w:val="24"/>
        </w:rPr>
        <w:t xml:space="preserve"> 26</w:t>
      </w:r>
      <w:r w:rsidR="00A17C82" w:rsidRPr="00B14447">
        <w:rPr>
          <w:rFonts w:ascii="Times New Roman" w:hAnsi="Times New Roman"/>
          <w:sz w:val="24"/>
        </w:rPr>
        <w:t xml:space="preserve"> [67]</w:t>
      </w:r>
      <w:r w:rsidR="00A41217" w:rsidRPr="00B14447">
        <w:rPr>
          <w:rFonts w:ascii="Times New Roman" w:hAnsi="Times New Roman"/>
          <w:sz w:val="24"/>
        </w:rPr>
        <w:t xml:space="preserve"> (Privy Council)</w:t>
      </w:r>
      <w:r w:rsidR="008D012B" w:rsidRPr="00B14447">
        <w:rPr>
          <w:rFonts w:ascii="Times New Roman" w:hAnsi="Times New Roman"/>
          <w:sz w:val="24"/>
        </w:rPr>
        <w:t>.</w:t>
      </w:r>
    </w:p>
  </w:footnote>
  <w:footnote w:id="12">
    <w:p w14:paraId="347FBDE6" w14:textId="7F48D1AF" w:rsidR="00BA0528" w:rsidRPr="00B14447" w:rsidRDefault="00BA0528"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C7F73" w:rsidRPr="00B14447">
        <w:rPr>
          <w:rFonts w:ascii="Times New Roman" w:hAnsi="Times New Roman"/>
          <w:i/>
          <w:iCs/>
          <w:sz w:val="24"/>
        </w:rPr>
        <w:t>Air Express Ltd v Ansett Transport Industries (Operations) Pty Ltd</w:t>
      </w:r>
      <w:r w:rsidR="00DC7F73" w:rsidRPr="00B14447">
        <w:rPr>
          <w:rFonts w:ascii="Times New Roman" w:hAnsi="Times New Roman"/>
          <w:sz w:val="24"/>
        </w:rPr>
        <w:t xml:space="preserve"> </w:t>
      </w:r>
      <w:r w:rsidRPr="00B14447">
        <w:rPr>
          <w:rFonts w:ascii="Times New Roman" w:hAnsi="Times New Roman"/>
          <w:sz w:val="24"/>
        </w:rPr>
        <w:t>(1981) 146 CLR 249 at 254, 268.</w:t>
      </w:r>
    </w:p>
  </w:footnote>
  <w:footnote w:id="13">
    <w:p w14:paraId="54AB3C54" w14:textId="25E7DDDF" w:rsidR="005968C6" w:rsidRPr="00B14447" w:rsidRDefault="005968C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C7F73" w:rsidRPr="00B14447">
        <w:rPr>
          <w:rFonts w:ascii="Times New Roman" w:hAnsi="Times New Roman"/>
          <w:i/>
          <w:iCs/>
          <w:sz w:val="24"/>
        </w:rPr>
        <w:t>Air Express Ltd v Ansett Transport Industries (Operations) Pty Ltd</w:t>
      </w:r>
      <w:r w:rsidR="00DC7F73" w:rsidRPr="00B14447">
        <w:rPr>
          <w:rFonts w:ascii="Times New Roman" w:hAnsi="Times New Roman"/>
          <w:sz w:val="24"/>
        </w:rPr>
        <w:t xml:space="preserve"> </w:t>
      </w:r>
      <w:r w:rsidR="00E97ADF" w:rsidRPr="00B14447">
        <w:rPr>
          <w:rFonts w:ascii="Times New Roman" w:hAnsi="Times New Roman"/>
          <w:sz w:val="24"/>
        </w:rPr>
        <w:t xml:space="preserve">(1981) 146 CLR 249 at </w:t>
      </w:r>
      <w:r w:rsidR="00036813" w:rsidRPr="00B14447">
        <w:rPr>
          <w:rFonts w:ascii="Times New Roman" w:hAnsi="Times New Roman"/>
          <w:sz w:val="24"/>
        </w:rPr>
        <w:t>306,</w:t>
      </w:r>
      <w:r w:rsidR="00B24065" w:rsidRPr="00B14447">
        <w:rPr>
          <w:rFonts w:ascii="Times New Roman" w:hAnsi="Times New Roman"/>
          <w:sz w:val="24"/>
        </w:rPr>
        <w:t xml:space="preserve"> </w:t>
      </w:r>
      <w:r w:rsidR="00CA58CB" w:rsidRPr="00B14447">
        <w:rPr>
          <w:rFonts w:ascii="Times New Roman" w:hAnsi="Times New Roman"/>
          <w:sz w:val="24"/>
        </w:rPr>
        <w:t>309-310</w:t>
      </w:r>
      <w:r w:rsidR="00E97ADF" w:rsidRPr="00B14447">
        <w:rPr>
          <w:rFonts w:ascii="Times New Roman" w:hAnsi="Times New Roman"/>
          <w:sz w:val="24"/>
        </w:rPr>
        <w:t xml:space="preserve">, </w:t>
      </w:r>
      <w:r w:rsidR="00245B7F" w:rsidRPr="00B14447">
        <w:rPr>
          <w:rFonts w:ascii="Times New Roman" w:hAnsi="Times New Roman"/>
          <w:sz w:val="24"/>
        </w:rPr>
        <w:t>313</w:t>
      </w:r>
      <w:r w:rsidR="00036813" w:rsidRPr="00B14447">
        <w:rPr>
          <w:rFonts w:ascii="Times New Roman" w:hAnsi="Times New Roman"/>
          <w:sz w:val="24"/>
        </w:rPr>
        <w:t>-315</w:t>
      </w:r>
      <w:r w:rsidR="00245B7F" w:rsidRPr="00B14447">
        <w:rPr>
          <w:rFonts w:ascii="Times New Roman" w:hAnsi="Times New Roman"/>
          <w:sz w:val="24"/>
        </w:rPr>
        <w:t xml:space="preserve">, </w:t>
      </w:r>
      <w:r w:rsidR="000C6F98" w:rsidRPr="00B14447">
        <w:rPr>
          <w:rFonts w:ascii="Times New Roman" w:hAnsi="Times New Roman"/>
          <w:sz w:val="24"/>
        </w:rPr>
        <w:t>317-</w:t>
      </w:r>
      <w:r w:rsidR="00F67AD6" w:rsidRPr="00B14447">
        <w:rPr>
          <w:rFonts w:ascii="Times New Roman" w:hAnsi="Times New Roman"/>
          <w:sz w:val="24"/>
        </w:rPr>
        <w:t>318</w:t>
      </w:r>
      <w:r w:rsidR="00E97ADF" w:rsidRPr="00B14447">
        <w:rPr>
          <w:rFonts w:ascii="Times New Roman" w:hAnsi="Times New Roman"/>
          <w:sz w:val="24"/>
        </w:rPr>
        <w:t xml:space="preserve">, </w:t>
      </w:r>
      <w:r w:rsidR="00AA5641" w:rsidRPr="00B14447">
        <w:rPr>
          <w:rFonts w:ascii="Times New Roman" w:hAnsi="Times New Roman"/>
          <w:sz w:val="24"/>
        </w:rPr>
        <w:t>320</w:t>
      </w:r>
      <w:r w:rsidR="00E97ADF" w:rsidRPr="00B14447">
        <w:rPr>
          <w:rFonts w:ascii="Times New Roman" w:hAnsi="Times New Roman"/>
          <w:sz w:val="24"/>
        </w:rPr>
        <w:t>.</w:t>
      </w:r>
    </w:p>
  </w:footnote>
  <w:footnote w:id="14">
    <w:p w14:paraId="615155E2" w14:textId="01B46480" w:rsidR="00932EDF" w:rsidRPr="00B14447" w:rsidRDefault="00932ED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C7F73" w:rsidRPr="00B14447">
        <w:rPr>
          <w:rFonts w:ascii="Times New Roman" w:hAnsi="Times New Roman"/>
          <w:i/>
          <w:iCs/>
          <w:sz w:val="24"/>
        </w:rPr>
        <w:t>Air Express Ltd v Ansett Transport Industries (Operations) Pty Ltd</w:t>
      </w:r>
      <w:r w:rsidR="00DC7F73" w:rsidRPr="00B14447">
        <w:rPr>
          <w:rFonts w:ascii="Times New Roman" w:hAnsi="Times New Roman"/>
          <w:sz w:val="24"/>
        </w:rPr>
        <w:t xml:space="preserve"> </w:t>
      </w:r>
      <w:r w:rsidRPr="00B14447">
        <w:rPr>
          <w:rFonts w:ascii="Times New Roman" w:hAnsi="Times New Roman"/>
          <w:sz w:val="24"/>
        </w:rPr>
        <w:t>(1981) 146 CLR 249 at 3</w:t>
      </w:r>
      <w:r w:rsidR="000F512B" w:rsidRPr="00B14447">
        <w:rPr>
          <w:rFonts w:ascii="Times New Roman" w:hAnsi="Times New Roman"/>
          <w:sz w:val="24"/>
        </w:rPr>
        <w:t>13</w:t>
      </w:r>
      <w:r w:rsidRPr="00B14447">
        <w:rPr>
          <w:rFonts w:ascii="Times New Roman" w:hAnsi="Times New Roman"/>
          <w:sz w:val="24"/>
        </w:rPr>
        <w:t xml:space="preserve">. </w:t>
      </w:r>
    </w:p>
  </w:footnote>
  <w:footnote w:id="15">
    <w:p w14:paraId="1B90BB42" w14:textId="09DAAE3E" w:rsidR="00731ECB" w:rsidRPr="00B14447" w:rsidRDefault="00731EC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See [</w:t>
      </w:r>
      <w:r w:rsidR="005D4DCE" w:rsidRPr="00965770">
        <w:rPr>
          <w:rFonts w:ascii="Times New Roman" w:hAnsi="Times New Roman"/>
          <w:sz w:val="24"/>
        </w:rPr>
        <w:t>1</w:t>
      </w:r>
      <w:r w:rsidR="006B0687" w:rsidRPr="00965770">
        <w:rPr>
          <w:rFonts w:ascii="Times New Roman" w:hAnsi="Times New Roman"/>
          <w:sz w:val="24"/>
        </w:rPr>
        <w:t>3</w:t>
      </w:r>
      <w:r w:rsidRPr="00965770">
        <w:rPr>
          <w:rFonts w:ascii="Times New Roman" w:hAnsi="Times New Roman"/>
          <w:sz w:val="24"/>
        </w:rPr>
        <w:t>]</w:t>
      </w:r>
      <w:r w:rsidR="005D4DCE" w:rsidRPr="00965770">
        <w:rPr>
          <w:rFonts w:ascii="Times New Roman" w:hAnsi="Times New Roman"/>
          <w:sz w:val="24"/>
        </w:rPr>
        <w:t>-[1</w:t>
      </w:r>
      <w:r w:rsidR="006B0687" w:rsidRPr="00965770">
        <w:rPr>
          <w:rFonts w:ascii="Times New Roman" w:hAnsi="Times New Roman"/>
          <w:sz w:val="24"/>
        </w:rPr>
        <w:t>6</w:t>
      </w:r>
      <w:r w:rsidR="005D4DCE" w:rsidRPr="00965770">
        <w:rPr>
          <w:rFonts w:ascii="Times New Roman" w:hAnsi="Times New Roman"/>
          <w:sz w:val="24"/>
        </w:rPr>
        <w:t>]</w:t>
      </w:r>
      <w:r w:rsidRPr="00965770">
        <w:rPr>
          <w:rFonts w:ascii="Times New Roman" w:hAnsi="Times New Roman"/>
          <w:sz w:val="24"/>
        </w:rPr>
        <w:t xml:space="preserve"> above</w:t>
      </w:r>
      <w:r w:rsidRPr="00B14447">
        <w:rPr>
          <w:rFonts w:ascii="Times New Roman" w:hAnsi="Times New Roman"/>
          <w:sz w:val="24"/>
        </w:rPr>
        <w:t>.</w:t>
      </w:r>
    </w:p>
  </w:footnote>
  <w:footnote w:id="16">
    <w:p w14:paraId="7A45D908" w14:textId="2D7E0253" w:rsidR="006C688F" w:rsidRPr="00B14447" w:rsidRDefault="006C688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190FDF" w:rsidRPr="00B14447">
        <w:rPr>
          <w:rFonts w:ascii="Times New Roman" w:hAnsi="Times New Roman"/>
          <w:i/>
          <w:iCs/>
          <w:sz w:val="24"/>
        </w:rPr>
        <w:t xml:space="preserve">The Commonwealth v Sanofi (formerly Sanofi-Aventis) </w:t>
      </w:r>
      <w:r w:rsidR="00190FDF" w:rsidRPr="00B14447">
        <w:rPr>
          <w:rFonts w:ascii="Times New Roman" w:hAnsi="Times New Roman"/>
          <w:sz w:val="24"/>
        </w:rPr>
        <w:t xml:space="preserve">(2023) 411 ALR 315 at </w:t>
      </w:r>
      <w:r w:rsidRPr="00B14447">
        <w:rPr>
          <w:rFonts w:ascii="Times New Roman" w:hAnsi="Times New Roman"/>
          <w:sz w:val="24"/>
        </w:rPr>
        <w:t>400 [389].</w:t>
      </w:r>
    </w:p>
  </w:footnote>
  <w:footnote w:id="17">
    <w:p w14:paraId="18318B1D" w14:textId="77777777" w:rsidR="00F14961" w:rsidRPr="00B14447" w:rsidRDefault="00F14961"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South Australia v Johnson</w:t>
      </w:r>
      <w:r w:rsidRPr="00B14447">
        <w:rPr>
          <w:rFonts w:ascii="Times New Roman" w:hAnsi="Times New Roman"/>
          <w:sz w:val="24"/>
        </w:rPr>
        <w:t xml:space="preserve"> (1982) 42 ALR 161 at 167.</w:t>
      </w:r>
    </w:p>
  </w:footnote>
  <w:footnote w:id="18">
    <w:p w14:paraId="5F2930BF" w14:textId="36337340" w:rsidR="00291FB2" w:rsidRPr="00B14447" w:rsidRDefault="00291FB2"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See [</w:t>
      </w:r>
      <w:r w:rsidR="00F63309" w:rsidRPr="00965770">
        <w:rPr>
          <w:rFonts w:ascii="Times New Roman" w:hAnsi="Times New Roman"/>
          <w:sz w:val="24"/>
        </w:rPr>
        <w:t>49</w:t>
      </w:r>
      <w:r w:rsidRPr="00965770">
        <w:rPr>
          <w:rFonts w:ascii="Times New Roman" w:hAnsi="Times New Roman"/>
          <w:sz w:val="24"/>
        </w:rPr>
        <w:t>] below</w:t>
      </w:r>
      <w:r w:rsidRPr="00B14447">
        <w:rPr>
          <w:rFonts w:ascii="Times New Roman" w:hAnsi="Times New Roman"/>
          <w:sz w:val="24"/>
        </w:rPr>
        <w:t xml:space="preserve">. </w:t>
      </w:r>
    </w:p>
  </w:footnote>
  <w:footnote w:id="19">
    <w:p w14:paraId="1F9FCA7A" w14:textId="2AB2C676"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Louth v Diprose</w:t>
      </w:r>
      <w:r w:rsidRPr="00B14447">
        <w:rPr>
          <w:rFonts w:ascii="Times New Roman" w:hAnsi="Times New Roman"/>
          <w:sz w:val="24"/>
        </w:rPr>
        <w:t xml:space="preserve"> (1992) 175 CLR 621 at 634</w:t>
      </w:r>
      <w:r w:rsidR="00A51EA0" w:rsidRPr="00B14447">
        <w:rPr>
          <w:rFonts w:ascii="Times New Roman" w:hAnsi="Times New Roman"/>
          <w:sz w:val="24"/>
        </w:rPr>
        <w:t xml:space="preserve"> (emphasis added)</w:t>
      </w:r>
      <w:r w:rsidRPr="00B14447">
        <w:rPr>
          <w:rFonts w:ascii="Times New Roman" w:hAnsi="Times New Roman"/>
          <w:sz w:val="24"/>
        </w:rPr>
        <w:t>.</w:t>
      </w:r>
    </w:p>
  </w:footnote>
  <w:footnote w:id="20">
    <w:p w14:paraId="50277878" w14:textId="10E88598"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Waltons Stores</w:t>
      </w:r>
      <w:r w:rsidRPr="00B14447">
        <w:rPr>
          <w:rFonts w:ascii="Times New Roman" w:hAnsi="Times New Roman"/>
          <w:sz w:val="24"/>
        </w:rPr>
        <w:t xml:space="preserve"> </w:t>
      </w:r>
      <w:r w:rsidR="00B22382" w:rsidRPr="00B14447">
        <w:rPr>
          <w:rFonts w:ascii="Times New Roman" w:hAnsi="Times New Roman"/>
          <w:i/>
          <w:iCs/>
          <w:sz w:val="24"/>
        </w:rPr>
        <w:t>(Interstate) Ltd v Maher</w:t>
      </w:r>
      <w:r w:rsidR="00B22382" w:rsidRPr="00B14447">
        <w:rPr>
          <w:rFonts w:ascii="Times New Roman" w:hAnsi="Times New Roman"/>
          <w:sz w:val="24"/>
        </w:rPr>
        <w:t xml:space="preserve"> </w:t>
      </w:r>
      <w:r w:rsidRPr="00B14447">
        <w:rPr>
          <w:rFonts w:ascii="Times New Roman" w:hAnsi="Times New Roman"/>
          <w:sz w:val="24"/>
        </w:rPr>
        <w:t>(1988) 164 CLR 387 at 434-435.</w:t>
      </w:r>
    </w:p>
  </w:footnote>
  <w:footnote w:id="21">
    <w:p w14:paraId="15457EBE" w14:textId="77777777"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New South Wales v Fahy </w:t>
      </w:r>
      <w:r w:rsidRPr="00B14447">
        <w:rPr>
          <w:rFonts w:ascii="Times New Roman" w:hAnsi="Times New Roman"/>
          <w:sz w:val="24"/>
        </w:rPr>
        <w:t xml:space="preserve">(2007) 232 CLR 486 at 534 [153]. </w:t>
      </w:r>
    </w:p>
  </w:footnote>
  <w:footnote w:id="22">
    <w:p w14:paraId="261C0F20" w14:textId="470B9E09"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Introvigne</w:t>
      </w:r>
      <w:r w:rsidRPr="00B14447">
        <w:rPr>
          <w:rFonts w:ascii="Times New Roman" w:hAnsi="Times New Roman"/>
          <w:sz w:val="24"/>
        </w:rPr>
        <w:t xml:space="preserve"> (1982) 150 CLR 258 at 274; see also</w:t>
      </w:r>
      <w:r w:rsidR="00A51EA0" w:rsidRPr="00B14447">
        <w:rPr>
          <w:rFonts w:ascii="Times New Roman" w:hAnsi="Times New Roman"/>
          <w:sz w:val="24"/>
        </w:rPr>
        <w:t xml:space="preserve"> at</w:t>
      </w:r>
      <w:r w:rsidRPr="00B14447">
        <w:rPr>
          <w:rFonts w:ascii="Times New Roman" w:hAnsi="Times New Roman"/>
          <w:sz w:val="24"/>
        </w:rPr>
        <w:t xml:space="preserve"> </w:t>
      </w:r>
      <w:r w:rsidR="00A51EA0" w:rsidRPr="00B14447">
        <w:rPr>
          <w:rFonts w:ascii="Times New Roman" w:hAnsi="Times New Roman"/>
          <w:sz w:val="24"/>
        </w:rPr>
        <w:t>262</w:t>
      </w:r>
      <w:r w:rsidRPr="00B14447">
        <w:rPr>
          <w:rFonts w:ascii="Times New Roman" w:hAnsi="Times New Roman"/>
          <w:sz w:val="24"/>
        </w:rPr>
        <w:t xml:space="preserve">; </w:t>
      </w:r>
      <w:r w:rsidRPr="00B14447">
        <w:rPr>
          <w:rFonts w:ascii="Times New Roman" w:hAnsi="Times New Roman"/>
          <w:i/>
          <w:iCs/>
          <w:sz w:val="24"/>
        </w:rPr>
        <w:t>South Australia v Johnson</w:t>
      </w:r>
      <w:r w:rsidRPr="00B14447">
        <w:rPr>
          <w:rFonts w:ascii="Times New Roman" w:hAnsi="Times New Roman"/>
          <w:sz w:val="24"/>
        </w:rPr>
        <w:t xml:space="preserve"> (1982) 42 ALR 161 at 167; </w:t>
      </w:r>
      <w:r w:rsidRPr="00B14447">
        <w:rPr>
          <w:rFonts w:ascii="Times New Roman" w:hAnsi="Times New Roman"/>
          <w:i/>
          <w:iCs/>
          <w:sz w:val="24"/>
        </w:rPr>
        <w:t>Walton</w:t>
      </w:r>
      <w:r w:rsidR="00A51EA0" w:rsidRPr="00B14447">
        <w:rPr>
          <w:rFonts w:ascii="Times New Roman" w:hAnsi="Times New Roman"/>
          <w:i/>
          <w:iCs/>
          <w:sz w:val="24"/>
        </w:rPr>
        <w:t>s</w:t>
      </w:r>
      <w:r w:rsidRPr="00B14447">
        <w:rPr>
          <w:rFonts w:ascii="Times New Roman" w:hAnsi="Times New Roman"/>
          <w:i/>
          <w:iCs/>
          <w:sz w:val="24"/>
        </w:rPr>
        <w:t xml:space="preserve"> Stores </w:t>
      </w:r>
      <w:r w:rsidR="00A51EA0" w:rsidRPr="00B14447">
        <w:rPr>
          <w:rFonts w:ascii="Times New Roman" w:hAnsi="Times New Roman"/>
          <w:i/>
          <w:iCs/>
          <w:sz w:val="24"/>
        </w:rPr>
        <w:t xml:space="preserve">(Interstate) Ltd v Maher </w:t>
      </w:r>
      <w:r w:rsidRPr="00B14447">
        <w:rPr>
          <w:rFonts w:ascii="Times New Roman" w:hAnsi="Times New Roman"/>
          <w:sz w:val="24"/>
        </w:rPr>
        <w:t xml:space="preserve">(1988) 164 CLR 387 at 434-435; </w:t>
      </w:r>
      <w:r w:rsidRPr="00B14447">
        <w:rPr>
          <w:rFonts w:ascii="Times New Roman" w:hAnsi="Times New Roman"/>
          <w:i/>
          <w:iCs/>
          <w:sz w:val="24"/>
        </w:rPr>
        <w:t>Louth v Diprose</w:t>
      </w:r>
      <w:r w:rsidRPr="00B14447">
        <w:rPr>
          <w:rFonts w:ascii="Times New Roman" w:hAnsi="Times New Roman"/>
          <w:sz w:val="24"/>
        </w:rPr>
        <w:t xml:space="preserve"> (1992) 175 CLR 621 at 634; </w:t>
      </w:r>
      <w:r w:rsidRPr="00B14447">
        <w:rPr>
          <w:rFonts w:ascii="Times New Roman" w:hAnsi="Times New Roman"/>
          <w:i/>
          <w:iCs/>
          <w:sz w:val="24"/>
        </w:rPr>
        <w:t>Bridgewater v Leahy</w:t>
      </w:r>
      <w:r w:rsidRPr="00B14447">
        <w:rPr>
          <w:rFonts w:ascii="Times New Roman" w:hAnsi="Times New Roman"/>
          <w:sz w:val="24"/>
        </w:rPr>
        <w:t xml:space="preserve"> (1998) 194 CLR 457 at 471 [43]; </w:t>
      </w:r>
      <w:r w:rsidRPr="00B14447">
        <w:rPr>
          <w:rFonts w:ascii="Times New Roman" w:hAnsi="Times New Roman"/>
          <w:i/>
          <w:iCs/>
          <w:sz w:val="24"/>
        </w:rPr>
        <w:t xml:space="preserve">Kozarov v Victoria </w:t>
      </w:r>
      <w:r w:rsidRPr="00B14447">
        <w:rPr>
          <w:rFonts w:ascii="Times New Roman" w:hAnsi="Times New Roman"/>
          <w:sz w:val="24"/>
        </w:rPr>
        <w:t xml:space="preserve">(2022) 273 CLR 115 at </w:t>
      </w:r>
      <w:r w:rsidR="00582DFC" w:rsidRPr="00B14447">
        <w:rPr>
          <w:rFonts w:ascii="Times New Roman" w:hAnsi="Times New Roman"/>
          <w:sz w:val="24"/>
        </w:rPr>
        <w:t>134</w:t>
      </w:r>
      <w:r w:rsidRPr="00B14447">
        <w:rPr>
          <w:rFonts w:ascii="Times New Roman" w:hAnsi="Times New Roman"/>
          <w:sz w:val="24"/>
        </w:rPr>
        <w:t xml:space="preserve"> [49].</w:t>
      </w:r>
    </w:p>
  </w:footnote>
  <w:footnote w:id="23">
    <w:p w14:paraId="1D7CF8C6" w14:textId="6308A3BC"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Road</w:t>
      </w:r>
      <w:r w:rsidR="00083E97" w:rsidRPr="00B14447">
        <w:rPr>
          <w:rFonts w:ascii="Times New Roman" w:hAnsi="Times New Roman"/>
          <w:i/>
          <w:iCs/>
          <w:sz w:val="24"/>
        </w:rPr>
        <w:t>s</w:t>
      </w:r>
      <w:r w:rsidRPr="00B14447">
        <w:rPr>
          <w:rFonts w:ascii="Times New Roman" w:hAnsi="Times New Roman"/>
          <w:i/>
          <w:iCs/>
          <w:sz w:val="24"/>
        </w:rPr>
        <w:t xml:space="preserve"> and Traffic Authority of New South Wales v Dederer </w:t>
      </w:r>
      <w:r w:rsidRPr="00B14447">
        <w:rPr>
          <w:rFonts w:ascii="Times New Roman" w:hAnsi="Times New Roman"/>
          <w:sz w:val="24"/>
        </w:rPr>
        <w:t xml:space="preserve">(2007) 234 CLR 330 at </w:t>
      </w:r>
      <w:r w:rsidR="004861F1" w:rsidRPr="00B14447">
        <w:rPr>
          <w:rFonts w:ascii="Times New Roman" w:hAnsi="Times New Roman"/>
          <w:sz w:val="24"/>
        </w:rPr>
        <w:t xml:space="preserve">334 </w:t>
      </w:r>
      <w:r w:rsidRPr="00B14447">
        <w:rPr>
          <w:rFonts w:ascii="Times New Roman" w:hAnsi="Times New Roman"/>
          <w:sz w:val="24"/>
        </w:rPr>
        <w:t>[5].</w:t>
      </w:r>
    </w:p>
  </w:footnote>
  <w:footnote w:id="24">
    <w:p w14:paraId="668B0761" w14:textId="6118DB31" w:rsidR="009316E8" w:rsidRPr="00B14447" w:rsidRDefault="009316E8"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Federal Court of Australia Act 1976</w:t>
      </w:r>
      <w:r w:rsidR="00491254" w:rsidRPr="00B14447">
        <w:rPr>
          <w:rFonts w:ascii="Times New Roman" w:hAnsi="Times New Roman"/>
          <w:i/>
          <w:iCs/>
          <w:sz w:val="24"/>
        </w:rPr>
        <w:t xml:space="preserve"> </w:t>
      </w:r>
      <w:r w:rsidR="00491254" w:rsidRPr="00B14447">
        <w:rPr>
          <w:rFonts w:ascii="Times New Roman" w:hAnsi="Times New Roman"/>
          <w:sz w:val="24"/>
        </w:rPr>
        <w:t>(Cth)</w:t>
      </w:r>
      <w:r w:rsidRPr="00B14447">
        <w:rPr>
          <w:rFonts w:ascii="Times New Roman" w:hAnsi="Times New Roman"/>
          <w:sz w:val="24"/>
        </w:rPr>
        <w:t xml:space="preserve">, </w:t>
      </w:r>
      <w:r w:rsidR="0011070F" w:rsidRPr="00B14447">
        <w:rPr>
          <w:rFonts w:ascii="Times New Roman" w:hAnsi="Times New Roman"/>
          <w:sz w:val="24"/>
        </w:rPr>
        <w:t>s</w:t>
      </w:r>
      <w:r w:rsidRPr="00B14447">
        <w:rPr>
          <w:rFonts w:ascii="Times New Roman" w:hAnsi="Times New Roman"/>
          <w:sz w:val="24"/>
        </w:rPr>
        <w:t>s </w:t>
      </w:r>
      <w:r w:rsidR="00F7369F" w:rsidRPr="00B14447">
        <w:rPr>
          <w:rFonts w:ascii="Times New Roman" w:hAnsi="Times New Roman"/>
          <w:sz w:val="24"/>
        </w:rPr>
        <w:t xml:space="preserve">27, </w:t>
      </w:r>
      <w:r w:rsidR="00BC6650" w:rsidRPr="00B14447">
        <w:rPr>
          <w:rFonts w:ascii="Times New Roman" w:hAnsi="Times New Roman"/>
          <w:sz w:val="24"/>
        </w:rPr>
        <w:t>30AI</w:t>
      </w:r>
      <w:r w:rsidR="00F7369F" w:rsidRPr="00B14447">
        <w:rPr>
          <w:rFonts w:ascii="Times New Roman" w:hAnsi="Times New Roman"/>
          <w:sz w:val="24"/>
        </w:rPr>
        <w:t xml:space="preserve">; </w:t>
      </w:r>
      <w:r w:rsidR="00491254" w:rsidRPr="00B14447">
        <w:rPr>
          <w:rFonts w:ascii="Times New Roman" w:hAnsi="Times New Roman"/>
          <w:i/>
          <w:iCs/>
          <w:sz w:val="24"/>
        </w:rPr>
        <w:t xml:space="preserve">Supreme Court Act 1933 </w:t>
      </w:r>
      <w:r w:rsidR="00491254" w:rsidRPr="00B14447">
        <w:rPr>
          <w:rFonts w:ascii="Times New Roman" w:hAnsi="Times New Roman"/>
          <w:sz w:val="24"/>
        </w:rPr>
        <w:t xml:space="preserve">(ACT), s 37N; </w:t>
      </w:r>
      <w:r w:rsidR="00EA3491" w:rsidRPr="00B14447">
        <w:rPr>
          <w:rFonts w:ascii="Times New Roman" w:hAnsi="Times New Roman"/>
          <w:i/>
          <w:iCs/>
          <w:sz w:val="24"/>
        </w:rPr>
        <w:t xml:space="preserve">Supreme Court Act 1970 </w:t>
      </w:r>
      <w:r w:rsidR="00EA3491" w:rsidRPr="00B14447">
        <w:rPr>
          <w:rFonts w:ascii="Times New Roman" w:hAnsi="Times New Roman"/>
          <w:sz w:val="24"/>
        </w:rPr>
        <w:t>(NSW), s 44;</w:t>
      </w:r>
      <w:r w:rsidR="00E653AE" w:rsidRPr="00B14447">
        <w:rPr>
          <w:rFonts w:ascii="Times New Roman" w:hAnsi="Times New Roman"/>
          <w:sz w:val="24"/>
        </w:rPr>
        <w:t xml:space="preserve"> </w:t>
      </w:r>
      <w:r w:rsidR="00E546D7" w:rsidRPr="00B14447">
        <w:rPr>
          <w:rFonts w:ascii="Times New Roman" w:hAnsi="Times New Roman"/>
          <w:i/>
          <w:iCs/>
          <w:sz w:val="24"/>
        </w:rPr>
        <w:t xml:space="preserve">Supreme Court Act 1979 </w:t>
      </w:r>
      <w:r w:rsidR="00E546D7" w:rsidRPr="00B14447">
        <w:rPr>
          <w:rFonts w:ascii="Times New Roman" w:hAnsi="Times New Roman"/>
          <w:sz w:val="24"/>
        </w:rPr>
        <w:t xml:space="preserve">(NT), s 51; </w:t>
      </w:r>
      <w:r w:rsidR="00A93846" w:rsidRPr="00B14447">
        <w:rPr>
          <w:rFonts w:ascii="Times New Roman" w:hAnsi="Times New Roman"/>
          <w:i/>
          <w:iCs/>
          <w:sz w:val="24"/>
        </w:rPr>
        <w:t>Supreme Court of Queensland Act 1991</w:t>
      </w:r>
      <w:r w:rsidR="00AA3B6C" w:rsidRPr="00B14447">
        <w:rPr>
          <w:rFonts w:ascii="Times New Roman" w:hAnsi="Times New Roman"/>
          <w:i/>
          <w:iCs/>
          <w:sz w:val="24"/>
        </w:rPr>
        <w:t xml:space="preserve"> </w:t>
      </w:r>
      <w:r w:rsidR="00AA3B6C" w:rsidRPr="00B14447">
        <w:rPr>
          <w:rFonts w:ascii="Times New Roman" w:hAnsi="Times New Roman"/>
          <w:sz w:val="24"/>
        </w:rPr>
        <w:t>(Qld)</w:t>
      </w:r>
      <w:r w:rsidR="00A93846" w:rsidRPr="00B14447">
        <w:rPr>
          <w:rFonts w:ascii="Times New Roman" w:hAnsi="Times New Roman"/>
          <w:sz w:val="24"/>
        </w:rPr>
        <w:t xml:space="preserve">, s 29(3); </w:t>
      </w:r>
      <w:r w:rsidR="00AA3B6C" w:rsidRPr="00B14447">
        <w:rPr>
          <w:rFonts w:ascii="Times New Roman" w:hAnsi="Times New Roman"/>
          <w:i/>
          <w:iCs/>
          <w:sz w:val="24"/>
        </w:rPr>
        <w:t xml:space="preserve">Uniform Civil Procedure Rules 1999 </w:t>
      </w:r>
      <w:r w:rsidR="00AA3B6C" w:rsidRPr="00B14447">
        <w:rPr>
          <w:rFonts w:ascii="Times New Roman" w:hAnsi="Times New Roman"/>
          <w:sz w:val="24"/>
        </w:rPr>
        <w:t>(Qld), r </w:t>
      </w:r>
      <w:r w:rsidR="0011070F" w:rsidRPr="00B14447">
        <w:rPr>
          <w:rFonts w:ascii="Times New Roman" w:hAnsi="Times New Roman"/>
          <w:sz w:val="24"/>
        </w:rPr>
        <w:t>765</w:t>
      </w:r>
      <w:r w:rsidR="00AA3B6C" w:rsidRPr="00B14447">
        <w:rPr>
          <w:rFonts w:ascii="Times New Roman" w:hAnsi="Times New Roman"/>
          <w:sz w:val="24"/>
        </w:rPr>
        <w:t xml:space="preserve">(1); </w:t>
      </w:r>
      <w:r w:rsidR="00780622" w:rsidRPr="00B14447">
        <w:rPr>
          <w:rFonts w:ascii="Times New Roman" w:hAnsi="Times New Roman"/>
          <w:i/>
          <w:iCs/>
          <w:sz w:val="24"/>
        </w:rPr>
        <w:t xml:space="preserve">Supreme Court Act 1935 </w:t>
      </w:r>
      <w:r w:rsidR="00780622" w:rsidRPr="00B14447">
        <w:rPr>
          <w:rFonts w:ascii="Times New Roman" w:hAnsi="Times New Roman"/>
          <w:sz w:val="24"/>
        </w:rPr>
        <w:t xml:space="preserve">(SA), s 19D; </w:t>
      </w:r>
      <w:r w:rsidR="004939A6" w:rsidRPr="00B14447">
        <w:rPr>
          <w:rFonts w:ascii="Times New Roman" w:hAnsi="Times New Roman"/>
          <w:i/>
          <w:iCs/>
          <w:sz w:val="24"/>
        </w:rPr>
        <w:t xml:space="preserve">Criminal Code Act 1924 </w:t>
      </w:r>
      <w:r w:rsidR="004939A6" w:rsidRPr="00B14447">
        <w:rPr>
          <w:rFonts w:ascii="Times New Roman" w:hAnsi="Times New Roman"/>
          <w:sz w:val="24"/>
        </w:rPr>
        <w:t>(Tas), s </w:t>
      </w:r>
      <w:r w:rsidR="002F6BDA" w:rsidRPr="00B14447">
        <w:rPr>
          <w:rFonts w:ascii="Times New Roman" w:hAnsi="Times New Roman"/>
          <w:sz w:val="24"/>
        </w:rPr>
        <w:t xml:space="preserve">409; </w:t>
      </w:r>
      <w:r w:rsidR="00E653AE" w:rsidRPr="00B14447">
        <w:rPr>
          <w:rFonts w:ascii="Times New Roman" w:hAnsi="Times New Roman"/>
          <w:i/>
          <w:iCs/>
          <w:sz w:val="24"/>
        </w:rPr>
        <w:t xml:space="preserve">Supreme Court Civil Procedure Act 1932 </w:t>
      </w:r>
      <w:r w:rsidR="00E653AE" w:rsidRPr="00B14447">
        <w:rPr>
          <w:rFonts w:ascii="Times New Roman" w:hAnsi="Times New Roman"/>
          <w:sz w:val="24"/>
        </w:rPr>
        <w:t>(Tas), s 46;</w:t>
      </w:r>
      <w:r w:rsidR="00EA3491" w:rsidRPr="00B14447">
        <w:rPr>
          <w:rFonts w:ascii="Times New Roman" w:hAnsi="Times New Roman"/>
          <w:sz w:val="24"/>
        </w:rPr>
        <w:t xml:space="preserve"> </w:t>
      </w:r>
      <w:r w:rsidR="00EA3491" w:rsidRPr="00B14447">
        <w:rPr>
          <w:rFonts w:ascii="Times New Roman" w:hAnsi="Times New Roman"/>
          <w:i/>
          <w:iCs/>
          <w:sz w:val="24"/>
        </w:rPr>
        <w:t xml:space="preserve">Supreme Court Act 1986 </w:t>
      </w:r>
      <w:r w:rsidR="00EA3491" w:rsidRPr="00B14447">
        <w:rPr>
          <w:rFonts w:ascii="Times New Roman" w:hAnsi="Times New Roman"/>
          <w:sz w:val="24"/>
        </w:rPr>
        <w:t>(Vic), s </w:t>
      </w:r>
      <w:r w:rsidR="00761778" w:rsidRPr="00B14447">
        <w:rPr>
          <w:rFonts w:ascii="Times New Roman" w:hAnsi="Times New Roman"/>
          <w:sz w:val="24"/>
        </w:rPr>
        <w:t>10(3)</w:t>
      </w:r>
      <w:r w:rsidR="00571B96" w:rsidRPr="00B14447">
        <w:rPr>
          <w:rFonts w:ascii="Times New Roman" w:hAnsi="Times New Roman"/>
          <w:sz w:val="24"/>
        </w:rPr>
        <w:t xml:space="preserve">; </w:t>
      </w:r>
      <w:r w:rsidR="00571B96" w:rsidRPr="00B14447">
        <w:rPr>
          <w:rFonts w:ascii="Times New Roman" w:hAnsi="Times New Roman"/>
          <w:i/>
          <w:iCs/>
          <w:sz w:val="24"/>
        </w:rPr>
        <w:t xml:space="preserve">Criminal Appeals Act </w:t>
      </w:r>
      <w:r w:rsidR="000845CA" w:rsidRPr="00B14447">
        <w:rPr>
          <w:rFonts w:ascii="Times New Roman" w:hAnsi="Times New Roman"/>
          <w:i/>
          <w:iCs/>
          <w:sz w:val="24"/>
        </w:rPr>
        <w:t>2004</w:t>
      </w:r>
      <w:r w:rsidR="00D53C53" w:rsidRPr="00B14447">
        <w:rPr>
          <w:rFonts w:ascii="Times New Roman" w:hAnsi="Times New Roman"/>
          <w:i/>
          <w:iCs/>
          <w:sz w:val="24"/>
        </w:rPr>
        <w:t xml:space="preserve"> </w:t>
      </w:r>
      <w:r w:rsidR="00D53C53" w:rsidRPr="00B14447">
        <w:rPr>
          <w:rFonts w:ascii="Times New Roman" w:hAnsi="Times New Roman"/>
          <w:sz w:val="24"/>
        </w:rPr>
        <w:t>(WA)</w:t>
      </w:r>
      <w:r w:rsidR="000845CA" w:rsidRPr="00B14447">
        <w:rPr>
          <w:rFonts w:ascii="Times New Roman" w:hAnsi="Times New Roman"/>
          <w:sz w:val="24"/>
        </w:rPr>
        <w:t>, s 40</w:t>
      </w:r>
      <w:r w:rsidR="005B44D2" w:rsidRPr="00B14447">
        <w:rPr>
          <w:rFonts w:ascii="Times New Roman" w:hAnsi="Times New Roman"/>
          <w:sz w:val="24"/>
        </w:rPr>
        <w:t xml:space="preserve">; </w:t>
      </w:r>
      <w:r w:rsidR="005B44D2" w:rsidRPr="00B14447">
        <w:rPr>
          <w:rFonts w:ascii="Times New Roman" w:hAnsi="Times New Roman"/>
          <w:i/>
          <w:iCs/>
          <w:sz w:val="24"/>
        </w:rPr>
        <w:t xml:space="preserve">Supreme Court Rules </w:t>
      </w:r>
      <w:r w:rsidR="00CB58AF" w:rsidRPr="00B14447">
        <w:rPr>
          <w:rFonts w:ascii="Times New Roman" w:hAnsi="Times New Roman"/>
          <w:i/>
          <w:iCs/>
          <w:sz w:val="24"/>
        </w:rPr>
        <w:t xml:space="preserve">1971 </w:t>
      </w:r>
      <w:r w:rsidR="00CB58AF" w:rsidRPr="00B14447">
        <w:rPr>
          <w:rFonts w:ascii="Times New Roman" w:hAnsi="Times New Roman"/>
          <w:sz w:val="24"/>
        </w:rPr>
        <w:t>(WA)</w:t>
      </w:r>
      <w:r w:rsidR="00CB58AF" w:rsidRPr="00B14447">
        <w:rPr>
          <w:rFonts w:ascii="Times New Roman" w:hAnsi="Times New Roman"/>
          <w:i/>
          <w:iCs/>
          <w:sz w:val="24"/>
        </w:rPr>
        <w:t xml:space="preserve">, </w:t>
      </w:r>
      <w:r w:rsidR="0011070F" w:rsidRPr="00B14447">
        <w:rPr>
          <w:rFonts w:ascii="Times New Roman" w:hAnsi="Times New Roman"/>
          <w:sz w:val="24"/>
        </w:rPr>
        <w:t>O</w:t>
      </w:r>
      <w:r w:rsidR="00CB58AF" w:rsidRPr="00B14447">
        <w:rPr>
          <w:rFonts w:ascii="Times New Roman" w:hAnsi="Times New Roman"/>
          <w:sz w:val="24"/>
        </w:rPr>
        <w:t> 65</w:t>
      </w:r>
      <w:r w:rsidR="00D01BE9" w:rsidRPr="00B14447">
        <w:rPr>
          <w:rFonts w:ascii="Times New Roman" w:hAnsi="Times New Roman"/>
          <w:sz w:val="24"/>
        </w:rPr>
        <w:t>,</w:t>
      </w:r>
      <w:r w:rsidR="0011070F" w:rsidRPr="00B14447">
        <w:rPr>
          <w:rFonts w:ascii="Times New Roman" w:hAnsi="Times New Roman"/>
          <w:sz w:val="24"/>
        </w:rPr>
        <w:t xml:space="preserve"> r </w:t>
      </w:r>
      <w:r w:rsidR="00CB58AF" w:rsidRPr="00B14447">
        <w:rPr>
          <w:rFonts w:ascii="Times New Roman" w:hAnsi="Times New Roman"/>
          <w:sz w:val="24"/>
        </w:rPr>
        <w:t>8</w:t>
      </w:r>
      <w:r w:rsidR="00585593" w:rsidRPr="00B14447">
        <w:rPr>
          <w:rFonts w:ascii="Times New Roman" w:hAnsi="Times New Roman"/>
          <w:sz w:val="24"/>
        </w:rPr>
        <w:t>.</w:t>
      </w:r>
      <w:r w:rsidR="00761778" w:rsidRPr="00B14447">
        <w:rPr>
          <w:rFonts w:ascii="Times New Roman" w:hAnsi="Times New Roman"/>
          <w:sz w:val="24"/>
        </w:rPr>
        <w:t xml:space="preserve"> </w:t>
      </w:r>
    </w:p>
  </w:footnote>
  <w:footnote w:id="25">
    <w:p w14:paraId="5E60759B" w14:textId="038BCBD8"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E74FE9" w:rsidRPr="00B14447">
        <w:rPr>
          <w:rFonts w:ascii="Times New Roman" w:hAnsi="Times New Roman"/>
          <w:sz w:val="24"/>
        </w:rPr>
        <w:t xml:space="preserve">See, eg, </w:t>
      </w:r>
      <w:r w:rsidRPr="00B14447">
        <w:rPr>
          <w:rFonts w:ascii="Times New Roman" w:hAnsi="Times New Roman"/>
          <w:i/>
          <w:iCs/>
          <w:sz w:val="24"/>
        </w:rPr>
        <w:t xml:space="preserve">Mickelberg v The Queen </w:t>
      </w:r>
      <w:r w:rsidRPr="00B14447">
        <w:rPr>
          <w:rFonts w:ascii="Times New Roman" w:hAnsi="Times New Roman"/>
          <w:sz w:val="24"/>
        </w:rPr>
        <w:t xml:space="preserve">(1989) 167 CLR 259 at 267; </w:t>
      </w:r>
      <w:r w:rsidR="002B7D99" w:rsidRPr="00B14447">
        <w:rPr>
          <w:rFonts w:ascii="Times New Roman" w:hAnsi="Times New Roman"/>
          <w:i/>
          <w:iCs/>
          <w:sz w:val="24"/>
        </w:rPr>
        <w:t xml:space="preserve">Roads and Traffic Authority of New South Wales v </w:t>
      </w:r>
      <w:r w:rsidRPr="00B14447">
        <w:rPr>
          <w:rFonts w:ascii="Times New Roman" w:hAnsi="Times New Roman"/>
          <w:i/>
          <w:iCs/>
          <w:sz w:val="24"/>
        </w:rPr>
        <w:t xml:space="preserve">Dederer </w:t>
      </w:r>
      <w:r w:rsidRPr="00B14447">
        <w:rPr>
          <w:rFonts w:ascii="Times New Roman" w:hAnsi="Times New Roman"/>
          <w:sz w:val="24"/>
        </w:rPr>
        <w:t>(2007) 234 CLR 330 at 378-379 [164].</w:t>
      </w:r>
    </w:p>
  </w:footnote>
  <w:footnote w:id="26">
    <w:p w14:paraId="358CA58F" w14:textId="27200F22"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(2007) 234 CLR 330 at </w:t>
      </w:r>
      <w:r w:rsidR="00B664C0" w:rsidRPr="00B14447">
        <w:rPr>
          <w:rFonts w:ascii="Times New Roman" w:hAnsi="Times New Roman"/>
          <w:sz w:val="24"/>
        </w:rPr>
        <w:t xml:space="preserve">334 </w:t>
      </w:r>
      <w:r w:rsidRPr="00B14447">
        <w:rPr>
          <w:rFonts w:ascii="Times New Roman" w:hAnsi="Times New Roman"/>
          <w:sz w:val="24"/>
        </w:rPr>
        <w:t>[5].</w:t>
      </w:r>
    </w:p>
  </w:footnote>
  <w:footnote w:id="27">
    <w:p w14:paraId="6FB82827" w14:textId="7E05624A" w:rsidR="001604FC" w:rsidRPr="00B14447" w:rsidRDefault="001604FC" w:rsidP="00B14447">
      <w:pPr>
        <w:pStyle w:val="FootnoteText"/>
        <w:spacing w:line="280" w:lineRule="exact"/>
        <w:ind w:right="0"/>
        <w:jc w:val="both"/>
        <w:rPr>
          <w:rFonts w:ascii="Times New Roman" w:hAnsi="Times New Roman"/>
          <w:i/>
          <w:iCs/>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Graham Barclay Oysters Pty Ltd v Ryan</w:t>
      </w:r>
      <w:r w:rsidRPr="00B14447">
        <w:rPr>
          <w:rFonts w:ascii="Times New Roman" w:hAnsi="Times New Roman"/>
          <w:sz w:val="24"/>
        </w:rPr>
        <w:t xml:space="preserve"> </w:t>
      </w:r>
      <w:r w:rsidR="004A1774" w:rsidRPr="00B14447">
        <w:rPr>
          <w:rFonts w:ascii="Times New Roman" w:hAnsi="Times New Roman"/>
          <w:sz w:val="24"/>
        </w:rPr>
        <w:t xml:space="preserve">(2002) </w:t>
      </w:r>
      <w:r w:rsidRPr="00B14447">
        <w:rPr>
          <w:rFonts w:ascii="Times New Roman" w:hAnsi="Times New Roman"/>
          <w:sz w:val="24"/>
        </w:rPr>
        <w:t xml:space="preserve">211 CLR 540 at 567 [50]. cf </w:t>
      </w:r>
      <w:r w:rsidRPr="00B14447">
        <w:rPr>
          <w:rFonts w:ascii="Times New Roman" w:hAnsi="Times New Roman"/>
          <w:i/>
          <w:iCs/>
          <w:sz w:val="24"/>
        </w:rPr>
        <w:t>Bridgewater v Leahy</w:t>
      </w:r>
      <w:r w:rsidRPr="00B14447">
        <w:rPr>
          <w:rFonts w:ascii="Times New Roman" w:hAnsi="Times New Roman"/>
          <w:sz w:val="24"/>
        </w:rPr>
        <w:t xml:space="preserve"> (1998) 194 CLR 457</w:t>
      </w:r>
      <w:r w:rsidR="004A1774" w:rsidRPr="00B14447">
        <w:rPr>
          <w:rFonts w:ascii="Times New Roman" w:hAnsi="Times New Roman"/>
          <w:sz w:val="24"/>
        </w:rPr>
        <w:t xml:space="preserve"> at 489-493 [112]-[122]</w:t>
      </w:r>
      <w:r w:rsidRPr="00B14447">
        <w:rPr>
          <w:rFonts w:ascii="Times New Roman" w:hAnsi="Times New Roman"/>
          <w:sz w:val="24"/>
        </w:rPr>
        <w:t xml:space="preserve"> and </w:t>
      </w:r>
      <w:r w:rsidRPr="00B14447">
        <w:rPr>
          <w:rFonts w:ascii="Times New Roman" w:hAnsi="Times New Roman"/>
          <w:i/>
          <w:iCs/>
          <w:sz w:val="24"/>
        </w:rPr>
        <w:t>Walton</w:t>
      </w:r>
      <w:r w:rsidR="00457454" w:rsidRPr="00B14447">
        <w:rPr>
          <w:rFonts w:ascii="Times New Roman" w:hAnsi="Times New Roman"/>
          <w:i/>
          <w:iCs/>
          <w:sz w:val="24"/>
        </w:rPr>
        <w:t>s</w:t>
      </w:r>
      <w:r w:rsidRPr="00B14447">
        <w:rPr>
          <w:rFonts w:ascii="Times New Roman" w:hAnsi="Times New Roman"/>
          <w:i/>
          <w:iCs/>
          <w:sz w:val="24"/>
        </w:rPr>
        <w:t xml:space="preserve"> Stores </w:t>
      </w:r>
      <w:r w:rsidR="00457454" w:rsidRPr="00B14447">
        <w:rPr>
          <w:rFonts w:ascii="Times New Roman" w:hAnsi="Times New Roman"/>
          <w:i/>
          <w:iCs/>
          <w:sz w:val="24"/>
        </w:rPr>
        <w:t xml:space="preserve">(Interstate) Ltd v Maher </w:t>
      </w:r>
      <w:r w:rsidRPr="00B14447">
        <w:rPr>
          <w:rFonts w:ascii="Times New Roman" w:hAnsi="Times New Roman"/>
          <w:sz w:val="24"/>
        </w:rPr>
        <w:t>(1988) 164 CLR 387 at 434-435.</w:t>
      </w:r>
    </w:p>
  </w:footnote>
  <w:footnote w:id="28">
    <w:p w14:paraId="06E94BC5" w14:textId="0D9D02D0"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457454" w:rsidRPr="00B14447">
        <w:rPr>
          <w:rFonts w:ascii="Times New Roman" w:hAnsi="Times New Roman"/>
          <w:i/>
          <w:iCs/>
          <w:sz w:val="24"/>
        </w:rPr>
        <w:t xml:space="preserve">Louth v Diprose </w:t>
      </w:r>
      <w:r w:rsidRPr="00B14447">
        <w:rPr>
          <w:rFonts w:ascii="Times New Roman" w:hAnsi="Times New Roman"/>
          <w:sz w:val="24"/>
        </w:rPr>
        <w:t>(1992) 175 CLR 621 at 634.</w:t>
      </w:r>
    </w:p>
  </w:footnote>
  <w:footnote w:id="29">
    <w:p w14:paraId="5B749A88" w14:textId="195B4C85"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Baffsky v Brewis</w:t>
      </w:r>
      <w:r w:rsidRPr="00B14447">
        <w:rPr>
          <w:rFonts w:ascii="Times New Roman" w:hAnsi="Times New Roman"/>
          <w:sz w:val="24"/>
        </w:rPr>
        <w:t xml:space="preserve"> (197</w:t>
      </w:r>
      <w:r w:rsidR="00652387">
        <w:rPr>
          <w:rFonts w:ascii="Times New Roman" w:hAnsi="Times New Roman"/>
          <w:sz w:val="24"/>
        </w:rPr>
        <w:t>6</w:t>
      </w:r>
      <w:r w:rsidRPr="00B14447">
        <w:rPr>
          <w:rFonts w:ascii="Times New Roman" w:hAnsi="Times New Roman"/>
          <w:sz w:val="24"/>
        </w:rPr>
        <w:t>) 51 ALJR 170 at 172</w:t>
      </w:r>
      <w:r w:rsidR="004E1108" w:rsidRPr="00B14447">
        <w:rPr>
          <w:rFonts w:ascii="Times New Roman" w:hAnsi="Times New Roman"/>
          <w:sz w:val="24"/>
        </w:rPr>
        <w:t xml:space="preserve">; 12 ALR </w:t>
      </w:r>
      <w:r w:rsidR="002E0889" w:rsidRPr="00B14447">
        <w:rPr>
          <w:rFonts w:ascii="Times New Roman" w:hAnsi="Times New Roman"/>
          <w:sz w:val="24"/>
        </w:rPr>
        <w:t>4</w:t>
      </w:r>
      <w:r w:rsidR="004E1108" w:rsidRPr="00B14447">
        <w:rPr>
          <w:rFonts w:ascii="Times New Roman" w:hAnsi="Times New Roman"/>
          <w:sz w:val="24"/>
        </w:rPr>
        <w:t>35 at 438</w:t>
      </w:r>
      <w:r w:rsidR="002E0889" w:rsidRPr="00B14447">
        <w:rPr>
          <w:rFonts w:ascii="Times New Roman" w:hAnsi="Times New Roman"/>
          <w:sz w:val="24"/>
        </w:rPr>
        <w:t>:</w:t>
      </w:r>
      <w:r w:rsidRPr="00B14447">
        <w:rPr>
          <w:rFonts w:ascii="Times New Roman" w:hAnsi="Times New Roman"/>
          <w:sz w:val="24"/>
        </w:rPr>
        <w:t xml:space="preserve"> "where there have been concurrent findings of fact or concurrent views as to the </w:t>
      </w:r>
      <w:r w:rsidR="002E0889" w:rsidRPr="00B14447">
        <w:rPr>
          <w:rFonts w:ascii="Times New Roman" w:hAnsi="Times New Roman"/>
          <w:sz w:val="24"/>
        </w:rPr>
        <w:t xml:space="preserve">exercise </w:t>
      </w:r>
      <w:r w:rsidRPr="00B14447">
        <w:rPr>
          <w:rFonts w:ascii="Times New Roman" w:hAnsi="Times New Roman"/>
          <w:sz w:val="24"/>
        </w:rPr>
        <w:t>of a discretion, an appellant has in this Court at least a difficult task in persuading it that nonetheless it ought to set aside such findings or that exercise of discretion" but this Court is "</w:t>
      </w:r>
      <w:r w:rsidR="00160DBB" w:rsidRPr="00B14447">
        <w:rPr>
          <w:rFonts w:ascii="Times New Roman" w:hAnsi="Times New Roman"/>
          <w:sz w:val="24"/>
        </w:rPr>
        <w:t xml:space="preserve">in a proper case </w:t>
      </w:r>
      <w:r w:rsidRPr="00B14447">
        <w:rPr>
          <w:rFonts w:ascii="Times New Roman" w:hAnsi="Times New Roman"/>
          <w:sz w:val="24"/>
        </w:rPr>
        <w:t>able to depart from them".</w:t>
      </w:r>
    </w:p>
  </w:footnote>
  <w:footnote w:id="30">
    <w:p w14:paraId="23592DB2" w14:textId="0A9ED75E"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Louth</w:t>
      </w:r>
      <w:r w:rsidR="00083142" w:rsidRPr="00B14447">
        <w:rPr>
          <w:rFonts w:ascii="Times New Roman" w:hAnsi="Times New Roman"/>
          <w:i/>
          <w:iCs/>
          <w:sz w:val="24"/>
        </w:rPr>
        <w:t xml:space="preserve"> v Diprose</w:t>
      </w:r>
      <w:r w:rsidRPr="00B14447">
        <w:rPr>
          <w:rFonts w:ascii="Times New Roman" w:hAnsi="Times New Roman"/>
          <w:i/>
          <w:iCs/>
          <w:sz w:val="24"/>
        </w:rPr>
        <w:t xml:space="preserve"> </w:t>
      </w:r>
      <w:r w:rsidRPr="00B14447">
        <w:rPr>
          <w:rFonts w:ascii="Times New Roman" w:hAnsi="Times New Roman"/>
          <w:iCs/>
          <w:sz w:val="24"/>
        </w:rPr>
        <w:t>(</w:t>
      </w:r>
      <w:r w:rsidRPr="00B14447">
        <w:rPr>
          <w:rFonts w:ascii="Times New Roman" w:hAnsi="Times New Roman"/>
          <w:sz w:val="24"/>
        </w:rPr>
        <w:t xml:space="preserve">1992) 175 CLR 621 at </w:t>
      </w:r>
      <w:r w:rsidR="00160DBB" w:rsidRPr="00B14447">
        <w:rPr>
          <w:rFonts w:ascii="Times New Roman" w:hAnsi="Times New Roman"/>
          <w:sz w:val="24"/>
        </w:rPr>
        <w:t>634</w:t>
      </w:r>
      <w:r w:rsidRPr="00B14447">
        <w:rPr>
          <w:rFonts w:ascii="Times New Roman" w:hAnsi="Times New Roman"/>
          <w:sz w:val="24"/>
        </w:rPr>
        <w:t>.</w:t>
      </w:r>
    </w:p>
  </w:footnote>
  <w:footnote w:id="31">
    <w:p w14:paraId="2F3ADAC9" w14:textId="54D58277"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7327CD" w:rsidRPr="00B14447">
        <w:rPr>
          <w:rFonts w:ascii="Times New Roman" w:hAnsi="Times New Roman"/>
          <w:sz w:val="24"/>
        </w:rPr>
        <w:t>c</w:t>
      </w:r>
      <w:r w:rsidR="00BB1433" w:rsidRPr="00B14447">
        <w:rPr>
          <w:rFonts w:ascii="Times New Roman" w:hAnsi="Times New Roman"/>
          <w:sz w:val="24"/>
        </w:rPr>
        <w:t>f</w:t>
      </w:r>
      <w:r w:rsidR="00477358" w:rsidRPr="00B14447">
        <w:rPr>
          <w:rFonts w:ascii="Times New Roman" w:hAnsi="Times New Roman"/>
          <w:sz w:val="24"/>
        </w:rPr>
        <w:t xml:space="preserve"> </w:t>
      </w:r>
      <w:r w:rsidRPr="00B14447">
        <w:rPr>
          <w:rFonts w:ascii="Times New Roman" w:hAnsi="Times New Roman"/>
          <w:i/>
          <w:iCs/>
          <w:sz w:val="24"/>
        </w:rPr>
        <w:t xml:space="preserve">MW v Director-General, Department of Community Services </w:t>
      </w:r>
      <w:r w:rsidRPr="00B14447">
        <w:rPr>
          <w:rFonts w:ascii="Times New Roman" w:hAnsi="Times New Roman"/>
          <w:sz w:val="24"/>
        </w:rPr>
        <w:t xml:space="preserve">(2008) 82 ALJR 629 at 660-661 </w:t>
      </w:r>
      <w:r w:rsidR="00962D08" w:rsidRPr="00B14447">
        <w:rPr>
          <w:rFonts w:ascii="Times New Roman" w:hAnsi="Times New Roman"/>
          <w:sz w:val="24"/>
        </w:rPr>
        <w:t>[184]</w:t>
      </w:r>
      <w:r w:rsidR="00477358" w:rsidRPr="00B14447">
        <w:rPr>
          <w:rFonts w:ascii="Times New Roman" w:hAnsi="Times New Roman"/>
          <w:sz w:val="24"/>
        </w:rPr>
        <w:t xml:space="preserve">; </w:t>
      </w:r>
      <w:r w:rsidR="004D1192" w:rsidRPr="00B14447">
        <w:rPr>
          <w:rFonts w:ascii="Times New Roman" w:hAnsi="Times New Roman"/>
          <w:sz w:val="24"/>
        </w:rPr>
        <w:t>2</w:t>
      </w:r>
      <w:r w:rsidR="00652387">
        <w:rPr>
          <w:rFonts w:ascii="Times New Roman" w:hAnsi="Times New Roman"/>
          <w:sz w:val="24"/>
        </w:rPr>
        <w:t>4</w:t>
      </w:r>
      <w:r w:rsidR="004D1192" w:rsidRPr="00B14447">
        <w:rPr>
          <w:rFonts w:ascii="Times New Roman" w:hAnsi="Times New Roman"/>
          <w:sz w:val="24"/>
        </w:rPr>
        <w:t>4 ALR 205 at 246</w:t>
      </w:r>
      <w:r w:rsidRPr="00B14447">
        <w:rPr>
          <w:rFonts w:ascii="Times New Roman" w:hAnsi="Times New Roman"/>
          <w:sz w:val="24"/>
        </w:rPr>
        <w:t>.</w:t>
      </w:r>
    </w:p>
  </w:footnote>
  <w:footnote w:id="32">
    <w:p w14:paraId="7FE811AE" w14:textId="293D1862"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Bridgewater</w:t>
      </w:r>
      <w:r w:rsidRPr="00B14447">
        <w:rPr>
          <w:rFonts w:ascii="Times New Roman" w:hAnsi="Times New Roman"/>
          <w:sz w:val="24"/>
        </w:rPr>
        <w:t xml:space="preserve"> </w:t>
      </w:r>
      <w:r w:rsidR="00BC0F37" w:rsidRPr="00B14447">
        <w:rPr>
          <w:rFonts w:ascii="Times New Roman" w:hAnsi="Times New Roman"/>
          <w:i/>
          <w:iCs/>
          <w:sz w:val="24"/>
        </w:rPr>
        <w:t xml:space="preserve">v Leahy </w:t>
      </w:r>
      <w:r w:rsidRPr="00B14447">
        <w:rPr>
          <w:rFonts w:ascii="Times New Roman" w:hAnsi="Times New Roman"/>
          <w:sz w:val="24"/>
        </w:rPr>
        <w:t>(1998) 194 CLR 457 at 471 [43]</w:t>
      </w:r>
      <w:r w:rsidR="004E6C4D" w:rsidRPr="00B14447">
        <w:rPr>
          <w:rFonts w:ascii="Times New Roman" w:hAnsi="Times New Roman"/>
          <w:sz w:val="24"/>
        </w:rPr>
        <w:t>, 472</w:t>
      </w:r>
      <w:r w:rsidRPr="00B14447">
        <w:rPr>
          <w:rFonts w:ascii="Times New Roman" w:hAnsi="Times New Roman"/>
          <w:sz w:val="24"/>
        </w:rPr>
        <w:t xml:space="preserve"> [47]</w:t>
      </w:r>
      <w:r w:rsidR="00C46374" w:rsidRPr="00B14447">
        <w:rPr>
          <w:rFonts w:ascii="Times New Roman" w:hAnsi="Times New Roman"/>
          <w:sz w:val="24"/>
        </w:rPr>
        <w:t>.</w:t>
      </w:r>
      <w:r w:rsidRPr="00B14447">
        <w:rPr>
          <w:rFonts w:ascii="Times New Roman" w:hAnsi="Times New Roman"/>
          <w:sz w:val="24"/>
        </w:rPr>
        <w:t xml:space="preserve"> </w:t>
      </w:r>
    </w:p>
  </w:footnote>
  <w:footnote w:id="33">
    <w:p w14:paraId="04FB370D" w14:textId="570548A4" w:rsidR="001604FC" w:rsidRPr="00B14447" w:rsidRDefault="001604FC" w:rsidP="00B14447">
      <w:pPr>
        <w:pStyle w:val="FootnoteText"/>
        <w:spacing w:line="280" w:lineRule="exact"/>
        <w:ind w:right="0"/>
        <w:jc w:val="both"/>
        <w:rPr>
          <w:rFonts w:ascii="Times New Roman" w:hAnsi="Times New Roman"/>
          <w:i/>
          <w:iCs/>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Major v Bretherton</w:t>
      </w:r>
      <w:r w:rsidRPr="00B14447">
        <w:rPr>
          <w:rFonts w:ascii="Times New Roman" w:hAnsi="Times New Roman"/>
          <w:sz w:val="24"/>
        </w:rPr>
        <w:t xml:space="preserve"> (1928) 41 CLR 62 at 70-71</w:t>
      </w:r>
      <w:r w:rsidR="00C235AE" w:rsidRPr="00B14447">
        <w:rPr>
          <w:rFonts w:ascii="Times New Roman" w:hAnsi="Times New Roman"/>
          <w:sz w:val="24"/>
        </w:rPr>
        <w:t>, cited by</w:t>
      </w:r>
      <w:r w:rsidRPr="00B14447">
        <w:rPr>
          <w:rFonts w:ascii="Times New Roman" w:hAnsi="Times New Roman"/>
          <w:sz w:val="24"/>
        </w:rPr>
        <w:t xml:space="preserve"> </w:t>
      </w:r>
      <w:r w:rsidR="00C235AE" w:rsidRPr="00B14447">
        <w:rPr>
          <w:rFonts w:ascii="Times New Roman" w:hAnsi="Times New Roman"/>
          <w:i/>
          <w:iCs/>
          <w:sz w:val="24"/>
        </w:rPr>
        <w:t xml:space="preserve">The Commonwealth v </w:t>
      </w:r>
      <w:r w:rsidRPr="00B14447">
        <w:rPr>
          <w:rFonts w:ascii="Times New Roman" w:hAnsi="Times New Roman"/>
          <w:i/>
          <w:iCs/>
          <w:sz w:val="24"/>
        </w:rPr>
        <w:t>Introvigne</w:t>
      </w:r>
      <w:r w:rsidRPr="00B14447">
        <w:rPr>
          <w:rFonts w:ascii="Times New Roman" w:hAnsi="Times New Roman"/>
          <w:sz w:val="24"/>
        </w:rPr>
        <w:t xml:space="preserve"> (1982) 150 CLR 258 at 274</w:t>
      </w:r>
      <w:r w:rsidR="00FB3398" w:rsidRPr="00B14447">
        <w:rPr>
          <w:rFonts w:ascii="Times New Roman" w:hAnsi="Times New Roman"/>
          <w:sz w:val="24"/>
        </w:rPr>
        <w:t xml:space="preserve"> and</w:t>
      </w:r>
      <w:r w:rsidRPr="00B14447">
        <w:rPr>
          <w:rFonts w:ascii="Times New Roman" w:hAnsi="Times New Roman"/>
          <w:sz w:val="24"/>
        </w:rPr>
        <w:t xml:space="preserve"> </w:t>
      </w:r>
      <w:r w:rsidR="00FB3398" w:rsidRPr="00B14447">
        <w:rPr>
          <w:rFonts w:ascii="Times New Roman" w:hAnsi="Times New Roman"/>
          <w:i/>
          <w:iCs/>
          <w:sz w:val="24"/>
        </w:rPr>
        <w:t xml:space="preserve">Roads and Traffic Authority of New South Wales v </w:t>
      </w:r>
      <w:r w:rsidRPr="00B14447">
        <w:rPr>
          <w:rFonts w:ascii="Times New Roman" w:hAnsi="Times New Roman"/>
          <w:i/>
          <w:iCs/>
          <w:sz w:val="24"/>
        </w:rPr>
        <w:t xml:space="preserve">Dederer </w:t>
      </w:r>
      <w:r w:rsidRPr="00B14447">
        <w:rPr>
          <w:rFonts w:ascii="Times New Roman" w:hAnsi="Times New Roman"/>
          <w:sz w:val="24"/>
        </w:rPr>
        <w:t xml:space="preserve">(2007) 234 CLR 330 at 335 </w:t>
      </w:r>
      <w:r w:rsidR="002E7498" w:rsidRPr="00B14447">
        <w:rPr>
          <w:rFonts w:ascii="Times New Roman" w:hAnsi="Times New Roman"/>
          <w:sz w:val="24"/>
        </w:rPr>
        <w:t>[</w:t>
      </w:r>
      <w:r w:rsidRPr="00B14447">
        <w:rPr>
          <w:rFonts w:ascii="Times New Roman" w:hAnsi="Times New Roman"/>
          <w:sz w:val="24"/>
        </w:rPr>
        <w:t>7].</w:t>
      </w:r>
      <w:r w:rsidR="00FB3398" w:rsidRPr="00B14447">
        <w:rPr>
          <w:rFonts w:ascii="Times New Roman" w:hAnsi="Times New Roman"/>
          <w:sz w:val="24"/>
        </w:rPr>
        <w:t xml:space="preserve"> See also </w:t>
      </w:r>
      <w:r w:rsidR="00FB3398" w:rsidRPr="00B14447">
        <w:rPr>
          <w:rFonts w:ascii="Times New Roman" w:hAnsi="Times New Roman"/>
          <w:i/>
          <w:iCs/>
          <w:sz w:val="24"/>
        </w:rPr>
        <w:t xml:space="preserve">Bridgewater v Leahy </w:t>
      </w:r>
      <w:r w:rsidR="00FB3398" w:rsidRPr="00B14447">
        <w:rPr>
          <w:rFonts w:ascii="Times New Roman" w:hAnsi="Times New Roman"/>
          <w:sz w:val="24"/>
        </w:rPr>
        <w:t>(1998) 194 CLR 457 at 472 [47]</w:t>
      </w:r>
      <w:r w:rsidR="00EC53B4" w:rsidRPr="00B14447">
        <w:rPr>
          <w:rFonts w:ascii="Times New Roman" w:hAnsi="Times New Roman"/>
          <w:sz w:val="24"/>
        </w:rPr>
        <w:t>.</w:t>
      </w:r>
    </w:p>
  </w:footnote>
  <w:footnote w:id="34">
    <w:p w14:paraId="347BA47F" w14:textId="00C0A755" w:rsidR="001604FC" w:rsidRPr="00B14447" w:rsidRDefault="001604FC" w:rsidP="00B14447">
      <w:pPr>
        <w:pStyle w:val="FootnoteText"/>
        <w:spacing w:line="280" w:lineRule="exact"/>
        <w:ind w:right="0"/>
        <w:jc w:val="both"/>
        <w:rPr>
          <w:rFonts w:ascii="Times New Roman" w:hAnsi="Times New Roman"/>
          <w:i/>
          <w:iCs/>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757E4E" w:rsidRPr="00B14447">
        <w:rPr>
          <w:rFonts w:ascii="Times New Roman" w:hAnsi="Times New Roman"/>
          <w:i/>
          <w:iCs/>
          <w:sz w:val="24"/>
        </w:rPr>
        <w:t xml:space="preserve">Roads and Traffic Authority of New South Wales v </w:t>
      </w:r>
      <w:r w:rsidRPr="00B14447">
        <w:rPr>
          <w:rFonts w:ascii="Times New Roman" w:hAnsi="Times New Roman"/>
          <w:i/>
          <w:iCs/>
          <w:sz w:val="24"/>
        </w:rPr>
        <w:t xml:space="preserve">Dederer </w:t>
      </w:r>
      <w:r w:rsidRPr="00B14447">
        <w:rPr>
          <w:rFonts w:ascii="Times New Roman" w:hAnsi="Times New Roman"/>
          <w:sz w:val="24"/>
        </w:rPr>
        <w:t xml:space="preserve">(2007) 234 CLR 330 at </w:t>
      </w:r>
      <w:r w:rsidR="00757E4E" w:rsidRPr="00B14447">
        <w:rPr>
          <w:rFonts w:ascii="Times New Roman" w:hAnsi="Times New Roman"/>
          <w:sz w:val="24"/>
        </w:rPr>
        <w:t>334-</w:t>
      </w:r>
      <w:r w:rsidRPr="00B14447">
        <w:rPr>
          <w:rFonts w:ascii="Times New Roman" w:hAnsi="Times New Roman"/>
          <w:sz w:val="24"/>
        </w:rPr>
        <w:t>335 [6]</w:t>
      </w:r>
      <w:r w:rsidR="008E35DB" w:rsidRPr="00B14447">
        <w:rPr>
          <w:rFonts w:ascii="Times New Roman" w:hAnsi="Times New Roman"/>
          <w:sz w:val="24"/>
        </w:rPr>
        <w:t>,</w:t>
      </w:r>
      <w:r w:rsidRPr="00B14447">
        <w:rPr>
          <w:rFonts w:ascii="Times New Roman" w:hAnsi="Times New Roman"/>
          <w:sz w:val="24"/>
        </w:rPr>
        <w:t xml:space="preserve"> citing </w:t>
      </w:r>
      <w:r w:rsidRPr="00B14447">
        <w:rPr>
          <w:rFonts w:ascii="Times New Roman" w:hAnsi="Times New Roman"/>
          <w:i/>
          <w:iCs/>
          <w:sz w:val="24"/>
        </w:rPr>
        <w:t>Graham Barclay Oysters</w:t>
      </w:r>
      <w:r w:rsidR="00757E4E" w:rsidRPr="00B14447">
        <w:rPr>
          <w:rFonts w:ascii="Times New Roman" w:hAnsi="Times New Roman"/>
          <w:i/>
          <w:iCs/>
          <w:sz w:val="24"/>
        </w:rPr>
        <w:t xml:space="preserve"> Pty Ltd v Ryan</w:t>
      </w:r>
      <w:r w:rsidRPr="00B14447">
        <w:rPr>
          <w:rFonts w:ascii="Times New Roman" w:hAnsi="Times New Roman"/>
          <w:i/>
          <w:iCs/>
          <w:sz w:val="24"/>
        </w:rPr>
        <w:t xml:space="preserve"> </w:t>
      </w:r>
      <w:r w:rsidRPr="00B14447">
        <w:rPr>
          <w:rFonts w:ascii="Times New Roman" w:hAnsi="Times New Roman"/>
          <w:sz w:val="24"/>
        </w:rPr>
        <w:t>(2002) 211 CLR 540 at 568-569 [53]-[54]</w:t>
      </w:r>
      <w:r w:rsidR="008E35DB" w:rsidRPr="00B14447">
        <w:rPr>
          <w:rFonts w:ascii="Times New Roman" w:hAnsi="Times New Roman"/>
          <w:sz w:val="24"/>
        </w:rPr>
        <w:t>,</w:t>
      </w:r>
      <w:r w:rsidRPr="00B14447">
        <w:rPr>
          <w:rFonts w:ascii="Times New Roman" w:hAnsi="Times New Roman"/>
          <w:sz w:val="24"/>
        </w:rPr>
        <w:t xml:space="preserve"> which, in turn, quoted </w:t>
      </w:r>
      <w:r w:rsidRPr="00B14447">
        <w:rPr>
          <w:rFonts w:ascii="Times New Roman" w:hAnsi="Times New Roman"/>
          <w:i/>
          <w:iCs/>
          <w:sz w:val="24"/>
        </w:rPr>
        <w:t>Owners of</w:t>
      </w:r>
      <w:r w:rsidR="008E35DB" w:rsidRPr="00B14447">
        <w:rPr>
          <w:rFonts w:ascii="Times New Roman" w:hAnsi="Times New Roman"/>
          <w:i/>
          <w:iCs/>
          <w:sz w:val="24"/>
        </w:rPr>
        <w:t xml:space="preserve"> the</w:t>
      </w:r>
      <w:r w:rsidRPr="00B14447">
        <w:rPr>
          <w:rFonts w:ascii="Times New Roman" w:hAnsi="Times New Roman"/>
          <w:i/>
          <w:iCs/>
          <w:sz w:val="24"/>
        </w:rPr>
        <w:t xml:space="preserve"> </w:t>
      </w:r>
      <w:r w:rsidR="008E35DB" w:rsidRPr="00B14447">
        <w:rPr>
          <w:rFonts w:ascii="Times New Roman" w:hAnsi="Times New Roman"/>
          <w:i/>
          <w:iCs/>
          <w:sz w:val="24"/>
        </w:rPr>
        <w:t>"</w:t>
      </w:r>
      <w:r w:rsidRPr="00B14447">
        <w:rPr>
          <w:rFonts w:ascii="Times New Roman" w:hAnsi="Times New Roman"/>
          <w:i/>
          <w:iCs/>
          <w:sz w:val="24"/>
        </w:rPr>
        <w:t>P Caland</w:t>
      </w:r>
      <w:r w:rsidR="008E35DB" w:rsidRPr="00B14447">
        <w:rPr>
          <w:rFonts w:ascii="Times New Roman" w:hAnsi="Times New Roman"/>
          <w:i/>
          <w:iCs/>
          <w:sz w:val="24"/>
        </w:rPr>
        <w:t>" and Freight</w:t>
      </w:r>
      <w:r w:rsidRPr="00B14447">
        <w:rPr>
          <w:rFonts w:ascii="Times New Roman" w:hAnsi="Times New Roman"/>
          <w:i/>
          <w:iCs/>
          <w:sz w:val="24"/>
        </w:rPr>
        <w:t xml:space="preserve"> v Glamorgan Steamship Co </w:t>
      </w:r>
      <w:r w:rsidRPr="00B14447">
        <w:rPr>
          <w:rFonts w:ascii="Times New Roman" w:hAnsi="Times New Roman"/>
          <w:iCs/>
          <w:sz w:val="24"/>
        </w:rPr>
        <w:t>[1893] AC 207 at 216.</w:t>
      </w:r>
    </w:p>
  </w:footnote>
  <w:footnote w:id="35">
    <w:p w14:paraId="06626D83" w14:textId="369E886E"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MW</w:t>
      </w:r>
      <w:r w:rsidR="00C44C09" w:rsidRPr="00B14447">
        <w:rPr>
          <w:rFonts w:ascii="Times New Roman" w:hAnsi="Times New Roman"/>
          <w:i/>
          <w:iCs/>
          <w:sz w:val="24"/>
        </w:rPr>
        <w:t xml:space="preserve"> v Director-General, Department of Community Services</w:t>
      </w:r>
      <w:r w:rsidRPr="00B14447">
        <w:rPr>
          <w:rFonts w:ascii="Times New Roman" w:hAnsi="Times New Roman"/>
          <w:i/>
          <w:iCs/>
          <w:sz w:val="24"/>
        </w:rPr>
        <w:t xml:space="preserve"> </w:t>
      </w:r>
      <w:r w:rsidRPr="00B14447">
        <w:rPr>
          <w:rFonts w:ascii="Times New Roman" w:hAnsi="Times New Roman"/>
          <w:sz w:val="24"/>
        </w:rPr>
        <w:t>(2008) 82 ALJR 629 at 660-661 [184]</w:t>
      </w:r>
      <w:r w:rsidR="00C44C09" w:rsidRPr="00B14447">
        <w:rPr>
          <w:rFonts w:ascii="Times New Roman" w:hAnsi="Times New Roman"/>
          <w:sz w:val="24"/>
        </w:rPr>
        <w:t>; 2</w:t>
      </w:r>
      <w:r w:rsidR="0017034B">
        <w:rPr>
          <w:rFonts w:ascii="Times New Roman" w:hAnsi="Times New Roman"/>
          <w:sz w:val="24"/>
        </w:rPr>
        <w:t>4</w:t>
      </w:r>
      <w:r w:rsidR="00C44C09" w:rsidRPr="00B14447">
        <w:rPr>
          <w:rFonts w:ascii="Times New Roman" w:hAnsi="Times New Roman"/>
          <w:sz w:val="24"/>
        </w:rPr>
        <w:t>4 ALR 205 at 246,</w:t>
      </w:r>
      <w:r w:rsidRPr="00B14447">
        <w:rPr>
          <w:rFonts w:ascii="Times New Roman" w:hAnsi="Times New Roman"/>
          <w:sz w:val="24"/>
        </w:rPr>
        <w:t xml:space="preserve"> citing </w:t>
      </w:r>
      <w:r w:rsidRPr="00B14447">
        <w:rPr>
          <w:rFonts w:ascii="Times New Roman" w:hAnsi="Times New Roman"/>
          <w:i/>
          <w:iCs/>
          <w:sz w:val="24"/>
        </w:rPr>
        <w:t>Eastman v The Queen</w:t>
      </w:r>
      <w:r w:rsidRPr="00B14447">
        <w:rPr>
          <w:rFonts w:ascii="Times New Roman" w:hAnsi="Times New Roman"/>
          <w:sz w:val="24"/>
        </w:rPr>
        <w:t xml:space="preserve"> (2000) 203 CLR 1 at </w:t>
      </w:r>
      <w:r w:rsidR="00C36205" w:rsidRPr="00B14447">
        <w:rPr>
          <w:rFonts w:ascii="Times New Roman" w:hAnsi="Times New Roman"/>
          <w:sz w:val="24"/>
        </w:rPr>
        <w:t xml:space="preserve">13 </w:t>
      </w:r>
      <w:r w:rsidRPr="00B14447">
        <w:rPr>
          <w:rFonts w:ascii="Times New Roman" w:hAnsi="Times New Roman"/>
          <w:sz w:val="24"/>
        </w:rPr>
        <w:t xml:space="preserve">[18], </w:t>
      </w:r>
      <w:r w:rsidR="00C36205" w:rsidRPr="00B14447">
        <w:rPr>
          <w:rFonts w:ascii="Times New Roman" w:hAnsi="Times New Roman"/>
          <w:sz w:val="24"/>
        </w:rPr>
        <w:t xml:space="preserve">24 </w:t>
      </w:r>
      <w:r w:rsidRPr="00B14447">
        <w:rPr>
          <w:rFonts w:ascii="Times New Roman" w:hAnsi="Times New Roman"/>
          <w:sz w:val="24"/>
        </w:rPr>
        <w:t xml:space="preserve">[68], </w:t>
      </w:r>
      <w:r w:rsidR="00C36205" w:rsidRPr="00B14447">
        <w:rPr>
          <w:rFonts w:ascii="Times New Roman" w:hAnsi="Times New Roman"/>
          <w:sz w:val="24"/>
        </w:rPr>
        <w:t xml:space="preserve">54 </w:t>
      </w:r>
      <w:r w:rsidRPr="00B14447">
        <w:rPr>
          <w:rFonts w:ascii="Times New Roman" w:hAnsi="Times New Roman"/>
          <w:sz w:val="24"/>
        </w:rPr>
        <w:t xml:space="preserve">[164], </w:t>
      </w:r>
      <w:r w:rsidR="00C36205" w:rsidRPr="00B14447">
        <w:rPr>
          <w:rFonts w:ascii="Times New Roman" w:hAnsi="Times New Roman"/>
          <w:sz w:val="24"/>
        </w:rPr>
        <w:t xml:space="preserve">63 </w:t>
      </w:r>
      <w:r w:rsidRPr="00B14447">
        <w:rPr>
          <w:rFonts w:ascii="Times New Roman" w:hAnsi="Times New Roman"/>
          <w:sz w:val="24"/>
        </w:rPr>
        <w:t xml:space="preserve">[190] and </w:t>
      </w:r>
      <w:r w:rsidRPr="00B14447">
        <w:rPr>
          <w:rFonts w:ascii="Times New Roman" w:hAnsi="Times New Roman"/>
          <w:i/>
          <w:iCs/>
          <w:sz w:val="24"/>
        </w:rPr>
        <w:t>Mickelberg</w:t>
      </w:r>
      <w:r w:rsidR="000C0B1A" w:rsidRPr="00B14447">
        <w:rPr>
          <w:rFonts w:ascii="Times New Roman" w:hAnsi="Times New Roman"/>
          <w:i/>
          <w:iCs/>
          <w:sz w:val="24"/>
        </w:rPr>
        <w:t xml:space="preserve"> v The Queen</w:t>
      </w:r>
      <w:r w:rsidRPr="00B14447">
        <w:rPr>
          <w:rFonts w:ascii="Times New Roman" w:hAnsi="Times New Roman"/>
          <w:sz w:val="24"/>
        </w:rPr>
        <w:t xml:space="preserve"> (1989) 167 CLR 259.</w:t>
      </w:r>
    </w:p>
  </w:footnote>
  <w:footnote w:id="36">
    <w:p w14:paraId="090FF81C" w14:textId="4C4DCD72"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Louth</w:t>
      </w:r>
      <w:r w:rsidR="00560C69" w:rsidRPr="00B14447">
        <w:rPr>
          <w:rFonts w:ascii="Times New Roman" w:hAnsi="Times New Roman"/>
          <w:i/>
          <w:iCs/>
          <w:sz w:val="24"/>
        </w:rPr>
        <w:t xml:space="preserve"> v Diprose</w:t>
      </w:r>
      <w:r w:rsidRPr="00B14447">
        <w:rPr>
          <w:rFonts w:ascii="Times New Roman" w:hAnsi="Times New Roman"/>
          <w:i/>
          <w:iCs/>
          <w:sz w:val="24"/>
        </w:rPr>
        <w:t xml:space="preserve"> </w:t>
      </w:r>
      <w:r w:rsidRPr="00B14447">
        <w:rPr>
          <w:rFonts w:ascii="Times New Roman" w:hAnsi="Times New Roman"/>
          <w:sz w:val="24"/>
        </w:rPr>
        <w:t>(1992) 175 CLR 62</w:t>
      </w:r>
      <w:r w:rsidR="00561D56" w:rsidRPr="00B14447">
        <w:rPr>
          <w:rFonts w:ascii="Times New Roman" w:hAnsi="Times New Roman"/>
          <w:sz w:val="24"/>
        </w:rPr>
        <w:t>1</w:t>
      </w:r>
      <w:r w:rsidRPr="00B14447">
        <w:rPr>
          <w:rFonts w:ascii="Times New Roman" w:hAnsi="Times New Roman"/>
          <w:sz w:val="24"/>
        </w:rPr>
        <w:t xml:space="preserve"> at 634; </w:t>
      </w:r>
      <w:r w:rsidRPr="00B14447">
        <w:rPr>
          <w:rFonts w:ascii="Times New Roman" w:hAnsi="Times New Roman"/>
          <w:i/>
          <w:iCs/>
          <w:sz w:val="24"/>
        </w:rPr>
        <w:t>Bridgewater</w:t>
      </w:r>
      <w:r w:rsidR="00560C69" w:rsidRPr="00B14447">
        <w:rPr>
          <w:rFonts w:ascii="Times New Roman" w:hAnsi="Times New Roman"/>
          <w:i/>
          <w:iCs/>
          <w:sz w:val="24"/>
        </w:rPr>
        <w:t xml:space="preserve"> v Leahy</w:t>
      </w:r>
      <w:r w:rsidRPr="00B14447">
        <w:rPr>
          <w:rFonts w:ascii="Times New Roman" w:hAnsi="Times New Roman"/>
          <w:sz w:val="24"/>
        </w:rPr>
        <w:t xml:space="preserve"> (1998) 194 CLR 457 at 471 [43]; </w:t>
      </w:r>
      <w:r w:rsidRPr="00B14447">
        <w:rPr>
          <w:rFonts w:ascii="Times New Roman" w:hAnsi="Times New Roman"/>
          <w:i/>
          <w:iCs/>
          <w:sz w:val="24"/>
        </w:rPr>
        <w:t>Graham Barclay Oysters</w:t>
      </w:r>
      <w:r w:rsidRPr="00B14447">
        <w:rPr>
          <w:rFonts w:ascii="Times New Roman" w:hAnsi="Times New Roman"/>
          <w:sz w:val="24"/>
        </w:rPr>
        <w:t xml:space="preserve"> </w:t>
      </w:r>
      <w:r w:rsidR="00560C69" w:rsidRPr="00B14447">
        <w:rPr>
          <w:rFonts w:ascii="Times New Roman" w:hAnsi="Times New Roman"/>
          <w:i/>
          <w:iCs/>
          <w:sz w:val="24"/>
        </w:rPr>
        <w:t>Pty Ltd v Ryan</w:t>
      </w:r>
      <w:r w:rsidR="00560C69" w:rsidRPr="00B14447">
        <w:rPr>
          <w:rFonts w:ascii="Times New Roman" w:hAnsi="Times New Roman"/>
          <w:sz w:val="24"/>
        </w:rPr>
        <w:t xml:space="preserve"> </w:t>
      </w:r>
      <w:r w:rsidRPr="00B14447">
        <w:rPr>
          <w:rFonts w:ascii="Times New Roman" w:hAnsi="Times New Roman"/>
          <w:sz w:val="24"/>
        </w:rPr>
        <w:t>(2002) 211 CLR 540 at 568 [52].</w:t>
      </w:r>
    </w:p>
  </w:footnote>
  <w:footnote w:id="37">
    <w:p w14:paraId="44AE0285" w14:textId="1B3BCA80"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560C69" w:rsidRPr="00B14447">
        <w:rPr>
          <w:rFonts w:ascii="Times New Roman" w:hAnsi="Times New Roman"/>
          <w:i/>
          <w:iCs/>
          <w:sz w:val="24"/>
        </w:rPr>
        <w:t xml:space="preserve">Roads and Traffic Authority of New South Wales v </w:t>
      </w:r>
      <w:r w:rsidRPr="00B14447">
        <w:rPr>
          <w:rFonts w:ascii="Times New Roman" w:hAnsi="Times New Roman"/>
          <w:i/>
          <w:iCs/>
          <w:sz w:val="24"/>
        </w:rPr>
        <w:t>Dederer</w:t>
      </w:r>
      <w:r w:rsidRPr="00B14447">
        <w:rPr>
          <w:rFonts w:ascii="Times New Roman" w:hAnsi="Times New Roman"/>
          <w:sz w:val="24"/>
        </w:rPr>
        <w:t xml:space="preserve"> (2007) 234 CLR 330 at 344 [42]. </w:t>
      </w:r>
      <w:r w:rsidR="008B4043" w:rsidRPr="00B14447">
        <w:rPr>
          <w:rFonts w:ascii="Times New Roman" w:hAnsi="Times New Roman"/>
          <w:sz w:val="24"/>
        </w:rPr>
        <w:t xml:space="preserve">See also </w:t>
      </w:r>
      <w:r w:rsidR="008B4043" w:rsidRPr="00B14447">
        <w:rPr>
          <w:rFonts w:ascii="Times New Roman" w:hAnsi="Times New Roman"/>
          <w:i/>
          <w:iCs/>
          <w:sz w:val="24"/>
        </w:rPr>
        <w:t>Fingleton v The</w:t>
      </w:r>
      <w:r w:rsidR="00F96380" w:rsidRPr="00B14447">
        <w:rPr>
          <w:rFonts w:ascii="Times New Roman" w:hAnsi="Times New Roman"/>
          <w:i/>
          <w:iCs/>
          <w:sz w:val="24"/>
        </w:rPr>
        <w:t> </w:t>
      </w:r>
      <w:r w:rsidR="008B4043" w:rsidRPr="00B14447">
        <w:rPr>
          <w:rFonts w:ascii="Times New Roman" w:hAnsi="Times New Roman"/>
          <w:i/>
          <w:iCs/>
          <w:sz w:val="24"/>
        </w:rPr>
        <w:t>Queen</w:t>
      </w:r>
      <w:r w:rsidR="008B4043" w:rsidRPr="00B14447">
        <w:rPr>
          <w:rFonts w:ascii="Times New Roman" w:hAnsi="Times New Roman"/>
          <w:sz w:val="24"/>
        </w:rPr>
        <w:t xml:space="preserve"> (2005) 227 CLR 166.</w:t>
      </w:r>
    </w:p>
  </w:footnote>
  <w:footnote w:id="38">
    <w:p w14:paraId="62A37292" w14:textId="745924DE"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A32585" w:rsidRPr="00B14447">
        <w:rPr>
          <w:rFonts w:ascii="Times New Roman" w:hAnsi="Times New Roman"/>
          <w:sz w:val="24"/>
        </w:rPr>
        <w:t>See</w:t>
      </w:r>
      <w:r w:rsidR="001D443E" w:rsidRPr="00B14447">
        <w:rPr>
          <w:rFonts w:ascii="Times New Roman" w:hAnsi="Times New Roman"/>
          <w:sz w:val="24"/>
        </w:rPr>
        <w:t>,</w:t>
      </w:r>
      <w:r w:rsidR="00A32585" w:rsidRPr="00B14447">
        <w:rPr>
          <w:rFonts w:ascii="Times New Roman" w:hAnsi="Times New Roman"/>
          <w:sz w:val="24"/>
        </w:rPr>
        <w:t xml:space="preserve"> eg</w:t>
      </w:r>
      <w:r w:rsidR="001D443E" w:rsidRPr="00B14447">
        <w:rPr>
          <w:rFonts w:ascii="Times New Roman" w:hAnsi="Times New Roman"/>
          <w:sz w:val="24"/>
        </w:rPr>
        <w:t>,</w:t>
      </w:r>
      <w:r w:rsidR="00A32585" w:rsidRPr="00B14447">
        <w:rPr>
          <w:rFonts w:ascii="Times New Roman" w:hAnsi="Times New Roman"/>
          <w:sz w:val="24"/>
        </w:rPr>
        <w:t xml:space="preserve"> </w:t>
      </w:r>
      <w:r w:rsidRPr="00B14447">
        <w:rPr>
          <w:rFonts w:ascii="Times New Roman" w:hAnsi="Times New Roman"/>
          <w:i/>
          <w:iCs/>
          <w:sz w:val="24"/>
        </w:rPr>
        <w:t>Fennell</w:t>
      </w:r>
      <w:r w:rsidR="004E51FA" w:rsidRPr="00B14447">
        <w:rPr>
          <w:rFonts w:ascii="Times New Roman" w:hAnsi="Times New Roman"/>
          <w:i/>
          <w:iCs/>
          <w:sz w:val="24"/>
        </w:rPr>
        <w:t xml:space="preserve"> v The Queen</w:t>
      </w:r>
      <w:r w:rsidRPr="00B14447">
        <w:rPr>
          <w:rFonts w:ascii="Times New Roman" w:hAnsi="Times New Roman"/>
          <w:i/>
          <w:iCs/>
          <w:sz w:val="24"/>
        </w:rPr>
        <w:t xml:space="preserve"> </w:t>
      </w:r>
      <w:r w:rsidR="00A32585" w:rsidRPr="00B14447">
        <w:rPr>
          <w:rFonts w:ascii="Times New Roman" w:hAnsi="Times New Roman"/>
          <w:sz w:val="24"/>
        </w:rPr>
        <w:t>(2019) 93 ALJR 1219;</w:t>
      </w:r>
      <w:r w:rsidR="001D443E" w:rsidRPr="00B14447">
        <w:rPr>
          <w:rFonts w:ascii="Times New Roman" w:hAnsi="Times New Roman"/>
          <w:sz w:val="24"/>
        </w:rPr>
        <w:t xml:space="preserve"> 373 ALR 433;</w:t>
      </w:r>
      <w:r w:rsidR="00A32585" w:rsidRPr="00B14447">
        <w:rPr>
          <w:rFonts w:ascii="Times New Roman" w:hAnsi="Times New Roman"/>
          <w:i/>
          <w:iCs/>
          <w:sz w:val="24"/>
        </w:rPr>
        <w:t xml:space="preserve"> </w:t>
      </w:r>
      <w:r w:rsidRPr="00B14447">
        <w:rPr>
          <w:rFonts w:ascii="Times New Roman" w:hAnsi="Times New Roman"/>
          <w:i/>
          <w:iCs/>
          <w:sz w:val="24"/>
        </w:rPr>
        <w:t>Pell</w:t>
      </w:r>
      <w:r w:rsidR="00FF7F18" w:rsidRPr="00B14447">
        <w:rPr>
          <w:rFonts w:ascii="Times New Roman" w:hAnsi="Times New Roman"/>
          <w:i/>
          <w:iCs/>
          <w:sz w:val="24"/>
        </w:rPr>
        <w:t xml:space="preserve"> v The Queen </w:t>
      </w:r>
      <w:r w:rsidR="00FF7F18" w:rsidRPr="00B14447">
        <w:rPr>
          <w:rFonts w:ascii="Times New Roman" w:hAnsi="Times New Roman"/>
          <w:sz w:val="24"/>
        </w:rPr>
        <w:t>(2020) 268 CLR 123</w:t>
      </w:r>
      <w:r w:rsidR="00315662" w:rsidRPr="00B14447">
        <w:rPr>
          <w:rFonts w:ascii="Times New Roman" w:hAnsi="Times New Roman"/>
          <w:sz w:val="24"/>
        </w:rPr>
        <w:t xml:space="preserve">; </w:t>
      </w:r>
      <w:r w:rsidR="002B2D99" w:rsidRPr="00B14447">
        <w:rPr>
          <w:rFonts w:ascii="Times New Roman" w:hAnsi="Times New Roman"/>
          <w:i/>
          <w:iCs/>
          <w:sz w:val="24"/>
        </w:rPr>
        <w:t xml:space="preserve">Bromley v The </w:t>
      </w:r>
      <w:r w:rsidR="00885E46" w:rsidRPr="00B14447">
        <w:rPr>
          <w:rFonts w:ascii="Times New Roman" w:hAnsi="Times New Roman"/>
          <w:i/>
          <w:iCs/>
          <w:sz w:val="24"/>
        </w:rPr>
        <w:t xml:space="preserve">King </w:t>
      </w:r>
      <w:r w:rsidR="00885E46" w:rsidRPr="00B14447">
        <w:rPr>
          <w:rFonts w:ascii="Times New Roman" w:hAnsi="Times New Roman"/>
          <w:sz w:val="24"/>
        </w:rPr>
        <w:t>(2023) 98 ALJR 84</w:t>
      </w:r>
      <w:r w:rsidR="004B3510" w:rsidRPr="00B14447">
        <w:rPr>
          <w:rFonts w:ascii="Times New Roman" w:hAnsi="Times New Roman"/>
          <w:sz w:val="24"/>
        </w:rPr>
        <w:t>; 416 ALR 570</w:t>
      </w:r>
      <w:r w:rsidRPr="00B14447">
        <w:rPr>
          <w:rFonts w:ascii="Times New Roman" w:hAnsi="Times New Roman"/>
          <w:sz w:val="24"/>
        </w:rPr>
        <w:t>.</w:t>
      </w:r>
    </w:p>
  </w:footnote>
  <w:footnote w:id="39">
    <w:p w14:paraId="46CC60A9" w14:textId="6B56048A" w:rsidR="00DD159A" w:rsidRPr="00B14447" w:rsidRDefault="00DD159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7C1D88" w:rsidRPr="00B14447">
        <w:rPr>
          <w:rFonts w:ascii="Times New Roman" w:hAnsi="Times New Roman"/>
          <w:i/>
          <w:iCs/>
          <w:sz w:val="24"/>
        </w:rPr>
        <w:t xml:space="preserve">The </w:t>
      </w:r>
      <w:r w:rsidR="004E0D75" w:rsidRPr="00B14447">
        <w:rPr>
          <w:rFonts w:ascii="Times New Roman" w:hAnsi="Times New Roman"/>
          <w:i/>
          <w:iCs/>
          <w:sz w:val="24"/>
        </w:rPr>
        <w:t xml:space="preserve">Commonwealth v Introvigne </w:t>
      </w:r>
      <w:r w:rsidR="004E0D75" w:rsidRPr="00B14447">
        <w:rPr>
          <w:rFonts w:ascii="Times New Roman" w:hAnsi="Times New Roman"/>
          <w:sz w:val="24"/>
        </w:rPr>
        <w:t xml:space="preserve">(1982) 150 CLR 258 at 262; </w:t>
      </w:r>
      <w:r w:rsidR="004E0D75" w:rsidRPr="00B14447">
        <w:rPr>
          <w:rFonts w:ascii="Times New Roman" w:hAnsi="Times New Roman"/>
          <w:i/>
          <w:iCs/>
          <w:sz w:val="24"/>
        </w:rPr>
        <w:t xml:space="preserve">Woods v Multi-Sport Holdings Pty Ltd </w:t>
      </w:r>
      <w:r w:rsidR="004E0D75" w:rsidRPr="00B14447">
        <w:rPr>
          <w:rFonts w:ascii="Times New Roman" w:hAnsi="Times New Roman"/>
          <w:sz w:val="24"/>
        </w:rPr>
        <w:t xml:space="preserve">(2002) 208 CLR 460 at </w:t>
      </w:r>
      <w:r w:rsidR="00152623" w:rsidRPr="00B14447">
        <w:rPr>
          <w:rFonts w:ascii="Times New Roman" w:hAnsi="Times New Roman"/>
          <w:sz w:val="24"/>
        </w:rPr>
        <w:t>502</w:t>
      </w:r>
      <w:r w:rsidR="00270A46" w:rsidRPr="00B14447">
        <w:rPr>
          <w:rFonts w:ascii="Times New Roman" w:hAnsi="Times New Roman"/>
          <w:sz w:val="24"/>
        </w:rPr>
        <w:t>-503</w:t>
      </w:r>
      <w:r w:rsidR="00152623" w:rsidRPr="00B14447">
        <w:rPr>
          <w:rFonts w:ascii="Times New Roman" w:hAnsi="Times New Roman"/>
          <w:sz w:val="24"/>
        </w:rPr>
        <w:t xml:space="preserve"> [136]-[</w:t>
      </w:r>
      <w:r w:rsidR="00270A46" w:rsidRPr="00B14447">
        <w:rPr>
          <w:rFonts w:ascii="Times New Roman" w:hAnsi="Times New Roman"/>
          <w:sz w:val="24"/>
        </w:rPr>
        <w:t>141].</w:t>
      </w:r>
    </w:p>
  </w:footnote>
  <w:footnote w:id="40">
    <w:p w14:paraId="336F251B" w14:textId="509382AD"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C654C" w:rsidRPr="00B14447">
        <w:rPr>
          <w:rFonts w:ascii="Times New Roman" w:hAnsi="Times New Roman"/>
          <w:i/>
          <w:iCs/>
          <w:sz w:val="24"/>
        </w:rPr>
        <w:t xml:space="preserve">Australian Securities and Investments Commission v </w:t>
      </w:r>
      <w:r w:rsidRPr="00B14447">
        <w:rPr>
          <w:rFonts w:ascii="Times New Roman" w:hAnsi="Times New Roman"/>
          <w:i/>
          <w:iCs/>
          <w:sz w:val="24"/>
        </w:rPr>
        <w:t>Hellicar</w:t>
      </w:r>
      <w:r w:rsidR="00F57F36" w:rsidRPr="00B14447">
        <w:rPr>
          <w:rFonts w:ascii="Times New Roman" w:hAnsi="Times New Roman"/>
          <w:i/>
          <w:iCs/>
          <w:sz w:val="24"/>
        </w:rPr>
        <w:t xml:space="preserve"> </w:t>
      </w:r>
      <w:r w:rsidR="00F57F36" w:rsidRPr="00B14447">
        <w:rPr>
          <w:rFonts w:ascii="Times New Roman" w:hAnsi="Times New Roman"/>
          <w:sz w:val="24"/>
        </w:rPr>
        <w:t>(2012) 247 CLR 345.</w:t>
      </w:r>
    </w:p>
  </w:footnote>
  <w:footnote w:id="41">
    <w:p w14:paraId="3491BE99" w14:textId="49E74AA7" w:rsidR="00F2491B" w:rsidRPr="00B14447" w:rsidRDefault="00F2491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Bahr v Nicolay [No 2] </w:t>
      </w:r>
      <w:r w:rsidRPr="00B14447">
        <w:rPr>
          <w:rFonts w:ascii="Times New Roman" w:hAnsi="Times New Roman"/>
          <w:sz w:val="24"/>
        </w:rPr>
        <w:t>(1988) 164 CLR 604 at</w:t>
      </w:r>
      <w:r w:rsidR="001C193A" w:rsidRPr="00B14447">
        <w:rPr>
          <w:rFonts w:ascii="Times New Roman" w:hAnsi="Times New Roman"/>
          <w:sz w:val="24"/>
        </w:rPr>
        <w:t xml:space="preserve"> 623. See also </w:t>
      </w:r>
      <w:r w:rsidR="001C193A" w:rsidRPr="00B14447">
        <w:rPr>
          <w:rFonts w:ascii="Times New Roman" w:hAnsi="Times New Roman"/>
          <w:i/>
          <w:iCs/>
          <w:sz w:val="24"/>
        </w:rPr>
        <w:t xml:space="preserve">Baffsky v Brewis </w:t>
      </w:r>
      <w:r w:rsidR="001C193A" w:rsidRPr="00B14447">
        <w:rPr>
          <w:rFonts w:ascii="Times New Roman" w:hAnsi="Times New Roman"/>
          <w:sz w:val="24"/>
        </w:rPr>
        <w:t>(1976) 5</w:t>
      </w:r>
      <w:r w:rsidR="00A037F1" w:rsidRPr="00B14447">
        <w:rPr>
          <w:rFonts w:ascii="Times New Roman" w:hAnsi="Times New Roman"/>
          <w:sz w:val="24"/>
        </w:rPr>
        <w:t>1</w:t>
      </w:r>
      <w:r w:rsidR="001C193A" w:rsidRPr="00B14447">
        <w:rPr>
          <w:rFonts w:ascii="Times New Roman" w:hAnsi="Times New Roman"/>
          <w:sz w:val="24"/>
        </w:rPr>
        <w:t xml:space="preserve"> ALJR 170</w:t>
      </w:r>
      <w:r w:rsidR="00EF13D2" w:rsidRPr="00B14447">
        <w:rPr>
          <w:rFonts w:ascii="Times New Roman" w:hAnsi="Times New Roman"/>
          <w:sz w:val="24"/>
        </w:rPr>
        <w:t xml:space="preserve"> at 172</w:t>
      </w:r>
      <w:r w:rsidR="001C193A" w:rsidRPr="00B14447">
        <w:rPr>
          <w:rFonts w:ascii="Times New Roman" w:hAnsi="Times New Roman"/>
          <w:sz w:val="24"/>
        </w:rPr>
        <w:t>; 12 ALR 435</w:t>
      </w:r>
      <w:r w:rsidR="003C7A57" w:rsidRPr="00B14447">
        <w:rPr>
          <w:rFonts w:ascii="Times New Roman" w:hAnsi="Times New Roman"/>
          <w:sz w:val="24"/>
        </w:rPr>
        <w:t xml:space="preserve"> at 437-438</w:t>
      </w:r>
      <w:r w:rsidR="001C193A" w:rsidRPr="00B14447">
        <w:rPr>
          <w:rFonts w:ascii="Times New Roman" w:hAnsi="Times New Roman"/>
          <w:sz w:val="24"/>
        </w:rPr>
        <w:t xml:space="preserve">. </w:t>
      </w:r>
    </w:p>
  </w:footnote>
  <w:footnote w:id="42">
    <w:p w14:paraId="49EF3D06" w14:textId="5018FE2C"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A037F1" w:rsidRPr="00B14447">
        <w:rPr>
          <w:rFonts w:ascii="Times New Roman" w:hAnsi="Times New Roman"/>
          <w:i/>
          <w:iCs/>
          <w:sz w:val="24"/>
        </w:rPr>
        <w:t xml:space="preserve">Roads and Traffic Authority of New South Wales v </w:t>
      </w:r>
      <w:r w:rsidRPr="00B14447">
        <w:rPr>
          <w:rFonts w:ascii="Times New Roman" w:hAnsi="Times New Roman"/>
          <w:i/>
          <w:iCs/>
          <w:sz w:val="24"/>
        </w:rPr>
        <w:t xml:space="preserve">Dederer </w:t>
      </w:r>
      <w:r w:rsidRPr="00B14447">
        <w:rPr>
          <w:rFonts w:ascii="Times New Roman" w:hAnsi="Times New Roman"/>
          <w:sz w:val="24"/>
        </w:rPr>
        <w:t xml:space="preserve">(2007) 234 CLR 330 at 378 [164]; </w:t>
      </w:r>
      <w:r w:rsidR="000278EF" w:rsidRPr="00B14447">
        <w:rPr>
          <w:rFonts w:ascii="Times New Roman" w:hAnsi="Times New Roman"/>
          <w:sz w:val="24"/>
        </w:rPr>
        <w:t>cf 410</w:t>
      </w:r>
      <w:r w:rsidR="00A037F1" w:rsidRPr="00B14447">
        <w:rPr>
          <w:rFonts w:ascii="Times New Roman" w:hAnsi="Times New Roman"/>
          <w:sz w:val="24"/>
        </w:rPr>
        <w:t>-411</w:t>
      </w:r>
      <w:r w:rsidR="000278EF" w:rsidRPr="00B14447">
        <w:rPr>
          <w:rFonts w:ascii="Times New Roman" w:hAnsi="Times New Roman"/>
          <w:sz w:val="24"/>
        </w:rPr>
        <w:t xml:space="preserve"> [287]. See also </w:t>
      </w:r>
      <w:r w:rsidR="000278EF" w:rsidRPr="00B14447">
        <w:rPr>
          <w:rFonts w:ascii="Times New Roman" w:hAnsi="Times New Roman"/>
          <w:i/>
          <w:iCs/>
          <w:sz w:val="24"/>
        </w:rPr>
        <w:t xml:space="preserve">Modbury Triangle Shopping Centre Pty Ltd v Anzil </w:t>
      </w:r>
      <w:r w:rsidR="000278EF" w:rsidRPr="00B14447">
        <w:rPr>
          <w:rFonts w:ascii="Times New Roman" w:hAnsi="Times New Roman"/>
          <w:sz w:val="24"/>
        </w:rPr>
        <w:t xml:space="preserve">(2000) 205 CLR 254 at 274 [58]; </w:t>
      </w:r>
      <w:r w:rsidR="000278EF" w:rsidRPr="00B14447">
        <w:rPr>
          <w:rFonts w:ascii="Times New Roman" w:hAnsi="Times New Roman"/>
          <w:i/>
          <w:iCs/>
          <w:sz w:val="24"/>
        </w:rPr>
        <w:t>Graham Barclay Oysters</w:t>
      </w:r>
      <w:r w:rsidR="0017062C" w:rsidRPr="00B14447">
        <w:rPr>
          <w:rFonts w:ascii="Times New Roman" w:hAnsi="Times New Roman"/>
          <w:i/>
          <w:iCs/>
          <w:sz w:val="24"/>
        </w:rPr>
        <w:t xml:space="preserve"> Pty Ltd v Ryan</w:t>
      </w:r>
      <w:r w:rsidR="000278EF" w:rsidRPr="00B14447">
        <w:rPr>
          <w:rFonts w:ascii="Times New Roman" w:hAnsi="Times New Roman"/>
          <w:i/>
          <w:iCs/>
          <w:sz w:val="24"/>
        </w:rPr>
        <w:t xml:space="preserve"> </w:t>
      </w:r>
      <w:r w:rsidR="000278EF" w:rsidRPr="00B14447">
        <w:rPr>
          <w:rFonts w:ascii="Times New Roman" w:hAnsi="Times New Roman"/>
          <w:sz w:val="24"/>
        </w:rPr>
        <w:t xml:space="preserve">(2002) 211 CLR 540 at 634 [262]; </w:t>
      </w:r>
      <w:r w:rsidR="000278EF" w:rsidRPr="00B14447">
        <w:rPr>
          <w:rFonts w:ascii="Times New Roman" w:hAnsi="Times New Roman"/>
          <w:i/>
          <w:iCs/>
          <w:sz w:val="24"/>
        </w:rPr>
        <w:t xml:space="preserve">Aktiebolaget Hassle v Alphapharm Pty </w:t>
      </w:r>
      <w:r w:rsidR="00A037F1" w:rsidRPr="00B14447">
        <w:rPr>
          <w:rFonts w:ascii="Times New Roman" w:hAnsi="Times New Roman"/>
          <w:i/>
          <w:iCs/>
          <w:sz w:val="24"/>
        </w:rPr>
        <w:t>L</w:t>
      </w:r>
      <w:r w:rsidR="000278EF" w:rsidRPr="00B14447">
        <w:rPr>
          <w:rFonts w:ascii="Times New Roman" w:hAnsi="Times New Roman"/>
          <w:i/>
          <w:iCs/>
          <w:sz w:val="24"/>
        </w:rPr>
        <w:t xml:space="preserve">td </w:t>
      </w:r>
      <w:r w:rsidR="000278EF" w:rsidRPr="00B14447">
        <w:rPr>
          <w:rFonts w:ascii="Times New Roman" w:hAnsi="Times New Roman"/>
          <w:sz w:val="24"/>
        </w:rPr>
        <w:t xml:space="preserve">(2002) 212 CLR 411 at 447-448 [95]; </w:t>
      </w:r>
      <w:r w:rsidR="000278EF" w:rsidRPr="00B14447">
        <w:rPr>
          <w:rFonts w:ascii="Times New Roman" w:hAnsi="Times New Roman"/>
          <w:i/>
          <w:iCs/>
          <w:sz w:val="24"/>
        </w:rPr>
        <w:t>Nominal Defendant v GLG Australia Pty Ltd</w:t>
      </w:r>
      <w:r w:rsidR="000278EF" w:rsidRPr="00B14447">
        <w:rPr>
          <w:rFonts w:ascii="Times New Roman" w:hAnsi="Times New Roman"/>
          <w:sz w:val="24"/>
        </w:rPr>
        <w:t xml:space="preserve"> (2006)</w:t>
      </w:r>
      <w:r w:rsidR="000456F8" w:rsidRPr="00B14447">
        <w:rPr>
          <w:rFonts w:ascii="Times New Roman" w:hAnsi="Times New Roman"/>
          <w:sz w:val="24"/>
        </w:rPr>
        <w:t xml:space="preserve"> 228 CLR 529 at 552 [74];</w:t>
      </w:r>
      <w:r w:rsidR="000278EF" w:rsidRPr="00B14447">
        <w:rPr>
          <w:rFonts w:ascii="Times New Roman" w:hAnsi="Times New Roman"/>
          <w:sz w:val="24"/>
        </w:rPr>
        <w:t xml:space="preserve"> </w:t>
      </w:r>
      <w:r w:rsidR="000456F8" w:rsidRPr="00B14447">
        <w:rPr>
          <w:rFonts w:ascii="Times New Roman" w:hAnsi="Times New Roman"/>
          <w:i/>
          <w:iCs/>
          <w:sz w:val="24"/>
        </w:rPr>
        <w:t>New South Wales</w:t>
      </w:r>
      <w:r w:rsidR="00701035" w:rsidRPr="00B14447">
        <w:rPr>
          <w:rFonts w:ascii="Times New Roman" w:hAnsi="Times New Roman"/>
          <w:i/>
          <w:iCs/>
          <w:sz w:val="24"/>
        </w:rPr>
        <w:t xml:space="preserve"> v</w:t>
      </w:r>
      <w:r w:rsidR="000456F8" w:rsidRPr="00B14447">
        <w:rPr>
          <w:rFonts w:ascii="Times New Roman" w:hAnsi="Times New Roman"/>
          <w:i/>
          <w:iCs/>
          <w:sz w:val="24"/>
        </w:rPr>
        <w:t xml:space="preserve"> </w:t>
      </w:r>
      <w:r w:rsidR="000278EF" w:rsidRPr="00B14447">
        <w:rPr>
          <w:rFonts w:ascii="Times New Roman" w:hAnsi="Times New Roman"/>
          <w:i/>
          <w:iCs/>
          <w:sz w:val="24"/>
        </w:rPr>
        <w:t xml:space="preserve">Fahy </w:t>
      </w:r>
      <w:r w:rsidR="000278EF" w:rsidRPr="00B14447">
        <w:rPr>
          <w:rFonts w:ascii="Times New Roman" w:hAnsi="Times New Roman"/>
          <w:sz w:val="24"/>
        </w:rPr>
        <w:t xml:space="preserve">(2007) </w:t>
      </w:r>
      <w:r w:rsidR="00291F7D" w:rsidRPr="00B14447">
        <w:rPr>
          <w:rFonts w:ascii="Times New Roman" w:hAnsi="Times New Roman"/>
          <w:sz w:val="24"/>
        </w:rPr>
        <w:t>232 CLR 486 at 534 [153]</w:t>
      </w:r>
      <w:r w:rsidR="000278EF" w:rsidRPr="00B14447">
        <w:rPr>
          <w:rFonts w:ascii="Times New Roman" w:hAnsi="Times New Roman"/>
          <w:sz w:val="24"/>
        </w:rPr>
        <w:t>.</w:t>
      </w:r>
    </w:p>
  </w:footnote>
  <w:footnote w:id="43">
    <w:p w14:paraId="7A04DC34" w14:textId="2F38FF41"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Mickelberg v The Queen </w:t>
      </w:r>
      <w:r w:rsidRPr="00B14447">
        <w:rPr>
          <w:rFonts w:ascii="Times New Roman" w:hAnsi="Times New Roman"/>
          <w:sz w:val="24"/>
        </w:rPr>
        <w:t xml:space="preserve">(1989) 167 CLR 259 at 267; </w:t>
      </w:r>
      <w:r w:rsidR="00701035" w:rsidRPr="00B14447">
        <w:rPr>
          <w:rFonts w:ascii="Times New Roman" w:hAnsi="Times New Roman"/>
          <w:i/>
          <w:iCs/>
          <w:sz w:val="24"/>
        </w:rPr>
        <w:t xml:space="preserve">Roads and Traffic Authority of New South Wales v </w:t>
      </w:r>
      <w:r w:rsidRPr="00B14447">
        <w:rPr>
          <w:rFonts w:ascii="Times New Roman" w:hAnsi="Times New Roman"/>
          <w:i/>
          <w:iCs/>
          <w:sz w:val="24"/>
        </w:rPr>
        <w:t xml:space="preserve">Dederer </w:t>
      </w:r>
      <w:r w:rsidRPr="00B14447">
        <w:rPr>
          <w:rFonts w:ascii="Times New Roman" w:hAnsi="Times New Roman"/>
          <w:sz w:val="24"/>
        </w:rPr>
        <w:t>(2007) 234 CLR 330 at 378-379 [164].</w:t>
      </w:r>
    </w:p>
  </w:footnote>
  <w:footnote w:id="44">
    <w:p w14:paraId="0E6A7793" w14:textId="7A2E3BB7"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323E17" w:rsidRPr="00B14447">
        <w:rPr>
          <w:rFonts w:ascii="Times New Roman" w:hAnsi="Times New Roman"/>
          <w:sz w:val="24"/>
        </w:rPr>
        <w:t xml:space="preserve">See, eg, </w:t>
      </w:r>
      <w:r w:rsidR="00323E17" w:rsidRPr="00B14447">
        <w:rPr>
          <w:rFonts w:ascii="Times New Roman" w:hAnsi="Times New Roman"/>
          <w:i/>
          <w:iCs/>
          <w:sz w:val="24"/>
        </w:rPr>
        <w:t xml:space="preserve">Wollongong </w:t>
      </w:r>
      <w:r w:rsidR="009E7C58" w:rsidRPr="00B14447">
        <w:rPr>
          <w:rFonts w:ascii="Times New Roman" w:hAnsi="Times New Roman"/>
          <w:i/>
          <w:iCs/>
          <w:sz w:val="24"/>
        </w:rPr>
        <w:t xml:space="preserve">University </w:t>
      </w:r>
      <w:r w:rsidR="00323E17" w:rsidRPr="00B14447">
        <w:rPr>
          <w:rFonts w:ascii="Times New Roman" w:hAnsi="Times New Roman"/>
          <w:i/>
          <w:iCs/>
          <w:sz w:val="24"/>
        </w:rPr>
        <w:t xml:space="preserve">v Metwally [No 2] </w:t>
      </w:r>
      <w:r w:rsidR="00323E17" w:rsidRPr="00B14447">
        <w:rPr>
          <w:rFonts w:ascii="Times New Roman" w:hAnsi="Times New Roman"/>
          <w:sz w:val="24"/>
        </w:rPr>
        <w:t xml:space="preserve">(1985) 59 ALJR 481 at 483; 60 ALR 68 at 71; </w:t>
      </w:r>
      <w:r w:rsidR="00323E17" w:rsidRPr="00B14447">
        <w:rPr>
          <w:rFonts w:ascii="Times New Roman" w:hAnsi="Times New Roman"/>
          <w:i/>
          <w:iCs/>
          <w:sz w:val="24"/>
        </w:rPr>
        <w:t xml:space="preserve">Coulton v Holcombe </w:t>
      </w:r>
      <w:r w:rsidR="00323E17" w:rsidRPr="00B14447">
        <w:rPr>
          <w:rFonts w:ascii="Times New Roman" w:hAnsi="Times New Roman"/>
          <w:sz w:val="24"/>
        </w:rPr>
        <w:t xml:space="preserve">(1986) 162 CLR 1 at 8-9; </w:t>
      </w:r>
      <w:r w:rsidR="00323E17" w:rsidRPr="00B14447">
        <w:rPr>
          <w:rFonts w:ascii="Times New Roman" w:hAnsi="Times New Roman"/>
          <w:i/>
          <w:iCs/>
          <w:sz w:val="24"/>
        </w:rPr>
        <w:t>Liftronic Pty Ltd v Unver</w:t>
      </w:r>
      <w:r w:rsidR="00323E17" w:rsidRPr="00B14447">
        <w:rPr>
          <w:rFonts w:ascii="Times New Roman" w:hAnsi="Times New Roman"/>
          <w:sz w:val="24"/>
        </w:rPr>
        <w:t xml:space="preserve"> (2001) 75 ALJR 867 at</w:t>
      </w:r>
      <w:r w:rsidR="009F74CF" w:rsidRPr="00B14447">
        <w:rPr>
          <w:rFonts w:ascii="Times New Roman" w:hAnsi="Times New Roman"/>
          <w:sz w:val="24"/>
        </w:rPr>
        <w:t xml:space="preserve"> 875</w:t>
      </w:r>
      <w:r w:rsidR="00323E17" w:rsidRPr="00B14447">
        <w:rPr>
          <w:rFonts w:ascii="Times New Roman" w:hAnsi="Times New Roman"/>
          <w:sz w:val="24"/>
        </w:rPr>
        <w:t xml:space="preserve"> [44]; 179 ALR 321</w:t>
      </w:r>
      <w:r w:rsidR="009F74CF" w:rsidRPr="00B14447">
        <w:rPr>
          <w:rFonts w:ascii="Times New Roman" w:hAnsi="Times New Roman"/>
          <w:sz w:val="24"/>
        </w:rPr>
        <w:t xml:space="preserve"> at 331</w:t>
      </w:r>
      <w:r w:rsidR="00323E17" w:rsidRPr="00B14447">
        <w:rPr>
          <w:rFonts w:ascii="Times New Roman" w:hAnsi="Times New Roman"/>
          <w:sz w:val="24"/>
        </w:rPr>
        <w:t xml:space="preserve">; </w:t>
      </w:r>
      <w:r w:rsidR="00323E17" w:rsidRPr="00B14447">
        <w:rPr>
          <w:rFonts w:ascii="Times New Roman" w:hAnsi="Times New Roman"/>
          <w:i/>
          <w:iCs/>
          <w:sz w:val="24"/>
        </w:rPr>
        <w:t xml:space="preserve">D'Orta-Ekenaike v Victoria Legal Aid </w:t>
      </w:r>
      <w:r w:rsidR="00323E17" w:rsidRPr="00B14447">
        <w:rPr>
          <w:rFonts w:ascii="Times New Roman" w:hAnsi="Times New Roman"/>
          <w:sz w:val="24"/>
        </w:rPr>
        <w:t>(2005) 223 CLR 1 at 17 [34]; 20</w:t>
      </w:r>
      <w:r w:rsidR="009F74CF" w:rsidRPr="00B14447">
        <w:rPr>
          <w:rFonts w:ascii="Times New Roman" w:hAnsi="Times New Roman"/>
          <w:sz w:val="24"/>
        </w:rPr>
        <w:t>-21</w:t>
      </w:r>
      <w:r w:rsidR="00323E17" w:rsidRPr="00B14447">
        <w:rPr>
          <w:rFonts w:ascii="Times New Roman" w:hAnsi="Times New Roman"/>
          <w:sz w:val="24"/>
        </w:rPr>
        <w:t xml:space="preserve"> [45</w:t>
      </w:r>
      <w:r w:rsidR="009F74CF" w:rsidRPr="00B14447">
        <w:rPr>
          <w:rFonts w:ascii="Times New Roman" w:hAnsi="Times New Roman"/>
          <w:sz w:val="24"/>
        </w:rPr>
        <w:t>]</w:t>
      </w:r>
      <w:r w:rsidR="00323E17" w:rsidRPr="00B14447">
        <w:rPr>
          <w:rFonts w:ascii="Times New Roman" w:hAnsi="Times New Roman"/>
          <w:sz w:val="24"/>
        </w:rPr>
        <w:t xml:space="preserve">-[46]. </w:t>
      </w:r>
    </w:p>
  </w:footnote>
  <w:footnote w:id="45">
    <w:p w14:paraId="34842355" w14:textId="01C53187" w:rsidR="00A05185" w:rsidRPr="00B14447" w:rsidRDefault="00A05185"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Roads and Traffic Authority of New South Wales v Dederer</w:t>
      </w:r>
      <w:r w:rsidRPr="00B14447">
        <w:rPr>
          <w:rFonts w:ascii="Times New Roman" w:hAnsi="Times New Roman"/>
          <w:sz w:val="24"/>
        </w:rPr>
        <w:t xml:space="preserve"> (2007) 234 CLR 330 at 336-337 [12]</w:t>
      </w:r>
      <w:r w:rsidR="008C7ADB" w:rsidRPr="00B14447">
        <w:rPr>
          <w:rFonts w:ascii="Times New Roman" w:hAnsi="Times New Roman"/>
          <w:sz w:val="24"/>
        </w:rPr>
        <w:t>.</w:t>
      </w:r>
    </w:p>
  </w:footnote>
  <w:footnote w:id="46">
    <w:p w14:paraId="2579FDE6" w14:textId="124C2A38"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Biogen Inc v Medeva plc</w:t>
      </w:r>
      <w:r w:rsidRPr="00B14447">
        <w:rPr>
          <w:rFonts w:ascii="Times New Roman" w:hAnsi="Times New Roman"/>
          <w:sz w:val="24"/>
        </w:rPr>
        <w:t xml:space="preserve"> [1997</w:t>
      </w:r>
      <w:r w:rsidR="00156B41" w:rsidRPr="00B14447">
        <w:rPr>
          <w:rFonts w:ascii="Times New Roman" w:hAnsi="Times New Roman"/>
          <w:sz w:val="24"/>
        </w:rPr>
        <w:t>]</w:t>
      </w:r>
      <w:r w:rsidRPr="00B14447">
        <w:rPr>
          <w:rFonts w:ascii="Times New Roman" w:hAnsi="Times New Roman"/>
          <w:sz w:val="24"/>
        </w:rPr>
        <w:t xml:space="preserve"> 1 RPC 1 at 45.</w:t>
      </w:r>
    </w:p>
  </w:footnote>
  <w:footnote w:id="47">
    <w:p w14:paraId="540E1C92" w14:textId="2605A31E"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Biogen</w:t>
      </w:r>
      <w:r w:rsidR="008D7503" w:rsidRPr="00B14447">
        <w:rPr>
          <w:rFonts w:ascii="Times New Roman" w:hAnsi="Times New Roman"/>
          <w:i/>
          <w:iCs/>
          <w:sz w:val="24"/>
        </w:rPr>
        <w:t xml:space="preserve"> Inc v Medeva plc</w:t>
      </w:r>
      <w:r w:rsidRPr="00B14447">
        <w:rPr>
          <w:rFonts w:ascii="Times New Roman" w:hAnsi="Times New Roman"/>
          <w:i/>
          <w:iCs/>
          <w:sz w:val="24"/>
        </w:rPr>
        <w:t xml:space="preserve"> </w:t>
      </w:r>
      <w:r w:rsidRPr="00B14447">
        <w:rPr>
          <w:rFonts w:ascii="Times New Roman" w:hAnsi="Times New Roman"/>
          <w:sz w:val="24"/>
        </w:rPr>
        <w:t>[1997</w:t>
      </w:r>
      <w:r w:rsidR="00156B41" w:rsidRPr="00B14447">
        <w:rPr>
          <w:rFonts w:ascii="Times New Roman" w:hAnsi="Times New Roman"/>
          <w:sz w:val="24"/>
        </w:rPr>
        <w:t>]</w:t>
      </w:r>
      <w:r w:rsidRPr="00B14447">
        <w:rPr>
          <w:rFonts w:ascii="Times New Roman" w:hAnsi="Times New Roman"/>
          <w:sz w:val="24"/>
        </w:rPr>
        <w:t xml:space="preserve"> 1 RPC 1 at 45.</w:t>
      </w:r>
    </w:p>
  </w:footnote>
  <w:footnote w:id="48">
    <w:p w14:paraId="3C6AF9D6" w14:textId="1AB1D6F2"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Biogen</w:t>
      </w:r>
      <w:r w:rsidR="00156B41" w:rsidRPr="00B14447">
        <w:rPr>
          <w:rFonts w:ascii="Times New Roman" w:hAnsi="Times New Roman"/>
          <w:sz w:val="24"/>
        </w:rPr>
        <w:t xml:space="preserve"> </w:t>
      </w:r>
      <w:r w:rsidR="008D7503" w:rsidRPr="00B14447">
        <w:rPr>
          <w:rFonts w:ascii="Times New Roman" w:hAnsi="Times New Roman"/>
          <w:i/>
          <w:iCs/>
          <w:sz w:val="24"/>
        </w:rPr>
        <w:t>Inc v Medeva plc</w:t>
      </w:r>
      <w:r w:rsidR="008D7503" w:rsidRPr="00B14447">
        <w:rPr>
          <w:rFonts w:ascii="Times New Roman" w:hAnsi="Times New Roman"/>
          <w:sz w:val="24"/>
        </w:rPr>
        <w:t xml:space="preserve"> </w:t>
      </w:r>
      <w:r w:rsidRPr="00B14447">
        <w:rPr>
          <w:rFonts w:ascii="Times New Roman" w:hAnsi="Times New Roman"/>
          <w:sz w:val="24"/>
        </w:rPr>
        <w:t>[1997</w:t>
      </w:r>
      <w:r w:rsidR="00156B41" w:rsidRPr="00B14447">
        <w:rPr>
          <w:rFonts w:ascii="Times New Roman" w:hAnsi="Times New Roman"/>
          <w:sz w:val="24"/>
        </w:rPr>
        <w:t>]</w:t>
      </w:r>
      <w:r w:rsidRPr="00B14447">
        <w:rPr>
          <w:rFonts w:ascii="Times New Roman" w:hAnsi="Times New Roman"/>
          <w:sz w:val="24"/>
        </w:rPr>
        <w:t xml:space="preserve"> 1 RPC 1 at 45 (emphasis added).</w:t>
      </w:r>
    </w:p>
  </w:footnote>
  <w:footnote w:id="49">
    <w:p w14:paraId="2281C972" w14:textId="3A012639"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0D0764" w:rsidRPr="00B14447">
        <w:rPr>
          <w:rFonts w:ascii="Times New Roman" w:hAnsi="Times New Roman"/>
          <w:sz w:val="24"/>
        </w:rPr>
        <w:t xml:space="preserve">Bell, "Appellate review of the facts" (2014) 39 </w:t>
      </w:r>
      <w:r w:rsidR="000D0764" w:rsidRPr="00B14447">
        <w:rPr>
          <w:rFonts w:ascii="Times New Roman" w:hAnsi="Times New Roman"/>
          <w:i/>
          <w:iCs/>
          <w:sz w:val="24"/>
        </w:rPr>
        <w:t xml:space="preserve">Australian Bar Review </w:t>
      </w:r>
      <w:r w:rsidR="000D0764" w:rsidRPr="00B14447">
        <w:rPr>
          <w:rFonts w:ascii="Times New Roman" w:hAnsi="Times New Roman"/>
          <w:sz w:val="24"/>
        </w:rPr>
        <w:t xml:space="preserve">132 at </w:t>
      </w:r>
      <w:r w:rsidR="00375244" w:rsidRPr="00B14447">
        <w:rPr>
          <w:rFonts w:ascii="Times New Roman" w:hAnsi="Times New Roman"/>
          <w:sz w:val="24"/>
        </w:rPr>
        <w:t>13</w:t>
      </w:r>
      <w:r w:rsidR="008336C0" w:rsidRPr="00B14447">
        <w:rPr>
          <w:rFonts w:ascii="Times New Roman" w:hAnsi="Times New Roman"/>
          <w:sz w:val="24"/>
        </w:rPr>
        <w:t>6</w:t>
      </w:r>
      <w:r w:rsidR="00B3162D" w:rsidRPr="00B14447">
        <w:rPr>
          <w:rFonts w:ascii="Times New Roman" w:hAnsi="Times New Roman"/>
          <w:sz w:val="24"/>
        </w:rPr>
        <w:t>-</w:t>
      </w:r>
      <w:r w:rsidR="00375244" w:rsidRPr="00B14447">
        <w:rPr>
          <w:rFonts w:ascii="Times New Roman" w:hAnsi="Times New Roman"/>
          <w:sz w:val="24"/>
        </w:rPr>
        <w:t xml:space="preserve">138, </w:t>
      </w:r>
      <w:r w:rsidR="000D0764" w:rsidRPr="00B14447">
        <w:rPr>
          <w:rFonts w:ascii="Times New Roman" w:hAnsi="Times New Roman"/>
          <w:sz w:val="24"/>
        </w:rPr>
        <w:t>1</w:t>
      </w:r>
      <w:r w:rsidR="00FF4B1E" w:rsidRPr="00B14447">
        <w:rPr>
          <w:rFonts w:ascii="Times New Roman" w:hAnsi="Times New Roman"/>
          <w:sz w:val="24"/>
        </w:rPr>
        <w:t>45</w:t>
      </w:r>
      <w:r w:rsidRPr="00B14447">
        <w:rPr>
          <w:rFonts w:ascii="Times New Roman" w:hAnsi="Times New Roman"/>
          <w:sz w:val="24"/>
        </w:rPr>
        <w:t>.</w:t>
      </w:r>
    </w:p>
  </w:footnote>
  <w:footnote w:id="50">
    <w:p w14:paraId="6819EB7C" w14:textId="77777777"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Rae v International Insurance Brokers (Nelson Marlborough) Ltd</w:t>
      </w:r>
      <w:r w:rsidRPr="00B14447">
        <w:rPr>
          <w:rFonts w:ascii="Times New Roman" w:hAnsi="Times New Roman"/>
          <w:sz w:val="24"/>
        </w:rPr>
        <w:t xml:space="preserve"> [1998] 3 NZLR 190 at 199.</w:t>
      </w:r>
    </w:p>
  </w:footnote>
  <w:footnote w:id="51">
    <w:p w14:paraId="456BE26B" w14:textId="77777777"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Judiciary Act 1903</w:t>
      </w:r>
      <w:r w:rsidRPr="00B14447">
        <w:rPr>
          <w:rFonts w:ascii="Times New Roman" w:hAnsi="Times New Roman"/>
          <w:sz w:val="24"/>
        </w:rPr>
        <w:t xml:space="preserve"> (Cth), s 35A.</w:t>
      </w:r>
    </w:p>
  </w:footnote>
  <w:footnote w:id="52">
    <w:p w14:paraId="2C741327" w14:textId="4CC85B55" w:rsidR="00C55924" w:rsidRPr="00B14447" w:rsidRDefault="00C55924" w:rsidP="00B14447">
      <w:pPr>
        <w:pStyle w:val="FootnoteText"/>
        <w:spacing w:line="280" w:lineRule="exact"/>
        <w:ind w:right="0"/>
        <w:jc w:val="both"/>
        <w:rPr>
          <w:rFonts w:ascii="Times New Roman" w:hAnsi="Times New Roman"/>
          <w:i/>
          <w:iCs/>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HL</w:t>
      </w:r>
      <w:r w:rsidR="00971F83" w:rsidRPr="00B14447">
        <w:rPr>
          <w:rFonts w:ascii="Times New Roman" w:hAnsi="Times New Roman"/>
          <w:i/>
          <w:iCs/>
          <w:sz w:val="24"/>
        </w:rPr>
        <w:t xml:space="preserve"> v Canada</w:t>
      </w:r>
      <w:r w:rsidR="00EF2B90" w:rsidRPr="00B14447">
        <w:rPr>
          <w:rFonts w:ascii="Times New Roman" w:hAnsi="Times New Roman"/>
          <w:i/>
          <w:iCs/>
          <w:sz w:val="24"/>
        </w:rPr>
        <w:t xml:space="preserve"> (Attorney</w:t>
      </w:r>
      <w:r w:rsidR="00277609" w:rsidRPr="00B14447">
        <w:rPr>
          <w:rFonts w:ascii="Times New Roman" w:hAnsi="Times New Roman"/>
          <w:i/>
          <w:iCs/>
          <w:sz w:val="24"/>
        </w:rPr>
        <w:t xml:space="preserve"> </w:t>
      </w:r>
      <w:r w:rsidR="00EF2B90" w:rsidRPr="00B14447">
        <w:rPr>
          <w:rFonts w:ascii="Times New Roman" w:hAnsi="Times New Roman"/>
          <w:i/>
          <w:iCs/>
          <w:sz w:val="24"/>
        </w:rPr>
        <w:t>General)</w:t>
      </w:r>
      <w:r w:rsidRPr="00B14447">
        <w:rPr>
          <w:rFonts w:ascii="Times New Roman" w:hAnsi="Times New Roman"/>
          <w:sz w:val="24"/>
        </w:rPr>
        <w:t xml:space="preserve"> </w:t>
      </w:r>
      <w:r w:rsidR="00277609" w:rsidRPr="00B14447">
        <w:rPr>
          <w:rFonts w:ascii="Times New Roman" w:hAnsi="Times New Roman"/>
          <w:sz w:val="24"/>
        </w:rPr>
        <w:t>[</w:t>
      </w:r>
      <w:r w:rsidR="00971F83" w:rsidRPr="00B14447">
        <w:rPr>
          <w:rFonts w:ascii="Times New Roman" w:hAnsi="Times New Roman"/>
          <w:sz w:val="24"/>
        </w:rPr>
        <w:t>2005</w:t>
      </w:r>
      <w:r w:rsidR="00277609" w:rsidRPr="00B14447">
        <w:rPr>
          <w:rFonts w:ascii="Times New Roman" w:hAnsi="Times New Roman"/>
          <w:sz w:val="24"/>
        </w:rPr>
        <w:t>]</w:t>
      </w:r>
      <w:r w:rsidR="00971F83" w:rsidRPr="00B14447">
        <w:rPr>
          <w:rFonts w:ascii="Times New Roman" w:hAnsi="Times New Roman"/>
          <w:sz w:val="24"/>
        </w:rPr>
        <w:t xml:space="preserve"> 1 SCR 401 </w:t>
      </w:r>
      <w:r w:rsidRPr="00B14447">
        <w:rPr>
          <w:rFonts w:ascii="Times New Roman" w:hAnsi="Times New Roman"/>
          <w:sz w:val="24"/>
        </w:rPr>
        <w:t>at 42</w:t>
      </w:r>
      <w:r w:rsidR="00277609" w:rsidRPr="00B14447">
        <w:rPr>
          <w:rFonts w:ascii="Times New Roman" w:hAnsi="Times New Roman"/>
          <w:sz w:val="24"/>
        </w:rPr>
        <w:t>4-427</w:t>
      </w:r>
      <w:r w:rsidRPr="00B14447">
        <w:rPr>
          <w:rFonts w:ascii="Times New Roman" w:hAnsi="Times New Roman"/>
          <w:sz w:val="24"/>
        </w:rPr>
        <w:t xml:space="preserve"> [62]</w:t>
      </w:r>
      <w:r w:rsidR="00277609" w:rsidRPr="00B14447">
        <w:rPr>
          <w:rFonts w:ascii="Times New Roman" w:hAnsi="Times New Roman"/>
          <w:sz w:val="24"/>
        </w:rPr>
        <w:t>-[76]</w:t>
      </w:r>
      <w:r w:rsidR="00B90464" w:rsidRPr="00B14447">
        <w:rPr>
          <w:rFonts w:ascii="Times New Roman" w:hAnsi="Times New Roman"/>
          <w:sz w:val="24"/>
        </w:rPr>
        <w:t xml:space="preserve"> and the </w:t>
      </w:r>
      <w:r w:rsidR="00DF76E4" w:rsidRPr="00B14447">
        <w:rPr>
          <w:rFonts w:ascii="Times New Roman" w:hAnsi="Times New Roman"/>
          <w:sz w:val="24"/>
        </w:rPr>
        <w:t xml:space="preserve">authorities </w:t>
      </w:r>
      <w:r w:rsidR="00B90464" w:rsidRPr="00B14447">
        <w:rPr>
          <w:rFonts w:ascii="Times New Roman" w:hAnsi="Times New Roman"/>
          <w:sz w:val="24"/>
        </w:rPr>
        <w:t xml:space="preserve">cited. See also </w:t>
      </w:r>
      <w:r w:rsidR="00B90464" w:rsidRPr="00B14447">
        <w:rPr>
          <w:rFonts w:ascii="Times New Roman" w:hAnsi="Times New Roman"/>
          <w:i/>
          <w:iCs/>
          <w:sz w:val="24"/>
        </w:rPr>
        <w:t xml:space="preserve">Quebec (Director of Criminal and Penal Prosecutions) v Jodoin </w:t>
      </w:r>
      <w:r w:rsidR="00EE11C1" w:rsidRPr="00B14447">
        <w:rPr>
          <w:rFonts w:ascii="Times New Roman" w:hAnsi="Times New Roman"/>
          <w:sz w:val="24"/>
        </w:rPr>
        <w:t>[</w:t>
      </w:r>
      <w:r w:rsidR="00B90464" w:rsidRPr="00B14447">
        <w:rPr>
          <w:rFonts w:ascii="Times New Roman" w:hAnsi="Times New Roman"/>
          <w:sz w:val="24"/>
        </w:rPr>
        <w:t>2017</w:t>
      </w:r>
      <w:r w:rsidR="00EE11C1" w:rsidRPr="00B14447">
        <w:rPr>
          <w:rFonts w:ascii="Times New Roman" w:hAnsi="Times New Roman"/>
          <w:sz w:val="24"/>
        </w:rPr>
        <w:t>]</w:t>
      </w:r>
      <w:r w:rsidR="00B90464" w:rsidRPr="00B14447">
        <w:rPr>
          <w:rFonts w:ascii="Times New Roman" w:hAnsi="Times New Roman"/>
          <w:sz w:val="24"/>
        </w:rPr>
        <w:t xml:space="preserve"> 1 SCR 478 at </w:t>
      </w:r>
      <w:r w:rsidR="000027CE" w:rsidRPr="00B14447">
        <w:rPr>
          <w:rFonts w:ascii="Times New Roman" w:hAnsi="Times New Roman"/>
          <w:sz w:val="24"/>
        </w:rPr>
        <w:t xml:space="preserve">501 </w:t>
      </w:r>
      <w:r w:rsidR="00B90464" w:rsidRPr="00B14447">
        <w:rPr>
          <w:rFonts w:ascii="Times New Roman" w:hAnsi="Times New Roman"/>
          <w:sz w:val="24"/>
        </w:rPr>
        <w:t>[51].</w:t>
      </w:r>
    </w:p>
  </w:footnote>
  <w:footnote w:id="53">
    <w:p w14:paraId="70913CDE" w14:textId="79B64A9F" w:rsidR="00707B9E" w:rsidRPr="00B14447" w:rsidRDefault="00707B9E"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F76E4" w:rsidRPr="00B14447">
        <w:rPr>
          <w:rFonts w:ascii="Times New Roman" w:hAnsi="Times New Roman"/>
          <w:i/>
          <w:iCs/>
          <w:sz w:val="24"/>
        </w:rPr>
        <w:t>Quebec (Director of Criminal and Penal Prosecutions) v</w:t>
      </w:r>
      <w:r w:rsidR="00434BAF" w:rsidRPr="00B14447">
        <w:rPr>
          <w:rFonts w:ascii="Times New Roman" w:hAnsi="Times New Roman"/>
          <w:i/>
          <w:iCs/>
          <w:sz w:val="24"/>
        </w:rPr>
        <w:t xml:space="preserve"> Jodoin </w:t>
      </w:r>
      <w:r w:rsidR="00DF76E4" w:rsidRPr="00B14447">
        <w:rPr>
          <w:rFonts w:ascii="Times New Roman" w:hAnsi="Times New Roman"/>
          <w:sz w:val="24"/>
        </w:rPr>
        <w:t>[</w:t>
      </w:r>
      <w:r w:rsidR="00434BAF" w:rsidRPr="00B14447">
        <w:rPr>
          <w:rFonts w:ascii="Times New Roman" w:hAnsi="Times New Roman"/>
          <w:sz w:val="24"/>
        </w:rPr>
        <w:t>2017</w:t>
      </w:r>
      <w:r w:rsidR="00DF76E4" w:rsidRPr="00B14447">
        <w:rPr>
          <w:rFonts w:ascii="Times New Roman" w:hAnsi="Times New Roman"/>
          <w:sz w:val="24"/>
        </w:rPr>
        <w:t>]</w:t>
      </w:r>
      <w:r w:rsidR="00434BAF" w:rsidRPr="00B14447">
        <w:rPr>
          <w:rFonts w:ascii="Times New Roman" w:hAnsi="Times New Roman"/>
          <w:sz w:val="24"/>
        </w:rPr>
        <w:t xml:space="preserve"> 1 SCR 478 at </w:t>
      </w:r>
      <w:r w:rsidR="000027CE" w:rsidRPr="00B14447">
        <w:rPr>
          <w:rFonts w:ascii="Times New Roman" w:hAnsi="Times New Roman"/>
          <w:sz w:val="24"/>
        </w:rPr>
        <w:t xml:space="preserve">501 </w:t>
      </w:r>
      <w:r w:rsidR="00434BAF" w:rsidRPr="00B14447">
        <w:rPr>
          <w:rFonts w:ascii="Times New Roman" w:hAnsi="Times New Roman"/>
          <w:sz w:val="24"/>
        </w:rPr>
        <w:t>[51]</w:t>
      </w:r>
      <w:r w:rsidR="00593868" w:rsidRPr="00B14447">
        <w:rPr>
          <w:rFonts w:ascii="Times New Roman" w:hAnsi="Times New Roman"/>
          <w:sz w:val="24"/>
        </w:rPr>
        <w:t>.</w:t>
      </w:r>
      <w:r w:rsidR="001B165F" w:rsidRPr="00B14447">
        <w:rPr>
          <w:rFonts w:ascii="Times New Roman" w:hAnsi="Times New Roman"/>
          <w:sz w:val="24"/>
        </w:rPr>
        <w:t xml:space="preserve"> </w:t>
      </w:r>
    </w:p>
  </w:footnote>
  <w:footnote w:id="54">
    <w:p w14:paraId="28F76890" w14:textId="265D0168" w:rsidR="00406987" w:rsidRPr="00B14447" w:rsidRDefault="00406987"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DF76E4" w:rsidRPr="00B14447">
        <w:rPr>
          <w:rFonts w:ascii="Times New Roman" w:hAnsi="Times New Roman"/>
          <w:i/>
          <w:iCs/>
          <w:sz w:val="24"/>
        </w:rPr>
        <w:t>Quebec (Director of Criminal and Penal Prosecutions) v</w:t>
      </w:r>
      <w:r w:rsidRPr="00B14447">
        <w:rPr>
          <w:rFonts w:ascii="Times New Roman" w:hAnsi="Times New Roman"/>
          <w:i/>
          <w:iCs/>
          <w:sz w:val="24"/>
        </w:rPr>
        <w:t xml:space="preserve"> Jodoin </w:t>
      </w:r>
      <w:r w:rsidR="00DF76E4" w:rsidRPr="00B14447">
        <w:rPr>
          <w:rFonts w:ascii="Times New Roman" w:hAnsi="Times New Roman"/>
          <w:sz w:val="24"/>
        </w:rPr>
        <w:t>[</w:t>
      </w:r>
      <w:r w:rsidRPr="00B14447">
        <w:rPr>
          <w:rFonts w:ascii="Times New Roman" w:hAnsi="Times New Roman"/>
          <w:sz w:val="24"/>
        </w:rPr>
        <w:t>2017</w:t>
      </w:r>
      <w:r w:rsidR="00DF76E4" w:rsidRPr="00B14447">
        <w:rPr>
          <w:rFonts w:ascii="Times New Roman" w:hAnsi="Times New Roman"/>
          <w:sz w:val="24"/>
        </w:rPr>
        <w:t>]</w:t>
      </w:r>
      <w:r w:rsidRPr="00B14447">
        <w:rPr>
          <w:rFonts w:ascii="Times New Roman" w:hAnsi="Times New Roman"/>
          <w:sz w:val="24"/>
        </w:rPr>
        <w:t xml:space="preserve"> 1 SCR 478 at </w:t>
      </w:r>
      <w:r w:rsidR="00AF7485" w:rsidRPr="00B14447">
        <w:rPr>
          <w:rFonts w:ascii="Times New Roman" w:hAnsi="Times New Roman"/>
          <w:sz w:val="24"/>
        </w:rPr>
        <w:t xml:space="preserve">501 </w:t>
      </w:r>
      <w:r w:rsidRPr="00B14447">
        <w:rPr>
          <w:rFonts w:ascii="Times New Roman" w:hAnsi="Times New Roman"/>
          <w:sz w:val="24"/>
        </w:rPr>
        <w:t>[51]</w:t>
      </w:r>
      <w:r w:rsidR="00DF76E4" w:rsidRPr="00B14447">
        <w:rPr>
          <w:rFonts w:ascii="Times New Roman" w:hAnsi="Times New Roman"/>
          <w:sz w:val="24"/>
        </w:rPr>
        <w:t xml:space="preserve"> (emphasis added)</w:t>
      </w:r>
      <w:r w:rsidR="00EB6139" w:rsidRPr="00B14447">
        <w:rPr>
          <w:rFonts w:ascii="Times New Roman" w:hAnsi="Times New Roman"/>
          <w:sz w:val="24"/>
        </w:rPr>
        <w:t>,</w:t>
      </w:r>
      <w:r w:rsidRPr="00B14447">
        <w:rPr>
          <w:rFonts w:ascii="Times New Roman" w:hAnsi="Times New Roman"/>
          <w:sz w:val="24"/>
        </w:rPr>
        <w:t xml:space="preserve"> quoting </w:t>
      </w:r>
      <w:r w:rsidRPr="00B14447">
        <w:rPr>
          <w:rFonts w:ascii="Times New Roman" w:hAnsi="Times New Roman"/>
          <w:i/>
          <w:iCs/>
          <w:sz w:val="24"/>
        </w:rPr>
        <w:t>St</w:t>
      </w:r>
      <w:r w:rsidRPr="00B14447">
        <w:rPr>
          <w:rFonts w:ascii="Times New Roman" w:hAnsi="Times New Roman"/>
          <w:i/>
          <w:iCs/>
          <w:sz w:val="24"/>
        </w:rPr>
        <w:noBreakHyphen/>
        <w:t xml:space="preserve">Jean v Mercier </w:t>
      </w:r>
      <w:r w:rsidRPr="00B14447">
        <w:rPr>
          <w:rFonts w:ascii="Times New Roman" w:hAnsi="Times New Roman"/>
          <w:sz w:val="24"/>
        </w:rPr>
        <w:t>[2002] 1 SCR 491 at</w:t>
      </w:r>
      <w:r w:rsidR="00EB6139" w:rsidRPr="00B14447">
        <w:rPr>
          <w:rFonts w:ascii="Times New Roman" w:hAnsi="Times New Roman"/>
          <w:sz w:val="24"/>
        </w:rPr>
        <w:t xml:space="preserve"> 509</w:t>
      </w:r>
      <w:r w:rsidRPr="00B14447">
        <w:rPr>
          <w:rFonts w:ascii="Times New Roman" w:hAnsi="Times New Roman"/>
          <w:sz w:val="24"/>
        </w:rPr>
        <w:t xml:space="preserve"> [45], which, in turn, quotes </w:t>
      </w:r>
      <w:r w:rsidRPr="00B14447">
        <w:rPr>
          <w:rFonts w:ascii="Times New Roman" w:hAnsi="Times New Roman"/>
          <w:i/>
          <w:iCs/>
          <w:sz w:val="24"/>
        </w:rPr>
        <w:t>Ontario (Attorney</w:t>
      </w:r>
      <w:r w:rsidR="00EB6139" w:rsidRPr="00B14447">
        <w:rPr>
          <w:rFonts w:ascii="Times New Roman" w:hAnsi="Times New Roman"/>
          <w:i/>
          <w:iCs/>
          <w:sz w:val="24"/>
        </w:rPr>
        <w:t xml:space="preserve"> </w:t>
      </w:r>
      <w:r w:rsidRPr="00B14447">
        <w:rPr>
          <w:rFonts w:ascii="Times New Roman" w:hAnsi="Times New Roman"/>
          <w:i/>
          <w:iCs/>
          <w:sz w:val="24"/>
        </w:rPr>
        <w:t>General) v Bear Island Foundation</w:t>
      </w:r>
      <w:r w:rsidRPr="00B14447">
        <w:rPr>
          <w:rFonts w:ascii="Times New Roman" w:hAnsi="Times New Roman"/>
          <w:sz w:val="24"/>
        </w:rPr>
        <w:t xml:space="preserve"> [1991] 2 SCR 570 at 574.</w:t>
      </w:r>
    </w:p>
  </w:footnote>
  <w:footnote w:id="55">
    <w:p w14:paraId="4403003E" w14:textId="2DF658AE" w:rsidR="00301F0A" w:rsidRPr="00B14447" w:rsidRDefault="00301F0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EB6139" w:rsidRPr="00B14447">
        <w:rPr>
          <w:rFonts w:ascii="Times New Roman" w:hAnsi="Times New Roman"/>
          <w:i/>
          <w:iCs/>
          <w:sz w:val="24"/>
        </w:rPr>
        <w:t>Quebec (Director of Criminal and Penal Prosecutions) v</w:t>
      </w:r>
      <w:r w:rsidRPr="00B14447">
        <w:rPr>
          <w:rFonts w:ascii="Times New Roman" w:hAnsi="Times New Roman"/>
          <w:i/>
          <w:iCs/>
          <w:sz w:val="24"/>
        </w:rPr>
        <w:t xml:space="preserve"> Jodoin </w:t>
      </w:r>
      <w:r w:rsidR="00EB6139" w:rsidRPr="00B14447">
        <w:rPr>
          <w:rFonts w:ascii="Times New Roman" w:hAnsi="Times New Roman"/>
          <w:sz w:val="24"/>
        </w:rPr>
        <w:t>[</w:t>
      </w:r>
      <w:r w:rsidRPr="00B14447">
        <w:rPr>
          <w:rFonts w:ascii="Times New Roman" w:hAnsi="Times New Roman"/>
          <w:sz w:val="24"/>
        </w:rPr>
        <w:t>2017</w:t>
      </w:r>
      <w:r w:rsidR="00EB6139" w:rsidRPr="00B14447">
        <w:rPr>
          <w:rFonts w:ascii="Times New Roman" w:hAnsi="Times New Roman"/>
          <w:sz w:val="24"/>
        </w:rPr>
        <w:t>]</w:t>
      </w:r>
      <w:r w:rsidRPr="00B14447">
        <w:rPr>
          <w:rFonts w:ascii="Times New Roman" w:hAnsi="Times New Roman"/>
          <w:sz w:val="24"/>
        </w:rPr>
        <w:t xml:space="preserve"> 1 SCR 478 at </w:t>
      </w:r>
      <w:r w:rsidR="0034614D" w:rsidRPr="00B14447">
        <w:rPr>
          <w:rFonts w:ascii="Times New Roman" w:hAnsi="Times New Roman"/>
          <w:sz w:val="24"/>
        </w:rPr>
        <w:t xml:space="preserve">501 </w:t>
      </w:r>
      <w:r w:rsidRPr="00B14447">
        <w:rPr>
          <w:rFonts w:ascii="Times New Roman" w:hAnsi="Times New Roman"/>
          <w:sz w:val="24"/>
        </w:rPr>
        <w:t>[51]</w:t>
      </w:r>
      <w:r w:rsidR="0077758B" w:rsidRPr="00B14447">
        <w:rPr>
          <w:rFonts w:ascii="Times New Roman" w:hAnsi="Times New Roman"/>
          <w:sz w:val="24"/>
        </w:rPr>
        <w:t xml:space="preserve"> (emphasis added)</w:t>
      </w:r>
      <w:r w:rsidR="00416A8C" w:rsidRPr="00B14447">
        <w:rPr>
          <w:rFonts w:ascii="Times New Roman" w:hAnsi="Times New Roman"/>
          <w:sz w:val="24"/>
        </w:rPr>
        <w:t xml:space="preserve">; </w:t>
      </w:r>
      <w:r w:rsidR="00D371CC" w:rsidRPr="00B14447">
        <w:rPr>
          <w:rFonts w:ascii="Times New Roman" w:hAnsi="Times New Roman"/>
          <w:i/>
          <w:iCs/>
          <w:sz w:val="24"/>
        </w:rPr>
        <w:t>HL</w:t>
      </w:r>
      <w:r w:rsidR="0077758B" w:rsidRPr="00B14447">
        <w:rPr>
          <w:rFonts w:ascii="Times New Roman" w:hAnsi="Times New Roman"/>
          <w:i/>
          <w:iCs/>
          <w:sz w:val="24"/>
        </w:rPr>
        <w:t xml:space="preserve"> v Canada (Attorney General)</w:t>
      </w:r>
      <w:r w:rsidR="00D371CC" w:rsidRPr="00B14447">
        <w:rPr>
          <w:rFonts w:ascii="Times New Roman" w:hAnsi="Times New Roman"/>
          <w:i/>
          <w:iCs/>
          <w:sz w:val="24"/>
        </w:rPr>
        <w:t xml:space="preserve"> </w:t>
      </w:r>
      <w:r w:rsidR="0077758B" w:rsidRPr="00B14447">
        <w:rPr>
          <w:rFonts w:ascii="Times New Roman" w:hAnsi="Times New Roman"/>
          <w:sz w:val="24"/>
        </w:rPr>
        <w:t>[</w:t>
      </w:r>
      <w:r w:rsidR="00D371CC" w:rsidRPr="00B14447">
        <w:rPr>
          <w:rFonts w:ascii="Times New Roman" w:hAnsi="Times New Roman"/>
          <w:sz w:val="24"/>
        </w:rPr>
        <w:t>2005</w:t>
      </w:r>
      <w:r w:rsidR="0077758B" w:rsidRPr="00B14447">
        <w:rPr>
          <w:rFonts w:ascii="Times New Roman" w:hAnsi="Times New Roman"/>
          <w:sz w:val="24"/>
        </w:rPr>
        <w:t>]</w:t>
      </w:r>
      <w:r w:rsidR="00D371CC" w:rsidRPr="00B14447">
        <w:rPr>
          <w:rFonts w:ascii="Times New Roman" w:hAnsi="Times New Roman"/>
          <w:sz w:val="24"/>
        </w:rPr>
        <w:t xml:space="preserve"> 1 SCR </w:t>
      </w:r>
      <w:r w:rsidR="0034614D" w:rsidRPr="00B14447">
        <w:rPr>
          <w:rFonts w:ascii="Times New Roman" w:hAnsi="Times New Roman"/>
          <w:sz w:val="24"/>
        </w:rPr>
        <w:t xml:space="preserve">401 </w:t>
      </w:r>
      <w:r w:rsidR="00D371CC" w:rsidRPr="00B14447">
        <w:rPr>
          <w:rFonts w:ascii="Times New Roman" w:hAnsi="Times New Roman"/>
          <w:sz w:val="24"/>
        </w:rPr>
        <w:t xml:space="preserve">at </w:t>
      </w:r>
      <w:r w:rsidR="0034614D" w:rsidRPr="00B14447">
        <w:rPr>
          <w:rFonts w:ascii="Times New Roman" w:hAnsi="Times New Roman"/>
          <w:sz w:val="24"/>
        </w:rPr>
        <w:t>410</w:t>
      </w:r>
      <w:r w:rsidR="00F120D3" w:rsidRPr="00B14447">
        <w:rPr>
          <w:rFonts w:ascii="Times New Roman" w:hAnsi="Times New Roman"/>
          <w:sz w:val="24"/>
        </w:rPr>
        <w:t xml:space="preserve"> [4]</w:t>
      </w:r>
      <w:r w:rsidRPr="00B14447">
        <w:rPr>
          <w:rFonts w:ascii="Times New Roman" w:hAnsi="Times New Roman"/>
          <w:sz w:val="24"/>
        </w:rPr>
        <w:t>.</w:t>
      </w:r>
      <w:r w:rsidR="00DA0DAB" w:rsidRPr="00B14447">
        <w:rPr>
          <w:rFonts w:ascii="Times New Roman" w:hAnsi="Times New Roman"/>
          <w:sz w:val="24"/>
        </w:rPr>
        <w:t xml:space="preserve"> </w:t>
      </w:r>
    </w:p>
  </w:footnote>
  <w:footnote w:id="56">
    <w:p w14:paraId="2052D595" w14:textId="3D64AA5D" w:rsidR="00142CF6" w:rsidRPr="00B14447" w:rsidRDefault="00142CF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HL </w:t>
      </w:r>
      <w:r w:rsidR="00F120D3" w:rsidRPr="00B14447">
        <w:rPr>
          <w:rFonts w:ascii="Times New Roman" w:hAnsi="Times New Roman"/>
          <w:i/>
          <w:iCs/>
          <w:sz w:val="24"/>
        </w:rPr>
        <w:t>v Canada (Attorney General)</w:t>
      </w:r>
      <w:r w:rsidR="00F120D3" w:rsidRPr="00B14447">
        <w:rPr>
          <w:rFonts w:ascii="Times New Roman" w:hAnsi="Times New Roman"/>
          <w:sz w:val="24"/>
        </w:rPr>
        <w:t xml:space="preserve"> [</w:t>
      </w:r>
      <w:r w:rsidR="00437678" w:rsidRPr="00B14447">
        <w:rPr>
          <w:rFonts w:ascii="Times New Roman" w:hAnsi="Times New Roman"/>
          <w:sz w:val="24"/>
        </w:rPr>
        <w:t>2005</w:t>
      </w:r>
      <w:r w:rsidR="00F120D3" w:rsidRPr="00B14447">
        <w:rPr>
          <w:rFonts w:ascii="Times New Roman" w:hAnsi="Times New Roman"/>
          <w:sz w:val="24"/>
        </w:rPr>
        <w:t>]</w:t>
      </w:r>
      <w:r w:rsidR="00437678" w:rsidRPr="00B14447">
        <w:rPr>
          <w:rFonts w:ascii="Times New Roman" w:hAnsi="Times New Roman"/>
          <w:sz w:val="24"/>
        </w:rPr>
        <w:t xml:space="preserve"> 1 SCR 401 </w:t>
      </w:r>
      <w:r w:rsidRPr="00B14447">
        <w:rPr>
          <w:rFonts w:ascii="Times New Roman" w:hAnsi="Times New Roman"/>
          <w:sz w:val="24"/>
        </w:rPr>
        <w:t>at 421</w:t>
      </w:r>
      <w:r w:rsidR="00F120D3" w:rsidRPr="00B14447">
        <w:rPr>
          <w:rFonts w:ascii="Times New Roman" w:hAnsi="Times New Roman"/>
          <w:sz w:val="24"/>
        </w:rPr>
        <w:t xml:space="preserve"> [55]</w:t>
      </w:r>
      <w:r w:rsidRPr="00B14447">
        <w:rPr>
          <w:rFonts w:ascii="Times New Roman" w:hAnsi="Times New Roman"/>
          <w:sz w:val="24"/>
        </w:rPr>
        <w:t>.</w:t>
      </w:r>
      <w:r w:rsidR="00FD315B" w:rsidRPr="00B14447">
        <w:rPr>
          <w:rFonts w:ascii="Times New Roman" w:hAnsi="Times New Roman"/>
          <w:sz w:val="24"/>
        </w:rPr>
        <w:t xml:space="preserve"> The reference to the "generally applicable standard of appellate review" reflects the fact that in Canada the non-intervention principle applies to intermediate appellate courts: </w:t>
      </w:r>
      <w:r w:rsidR="00FD315B" w:rsidRPr="00B14447">
        <w:rPr>
          <w:rFonts w:ascii="Times New Roman" w:hAnsi="Times New Roman"/>
          <w:i/>
          <w:iCs/>
          <w:sz w:val="24"/>
        </w:rPr>
        <w:t xml:space="preserve">Quebec (Director of Criminal and Penal Prosecutions) v Jodoin </w:t>
      </w:r>
      <w:r w:rsidR="0006401F" w:rsidRPr="00B14447">
        <w:rPr>
          <w:rFonts w:ascii="Times New Roman" w:hAnsi="Times New Roman"/>
          <w:sz w:val="24"/>
        </w:rPr>
        <w:t>[</w:t>
      </w:r>
      <w:r w:rsidR="00FD315B" w:rsidRPr="00B14447">
        <w:rPr>
          <w:rFonts w:ascii="Times New Roman" w:hAnsi="Times New Roman"/>
          <w:sz w:val="24"/>
        </w:rPr>
        <w:t>2017</w:t>
      </w:r>
      <w:r w:rsidR="0006401F" w:rsidRPr="00B14447">
        <w:rPr>
          <w:rFonts w:ascii="Times New Roman" w:hAnsi="Times New Roman"/>
          <w:sz w:val="24"/>
        </w:rPr>
        <w:t>]</w:t>
      </w:r>
      <w:r w:rsidR="00EE11C1" w:rsidRPr="00B14447">
        <w:rPr>
          <w:rFonts w:ascii="Times New Roman" w:hAnsi="Times New Roman"/>
          <w:sz w:val="24"/>
        </w:rPr>
        <w:t xml:space="preserve"> </w:t>
      </w:r>
      <w:r w:rsidR="00FD315B" w:rsidRPr="00B14447">
        <w:rPr>
          <w:rFonts w:ascii="Times New Roman" w:hAnsi="Times New Roman"/>
          <w:sz w:val="24"/>
        </w:rPr>
        <w:t xml:space="preserve">1 SCR 478 at </w:t>
      </w:r>
      <w:r w:rsidR="00437678" w:rsidRPr="00B14447">
        <w:rPr>
          <w:rFonts w:ascii="Times New Roman" w:hAnsi="Times New Roman"/>
          <w:sz w:val="24"/>
        </w:rPr>
        <w:t xml:space="preserve">501 </w:t>
      </w:r>
      <w:r w:rsidR="00FD315B" w:rsidRPr="00B14447">
        <w:rPr>
          <w:rFonts w:ascii="Times New Roman" w:hAnsi="Times New Roman"/>
          <w:sz w:val="24"/>
        </w:rPr>
        <w:t>[51].</w:t>
      </w:r>
    </w:p>
  </w:footnote>
  <w:footnote w:id="57">
    <w:p w14:paraId="29E87494" w14:textId="26DFAFB2" w:rsidR="004D7929" w:rsidRPr="00B14447" w:rsidRDefault="004D792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2D3D76" w:rsidRPr="00B14447">
        <w:rPr>
          <w:rFonts w:ascii="Times New Roman" w:hAnsi="Times New Roman"/>
          <w:sz w:val="24"/>
        </w:rPr>
        <w:t xml:space="preserve">See, eg, </w:t>
      </w:r>
      <w:r w:rsidR="002D3D76" w:rsidRPr="00B14447">
        <w:rPr>
          <w:rFonts w:ascii="Times New Roman" w:hAnsi="Times New Roman"/>
          <w:i/>
          <w:iCs/>
          <w:sz w:val="24"/>
        </w:rPr>
        <w:t>HL</w:t>
      </w:r>
      <w:r w:rsidR="001F18F7" w:rsidRPr="00B14447">
        <w:rPr>
          <w:rFonts w:ascii="Times New Roman" w:hAnsi="Times New Roman"/>
          <w:i/>
          <w:iCs/>
          <w:sz w:val="24"/>
        </w:rPr>
        <w:t xml:space="preserve"> v Canada (Attorney General)</w:t>
      </w:r>
      <w:r w:rsidR="002D3D76" w:rsidRPr="00B14447">
        <w:rPr>
          <w:rFonts w:ascii="Times New Roman" w:hAnsi="Times New Roman"/>
          <w:sz w:val="24"/>
        </w:rPr>
        <w:t xml:space="preserve"> </w:t>
      </w:r>
      <w:r w:rsidR="001F18F7" w:rsidRPr="00B14447">
        <w:rPr>
          <w:rFonts w:ascii="Times New Roman" w:hAnsi="Times New Roman"/>
          <w:sz w:val="24"/>
        </w:rPr>
        <w:t>[</w:t>
      </w:r>
      <w:r w:rsidR="00CA3577" w:rsidRPr="00B14447">
        <w:rPr>
          <w:rFonts w:ascii="Times New Roman" w:hAnsi="Times New Roman"/>
          <w:sz w:val="24"/>
        </w:rPr>
        <w:t>2005</w:t>
      </w:r>
      <w:r w:rsidR="001F18F7" w:rsidRPr="00B14447">
        <w:rPr>
          <w:rFonts w:ascii="Times New Roman" w:hAnsi="Times New Roman"/>
          <w:sz w:val="24"/>
        </w:rPr>
        <w:t>]</w:t>
      </w:r>
      <w:r w:rsidR="00CA3577" w:rsidRPr="00B14447">
        <w:rPr>
          <w:rFonts w:ascii="Times New Roman" w:hAnsi="Times New Roman"/>
          <w:sz w:val="24"/>
        </w:rPr>
        <w:t xml:space="preserve"> 1 SCR 401 </w:t>
      </w:r>
      <w:r w:rsidR="002D3D76" w:rsidRPr="00B14447">
        <w:rPr>
          <w:rFonts w:ascii="Times New Roman" w:hAnsi="Times New Roman"/>
          <w:sz w:val="24"/>
        </w:rPr>
        <w:t xml:space="preserve">at </w:t>
      </w:r>
      <w:r w:rsidR="00312320" w:rsidRPr="00B14447">
        <w:rPr>
          <w:rFonts w:ascii="Times New Roman" w:hAnsi="Times New Roman"/>
          <w:sz w:val="24"/>
        </w:rPr>
        <w:t>421</w:t>
      </w:r>
      <w:r w:rsidR="00DB7FC4" w:rsidRPr="00B14447">
        <w:rPr>
          <w:rFonts w:ascii="Times New Roman" w:hAnsi="Times New Roman"/>
          <w:sz w:val="24"/>
        </w:rPr>
        <w:t xml:space="preserve"> [5</w:t>
      </w:r>
      <w:r w:rsidR="00CA41B9" w:rsidRPr="00B14447">
        <w:rPr>
          <w:rFonts w:ascii="Times New Roman" w:hAnsi="Times New Roman"/>
          <w:sz w:val="24"/>
        </w:rPr>
        <w:t>5</w:t>
      </w:r>
      <w:r w:rsidR="00DB7FC4" w:rsidRPr="00B14447">
        <w:rPr>
          <w:rFonts w:ascii="Times New Roman" w:hAnsi="Times New Roman"/>
          <w:sz w:val="24"/>
        </w:rPr>
        <w:t>]</w:t>
      </w:r>
      <w:r w:rsidR="00312320" w:rsidRPr="00B14447">
        <w:rPr>
          <w:rFonts w:ascii="Times New Roman" w:hAnsi="Times New Roman"/>
          <w:sz w:val="24"/>
        </w:rPr>
        <w:t xml:space="preserve">, quoting </w:t>
      </w:r>
      <w:r w:rsidRPr="00B14447">
        <w:rPr>
          <w:rFonts w:ascii="Times New Roman" w:hAnsi="Times New Roman"/>
          <w:i/>
          <w:iCs/>
          <w:sz w:val="24"/>
        </w:rPr>
        <w:t>Housen</w:t>
      </w:r>
      <w:r w:rsidR="00CA3577" w:rsidRPr="00B14447">
        <w:rPr>
          <w:rFonts w:ascii="Times New Roman" w:hAnsi="Times New Roman"/>
          <w:i/>
          <w:iCs/>
          <w:sz w:val="24"/>
        </w:rPr>
        <w:t xml:space="preserve"> v Nikolaisen </w:t>
      </w:r>
      <w:r w:rsidR="00CA41B9" w:rsidRPr="00B14447">
        <w:rPr>
          <w:rFonts w:ascii="Times New Roman" w:hAnsi="Times New Roman"/>
          <w:sz w:val="24"/>
        </w:rPr>
        <w:t>[</w:t>
      </w:r>
      <w:r w:rsidR="00CA3577" w:rsidRPr="00B14447">
        <w:rPr>
          <w:rFonts w:ascii="Times New Roman" w:hAnsi="Times New Roman"/>
          <w:sz w:val="24"/>
        </w:rPr>
        <w:t>2002</w:t>
      </w:r>
      <w:r w:rsidR="00CA41B9" w:rsidRPr="00B14447">
        <w:rPr>
          <w:rFonts w:ascii="Times New Roman" w:hAnsi="Times New Roman"/>
          <w:sz w:val="24"/>
        </w:rPr>
        <w:t>]</w:t>
      </w:r>
      <w:r w:rsidR="00CA3577" w:rsidRPr="00B14447">
        <w:rPr>
          <w:rFonts w:ascii="Times New Roman" w:hAnsi="Times New Roman"/>
          <w:sz w:val="24"/>
        </w:rPr>
        <w:t xml:space="preserve"> 2 SCR 235</w:t>
      </w:r>
      <w:r w:rsidRPr="00B14447">
        <w:rPr>
          <w:rFonts w:ascii="Times New Roman" w:hAnsi="Times New Roman"/>
          <w:sz w:val="24"/>
        </w:rPr>
        <w:t xml:space="preserve"> at </w:t>
      </w:r>
      <w:r w:rsidR="00CA3577" w:rsidRPr="00B14447">
        <w:rPr>
          <w:rFonts w:ascii="Times New Roman" w:hAnsi="Times New Roman"/>
          <w:sz w:val="24"/>
        </w:rPr>
        <w:t xml:space="preserve">253 </w:t>
      </w:r>
      <w:r w:rsidRPr="00B14447">
        <w:rPr>
          <w:rFonts w:ascii="Times New Roman" w:hAnsi="Times New Roman"/>
          <w:sz w:val="24"/>
        </w:rPr>
        <w:t>[22]</w:t>
      </w:r>
      <w:r w:rsidR="00CA41B9" w:rsidRPr="00B14447">
        <w:rPr>
          <w:rFonts w:ascii="Times New Roman" w:hAnsi="Times New Roman"/>
          <w:sz w:val="24"/>
        </w:rPr>
        <w:t>,</w:t>
      </w:r>
      <w:r w:rsidR="002D3D76" w:rsidRPr="00B14447">
        <w:rPr>
          <w:rFonts w:ascii="Times New Roman" w:hAnsi="Times New Roman"/>
          <w:sz w:val="24"/>
        </w:rPr>
        <w:t xml:space="preserve"> </w:t>
      </w:r>
      <w:r w:rsidR="00CA3577" w:rsidRPr="00B14447">
        <w:rPr>
          <w:rFonts w:ascii="Times New Roman" w:hAnsi="Times New Roman"/>
          <w:sz w:val="24"/>
        </w:rPr>
        <w:t xml:space="preserve">296 </w:t>
      </w:r>
      <w:r w:rsidR="002D3D76" w:rsidRPr="00B14447">
        <w:rPr>
          <w:rFonts w:ascii="Times New Roman" w:hAnsi="Times New Roman"/>
          <w:sz w:val="24"/>
        </w:rPr>
        <w:t>[103]</w:t>
      </w:r>
      <w:r w:rsidRPr="00B14447">
        <w:rPr>
          <w:rFonts w:ascii="Times New Roman" w:hAnsi="Times New Roman"/>
          <w:sz w:val="24"/>
        </w:rPr>
        <w:t>.</w:t>
      </w:r>
    </w:p>
  </w:footnote>
  <w:footnote w:id="58">
    <w:p w14:paraId="422D1CF2" w14:textId="114FFA3F" w:rsidR="00301F0A" w:rsidRPr="00B14447" w:rsidRDefault="00301F0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ab/>
      </w:r>
      <w:r w:rsidR="003D656E" w:rsidRPr="00B14447">
        <w:rPr>
          <w:rFonts w:ascii="Times New Roman" w:hAnsi="Times New Roman"/>
          <w:i/>
          <w:iCs/>
          <w:sz w:val="24"/>
        </w:rPr>
        <w:t xml:space="preserve">Trans-Canada Shoe Ltd v Travelers Indemnity Co </w:t>
      </w:r>
      <w:r w:rsidR="003D656E" w:rsidRPr="00B14447">
        <w:rPr>
          <w:rFonts w:ascii="Times New Roman" w:hAnsi="Times New Roman"/>
          <w:sz w:val="24"/>
        </w:rPr>
        <w:t>[1976] 2 SCR 46 at 53-54</w:t>
      </w:r>
      <w:r w:rsidR="00B6551D" w:rsidRPr="00B14447">
        <w:rPr>
          <w:rFonts w:ascii="Times New Roman" w:hAnsi="Times New Roman"/>
          <w:sz w:val="24"/>
        </w:rPr>
        <w:t xml:space="preserve"> and the authorities cited. </w:t>
      </w:r>
    </w:p>
  </w:footnote>
  <w:footnote w:id="59">
    <w:p w14:paraId="57BC4242" w14:textId="645CA525" w:rsidR="00301F0A" w:rsidRPr="00B14447" w:rsidRDefault="00301F0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997023" w:rsidRPr="00B14447">
        <w:rPr>
          <w:rFonts w:ascii="Times New Roman" w:hAnsi="Times New Roman"/>
          <w:i/>
          <w:iCs/>
          <w:sz w:val="24"/>
        </w:rPr>
        <w:t xml:space="preserve">Trans-Canada </w:t>
      </w:r>
      <w:r w:rsidR="00CA41B9" w:rsidRPr="00B14447">
        <w:rPr>
          <w:rFonts w:ascii="Times New Roman" w:hAnsi="Times New Roman"/>
          <w:i/>
          <w:iCs/>
          <w:sz w:val="24"/>
        </w:rPr>
        <w:t xml:space="preserve">Shoe Ltd v Travelers Indemnity Co </w:t>
      </w:r>
      <w:r w:rsidR="00CA41B9" w:rsidRPr="00B14447">
        <w:rPr>
          <w:rFonts w:ascii="Times New Roman" w:hAnsi="Times New Roman"/>
          <w:sz w:val="24"/>
        </w:rPr>
        <w:t>[</w:t>
      </w:r>
      <w:r w:rsidRPr="00B14447">
        <w:rPr>
          <w:rFonts w:ascii="Times New Roman" w:hAnsi="Times New Roman"/>
          <w:sz w:val="24"/>
        </w:rPr>
        <w:t>1976] 2 SCR 46 at 53-54</w:t>
      </w:r>
      <w:r w:rsidR="003A7ADD" w:rsidRPr="00B14447">
        <w:rPr>
          <w:rFonts w:ascii="Times New Roman" w:hAnsi="Times New Roman"/>
          <w:sz w:val="24"/>
        </w:rPr>
        <w:t>,</w:t>
      </w:r>
      <w:r w:rsidR="00BF35D3" w:rsidRPr="00B14447">
        <w:rPr>
          <w:rFonts w:ascii="Times New Roman" w:hAnsi="Times New Roman"/>
          <w:sz w:val="24"/>
        </w:rPr>
        <w:t xml:space="preserve"> quoting </w:t>
      </w:r>
      <w:r w:rsidRPr="00B14447">
        <w:rPr>
          <w:rFonts w:ascii="Times New Roman" w:hAnsi="Times New Roman"/>
          <w:i/>
          <w:iCs/>
          <w:sz w:val="24"/>
        </w:rPr>
        <w:t>S</w:t>
      </w:r>
      <w:r w:rsidR="003A7ADD" w:rsidRPr="00B14447">
        <w:rPr>
          <w:rFonts w:ascii="Times New Roman" w:hAnsi="Times New Roman"/>
          <w:i/>
          <w:iCs/>
          <w:sz w:val="24"/>
        </w:rPr>
        <w:t>é</w:t>
      </w:r>
      <w:r w:rsidRPr="00B14447">
        <w:rPr>
          <w:rFonts w:ascii="Times New Roman" w:hAnsi="Times New Roman"/>
          <w:i/>
          <w:iCs/>
          <w:sz w:val="24"/>
        </w:rPr>
        <w:t>n</w:t>
      </w:r>
      <w:r w:rsidR="003A7ADD" w:rsidRPr="00B14447">
        <w:rPr>
          <w:rFonts w:ascii="Times New Roman" w:hAnsi="Times New Roman"/>
          <w:i/>
          <w:iCs/>
          <w:sz w:val="24"/>
        </w:rPr>
        <w:t>é</w:t>
      </w:r>
      <w:r w:rsidRPr="00B14447">
        <w:rPr>
          <w:rFonts w:ascii="Times New Roman" w:hAnsi="Times New Roman"/>
          <w:i/>
          <w:iCs/>
          <w:sz w:val="24"/>
        </w:rPr>
        <w:t>sac v The</w:t>
      </w:r>
      <w:r w:rsidR="00D05E34" w:rsidRPr="00B14447">
        <w:rPr>
          <w:rFonts w:ascii="Times New Roman" w:hAnsi="Times New Roman"/>
          <w:i/>
          <w:iCs/>
          <w:sz w:val="24"/>
        </w:rPr>
        <w:t> </w:t>
      </w:r>
      <w:r w:rsidRPr="00B14447">
        <w:rPr>
          <w:rFonts w:ascii="Times New Roman" w:hAnsi="Times New Roman"/>
          <w:i/>
          <w:iCs/>
          <w:sz w:val="24"/>
        </w:rPr>
        <w:t xml:space="preserve">Central Vermont Railway Co </w:t>
      </w:r>
      <w:r w:rsidRPr="00B14447">
        <w:rPr>
          <w:rFonts w:ascii="Times New Roman" w:hAnsi="Times New Roman"/>
          <w:sz w:val="24"/>
        </w:rPr>
        <w:t>(1896) 26 SCR 641 at 646.</w:t>
      </w:r>
    </w:p>
  </w:footnote>
  <w:footnote w:id="60">
    <w:p w14:paraId="684238DC" w14:textId="513871B4" w:rsidR="000A7B70" w:rsidRPr="00B14447" w:rsidRDefault="000A7B7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Trans-Canada</w:t>
      </w:r>
      <w:r w:rsidR="003A7ADD" w:rsidRPr="00B14447">
        <w:rPr>
          <w:rFonts w:ascii="Times New Roman" w:hAnsi="Times New Roman"/>
          <w:i/>
          <w:iCs/>
          <w:sz w:val="24"/>
        </w:rPr>
        <w:t xml:space="preserve"> Shoe Ltd v Travelers Indemnity Co</w:t>
      </w:r>
      <w:r w:rsidRPr="00B14447">
        <w:rPr>
          <w:rFonts w:ascii="Times New Roman" w:hAnsi="Times New Roman"/>
          <w:i/>
          <w:iCs/>
          <w:sz w:val="24"/>
        </w:rPr>
        <w:t xml:space="preserve"> </w:t>
      </w:r>
      <w:r w:rsidRPr="00B14447">
        <w:rPr>
          <w:rFonts w:ascii="Times New Roman" w:hAnsi="Times New Roman"/>
          <w:sz w:val="24"/>
        </w:rPr>
        <w:t>[1976] 2 SCR 46 at 54</w:t>
      </w:r>
      <w:r w:rsidR="004426C8" w:rsidRPr="00B14447">
        <w:rPr>
          <w:rFonts w:ascii="Times New Roman" w:hAnsi="Times New Roman"/>
          <w:sz w:val="24"/>
        </w:rPr>
        <w:t xml:space="preserve">, citing </w:t>
      </w:r>
      <w:r w:rsidR="007E71EC" w:rsidRPr="00B14447">
        <w:rPr>
          <w:rFonts w:ascii="Times New Roman" w:hAnsi="Times New Roman"/>
          <w:i/>
          <w:iCs/>
          <w:sz w:val="24"/>
        </w:rPr>
        <w:t xml:space="preserve">George Matthews Co v Bouchard </w:t>
      </w:r>
      <w:r w:rsidR="0001010E" w:rsidRPr="00B14447">
        <w:rPr>
          <w:rFonts w:ascii="Times New Roman" w:hAnsi="Times New Roman"/>
          <w:sz w:val="24"/>
        </w:rPr>
        <w:t>(1898) 28 SCR 580</w:t>
      </w:r>
      <w:r w:rsidRPr="00B14447">
        <w:rPr>
          <w:rFonts w:ascii="Times New Roman" w:hAnsi="Times New Roman"/>
          <w:sz w:val="24"/>
        </w:rPr>
        <w:t>.</w:t>
      </w:r>
    </w:p>
  </w:footnote>
  <w:footnote w:id="61">
    <w:p w14:paraId="5E19EBFC" w14:textId="06D70AA4"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8B1CFE" w:rsidRPr="00B14447">
        <w:rPr>
          <w:rFonts w:ascii="Times New Roman" w:hAnsi="Times New Roman"/>
          <w:i/>
          <w:iCs/>
          <w:sz w:val="24"/>
        </w:rPr>
        <w:t xml:space="preserve">United States v Reliable Transfer Co </w:t>
      </w:r>
      <w:r w:rsidR="0090620F" w:rsidRPr="00B14447">
        <w:rPr>
          <w:rFonts w:ascii="Times New Roman" w:hAnsi="Times New Roman"/>
          <w:sz w:val="24"/>
        </w:rPr>
        <w:t xml:space="preserve">(1975) 421 US 397 at </w:t>
      </w:r>
      <w:r w:rsidR="00A752B5" w:rsidRPr="00B14447">
        <w:rPr>
          <w:rFonts w:ascii="Times New Roman" w:hAnsi="Times New Roman"/>
          <w:sz w:val="24"/>
        </w:rPr>
        <w:t>401</w:t>
      </w:r>
      <w:r w:rsidR="00BC0608" w:rsidRPr="00B14447">
        <w:rPr>
          <w:rFonts w:ascii="Times New Roman" w:hAnsi="Times New Roman"/>
          <w:sz w:val="24"/>
        </w:rPr>
        <w:t>,</w:t>
      </w:r>
      <w:r w:rsidR="0090620F" w:rsidRPr="00B14447">
        <w:rPr>
          <w:rFonts w:ascii="Times New Roman" w:hAnsi="Times New Roman"/>
          <w:sz w:val="24"/>
        </w:rPr>
        <w:t xml:space="preserve"> </w:t>
      </w:r>
      <w:r w:rsidR="00BC0608" w:rsidRPr="00B14447">
        <w:rPr>
          <w:rFonts w:ascii="Times New Roman" w:hAnsi="Times New Roman"/>
          <w:sz w:val="24"/>
        </w:rPr>
        <w:t xml:space="preserve">citing </w:t>
      </w:r>
      <w:r w:rsidR="009440DA" w:rsidRPr="00B14447">
        <w:rPr>
          <w:rFonts w:ascii="Times New Roman" w:hAnsi="Times New Roman"/>
          <w:i/>
          <w:iCs/>
          <w:sz w:val="24"/>
        </w:rPr>
        <w:t>Graver Tank &amp; Manufacturing Co v Linde Air Products</w:t>
      </w:r>
      <w:r w:rsidR="00BC0608" w:rsidRPr="00B14447">
        <w:rPr>
          <w:rFonts w:ascii="Times New Roman" w:hAnsi="Times New Roman"/>
          <w:i/>
          <w:iCs/>
          <w:sz w:val="24"/>
        </w:rPr>
        <w:t xml:space="preserve"> Co</w:t>
      </w:r>
      <w:r w:rsidR="009440DA" w:rsidRPr="00B14447">
        <w:rPr>
          <w:rFonts w:ascii="Times New Roman" w:hAnsi="Times New Roman"/>
          <w:i/>
          <w:iCs/>
          <w:sz w:val="24"/>
        </w:rPr>
        <w:t xml:space="preserve"> </w:t>
      </w:r>
      <w:r w:rsidR="009440DA" w:rsidRPr="00B14447">
        <w:rPr>
          <w:rFonts w:ascii="Times New Roman" w:hAnsi="Times New Roman"/>
          <w:sz w:val="24"/>
        </w:rPr>
        <w:t>(1949) 336 US 271 at 27</w:t>
      </w:r>
      <w:r w:rsidR="001D6FEC" w:rsidRPr="00B14447">
        <w:rPr>
          <w:rFonts w:ascii="Times New Roman" w:hAnsi="Times New Roman"/>
          <w:sz w:val="24"/>
        </w:rPr>
        <w:t xml:space="preserve">5. See also </w:t>
      </w:r>
      <w:r w:rsidR="0085348B" w:rsidRPr="00B14447">
        <w:rPr>
          <w:rFonts w:ascii="Times New Roman" w:hAnsi="Times New Roman"/>
          <w:i/>
          <w:iCs/>
          <w:sz w:val="24"/>
        </w:rPr>
        <w:t xml:space="preserve">District of Columbia v Pace </w:t>
      </w:r>
      <w:r w:rsidR="0085348B" w:rsidRPr="00B14447">
        <w:rPr>
          <w:rFonts w:ascii="Times New Roman" w:hAnsi="Times New Roman"/>
          <w:sz w:val="24"/>
        </w:rPr>
        <w:t>(1944) 32</w:t>
      </w:r>
      <w:r w:rsidR="00106866" w:rsidRPr="00B14447">
        <w:rPr>
          <w:rFonts w:ascii="Times New Roman" w:hAnsi="Times New Roman"/>
          <w:sz w:val="24"/>
        </w:rPr>
        <w:t>0</w:t>
      </w:r>
      <w:r w:rsidR="0085348B" w:rsidRPr="00B14447">
        <w:rPr>
          <w:rFonts w:ascii="Times New Roman" w:hAnsi="Times New Roman"/>
          <w:sz w:val="24"/>
        </w:rPr>
        <w:t xml:space="preserve"> US 698 at 702; </w:t>
      </w:r>
      <w:r w:rsidRPr="00B14447">
        <w:rPr>
          <w:rFonts w:ascii="Times New Roman" w:hAnsi="Times New Roman"/>
          <w:sz w:val="24"/>
        </w:rPr>
        <w:t xml:space="preserve">Stern, </w:t>
      </w:r>
      <w:r w:rsidR="00106866" w:rsidRPr="00B14447">
        <w:rPr>
          <w:rFonts w:ascii="Times New Roman" w:hAnsi="Times New Roman"/>
          <w:sz w:val="24"/>
        </w:rPr>
        <w:t>"</w:t>
      </w:r>
      <w:r w:rsidRPr="00B14447">
        <w:rPr>
          <w:rFonts w:ascii="Times New Roman" w:hAnsi="Times New Roman"/>
          <w:sz w:val="24"/>
        </w:rPr>
        <w:t>Review of Findings of Administrators, Judges and Juries: A Comparative Analysis</w:t>
      </w:r>
      <w:r w:rsidR="00106866" w:rsidRPr="00B14447">
        <w:rPr>
          <w:rFonts w:ascii="Times New Roman" w:hAnsi="Times New Roman"/>
          <w:sz w:val="24"/>
        </w:rPr>
        <w:t>"</w:t>
      </w:r>
      <w:r w:rsidRPr="00B14447">
        <w:rPr>
          <w:rFonts w:ascii="Times New Roman" w:hAnsi="Times New Roman"/>
          <w:sz w:val="24"/>
        </w:rPr>
        <w:t xml:space="preserve"> (1944) 58 </w:t>
      </w:r>
      <w:r w:rsidRPr="00B14447">
        <w:rPr>
          <w:rFonts w:ascii="Times New Roman" w:hAnsi="Times New Roman"/>
          <w:i/>
          <w:iCs/>
          <w:sz w:val="24"/>
        </w:rPr>
        <w:t>Harv</w:t>
      </w:r>
      <w:r w:rsidR="00106866" w:rsidRPr="00B14447">
        <w:rPr>
          <w:rFonts w:ascii="Times New Roman" w:hAnsi="Times New Roman"/>
          <w:i/>
          <w:iCs/>
          <w:sz w:val="24"/>
        </w:rPr>
        <w:t>ard</w:t>
      </w:r>
      <w:r w:rsidRPr="00B14447">
        <w:rPr>
          <w:rFonts w:ascii="Times New Roman" w:hAnsi="Times New Roman"/>
          <w:i/>
          <w:iCs/>
          <w:sz w:val="24"/>
        </w:rPr>
        <w:t xml:space="preserve"> L</w:t>
      </w:r>
      <w:r w:rsidR="00106866" w:rsidRPr="00B14447">
        <w:rPr>
          <w:rFonts w:ascii="Times New Roman" w:hAnsi="Times New Roman"/>
          <w:i/>
          <w:iCs/>
          <w:sz w:val="24"/>
        </w:rPr>
        <w:t>aw</w:t>
      </w:r>
      <w:r w:rsidRPr="00B14447">
        <w:rPr>
          <w:rFonts w:ascii="Times New Roman" w:hAnsi="Times New Roman"/>
          <w:i/>
          <w:iCs/>
          <w:sz w:val="24"/>
        </w:rPr>
        <w:t xml:space="preserve"> Rev</w:t>
      </w:r>
      <w:r w:rsidR="00106866" w:rsidRPr="00B14447">
        <w:rPr>
          <w:rFonts w:ascii="Times New Roman" w:hAnsi="Times New Roman"/>
          <w:i/>
          <w:iCs/>
          <w:sz w:val="24"/>
        </w:rPr>
        <w:t>iew</w:t>
      </w:r>
      <w:r w:rsidRPr="00B14447">
        <w:rPr>
          <w:rFonts w:ascii="Times New Roman" w:hAnsi="Times New Roman"/>
          <w:sz w:val="24"/>
        </w:rPr>
        <w:t xml:space="preserve"> 70 at 89.</w:t>
      </w:r>
    </w:p>
  </w:footnote>
  <w:footnote w:id="62">
    <w:p w14:paraId="237F09F3" w14:textId="04DD8E98" w:rsidR="001604FC" w:rsidRPr="00B14447" w:rsidRDefault="001604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38330F" w:rsidRPr="00B14447">
        <w:rPr>
          <w:rFonts w:ascii="Times New Roman" w:hAnsi="Times New Roman"/>
          <w:i/>
          <w:iCs/>
          <w:sz w:val="24"/>
        </w:rPr>
        <w:t>Exxon</w:t>
      </w:r>
      <w:r w:rsidR="00447128" w:rsidRPr="00B14447">
        <w:rPr>
          <w:rFonts w:ascii="Times New Roman" w:hAnsi="Times New Roman"/>
          <w:i/>
          <w:iCs/>
          <w:sz w:val="24"/>
        </w:rPr>
        <w:t> </w:t>
      </w:r>
      <w:r w:rsidR="0038330F" w:rsidRPr="00B14447">
        <w:rPr>
          <w:rFonts w:ascii="Times New Roman" w:hAnsi="Times New Roman"/>
          <w:i/>
          <w:iCs/>
          <w:sz w:val="24"/>
        </w:rPr>
        <w:t>Co,</w:t>
      </w:r>
      <w:r w:rsidR="00447128" w:rsidRPr="00B14447">
        <w:rPr>
          <w:rFonts w:ascii="Times New Roman" w:hAnsi="Times New Roman"/>
          <w:i/>
          <w:iCs/>
          <w:sz w:val="24"/>
        </w:rPr>
        <w:t> </w:t>
      </w:r>
      <w:r w:rsidR="0038330F" w:rsidRPr="00B14447">
        <w:rPr>
          <w:rFonts w:ascii="Times New Roman" w:hAnsi="Times New Roman"/>
          <w:i/>
          <w:iCs/>
          <w:sz w:val="24"/>
        </w:rPr>
        <w:t>USA v Sofec, Inc</w:t>
      </w:r>
      <w:r w:rsidR="0038330F" w:rsidRPr="00B14447">
        <w:rPr>
          <w:rFonts w:ascii="Times New Roman" w:hAnsi="Times New Roman"/>
          <w:sz w:val="24"/>
        </w:rPr>
        <w:t xml:space="preserve"> </w:t>
      </w:r>
      <w:r w:rsidR="00733C6B" w:rsidRPr="00B14447">
        <w:rPr>
          <w:rFonts w:ascii="Times New Roman" w:hAnsi="Times New Roman"/>
          <w:sz w:val="24"/>
        </w:rPr>
        <w:t xml:space="preserve">(1996) </w:t>
      </w:r>
      <w:r w:rsidR="0038330F" w:rsidRPr="00B14447">
        <w:rPr>
          <w:rFonts w:ascii="Times New Roman" w:hAnsi="Times New Roman"/>
          <w:sz w:val="24"/>
        </w:rPr>
        <w:t>517 US 830 at 841</w:t>
      </w:r>
      <w:r w:rsidR="00235EBA" w:rsidRPr="00B14447">
        <w:rPr>
          <w:rFonts w:ascii="Times New Roman" w:hAnsi="Times New Roman"/>
          <w:sz w:val="24"/>
        </w:rPr>
        <w:t xml:space="preserve"> (emphasis added)</w:t>
      </w:r>
      <w:r w:rsidR="00487F99" w:rsidRPr="00B14447">
        <w:rPr>
          <w:rFonts w:ascii="Times New Roman" w:hAnsi="Times New Roman"/>
          <w:sz w:val="24"/>
        </w:rPr>
        <w:t>,</w:t>
      </w:r>
      <w:r w:rsidR="00DA6855" w:rsidRPr="00B14447">
        <w:rPr>
          <w:rFonts w:ascii="Times New Roman" w:hAnsi="Times New Roman"/>
          <w:sz w:val="24"/>
        </w:rPr>
        <w:t xml:space="preserve"> </w:t>
      </w:r>
      <w:r w:rsidR="00B94058" w:rsidRPr="00B14447">
        <w:rPr>
          <w:rFonts w:ascii="Times New Roman" w:hAnsi="Times New Roman"/>
          <w:sz w:val="24"/>
        </w:rPr>
        <w:t>quoting</w:t>
      </w:r>
      <w:r w:rsidR="0038330F" w:rsidRPr="00B14447">
        <w:rPr>
          <w:rFonts w:ascii="Times New Roman" w:hAnsi="Times New Roman"/>
          <w:sz w:val="24"/>
        </w:rPr>
        <w:t xml:space="preserve"> </w:t>
      </w:r>
      <w:r w:rsidR="0038330F" w:rsidRPr="00B14447">
        <w:rPr>
          <w:rFonts w:ascii="Times New Roman" w:hAnsi="Times New Roman"/>
          <w:i/>
          <w:iCs/>
          <w:sz w:val="24"/>
        </w:rPr>
        <w:t xml:space="preserve">Graver Tank &amp; Manufacturing Co v Linde Air Products </w:t>
      </w:r>
      <w:r w:rsidR="00235EBA" w:rsidRPr="00B14447">
        <w:rPr>
          <w:rFonts w:ascii="Times New Roman" w:hAnsi="Times New Roman"/>
          <w:i/>
          <w:iCs/>
          <w:sz w:val="24"/>
        </w:rPr>
        <w:t xml:space="preserve">Co </w:t>
      </w:r>
      <w:r w:rsidR="0038330F" w:rsidRPr="00B14447">
        <w:rPr>
          <w:rFonts w:ascii="Times New Roman" w:hAnsi="Times New Roman"/>
          <w:sz w:val="24"/>
        </w:rPr>
        <w:t xml:space="preserve">(1949) 336 US 271. </w:t>
      </w:r>
      <w:r w:rsidR="00DA6855" w:rsidRPr="00B14447">
        <w:rPr>
          <w:rFonts w:ascii="Times New Roman" w:hAnsi="Times New Roman"/>
          <w:sz w:val="24"/>
        </w:rPr>
        <w:t xml:space="preserve">See also </w:t>
      </w:r>
      <w:r w:rsidR="001D6FEC" w:rsidRPr="00B14447">
        <w:rPr>
          <w:rFonts w:ascii="Times New Roman" w:hAnsi="Times New Roman"/>
          <w:i/>
          <w:iCs/>
          <w:sz w:val="24"/>
        </w:rPr>
        <w:t>Beren</w:t>
      </w:r>
      <w:r w:rsidR="00235EBA" w:rsidRPr="00B14447">
        <w:rPr>
          <w:rFonts w:ascii="Times New Roman" w:hAnsi="Times New Roman"/>
          <w:i/>
          <w:iCs/>
          <w:sz w:val="24"/>
        </w:rPr>
        <w:t>y</w:t>
      </w:r>
      <w:r w:rsidR="001D6FEC" w:rsidRPr="00B14447">
        <w:rPr>
          <w:rFonts w:ascii="Times New Roman" w:hAnsi="Times New Roman"/>
          <w:i/>
          <w:iCs/>
          <w:sz w:val="24"/>
        </w:rPr>
        <w:t xml:space="preserve">i v </w:t>
      </w:r>
      <w:r w:rsidR="002F04B8" w:rsidRPr="00B14447">
        <w:rPr>
          <w:rFonts w:ascii="Times New Roman" w:hAnsi="Times New Roman"/>
          <w:i/>
          <w:iCs/>
          <w:sz w:val="24"/>
        </w:rPr>
        <w:t xml:space="preserve">District Director, </w:t>
      </w:r>
      <w:r w:rsidR="001D6FEC" w:rsidRPr="00B14447">
        <w:rPr>
          <w:rFonts w:ascii="Times New Roman" w:hAnsi="Times New Roman"/>
          <w:i/>
          <w:iCs/>
          <w:sz w:val="24"/>
        </w:rPr>
        <w:t xml:space="preserve">Immigration </w:t>
      </w:r>
      <w:r w:rsidR="002F04B8" w:rsidRPr="00B14447">
        <w:rPr>
          <w:rFonts w:ascii="Times New Roman" w:hAnsi="Times New Roman"/>
          <w:i/>
          <w:iCs/>
          <w:sz w:val="24"/>
        </w:rPr>
        <w:t xml:space="preserve">and </w:t>
      </w:r>
      <w:r w:rsidR="00235EBA" w:rsidRPr="00B14447">
        <w:rPr>
          <w:rFonts w:ascii="Times New Roman" w:hAnsi="Times New Roman"/>
          <w:i/>
          <w:iCs/>
          <w:sz w:val="24"/>
        </w:rPr>
        <w:t xml:space="preserve">Naturalization </w:t>
      </w:r>
      <w:r w:rsidR="002F04B8" w:rsidRPr="00B14447">
        <w:rPr>
          <w:rFonts w:ascii="Times New Roman" w:hAnsi="Times New Roman"/>
          <w:i/>
          <w:iCs/>
          <w:sz w:val="24"/>
        </w:rPr>
        <w:t xml:space="preserve">Service </w:t>
      </w:r>
      <w:r w:rsidR="002F04B8" w:rsidRPr="00B14447">
        <w:rPr>
          <w:rFonts w:ascii="Times New Roman" w:hAnsi="Times New Roman"/>
          <w:sz w:val="24"/>
        </w:rPr>
        <w:t>(196</w:t>
      </w:r>
      <w:r w:rsidR="00E602B3">
        <w:rPr>
          <w:rFonts w:ascii="Times New Roman" w:hAnsi="Times New Roman"/>
          <w:sz w:val="24"/>
        </w:rPr>
        <w:t>7</w:t>
      </w:r>
      <w:r w:rsidR="002F04B8" w:rsidRPr="00B14447">
        <w:rPr>
          <w:rFonts w:ascii="Times New Roman" w:hAnsi="Times New Roman"/>
          <w:sz w:val="24"/>
        </w:rPr>
        <w:t>) 385 US 630 at 635;</w:t>
      </w:r>
      <w:r w:rsidR="00E74298" w:rsidRPr="00B14447">
        <w:rPr>
          <w:rFonts w:ascii="Times New Roman" w:hAnsi="Times New Roman"/>
          <w:sz w:val="24"/>
        </w:rPr>
        <w:t xml:space="preserve"> </w:t>
      </w:r>
      <w:r w:rsidR="00B94058" w:rsidRPr="00B14447">
        <w:rPr>
          <w:rFonts w:ascii="Times New Roman" w:hAnsi="Times New Roman"/>
          <w:i/>
          <w:iCs/>
          <w:sz w:val="24"/>
        </w:rPr>
        <w:t>Goodman v Lukens</w:t>
      </w:r>
      <w:r w:rsidR="00A34C3B" w:rsidRPr="00B14447">
        <w:rPr>
          <w:rFonts w:ascii="Times New Roman" w:hAnsi="Times New Roman"/>
          <w:i/>
          <w:iCs/>
          <w:sz w:val="24"/>
        </w:rPr>
        <w:t xml:space="preserve"> Steel Co</w:t>
      </w:r>
      <w:r w:rsidR="00B94058" w:rsidRPr="00B14447">
        <w:rPr>
          <w:rFonts w:ascii="Times New Roman" w:hAnsi="Times New Roman"/>
          <w:i/>
          <w:iCs/>
          <w:sz w:val="24"/>
        </w:rPr>
        <w:t xml:space="preserve"> </w:t>
      </w:r>
      <w:r w:rsidR="00B94058" w:rsidRPr="00B14447">
        <w:rPr>
          <w:rFonts w:ascii="Times New Roman" w:hAnsi="Times New Roman"/>
          <w:sz w:val="24"/>
        </w:rPr>
        <w:t xml:space="preserve">(1987) 482 US 656 at 665; </w:t>
      </w:r>
      <w:r w:rsidR="00DA6855" w:rsidRPr="00B14447">
        <w:rPr>
          <w:rFonts w:ascii="Times New Roman" w:hAnsi="Times New Roman"/>
          <w:i/>
          <w:iCs/>
          <w:sz w:val="24"/>
        </w:rPr>
        <w:t>Flowers v Mississippi</w:t>
      </w:r>
      <w:r w:rsidR="00DA6855" w:rsidRPr="00B14447">
        <w:rPr>
          <w:rFonts w:ascii="Times New Roman" w:hAnsi="Times New Roman"/>
          <w:sz w:val="24"/>
        </w:rPr>
        <w:t xml:space="preserve"> (2019) </w:t>
      </w:r>
      <w:r w:rsidR="00A34C3B" w:rsidRPr="00B14447">
        <w:rPr>
          <w:rFonts w:ascii="Times New Roman" w:hAnsi="Times New Roman"/>
          <w:sz w:val="24"/>
        </w:rPr>
        <w:t>139 S Ct 2228 at 2266</w:t>
      </w:r>
      <w:r w:rsidR="00DA6855" w:rsidRPr="00B14447">
        <w:rPr>
          <w:rFonts w:ascii="Times New Roman" w:hAnsi="Times New Roman"/>
          <w:sz w:val="24"/>
        </w:rPr>
        <w:t>.</w:t>
      </w:r>
      <w:r w:rsidR="00107C04" w:rsidRPr="00B14447">
        <w:rPr>
          <w:rFonts w:ascii="Times New Roman" w:hAnsi="Times New Roman"/>
          <w:sz w:val="24"/>
        </w:rPr>
        <w:t xml:space="preserve"> </w:t>
      </w:r>
    </w:p>
  </w:footnote>
  <w:footnote w:id="63">
    <w:p w14:paraId="0C68EA1C" w14:textId="2DB2773C" w:rsidR="00C32C80" w:rsidRPr="00B14447" w:rsidRDefault="00C32C8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 xml:space="preserve">United States v United States Gypsum Co </w:t>
      </w:r>
      <w:r w:rsidRPr="00B14447">
        <w:rPr>
          <w:rFonts w:ascii="Times New Roman" w:hAnsi="Times New Roman"/>
          <w:sz w:val="24"/>
        </w:rPr>
        <w:t>(1948) 333 US 364 at 395.</w:t>
      </w:r>
    </w:p>
  </w:footnote>
  <w:footnote w:id="64">
    <w:p w14:paraId="2BDDF7E4" w14:textId="77777777" w:rsidR="00032D73" w:rsidRPr="00B14447" w:rsidRDefault="00032D7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(1987) 482 US 656 at 665.</w:t>
      </w:r>
    </w:p>
  </w:footnote>
  <w:footnote w:id="65">
    <w:p w14:paraId="789568B5" w14:textId="2FDDF38A" w:rsidR="000546D7" w:rsidRPr="00B14447" w:rsidRDefault="000546D7"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United States v Reliable Transfer Co </w:t>
      </w:r>
      <w:r w:rsidRPr="00B14447">
        <w:rPr>
          <w:rFonts w:ascii="Times New Roman" w:hAnsi="Times New Roman"/>
          <w:sz w:val="24"/>
        </w:rPr>
        <w:t>(1975) 421 US 397 at 401.</w:t>
      </w:r>
    </w:p>
  </w:footnote>
  <w:footnote w:id="66">
    <w:p w14:paraId="27CA007E" w14:textId="0509B022" w:rsidR="00EF23A4" w:rsidRPr="00B14447" w:rsidRDefault="00EF23A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 xml:space="preserve">Williams </w:t>
      </w:r>
      <w:r w:rsidR="008B4A3C" w:rsidRPr="00B14447">
        <w:rPr>
          <w:rFonts w:ascii="Times New Roman" w:hAnsi="Times New Roman"/>
          <w:i/>
          <w:iCs/>
          <w:sz w:val="24"/>
        </w:rPr>
        <w:t xml:space="preserve">Manufacturing </w:t>
      </w:r>
      <w:r w:rsidRPr="00B14447">
        <w:rPr>
          <w:rFonts w:ascii="Times New Roman" w:hAnsi="Times New Roman"/>
          <w:i/>
          <w:iCs/>
          <w:sz w:val="24"/>
        </w:rPr>
        <w:t xml:space="preserve">Co v </w:t>
      </w:r>
      <w:r w:rsidR="008B4A3C" w:rsidRPr="00B14447">
        <w:rPr>
          <w:rFonts w:ascii="Times New Roman" w:hAnsi="Times New Roman"/>
          <w:i/>
          <w:iCs/>
          <w:sz w:val="24"/>
        </w:rPr>
        <w:t>Un</w:t>
      </w:r>
      <w:r w:rsidR="00FA5722" w:rsidRPr="00B14447">
        <w:rPr>
          <w:rFonts w:ascii="Times New Roman" w:hAnsi="Times New Roman"/>
          <w:i/>
          <w:iCs/>
          <w:sz w:val="24"/>
        </w:rPr>
        <w:t>it</w:t>
      </w:r>
      <w:r w:rsidR="008B4A3C" w:rsidRPr="00B14447">
        <w:rPr>
          <w:rFonts w:ascii="Times New Roman" w:hAnsi="Times New Roman"/>
          <w:i/>
          <w:iCs/>
          <w:sz w:val="24"/>
        </w:rPr>
        <w:t>ed Shoe Machinery Corp</w:t>
      </w:r>
      <w:r w:rsidR="008B4A3C" w:rsidRPr="00B14447">
        <w:rPr>
          <w:rFonts w:ascii="Times New Roman" w:hAnsi="Times New Roman"/>
          <w:sz w:val="24"/>
        </w:rPr>
        <w:t xml:space="preserve"> (19</w:t>
      </w:r>
      <w:r w:rsidR="00E602B3">
        <w:rPr>
          <w:rFonts w:ascii="Times New Roman" w:hAnsi="Times New Roman"/>
          <w:sz w:val="24"/>
        </w:rPr>
        <w:t>42</w:t>
      </w:r>
      <w:r w:rsidR="008B4A3C" w:rsidRPr="00B14447">
        <w:rPr>
          <w:rFonts w:ascii="Times New Roman" w:hAnsi="Times New Roman"/>
          <w:sz w:val="24"/>
        </w:rPr>
        <w:t xml:space="preserve">) 316 US 364 at </w:t>
      </w:r>
      <w:r w:rsidR="006647C3" w:rsidRPr="00B14447">
        <w:rPr>
          <w:rFonts w:ascii="Times New Roman" w:hAnsi="Times New Roman"/>
          <w:sz w:val="24"/>
        </w:rPr>
        <w:t>367</w:t>
      </w:r>
      <w:r w:rsidR="00140580" w:rsidRPr="00B14447">
        <w:rPr>
          <w:rFonts w:ascii="Times New Roman" w:hAnsi="Times New Roman"/>
          <w:sz w:val="24"/>
        </w:rPr>
        <w:t>.</w:t>
      </w:r>
      <w:r w:rsidR="00F37175" w:rsidRPr="00B14447">
        <w:rPr>
          <w:rFonts w:ascii="Times New Roman" w:hAnsi="Times New Roman"/>
          <w:sz w:val="24"/>
        </w:rPr>
        <w:t xml:space="preserve"> In relation to the </w:t>
      </w:r>
      <w:r w:rsidR="00F37175" w:rsidRPr="00B14447">
        <w:rPr>
          <w:rFonts w:ascii="Times New Roman" w:hAnsi="Times New Roman"/>
          <w:i/>
          <w:iCs/>
          <w:sz w:val="24"/>
        </w:rPr>
        <w:t>Federal Rules of Civil Procedure</w:t>
      </w:r>
      <w:r w:rsidR="00F37175" w:rsidRPr="00B14447">
        <w:rPr>
          <w:rFonts w:ascii="Times New Roman" w:hAnsi="Times New Roman"/>
          <w:sz w:val="24"/>
        </w:rPr>
        <w:t xml:space="preserve">, r 52(a)(6), see </w:t>
      </w:r>
      <w:r w:rsidR="00F37175" w:rsidRPr="00B14447">
        <w:rPr>
          <w:rFonts w:ascii="Times New Roman" w:hAnsi="Times New Roman"/>
          <w:i/>
          <w:iCs/>
          <w:sz w:val="24"/>
        </w:rPr>
        <w:t>Anderson v Bessemer City</w:t>
      </w:r>
      <w:r w:rsidR="00F37175" w:rsidRPr="00B14447">
        <w:rPr>
          <w:rFonts w:ascii="Times New Roman" w:hAnsi="Times New Roman"/>
          <w:sz w:val="24"/>
        </w:rPr>
        <w:t xml:space="preserve"> (1985) 470 US 564 at 573-575; </w:t>
      </w:r>
      <w:r w:rsidR="00F37175" w:rsidRPr="00B14447">
        <w:rPr>
          <w:rFonts w:ascii="Times New Roman" w:hAnsi="Times New Roman"/>
          <w:i/>
          <w:iCs/>
          <w:sz w:val="24"/>
        </w:rPr>
        <w:t>Teva Pharmaceuticals USA</w:t>
      </w:r>
      <w:r w:rsidR="00B05D8C" w:rsidRPr="00B14447">
        <w:rPr>
          <w:rFonts w:ascii="Times New Roman" w:hAnsi="Times New Roman"/>
          <w:i/>
          <w:iCs/>
          <w:sz w:val="24"/>
        </w:rPr>
        <w:t>,</w:t>
      </w:r>
      <w:r w:rsidR="00F37175" w:rsidRPr="00B14447">
        <w:rPr>
          <w:rFonts w:ascii="Times New Roman" w:hAnsi="Times New Roman"/>
          <w:i/>
          <w:iCs/>
          <w:sz w:val="24"/>
        </w:rPr>
        <w:t xml:space="preserve"> Inc v Sandoz</w:t>
      </w:r>
      <w:r w:rsidR="00B05D8C" w:rsidRPr="00B14447">
        <w:rPr>
          <w:rFonts w:ascii="Times New Roman" w:hAnsi="Times New Roman"/>
          <w:i/>
          <w:iCs/>
          <w:sz w:val="24"/>
        </w:rPr>
        <w:t>,</w:t>
      </w:r>
      <w:r w:rsidR="00F37175" w:rsidRPr="00B14447">
        <w:rPr>
          <w:rFonts w:ascii="Times New Roman" w:hAnsi="Times New Roman"/>
          <w:i/>
          <w:iCs/>
          <w:sz w:val="24"/>
        </w:rPr>
        <w:t xml:space="preserve"> Inc</w:t>
      </w:r>
      <w:r w:rsidR="00F37175" w:rsidRPr="00B14447">
        <w:rPr>
          <w:rFonts w:ascii="Times New Roman" w:hAnsi="Times New Roman"/>
          <w:sz w:val="24"/>
        </w:rPr>
        <w:t xml:space="preserve"> (2015) 574 US 318 at 324; </w:t>
      </w:r>
      <w:r w:rsidR="00F37175" w:rsidRPr="00B14447">
        <w:rPr>
          <w:rFonts w:ascii="Times New Roman" w:hAnsi="Times New Roman"/>
          <w:i/>
          <w:iCs/>
          <w:sz w:val="24"/>
        </w:rPr>
        <w:t>Cooper v Harris</w:t>
      </w:r>
      <w:r w:rsidR="00F37175" w:rsidRPr="00B14447">
        <w:rPr>
          <w:rFonts w:ascii="Times New Roman" w:hAnsi="Times New Roman"/>
          <w:sz w:val="24"/>
        </w:rPr>
        <w:t xml:space="preserve"> (2017) 137 S Ct 1455 at 1465; </w:t>
      </w:r>
      <w:r w:rsidR="00F37175" w:rsidRPr="00B14447">
        <w:rPr>
          <w:rFonts w:ascii="Times New Roman" w:hAnsi="Times New Roman"/>
          <w:i/>
          <w:iCs/>
          <w:sz w:val="24"/>
        </w:rPr>
        <w:t>Alexander v South Carolina State Conference of the NAACP</w:t>
      </w:r>
      <w:r w:rsidR="00F37175" w:rsidRPr="00B14447">
        <w:rPr>
          <w:rFonts w:ascii="Times New Roman" w:hAnsi="Times New Roman"/>
          <w:sz w:val="24"/>
        </w:rPr>
        <w:t xml:space="preserve"> (2024)</w:t>
      </w:r>
      <w:r w:rsidR="00B05D8C" w:rsidRPr="00B14447">
        <w:rPr>
          <w:rFonts w:ascii="Times New Roman" w:hAnsi="Times New Roman"/>
          <w:sz w:val="24"/>
        </w:rPr>
        <w:t xml:space="preserve"> </w:t>
      </w:r>
      <w:r w:rsidR="002C1E12" w:rsidRPr="00B14447">
        <w:rPr>
          <w:rFonts w:ascii="Times New Roman" w:hAnsi="Times New Roman"/>
          <w:sz w:val="24"/>
        </w:rPr>
        <w:t xml:space="preserve">144 S Ct 1221 at </w:t>
      </w:r>
      <w:r w:rsidR="00FF2173" w:rsidRPr="00B14447">
        <w:rPr>
          <w:rFonts w:ascii="Times New Roman" w:hAnsi="Times New Roman"/>
          <w:sz w:val="24"/>
        </w:rPr>
        <w:t>1270-1271</w:t>
      </w:r>
      <w:r w:rsidR="00F37175" w:rsidRPr="00B14447">
        <w:rPr>
          <w:rFonts w:ascii="Times New Roman" w:hAnsi="Times New Roman"/>
          <w:sz w:val="24"/>
        </w:rPr>
        <w:t>.</w:t>
      </w:r>
    </w:p>
  </w:footnote>
  <w:footnote w:id="67">
    <w:p w14:paraId="7C7D4A39" w14:textId="77777777" w:rsidR="00B13FAA" w:rsidRPr="00B14447" w:rsidRDefault="00B13FA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Baumgartner v United States</w:t>
      </w:r>
      <w:r w:rsidRPr="00B14447">
        <w:rPr>
          <w:rFonts w:ascii="Times New Roman" w:hAnsi="Times New Roman"/>
          <w:sz w:val="24"/>
        </w:rPr>
        <w:t xml:space="preserve"> (1944) 322 US 665 at 670.</w:t>
      </w:r>
    </w:p>
  </w:footnote>
  <w:footnote w:id="68">
    <w:p w14:paraId="6D9554B4" w14:textId="77777777" w:rsidR="00B13FAA" w:rsidRPr="00B14447" w:rsidRDefault="00B13FA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Nowak v United States</w:t>
      </w:r>
      <w:r w:rsidRPr="00B14447">
        <w:rPr>
          <w:rFonts w:ascii="Times New Roman" w:hAnsi="Times New Roman"/>
          <w:sz w:val="24"/>
        </w:rPr>
        <w:t xml:space="preserve"> (1958) 356 US 660 at 663; </w:t>
      </w:r>
      <w:r w:rsidRPr="00B14447">
        <w:rPr>
          <w:rFonts w:ascii="Times New Roman" w:hAnsi="Times New Roman"/>
          <w:i/>
          <w:iCs/>
          <w:sz w:val="24"/>
        </w:rPr>
        <w:t>Fedorenko v United States</w:t>
      </w:r>
      <w:r w:rsidRPr="00B14447">
        <w:rPr>
          <w:rFonts w:ascii="Times New Roman" w:hAnsi="Times New Roman"/>
          <w:sz w:val="24"/>
        </w:rPr>
        <w:t xml:space="preserve"> (1981) 449 US 490 at 505.</w:t>
      </w:r>
    </w:p>
  </w:footnote>
  <w:footnote w:id="69">
    <w:p w14:paraId="14DF8217" w14:textId="77777777" w:rsidR="00B13FAA" w:rsidRPr="00B14447" w:rsidRDefault="00B13FA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eg, </w:t>
      </w:r>
      <w:r w:rsidRPr="00B14447">
        <w:rPr>
          <w:rFonts w:ascii="Times New Roman" w:hAnsi="Times New Roman"/>
          <w:i/>
          <w:iCs/>
          <w:sz w:val="24"/>
        </w:rPr>
        <w:t>Chaunt v United States</w:t>
      </w:r>
      <w:r w:rsidRPr="00B14447">
        <w:rPr>
          <w:rFonts w:ascii="Times New Roman" w:hAnsi="Times New Roman"/>
          <w:sz w:val="24"/>
        </w:rPr>
        <w:t xml:space="preserve"> (1960) 364 US 350 at 353; </w:t>
      </w:r>
      <w:r w:rsidRPr="00B14447">
        <w:rPr>
          <w:rFonts w:ascii="Times New Roman" w:hAnsi="Times New Roman"/>
          <w:i/>
          <w:iCs/>
          <w:sz w:val="24"/>
        </w:rPr>
        <w:t>Costello v United States</w:t>
      </w:r>
      <w:r w:rsidRPr="00B14447">
        <w:rPr>
          <w:rFonts w:ascii="Times New Roman" w:hAnsi="Times New Roman"/>
          <w:sz w:val="24"/>
        </w:rPr>
        <w:t xml:space="preserve"> (1961) 365 US 265 at 269-270.</w:t>
      </w:r>
    </w:p>
  </w:footnote>
  <w:footnote w:id="70">
    <w:p w14:paraId="5D8E7A34" w14:textId="77777777" w:rsidR="00B13FAA" w:rsidRPr="00B14447" w:rsidRDefault="00B13FA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(1897) 166 US 110 at 136.</w:t>
      </w:r>
    </w:p>
  </w:footnote>
  <w:footnote w:id="71">
    <w:p w14:paraId="2080A73B" w14:textId="31CDB617" w:rsidR="00F32351" w:rsidRPr="00B14447" w:rsidRDefault="00F32351"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Montgomery v Lanarkshire Health Board (</w:t>
      </w:r>
      <w:r w:rsidR="001E69BC" w:rsidRPr="00B14447">
        <w:rPr>
          <w:rFonts w:ascii="Times New Roman" w:hAnsi="Times New Roman"/>
          <w:i/>
          <w:iCs/>
          <w:sz w:val="24"/>
        </w:rPr>
        <w:t>General Medical Council intervening</w:t>
      </w:r>
      <w:r w:rsidRPr="00B14447">
        <w:rPr>
          <w:rFonts w:ascii="Times New Roman" w:hAnsi="Times New Roman"/>
          <w:i/>
          <w:iCs/>
          <w:sz w:val="24"/>
        </w:rPr>
        <w:t xml:space="preserve">) </w:t>
      </w:r>
      <w:r w:rsidRPr="00B14447">
        <w:rPr>
          <w:rFonts w:ascii="Times New Roman" w:hAnsi="Times New Roman"/>
          <w:sz w:val="24"/>
        </w:rPr>
        <w:t xml:space="preserve">[2015] </w:t>
      </w:r>
      <w:r w:rsidR="001E69BC" w:rsidRPr="00B14447">
        <w:rPr>
          <w:rFonts w:ascii="Times New Roman" w:hAnsi="Times New Roman"/>
          <w:sz w:val="24"/>
        </w:rPr>
        <w:t>AC 1430</w:t>
      </w:r>
      <w:r w:rsidRPr="00B14447">
        <w:rPr>
          <w:rFonts w:ascii="Times New Roman" w:hAnsi="Times New Roman"/>
          <w:sz w:val="24"/>
        </w:rPr>
        <w:t xml:space="preserve"> at </w:t>
      </w:r>
      <w:r w:rsidR="00495BE4" w:rsidRPr="00B14447">
        <w:rPr>
          <w:rFonts w:ascii="Times New Roman" w:hAnsi="Times New Roman"/>
          <w:sz w:val="24"/>
        </w:rPr>
        <w:t xml:space="preserve">1465 </w:t>
      </w:r>
      <w:r w:rsidRPr="00B14447">
        <w:rPr>
          <w:rFonts w:ascii="Times New Roman" w:hAnsi="Times New Roman"/>
          <w:sz w:val="24"/>
        </w:rPr>
        <w:t xml:space="preserve">[97]. The position in the Privy Council is </w:t>
      </w:r>
      <w:r w:rsidR="00725399" w:rsidRPr="00B14447">
        <w:rPr>
          <w:rFonts w:ascii="Times New Roman" w:hAnsi="Times New Roman"/>
          <w:sz w:val="24"/>
        </w:rPr>
        <w:t>similar, if not stricter</w:t>
      </w:r>
      <w:r w:rsidRPr="00B14447">
        <w:rPr>
          <w:rFonts w:ascii="Times New Roman" w:hAnsi="Times New Roman"/>
          <w:sz w:val="24"/>
        </w:rPr>
        <w:t>: see, eg,</w:t>
      </w:r>
      <w:r w:rsidR="00A418AB" w:rsidRPr="00B14447">
        <w:rPr>
          <w:rFonts w:ascii="Times New Roman" w:hAnsi="Times New Roman"/>
          <w:sz w:val="24"/>
        </w:rPr>
        <w:t xml:space="preserve"> </w:t>
      </w:r>
      <w:r w:rsidR="002C0B88" w:rsidRPr="00B14447">
        <w:rPr>
          <w:rFonts w:ascii="Times New Roman" w:hAnsi="Times New Roman"/>
          <w:i/>
          <w:iCs/>
          <w:sz w:val="24"/>
        </w:rPr>
        <w:t xml:space="preserve">Srimati Bibhabati Devi v Kumar Ramendra Narayan Roy </w:t>
      </w:r>
      <w:r w:rsidR="002C0B88" w:rsidRPr="00B14447">
        <w:rPr>
          <w:rFonts w:ascii="Times New Roman" w:hAnsi="Times New Roman"/>
          <w:sz w:val="24"/>
        </w:rPr>
        <w:t xml:space="preserve">[1946] AC 508 at </w:t>
      </w:r>
      <w:r w:rsidR="00325671" w:rsidRPr="00B14447">
        <w:rPr>
          <w:rFonts w:ascii="Times New Roman" w:hAnsi="Times New Roman"/>
          <w:sz w:val="24"/>
        </w:rPr>
        <w:t>521</w:t>
      </w:r>
      <w:r w:rsidR="00285B36" w:rsidRPr="00B14447">
        <w:rPr>
          <w:rFonts w:ascii="Times New Roman" w:hAnsi="Times New Roman"/>
          <w:sz w:val="24"/>
        </w:rPr>
        <w:t xml:space="preserve"> (Privy Council)</w:t>
      </w:r>
      <w:r w:rsidR="00E86CBF" w:rsidRPr="00B14447">
        <w:rPr>
          <w:rFonts w:ascii="Times New Roman" w:hAnsi="Times New Roman"/>
          <w:sz w:val="24"/>
        </w:rPr>
        <w:t xml:space="preserve">; </w:t>
      </w:r>
      <w:r w:rsidR="00966095" w:rsidRPr="00B14447">
        <w:rPr>
          <w:rFonts w:ascii="Times New Roman" w:hAnsi="Times New Roman"/>
          <w:i/>
          <w:iCs/>
          <w:sz w:val="24"/>
        </w:rPr>
        <w:t xml:space="preserve">Central Bank of Ecuador v Conticorp SA </w:t>
      </w:r>
      <w:r w:rsidR="00AF4476" w:rsidRPr="00B14447">
        <w:rPr>
          <w:rFonts w:ascii="Times New Roman" w:hAnsi="Times New Roman"/>
          <w:sz w:val="24"/>
        </w:rPr>
        <w:t xml:space="preserve">[2016] 2 LRC 46 at </w:t>
      </w:r>
      <w:r w:rsidR="00F35906" w:rsidRPr="00B14447">
        <w:rPr>
          <w:rFonts w:ascii="Times New Roman" w:hAnsi="Times New Roman"/>
          <w:sz w:val="24"/>
        </w:rPr>
        <w:t>54-57 [4]-[8]</w:t>
      </w:r>
      <w:r w:rsidR="00285B36" w:rsidRPr="00B14447">
        <w:rPr>
          <w:rFonts w:ascii="Times New Roman" w:hAnsi="Times New Roman"/>
          <w:sz w:val="24"/>
        </w:rPr>
        <w:t xml:space="preserve"> (Privy Council)</w:t>
      </w:r>
      <w:r w:rsidRPr="00B14447">
        <w:rPr>
          <w:rFonts w:ascii="Times New Roman" w:hAnsi="Times New Roman"/>
          <w:sz w:val="24"/>
        </w:rPr>
        <w:t>.</w:t>
      </w:r>
    </w:p>
  </w:footnote>
  <w:footnote w:id="72">
    <w:p w14:paraId="029C4520" w14:textId="105CEF7D" w:rsidR="00F32351" w:rsidRPr="00B14447" w:rsidRDefault="00F32351"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Montgomery v Lanarkshire Health Board (</w:t>
      </w:r>
      <w:r w:rsidR="001E69BC" w:rsidRPr="00B14447">
        <w:rPr>
          <w:rFonts w:ascii="Times New Roman" w:hAnsi="Times New Roman"/>
          <w:i/>
          <w:iCs/>
          <w:sz w:val="24"/>
        </w:rPr>
        <w:t>General Medical Council intervening</w:t>
      </w:r>
      <w:r w:rsidRPr="00B14447">
        <w:rPr>
          <w:rFonts w:ascii="Times New Roman" w:hAnsi="Times New Roman"/>
          <w:i/>
          <w:iCs/>
          <w:sz w:val="24"/>
        </w:rPr>
        <w:t xml:space="preserve">) </w:t>
      </w:r>
      <w:r w:rsidRPr="00B14447">
        <w:rPr>
          <w:rFonts w:ascii="Times New Roman" w:hAnsi="Times New Roman"/>
          <w:sz w:val="24"/>
        </w:rPr>
        <w:t xml:space="preserve">[2015] </w:t>
      </w:r>
      <w:r w:rsidR="00C521D6" w:rsidRPr="00B14447">
        <w:rPr>
          <w:rFonts w:ascii="Times New Roman" w:hAnsi="Times New Roman"/>
          <w:sz w:val="24"/>
        </w:rPr>
        <w:t xml:space="preserve">AC 1430 </w:t>
      </w:r>
      <w:r w:rsidRPr="00B14447">
        <w:rPr>
          <w:rFonts w:ascii="Times New Roman" w:hAnsi="Times New Roman"/>
          <w:sz w:val="24"/>
        </w:rPr>
        <w:t>at</w:t>
      </w:r>
      <w:r w:rsidR="00C521D6" w:rsidRPr="00B14447">
        <w:rPr>
          <w:rFonts w:ascii="Times New Roman" w:hAnsi="Times New Roman"/>
          <w:sz w:val="24"/>
        </w:rPr>
        <w:t xml:space="preserve"> 1465</w:t>
      </w:r>
      <w:r w:rsidRPr="00B14447">
        <w:rPr>
          <w:rFonts w:ascii="Times New Roman" w:hAnsi="Times New Roman"/>
          <w:sz w:val="24"/>
        </w:rPr>
        <w:t xml:space="preserve"> [97]</w:t>
      </w:r>
      <w:r w:rsidR="00C521D6" w:rsidRPr="00B14447">
        <w:rPr>
          <w:rFonts w:ascii="Times New Roman" w:hAnsi="Times New Roman"/>
          <w:sz w:val="24"/>
        </w:rPr>
        <w:t>,</w:t>
      </w:r>
      <w:r w:rsidRPr="00B14447">
        <w:rPr>
          <w:rFonts w:ascii="Times New Roman" w:hAnsi="Times New Roman"/>
          <w:sz w:val="24"/>
        </w:rPr>
        <w:t xml:space="preserve"> quoting </w:t>
      </w:r>
      <w:r w:rsidRPr="00B14447">
        <w:rPr>
          <w:rFonts w:ascii="Times New Roman" w:hAnsi="Times New Roman"/>
          <w:i/>
          <w:iCs/>
          <w:sz w:val="24"/>
        </w:rPr>
        <w:t>Higgins v J</w:t>
      </w:r>
      <w:r w:rsidR="00C521D6" w:rsidRPr="00B14447">
        <w:rPr>
          <w:rFonts w:ascii="Times New Roman" w:hAnsi="Times New Roman"/>
          <w:i/>
          <w:iCs/>
          <w:sz w:val="24"/>
        </w:rPr>
        <w:t xml:space="preserve"> </w:t>
      </w:r>
      <w:r w:rsidRPr="00B14447">
        <w:rPr>
          <w:rFonts w:ascii="Times New Roman" w:hAnsi="Times New Roman"/>
          <w:i/>
          <w:iCs/>
          <w:sz w:val="24"/>
        </w:rPr>
        <w:t>&amp; C</w:t>
      </w:r>
      <w:r w:rsidR="00C521D6" w:rsidRPr="00B14447">
        <w:rPr>
          <w:rFonts w:ascii="Times New Roman" w:hAnsi="Times New Roman"/>
          <w:i/>
          <w:iCs/>
          <w:sz w:val="24"/>
        </w:rPr>
        <w:t xml:space="preserve"> </w:t>
      </w:r>
      <w:r w:rsidRPr="00B14447">
        <w:rPr>
          <w:rFonts w:ascii="Times New Roman" w:hAnsi="Times New Roman"/>
          <w:i/>
          <w:iCs/>
          <w:sz w:val="24"/>
        </w:rPr>
        <w:t>M Smith (Whiteinch) Ltd</w:t>
      </w:r>
      <w:r w:rsidRPr="00B14447">
        <w:rPr>
          <w:rFonts w:ascii="Times New Roman" w:hAnsi="Times New Roman"/>
          <w:sz w:val="24"/>
        </w:rPr>
        <w:t xml:space="preserve"> (1990) SC (HL) 63 at 82</w:t>
      </w:r>
      <w:r w:rsidR="00410653" w:rsidRPr="00B14447">
        <w:rPr>
          <w:rFonts w:ascii="Times New Roman" w:hAnsi="Times New Roman"/>
          <w:sz w:val="24"/>
        </w:rPr>
        <w:t xml:space="preserve"> (emphasis added)</w:t>
      </w:r>
      <w:r w:rsidRPr="00B14447">
        <w:rPr>
          <w:rFonts w:ascii="Times New Roman" w:hAnsi="Times New Roman"/>
          <w:sz w:val="24"/>
        </w:rPr>
        <w:t xml:space="preserve">. See also </w:t>
      </w:r>
      <w:r w:rsidRPr="00B14447">
        <w:rPr>
          <w:rFonts w:ascii="Times New Roman" w:hAnsi="Times New Roman"/>
          <w:i/>
          <w:iCs/>
          <w:sz w:val="24"/>
        </w:rPr>
        <w:t xml:space="preserve">Hicks v Chief Constable of the South Yorkshire Police </w:t>
      </w:r>
      <w:r w:rsidRPr="00B14447">
        <w:rPr>
          <w:rFonts w:ascii="Times New Roman" w:hAnsi="Times New Roman"/>
          <w:sz w:val="24"/>
        </w:rPr>
        <w:t>[1992] 2 All ER 65 at 68.</w:t>
      </w:r>
    </w:p>
  </w:footnote>
  <w:footnote w:id="73">
    <w:p w14:paraId="1FD26204" w14:textId="5D8DF207" w:rsidR="00D15582" w:rsidRPr="00B14447" w:rsidRDefault="00D15582"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856727" w:rsidRPr="00B14447">
        <w:rPr>
          <w:rFonts w:ascii="Times New Roman" w:hAnsi="Times New Roman"/>
          <w:sz w:val="24"/>
        </w:rPr>
        <w:t>See,</w:t>
      </w:r>
      <w:r w:rsidR="00856727" w:rsidRPr="00B14447">
        <w:rPr>
          <w:rFonts w:ascii="Times New Roman" w:hAnsi="Times New Roman"/>
          <w:i/>
          <w:iCs/>
          <w:sz w:val="24"/>
        </w:rPr>
        <w:t xml:space="preserve"> </w:t>
      </w:r>
      <w:r w:rsidR="00856727" w:rsidRPr="00B14447">
        <w:rPr>
          <w:rFonts w:ascii="Times New Roman" w:hAnsi="Times New Roman"/>
          <w:sz w:val="24"/>
        </w:rPr>
        <w:t>eg,</w:t>
      </w:r>
      <w:r w:rsidR="00657884" w:rsidRPr="00B14447">
        <w:rPr>
          <w:rFonts w:ascii="Times New Roman" w:hAnsi="Times New Roman"/>
          <w:sz w:val="24"/>
        </w:rPr>
        <w:t xml:space="preserve"> </w:t>
      </w:r>
      <w:r w:rsidR="00657884" w:rsidRPr="00B14447">
        <w:rPr>
          <w:rFonts w:ascii="Times New Roman" w:hAnsi="Times New Roman"/>
          <w:i/>
          <w:iCs/>
          <w:sz w:val="24"/>
        </w:rPr>
        <w:t>Assicurazioni Generali SpA v Arab Insurance Group</w:t>
      </w:r>
      <w:r w:rsidR="00856727" w:rsidRPr="00B14447">
        <w:rPr>
          <w:rFonts w:ascii="Times New Roman" w:hAnsi="Times New Roman"/>
          <w:sz w:val="24"/>
        </w:rPr>
        <w:t xml:space="preserve"> </w:t>
      </w:r>
      <w:r w:rsidR="00C10164" w:rsidRPr="00B14447">
        <w:rPr>
          <w:rFonts w:ascii="Times New Roman" w:hAnsi="Times New Roman"/>
          <w:sz w:val="24"/>
        </w:rPr>
        <w:t>[2003] 1 WLR 577</w:t>
      </w:r>
      <w:r w:rsidR="00F3675E" w:rsidRPr="00B14447">
        <w:rPr>
          <w:rFonts w:ascii="Times New Roman" w:hAnsi="Times New Roman"/>
          <w:sz w:val="24"/>
        </w:rPr>
        <w:t xml:space="preserve"> at </w:t>
      </w:r>
      <w:r w:rsidR="006D30C7" w:rsidRPr="00B14447">
        <w:rPr>
          <w:rFonts w:ascii="Times New Roman" w:hAnsi="Times New Roman"/>
          <w:sz w:val="24"/>
        </w:rPr>
        <w:t>578-579</w:t>
      </w:r>
      <w:r w:rsidR="00C90933" w:rsidRPr="00B14447">
        <w:rPr>
          <w:rFonts w:ascii="Times New Roman" w:hAnsi="Times New Roman"/>
          <w:sz w:val="24"/>
        </w:rPr>
        <w:t xml:space="preserve"> [9], </w:t>
      </w:r>
      <w:r w:rsidR="009A620F" w:rsidRPr="00B14447">
        <w:rPr>
          <w:rFonts w:ascii="Times New Roman" w:hAnsi="Times New Roman"/>
          <w:sz w:val="24"/>
        </w:rPr>
        <w:t>584 [197]</w:t>
      </w:r>
      <w:r w:rsidR="00C90933" w:rsidRPr="00B14447">
        <w:rPr>
          <w:rFonts w:ascii="Times New Roman" w:hAnsi="Times New Roman"/>
          <w:sz w:val="24"/>
        </w:rPr>
        <w:t xml:space="preserve">, quoting </w:t>
      </w:r>
      <w:r w:rsidR="00C71E84" w:rsidRPr="00B14447">
        <w:rPr>
          <w:rFonts w:ascii="Times New Roman" w:hAnsi="Times New Roman"/>
          <w:i/>
          <w:iCs/>
          <w:sz w:val="24"/>
        </w:rPr>
        <w:t xml:space="preserve">Tanfern Ltd v Cameron-MacDonald </w:t>
      </w:r>
      <w:r w:rsidR="00946BDE" w:rsidRPr="00B14447">
        <w:rPr>
          <w:rFonts w:ascii="Times New Roman" w:hAnsi="Times New Roman"/>
          <w:i/>
          <w:iCs/>
          <w:sz w:val="24"/>
        </w:rPr>
        <w:t xml:space="preserve">(Practice Note) </w:t>
      </w:r>
      <w:r w:rsidR="00946BDE" w:rsidRPr="00B14447">
        <w:rPr>
          <w:rFonts w:ascii="Times New Roman" w:hAnsi="Times New Roman"/>
          <w:sz w:val="24"/>
        </w:rPr>
        <w:t xml:space="preserve">[2000] 1 WLR 1311 at </w:t>
      </w:r>
      <w:r w:rsidR="006B721D" w:rsidRPr="00B14447">
        <w:rPr>
          <w:rFonts w:ascii="Times New Roman" w:hAnsi="Times New Roman"/>
          <w:sz w:val="24"/>
        </w:rPr>
        <w:t xml:space="preserve">1317 [32]; [2000] 2 All ER 801 at </w:t>
      </w:r>
      <w:r w:rsidR="00CC76B6" w:rsidRPr="00B14447">
        <w:rPr>
          <w:rFonts w:ascii="Times New Roman" w:hAnsi="Times New Roman"/>
          <w:sz w:val="24"/>
        </w:rPr>
        <w:t xml:space="preserve">808, which, in turn, quotes </w:t>
      </w:r>
      <w:r w:rsidR="00CC76B6" w:rsidRPr="00B14447">
        <w:rPr>
          <w:rFonts w:ascii="Times New Roman" w:hAnsi="Times New Roman"/>
          <w:i/>
          <w:iCs/>
          <w:sz w:val="24"/>
        </w:rPr>
        <w:t xml:space="preserve">G v G </w:t>
      </w:r>
      <w:r w:rsidR="00CF65C8" w:rsidRPr="00B14447">
        <w:rPr>
          <w:rFonts w:ascii="Times New Roman" w:hAnsi="Times New Roman"/>
          <w:i/>
          <w:iCs/>
          <w:sz w:val="24"/>
        </w:rPr>
        <w:t xml:space="preserve">(Minors: Custody Appeal) </w:t>
      </w:r>
      <w:r w:rsidR="009001B1" w:rsidRPr="00B14447">
        <w:rPr>
          <w:rFonts w:ascii="Times New Roman" w:hAnsi="Times New Roman"/>
          <w:sz w:val="24"/>
        </w:rPr>
        <w:t>[1985] 1 WLR 647 at 6</w:t>
      </w:r>
      <w:r w:rsidR="00DC34AF" w:rsidRPr="00B14447">
        <w:rPr>
          <w:rFonts w:ascii="Times New Roman" w:hAnsi="Times New Roman"/>
          <w:sz w:val="24"/>
        </w:rPr>
        <w:t>52</w:t>
      </w:r>
      <w:r w:rsidR="009001B1" w:rsidRPr="00B14447">
        <w:rPr>
          <w:rFonts w:ascii="Times New Roman" w:hAnsi="Times New Roman"/>
          <w:sz w:val="24"/>
        </w:rPr>
        <w:t xml:space="preserve">; </w:t>
      </w:r>
      <w:r w:rsidR="009F3C93" w:rsidRPr="00B14447">
        <w:rPr>
          <w:rFonts w:ascii="Times New Roman" w:hAnsi="Times New Roman"/>
          <w:sz w:val="24"/>
        </w:rPr>
        <w:t xml:space="preserve">[1985] 2 All ER 225 at </w:t>
      </w:r>
      <w:r w:rsidR="00CE0F16" w:rsidRPr="00B14447">
        <w:rPr>
          <w:rFonts w:ascii="Times New Roman" w:hAnsi="Times New Roman"/>
          <w:sz w:val="24"/>
        </w:rPr>
        <w:t>229</w:t>
      </w:r>
      <w:r w:rsidR="00C84815" w:rsidRPr="00B14447">
        <w:rPr>
          <w:rFonts w:ascii="Times New Roman" w:hAnsi="Times New Roman"/>
          <w:sz w:val="24"/>
        </w:rPr>
        <w:t xml:space="preserve">; but cf </w:t>
      </w:r>
      <w:r w:rsidR="00C84815" w:rsidRPr="00B14447">
        <w:rPr>
          <w:rFonts w:ascii="Times New Roman" w:hAnsi="Times New Roman"/>
          <w:i/>
          <w:iCs/>
          <w:sz w:val="24"/>
        </w:rPr>
        <w:t xml:space="preserve">In </w:t>
      </w:r>
      <w:r w:rsidR="00091A0A" w:rsidRPr="00B14447">
        <w:rPr>
          <w:rFonts w:ascii="Times New Roman" w:hAnsi="Times New Roman"/>
          <w:i/>
          <w:iCs/>
          <w:sz w:val="24"/>
        </w:rPr>
        <w:t xml:space="preserve">re B (A Child) (Care Proceedings: Threshold Criteria) </w:t>
      </w:r>
      <w:r w:rsidR="00091A0A" w:rsidRPr="00B14447">
        <w:rPr>
          <w:rFonts w:ascii="Times New Roman" w:hAnsi="Times New Roman"/>
          <w:sz w:val="24"/>
        </w:rPr>
        <w:t xml:space="preserve">[2013] 1 WLR 1911 at </w:t>
      </w:r>
      <w:r w:rsidR="00B2445D" w:rsidRPr="00B14447">
        <w:rPr>
          <w:rFonts w:ascii="Times New Roman" w:hAnsi="Times New Roman"/>
          <w:sz w:val="24"/>
        </w:rPr>
        <w:t xml:space="preserve">1943-1944 [92]-[96]; </w:t>
      </w:r>
      <w:r w:rsidR="00480CC5" w:rsidRPr="00B14447">
        <w:rPr>
          <w:rFonts w:ascii="Times New Roman" w:hAnsi="Times New Roman"/>
          <w:sz w:val="24"/>
        </w:rPr>
        <w:t xml:space="preserve">[2013] 3 All ER 929 at </w:t>
      </w:r>
      <w:r w:rsidR="00E13643" w:rsidRPr="00B14447">
        <w:rPr>
          <w:rFonts w:ascii="Times New Roman" w:hAnsi="Times New Roman"/>
          <w:sz w:val="24"/>
        </w:rPr>
        <w:t>960-961</w:t>
      </w:r>
      <w:r w:rsidR="009A620F" w:rsidRPr="00B14447">
        <w:rPr>
          <w:rFonts w:ascii="Times New Roman" w:hAnsi="Times New Roman"/>
          <w:sz w:val="24"/>
        </w:rPr>
        <w:t>.</w:t>
      </w:r>
    </w:p>
  </w:footnote>
  <w:footnote w:id="74">
    <w:p w14:paraId="03DFCB5E" w14:textId="0C6691CF" w:rsidR="005E7AFD" w:rsidRPr="00B14447" w:rsidRDefault="005E7AF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Bostock v Clayton County, Georgia</w:t>
      </w:r>
      <w:r w:rsidRPr="00B14447">
        <w:rPr>
          <w:rFonts w:ascii="Times New Roman" w:hAnsi="Times New Roman"/>
          <w:sz w:val="24"/>
        </w:rPr>
        <w:t xml:space="preserve"> (2020) 140 S Ct 1731 at 1739.</w:t>
      </w:r>
    </w:p>
  </w:footnote>
  <w:footnote w:id="75">
    <w:p w14:paraId="180AA6FD" w14:textId="0B198EA2" w:rsidR="003F7215" w:rsidRPr="00B14447" w:rsidRDefault="003F7215"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w:t>
      </w:r>
      <w:r w:rsidR="00BE6E4E" w:rsidRPr="00B14447">
        <w:rPr>
          <w:rFonts w:ascii="Times New Roman" w:hAnsi="Times New Roman"/>
          <w:sz w:val="24"/>
        </w:rPr>
        <w:t>86</w:t>
      </w:r>
      <w:r w:rsidRPr="00B14447">
        <w:rPr>
          <w:rFonts w:ascii="Times New Roman" w:hAnsi="Times New Roman"/>
          <w:sz w:val="24"/>
        </w:rPr>
        <w:t xml:space="preserve"> [</w:t>
      </w:r>
      <w:r w:rsidR="00BE6E4E" w:rsidRPr="00B14447">
        <w:rPr>
          <w:rFonts w:ascii="Times New Roman" w:hAnsi="Times New Roman"/>
          <w:sz w:val="24"/>
        </w:rPr>
        <w:t>331</w:t>
      </w:r>
      <w:r w:rsidRPr="00B14447">
        <w:rPr>
          <w:rFonts w:ascii="Times New Roman" w:hAnsi="Times New Roman"/>
          <w:sz w:val="24"/>
        </w:rPr>
        <w:t>]</w:t>
      </w:r>
      <w:r w:rsidR="00BE6E4E" w:rsidRPr="00B14447">
        <w:rPr>
          <w:rFonts w:ascii="Times New Roman" w:hAnsi="Times New Roman"/>
          <w:sz w:val="24"/>
        </w:rPr>
        <w:t>.</w:t>
      </w:r>
    </w:p>
  </w:footnote>
  <w:footnote w:id="76">
    <w:p w14:paraId="44A7D140" w14:textId="58464D5E" w:rsidR="000460D4" w:rsidRPr="00B14447" w:rsidRDefault="000460D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The Joint Chronology HC listed the documents in chronological order </w:t>
      </w:r>
      <w:r w:rsidR="00765BA3" w:rsidRPr="00B14447">
        <w:rPr>
          <w:rFonts w:ascii="Times New Roman" w:hAnsi="Times New Roman"/>
          <w:sz w:val="24"/>
        </w:rPr>
        <w:t>and, where relevant, listed the date and time the relev</w:t>
      </w:r>
      <w:r w:rsidR="00D043A2" w:rsidRPr="00B14447">
        <w:rPr>
          <w:rFonts w:ascii="Times New Roman" w:hAnsi="Times New Roman"/>
          <w:sz w:val="24"/>
        </w:rPr>
        <w:t>a</w:t>
      </w:r>
      <w:r w:rsidR="00765BA3" w:rsidRPr="00B14447">
        <w:rPr>
          <w:rFonts w:ascii="Times New Roman" w:hAnsi="Times New Roman"/>
          <w:sz w:val="24"/>
        </w:rPr>
        <w:t xml:space="preserve">nt document was sent or received by reference to Sydney </w:t>
      </w:r>
      <w:r w:rsidR="00D368C5" w:rsidRPr="00B14447">
        <w:rPr>
          <w:rFonts w:ascii="Times New Roman" w:hAnsi="Times New Roman"/>
          <w:sz w:val="24"/>
        </w:rPr>
        <w:t xml:space="preserve">time </w:t>
      </w:r>
      <w:r w:rsidR="00765BA3" w:rsidRPr="00B14447">
        <w:rPr>
          <w:rFonts w:ascii="Times New Roman" w:hAnsi="Times New Roman"/>
          <w:sz w:val="24"/>
        </w:rPr>
        <w:t xml:space="preserve">and </w:t>
      </w:r>
      <w:r w:rsidR="00D368C5" w:rsidRPr="00B14447">
        <w:rPr>
          <w:rFonts w:ascii="Times New Roman" w:hAnsi="Times New Roman"/>
          <w:sz w:val="24"/>
        </w:rPr>
        <w:t>Toronto time. In these reasons for decision, the listed Sydney times have been used</w:t>
      </w:r>
      <w:r w:rsidR="002326E9" w:rsidRPr="00B14447">
        <w:rPr>
          <w:rFonts w:ascii="Times New Roman" w:hAnsi="Times New Roman"/>
          <w:sz w:val="24"/>
        </w:rPr>
        <w:t>, unless otherwise specified</w:t>
      </w:r>
      <w:r w:rsidR="00D368C5" w:rsidRPr="00B14447">
        <w:rPr>
          <w:rFonts w:ascii="Times New Roman" w:hAnsi="Times New Roman"/>
          <w:sz w:val="24"/>
        </w:rPr>
        <w:t>.</w:t>
      </w:r>
    </w:p>
  </w:footnote>
  <w:footnote w:id="77">
    <w:p w14:paraId="1CC360E4" w14:textId="0992F2B3" w:rsidR="00040438" w:rsidRPr="00B14447" w:rsidRDefault="00040438"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530309" w:rsidRPr="00B14447">
        <w:rPr>
          <w:rFonts w:ascii="Times New Roman" w:hAnsi="Times New Roman"/>
          <w:i/>
          <w:iCs/>
          <w:sz w:val="24"/>
        </w:rPr>
        <w:t xml:space="preserve">The Commonwealth v Sanofi (formerly Sanofi-Aventis) </w:t>
      </w:r>
      <w:r w:rsidR="00530309" w:rsidRPr="00B14447">
        <w:rPr>
          <w:rFonts w:ascii="Times New Roman" w:hAnsi="Times New Roman"/>
          <w:sz w:val="24"/>
        </w:rPr>
        <w:t>[2023] HCATrans 184 (18</w:t>
      </w:r>
      <w:r w:rsidR="002625AE">
        <w:rPr>
          <w:rFonts w:ascii="Times New Roman" w:hAnsi="Times New Roman"/>
          <w:sz w:val="24"/>
        </w:rPr>
        <w:t> </w:t>
      </w:r>
      <w:r w:rsidR="00530309" w:rsidRPr="00B14447">
        <w:rPr>
          <w:rFonts w:ascii="Times New Roman" w:hAnsi="Times New Roman"/>
          <w:sz w:val="24"/>
        </w:rPr>
        <w:t xml:space="preserve">December 2023) at </w:t>
      </w:r>
      <w:r w:rsidR="00CF3AF3" w:rsidRPr="00B14447">
        <w:rPr>
          <w:rFonts w:ascii="Times New Roman" w:hAnsi="Times New Roman"/>
          <w:sz w:val="24"/>
        </w:rPr>
        <w:t xml:space="preserve">10 </w:t>
      </w:r>
      <w:r w:rsidR="00F56067" w:rsidRPr="00B14447">
        <w:rPr>
          <w:rFonts w:ascii="Times New Roman" w:hAnsi="Times New Roman"/>
          <w:sz w:val="24"/>
        </w:rPr>
        <w:t>[</w:t>
      </w:r>
      <w:r w:rsidR="00CF3AF3" w:rsidRPr="00B14447">
        <w:rPr>
          <w:rFonts w:ascii="Times New Roman" w:hAnsi="Times New Roman"/>
          <w:sz w:val="24"/>
        </w:rPr>
        <w:t>lines</w:t>
      </w:r>
      <w:r w:rsidR="00FD6D9F" w:rsidRPr="00B14447">
        <w:rPr>
          <w:rFonts w:ascii="Times New Roman" w:hAnsi="Times New Roman"/>
          <w:sz w:val="24"/>
        </w:rPr>
        <w:t xml:space="preserve"> 33</w:t>
      </w:r>
      <w:r w:rsidR="00251C4D" w:rsidRPr="00B14447">
        <w:rPr>
          <w:rFonts w:ascii="Times New Roman" w:hAnsi="Times New Roman"/>
          <w:sz w:val="24"/>
        </w:rPr>
        <w:t>2</w:t>
      </w:r>
      <w:r w:rsidR="00FD6D9F" w:rsidRPr="00B14447">
        <w:rPr>
          <w:rFonts w:ascii="Times New Roman" w:hAnsi="Times New Roman"/>
          <w:sz w:val="24"/>
        </w:rPr>
        <w:t>-3</w:t>
      </w:r>
      <w:r w:rsidR="000C4A63" w:rsidRPr="00B14447">
        <w:rPr>
          <w:rFonts w:ascii="Times New Roman" w:hAnsi="Times New Roman"/>
          <w:sz w:val="24"/>
        </w:rPr>
        <w:t>49</w:t>
      </w:r>
      <w:r w:rsidR="00F56067" w:rsidRPr="00B14447">
        <w:rPr>
          <w:rFonts w:ascii="Times New Roman" w:hAnsi="Times New Roman"/>
          <w:sz w:val="24"/>
        </w:rPr>
        <w:t>]</w:t>
      </w:r>
      <w:r w:rsidR="00FD6D9F" w:rsidRPr="00B14447">
        <w:rPr>
          <w:rFonts w:ascii="Times New Roman" w:hAnsi="Times New Roman"/>
          <w:sz w:val="24"/>
        </w:rPr>
        <w:t xml:space="preserve">. </w:t>
      </w:r>
    </w:p>
  </w:footnote>
  <w:footnote w:id="78">
    <w:p w14:paraId="62F23646" w14:textId="68387634" w:rsidR="00571D0A" w:rsidRPr="00B14447" w:rsidRDefault="00571D0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HCATrans 184 (18</w:t>
      </w:r>
      <w:r w:rsidR="002625AE">
        <w:rPr>
          <w:rFonts w:ascii="Times New Roman" w:hAnsi="Times New Roman"/>
          <w:sz w:val="24"/>
        </w:rPr>
        <w:t> </w:t>
      </w:r>
      <w:r w:rsidRPr="00B14447">
        <w:rPr>
          <w:rFonts w:ascii="Times New Roman" w:hAnsi="Times New Roman"/>
          <w:sz w:val="24"/>
        </w:rPr>
        <w:t xml:space="preserve">December 2023) at </w:t>
      </w:r>
      <w:r w:rsidR="00CF3347" w:rsidRPr="00B14447">
        <w:rPr>
          <w:rFonts w:ascii="Times New Roman" w:hAnsi="Times New Roman"/>
          <w:sz w:val="24"/>
        </w:rPr>
        <w:t xml:space="preserve">21-22 </w:t>
      </w:r>
      <w:r w:rsidR="00F56067" w:rsidRPr="00B14447">
        <w:rPr>
          <w:rFonts w:ascii="Times New Roman" w:hAnsi="Times New Roman"/>
          <w:sz w:val="24"/>
        </w:rPr>
        <w:t>[</w:t>
      </w:r>
      <w:r w:rsidR="00CF3347" w:rsidRPr="00B14447">
        <w:rPr>
          <w:rFonts w:ascii="Times New Roman" w:hAnsi="Times New Roman"/>
          <w:sz w:val="24"/>
        </w:rPr>
        <w:t>lines 870-895</w:t>
      </w:r>
      <w:r w:rsidR="00F56067" w:rsidRPr="00B14447">
        <w:rPr>
          <w:rFonts w:ascii="Times New Roman" w:hAnsi="Times New Roman"/>
          <w:sz w:val="24"/>
        </w:rPr>
        <w:t>]</w:t>
      </w:r>
      <w:r w:rsidR="00CF3347" w:rsidRPr="00B14447">
        <w:rPr>
          <w:rFonts w:ascii="Times New Roman" w:hAnsi="Times New Roman"/>
          <w:sz w:val="24"/>
        </w:rPr>
        <w:t xml:space="preserve">. </w:t>
      </w:r>
    </w:p>
  </w:footnote>
  <w:footnote w:id="79">
    <w:p w14:paraId="3884C780" w14:textId="438FBBD2"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715B48" w:rsidRPr="00B14447">
        <w:rPr>
          <w:rFonts w:ascii="Times New Roman" w:hAnsi="Times New Roman"/>
          <w:i/>
          <w:iCs/>
          <w:sz w:val="24"/>
        </w:rPr>
        <w:t xml:space="preserve"> [No</w:t>
      </w:r>
      <w:r w:rsidR="00636975" w:rsidRPr="00B14447">
        <w:rPr>
          <w:rFonts w:ascii="Times New Roman" w:hAnsi="Times New Roman"/>
          <w:i/>
          <w:iCs/>
          <w:sz w:val="24"/>
        </w:rPr>
        <w:t> </w:t>
      </w:r>
      <w:r w:rsidR="00715B48" w:rsidRPr="00B14447">
        <w:rPr>
          <w:rFonts w:ascii="Times New Roman" w:hAnsi="Times New Roman"/>
          <w:i/>
          <w:iCs/>
          <w:sz w:val="24"/>
        </w:rPr>
        <w:t>5]</w:t>
      </w:r>
      <w:r w:rsidRPr="00B14447">
        <w:rPr>
          <w:rFonts w:ascii="Times New Roman" w:hAnsi="Times New Roman"/>
          <w:i/>
          <w:iCs/>
          <w:sz w:val="24"/>
        </w:rPr>
        <w:t xml:space="preserve"> </w:t>
      </w:r>
      <w:r w:rsidRPr="00B14447">
        <w:rPr>
          <w:rFonts w:ascii="Times New Roman" w:hAnsi="Times New Roman"/>
          <w:sz w:val="24"/>
        </w:rPr>
        <w:t>(2020) 151 IPR 237 at 282-284 [206]-[218].</w:t>
      </w:r>
    </w:p>
  </w:footnote>
  <w:footnote w:id="80">
    <w:p w14:paraId="58E65BBB" w14:textId="4145BE4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715B48" w:rsidRPr="00B14447">
        <w:rPr>
          <w:rFonts w:ascii="Times New Roman" w:hAnsi="Times New Roman"/>
          <w:i/>
          <w:iCs/>
          <w:sz w:val="24"/>
        </w:rPr>
        <w:t xml:space="preserve"> [No</w:t>
      </w:r>
      <w:r w:rsidR="00636975" w:rsidRPr="00B14447">
        <w:rPr>
          <w:rFonts w:ascii="Times New Roman" w:hAnsi="Times New Roman"/>
          <w:i/>
          <w:iCs/>
          <w:sz w:val="24"/>
        </w:rPr>
        <w:t> </w:t>
      </w:r>
      <w:r w:rsidR="00715B48" w:rsidRPr="00B14447">
        <w:rPr>
          <w:rFonts w:ascii="Times New Roman" w:hAnsi="Times New Roman"/>
          <w:i/>
          <w:iCs/>
          <w:sz w:val="24"/>
        </w:rPr>
        <w:t>5]</w:t>
      </w:r>
      <w:r w:rsidRPr="00B14447">
        <w:rPr>
          <w:rFonts w:ascii="Times New Roman" w:hAnsi="Times New Roman"/>
          <w:i/>
          <w:iCs/>
          <w:sz w:val="24"/>
        </w:rPr>
        <w:t xml:space="preserve"> </w:t>
      </w:r>
      <w:r w:rsidRPr="00B14447">
        <w:rPr>
          <w:rFonts w:ascii="Times New Roman" w:hAnsi="Times New Roman"/>
          <w:sz w:val="24"/>
        </w:rPr>
        <w:t>(2020) 151 IPR 237 at 282 [201]-[205].</w:t>
      </w:r>
    </w:p>
  </w:footnote>
  <w:footnote w:id="81">
    <w:p w14:paraId="1859F3CC" w14:textId="728915F9"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26132F" w:rsidRPr="00B14447">
        <w:rPr>
          <w:rFonts w:ascii="Times New Roman" w:hAnsi="Times New Roman"/>
          <w:i/>
          <w:iCs/>
          <w:sz w:val="24"/>
        </w:rPr>
        <w:t>[</w:t>
      </w:r>
      <w:r w:rsidR="00636975" w:rsidRPr="00B14447">
        <w:rPr>
          <w:rFonts w:ascii="Times New Roman" w:hAnsi="Times New Roman"/>
          <w:i/>
          <w:iCs/>
          <w:sz w:val="24"/>
        </w:rPr>
        <w:t>No </w:t>
      </w:r>
      <w:r w:rsidR="0026132F" w:rsidRPr="00B14447">
        <w:rPr>
          <w:rFonts w:ascii="Times New Roman" w:hAnsi="Times New Roman"/>
          <w:i/>
          <w:iCs/>
          <w:sz w:val="24"/>
        </w:rPr>
        <w:t xml:space="preserve">5] </w:t>
      </w:r>
      <w:r w:rsidRPr="00B14447">
        <w:rPr>
          <w:rFonts w:ascii="Times New Roman" w:hAnsi="Times New Roman"/>
          <w:sz w:val="24"/>
        </w:rPr>
        <w:t>(2020) 151 IPR 237 at 293-294 [266]-[272].</w:t>
      </w:r>
    </w:p>
  </w:footnote>
  <w:footnote w:id="82">
    <w:p w14:paraId="2788EF03" w14:textId="2A7DCEFA" w:rsidR="0019348F" w:rsidRPr="00B14447" w:rsidRDefault="0019348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Apotex Pty Ltd (formerly Genrx Pty Ltd) (ACN 096 916 148) v Sanofi-Aventis </w:t>
      </w:r>
      <w:r w:rsidRPr="00B14447">
        <w:rPr>
          <w:rFonts w:ascii="Times New Roman" w:hAnsi="Times New Roman"/>
          <w:sz w:val="24"/>
        </w:rPr>
        <w:t>(2008) 78 IPR 485.</w:t>
      </w:r>
    </w:p>
  </w:footnote>
  <w:footnote w:id="83">
    <w:p w14:paraId="05C465E6" w14:textId="65FCA020" w:rsidR="00394699" w:rsidRPr="00B14447" w:rsidRDefault="0039469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2004FA" w:rsidRPr="00965770">
        <w:rPr>
          <w:rFonts w:ascii="Times New Roman" w:hAnsi="Times New Roman"/>
          <w:sz w:val="24"/>
        </w:rPr>
        <w:t>See</w:t>
      </w:r>
      <w:r w:rsidR="00FD1C61" w:rsidRPr="00965770">
        <w:rPr>
          <w:rFonts w:ascii="Times New Roman" w:hAnsi="Times New Roman"/>
          <w:sz w:val="24"/>
        </w:rPr>
        <w:t xml:space="preserve"> </w:t>
      </w:r>
      <w:r w:rsidRPr="00965770">
        <w:rPr>
          <w:rFonts w:ascii="Times New Roman" w:hAnsi="Times New Roman"/>
          <w:sz w:val="24"/>
        </w:rPr>
        <w:t>[</w:t>
      </w:r>
      <w:r w:rsidR="002004FA" w:rsidRPr="00965770">
        <w:rPr>
          <w:rFonts w:ascii="Times New Roman" w:hAnsi="Times New Roman"/>
          <w:sz w:val="24"/>
        </w:rPr>
        <w:t>7</w:t>
      </w:r>
      <w:r w:rsidR="00B253F0" w:rsidRPr="00965770">
        <w:rPr>
          <w:rFonts w:ascii="Times New Roman" w:hAnsi="Times New Roman"/>
          <w:sz w:val="24"/>
        </w:rPr>
        <w:t>]</w:t>
      </w:r>
      <w:r w:rsidR="002004FA" w:rsidRPr="00965770">
        <w:rPr>
          <w:rFonts w:ascii="Times New Roman" w:hAnsi="Times New Roman"/>
          <w:sz w:val="24"/>
        </w:rPr>
        <w:t xml:space="preserve"> above</w:t>
      </w:r>
      <w:r w:rsidR="00B253F0" w:rsidRPr="00965770">
        <w:rPr>
          <w:rFonts w:ascii="Times New Roman" w:hAnsi="Times New Roman"/>
          <w:sz w:val="24"/>
        </w:rPr>
        <w:t>.</w:t>
      </w:r>
      <w:r w:rsidR="00B253F0" w:rsidRPr="00B14447">
        <w:rPr>
          <w:rFonts w:ascii="Times New Roman" w:hAnsi="Times New Roman"/>
          <w:sz w:val="24"/>
        </w:rPr>
        <w:t xml:space="preserve"> </w:t>
      </w:r>
    </w:p>
  </w:footnote>
  <w:footnote w:id="84">
    <w:p w14:paraId="4DEA8AF0" w14:textId="500044A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7C7368" w:rsidRPr="00B14447">
        <w:rPr>
          <w:rFonts w:ascii="Times New Roman" w:hAnsi="Times New Roman"/>
          <w:i/>
          <w:iCs/>
          <w:sz w:val="24"/>
        </w:rPr>
        <w:t xml:space="preserve">[No 5] </w:t>
      </w:r>
      <w:r w:rsidRPr="00B14447">
        <w:rPr>
          <w:rFonts w:ascii="Times New Roman" w:hAnsi="Times New Roman"/>
          <w:sz w:val="24"/>
        </w:rPr>
        <w:t>(2020) 151 IPR 237 at 295 [276]-[277].</w:t>
      </w:r>
    </w:p>
  </w:footnote>
  <w:footnote w:id="85">
    <w:p w14:paraId="39E0EB03" w14:textId="3F9ED48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7C7368"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307 [339]-[340].</w:t>
      </w:r>
    </w:p>
  </w:footnote>
  <w:footnote w:id="86">
    <w:p w14:paraId="04A4930E" w14:textId="5D5DD0CE"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7C7368"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307 [297].</w:t>
      </w:r>
    </w:p>
  </w:footnote>
  <w:footnote w:id="87">
    <w:p w14:paraId="38AA4612" w14:textId="164ACCA9"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7C7368" w:rsidRPr="00B14447">
        <w:rPr>
          <w:rFonts w:ascii="Times New Roman" w:hAnsi="Times New Roman"/>
          <w:i/>
          <w:iCs/>
          <w:sz w:val="24"/>
        </w:rPr>
        <w:t xml:space="preserve">[No 5] </w:t>
      </w:r>
      <w:r w:rsidRPr="00B14447">
        <w:rPr>
          <w:rFonts w:ascii="Times New Roman" w:hAnsi="Times New Roman"/>
          <w:sz w:val="24"/>
        </w:rPr>
        <w:t>(2020) 151 IPR 237 at 286 [232].</w:t>
      </w:r>
    </w:p>
  </w:footnote>
  <w:footnote w:id="88">
    <w:p w14:paraId="774EED0A" w14:textId="238113E5"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7C7368" w:rsidRPr="00B14447">
        <w:rPr>
          <w:rFonts w:ascii="Times New Roman" w:hAnsi="Times New Roman"/>
          <w:i/>
          <w:iCs/>
          <w:sz w:val="24"/>
        </w:rPr>
        <w:t xml:space="preserve">[No 5] </w:t>
      </w:r>
      <w:r w:rsidRPr="00B14447">
        <w:rPr>
          <w:rFonts w:ascii="Times New Roman" w:hAnsi="Times New Roman"/>
          <w:sz w:val="24"/>
        </w:rPr>
        <w:t>(2020) 151 IPR 237 at 285-286 [229]-[231].</w:t>
      </w:r>
    </w:p>
  </w:footnote>
  <w:footnote w:id="89">
    <w:p w14:paraId="29E883EF" w14:textId="783A2FD2"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3552AD" w:rsidRPr="00B14447">
        <w:rPr>
          <w:rFonts w:ascii="Times New Roman" w:hAnsi="Times New Roman"/>
          <w:i/>
          <w:iCs/>
          <w:sz w:val="24"/>
        </w:rPr>
        <w:t xml:space="preserve">[No 5] </w:t>
      </w:r>
      <w:r w:rsidRPr="00B14447">
        <w:rPr>
          <w:rFonts w:ascii="Times New Roman" w:hAnsi="Times New Roman"/>
          <w:sz w:val="24"/>
        </w:rPr>
        <w:t>(2020) 151 IPR 237 at 295 [279]-[280].</w:t>
      </w:r>
    </w:p>
  </w:footnote>
  <w:footnote w:id="90">
    <w:p w14:paraId="581A1F7F" w14:textId="3625F131"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3552AD" w:rsidRPr="00B14447">
        <w:rPr>
          <w:rFonts w:ascii="Times New Roman" w:hAnsi="Times New Roman"/>
          <w:i/>
          <w:iCs/>
          <w:sz w:val="24"/>
        </w:rPr>
        <w:t xml:space="preserve">[No 5] </w:t>
      </w:r>
      <w:r w:rsidRPr="00B14447">
        <w:rPr>
          <w:rFonts w:ascii="Times New Roman" w:hAnsi="Times New Roman"/>
          <w:sz w:val="24"/>
        </w:rPr>
        <w:t>(2020) 151 IPR 237 at 289 [243].</w:t>
      </w:r>
    </w:p>
  </w:footnote>
  <w:footnote w:id="91">
    <w:p w14:paraId="7D372366" w14:textId="21D40F1F"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3552AD" w:rsidRPr="00B14447">
        <w:rPr>
          <w:rFonts w:ascii="Times New Roman" w:hAnsi="Times New Roman"/>
          <w:i/>
          <w:iCs/>
          <w:sz w:val="24"/>
        </w:rPr>
        <w:t xml:space="preserve">[No 5] </w:t>
      </w:r>
      <w:r w:rsidRPr="00B14447">
        <w:rPr>
          <w:rFonts w:ascii="Times New Roman" w:hAnsi="Times New Roman"/>
          <w:sz w:val="24"/>
        </w:rPr>
        <w:t>(2020) 151 IPR 237 at 291 [252]-[255]. See also at 292 [260].</w:t>
      </w:r>
    </w:p>
  </w:footnote>
  <w:footnote w:id="92">
    <w:p w14:paraId="4755FF35" w14:textId="0D0CB1BC"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F73C2" w:rsidRPr="00B14447">
        <w:rPr>
          <w:rFonts w:ascii="Times New Roman" w:hAnsi="Times New Roman"/>
          <w:i/>
          <w:iCs/>
          <w:sz w:val="24"/>
        </w:rPr>
        <w:t xml:space="preserve">[No 5] </w:t>
      </w:r>
      <w:r w:rsidRPr="00B14447">
        <w:rPr>
          <w:rFonts w:ascii="Times New Roman" w:hAnsi="Times New Roman"/>
          <w:sz w:val="24"/>
        </w:rPr>
        <w:t xml:space="preserve">(2020) 151 IPR 237 at </w:t>
      </w:r>
      <w:r w:rsidR="009F73C2" w:rsidRPr="00B14447">
        <w:rPr>
          <w:rFonts w:ascii="Times New Roman" w:hAnsi="Times New Roman"/>
          <w:sz w:val="24"/>
        </w:rPr>
        <w:t>297 [288].</w:t>
      </w:r>
    </w:p>
  </w:footnote>
  <w:footnote w:id="93">
    <w:p w14:paraId="492C7789" w14:textId="4916E4D3"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6B01" w:rsidRPr="00B14447">
        <w:rPr>
          <w:rFonts w:ascii="Times New Roman" w:hAnsi="Times New Roman"/>
          <w:i/>
          <w:iCs/>
          <w:sz w:val="24"/>
        </w:rPr>
        <w:t xml:space="preserve">[No 5] </w:t>
      </w:r>
      <w:r w:rsidRPr="00B14447">
        <w:rPr>
          <w:rFonts w:ascii="Times New Roman" w:hAnsi="Times New Roman"/>
          <w:sz w:val="24"/>
        </w:rPr>
        <w:t>(2020) 151 IPR 237 at 289-290 [246]-[251].</w:t>
      </w:r>
    </w:p>
  </w:footnote>
  <w:footnote w:id="94">
    <w:p w14:paraId="49F29018" w14:textId="68BB4E89"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w:t>
      </w:r>
      <w:r w:rsidRPr="00B14447">
        <w:rPr>
          <w:rFonts w:ascii="Times New Roman" w:hAnsi="Times New Roman"/>
          <w:sz w:val="24"/>
        </w:rPr>
        <w:t xml:space="preserve"> </w:t>
      </w:r>
      <w:r w:rsidRPr="00B14447">
        <w:rPr>
          <w:rFonts w:ascii="Times New Roman" w:hAnsi="Times New Roman"/>
          <w:i/>
          <w:iCs/>
          <w:sz w:val="24"/>
        </w:rPr>
        <w:t xml:space="preserve">Commonwealth v Sanofi (formerly Sanofi-Aventis) </w:t>
      </w:r>
      <w:r w:rsidR="00694E4D" w:rsidRPr="00B14447">
        <w:rPr>
          <w:rFonts w:ascii="Times New Roman" w:hAnsi="Times New Roman"/>
          <w:i/>
          <w:iCs/>
          <w:sz w:val="24"/>
        </w:rPr>
        <w:t xml:space="preserve">[No 5] </w:t>
      </w:r>
      <w:r w:rsidRPr="00B14447">
        <w:rPr>
          <w:rFonts w:ascii="Times New Roman" w:hAnsi="Times New Roman"/>
          <w:sz w:val="24"/>
        </w:rPr>
        <w:t>(2020) 151 IPR 237 at 309 [351].</w:t>
      </w:r>
    </w:p>
  </w:footnote>
  <w:footnote w:id="95">
    <w:p w14:paraId="798ED3F0" w14:textId="3C73AD23"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825BB4"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29</w:t>
      </w:r>
      <w:r w:rsidR="00825BB4" w:rsidRPr="00B14447">
        <w:rPr>
          <w:rFonts w:ascii="Times New Roman" w:hAnsi="Times New Roman"/>
          <w:sz w:val="24"/>
        </w:rPr>
        <w:t>0</w:t>
      </w:r>
      <w:r w:rsidRPr="00B14447">
        <w:rPr>
          <w:rFonts w:ascii="Times New Roman" w:hAnsi="Times New Roman"/>
          <w:sz w:val="24"/>
        </w:rPr>
        <w:t xml:space="preserve"> [249].</w:t>
      </w:r>
    </w:p>
  </w:footnote>
  <w:footnote w:id="96">
    <w:p w14:paraId="77659B9D" w14:textId="12800E52"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825BB4" w:rsidRPr="00B14447">
        <w:rPr>
          <w:rFonts w:ascii="Times New Roman" w:hAnsi="Times New Roman"/>
          <w:i/>
          <w:iCs/>
          <w:sz w:val="24"/>
        </w:rPr>
        <w:t xml:space="preserve">[No 5] </w:t>
      </w:r>
      <w:r w:rsidRPr="00B14447">
        <w:rPr>
          <w:rFonts w:ascii="Times New Roman" w:hAnsi="Times New Roman"/>
          <w:sz w:val="24"/>
        </w:rPr>
        <w:t>(2020) 151 IPR 237 at 290 [250].</w:t>
      </w:r>
    </w:p>
  </w:footnote>
  <w:footnote w:id="97">
    <w:p w14:paraId="100FD8F0" w14:textId="328EDCD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965770">
        <w:rPr>
          <w:rFonts w:ascii="Times New Roman" w:hAnsi="Times New Roman"/>
          <w:sz w:val="24"/>
        </w:rPr>
        <w:t>See [</w:t>
      </w:r>
      <w:r w:rsidR="005D27B6" w:rsidRPr="00965770">
        <w:rPr>
          <w:rFonts w:ascii="Times New Roman" w:hAnsi="Times New Roman"/>
          <w:sz w:val="24"/>
        </w:rPr>
        <w:t>6</w:t>
      </w:r>
      <w:r w:rsidR="002004FA" w:rsidRPr="00965770">
        <w:rPr>
          <w:rFonts w:ascii="Times New Roman" w:hAnsi="Times New Roman"/>
          <w:sz w:val="24"/>
        </w:rPr>
        <w:t>8</w:t>
      </w:r>
      <w:r w:rsidRPr="00965770">
        <w:rPr>
          <w:rFonts w:ascii="Times New Roman" w:hAnsi="Times New Roman"/>
          <w:sz w:val="24"/>
        </w:rPr>
        <w:t>]</w:t>
      </w:r>
      <w:r w:rsidRPr="00B14447">
        <w:rPr>
          <w:rFonts w:ascii="Times New Roman" w:hAnsi="Times New Roman"/>
          <w:sz w:val="24"/>
        </w:rPr>
        <w:t xml:space="preserve"> above.</w:t>
      </w:r>
    </w:p>
  </w:footnote>
  <w:footnote w:id="98">
    <w:p w14:paraId="4B022F40" w14:textId="204D46C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825BB4" w:rsidRPr="00B14447">
        <w:rPr>
          <w:rFonts w:ascii="Times New Roman" w:hAnsi="Times New Roman"/>
          <w:i/>
          <w:iCs/>
          <w:sz w:val="24"/>
        </w:rPr>
        <w:t xml:space="preserve">[No 5] </w:t>
      </w:r>
      <w:r w:rsidRPr="00B14447">
        <w:rPr>
          <w:rFonts w:ascii="Times New Roman" w:hAnsi="Times New Roman"/>
          <w:sz w:val="24"/>
        </w:rPr>
        <w:t>(2020) 151 IPR 237 at 298 [291].</w:t>
      </w:r>
    </w:p>
  </w:footnote>
  <w:footnote w:id="99">
    <w:p w14:paraId="2DDB8FB4" w14:textId="13AF6F68"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E06728" w:rsidRPr="00B14447">
        <w:rPr>
          <w:rFonts w:ascii="Times New Roman" w:hAnsi="Times New Roman"/>
          <w:i/>
          <w:iCs/>
          <w:sz w:val="24"/>
        </w:rPr>
        <w:t xml:space="preserve">[No 5] </w:t>
      </w:r>
      <w:r w:rsidRPr="00B14447">
        <w:rPr>
          <w:rFonts w:ascii="Times New Roman" w:hAnsi="Times New Roman"/>
          <w:sz w:val="24"/>
        </w:rPr>
        <w:t xml:space="preserve">(2020) 151 IPR 237 at </w:t>
      </w:r>
      <w:r w:rsidR="0077013B" w:rsidRPr="00B14447">
        <w:rPr>
          <w:rFonts w:ascii="Times New Roman" w:hAnsi="Times New Roman"/>
          <w:sz w:val="24"/>
        </w:rPr>
        <w:t xml:space="preserve">298 </w:t>
      </w:r>
      <w:r w:rsidRPr="00B14447">
        <w:rPr>
          <w:rFonts w:ascii="Times New Roman" w:hAnsi="Times New Roman"/>
          <w:sz w:val="24"/>
        </w:rPr>
        <w:t>[</w:t>
      </w:r>
      <w:r w:rsidR="0077013B" w:rsidRPr="00B14447">
        <w:rPr>
          <w:rFonts w:ascii="Times New Roman" w:hAnsi="Times New Roman"/>
          <w:sz w:val="24"/>
        </w:rPr>
        <w:t>288</w:t>
      </w:r>
      <w:r w:rsidRPr="00B14447">
        <w:rPr>
          <w:rFonts w:ascii="Times New Roman" w:hAnsi="Times New Roman"/>
          <w:sz w:val="24"/>
        </w:rPr>
        <w:t>].</w:t>
      </w:r>
    </w:p>
  </w:footnote>
  <w:footnote w:id="100">
    <w:p w14:paraId="5B24C3FB" w14:textId="3F41BF39"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E06728" w:rsidRPr="00B14447">
        <w:rPr>
          <w:rFonts w:ascii="Times New Roman" w:hAnsi="Times New Roman"/>
          <w:i/>
          <w:iCs/>
          <w:sz w:val="24"/>
        </w:rPr>
        <w:t xml:space="preserve">[No 5] </w:t>
      </w:r>
      <w:r w:rsidRPr="00B14447">
        <w:rPr>
          <w:rFonts w:ascii="Times New Roman" w:hAnsi="Times New Roman"/>
          <w:sz w:val="24"/>
        </w:rPr>
        <w:t xml:space="preserve">(2020) 151 IPR 237 at </w:t>
      </w:r>
      <w:r w:rsidR="00F95BBA" w:rsidRPr="00B14447">
        <w:rPr>
          <w:rFonts w:ascii="Times New Roman" w:hAnsi="Times New Roman"/>
          <w:sz w:val="24"/>
        </w:rPr>
        <w:t>299 [2</w:t>
      </w:r>
      <w:r w:rsidR="00C14BA6" w:rsidRPr="00B14447">
        <w:rPr>
          <w:rFonts w:ascii="Times New Roman" w:hAnsi="Times New Roman"/>
          <w:sz w:val="24"/>
        </w:rPr>
        <w:t>9</w:t>
      </w:r>
      <w:r w:rsidR="00F95BBA" w:rsidRPr="00B14447">
        <w:rPr>
          <w:rFonts w:ascii="Times New Roman" w:hAnsi="Times New Roman"/>
          <w:sz w:val="24"/>
        </w:rPr>
        <w:t xml:space="preserve">6], </w:t>
      </w:r>
      <w:r w:rsidRPr="00B14447">
        <w:rPr>
          <w:rFonts w:ascii="Times New Roman" w:hAnsi="Times New Roman"/>
          <w:sz w:val="24"/>
        </w:rPr>
        <w:t>300 [301]</w:t>
      </w:r>
      <w:r w:rsidR="00F95BBA" w:rsidRPr="00B14447">
        <w:rPr>
          <w:rFonts w:ascii="Times New Roman" w:hAnsi="Times New Roman"/>
          <w:sz w:val="24"/>
        </w:rPr>
        <w:t>, 301 [311]</w:t>
      </w:r>
      <w:r w:rsidRPr="00B14447">
        <w:rPr>
          <w:rFonts w:ascii="Times New Roman" w:hAnsi="Times New Roman"/>
          <w:sz w:val="24"/>
        </w:rPr>
        <w:t>.</w:t>
      </w:r>
    </w:p>
  </w:footnote>
  <w:footnote w:id="101">
    <w:p w14:paraId="2C7F5AFD" w14:textId="6BF7E484"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260FF4"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287-288 [237]-[240].</w:t>
      </w:r>
    </w:p>
  </w:footnote>
  <w:footnote w:id="102">
    <w:p w14:paraId="2CD2577B" w14:textId="1DEFDBCE"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F94C97"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296-297 [282]-[286].</w:t>
      </w:r>
    </w:p>
  </w:footnote>
  <w:footnote w:id="103">
    <w:p w14:paraId="1C72CCAC" w14:textId="0B9BE50E"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F94C97" w:rsidRPr="00B14447">
        <w:rPr>
          <w:rFonts w:ascii="Times New Roman" w:hAnsi="Times New Roman"/>
          <w:i/>
          <w:iCs/>
          <w:sz w:val="24"/>
        </w:rPr>
        <w:t>[No 5]</w:t>
      </w:r>
      <w:r w:rsidR="00F94C97" w:rsidRPr="00B14447">
        <w:rPr>
          <w:rFonts w:ascii="Times New Roman" w:hAnsi="Times New Roman"/>
          <w:sz w:val="24"/>
        </w:rPr>
        <w:t xml:space="preserve"> </w:t>
      </w:r>
      <w:r w:rsidRPr="00B14447">
        <w:rPr>
          <w:rFonts w:ascii="Times New Roman" w:hAnsi="Times New Roman"/>
          <w:sz w:val="24"/>
        </w:rPr>
        <w:t>(2020) 151 IPR 237 at 297 [284].</w:t>
      </w:r>
    </w:p>
  </w:footnote>
  <w:footnote w:id="104">
    <w:p w14:paraId="7B22A4CB" w14:textId="0D2885A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A5222C" w:rsidRPr="00B14447">
        <w:rPr>
          <w:rFonts w:ascii="Times New Roman" w:hAnsi="Times New Roman"/>
          <w:i/>
          <w:iCs/>
          <w:sz w:val="24"/>
        </w:rPr>
        <w:t>[No 5]</w:t>
      </w:r>
      <w:r w:rsidR="00A5222C" w:rsidRPr="00B14447">
        <w:rPr>
          <w:rFonts w:ascii="Times New Roman" w:hAnsi="Times New Roman"/>
          <w:sz w:val="24"/>
        </w:rPr>
        <w:t xml:space="preserve"> </w:t>
      </w:r>
      <w:r w:rsidRPr="00B14447">
        <w:rPr>
          <w:rFonts w:ascii="Times New Roman" w:hAnsi="Times New Roman"/>
          <w:sz w:val="24"/>
        </w:rPr>
        <w:t>(2020) 151 IPR 237 at 303-304 [322]-[324].</w:t>
      </w:r>
    </w:p>
  </w:footnote>
  <w:footnote w:id="105">
    <w:p w14:paraId="7B18F66E" w14:textId="4EA6C870"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A5222C" w:rsidRPr="00B14447">
        <w:rPr>
          <w:rFonts w:ascii="Times New Roman" w:hAnsi="Times New Roman"/>
          <w:i/>
          <w:iCs/>
          <w:sz w:val="24"/>
        </w:rPr>
        <w:t>[No 5]</w:t>
      </w:r>
      <w:r w:rsidR="00A5222C" w:rsidRPr="00B14447">
        <w:rPr>
          <w:rFonts w:ascii="Times New Roman" w:hAnsi="Times New Roman"/>
          <w:sz w:val="24"/>
        </w:rPr>
        <w:t xml:space="preserve"> </w:t>
      </w:r>
      <w:r w:rsidRPr="00B14447">
        <w:rPr>
          <w:rFonts w:ascii="Times New Roman" w:hAnsi="Times New Roman"/>
          <w:sz w:val="24"/>
        </w:rPr>
        <w:t>(2020) 151 IPR 237 at 298-299 [292]-[296].</w:t>
      </w:r>
    </w:p>
  </w:footnote>
  <w:footnote w:id="106">
    <w:p w14:paraId="07B2CF61" w14:textId="293CE496"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bookmarkStart w:id="2" w:name="_Hlk181184524"/>
      <w:r w:rsidR="00A5222C" w:rsidRPr="00B14447">
        <w:rPr>
          <w:rFonts w:ascii="Times New Roman" w:hAnsi="Times New Roman"/>
          <w:i/>
          <w:iCs/>
          <w:sz w:val="24"/>
        </w:rPr>
        <w:t>[No 5]</w:t>
      </w:r>
      <w:r w:rsidR="00A5222C" w:rsidRPr="00B14447">
        <w:rPr>
          <w:rFonts w:ascii="Times New Roman" w:hAnsi="Times New Roman"/>
          <w:sz w:val="24"/>
        </w:rPr>
        <w:t xml:space="preserve"> </w:t>
      </w:r>
      <w:bookmarkEnd w:id="2"/>
      <w:r w:rsidRPr="00B14447">
        <w:rPr>
          <w:rFonts w:ascii="Times New Roman" w:hAnsi="Times New Roman"/>
          <w:sz w:val="24"/>
        </w:rPr>
        <w:t>(2020) 151 IPR 237 at 301 [310]-[314].</w:t>
      </w:r>
    </w:p>
  </w:footnote>
  <w:footnote w:id="107">
    <w:p w14:paraId="71CA61A0" w14:textId="1F9DCFE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307 [341].</w:t>
      </w:r>
    </w:p>
  </w:footnote>
  <w:footnote w:id="108">
    <w:p w14:paraId="7C102976" w14:textId="3221DC9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295 [278].</w:t>
      </w:r>
    </w:p>
  </w:footnote>
  <w:footnote w:id="109">
    <w:p w14:paraId="13139B44" w14:textId="1DD4C5CD"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297 [286].</w:t>
      </w:r>
    </w:p>
  </w:footnote>
  <w:footnote w:id="110">
    <w:p w14:paraId="72383BDE" w14:textId="2D8F534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298 [289].</w:t>
      </w:r>
    </w:p>
  </w:footnote>
  <w:footnote w:id="111">
    <w:p w14:paraId="725DAE61" w14:textId="0BA1A0D1"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298 [289], 307-309 [342]-[349].</w:t>
      </w:r>
    </w:p>
  </w:footnote>
  <w:footnote w:id="112">
    <w:p w14:paraId="4737D5EF" w14:textId="38552360" w:rsidR="009D543D" w:rsidRPr="00B14447" w:rsidRDefault="009D543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 [No 5]</w:t>
      </w:r>
      <w:r w:rsidRPr="00B14447">
        <w:rPr>
          <w:rFonts w:ascii="Times New Roman" w:hAnsi="Times New Roman"/>
          <w:sz w:val="24"/>
        </w:rPr>
        <w:t xml:space="preserve"> (2020) 151 IPR 237 at 308 [347].</w:t>
      </w:r>
    </w:p>
  </w:footnote>
  <w:footnote w:id="113">
    <w:p w14:paraId="0EF7AD76" w14:textId="4EF55760"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9D543D" w:rsidRPr="00B14447">
        <w:rPr>
          <w:rFonts w:ascii="Times New Roman" w:hAnsi="Times New Roman"/>
          <w:i/>
          <w:iCs/>
          <w:sz w:val="24"/>
        </w:rPr>
        <w:t>[No 5]</w:t>
      </w:r>
      <w:r w:rsidR="009D543D" w:rsidRPr="00B14447">
        <w:rPr>
          <w:rFonts w:ascii="Times New Roman" w:hAnsi="Times New Roman"/>
          <w:sz w:val="24"/>
        </w:rPr>
        <w:t xml:space="preserve"> </w:t>
      </w:r>
      <w:r w:rsidRPr="00B14447">
        <w:rPr>
          <w:rFonts w:ascii="Times New Roman" w:hAnsi="Times New Roman"/>
          <w:sz w:val="24"/>
        </w:rPr>
        <w:t>(2020) 151 IPR 237 at 309 [349]-[351].</w:t>
      </w:r>
    </w:p>
  </w:footnote>
  <w:footnote w:id="114">
    <w:p w14:paraId="4EC642D6" w14:textId="3E53BAB9"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295A4C" w:rsidRPr="00B14447">
        <w:rPr>
          <w:rFonts w:ascii="Times New Roman" w:hAnsi="Times New Roman"/>
          <w:i/>
          <w:iCs/>
          <w:sz w:val="24"/>
        </w:rPr>
        <w:t xml:space="preserve">[No 5] </w:t>
      </w:r>
      <w:r w:rsidRPr="00B14447">
        <w:rPr>
          <w:rFonts w:ascii="Times New Roman" w:hAnsi="Times New Roman"/>
          <w:sz w:val="24"/>
        </w:rPr>
        <w:t xml:space="preserve">(2020) 151 IPR 237 at </w:t>
      </w:r>
      <w:r w:rsidR="00681809" w:rsidRPr="00B14447">
        <w:rPr>
          <w:rFonts w:ascii="Times New Roman" w:hAnsi="Times New Roman"/>
          <w:sz w:val="24"/>
        </w:rPr>
        <w:t>299</w:t>
      </w:r>
      <w:r w:rsidRPr="00B14447">
        <w:rPr>
          <w:rFonts w:ascii="Times New Roman" w:hAnsi="Times New Roman"/>
          <w:sz w:val="24"/>
        </w:rPr>
        <w:t>-301 [297]-[310].</w:t>
      </w:r>
    </w:p>
  </w:footnote>
  <w:footnote w:id="115">
    <w:p w14:paraId="0673F05D" w14:textId="04FB9322" w:rsidR="003A3AE6" w:rsidRPr="00B14447" w:rsidRDefault="003A3AE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B1460D" w:rsidRPr="00B14447">
        <w:rPr>
          <w:rFonts w:ascii="Times New Roman" w:hAnsi="Times New Roman"/>
          <w:i/>
          <w:iCs/>
          <w:sz w:val="24"/>
        </w:rPr>
        <w:t xml:space="preserve">The Commonwealth v Sanofi (formerly Sanofi-Aventis) </w:t>
      </w:r>
      <w:r w:rsidR="00B1460D" w:rsidRPr="00B14447">
        <w:rPr>
          <w:rFonts w:ascii="Times New Roman" w:hAnsi="Times New Roman"/>
          <w:sz w:val="24"/>
        </w:rPr>
        <w:t>(2023) 411 ALR 315 at 33</w:t>
      </w:r>
      <w:r w:rsidR="003708DF" w:rsidRPr="00B14447">
        <w:rPr>
          <w:rFonts w:ascii="Times New Roman" w:hAnsi="Times New Roman"/>
          <w:sz w:val="24"/>
        </w:rPr>
        <w:t>5</w:t>
      </w:r>
      <w:r w:rsidR="00B1460D" w:rsidRPr="00B14447">
        <w:rPr>
          <w:rFonts w:ascii="Times New Roman" w:hAnsi="Times New Roman"/>
          <w:sz w:val="24"/>
        </w:rPr>
        <w:t xml:space="preserve"> [</w:t>
      </w:r>
      <w:r w:rsidR="003708DF" w:rsidRPr="00B14447">
        <w:rPr>
          <w:rFonts w:ascii="Times New Roman" w:hAnsi="Times New Roman"/>
          <w:sz w:val="24"/>
        </w:rPr>
        <w:t>83</w:t>
      </w:r>
      <w:r w:rsidR="00B1460D" w:rsidRPr="00B14447">
        <w:rPr>
          <w:rFonts w:ascii="Times New Roman" w:hAnsi="Times New Roman"/>
          <w:sz w:val="24"/>
        </w:rPr>
        <w:t>].</w:t>
      </w:r>
    </w:p>
  </w:footnote>
  <w:footnote w:id="116">
    <w:p w14:paraId="4D808194" w14:textId="48F99F01" w:rsidR="00C62303" w:rsidRPr="00B14447" w:rsidRDefault="00C6230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965770">
        <w:rPr>
          <w:rFonts w:ascii="Times New Roman" w:hAnsi="Times New Roman"/>
          <w:sz w:val="24"/>
        </w:rPr>
        <w:t>See [2</w:t>
      </w:r>
      <w:r w:rsidR="00AE5CB6" w:rsidRPr="00965770">
        <w:rPr>
          <w:rFonts w:ascii="Times New Roman" w:hAnsi="Times New Roman"/>
          <w:sz w:val="24"/>
        </w:rPr>
        <w:t>1</w:t>
      </w:r>
      <w:r w:rsidRPr="00965770">
        <w:rPr>
          <w:rFonts w:ascii="Times New Roman" w:hAnsi="Times New Roman"/>
          <w:sz w:val="24"/>
        </w:rPr>
        <w:t>]-[</w:t>
      </w:r>
      <w:r w:rsidR="00C237EC" w:rsidRPr="00965770">
        <w:rPr>
          <w:rFonts w:ascii="Times New Roman" w:hAnsi="Times New Roman"/>
          <w:sz w:val="24"/>
        </w:rPr>
        <w:t>2</w:t>
      </w:r>
      <w:r w:rsidR="00AE5CB6" w:rsidRPr="00965770">
        <w:rPr>
          <w:rFonts w:ascii="Times New Roman" w:hAnsi="Times New Roman"/>
          <w:sz w:val="24"/>
        </w:rPr>
        <w:t>2</w:t>
      </w:r>
      <w:r w:rsidRPr="00965770">
        <w:rPr>
          <w:rFonts w:ascii="Times New Roman" w:hAnsi="Times New Roman"/>
          <w:sz w:val="24"/>
        </w:rPr>
        <w:t>]</w:t>
      </w:r>
      <w:r w:rsidRPr="00B14447">
        <w:rPr>
          <w:rFonts w:ascii="Times New Roman" w:hAnsi="Times New Roman"/>
          <w:sz w:val="24"/>
        </w:rPr>
        <w:t xml:space="preserve"> above. </w:t>
      </w:r>
    </w:p>
  </w:footnote>
  <w:footnote w:id="117">
    <w:p w14:paraId="41282993" w14:textId="596B53B1" w:rsidR="00E66AF0" w:rsidRPr="00B14447" w:rsidRDefault="00E66AF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(1959) 101 CLR 298. </w:t>
      </w:r>
    </w:p>
  </w:footnote>
  <w:footnote w:id="118">
    <w:p w14:paraId="26FEE3B6" w14:textId="57EF0254"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339 [104]</w:t>
      </w:r>
      <w:r w:rsidR="006A29EE" w:rsidRPr="00B14447">
        <w:rPr>
          <w:rFonts w:ascii="Times New Roman" w:hAnsi="Times New Roman"/>
          <w:sz w:val="24"/>
        </w:rPr>
        <w:t>-</w:t>
      </w:r>
      <w:r w:rsidR="00DA4517" w:rsidRPr="00B14447">
        <w:rPr>
          <w:rFonts w:ascii="Times New Roman" w:hAnsi="Times New Roman"/>
          <w:sz w:val="24"/>
        </w:rPr>
        <w:t>[105],</w:t>
      </w:r>
      <w:r w:rsidRPr="00B14447">
        <w:rPr>
          <w:rFonts w:ascii="Times New Roman" w:hAnsi="Times New Roman"/>
          <w:sz w:val="24"/>
        </w:rPr>
        <w:t xml:space="preserve"> referring to </w:t>
      </w:r>
      <w:r w:rsidRPr="00B14447">
        <w:rPr>
          <w:rFonts w:ascii="Times New Roman" w:hAnsi="Times New Roman"/>
          <w:i/>
          <w:iCs/>
          <w:sz w:val="24"/>
        </w:rPr>
        <w:t>The Commonwealth v Sanofi (formerly Sanofi-Aventis)</w:t>
      </w:r>
      <w:r w:rsidR="00E770AB"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309 [351].</w:t>
      </w:r>
    </w:p>
  </w:footnote>
  <w:footnote w:id="119">
    <w:p w14:paraId="1B727A09"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339 [105].</w:t>
      </w:r>
    </w:p>
  </w:footnote>
  <w:footnote w:id="120">
    <w:p w14:paraId="11C07899" w14:textId="480695AA"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339 [104].</w:t>
      </w:r>
    </w:p>
  </w:footnote>
  <w:footnote w:id="121">
    <w:p w14:paraId="1FDF4A72" w14:textId="3BB08D36"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 xml:space="preserve">(2023) 411 ALR 315 at </w:t>
      </w:r>
      <w:r w:rsidR="00896F11" w:rsidRPr="00B14447">
        <w:rPr>
          <w:rFonts w:ascii="Times New Roman" w:hAnsi="Times New Roman"/>
          <w:sz w:val="24"/>
        </w:rPr>
        <w:t>340-361</w:t>
      </w:r>
      <w:r w:rsidRPr="00B14447">
        <w:rPr>
          <w:rFonts w:ascii="Times New Roman" w:hAnsi="Times New Roman"/>
          <w:sz w:val="24"/>
        </w:rPr>
        <w:t xml:space="preserve"> [</w:t>
      </w:r>
      <w:r w:rsidR="00C57B85" w:rsidRPr="00B14447">
        <w:rPr>
          <w:rFonts w:ascii="Times New Roman" w:hAnsi="Times New Roman"/>
          <w:sz w:val="24"/>
        </w:rPr>
        <w:t>108]-[</w:t>
      </w:r>
      <w:r w:rsidR="00896F11" w:rsidRPr="00B14447">
        <w:rPr>
          <w:rFonts w:ascii="Times New Roman" w:hAnsi="Times New Roman"/>
          <w:sz w:val="24"/>
        </w:rPr>
        <w:t>192</w:t>
      </w:r>
      <w:r w:rsidRPr="00B14447">
        <w:rPr>
          <w:rFonts w:ascii="Times New Roman" w:hAnsi="Times New Roman"/>
          <w:sz w:val="24"/>
        </w:rPr>
        <w:t>].</w:t>
      </w:r>
    </w:p>
  </w:footnote>
  <w:footnote w:id="122">
    <w:p w14:paraId="5437A81E" w14:textId="3B9F348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 xml:space="preserve">(2023) 411 ALR 315 at </w:t>
      </w:r>
      <w:r w:rsidR="00CC63EE" w:rsidRPr="00B14447">
        <w:rPr>
          <w:rFonts w:ascii="Times New Roman" w:hAnsi="Times New Roman"/>
          <w:sz w:val="24"/>
        </w:rPr>
        <w:t>363-</w:t>
      </w:r>
      <w:r w:rsidRPr="00B14447">
        <w:rPr>
          <w:rFonts w:ascii="Times New Roman" w:hAnsi="Times New Roman"/>
          <w:sz w:val="24"/>
        </w:rPr>
        <w:t>364 [204]-[205].</w:t>
      </w:r>
    </w:p>
  </w:footnote>
  <w:footnote w:id="123">
    <w:p w14:paraId="76396348"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362-363 [198]-[200].</w:t>
      </w:r>
    </w:p>
  </w:footnote>
  <w:footnote w:id="124">
    <w:p w14:paraId="12A2BFF0"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364 [205].</w:t>
      </w:r>
    </w:p>
  </w:footnote>
  <w:footnote w:id="125">
    <w:p w14:paraId="08AA1A8E"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367 [219].</w:t>
      </w:r>
    </w:p>
  </w:footnote>
  <w:footnote w:id="126">
    <w:p w14:paraId="00C96E31"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367 [220].</w:t>
      </w:r>
    </w:p>
  </w:footnote>
  <w:footnote w:id="127">
    <w:p w14:paraId="3F5A2546" w14:textId="764075E8" w:rsidR="004E08FC" w:rsidRPr="00B14447" w:rsidRDefault="004E08F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 xml:space="preserve">(2023) 411 ALR 315 at </w:t>
      </w:r>
      <w:r w:rsidR="00941F8E" w:rsidRPr="00B14447">
        <w:rPr>
          <w:rFonts w:ascii="Times New Roman" w:hAnsi="Times New Roman"/>
          <w:sz w:val="24"/>
        </w:rPr>
        <w:t xml:space="preserve">373-379 </w:t>
      </w:r>
      <w:r w:rsidRPr="00B14447">
        <w:rPr>
          <w:rFonts w:ascii="Times New Roman" w:hAnsi="Times New Roman"/>
          <w:sz w:val="24"/>
        </w:rPr>
        <w:t>[257]-[</w:t>
      </w:r>
      <w:r w:rsidR="00941F8E" w:rsidRPr="00B14447">
        <w:rPr>
          <w:rFonts w:ascii="Times New Roman" w:hAnsi="Times New Roman"/>
          <w:sz w:val="24"/>
        </w:rPr>
        <w:t>294].</w:t>
      </w:r>
    </w:p>
  </w:footnote>
  <w:footnote w:id="128">
    <w:p w14:paraId="7D75D435" w14:textId="5ED1DF2F" w:rsidR="00941F8E" w:rsidRPr="00B14447" w:rsidRDefault="00941F8E"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w:t>
      </w:r>
      <w:r w:rsidR="008B6E53" w:rsidRPr="00B14447">
        <w:rPr>
          <w:rFonts w:ascii="Times New Roman" w:hAnsi="Times New Roman"/>
          <w:sz w:val="24"/>
        </w:rPr>
        <w:t xml:space="preserve"> 373</w:t>
      </w:r>
      <w:r w:rsidRPr="00B14447">
        <w:rPr>
          <w:rFonts w:ascii="Times New Roman" w:hAnsi="Times New Roman"/>
          <w:sz w:val="24"/>
        </w:rPr>
        <w:t xml:space="preserve"> [258].</w:t>
      </w:r>
    </w:p>
  </w:footnote>
  <w:footnote w:id="129">
    <w:p w14:paraId="304F4489" w14:textId="29293823" w:rsidR="003D45D9" w:rsidRPr="00B14447" w:rsidRDefault="003D45D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367 [220].</w:t>
      </w:r>
    </w:p>
  </w:footnote>
  <w:footnote w:id="130">
    <w:p w14:paraId="4A94EE8B" w14:textId="77777777"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367 [221].</w:t>
      </w:r>
    </w:p>
  </w:footnote>
  <w:footnote w:id="131">
    <w:p w14:paraId="4E9032CC" w14:textId="2E2AB29F"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369 [2</w:t>
      </w:r>
      <w:r w:rsidR="001A2E11" w:rsidRPr="00B14447">
        <w:rPr>
          <w:rFonts w:ascii="Times New Roman" w:hAnsi="Times New Roman"/>
          <w:sz w:val="24"/>
        </w:rPr>
        <w:t>29</w:t>
      </w:r>
      <w:r w:rsidRPr="00B14447">
        <w:rPr>
          <w:rFonts w:ascii="Times New Roman" w:hAnsi="Times New Roman"/>
          <w:sz w:val="24"/>
        </w:rPr>
        <w:t xml:space="preserve">]. </w:t>
      </w:r>
    </w:p>
  </w:footnote>
  <w:footnote w:id="132">
    <w:p w14:paraId="0CF99B6C" w14:textId="7F26346B" w:rsidR="008E491A" w:rsidRPr="00B14447" w:rsidRDefault="008E491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369 [23</w:t>
      </w:r>
      <w:r w:rsidR="004F6F09" w:rsidRPr="00B14447">
        <w:rPr>
          <w:rFonts w:ascii="Times New Roman" w:hAnsi="Times New Roman"/>
          <w:sz w:val="24"/>
        </w:rPr>
        <w:t>1</w:t>
      </w:r>
      <w:r w:rsidRPr="00B14447">
        <w:rPr>
          <w:rFonts w:ascii="Times New Roman" w:hAnsi="Times New Roman"/>
          <w:sz w:val="24"/>
        </w:rPr>
        <w:t>].</w:t>
      </w:r>
    </w:p>
  </w:footnote>
  <w:footnote w:id="133">
    <w:p w14:paraId="156CEEAE" w14:textId="7FE1A0B6" w:rsidR="00C52DA3" w:rsidRPr="00B14447" w:rsidRDefault="00C52DA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36</w:t>
      </w:r>
      <w:r w:rsidR="00B34C1B" w:rsidRPr="00B14447">
        <w:rPr>
          <w:rFonts w:ascii="Times New Roman" w:hAnsi="Times New Roman"/>
          <w:sz w:val="24"/>
        </w:rPr>
        <w:t>8-369</w:t>
      </w:r>
      <w:r w:rsidRPr="00B14447">
        <w:rPr>
          <w:rFonts w:ascii="Times New Roman" w:hAnsi="Times New Roman"/>
          <w:sz w:val="24"/>
        </w:rPr>
        <w:t xml:space="preserve"> [229].</w:t>
      </w:r>
    </w:p>
  </w:footnote>
  <w:footnote w:id="134">
    <w:p w14:paraId="283CF639" w14:textId="46091711" w:rsidR="00FF2C90" w:rsidRPr="00B14447" w:rsidRDefault="00FF2C9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00B14780" w:rsidRPr="00B14447">
        <w:rPr>
          <w:rFonts w:ascii="Times New Roman" w:hAnsi="Times New Roman"/>
          <w:sz w:val="24"/>
        </w:rPr>
        <w:tab/>
      </w:r>
      <w:r w:rsidRPr="00965770">
        <w:rPr>
          <w:rFonts w:ascii="Times New Roman" w:hAnsi="Times New Roman"/>
          <w:sz w:val="24"/>
        </w:rPr>
        <w:t>See [1</w:t>
      </w:r>
      <w:r w:rsidR="00AE5CB6" w:rsidRPr="00965770">
        <w:rPr>
          <w:rFonts w:ascii="Times New Roman" w:hAnsi="Times New Roman"/>
          <w:sz w:val="24"/>
        </w:rPr>
        <w:t>6</w:t>
      </w:r>
      <w:r w:rsidRPr="00965770">
        <w:rPr>
          <w:rFonts w:ascii="Times New Roman" w:hAnsi="Times New Roman"/>
          <w:sz w:val="24"/>
        </w:rPr>
        <w:t>] above</w:t>
      </w:r>
      <w:r w:rsidRPr="00B14447">
        <w:rPr>
          <w:rFonts w:ascii="Times New Roman" w:hAnsi="Times New Roman"/>
          <w:sz w:val="24"/>
        </w:rPr>
        <w:t xml:space="preserve">. </w:t>
      </w:r>
    </w:p>
  </w:footnote>
  <w:footnote w:id="135">
    <w:p w14:paraId="0355168E" w14:textId="0FCF27DD" w:rsidR="004954A0" w:rsidRPr="00B14447" w:rsidRDefault="004954A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551CAA" w:rsidRPr="00B14447">
        <w:rPr>
          <w:rFonts w:ascii="Times New Roman" w:hAnsi="Times New Roman"/>
          <w:i/>
          <w:iCs/>
          <w:sz w:val="24"/>
        </w:rPr>
        <w:t xml:space="preserve">The Commonwealth v Sanofi (formerly Sanofi-Aventis) </w:t>
      </w:r>
      <w:r w:rsidR="00551CAA" w:rsidRPr="00B14447">
        <w:rPr>
          <w:rFonts w:ascii="Times New Roman" w:hAnsi="Times New Roman"/>
          <w:sz w:val="24"/>
        </w:rPr>
        <w:t xml:space="preserve">(2023) 411 ALR 315 at 394 [364].  </w:t>
      </w:r>
      <w:r w:rsidRPr="00B14447">
        <w:rPr>
          <w:rFonts w:ascii="Times New Roman" w:hAnsi="Times New Roman"/>
          <w:sz w:val="24"/>
        </w:rPr>
        <w:t xml:space="preserve"> </w:t>
      </w:r>
    </w:p>
  </w:footnote>
  <w:footnote w:id="136">
    <w:p w14:paraId="18E810B0" w14:textId="49A90B95" w:rsidR="00F2565C" w:rsidRPr="00B14447" w:rsidRDefault="00F2565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w:t>
      </w:r>
      <w:r w:rsidR="00897F2E" w:rsidRPr="00B14447">
        <w:rPr>
          <w:rFonts w:ascii="Times New Roman" w:hAnsi="Times New Roman"/>
          <w:sz w:val="24"/>
        </w:rPr>
        <w:t>79-380</w:t>
      </w:r>
      <w:r w:rsidRPr="00B14447">
        <w:rPr>
          <w:rFonts w:ascii="Times New Roman" w:hAnsi="Times New Roman"/>
          <w:sz w:val="24"/>
        </w:rPr>
        <w:t xml:space="preserve"> [</w:t>
      </w:r>
      <w:r w:rsidR="00897F2E" w:rsidRPr="00B14447">
        <w:rPr>
          <w:rFonts w:ascii="Times New Roman" w:hAnsi="Times New Roman"/>
          <w:sz w:val="24"/>
        </w:rPr>
        <w:t>296</w:t>
      </w:r>
      <w:r w:rsidRPr="00B14447">
        <w:rPr>
          <w:rFonts w:ascii="Times New Roman" w:hAnsi="Times New Roman"/>
          <w:sz w:val="24"/>
        </w:rPr>
        <w:t>]</w:t>
      </w:r>
      <w:r w:rsidR="00897F2E" w:rsidRPr="00B14447">
        <w:rPr>
          <w:rFonts w:ascii="Times New Roman" w:hAnsi="Times New Roman"/>
          <w:sz w:val="24"/>
        </w:rPr>
        <w:t>.</w:t>
      </w:r>
    </w:p>
  </w:footnote>
  <w:footnote w:id="137">
    <w:p w14:paraId="75515B98" w14:textId="06B815F7" w:rsidR="008B33A3" w:rsidRPr="00B14447" w:rsidRDefault="008B33A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522483" w:rsidRPr="00B14447">
        <w:rPr>
          <w:rFonts w:ascii="Times New Roman" w:hAnsi="Times New Roman"/>
          <w:i/>
          <w:iCs/>
          <w:sz w:val="24"/>
        </w:rPr>
        <w:t>The Commonwealth v Sanofi (formerly Sanofi-Aventis)</w:t>
      </w:r>
      <w:r w:rsidR="0054081C" w:rsidRPr="00B14447">
        <w:rPr>
          <w:rFonts w:ascii="Times New Roman" w:hAnsi="Times New Roman"/>
          <w:i/>
          <w:iCs/>
          <w:sz w:val="24"/>
        </w:rPr>
        <w:t xml:space="preserve"> [No 5]</w:t>
      </w:r>
      <w:r w:rsidR="00522483" w:rsidRPr="00B14447">
        <w:rPr>
          <w:rFonts w:ascii="Times New Roman" w:hAnsi="Times New Roman"/>
          <w:i/>
          <w:iCs/>
          <w:sz w:val="24"/>
        </w:rPr>
        <w:t xml:space="preserve"> </w:t>
      </w:r>
      <w:r w:rsidR="00522483" w:rsidRPr="00B14447">
        <w:rPr>
          <w:rFonts w:ascii="Times New Roman" w:hAnsi="Times New Roman"/>
          <w:sz w:val="24"/>
        </w:rPr>
        <w:t>(2020) 151 IPR 237 at 3</w:t>
      </w:r>
      <w:r w:rsidR="00A8770E" w:rsidRPr="00B14447">
        <w:rPr>
          <w:rFonts w:ascii="Times New Roman" w:hAnsi="Times New Roman"/>
          <w:sz w:val="24"/>
        </w:rPr>
        <w:t>07</w:t>
      </w:r>
      <w:r w:rsidR="00522483" w:rsidRPr="00B14447">
        <w:rPr>
          <w:rFonts w:ascii="Times New Roman" w:hAnsi="Times New Roman"/>
          <w:sz w:val="24"/>
        </w:rPr>
        <w:t xml:space="preserve"> [</w:t>
      </w:r>
      <w:r w:rsidR="00A8770E" w:rsidRPr="00B14447">
        <w:rPr>
          <w:rFonts w:ascii="Times New Roman" w:hAnsi="Times New Roman"/>
          <w:sz w:val="24"/>
        </w:rPr>
        <w:t>33</w:t>
      </w:r>
      <w:r w:rsidR="00522483" w:rsidRPr="00B14447">
        <w:rPr>
          <w:rFonts w:ascii="Times New Roman" w:hAnsi="Times New Roman"/>
          <w:sz w:val="24"/>
        </w:rPr>
        <w:t>8].</w:t>
      </w:r>
    </w:p>
  </w:footnote>
  <w:footnote w:id="138">
    <w:p w14:paraId="2114FAA7" w14:textId="17F1B8B6" w:rsidR="00CB70F7" w:rsidRPr="00B14447" w:rsidRDefault="00CB70F7"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FD6382"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338 [528]-[529].</w:t>
      </w:r>
    </w:p>
  </w:footnote>
  <w:footnote w:id="139">
    <w:p w14:paraId="2E7FBE77" w14:textId="544C229B" w:rsidR="003D30E9" w:rsidRPr="00B14447" w:rsidRDefault="003D30E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68429C" w:rsidRPr="00B14447">
        <w:rPr>
          <w:rFonts w:ascii="Times New Roman" w:hAnsi="Times New Roman"/>
          <w:i/>
          <w:iCs/>
          <w:sz w:val="24"/>
        </w:rPr>
        <w:t xml:space="preserve">The Commonwealth v Sanofi (formerly Sanofi-Aventis) [No 5] </w:t>
      </w:r>
      <w:r w:rsidR="0068429C" w:rsidRPr="00B14447">
        <w:rPr>
          <w:rFonts w:ascii="Times New Roman" w:hAnsi="Times New Roman"/>
          <w:sz w:val="24"/>
        </w:rPr>
        <w:t>(2020) 151 IPR 237 at</w:t>
      </w:r>
      <w:r w:rsidR="0057447A" w:rsidRPr="00B14447">
        <w:rPr>
          <w:rFonts w:ascii="Times New Roman" w:hAnsi="Times New Roman"/>
          <w:sz w:val="24"/>
        </w:rPr>
        <w:t xml:space="preserve"> 282-284 [201]-[218]. </w:t>
      </w:r>
    </w:p>
  </w:footnote>
  <w:footnote w:id="140">
    <w:p w14:paraId="1A75522E" w14:textId="7C6B7B73" w:rsidR="00E40296" w:rsidRPr="00B14447" w:rsidRDefault="00E4029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See </w:t>
      </w:r>
      <w:r w:rsidRPr="00965770">
        <w:rPr>
          <w:rFonts w:ascii="Times New Roman" w:hAnsi="Times New Roman"/>
          <w:sz w:val="24"/>
        </w:rPr>
        <w:t>[</w:t>
      </w:r>
      <w:r w:rsidR="00AE5CB6" w:rsidRPr="00965770">
        <w:rPr>
          <w:rFonts w:ascii="Times New Roman" w:hAnsi="Times New Roman"/>
          <w:sz w:val="24"/>
        </w:rPr>
        <w:t>13</w:t>
      </w:r>
      <w:r w:rsidRPr="00965770">
        <w:rPr>
          <w:rFonts w:ascii="Times New Roman" w:hAnsi="Times New Roman"/>
          <w:sz w:val="24"/>
        </w:rPr>
        <w:t>]</w:t>
      </w:r>
      <w:r w:rsidR="00C34ED3" w:rsidRPr="00965770">
        <w:rPr>
          <w:rFonts w:ascii="Times New Roman" w:hAnsi="Times New Roman"/>
          <w:sz w:val="24"/>
        </w:rPr>
        <w:t>-[1</w:t>
      </w:r>
      <w:r w:rsidR="00AE5CB6" w:rsidRPr="00965770">
        <w:rPr>
          <w:rFonts w:ascii="Times New Roman" w:hAnsi="Times New Roman"/>
          <w:sz w:val="24"/>
        </w:rPr>
        <w:t>6</w:t>
      </w:r>
      <w:r w:rsidR="00C34ED3" w:rsidRPr="00965770">
        <w:rPr>
          <w:rFonts w:ascii="Times New Roman" w:hAnsi="Times New Roman"/>
          <w:sz w:val="24"/>
        </w:rPr>
        <w:t>]</w:t>
      </w:r>
      <w:r w:rsidRPr="00965770">
        <w:rPr>
          <w:rFonts w:ascii="Times New Roman" w:hAnsi="Times New Roman"/>
          <w:sz w:val="24"/>
        </w:rPr>
        <w:t>.</w:t>
      </w:r>
    </w:p>
  </w:footnote>
  <w:footnote w:id="141">
    <w:p w14:paraId="6FA1ED14" w14:textId="3CAA3373" w:rsidR="00DA29CA" w:rsidRPr="00B14447" w:rsidRDefault="00DA29CA"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Se</w:t>
      </w:r>
      <w:r w:rsidRPr="00965770">
        <w:rPr>
          <w:rFonts w:ascii="Times New Roman" w:hAnsi="Times New Roman"/>
          <w:sz w:val="24"/>
        </w:rPr>
        <w:t>e [</w:t>
      </w:r>
      <w:r w:rsidR="00AE5CB6" w:rsidRPr="00965770">
        <w:rPr>
          <w:rFonts w:ascii="Times New Roman" w:hAnsi="Times New Roman"/>
          <w:sz w:val="24"/>
        </w:rPr>
        <w:t>49</w:t>
      </w:r>
      <w:r w:rsidRPr="00965770">
        <w:rPr>
          <w:rFonts w:ascii="Times New Roman" w:hAnsi="Times New Roman"/>
          <w:sz w:val="24"/>
        </w:rPr>
        <w:t>]</w:t>
      </w:r>
      <w:r w:rsidR="00AE5CB6" w:rsidRPr="00B14447">
        <w:rPr>
          <w:rFonts w:ascii="Times New Roman" w:hAnsi="Times New Roman"/>
          <w:sz w:val="24"/>
        </w:rPr>
        <w:t xml:space="preserve"> above</w:t>
      </w:r>
      <w:r w:rsidRPr="00B14447">
        <w:rPr>
          <w:rFonts w:ascii="Times New Roman" w:hAnsi="Times New Roman"/>
          <w:sz w:val="24"/>
        </w:rPr>
        <w:t xml:space="preserve">. </w:t>
      </w:r>
    </w:p>
  </w:footnote>
  <w:footnote w:id="142">
    <w:p w14:paraId="358FA555" w14:textId="727A5C86" w:rsidR="00154141" w:rsidRPr="00B14447" w:rsidRDefault="00154141"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1F45AA" w:rsidRPr="00B14447">
        <w:rPr>
          <w:rFonts w:ascii="Times New Roman" w:hAnsi="Times New Roman"/>
          <w:i/>
          <w:iCs/>
          <w:sz w:val="24"/>
        </w:rPr>
        <w:t>The Commonwealth v Sanofi (formerly Sanofi-Aventis)</w:t>
      </w:r>
      <w:r w:rsidR="00E31901" w:rsidRPr="00B14447">
        <w:rPr>
          <w:rFonts w:ascii="Times New Roman" w:hAnsi="Times New Roman"/>
          <w:i/>
          <w:iCs/>
          <w:sz w:val="24"/>
        </w:rPr>
        <w:t xml:space="preserve"> [No 5]</w:t>
      </w:r>
      <w:r w:rsidR="001F45AA" w:rsidRPr="00B14447">
        <w:rPr>
          <w:rFonts w:ascii="Times New Roman" w:hAnsi="Times New Roman"/>
          <w:i/>
          <w:iCs/>
          <w:sz w:val="24"/>
        </w:rPr>
        <w:t xml:space="preserve"> </w:t>
      </w:r>
      <w:r w:rsidR="001F45AA" w:rsidRPr="00B14447">
        <w:rPr>
          <w:rFonts w:ascii="Times New Roman" w:hAnsi="Times New Roman"/>
          <w:sz w:val="24"/>
        </w:rPr>
        <w:t>(2020) 151 IPR 237 at 290 [250].</w:t>
      </w:r>
    </w:p>
  </w:footnote>
  <w:footnote w:id="143">
    <w:p w14:paraId="7BB86505" w14:textId="46B0FD06" w:rsidR="00892496" w:rsidRPr="00B14447" w:rsidRDefault="00892496"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375819" w:rsidRPr="00B14447">
        <w:rPr>
          <w:rFonts w:ascii="Times New Roman" w:hAnsi="Times New Roman"/>
          <w:i/>
          <w:iCs/>
          <w:sz w:val="24"/>
        </w:rPr>
        <w:t xml:space="preserve">The Commonwealth v Sanofi (formerly Sanofi-Aventis) </w:t>
      </w:r>
      <w:r w:rsidR="00375819" w:rsidRPr="00B14447">
        <w:rPr>
          <w:rFonts w:ascii="Times New Roman" w:hAnsi="Times New Roman"/>
          <w:sz w:val="24"/>
        </w:rPr>
        <w:t>(2023) 411 ALR 315</w:t>
      </w:r>
      <w:r w:rsidR="00CB75C1" w:rsidRPr="00B14447">
        <w:rPr>
          <w:rFonts w:ascii="Times New Roman" w:hAnsi="Times New Roman"/>
          <w:sz w:val="24"/>
        </w:rPr>
        <w:t xml:space="preserve"> at 345 </w:t>
      </w:r>
      <w:r w:rsidR="00241871" w:rsidRPr="00B14447">
        <w:rPr>
          <w:rFonts w:ascii="Times New Roman" w:hAnsi="Times New Roman"/>
          <w:sz w:val="24"/>
        </w:rPr>
        <w:t xml:space="preserve">[129]. </w:t>
      </w:r>
    </w:p>
  </w:footnote>
  <w:footnote w:id="144">
    <w:p w14:paraId="1F3847FF" w14:textId="7249962D" w:rsidR="00750175" w:rsidRPr="00B14447" w:rsidRDefault="00750175"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 xml:space="preserve">(2020) </w:t>
      </w:r>
      <w:r w:rsidR="00764D94" w:rsidRPr="00B14447">
        <w:rPr>
          <w:rFonts w:ascii="Times New Roman" w:hAnsi="Times New Roman"/>
          <w:i/>
          <w:iCs/>
          <w:sz w:val="24"/>
        </w:rPr>
        <w:t xml:space="preserve">[No 5] </w:t>
      </w:r>
      <w:r w:rsidRPr="00B14447">
        <w:rPr>
          <w:rFonts w:ascii="Times New Roman" w:hAnsi="Times New Roman"/>
          <w:sz w:val="24"/>
        </w:rPr>
        <w:t xml:space="preserve">151 IPR 237 at </w:t>
      </w:r>
      <w:r w:rsidR="00B76C0F" w:rsidRPr="00B14447">
        <w:rPr>
          <w:rFonts w:ascii="Times New Roman" w:hAnsi="Times New Roman"/>
          <w:sz w:val="24"/>
        </w:rPr>
        <w:t>283-284</w:t>
      </w:r>
      <w:r w:rsidRPr="00B14447">
        <w:rPr>
          <w:rFonts w:ascii="Times New Roman" w:hAnsi="Times New Roman"/>
          <w:sz w:val="24"/>
        </w:rPr>
        <w:t xml:space="preserve"> [217]-[218], </w:t>
      </w:r>
      <w:r w:rsidR="00B76C0F" w:rsidRPr="00B14447">
        <w:rPr>
          <w:rFonts w:ascii="Times New Roman" w:hAnsi="Times New Roman"/>
          <w:sz w:val="24"/>
        </w:rPr>
        <w:t>301-303</w:t>
      </w:r>
      <w:r w:rsidRPr="00B14447">
        <w:rPr>
          <w:rFonts w:ascii="Times New Roman" w:hAnsi="Times New Roman"/>
          <w:sz w:val="24"/>
        </w:rPr>
        <w:t xml:space="preserve"> [316]-[3</w:t>
      </w:r>
      <w:r w:rsidR="00B76C0F" w:rsidRPr="00B14447">
        <w:rPr>
          <w:rFonts w:ascii="Times New Roman" w:hAnsi="Times New Roman"/>
          <w:sz w:val="24"/>
        </w:rPr>
        <w:t>20</w:t>
      </w:r>
      <w:r w:rsidRPr="00B14447">
        <w:rPr>
          <w:rFonts w:ascii="Times New Roman" w:hAnsi="Times New Roman"/>
          <w:sz w:val="24"/>
        </w:rPr>
        <w:t>].</w:t>
      </w:r>
    </w:p>
  </w:footnote>
  <w:footnote w:id="145">
    <w:p w14:paraId="6F05E2B2" w14:textId="2A482CED" w:rsidR="00044B2B" w:rsidRPr="00B14447" w:rsidRDefault="00044B2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E05A3D"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302-303 [316]-[319].</w:t>
      </w:r>
    </w:p>
  </w:footnote>
  <w:footnote w:id="146">
    <w:p w14:paraId="4FD6A91F" w14:textId="4E3CA231" w:rsidR="00044B2B" w:rsidRPr="00B14447" w:rsidRDefault="00044B2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00E05A3D" w:rsidRPr="00B14447">
        <w:rPr>
          <w:rFonts w:ascii="Times New Roman" w:hAnsi="Times New Roman"/>
          <w:i/>
          <w:iCs/>
          <w:sz w:val="24"/>
        </w:rPr>
        <w:t>[No 5]</w:t>
      </w:r>
      <w:r w:rsidR="00E05A3D" w:rsidRPr="00B14447">
        <w:rPr>
          <w:rFonts w:ascii="Times New Roman" w:hAnsi="Times New Roman"/>
          <w:sz w:val="24"/>
        </w:rPr>
        <w:t xml:space="preserve"> </w:t>
      </w:r>
      <w:r w:rsidRPr="00B14447">
        <w:rPr>
          <w:rFonts w:ascii="Times New Roman" w:hAnsi="Times New Roman"/>
          <w:sz w:val="24"/>
        </w:rPr>
        <w:t>(2020) 151 IPR 237 at 303 [320]-[321].</w:t>
      </w:r>
    </w:p>
  </w:footnote>
  <w:footnote w:id="147">
    <w:p w14:paraId="13D0EA36" w14:textId="6EC2F556" w:rsidR="00147B7D" w:rsidRPr="00B14447" w:rsidRDefault="00147B7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5B5DD3" w:rsidRPr="00B14447">
        <w:rPr>
          <w:rFonts w:ascii="Times New Roman" w:hAnsi="Times New Roman"/>
          <w:i/>
          <w:iCs/>
          <w:sz w:val="24"/>
        </w:rPr>
        <w:t xml:space="preserve">The Commonwealth v Sanofi (formerly Sanofi-Aventis) </w:t>
      </w:r>
      <w:r w:rsidR="00843436" w:rsidRPr="00B14447">
        <w:rPr>
          <w:rFonts w:ascii="Times New Roman" w:hAnsi="Times New Roman"/>
          <w:sz w:val="24"/>
        </w:rPr>
        <w:t>(2023) 411 ALR</w:t>
      </w:r>
      <w:r w:rsidR="00980DC4" w:rsidRPr="00B14447">
        <w:rPr>
          <w:rFonts w:ascii="Times New Roman" w:hAnsi="Times New Roman"/>
          <w:sz w:val="24"/>
        </w:rPr>
        <w:t xml:space="preserve"> 315</w:t>
      </w:r>
      <w:r w:rsidR="005B5DD3" w:rsidRPr="00B14447">
        <w:rPr>
          <w:rFonts w:ascii="Times New Roman" w:hAnsi="Times New Roman"/>
          <w:sz w:val="24"/>
        </w:rPr>
        <w:t xml:space="preserve"> at </w:t>
      </w:r>
      <w:r w:rsidR="00F300F7" w:rsidRPr="00B14447">
        <w:rPr>
          <w:rFonts w:ascii="Times New Roman" w:hAnsi="Times New Roman"/>
          <w:sz w:val="24"/>
        </w:rPr>
        <w:t xml:space="preserve">373-374 </w:t>
      </w:r>
      <w:r w:rsidR="003723B4" w:rsidRPr="00B14447">
        <w:rPr>
          <w:rFonts w:ascii="Times New Roman" w:hAnsi="Times New Roman"/>
          <w:sz w:val="24"/>
        </w:rPr>
        <w:t>[260]-[267]</w:t>
      </w:r>
      <w:r w:rsidR="00DD173E" w:rsidRPr="00B14447">
        <w:rPr>
          <w:rFonts w:ascii="Times New Roman" w:hAnsi="Times New Roman"/>
          <w:sz w:val="24"/>
        </w:rPr>
        <w:t>.</w:t>
      </w:r>
    </w:p>
  </w:footnote>
  <w:footnote w:id="148">
    <w:p w14:paraId="5DB77E20" w14:textId="136B470C" w:rsidR="00907D3F" w:rsidRPr="00B14447" w:rsidRDefault="00907D3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The Commonwealth v Sanofi (formerly Sanofi-Aventis)</w:t>
      </w:r>
      <w:r w:rsidR="00F300F7" w:rsidRPr="00B14447">
        <w:rPr>
          <w:rFonts w:ascii="Times New Roman" w:hAnsi="Times New Roman"/>
          <w:i/>
          <w:iCs/>
          <w:sz w:val="24"/>
        </w:rPr>
        <w:t xml:space="preserve"> [No 5]</w:t>
      </w:r>
      <w:r w:rsidRPr="00B14447">
        <w:rPr>
          <w:rFonts w:ascii="Times New Roman" w:hAnsi="Times New Roman"/>
          <w:i/>
          <w:iCs/>
          <w:sz w:val="24"/>
        </w:rPr>
        <w:t xml:space="preserve"> </w:t>
      </w:r>
      <w:r w:rsidRPr="00B14447">
        <w:rPr>
          <w:rFonts w:ascii="Times New Roman" w:hAnsi="Times New Roman"/>
          <w:sz w:val="24"/>
        </w:rPr>
        <w:t>(2020) 151 IPR 237 at 301-302 [316]-[317].</w:t>
      </w:r>
    </w:p>
  </w:footnote>
  <w:footnote w:id="149">
    <w:p w14:paraId="4DA5725C" w14:textId="71039456" w:rsidR="00B4647F" w:rsidRPr="00B14447" w:rsidRDefault="00B4647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 at 3</w:t>
      </w:r>
      <w:r w:rsidR="00DC147F" w:rsidRPr="00B14447">
        <w:rPr>
          <w:rFonts w:ascii="Times New Roman" w:hAnsi="Times New Roman"/>
          <w:sz w:val="24"/>
        </w:rPr>
        <w:t>45</w:t>
      </w:r>
      <w:r w:rsidRPr="00B14447">
        <w:rPr>
          <w:rFonts w:ascii="Times New Roman" w:hAnsi="Times New Roman"/>
          <w:sz w:val="24"/>
        </w:rPr>
        <w:t xml:space="preserve"> [</w:t>
      </w:r>
      <w:r w:rsidR="00F91C99" w:rsidRPr="00B14447">
        <w:rPr>
          <w:rFonts w:ascii="Times New Roman" w:hAnsi="Times New Roman"/>
          <w:sz w:val="24"/>
        </w:rPr>
        <w:t>129</w:t>
      </w:r>
      <w:r w:rsidRPr="00B14447">
        <w:rPr>
          <w:rFonts w:ascii="Times New Roman" w:hAnsi="Times New Roman"/>
          <w:sz w:val="24"/>
        </w:rPr>
        <w:t>].</w:t>
      </w:r>
    </w:p>
  </w:footnote>
  <w:footnote w:id="150">
    <w:p w14:paraId="03F16F6E" w14:textId="00C1CB6A" w:rsidR="00C86C04" w:rsidRPr="00B14447" w:rsidRDefault="00C86C0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w:t>
      </w:r>
      <w:r w:rsidR="00605CB4" w:rsidRPr="00B14447">
        <w:rPr>
          <w:rFonts w:ascii="Times New Roman" w:hAnsi="Times New Roman"/>
          <w:sz w:val="24"/>
        </w:rPr>
        <w:t xml:space="preserve"> at 358</w:t>
      </w:r>
      <w:r w:rsidR="00296E4E" w:rsidRPr="00B14447">
        <w:rPr>
          <w:rFonts w:ascii="Times New Roman" w:hAnsi="Times New Roman"/>
          <w:sz w:val="24"/>
        </w:rPr>
        <w:t xml:space="preserve"> [176]</w:t>
      </w:r>
      <w:r w:rsidR="00F526D8" w:rsidRPr="00B14447">
        <w:rPr>
          <w:rFonts w:ascii="Times New Roman" w:hAnsi="Times New Roman"/>
          <w:sz w:val="24"/>
        </w:rPr>
        <w:t>, 379</w:t>
      </w:r>
      <w:r w:rsidR="002C6CD8" w:rsidRPr="00B14447">
        <w:rPr>
          <w:rFonts w:ascii="Times New Roman" w:hAnsi="Times New Roman"/>
          <w:sz w:val="24"/>
        </w:rPr>
        <w:t>-380</w:t>
      </w:r>
      <w:r w:rsidR="00F526D8" w:rsidRPr="00B14447">
        <w:rPr>
          <w:rFonts w:ascii="Times New Roman" w:hAnsi="Times New Roman"/>
          <w:sz w:val="24"/>
        </w:rPr>
        <w:t xml:space="preserve"> [296]</w:t>
      </w:r>
      <w:r w:rsidR="001B6E7D" w:rsidRPr="00B14447">
        <w:rPr>
          <w:rFonts w:ascii="Times New Roman" w:hAnsi="Times New Roman"/>
          <w:sz w:val="24"/>
        </w:rPr>
        <w:t xml:space="preserve">. </w:t>
      </w:r>
    </w:p>
  </w:footnote>
  <w:footnote w:id="151">
    <w:p w14:paraId="5C15A0DE" w14:textId="79DE7A63" w:rsidR="00E4329E" w:rsidRPr="00B14447" w:rsidRDefault="00E4329E"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The Commonwealth v Sanofi (formerly Sanofi-Aventis) </w:t>
      </w:r>
      <w:r w:rsidRPr="00B14447">
        <w:rPr>
          <w:rFonts w:ascii="Times New Roman" w:hAnsi="Times New Roman"/>
          <w:sz w:val="24"/>
        </w:rPr>
        <w:t>(2023) 411 ALR 315</w:t>
      </w:r>
      <w:r w:rsidR="00064A76" w:rsidRPr="00B14447">
        <w:rPr>
          <w:rFonts w:ascii="Times New Roman" w:hAnsi="Times New Roman"/>
          <w:sz w:val="24"/>
        </w:rPr>
        <w:t xml:space="preserve"> at 322 [18], </w:t>
      </w:r>
      <w:r w:rsidR="007A386B" w:rsidRPr="00B14447">
        <w:rPr>
          <w:rFonts w:ascii="Times New Roman" w:hAnsi="Times New Roman"/>
          <w:sz w:val="24"/>
        </w:rPr>
        <w:t xml:space="preserve">345 [129]. </w:t>
      </w:r>
    </w:p>
  </w:footnote>
  <w:footnote w:id="152">
    <w:p w14:paraId="07D23759" w14:textId="46E6BA83" w:rsidR="00810F6C" w:rsidRPr="00B14447" w:rsidRDefault="00810F6C"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617652" w:rsidRPr="00B14447">
        <w:rPr>
          <w:rFonts w:ascii="Times New Roman" w:hAnsi="Times New Roman"/>
          <w:i/>
          <w:iCs/>
          <w:sz w:val="24"/>
        </w:rPr>
        <w:t xml:space="preserve">The Commonwealth v Sanofi (formerly Sanofi-Aventis) </w:t>
      </w:r>
      <w:r w:rsidR="00617652" w:rsidRPr="00B14447">
        <w:rPr>
          <w:rFonts w:ascii="Times New Roman" w:hAnsi="Times New Roman"/>
          <w:sz w:val="24"/>
        </w:rPr>
        <w:t xml:space="preserve">(2023) 411 ALR 315 at </w:t>
      </w:r>
      <w:r w:rsidR="0009705B" w:rsidRPr="00B14447">
        <w:rPr>
          <w:rFonts w:ascii="Times New Roman" w:hAnsi="Times New Roman"/>
          <w:sz w:val="24"/>
        </w:rPr>
        <w:t xml:space="preserve">392 [354]-[355]. </w:t>
      </w:r>
    </w:p>
  </w:footnote>
  <w:footnote w:id="153">
    <w:p w14:paraId="23DD079C" w14:textId="77777777"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Kremer, "The origin of the usual undertaking as to damages when obtaining interlocutory injunctive relief" (2024) 17 </w:t>
      </w:r>
      <w:r w:rsidRPr="00B14447">
        <w:rPr>
          <w:rFonts w:ascii="Times New Roman" w:hAnsi="Times New Roman"/>
          <w:i/>
          <w:iCs/>
          <w:sz w:val="24"/>
        </w:rPr>
        <w:t xml:space="preserve">Journal of Equity </w:t>
      </w:r>
      <w:r w:rsidRPr="00B14447">
        <w:rPr>
          <w:rFonts w:ascii="Times New Roman" w:hAnsi="Times New Roman"/>
          <w:sz w:val="24"/>
        </w:rPr>
        <w:t>211 at 240.</w:t>
      </w:r>
    </w:p>
  </w:footnote>
  <w:footnote w:id="154">
    <w:p w14:paraId="7179AE48" w14:textId="37287472"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(1882) 21 Ch D 421. </w:t>
      </w:r>
    </w:p>
  </w:footnote>
  <w:footnote w:id="155">
    <w:p w14:paraId="641FEC5A" w14:textId="4DAEB515"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Smith v Day </w:t>
      </w:r>
      <w:r w:rsidRPr="00B14447">
        <w:rPr>
          <w:rFonts w:ascii="Times New Roman" w:hAnsi="Times New Roman"/>
          <w:sz w:val="24"/>
        </w:rPr>
        <w:t>(1882) 21 Ch D 421 at 426</w:t>
      </w:r>
      <w:r w:rsidR="00F15AFF" w:rsidRPr="00B14447">
        <w:rPr>
          <w:rFonts w:ascii="Times New Roman" w:hAnsi="Times New Roman"/>
          <w:sz w:val="24"/>
        </w:rPr>
        <w:t>-427</w:t>
      </w:r>
      <w:r w:rsidRPr="00B14447">
        <w:rPr>
          <w:rFonts w:ascii="Times New Roman" w:hAnsi="Times New Roman"/>
          <w:sz w:val="24"/>
        </w:rPr>
        <w:t>, 428, 430.</w:t>
      </w:r>
    </w:p>
  </w:footnote>
  <w:footnote w:id="156">
    <w:p w14:paraId="37BB1DA0" w14:textId="285C8CAC"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(1854) 9 Ex 341 [156 ER 145].</w:t>
      </w:r>
    </w:p>
  </w:footnote>
  <w:footnote w:id="157">
    <w:p w14:paraId="206C504E" w14:textId="5A4E7205"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F15AFF" w:rsidRPr="00B14447">
        <w:rPr>
          <w:rFonts w:ascii="Times New Roman" w:hAnsi="Times New Roman"/>
          <w:i/>
          <w:iCs/>
          <w:sz w:val="24"/>
        </w:rPr>
        <w:t>Smith v Day</w:t>
      </w:r>
      <w:r w:rsidR="00F21690" w:rsidRPr="00B14447">
        <w:rPr>
          <w:rFonts w:ascii="Times New Roman" w:hAnsi="Times New Roman"/>
          <w:i/>
          <w:iCs/>
          <w:sz w:val="24"/>
        </w:rPr>
        <w:t xml:space="preserve"> </w:t>
      </w:r>
      <w:r w:rsidRPr="00B14447">
        <w:rPr>
          <w:rFonts w:ascii="Times New Roman" w:hAnsi="Times New Roman"/>
          <w:sz w:val="24"/>
        </w:rPr>
        <w:t>(1882) 21 Ch D 421 at 428, 430.</w:t>
      </w:r>
    </w:p>
  </w:footnote>
  <w:footnote w:id="158">
    <w:p w14:paraId="3FD3B856" w14:textId="7A77F512" w:rsidR="00D0333E" w:rsidRPr="00B14447" w:rsidRDefault="00D0333E"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(1882) 21 Ch D 421.</w:t>
      </w:r>
    </w:p>
  </w:footnote>
  <w:footnote w:id="159">
    <w:p w14:paraId="76517741" w14:textId="57299470"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(2010) 240 CLR 432. </w:t>
      </w:r>
    </w:p>
  </w:footnote>
  <w:footnote w:id="160">
    <w:p w14:paraId="2E58FE49" w14:textId="3EB3AC8D"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(1854) 9 Ex 341</w:t>
      </w:r>
      <w:r w:rsidR="00F27192" w:rsidRPr="00B14447">
        <w:rPr>
          <w:rFonts w:ascii="Times New Roman" w:hAnsi="Times New Roman"/>
          <w:sz w:val="24"/>
        </w:rPr>
        <w:t xml:space="preserve"> at 354</w:t>
      </w:r>
      <w:r w:rsidRPr="00B14447">
        <w:rPr>
          <w:rFonts w:ascii="Times New Roman" w:hAnsi="Times New Roman"/>
          <w:sz w:val="24"/>
        </w:rPr>
        <w:t xml:space="preserve"> [156 ER 145</w:t>
      </w:r>
      <w:r w:rsidR="00F27192" w:rsidRPr="00B14447">
        <w:rPr>
          <w:rFonts w:ascii="Times New Roman" w:hAnsi="Times New Roman"/>
          <w:sz w:val="24"/>
        </w:rPr>
        <w:t xml:space="preserve"> at 151</w:t>
      </w:r>
      <w:r w:rsidRPr="00B14447">
        <w:rPr>
          <w:rFonts w:ascii="Times New Roman" w:hAnsi="Times New Roman"/>
          <w:sz w:val="24"/>
        </w:rPr>
        <w:t>].</w:t>
      </w:r>
    </w:p>
  </w:footnote>
  <w:footnote w:id="161">
    <w:p w14:paraId="27201229" w14:textId="2EBE84F3"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6B0A4B" w:rsidRPr="00B14447">
        <w:rPr>
          <w:rFonts w:ascii="Times New Roman" w:hAnsi="Times New Roman"/>
          <w:i/>
          <w:iCs/>
          <w:sz w:val="24"/>
        </w:rPr>
        <w:t>European Bank Ltd v Evans</w:t>
      </w:r>
      <w:r w:rsidR="006B0A4B" w:rsidRPr="00B14447">
        <w:rPr>
          <w:rFonts w:ascii="Times New Roman" w:hAnsi="Times New Roman"/>
          <w:sz w:val="24"/>
        </w:rPr>
        <w:t xml:space="preserve"> </w:t>
      </w:r>
      <w:r w:rsidRPr="00B14447">
        <w:rPr>
          <w:rFonts w:ascii="Times New Roman" w:hAnsi="Times New Roman"/>
          <w:sz w:val="24"/>
        </w:rPr>
        <w:t>(2010) 240 CLR 432 at 438 [14].</w:t>
      </w:r>
    </w:p>
  </w:footnote>
  <w:footnote w:id="162">
    <w:p w14:paraId="146567FE" w14:textId="77777777"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(2010) 240 CLR 432 at 439 [17].</w:t>
      </w:r>
    </w:p>
  </w:footnote>
  <w:footnote w:id="163">
    <w:p w14:paraId="11533E7D" w14:textId="77777777"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(1981) 146 CLR 249 at 266-267.</w:t>
      </w:r>
    </w:p>
  </w:footnote>
  <w:footnote w:id="164">
    <w:p w14:paraId="4190F243" w14:textId="0F971740"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6B0A4B" w:rsidRPr="00B14447">
        <w:rPr>
          <w:rFonts w:ascii="Times New Roman" w:hAnsi="Times New Roman"/>
          <w:i/>
          <w:iCs/>
          <w:sz w:val="24"/>
        </w:rPr>
        <w:t>European Bank Ltd v Evans</w:t>
      </w:r>
      <w:r w:rsidR="006B0A4B" w:rsidRPr="00B14447">
        <w:rPr>
          <w:rFonts w:ascii="Times New Roman" w:hAnsi="Times New Roman"/>
          <w:sz w:val="24"/>
        </w:rPr>
        <w:t xml:space="preserve"> </w:t>
      </w:r>
      <w:r w:rsidRPr="00B14447">
        <w:rPr>
          <w:rFonts w:ascii="Times New Roman" w:hAnsi="Times New Roman"/>
          <w:sz w:val="24"/>
        </w:rPr>
        <w:t>(2010) 240 CLR 432 at 439 [18].</w:t>
      </w:r>
    </w:p>
  </w:footnote>
  <w:footnote w:id="165">
    <w:p w14:paraId="70AADEA9" w14:textId="0B176238"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BC5B6F" w:rsidRPr="00B14447">
        <w:rPr>
          <w:rFonts w:ascii="Times New Roman" w:hAnsi="Times New Roman"/>
          <w:i/>
          <w:iCs/>
          <w:sz w:val="24"/>
        </w:rPr>
        <w:t>European Bank Ltd v Evans</w:t>
      </w:r>
      <w:r w:rsidR="00BC5B6F" w:rsidRPr="00B14447">
        <w:rPr>
          <w:rFonts w:ascii="Times New Roman" w:hAnsi="Times New Roman"/>
          <w:sz w:val="24"/>
        </w:rPr>
        <w:t xml:space="preserve"> </w:t>
      </w:r>
      <w:r w:rsidRPr="00B14447">
        <w:rPr>
          <w:rFonts w:ascii="Times New Roman" w:hAnsi="Times New Roman"/>
          <w:sz w:val="24"/>
        </w:rPr>
        <w:t>(2010) 240 CLR 432 at 442 [29]</w:t>
      </w:r>
      <w:r w:rsidR="00BC5B6F" w:rsidRPr="00B14447">
        <w:rPr>
          <w:rFonts w:ascii="Times New Roman" w:hAnsi="Times New Roman"/>
          <w:sz w:val="24"/>
        </w:rPr>
        <w:t xml:space="preserve"> (emphasis in original)</w:t>
      </w:r>
      <w:r w:rsidRPr="00B14447">
        <w:rPr>
          <w:rFonts w:ascii="Times New Roman" w:hAnsi="Times New Roman"/>
          <w:sz w:val="24"/>
        </w:rPr>
        <w:t>.</w:t>
      </w:r>
    </w:p>
  </w:footnote>
  <w:footnote w:id="166">
    <w:p w14:paraId="662CEFEE" w14:textId="77777777"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Air Express Ltd v Ansett Transport Industries (Operations) Pty Ltd</w:t>
      </w:r>
      <w:r w:rsidRPr="00B14447">
        <w:rPr>
          <w:rFonts w:ascii="Times New Roman" w:hAnsi="Times New Roman"/>
          <w:sz w:val="24"/>
        </w:rPr>
        <w:t xml:space="preserve"> (1981) 146 CLR 249 at 319.</w:t>
      </w:r>
    </w:p>
  </w:footnote>
  <w:footnote w:id="167">
    <w:p w14:paraId="681BDED9" w14:textId="77777777" w:rsidR="0009638D" w:rsidRPr="00B14447" w:rsidRDefault="0009638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t xml:space="preserve">(1883) 23 Ch D 644 at 653. </w:t>
      </w:r>
    </w:p>
  </w:footnote>
  <w:footnote w:id="168">
    <w:p w14:paraId="7550DB87" w14:textId="71306699" w:rsidR="000A78C4" w:rsidRPr="00B14447" w:rsidRDefault="000A78C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020E24" w:rsidRPr="00B14447">
        <w:rPr>
          <w:rFonts w:ascii="Times New Roman" w:hAnsi="Times New Roman"/>
          <w:sz w:val="24"/>
        </w:rPr>
        <w:t>[2022] 2 CILR 1 (Privy Council)</w:t>
      </w:r>
      <w:r w:rsidRPr="00B14447">
        <w:rPr>
          <w:rFonts w:ascii="Times New Roman" w:hAnsi="Times New Roman"/>
          <w:sz w:val="24"/>
        </w:rPr>
        <w:t xml:space="preserve">. </w:t>
      </w:r>
    </w:p>
  </w:footnote>
  <w:footnote w:id="169">
    <w:p w14:paraId="622730B9" w14:textId="68DCFA95" w:rsidR="000A78C4" w:rsidRPr="00B14447" w:rsidRDefault="000A78C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640409" w:rsidRPr="00B14447">
        <w:rPr>
          <w:rFonts w:ascii="Times New Roman" w:hAnsi="Times New Roman"/>
          <w:i/>
          <w:sz w:val="24"/>
        </w:rPr>
        <w:t>Fenris Consulting Ltd</w:t>
      </w:r>
      <w:r w:rsidR="00640409" w:rsidRPr="00B14447">
        <w:rPr>
          <w:rFonts w:ascii="Times New Roman" w:hAnsi="Times New Roman"/>
          <w:sz w:val="24"/>
        </w:rPr>
        <w:t xml:space="preserve"> </w:t>
      </w:r>
      <w:r w:rsidR="00640409" w:rsidRPr="00B14447">
        <w:rPr>
          <w:rFonts w:ascii="Times New Roman" w:hAnsi="Times New Roman"/>
          <w:i/>
          <w:iCs/>
          <w:sz w:val="24"/>
        </w:rPr>
        <w:t xml:space="preserve">v </w:t>
      </w:r>
      <w:r w:rsidR="00640409" w:rsidRPr="00B14447">
        <w:rPr>
          <w:rFonts w:ascii="Times New Roman" w:hAnsi="Times New Roman"/>
          <w:i/>
          <w:sz w:val="24"/>
        </w:rPr>
        <w:t>Ennismore Fund Management Ltd</w:t>
      </w:r>
      <w:r w:rsidR="00640409" w:rsidRPr="00B14447">
        <w:rPr>
          <w:rFonts w:ascii="Times New Roman" w:hAnsi="Times New Roman"/>
          <w:sz w:val="24"/>
        </w:rPr>
        <w:t xml:space="preserve"> [2022] 2 CILR 1 at 21 [50] (Privy Council)</w:t>
      </w:r>
      <w:r w:rsidRPr="00B14447">
        <w:rPr>
          <w:rFonts w:ascii="Times New Roman" w:hAnsi="Times New Roman"/>
          <w:sz w:val="24"/>
        </w:rPr>
        <w:t>.</w:t>
      </w:r>
    </w:p>
  </w:footnote>
  <w:footnote w:id="170">
    <w:p w14:paraId="37C80516" w14:textId="07A66524" w:rsidR="009008C4" w:rsidRPr="00B14447" w:rsidRDefault="009008C4"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196AE0">
        <w:rPr>
          <w:rFonts w:ascii="Times New Roman" w:hAnsi="Times New Roman"/>
          <w:i/>
          <w:iCs/>
          <w:sz w:val="24"/>
        </w:rPr>
        <w:t xml:space="preserve">The </w:t>
      </w:r>
      <w:r w:rsidRPr="00B14447">
        <w:rPr>
          <w:rFonts w:ascii="Times New Roman" w:hAnsi="Times New Roman"/>
          <w:i/>
          <w:iCs/>
          <w:sz w:val="24"/>
        </w:rPr>
        <w:t xml:space="preserve">Commonwealth v Sanofi (formerly Sanofi-Aventis) </w:t>
      </w:r>
      <w:r w:rsidR="0001690E" w:rsidRPr="00B14447">
        <w:rPr>
          <w:rFonts w:ascii="Times New Roman" w:hAnsi="Times New Roman"/>
          <w:i/>
          <w:iCs/>
          <w:sz w:val="24"/>
        </w:rPr>
        <w:t>[</w:t>
      </w:r>
      <w:r w:rsidRPr="00B14447">
        <w:rPr>
          <w:rFonts w:ascii="Times New Roman" w:hAnsi="Times New Roman"/>
          <w:i/>
          <w:iCs/>
          <w:sz w:val="24"/>
        </w:rPr>
        <w:t>No</w:t>
      </w:r>
      <w:r w:rsidR="0001690E" w:rsidRPr="00B14447">
        <w:rPr>
          <w:rFonts w:ascii="Times New Roman" w:hAnsi="Times New Roman"/>
          <w:i/>
          <w:iCs/>
          <w:sz w:val="24"/>
        </w:rPr>
        <w:t> </w:t>
      </w:r>
      <w:r w:rsidRPr="00B14447">
        <w:rPr>
          <w:rFonts w:ascii="Times New Roman" w:hAnsi="Times New Roman"/>
          <w:i/>
          <w:iCs/>
          <w:sz w:val="24"/>
        </w:rPr>
        <w:t>5</w:t>
      </w:r>
      <w:r w:rsidR="0001690E" w:rsidRPr="00B14447">
        <w:rPr>
          <w:rFonts w:ascii="Times New Roman" w:hAnsi="Times New Roman"/>
          <w:i/>
          <w:iCs/>
          <w:sz w:val="24"/>
        </w:rPr>
        <w:t>]</w:t>
      </w:r>
      <w:r w:rsidR="0001690E" w:rsidRPr="00B14447">
        <w:rPr>
          <w:rFonts w:ascii="Times New Roman" w:hAnsi="Times New Roman"/>
          <w:sz w:val="24"/>
        </w:rPr>
        <w:t xml:space="preserve"> (2020) 151 IPR 237</w:t>
      </w:r>
      <w:r w:rsidRPr="00B14447">
        <w:rPr>
          <w:rFonts w:ascii="Times New Roman" w:hAnsi="Times New Roman"/>
          <w:sz w:val="24"/>
        </w:rPr>
        <w:t xml:space="preserve"> at</w:t>
      </w:r>
      <w:r w:rsidR="0001690E" w:rsidRPr="00B14447">
        <w:rPr>
          <w:rFonts w:ascii="Times New Roman" w:hAnsi="Times New Roman"/>
          <w:sz w:val="24"/>
        </w:rPr>
        <w:t xml:space="preserve"> </w:t>
      </w:r>
      <w:r w:rsidR="009D7D62" w:rsidRPr="00B14447">
        <w:rPr>
          <w:rFonts w:ascii="Times New Roman" w:hAnsi="Times New Roman"/>
          <w:sz w:val="24"/>
        </w:rPr>
        <w:t>246</w:t>
      </w:r>
      <w:r w:rsidRPr="00B14447">
        <w:rPr>
          <w:rFonts w:ascii="Times New Roman" w:hAnsi="Times New Roman"/>
          <w:sz w:val="24"/>
        </w:rPr>
        <w:t xml:space="preserve"> [24].</w:t>
      </w:r>
    </w:p>
  </w:footnote>
  <w:footnote w:id="171">
    <w:p w14:paraId="1701E8E1" w14:textId="5B80A1F7" w:rsidR="0094650B" w:rsidRPr="00B14447" w:rsidRDefault="0094650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Bolton v London School Board </w:t>
      </w:r>
      <w:r w:rsidRPr="00B14447">
        <w:rPr>
          <w:rFonts w:ascii="Times New Roman" w:hAnsi="Times New Roman"/>
          <w:sz w:val="24"/>
        </w:rPr>
        <w:t>(1878) 7 Ch D 766 at 771. See</w:t>
      </w:r>
      <w:r w:rsidR="00422E98" w:rsidRPr="00B14447">
        <w:rPr>
          <w:rFonts w:ascii="Times New Roman" w:hAnsi="Times New Roman"/>
          <w:sz w:val="24"/>
        </w:rPr>
        <w:t> </w:t>
      </w:r>
      <w:r w:rsidRPr="00B14447">
        <w:rPr>
          <w:rFonts w:ascii="Times New Roman" w:hAnsi="Times New Roman"/>
          <w:sz w:val="24"/>
        </w:rPr>
        <w:t>also</w:t>
      </w:r>
      <w:r w:rsidR="00F27FB0" w:rsidRPr="00B14447">
        <w:rPr>
          <w:rFonts w:ascii="Times New Roman" w:hAnsi="Times New Roman"/>
          <w:sz w:val="24"/>
        </w:rPr>
        <w:t xml:space="preserve"> Ingpen, Bloxam and Garrett</w:t>
      </w:r>
      <w:r w:rsidRPr="00B14447">
        <w:rPr>
          <w:rFonts w:ascii="Times New Roman" w:hAnsi="Times New Roman"/>
          <w:sz w:val="24"/>
        </w:rPr>
        <w:t xml:space="preserve">, </w:t>
      </w:r>
      <w:r w:rsidR="00F27FB0" w:rsidRPr="00B14447">
        <w:rPr>
          <w:rFonts w:ascii="Times New Roman" w:hAnsi="Times New Roman"/>
          <w:i/>
          <w:iCs/>
          <w:sz w:val="24"/>
        </w:rPr>
        <w:t xml:space="preserve">Seton's </w:t>
      </w:r>
      <w:r w:rsidRPr="00B14447">
        <w:rPr>
          <w:rFonts w:ascii="Times New Roman" w:hAnsi="Times New Roman"/>
          <w:i/>
          <w:iCs/>
          <w:sz w:val="24"/>
        </w:rPr>
        <w:t>Forms Judgments, and Orders</w:t>
      </w:r>
      <w:r w:rsidR="00F27FB0" w:rsidRPr="00B14447">
        <w:rPr>
          <w:rFonts w:ascii="Times New Roman" w:hAnsi="Times New Roman"/>
          <w:sz w:val="24"/>
        </w:rPr>
        <w:t xml:space="preserve"> </w:t>
      </w:r>
      <w:r w:rsidR="00F27FB0" w:rsidRPr="00B14447">
        <w:rPr>
          <w:rFonts w:ascii="Times New Roman" w:hAnsi="Times New Roman"/>
          <w:i/>
          <w:iCs/>
          <w:sz w:val="24"/>
        </w:rPr>
        <w:t>in the High Court of Justice and Court of Appeal,</w:t>
      </w:r>
      <w:r w:rsidR="00090684" w:rsidRPr="00B14447">
        <w:rPr>
          <w:rFonts w:ascii="Times New Roman" w:hAnsi="Times New Roman"/>
          <w:i/>
          <w:iCs/>
          <w:sz w:val="24"/>
        </w:rPr>
        <w:t xml:space="preserve"> Having Especial Reference to the Chancery Division,</w:t>
      </w:r>
      <w:r w:rsidRPr="00B14447">
        <w:rPr>
          <w:rFonts w:ascii="Times New Roman" w:hAnsi="Times New Roman"/>
          <w:i/>
          <w:iCs/>
          <w:sz w:val="24"/>
        </w:rPr>
        <w:t xml:space="preserve"> with Practical Notes, </w:t>
      </w:r>
      <w:r w:rsidRPr="00B14447">
        <w:rPr>
          <w:rFonts w:ascii="Times New Roman" w:hAnsi="Times New Roman"/>
          <w:sz w:val="24"/>
        </w:rPr>
        <w:t>7th ed (1912)</w:t>
      </w:r>
      <w:r w:rsidR="008060F1" w:rsidRPr="00B14447">
        <w:rPr>
          <w:rFonts w:ascii="Times New Roman" w:hAnsi="Times New Roman"/>
          <w:sz w:val="24"/>
        </w:rPr>
        <w:t xml:space="preserve"> vol 1</w:t>
      </w:r>
      <w:r w:rsidRPr="00B14447">
        <w:rPr>
          <w:rFonts w:ascii="Times New Roman" w:hAnsi="Times New Roman"/>
          <w:sz w:val="24"/>
        </w:rPr>
        <w:t xml:space="preserve"> at 508-509; </w:t>
      </w:r>
      <w:r w:rsidR="00686A78" w:rsidRPr="00B14447">
        <w:rPr>
          <w:rFonts w:ascii="Times New Roman" w:hAnsi="Times New Roman"/>
          <w:sz w:val="24"/>
        </w:rPr>
        <w:t xml:space="preserve">Paterson, </w:t>
      </w:r>
      <w:r w:rsidR="00686A78" w:rsidRPr="00B14447">
        <w:rPr>
          <w:rFonts w:ascii="Times New Roman" w:hAnsi="Times New Roman"/>
          <w:i/>
          <w:iCs/>
          <w:sz w:val="24"/>
        </w:rPr>
        <w:t xml:space="preserve">Kerr's </w:t>
      </w:r>
      <w:r w:rsidRPr="00B14447">
        <w:rPr>
          <w:rFonts w:ascii="Times New Roman" w:hAnsi="Times New Roman"/>
          <w:i/>
          <w:iCs/>
          <w:sz w:val="24"/>
        </w:rPr>
        <w:t>Treatise on the Law and Practice of Injunctions</w:t>
      </w:r>
      <w:r w:rsidRPr="00B14447">
        <w:rPr>
          <w:rFonts w:ascii="Times New Roman" w:hAnsi="Times New Roman"/>
          <w:sz w:val="24"/>
        </w:rPr>
        <w:t xml:space="preserve">, 6th ed (1927) at </w:t>
      </w:r>
      <w:r w:rsidR="005355C6" w:rsidRPr="00B14447">
        <w:rPr>
          <w:rFonts w:ascii="Times New Roman" w:hAnsi="Times New Roman"/>
          <w:sz w:val="24"/>
        </w:rPr>
        <w:t>642-643</w:t>
      </w:r>
      <w:r w:rsidRPr="00B14447">
        <w:rPr>
          <w:rFonts w:ascii="Times New Roman" w:hAnsi="Times New Roman"/>
          <w:sz w:val="24"/>
        </w:rPr>
        <w:t>.</w:t>
      </w:r>
    </w:p>
  </w:footnote>
  <w:footnote w:id="172">
    <w:p w14:paraId="18C6727A" w14:textId="34D5FD17" w:rsidR="00DD29A3" w:rsidRPr="00B14447" w:rsidRDefault="00DD29A3"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EC1F47" w:rsidRPr="00B14447">
        <w:rPr>
          <w:rFonts w:ascii="Times New Roman" w:hAnsi="Times New Roman"/>
          <w:sz w:val="24"/>
        </w:rPr>
        <w:t>[2022] 2 CILR 1 (Privy Council)</w:t>
      </w:r>
      <w:r w:rsidR="00F73796" w:rsidRPr="00B14447">
        <w:rPr>
          <w:rFonts w:ascii="Times New Roman" w:hAnsi="Times New Roman"/>
          <w:sz w:val="24"/>
        </w:rPr>
        <w:t>.</w:t>
      </w:r>
    </w:p>
  </w:footnote>
  <w:footnote w:id="173">
    <w:p w14:paraId="14DAC4BB" w14:textId="1AA4EECB" w:rsidR="001D132F" w:rsidRPr="00B14447" w:rsidRDefault="001D132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A84B13">
        <w:rPr>
          <w:rFonts w:ascii="Times New Roman" w:hAnsi="Times New Roman"/>
          <w:i/>
          <w:iCs/>
          <w:sz w:val="24"/>
        </w:rPr>
        <w:t xml:space="preserve">The </w:t>
      </w:r>
      <w:r w:rsidRPr="00B14447">
        <w:rPr>
          <w:rFonts w:ascii="Times New Roman" w:hAnsi="Times New Roman"/>
          <w:i/>
          <w:iCs/>
          <w:sz w:val="24"/>
        </w:rPr>
        <w:t xml:space="preserve">Commonwealth v Sanofi (formerly Sanofi-Aventis) </w:t>
      </w:r>
      <w:r w:rsidR="00F21165" w:rsidRPr="00B14447">
        <w:rPr>
          <w:rFonts w:ascii="Times New Roman" w:hAnsi="Times New Roman"/>
          <w:i/>
          <w:iCs/>
          <w:sz w:val="24"/>
        </w:rPr>
        <w:t>[</w:t>
      </w:r>
      <w:r w:rsidRPr="00B14447">
        <w:rPr>
          <w:rFonts w:ascii="Times New Roman" w:hAnsi="Times New Roman"/>
          <w:i/>
          <w:iCs/>
          <w:sz w:val="24"/>
        </w:rPr>
        <w:t>No</w:t>
      </w:r>
      <w:r w:rsidR="00F21165" w:rsidRPr="00B14447">
        <w:rPr>
          <w:rFonts w:ascii="Times New Roman" w:hAnsi="Times New Roman"/>
          <w:i/>
          <w:iCs/>
          <w:sz w:val="24"/>
        </w:rPr>
        <w:t> </w:t>
      </w:r>
      <w:r w:rsidRPr="00B14447">
        <w:rPr>
          <w:rFonts w:ascii="Times New Roman" w:hAnsi="Times New Roman"/>
          <w:i/>
          <w:iCs/>
          <w:sz w:val="24"/>
        </w:rPr>
        <w:t>5</w:t>
      </w:r>
      <w:r w:rsidR="00F21165" w:rsidRPr="00B14447">
        <w:rPr>
          <w:rFonts w:ascii="Times New Roman" w:hAnsi="Times New Roman"/>
          <w:i/>
          <w:iCs/>
          <w:sz w:val="24"/>
        </w:rPr>
        <w:t>]</w:t>
      </w:r>
      <w:r w:rsidRPr="00B14447">
        <w:rPr>
          <w:rFonts w:ascii="Times New Roman" w:hAnsi="Times New Roman"/>
          <w:sz w:val="24"/>
        </w:rPr>
        <w:t xml:space="preserve"> </w:t>
      </w:r>
      <w:r w:rsidR="00F21165" w:rsidRPr="00B14447">
        <w:rPr>
          <w:rFonts w:ascii="Times New Roman" w:hAnsi="Times New Roman"/>
          <w:sz w:val="24"/>
        </w:rPr>
        <w:t>(2020) 151 IPR 237</w:t>
      </w:r>
      <w:r w:rsidR="00F21165" w:rsidRPr="00B14447">
        <w:rPr>
          <w:rFonts w:ascii="Times New Roman" w:hAnsi="Times New Roman"/>
          <w:i/>
          <w:iCs/>
          <w:sz w:val="24"/>
        </w:rPr>
        <w:t xml:space="preserve"> </w:t>
      </w:r>
      <w:r w:rsidRPr="00B14447">
        <w:rPr>
          <w:rFonts w:ascii="Times New Roman" w:hAnsi="Times New Roman"/>
          <w:sz w:val="24"/>
        </w:rPr>
        <w:t>at</w:t>
      </w:r>
      <w:r w:rsidR="00EE793C" w:rsidRPr="00B14447">
        <w:rPr>
          <w:rFonts w:ascii="Times New Roman" w:hAnsi="Times New Roman"/>
          <w:sz w:val="24"/>
        </w:rPr>
        <w:t xml:space="preserve"> 344</w:t>
      </w:r>
      <w:r w:rsidRPr="00B14447">
        <w:rPr>
          <w:rFonts w:ascii="Times New Roman" w:hAnsi="Times New Roman"/>
          <w:sz w:val="24"/>
        </w:rPr>
        <w:t xml:space="preserve"> [561]. See also at</w:t>
      </w:r>
      <w:r w:rsidR="00EE793C" w:rsidRPr="00B14447">
        <w:rPr>
          <w:rFonts w:ascii="Times New Roman" w:hAnsi="Times New Roman"/>
          <w:sz w:val="24"/>
        </w:rPr>
        <w:t xml:space="preserve"> 344</w:t>
      </w:r>
      <w:r w:rsidRPr="00B14447">
        <w:rPr>
          <w:rFonts w:ascii="Times New Roman" w:hAnsi="Times New Roman"/>
          <w:sz w:val="24"/>
        </w:rPr>
        <w:t xml:space="preserve"> [564].</w:t>
      </w:r>
    </w:p>
  </w:footnote>
  <w:footnote w:id="174">
    <w:p w14:paraId="709914D3" w14:textId="4FF0BAE9" w:rsidR="00234456" w:rsidRPr="00B14447" w:rsidRDefault="00960A60"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234456" w:rsidRPr="00B14447">
        <w:rPr>
          <w:rFonts w:ascii="Times New Roman" w:hAnsi="Times New Roman"/>
          <w:i/>
          <w:iCs/>
          <w:sz w:val="24"/>
        </w:rPr>
        <w:t xml:space="preserve">Chief Executive Officer, Aboriginal Areas Protection Authority v Director of National Parks </w:t>
      </w:r>
      <w:r w:rsidR="001D0568" w:rsidRPr="00B14447">
        <w:rPr>
          <w:rFonts w:ascii="Times New Roman" w:hAnsi="Times New Roman"/>
          <w:sz w:val="24"/>
        </w:rPr>
        <w:t xml:space="preserve">(2024) 98 ALJR 655 </w:t>
      </w:r>
      <w:r w:rsidR="00234456" w:rsidRPr="00B14447">
        <w:rPr>
          <w:rFonts w:ascii="Times New Roman" w:hAnsi="Times New Roman"/>
          <w:sz w:val="24"/>
        </w:rPr>
        <w:t xml:space="preserve">at </w:t>
      </w:r>
      <w:r w:rsidR="007E4F4D" w:rsidRPr="00B14447">
        <w:rPr>
          <w:rFonts w:ascii="Times New Roman" w:hAnsi="Times New Roman"/>
          <w:sz w:val="24"/>
        </w:rPr>
        <w:t xml:space="preserve">673 </w:t>
      </w:r>
      <w:r w:rsidR="00234456" w:rsidRPr="00B14447">
        <w:rPr>
          <w:rFonts w:ascii="Times New Roman" w:hAnsi="Times New Roman"/>
          <w:sz w:val="24"/>
        </w:rPr>
        <w:t xml:space="preserve">[80], </w:t>
      </w:r>
      <w:r w:rsidR="00EE4A24" w:rsidRPr="00B14447">
        <w:rPr>
          <w:rFonts w:ascii="Times New Roman" w:hAnsi="Times New Roman"/>
          <w:sz w:val="24"/>
        </w:rPr>
        <w:t xml:space="preserve">684-685 </w:t>
      </w:r>
      <w:r w:rsidR="00234456" w:rsidRPr="00B14447">
        <w:rPr>
          <w:rFonts w:ascii="Times New Roman" w:hAnsi="Times New Roman"/>
          <w:sz w:val="24"/>
        </w:rPr>
        <w:t>[141]-[143]</w:t>
      </w:r>
      <w:r w:rsidR="005320F6" w:rsidRPr="00B14447">
        <w:rPr>
          <w:rFonts w:ascii="Times New Roman" w:hAnsi="Times New Roman"/>
          <w:sz w:val="24"/>
        </w:rPr>
        <w:t xml:space="preserve">; </w:t>
      </w:r>
      <w:r w:rsidR="00D208F2" w:rsidRPr="00B14447">
        <w:rPr>
          <w:rFonts w:ascii="Times New Roman" w:hAnsi="Times New Roman"/>
          <w:sz w:val="24"/>
        </w:rPr>
        <w:t>418 ALR 202 at 222, 237-238</w:t>
      </w:r>
      <w:r w:rsidR="00234456" w:rsidRPr="00B14447">
        <w:rPr>
          <w:rFonts w:ascii="Times New Roman" w:hAnsi="Times New Roman"/>
          <w:sz w:val="24"/>
        </w:rPr>
        <w:t>.</w:t>
      </w:r>
    </w:p>
  </w:footnote>
  <w:footnote w:id="175">
    <w:p w14:paraId="6DAA8F55" w14:textId="37C6C9FA" w:rsidR="009150A8" w:rsidRPr="00B14447" w:rsidRDefault="009150A8"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 xml:space="preserve">Bropho v Western Australia </w:t>
      </w:r>
      <w:r w:rsidR="00301707" w:rsidRPr="00B14447">
        <w:rPr>
          <w:rFonts w:ascii="Times New Roman" w:hAnsi="Times New Roman"/>
          <w:sz w:val="24"/>
        </w:rPr>
        <w:t xml:space="preserve">(1990) 171 CLR 1 at </w:t>
      </w:r>
      <w:r w:rsidR="00D128F3" w:rsidRPr="00B14447">
        <w:rPr>
          <w:rFonts w:ascii="Times New Roman" w:hAnsi="Times New Roman"/>
          <w:sz w:val="24"/>
        </w:rPr>
        <w:t>20-</w:t>
      </w:r>
      <w:r w:rsidR="00301707" w:rsidRPr="00B14447">
        <w:rPr>
          <w:rFonts w:ascii="Times New Roman" w:hAnsi="Times New Roman"/>
          <w:sz w:val="24"/>
        </w:rPr>
        <w:t xml:space="preserve">21; </w:t>
      </w:r>
      <w:r w:rsidR="00301707" w:rsidRPr="00B14447">
        <w:rPr>
          <w:rFonts w:ascii="Times New Roman" w:hAnsi="Times New Roman"/>
          <w:i/>
          <w:iCs/>
          <w:sz w:val="24"/>
        </w:rPr>
        <w:t xml:space="preserve">Chief Executive Officer, Aboriginal Areas Protection Authority v Director of National Parks </w:t>
      </w:r>
      <w:r w:rsidR="00301707" w:rsidRPr="00B14447">
        <w:rPr>
          <w:rFonts w:ascii="Times New Roman" w:hAnsi="Times New Roman"/>
          <w:sz w:val="24"/>
        </w:rPr>
        <w:t xml:space="preserve">(2024) 98 ALJR 655 at </w:t>
      </w:r>
      <w:r w:rsidR="008D7FCB" w:rsidRPr="00B14447">
        <w:rPr>
          <w:rFonts w:ascii="Times New Roman" w:hAnsi="Times New Roman"/>
          <w:sz w:val="24"/>
        </w:rPr>
        <w:t>694 [</w:t>
      </w:r>
      <w:r w:rsidR="00301707" w:rsidRPr="00B14447">
        <w:rPr>
          <w:rFonts w:ascii="Times New Roman" w:hAnsi="Times New Roman"/>
          <w:sz w:val="24"/>
        </w:rPr>
        <w:t>1</w:t>
      </w:r>
      <w:r w:rsidR="008D7FCB" w:rsidRPr="00B14447">
        <w:rPr>
          <w:rFonts w:ascii="Times New Roman" w:hAnsi="Times New Roman"/>
          <w:sz w:val="24"/>
        </w:rPr>
        <w:t>82]</w:t>
      </w:r>
      <w:r w:rsidR="00D208F2" w:rsidRPr="00B14447">
        <w:rPr>
          <w:rFonts w:ascii="Times New Roman" w:hAnsi="Times New Roman"/>
          <w:sz w:val="24"/>
        </w:rPr>
        <w:t>; 418 ALR 202 at 250</w:t>
      </w:r>
      <w:r w:rsidR="008D7FCB" w:rsidRPr="00B14447">
        <w:rPr>
          <w:rFonts w:ascii="Times New Roman" w:hAnsi="Times New Roman"/>
          <w:sz w:val="24"/>
        </w:rPr>
        <w:t>.</w:t>
      </w:r>
    </w:p>
  </w:footnote>
  <w:footnote w:id="176">
    <w:p w14:paraId="61F06361" w14:textId="1531B4C9" w:rsidR="00D36BEF" w:rsidRPr="00B14447" w:rsidRDefault="00D36BE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482465" w:rsidRPr="00B14447">
        <w:rPr>
          <w:rFonts w:ascii="Times New Roman" w:hAnsi="Times New Roman"/>
          <w:i/>
          <w:iCs/>
          <w:sz w:val="24"/>
        </w:rPr>
        <w:t>The</w:t>
      </w:r>
      <w:r w:rsidR="00482465" w:rsidRPr="00B14447">
        <w:rPr>
          <w:rFonts w:ascii="Times New Roman" w:hAnsi="Times New Roman"/>
          <w:sz w:val="24"/>
        </w:rPr>
        <w:t xml:space="preserve"> </w:t>
      </w:r>
      <w:r w:rsidRPr="00B14447">
        <w:rPr>
          <w:rFonts w:ascii="Times New Roman" w:hAnsi="Times New Roman"/>
          <w:i/>
          <w:iCs/>
          <w:sz w:val="24"/>
        </w:rPr>
        <w:t>Commonwealth v Sanofi</w:t>
      </w:r>
      <w:r w:rsidR="00D27815" w:rsidRPr="00B14447">
        <w:rPr>
          <w:rFonts w:ascii="Times New Roman" w:hAnsi="Times New Roman"/>
          <w:i/>
          <w:iCs/>
          <w:sz w:val="24"/>
        </w:rPr>
        <w:t xml:space="preserve"> </w:t>
      </w:r>
      <w:r w:rsidRPr="00B14447">
        <w:rPr>
          <w:rFonts w:ascii="Times New Roman" w:hAnsi="Times New Roman"/>
          <w:sz w:val="24"/>
        </w:rPr>
        <w:t>(2015) 237 FCR 483.</w:t>
      </w:r>
    </w:p>
  </w:footnote>
  <w:footnote w:id="177">
    <w:p w14:paraId="5E216D42" w14:textId="598794B3" w:rsidR="00D36BEF" w:rsidRPr="00B14447" w:rsidRDefault="00D36BEF"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482465" w:rsidRPr="00B14447">
        <w:rPr>
          <w:rFonts w:ascii="Times New Roman" w:hAnsi="Times New Roman"/>
          <w:i/>
          <w:iCs/>
          <w:sz w:val="24"/>
        </w:rPr>
        <w:t>Sanofi (formerly Sanofi-Aventis</w:t>
      </w:r>
      <w:r w:rsidR="00044CF6" w:rsidRPr="00B14447">
        <w:rPr>
          <w:rFonts w:ascii="Times New Roman" w:hAnsi="Times New Roman"/>
          <w:i/>
          <w:iCs/>
          <w:sz w:val="24"/>
        </w:rPr>
        <w:t>)</w:t>
      </w:r>
      <w:r w:rsidR="00482465" w:rsidRPr="00B14447">
        <w:rPr>
          <w:rFonts w:ascii="Times New Roman" w:hAnsi="Times New Roman"/>
          <w:i/>
          <w:iCs/>
          <w:sz w:val="24"/>
        </w:rPr>
        <w:t xml:space="preserve"> v The Commonwealth </w:t>
      </w:r>
      <w:r w:rsidR="00482465" w:rsidRPr="00B14447">
        <w:rPr>
          <w:rFonts w:ascii="Times New Roman" w:hAnsi="Times New Roman"/>
          <w:sz w:val="24"/>
        </w:rPr>
        <w:t xml:space="preserve">[2016] </w:t>
      </w:r>
      <w:r w:rsidR="00DB62FF" w:rsidRPr="00B14447">
        <w:rPr>
          <w:rFonts w:ascii="Times New Roman" w:hAnsi="Times New Roman"/>
          <w:sz w:val="24"/>
        </w:rPr>
        <w:t>HCASL 98;</w:t>
      </w:r>
      <w:r w:rsidR="00482465" w:rsidRPr="00B14447">
        <w:rPr>
          <w:rFonts w:ascii="Times New Roman" w:hAnsi="Times New Roman"/>
          <w:i/>
          <w:iCs/>
          <w:sz w:val="24"/>
        </w:rPr>
        <w:t xml:space="preserve"> </w:t>
      </w:r>
      <w:r w:rsidRPr="00B14447">
        <w:rPr>
          <w:rFonts w:ascii="Times New Roman" w:hAnsi="Times New Roman"/>
          <w:i/>
          <w:iCs/>
          <w:sz w:val="24"/>
        </w:rPr>
        <w:t xml:space="preserve">Wyeth v </w:t>
      </w:r>
      <w:r w:rsidR="00482465" w:rsidRPr="00B14447">
        <w:rPr>
          <w:rFonts w:ascii="Times New Roman" w:hAnsi="Times New Roman"/>
          <w:i/>
          <w:iCs/>
          <w:sz w:val="24"/>
        </w:rPr>
        <w:t xml:space="preserve">The </w:t>
      </w:r>
      <w:r w:rsidRPr="00B14447">
        <w:rPr>
          <w:rFonts w:ascii="Times New Roman" w:hAnsi="Times New Roman"/>
          <w:i/>
          <w:iCs/>
          <w:sz w:val="24"/>
        </w:rPr>
        <w:t xml:space="preserve">Commonwealth </w:t>
      </w:r>
      <w:r w:rsidRPr="00B14447">
        <w:rPr>
          <w:rFonts w:ascii="Times New Roman" w:hAnsi="Times New Roman"/>
          <w:sz w:val="24"/>
        </w:rPr>
        <w:t xml:space="preserve">[2016] HCASL 99. </w:t>
      </w:r>
    </w:p>
  </w:footnote>
  <w:footnote w:id="178">
    <w:p w14:paraId="296DA329" w14:textId="49B56048" w:rsidR="002B771D" w:rsidRPr="00B14447" w:rsidRDefault="002B771D"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E34AB9" w:rsidRPr="00B14447">
        <w:rPr>
          <w:rFonts w:ascii="Times New Roman" w:hAnsi="Times New Roman"/>
          <w:i/>
          <w:iCs/>
          <w:sz w:val="24"/>
        </w:rPr>
        <w:t>The</w:t>
      </w:r>
      <w:r w:rsidR="00E34AB9" w:rsidRPr="00B14447">
        <w:rPr>
          <w:rFonts w:ascii="Times New Roman" w:hAnsi="Times New Roman"/>
          <w:sz w:val="24"/>
        </w:rPr>
        <w:t xml:space="preserve"> </w:t>
      </w:r>
      <w:r w:rsidRPr="00B14447">
        <w:rPr>
          <w:rFonts w:ascii="Times New Roman" w:hAnsi="Times New Roman"/>
          <w:i/>
          <w:iCs/>
          <w:sz w:val="24"/>
        </w:rPr>
        <w:t xml:space="preserve">Commonwealth v Sanofi </w:t>
      </w:r>
      <w:r w:rsidRPr="00B14447">
        <w:rPr>
          <w:rFonts w:ascii="Times New Roman" w:hAnsi="Times New Roman"/>
          <w:sz w:val="24"/>
        </w:rPr>
        <w:t>(2015) 237 FCR 483.</w:t>
      </w:r>
    </w:p>
  </w:footnote>
  <w:footnote w:id="179">
    <w:p w14:paraId="3BDD454F" w14:textId="38A32D79" w:rsidR="00973A52" w:rsidRPr="00B14447" w:rsidRDefault="00973A52"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Sanofi (formerly Sanofi-</w:t>
      </w:r>
      <w:r w:rsidR="001304B4" w:rsidRPr="00B14447">
        <w:rPr>
          <w:rFonts w:ascii="Times New Roman" w:hAnsi="Times New Roman"/>
          <w:i/>
          <w:iCs/>
          <w:sz w:val="24"/>
        </w:rPr>
        <w:t>A</w:t>
      </w:r>
      <w:r w:rsidRPr="00B14447">
        <w:rPr>
          <w:rFonts w:ascii="Times New Roman" w:hAnsi="Times New Roman"/>
          <w:i/>
          <w:iCs/>
          <w:sz w:val="24"/>
        </w:rPr>
        <w:t xml:space="preserve">ventis) v </w:t>
      </w:r>
      <w:r w:rsidR="00CA351A" w:rsidRPr="00B14447">
        <w:rPr>
          <w:rFonts w:ascii="Times New Roman" w:hAnsi="Times New Roman"/>
          <w:i/>
          <w:iCs/>
          <w:sz w:val="24"/>
        </w:rPr>
        <w:t xml:space="preserve">The </w:t>
      </w:r>
      <w:r w:rsidRPr="00B14447">
        <w:rPr>
          <w:rFonts w:ascii="Times New Roman" w:hAnsi="Times New Roman"/>
          <w:i/>
          <w:iCs/>
          <w:sz w:val="24"/>
        </w:rPr>
        <w:t xml:space="preserve">Commonwealth </w:t>
      </w:r>
      <w:r w:rsidRPr="00B14447">
        <w:rPr>
          <w:rFonts w:ascii="Times New Roman" w:hAnsi="Times New Roman"/>
          <w:sz w:val="24"/>
        </w:rPr>
        <w:t>[2016] HCASL 98.</w:t>
      </w:r>
    </w:p>
  </w:footnote>
  <w:footnote w:id="180">
    <w:p w14:paraId="2A8E8A50" w14:textId="59E6F0EF" w:rsidR="009D109B" w:rsidRPr="00B14447" w:rsidRDefault="00C2398B"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009D109B" w:rsidRPr="00B14447">
        <w:rPr>
          <w:rFonts w:ascii="Times New Roman" w:hAnsi="Times New Roman"/>
          <w:i/>
          <w:iCs/>
          <w:sz w:val="24"/>
        </w:rPr>
        <w:t xml:space="preserve">Suttor v Gundowda </w:t>
      </w:r>
      <w:r w:rsidR="006F35F9" w:rsidRPr="00B14447">
        <w:rPr>
          <w:rFonts w:ascii="Times New Roman" w:hAnsi="Times New Roman"/>
          <w:i/>
          <w:iCs/>
          <w:sz w:val="24"/>
        </w:rPr>
        <w:t xml:space="preserve">Pty Ltd </w:t>
      </w:r>
      <w:r w:rsidR="006F35F9" w:rsidRPr="00B14447">
        <w:rPr>
          <w:rFonts w:ascii="Times New Roman" w:hAnsi="Times New Roman"/>
          <w:sz w:val="24"/>
        </w:rPr>
        <w:t>(1950) 81 CLR 418 at 438</w:t>
      </w:r>
      <w:r w:rsidR="00515600" w:rsidRPr="00B14447">
        <w:rPr>
          <w:rFonts w:ascii="Times New Roman" w:hAnsi="Times New Roman"/>
          <w:sz w:val="24"/>
        </w:rPr>
        <w:t>,</w:t>
      </w:r>
      <w:r w:rsidR="006F35F9" w:rsidRPr="00B14447">
        <w:rPr>
          <w:rFonts w:ascii="Times New Roman" w:hAnsi="Times New Roman"/>
          <w:sz w:val="24"/>
        </w:rPr>
        <w:t xml:space="preserve"> quoting </w:t>
      </w:r>
      <w:r w:rsidR="009D109B" w:rsidRPr="00B14447">
        <w:rPr>
          <w:rFonts w:ascii="Times New Roman" w:hAnsi="Times New Roman"/>
          <w:i/>
          <w:sz w:val="24"/>
        </w:rPr>
        <w:t>Connecticut Fire Insurance Co</w:t>
      </w:r>
      <w:r w:rsidR="00515600" w:rsidRPr="00B14447">
        <w:rPr>
          <w:rFonts w:ascii="Times New Roman" w:hAnsi="Times New Roman"/>
          <w:i/>
          <w:sz w:val="24"/>
        </w:rPr>
        <w:t>mpany</w:t>
      </w:r>
      <w:r w:rsidR="009D109B" w:rsidRPr="00B14447">
        <w:rPr>
          <w:rFonts w:ascii="Times New Roman" w:hAnsi="Times New Roman"/>
          <w:i/>
          <w:sz w:val="24"/>
        </w:rPr>
        <w:t xml:space="preserve"> v Kavanagh</w:t>
      </w:r>
      <w:r w:rsidR="009D109B" w:rsidRPr="00B14447">
        <w:rPr>
          <w:rFonts w:ascii="Times New Roman" w:hAnsi="Times New Roman"/>
          <w:sz w:val="24"/>
        </w:rPr>
        <w:t xml:space="preserve"> [1892] AC 473 at 480.</w:t>
      </w:r>
      <w:r w:rsidR="001E7C35" w:rsidRPr="00B14447">
        <w:rPr>
          <w:rFonts w:ascii="Times New Roman" w:hAnsi="Times New Roman"/>
          <w:sz w:val="24"/>
        </w:rPr>
        <w:t xml:space="preserve"> </w:t>
      </w:r>
    </w:p>
  </w:footnote>
  <w:footnote w:id="181">
    <w:p w14:paraId="74988C07" w14:textId="2ECA2FFE" w:rsidR="00E02D77" w:rsidRPr="00B14447" w:rsidRDefault="00E02D77"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sz w:val="24"/>
        </w:rPr>
        <w:t>Owners "Shin Kobe Maru" v Empire Shipping Co Inc</w:t>
      </w:r>
      <w:r w:rsidRPr="00B14447">
        <w:rPr>
          <w:rFonts w:ascii="Times New Roman" w:hAnsi="Times New Roman"/>
          <w:sz w:val="24"/>
        </w:rPr>
        <w:t xml:space="preserve"> (1994) 68 ALJR 311 at 313; 120 ALR 12 at 14.</w:t>
      </w:r>
      <w:r w:rsidR="00FB287E" w:rsidRPr="00B14447">
        <w:rPr>
          <w:rFonts w:ascii="Times New Roman" w:hAnsi="Times New Roman"/>
          <w:sz w:val="24"/>
        </w:rPr>
        <w:t xml:space="preserve"> See also </w:t>
      </w:r>
      <w:r w:rsidR="00FB287E" w:rsidRPr="00B14447">
        <w:rPr>
          <w:rFonts w:ascii="Times New Roman" w:hAnsi="Times New Roman"/>
          <w:i/>
          <w:iCs/>
          <w:sz w:val="24"/>
        </w:rPr>
        <w:t xml:space="preserve">Test Claimants in the FII Group Litigation v Revenue and Customs </w:t>
      </w:r>
      <w:r w:rsidR="00F65595" w:rsidRPr="00B14447">
        <w:rPr>
          <w:rFonts w:ascii="Times New Roman" w:hAnsi="Times New Roman"/>
          <w:i/>
          <w:iCs/>
          <w:sz w:val="24"/>
        </w:rPr>
        <w:t xml:space="preserve">Comrs (formerly Inland Revenue Comrs) </w:t>
      </w:r>
      <w:r w:rsidR="00FB287E" w:rsidRPr="00B14447">
        <w:rPr>
          <w:rFonts w:ascii="Times New Roman" w:hAnsi="Times New Roman"/>
          <w:sz w:val="24"/>
        </w:rPr>
        <w:t>[202</w:t>
      </w:r>
      <w:r w:rsidR="00685338" w:rsidRPr="00B14447">
        <w:rPr>
          <w:rFonts w:ascii="Times New Roman" w:hAnsi="Times New Roman"/>
          <w:sz w:val="24"/>
        </w:rPr>
        <w:t>2</w:t>
      </w:r>
      <w:r w:rsidR="00FB287E" w:rsidRPr="00B14447">
        <w:rPr>
          <w:rFonts w:ascii="Times New Roman" w:hAnsi="Times New Roman"/>
          <w:sz w:val="24"/>
        </w:rPr>
        <w:t xml:space="preserve">] </w:t>
      </w:r>
      <w:r w:rsidR="00685338" w:rsidRPr="00B14447">
        <w:rPr>
          <w:rFonts w:ascii="Times New Roman" w:hAnsi="Times New Roman"/>
          <w:sz w:val="24"/>
        </w:rPr>
        <w:t>AC 1</w:t>
      </w:r>
      <w:r w:rsidR="003F2ACD" w:rsidRPr="00B14447">
        <w:rPr>
          <w:rFonts w:ascii="Times New Roman" w:hAnsi="Times New Roman"/>
          <w:sz w:val="24"/>
        </w:rPr>
        <w:t xml:space="preserve"> </w:t>
      </w:r>
      <w:r w:rsidR="00FB287E" w:rsidRPr="00B14447">
        <w:rPr>
          <w:rFonts w:ascii="Times New Roman" w:hAnsi="Times New Roman"/>
          <w:sz w:val="24"/>
        </w:rPr>
        <w:t xml:space="preserve">at </w:t>
      </w:r>
      <w:r w:rsidR="00685338" w:rsidRPr="00B14447">
        <w:rPr>
          <w:rFonts w:ascii="Times New Roman" w:hAnsi="Times New Roman"/>
          <w:sz w:val="24"/>
        </w:rPr>
        <w:t xml:space="preserve">57 </w:t>
      </w:r>
      <w:r w:rsidR="00FB287E" w:rsidRPr="00B14447">
        <w:rPr>
          <w:rFonts w:ascii="Times New Roman" w:hAnsi="Times New Roman"/>
          <w:sz w:val="24"/>
        </w:rPr>
        <w:t xml:space="preserve">[90], citing </w:t>
      </w:r>
      <w:r w:rsidR="00FB287E" w:rsidRPr="00B14447">
        <w:rPr>
          <w:rFonts w:ascii="Times New Roman" w:hAnsi="Times New Roman"/>
          <w:i/>
          <w:sz w:val="24"/>
        </w:rPr>
        <w:t xml:space="preserve">Notting Hill Finance Ltd v Sheikh </w:t>
      </w:r>
      <w:r w:rsidR="00FB287E" w:rsidRPr="00B14447">
        <w:rPr>
          <w:rFonts w:ascii="Times New Roman" w:hAnsi="Times New Roman"/>
          <w:sz w:val="24"/>
        </w:rPr>
        <w:t>[2019] 4 WLR 146 at</w:t>
      </w:r>
      <w:r w:rsidR="00031E8D" w:rsidRPr="00B14447">
        <w:rPr>
          <w:rFonts w:ascii="Times New Roman" w:hAnsi="Times New Roman"/>
          <w:sz w:val="24"/>
        </w:rPr>
        <w:t xml:space="preserve"> 6</w:t>
      </w:r>
      <w:r w:rsidR="00FB287E" w:rsidRPr="00B14447">
        <w:rPr>
          <w:rFonts w:ascii="Times New Roman" w:hAnsi="Times New Roman"/>
          <w:sz w:val="24"/>
        </w:rPr>
        <w:t xml:space="preserve"> [27]</w:t>
      </w:r>
      <w:r w:rsidR="00031E8D" w:rsidRPr="00B14447">
        <w:rPr>
          <w:rFonts w:ascii="Times New Roman" w:hAnsi="Times New Roman"/>
          <w:sz w:val="24"/>
        </w:rPr>
        <w:t>-</w:t>
      </w:r>
      <w:r w:rsidR="00FB287E" w:rsidRPr="00B14447">
        <w:rPr>
          <w:rFonts w:ascii="Times New Roman" w:hAnsi="Times New Roman"/>
          <w:sz w:val="24"/>
        </w:rPr>
        <w:t>[28].</w:t>
      </w:r>
    </w:p>
  </w:footnote>
  <w:footnote w:id="182">
    <w:p w14:paraId="49B506B0" w14:textId="3B36E2D2" w:rsidR="00FF6D79" w:rsidRPr="00B14447" w:rsidRDefault="00FF6D79" w:rsidP="00B14447">
      <w:pPr>
        <w:pStyle w:val="FootnoteText"/>
        <w:spacing w:line="280" w:lineRule="exact"/>
        <w:ind w:right="0"/>
        <w:jc w:val="both"/>
        <w:rPr>
          <w:rFonts w:ascii="Times New Roman" w:hAnsi="Times New Roman"/>
          <w:sz w:val="24"/>
        </w:rPr>
      </w:pPr>
      <w:r w:rsidRPr="00B14447">
        <w:rPr>
          <w:rStyle w:val="FootnoteReference"/>
          <w:rFonts w:ascii="Times New Roman" w:hAnsi="Times New Roman"/>
          <w:sz w:val="22"/>
          <w:vertAlign w:val="baseline"/>
        </w:rPr>
        <w:footnoteRef/>
      </w:r>
      <w:r w:rsidRPr="00B14447">
        <w:rPr>
          <w:rFonts w:ascii="Times New Roman" w:hAnsi="Times New Roman"/>
          <w:sz w:val="24"/>
        </w:rPr>
        <w:t xml:space="preserve"> </w:t>
      </w:r>
      <w:r w:rsidRPr="00B14447">
        <w:rPr>
          <w:rFonts w:ascii="Times New Roman" w:hAnsi="Times New Roman"/>
          <w:sz w:val="24"/>
        </w:rPr>
        <w:tab/>
      </w:r>
      <w:r w:rsidRPr="00B14447">
        <w:rPr>
          <w:rFonts w:ascii="Times New Roman" w:hAnsi="Times New Roman"/>
          <w:i/>
          <w:iCs/>
          <w:sz w:val="24"/>
        </w:rPr>
        <w:t>Re Golding</w:t>
      </w:r>
      <w:r w:rsidRPr="00B14447">
        <w:rPr>
          <w:rFonts w:ascii="Times New Roman" w:hAnsi="Times New Roman"/>
          <w:sz w:val="24"/>
        </w:rPr>
        <w:t xml:space="preserve"> (2020) 94 ALJR 1014 at</w:t>
      </w:r>
      <w:r w:rsidR="006447A9" w:rsidRPr="00B14447">
        <w:rPr>
          <w:rFonts w:ascii="Times New Roman" w:hAnsi="Times New Roman"/>
          <w:sz w:val="24"/>
        </w:rPr>
        <w:t xml:space="preserve"> 1018</w:t>
      </w:r>
      <w:r w:rsidRPr="00B14447">
        <w:rPr>
          <w:rFonts w:ascii="Times New Roman" w:hAnsi="Times New Roman"/>
          <w:sz w:val="24"/>
        </w:rPr>
        <w:t xml:space="preserve"> [11]; 384 ALR 204 at 207-208</w:t>
      </w:r>
      <w:r w:rsidR="00DF2A3B" w:rsidRPr="00B14447">
        <w:rPr>
          <w:rFonts w:ascii="Times New Roman" w:hAnsi="Times New Roman"/>
          <w:sz w:val="24"/>
        </w:rPr>
        <w:t>, citing numerous special leave dispositions.</w:t>
      </w:r>
    </w:p>
  </w:footnote>
  <w:footnote w:id="183">
    <w:p w14:paraId="5A80D90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 Commonwealth v Sanofi (formerly Sanofi-Aventis) [No 5]</w:t>
      </w:r>
      <w:r w:rsidRPr="00AB1A14">
        <w:rPr>
          <w:rFonts w:ascii="Times New Roman" w:hAnsi="Times New Roman"/>
          <w:sz w:val="24"/>
        </w:rPr>
        <w:t xml:space="preserve"> (2020) 151 IPR 237.</w:t>
      </w:r>
    </w:p>
  </w:footnote>
  <w:footnote w:id="184">
    <w:p w14:paraId="1C139BF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 Commonwealth v Sanofi (formerly Sanofi-Aventis)</w:t>
      </w:r>
      <w:r w:rsidRPr="00AB1A14">
        <w:rPr>
          <w:rFonts w:ascii="Times New Roman" w:hAnsi="Times New Roman"/>
          <w:sz w:val="24"/>
        </w:rPr>
        <w:t xml:space="preserve"> (2023) 174 IPR 66.</w:t>
      </w:r>
    </w:p>
  </w:footnote>
  <w:footnote w:id="185">
    <w:p w14:paraId="37524CA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In these reasons "Sanofi", where applicable, includes Sanofi's licensees and related entities.</w:t>
      </w:r>
    </w:p>
  </w:footnote>
  <w:footnote w:id="186">
    <w:p w14:paraId="6B54B12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Louth v Diprose</w:t>
      </w:r>
      <w:r w:rsidRPr="00AB1A14">
        <w:rPr>
          <w:rFonts w:ascii="Times New Roman" w:hAnsi="Times New Roman"/>
          <w:sz w:val="24"/>
        </w:rPr>
        <w:t xml:space="preserve"> (1992) 175 CLR 621 at 634.</w:t>
      </w:r>
    </w:p>
  </w:footnote>
  <w:footnote w:id="187">
    <w:p w14:paraId="2B1C643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Under the </w:t>
      </w:r>
      <w:r w:rsidRPr="00AB1A14">
        <w:rPr>
          <w:rFonts w:ascii="Times New Roman" w:hAnsi="Times New Roman"/>
          <w:i/>
          <w:iCs/>
          <w:sz w:val="24"/>
        </w:rPr>
        <w:t>National Health Act 1953</w:t>
      </w:r>
      <w:r w:rsidRPr="00AB1A14">
        <w:rPr>
          <w:rFonts w:ascii="Times New Roman" w:hAnsi="Times New Roman"/>
          <w:sz w:val="24"/>
        </w:rPr>
        <w:t xml:space="preserve"> (Cth), Pt VII.</w:t>
      </w:r>
    </w:p>
  </w:footnote>
  <w:footnote w:id="188">
    <w:p w14:paraId="7B3D0CA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Sanofi submitted that grounds 2, 5 and 6 were not ripe for determination by this Court and should be remitted to the Federal Court of Australia if Apotex Australia's appeal were to be allowed. The Commonwealth did not submit otherwise.</w:t>
      </w:r>
    </w:p>
  </w:footnote>
  <w:footnote w:id="189">
    <w:p w14:paraId="701B8D3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Under the </w:t>
      </w:r>
      <w:r w:rsidRPr="00AB1A14">
        <w:rPr>
          <w:rFonts w:ascii="Times New Roman" w:hAnsi="Times New Roman"/>
          <w:i/>
          <w:iCs/>
          <w:sz w:val="24"/>
        </w:rPr>
        <w:t>Therapeutic Goods Act 1989</w:t>
      </w:r>
      <w:r w:rsidRPr="00AB1A14">
        <w:rPr>
          <w:rFonts w:ascii="Times New Roman" w:hAnsi="Times New Roman"/>
          <w:sz w:val="24"/>
        </w:rPr>
        <w:t xml:space="preserve"> (Cth), Ch 3.</w:t>
      </w:r>
    </w:p>
  </w:footnote>
  <w:footnote w:id="190">
    <w:p w14:paraId="6C04ED9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GenRx Pty Ltd v Sanofi-Aventis</w:t>
      </w:r>
      <w:r w:rsidRPr="00AB1A14">
        <w:rPr>
          <w:rFonts w:ascii="Times New Roman" w:hAnsi="Times New Roman"/>
          <w:sz w:val="24"/>
        </w:rPr>
        <w:t xml:space="preserve"> (2007) 73 IPR 502.</w:t>
      </w:r>
    </w:p>
  </w:footnote>
  <w:footnote w:id="191">
    <w:p w14:paraId="141C854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Apotex Pty Ltd (ACN 096 916 148) v Sanofi-Aventis</w:t>
      </w:r>
      <w:r w:rsidRPr="00AB1A14">
        <w:rPr>
          <w:rFonts w:ascii="Times New Roman" w:hAnsi="Times New Roman"/>
          <w:sz w:val="24"/>
        </w:rPr>
        <w:t xml:space="preserve"> (2009) 82 IPR 416 at 451 [193].</w:t>
      </w:r>
    </w:p>
  </w:footnote>
  <w:footnote w:id="192">
    <w:p w14:paraId="2531447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w:t>
      </w:r>
      <w:r w:rsidRPr="00AB1A14">
        <w:rPr>
          <w:rFonts w:ascii="Times New Roman" w:hAnsi="Times New Roman"/>
          <w:sz w:val="24"/>
        </w:rPr>
        <w:t xml:space="preserve"> (2015) 237 FCR 483.</w:t>
      </w:r>
    </w:p>
  </w:footnote>
  <w:footnote w:id="193">
    <w:p w14:paraId="6E1C5CF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 xml:space="preserve">Sanofi (formerly Sanofi-Aventis) v The Commonwealth </w:t>
      </w:r>
      <w:r w:rsidRPr="00AB1A14">
        <w:rPr>
          <w:rFonts w:ascii="Times New Roman" w:hAnsi="Times New Roman"/>
          <w:sz w:val="24"/>
        </w:rPr>
        <w:t>[2016] HCASL 98.</w:t>
      </w:r>
    </w:p>
  </w:footnote>
  <w:footnote w:id="194">
    <w:p w14:paraId="5128A5B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 Commonwealth v Sanofi (formerly Sanofi-Aventis) [No 5]</w:t>
      </w:r>
      <w:r w:rsidRPr="00AB1A14">
        <w:rPr>
          <w:rFonts w:ascii="Times New Roman" w:hAnsi="Times New Roman"/>
          <w:sz w:val="24"/>
        </w:rPr>
        <w:t xml:space="preserve"> (2020) 151 IPR 237.</w:t>
      </w:r>
    </w:p>
  </w:footnote>
  <w:footnote w:id="195">
    <w:p w14:paraId="1F691EF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 Commonwealth v Sanofi (formerly Sanofi-Aventis)</w:t>
      </w:r>
      <w:r w:rsidRPr="00AB1A14">
        <w:rPr>
          <w:rFonts w:ascii="Times New Roman" w:hAnsi="Times New Roman"/>
          <w:sz w:val="24"/>
        </w:rPr>
        <w:t xml:space="preserve"> (2023) 174 IPR 66.</w:t>
      </w:r>
    </w:p>
  </w:footnote>
  <w:footnote w:id="196">
    <w:p w14:paraId="1ED4BA6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247-248 [36]-[42], 252 [59]-[60].</w:t>
      </w:r>
    </w:p>
  </w:footnote>
  <w:footnote w:id="197">
    <w:p w14:paraId="61FFB36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248 [41].</w:t>
      </w:r>
    </w:p>
  </w:footnote>
  <w:footnote w:id="198">
    <w:p w14:paraId="2992097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National Health Amendment (Pharmaceutical Benefits Scheme) Act 2007</w:t>
      </w:r>
      <w:r w:rsidRPr="00AB1A14">
        <w:rPr>
          <w:rFonts w:ascii="Times New Roman" w:hAnsi="Times New Roman"/>
          <w:sz w:val="24"/>
        </w:rPr>
        <w:t xml:space="preserve"> (Cth).</w:t>
      </w:r>
    </w:p>
  </w:footnote>
  <w:footnote w:id="199">
    <w:p w14:paraId="62815FDC"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249-50 [47]. </w:t>
      </w:r>
    </w:p>
  </w:footnote>
  <w:footnote w:id="200">
    <w:p w14:paraId="1847680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 xml:space="preserve">National Health Act 1953 </w:t>
      </w:r>
      <w:r w:rsidRPr="00AB1A14">
        <w:rPr>
          <w:rFonts w:ascii="Times New Roman" w:hAnsi="Times New Roman"/>
          <w:sz w:val="24"/>
        </w:rPr>
        <w:t>(Cth),</w:t>
      </w:r>
      <w:r w:rsidRPr="00AB1A14">
        <w:rPr>
          <w:rFonts w:ascii="Times New Roman" w:hAnsi="Times New Roman"/>
          <w:i/>
          <w:iCs/>
          <w:sz w:val="24"/>
        </w:rPr>
        <w:t xml:space="preserve"> </w:t>
      </w:r>
      <w:r w:rsidRPr="00AB1A14">
        <w:rPr>
          <w:rFonts w:ascii="Times New Roman" w:hAnsi="Times New Roman"/>
          <w:sz w:val="24"/>
        </w:rPr>
        <w:t>s 99ACH. On the evidence, the only uncertainty at the time, from Apotex Australia's perspective, was whether the 12.5% price reduction would be permanent or the product would revert to the previous (higher) price if the substitutable brand was no longer supplied.</w:t>
      </w:r>
    </w:p>
  </w:footnote>
  <w:footnote w:id="201">
    <w:p w14:paraId="066E4D4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 xml:space="preserve">National Health Act 1953 </w:t>
      </w:r>
      <w:r w:rsidRPr="00AB1A14">
        <w:rPr>
          <w:rFonts w:ascii="Times New Roman" w:hAnsi="Times New Roman"/>
          <w:sz w:val="24"/>
        </w:rPr>
        <w:t>(Cth),</w:t>
      </w:r>
      <w:r w:rsidRPr="00AB1A14">
        <w:rPr>
          <w:rFonts w:ascii="Times New Roman" w:hAnsi="Times New Roman"/>
          <w:i/>
          <w:iCs/>
          <w:sz w:val="24"/>
        </w:rPr>
        <w:t xml:space="preserve"> </w:t>
      </w:r>
      <w:r w:rsidRPr="00AB1A14">
        <w:rPr>
          <w:rFonts w:ascii="Times New Roman" w:hAnsi="Times New Roman"/>
          <w:sz w:val="24"/>
        </w:rPr>
        <w:t xml:space="preserve">ss 99AEB-AEG;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250 [50].</w:t>
      </w:r>
    </w:p>
  </w:footnote>
  <w:footnote w:id="202">
    <w:p w14:paraId="50975EE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 xml:space="preserve">National Health Act 1953 </w:t>
      </w:r>
      <w:r w:rsidRPr="00AB1A14">
        <w:rPr>
          <w:rFonts w:ascii="Times New Roman" w:hAnsi="Times New Roman"/>
          <w:sz w:val="24"/>
        </w:rPr>
        <w:t>(Cth),</w:t>
      </w:r>
      <w:r w:rsidRPr="00AB1A14">
        <w:rPr>
          <w:rFonts w:ascii="Times New Roman" w:hAnsi="Times New Roman"/>
          <w:i/>
          <w:iCs/>
          <w:sz w:val="24"/>
        </w:rPr>
        <w:t xml:space="preserve"> </w:t>
      </w:r>
      <w:r w:rsidRPr="00AB1A14">
        <w:rPr>
          <w:rFonts w:ascii="Times New Roman" w:hAnsi="Times New Roman"/>
          <w:sz w:val="24"/>
        </w:rPr>
        <w:t xml:space="preserve">s 99AEH;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251 [52].</w:t>
      </w:r>
    </w:p>
  </w:footnote>
  <w:footnote w:id="203">
    <w:p w14:paraId="5A1FBF8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246 [26]-[27]. The question whether the Commonwealth's claim should have been determined on the basis of a loss of opportunity was not argued. </w:t>
      </w:r>
    </w:p>
  </w:footnote>
  <w:footnote w:id="204">
    <w:p w14:paraId="0F032CB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286 [231]-[232].</w:t>
      </w:r>
    </w:p>
  </w:footnote>
  <w:footnote w:id="205">
    <w:p w14:paraId="07D7CC7E"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288 [239].</w:t>
      </w:r>
    </w:p>
  </w:footnote>
  <w:footnote w:id="206">
    <w:p w14:paraId="7CCCA6F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289 [248].</w:t>
      </w:r>
    </w:p>
  </w:footnote>
  <w:footnote w:id="207">
    <w:p w14:paraId="522EE7A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290 [250].</w:t>
      </w:r>
    </w:p>
  </w:footnote>
  <w:footnote w:id="208">
    <w:p w14:paraId="6C794D2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290 [251].</w:t>
      </w:r>
    </w:p>
  </w:footnote>
  <w:footnote w:id="209">
    <w:p w14:paraId="0492A5F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291 [252].</w:t>
      </w:r>
    </w:p>
  </w:footnote>
  <w:footnote w:id="210">
    <w:p w14:paraId="08F4EC4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291 [255].</w:t>
      </w:r>
    </w:p>
  </w:footnote>
  <w:footnote w:id="211">
    <w:p w14:paraId="37198F4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294 [272].</w:t>
      </w:r>
    </w:p>
  </w:footnote>
  <w:footnote w:id="212">
    <w:p w14:paraId="6A9A59B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295 [278].</w:t>
      </w:r>
    </w:p>
  </w:footnote>
  <w:footnote w:id="213">
    <w:p w14:paraId="3E70301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295 [279].</w:t>
      </w:r>
    </w:p>
  </w:footnote>
  <w:footnote w:id="214">
    <w:p w14:paraId="70F2038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295 [280].</w:t>
      </w:r>
    </w:p>
  </w:footnote>
  <w:footnote w:id="215">
    <w:p w14:paraId="0F7E20B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296 [281].</w:t>
      </w:r>
    </w:p>
  </w:footnote>
  <w:footnote w:id="216">
    <w:p w14:paraId="74BA023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296 [282].</w:t>
      </w:r>
    </w:p>
  </w:footnote>
  <w:footnote w:id="217">
    <w:p w14:paraId="1EF2F95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297-298 [284]-[289].</w:t>
      </w:r>
    </w:p>
  </w:footnote>
  <w:footnote w:id="218">
    <w:p w14:paraId="6A54CCB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303 [322].</w:t>
      </w:r>
    </w:p>
  </w:footnote>
  <w:footnote w:id="219">
    <w:p w14:paraId="523F165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303-304 [324].</w:t>
      </w:r>
    </w:p>
  </w:footnote>
  <w:footnote w:id="220">
    <w:p w14:paraId="594A1EB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[340]-[341].</w:t>
      </w:r>
    </w:p>
  </w:footnote>
  <w:footnote w:id="221">
    <w:p w14:paraId="0B88408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308 [344]-[347].</w:t>
      </w:r>
    </w:p>
  </w:footnote>
  <w:footnote w:id="222">
    <w:p w14:paraId="05200E7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308-309 [348]-[351].</w:t>
      </w:r>
    </w:p>
  </w:footnote>
  <w:footnote w:id="223">
    <w:p w14:paraId="39D72D5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324-325 [445]-[451].</w:t>
      </w:r>
    </w:p>
  </w:footnote>
  <w:footnote w:id="224">
    <w:p w14:paraId="0EF33B1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76-78 [33]-[44], 86 [82]-[83].</w:t>
      </w:r>
    </w:p>
  </w:footnote>
  <w:footnote w:id="225">
    <w:p w14:paraId="242EF56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88 [90].</w:t>
      </w:r>
    </w:p>
  </w:footnote>
  <w:footnote w:id="226">
    <w:p w14:paraId="3889BA5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96 [129].</w:t>
      </w:r>
    </w:p>
  </w:footnote>
  <w:footnote w:id="227">
    <w:p w14:paraId="16BED62E"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96 [129].</w:t>
      </w:r>
    </w:p>
  </w:footnote>
  <w:footnote w:id="228">
    <w:p w14:paraId="322B612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97 [134].</w:t>
      </w:r>
    </w:p>
  </w:footnote>
  <w:footnote w:id="229">
    <w:p w14:paraId="4539EE3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97 [133].</w:t>
      </w:r>
    </w:p>
  </w:footnote>
  <w:footnote w:id="230">
    <w:p w14:paraId="5A750C9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92-93 [117], 98-101 [137]-[143], 134 [314].</w:t>
      </w:r>
    </w:p>
  </w:footnote>
  <w:footnote w:id="231">
    <w:p w14:paraId="5771282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101 [145].</w:t>
      </w:r>
    </w:p>
  </w:footnote>
  <w:footnote w:id="232">
    <w:p w14:paraId="2B1DCFC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101 [146].</w:t>
      </w:r>
    </w:p>
  </w:footnote>
  <w:footnote w:id="233">
    <w:p w14:paraId="31B827C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102 [149].</w:t>
      </w:r>
    </w:p>
  </w:footnote>
  <w:footnote w:id="234">
    <w:p w14:paraId="00DB097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102-103 [150]-[151].</w:t>
      </w:r>
    </w:p>
  </w:footnote>
  <w:footnote w:id="235">
    <w:p w14:paraId="6E07AE1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103-104 [154]-[155].</w:t>
      </w:r>
    </w:p>
  </w:footnote>
  <w:footnote w:id="236">
    <w:p w14:paraId="37AF871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104 [160].</w:t>
      </w:r>
    </w:p>
  </w:footnote>
  <w:footnote w:id="237">
    <w:p w14:paraId="63DE932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105 [163].</w:t>
      </w:r>
    </w:p>
  </w:footnote>
  <w:footnote w:id="238">
    <w:p w14:paraId="6CBF835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106 [166]-[167].</w:t>
      </w:r>
    </w:p>
  </w:footnote>
  <w:footnote w:id="239">
    <w:p w14:paraId="0A1FD5A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107 [170].</w:t>
      </w:r>
    </w:p>
  </w:footnote>
  <w:footnote w:id="240">
    <w:p w14:paraId="0254A1DE"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111</w:t>
      </w:r>
      <w:r>
        <w:rPr>
          <w:rFonts w:ascii="Times New Roman" w:hAnsi="Times New Roman"/>
          <w:sz w:val="24"/>
        </w:rPr>
        <w:noBreakHyphen/>
      </w:r>
      <w:r w:rsidRPr="00AB1A14">
        <w:rPr>
          <w:rFonts w:ascii="Times New Roman" w:hAnsi="Times New Roman"/>
          <w:sz w:val="24"/>
        </w:rPr>
        <w:t>112 [189].</w:t>
      </w:r>
    </w:p>
  </w:footnote>
  <w:footnote w:id="241">
    <w:p w14:paraId="03D2839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109 [176], referring to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294 [272].</w:t>
      </w:r>
    </w:p>
  </w:footnote>
  <w:footnote w:id="242">
    <w:p w14:paraId="3E0EE55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114</w:t>
      </w:r>
      <w:r>
        <w:rPr>
          <w:rFonts w:ascii="Times New Roman" w:hAnsi="Times New Roman"/>
          <w:sz w:val="24"/>
        </w:rPr>
        <w:noBreakHyphen/>
      </w:r>
      <w:r w:rsidRPr="00AB1A14">
        <w:rPr>
          <w:rFonts w:ascii="Times New Roman" w:hAnsi="Times New Roman"/>
          <w:sz w:val="24"/>
        </w:rPr>
        <w:t>115 [204].</w:t>
      </w:r>
    </w:p>
  </w:footnote>
  <w:footnote w:id="243">
    <w:p w14:paraId="5C810EE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115 [205].</w:t>
      </w:r>
    </w:p>
  </w:footnote>
  <w:footnote w:id="244">
    <w:p w14:paraId="5E2518A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96 [129]. See also at 97 [134].</w:t>
      </w:r>
    </w:p>
  </w:footnote>
  <w:footnote w:id="245">
    <w:p w14:paraId="502F474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118 [219]. See also </w:t>
      </w:r>
      <w:r>
        <w:rPr>
          <w:rFonts w:ascii="Times New Roman" w:hAnsi="Times New Roman"/>
          <w:sz w:val="24"/>
        </w:rPr>
        <w:t xml:space="preserve">at </w:t>
      </w:r>
      <w:r w:rsidRPr="00AB1A14">
        <w:rPr>
          <w:rFonts w:ascii="Times New Roman" w:hAnsi="Times New Roman"/>
          <w:sz w:val="24"/>
        </w:rPr>
        <w:t>117 [217].</w:t>
      </w:r>
    </w:p>
  </w:footnote>
  <w:footnote w:id="246">
    <w:p w14:paraId="40CE911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In paragraph 38 Mr Millichamp said "... However, it is [Apotex Australia's] intention to apply for listing of its clopidogrel 75mg (as hydrogen sulfate) tablets at the next available opportunity, which is by 1 December 2007." </w:t>
      </w:r>
    </w:p>
  </w:footnote>
  <w:footnote w:id="247">
    <w:p w14:paraId="4FA0E37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131 [297].</w:t>
      </w:r>
    </w:p>
  </w:footnote>
  <w:footnote w:id="248">
    <w:p w14:paraId="6A432A5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131 [298].</w:t>
      </w:r>
    </w:p>
  </w:footnote>
  <w:footnote w:id="249">
    <w:p w14:paraId="2DBC2AD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132 [302].</w:t>
      </w:r>
    </w:p>
  </w:footnote>
  <w:footnote w:id="250">
    <w:p w14:paraId="26C44EC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149 [378].</w:t>
      </w:r>
    </w:p>
  </w:footnote>
  <w:footnote w:id="251">
    <w:p w14:paraId="540EE58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149-151 [380]-[388].</w:t>
      </w:r>
    </w:p>
  </w:footnote>
  <w:footnote w:id="252">
    <w:p w14:paraId="5A87956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Kozarov v Victoria</w:t>
      </w:r>
      <w:r w:rsidRPr="00AB1A14">
        <w:rPr>
          <w:rFonts w:ascii="Times New Roman" w:hAnsi="Times New Roman"/>
          <w:sz w:val="24"/>
        </w:rPr>
        <w:t xml:space="preserve"> (2022) 273 CLR 115 at 134 [49]. See also at 140 [67].</w:t>
      </w:r>
    </w:p>
  </w:footnote>
  <w:footnote w:id="253">
    <w:p w14:paraId="1E7C515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Kozarov v Victoria</w:t>
      </w:r>
      <w:r w:rsidRPr="00AB1A14">
        <w:rPr>
          <w:rFonts w:ascii="Times New Roman" w:hAnsi="Times New Roman"/>
          <w:sz w:val="24"/>
        </w:rPr>
        <w:t xml:space="preserve"> (2022) 273 CLR 115 at 134 [49].</w:t>
      </w:r>
    </w:p>
  </w:footnote>
  <w:footnote w:id="254">
    <w:p w14:paraId="224928C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Louth v Diprose</w:t>
      </w:r>
      <w:r w:rsidRPr="00AB1A14">
        <w:rPr>
          <w:rFonts w:ascii="Times New Roman" w:hAnsi="Times New Roman"/>
          <w:sz w:val="24"/>
        </w:rPr>
        <w:t xml:space="preserve"> (1992) 175 CLR 621 at 633, </w:t>
      </w:r>
      <w:r>
        <w:rPr>
          <w:rFonts w:ascii="Times New Roman" w:hAnsi="Times New Roman"/>
          <w:sz w:val="24"/>
        </w:rPr>
        <w:t>referring to</w:t>
      </w:r>
      <w:r w:rsidRPr="00AB1A14">
        <w:rPr>
          <w:rFonts w:ascii="Times New Roman" w:hAnsi="Times New Roman"/>
          <w:sz w:val="24"/>
        </w:rPr>
        <w:t xml:space="preserve"> </w:t>
      </w:r>
      <w:r w:rsidRPr="00AB1A14">
        <w:rPr>
          <w:rFonts w:ascii="Times New Roman" w:hAnsi="Times New Roman"/>
          <w:i/>
          <w:iCs/>
          <w:sz w:val="24"/>
        </w:rPr>
        <w:t>Wilton v Farnworth</w:t>
      </w:r>
      <w:r w:rsidRPr="00AB1A14">
        <w:rPr>
          <w:rFonts w:ascii="Times New Roman" w:hAnsi="Times New Roman"/>
          <w:sz w:val="24"/>
        </w:rPr>
        <w:t xml:space="preserve"> (1948) 76 CLR 646 at 654.</w:t>
      </w:r>
    </w:p>
  </w:footnote>
  <w:footnote w:id="255">
    <w:p w14:paraId="6BAF5B7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Louth v Diprose</w:t>
      </w:r>
      <w:r w:rsidRPr="00AB1A14">
        <w:rPr>
          <w:rFonts w:ascii="Times New Roman" w:hAnsi="Times New Roman"/>
          <w:sz w:val="24"/>
        </w:rPr>
        <w:t xml:space="preserve"> (1992) 175 CLR 621 at 633-634.</w:t>
      </w:r>
    </w:p>
  </w:footnote>
  <w:footnote w:id="256">
    <w:p w14:paraId="4156103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Louth v Diprose</w:t>
      </w:r>
      <w:r w:rsidRPr="00AB1A14">
        <w:rPr>
          <w:rFonts w:ascii="Times New Roman" w:hAnsi="Times New Roman"/>
          <w:sz w:val="24"/>
        </w:rPr>
        <w:t xml:space="preserve"> (1992) 175 CLR 621 at 634, quoting </w:t>
      </w:r>
      <w:r w:rsidRPr="00AB1A14">
        <w:rPr>
          <w:rFonts w:ascii="Times New Roman" w:hAnsi="Times New Roman"/>
          <w:i/>
          <w:iCs/>
          <w:sz w:val="24"/>
        </w:rPr>
        <w:t>Waltons Stores (Interstate) Ltd v Maher</w:t>
      </w:r>
      <w:r w:rsidRPr="00AB1A14">
        <w:rPr>
          <w:rFonts w:ascii="Times New Roman" w:hAnsi="Times New Roman"/>
          <w:sz w:val="24"/>
        </w:rPr>
        <w:t xml:space="preserve"> (1988) 164 CLR 387 at 434-435.</w:t>
      </w:r>
    </w:p>
  </w:footnote>
  <w:footnote w:id="257">
    <w:p w14:paraId="1DB9229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Commonwealth v Introvigne</w:t>
      </w:r>
      <w:r w:rsidRPr="00AB1A14">
        <w:rPr>
          <w:rFonts w:ascii="Times New Roman" w:hAnsi="Times New Roman"/>
          <w:sz w:val="24"/>
        </w:rPr>
        <w:t xml:space="preserve"> (1982) 150 CLR 258 at 274, quoting </w:t>
      </w:r>
      <w:r w:rsidRPr="00AB1A14">
        <w:rPr>
          <w:rFonts w:ascii="Times New Roman" w:hAnsi="Times New Roman"/>
          <w:i/>
          <w:iCs/>
          <w:sz w:val="24"/>
        </w:rPr>
        <w:t>Baffsky v Brewis</w:t>
      </w:r>
      <w:r w:rsidRPr="00AB1A14">
        <w:rPr>
          <w:rFonts w:ascii="Times New Roman" w:hAnsi="Times New Roman"/>
          <w:sz w:val="24"/>
        </w:rPr>
        <w:t xml:space="preserve"> (1976) 51 ALJR 170 at 172; 12 ALR 435 at 438.</w:t>
      </w:r>
    </w:p>
  </w:footnote>
  <w:footnote w:id="258">
    <w:p w14:paraId="626FCF9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South Australia v Johnson</w:t>
      </w:r>
      <w:r w:rsidRPr="00AB1A14">
        <w:rPr>
          <w:rFonts w:ascii="Times New Roman" w:hAnsi="Times New Roman"/>
          <w:sz w:val="24"/>
        </w:rPr>
        <w:t xml:space="preserve"> (1982) 42 ALR 161 at 167.</w:t>
      </w:r>
    </w:p>
  </w:footnote>
  <w:footnote w:id="259">
    <w:p w14:paraId="767AE50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South Australia v Johnson</w:t>
      </w:r>
      <w:r w:rsidRPr="00AB1A14">
        <w:rPr>
          <w:rFonts w:ascii="Times New Roman" w:hAnsi="Times New Roman"/>
          <w:sz w:val="24"/>
        </w:rPr>
        <w:t xml:space="preserve"> (1982) 42 ALR 161 at 174-176.</w:t>
      </w:r>
    </w:p>
  </w:footnote>
  <w:footnote w:id="260">
    <w:p w14:paraId="63B171A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Roads and Traffic Authority of New South Wales v Dederer</w:t>
      </w:r>
      <w:r w:rsidRPr="00AB1A14">
        <w:rPr>
          <w:rFonts w:ascii="Times New Roman" w:hAnsi="Times New Roman"/>
          <w:sz w:val="24"/>
        </w:rPr>
        <w:t xml:space="preserve"> (2007) 234 CLR 330 at 334 [5].</w:t>
      </w:r>
    </w:p>
  </w:footnote>
  <w:footnote w:id="261">
    <w:p w14:paraId="2962A07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Roads and Traffic Authority of New South Wales v Dederer</w:t>
      </w:r>
      <w:r w:rsidRPr="00AB1A14">
        <w:rPr>
          <w:rFonts w:ascii="Times New Roman" w:hAnsi="Times New Roman"/>
          <w:sz w:val="24"/>
        </w:rPr>
        <w:t xml:space="preserve"> (2007) 234 CLR 330 at 334-335 [5]-[7].</w:t>
      </w:r>
    </w:p>
  </w:footnote>
  <w:footnote w:id="262">
    <w:p w14:paraId="47B1B11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Roads and Traffic Authority of New South Wales v Dederer</w:t>
      </w:r>
      <w:r w:rsidRPr="00AB1A14">
        <w:rPr>
          <w:rFonts w:ascii="Times New Roman" w:hAnsi="Times New Roman"/>
          <w:sz w:val="24"/>
        </w:rPr>
        <w:t xml:space="preserve"> (2007) 234 CLR 330 at 379 [166].</w:t>
      </w:r>
    </w:p>
  </w:footnote>
  <w:footnote w:id="263">
    <w:p w14:paraId="06E2C4D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Roads and Traffic Authority of New South Wales v Dederer</w:t>
      </w:r>
      <w:r w:rsidRPr="00AB1A14">
        <w:rPr>
          <w:rFonts w:ascii="Times New Roman" w:hAnsi="Times New Roman"/>
          <w:sz w:val="24"/>
        </w:rPr>
        <w:t xml:space="preserve"> (2007) 234 CLR 330 at 410-411 [287].</w:t>
      </w:r>
    </w:p>
  </w:footnote>
  <w:footnote w:id="264">
    <w:p w14:paraId="44A6935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Roads and Traffic Authority of New South Wales v Dederer</w:t>
      </w:r>
      <w:r w:rsidRPr="00AB1A14">
        <w:rPr>
          <w:rFonts w:ascii="Times New Roman" w:hAnsi="Times New Roman"/>
          <w:sz w:val="24"/>
        </w:rPr>
        <w:t xml:space="preserve"> (2007) 234 CLR 330 at 409-415 [284]-[294].</w:t>
      </w:r>
    </w:p>
  </w:footnote>
  <w:footnote w:id="265">
    <w:p w14:paraId="456F80FE"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Expectation Pty Ltd v PRD Realty Pty Ltd</w:t>
      </w:r>
      <w:r w:rsidRPr="00AB1A14">
        <w:rPr>
          <w:rFonts w:ascii="Times New Roman" w:hAnsi="Times New Roman"/>
          <w:sz w:val="24"/>
        </w:rPr>
        <w:t xml:space="preserve"> (2004) 140 FCR 17 at 32 [70], referring to </w:t>
      </w:r>
      <w:r w:rsidRPr="00AB1A14">
        <w:rPr>
          <w:rFonts w:ascii="Times New Roman" w:hAnsi="Times New Roman"/>
          <w:i/>
          <w:iCs/>
          <w:sz w:val="24"/>
        </w:rPr>
        <w:t>State Rail Authority (NSW) v Earthline Constructions Pty Ltd (In liq)</w:t>
      </w:r>
      <w:r w:rsidRPr="00AB1A14">
        <w:rPr>
          <w:rFonts w:ascii="Times New Roman" w:hAnsi="Times New Roman"/>
          <w:sz w:val="24"/>
        </w:rPr>
        <w:t xml:space="preserve"> (1999) 73 ALJR 306 at 330 [90]; 160 ALR 588 at 619.</w:t>
      </w:r>
    </w:p>
  </w:footnote>
  <w:footnote w:id="266">
    <w:p w14:paraId="61B46AE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283-284 [217]-[218]. See also at 283 [209]-[210].</w:t>
      </w:r>
    </w:p>
  </w:footnote>
  <w:footnote w:id="267">
    <w:p w14:paraId="61774AC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114 [199]-[200]. See also at 124 [261], 126 [272].</w:t>
      </w:r>
    </w:p>
  </w:footnote>
  <w:footnote w:id="268">
    <w:p w14:paraId="387CD37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286 [231].</w:t>
      </w:r>
    </w:p>
  </w:footnote>
  <w:footnote w:id="269">
    <w:p w14:paraId="27C8686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290 [251].</w:t>
      </w:r>
    </w:p>
  </w:footnote>
  <w:footnote w:id="270">
    <w:p w14:paraId="4E59DC6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151 [386].</w:t>
      </w:r>
    </w:p>
  </w:footnote>
  <w:footnote w:id="271">
    <w:p w14:paraId="686A5DD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97-98 [135], 100 [142], 103-104 [155], 108-109 [174], 150-151 [385].</w:t>
      </w:r>
    </w:p>
  </w:footnote>
  <w:footnote w:id="272">
    <w:p w14:paraId="539E36C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297 [288].</w:t>
      </w:r>
    </w:p>
  </w:footnote>
  <w:footnote w:id="273">
    <w:p w14:paraId="77A842F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93 [118], 93-94 [120], 103-104 [155].</w:t>
      </w:r>
    </w:p>
  </w:footnote>
  <w:footnote w:id="274">
    <w:p w14:paraId="0D1CD87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298 [292].</w:t>
      </w:r>
    </w:p>
  </w:footnote>
  <w:footnote w:id="275">
    <w:p w14:paraId="26A8263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w:t>
      </w:r>
      <w:r w:rsidRPr="00AB1A14">
        <w:rPr>
          <w:rFonts w:ascii="Times New Roman" w:hAnsi="Times New Roman"/>
          <w:i/>
          <w:iCs/>
          <w:sz w:val="24"/>
        </w:rPr>
        <w:t xml:space="preserve">[No 5] </w:t>
      </w:r>
      <w:r w:rsidRPr="00AB1A14">
        <w:rPr>
          <w:rFonts w:ascii="Times New Roman" w:hAnsi="Times New Roman"/>
          <w:sz w:val="24"/>
        </w:rPr>
        <w:t>(2020) 151 IPR 237 at 302 [317].</w:t>
      </w:r>
    </w:p>
  </w:footnote>
  <w:footnote w:id="276">
    <w:p w14:paraId="1BCEEA8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305 [330].</w:t>
      </w:r>
    </w:p>
  </w:footnote>
  <w:footnote w:id="277">
    <w:p w14:paraId="6C0892D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119</w:t>
      </w:r>
      <w:r>
        <w:rPr>
          <w:rFonts w:ascii="Times New Roman" w:hAnsi="Times New Roman"/>
          <w:sz w:val="24"/>
        </w:rPr>
        <w:noBreakHyphen/>
      </w:r>
      <w:r w:rsidRPr="00AB1A14">
        <w:rPr>
          <w:rFonts w:ascii="Times New Roman" w:hAnsi="Times New Roman"/>
          <w:sz w:val="24"/>
        </w:rPr>
        <w:t>120 [224]-[229].</w:t>
      </w:r>
    </w:p>
  </w:footnote>
  <w:footnote w:id="278">
    <w:p w14:paraId="1FF517D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[341].</w:t>
      </w:r>
    </w:p>
  </w:footnote>
  <w:footnote w:id="279">
    <w:p w14:paraId="18A1857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143 [354]-[355].</w:t>
      </w:r>
    </w:p>
  </w:footnote>
  <w:footnote w:id="280">
    <w:p w14:paraId="078A6D6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143 [</w:t>
      </w:r>
      <w:r>
        <w:rPr>
          <w:rFonts w:ascii="Times New Roman" w:hAnsi="Times New Roman"/>
          <w:sz w:val="24"/>
        </w:rPr>
        <w:t>3</w:t>
      </w:r>
      <w:r w:rsidRPr="00AB1A14">
        <w:rPr>
          <w:rFonts w:ascii="Times New Roman" w:hAnsi="Times New Roman"/>
          <w:sz w:val="24"/>
        </w:rPr>
        <w:t>54]. See also at 117-118 [217]-[220], 120 [231].</w:t>
      </w:r>
    </w:p>
  </w:footnote>
  <w:footnote w:id="281">
    <w:p w14:paraId="6493678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298 [289].</w:t>
      </w:r>
    </w:p>
  </w:footnote>
  <w:footnote w:id="282">
    <w:p w14:paraId="05F7637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143 [354]. See also at 117-118 [217]-[220], 120 [231].</w:t>
      </w:r>
    </w:p>
  </w:footnote>
  <w:footnote w:id="283">
    <w:p w14:paraId="7EB063C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297 [286]. See also at 308-309 [348]-[349]</w:t>
      </w:r>
      <w:r>
        <w:rPr>
          <w:rFonts w:ascii="Times New Roman" w:hAnsi="Times New Roman"/>
          <w:sz w:val="24"/>
        </w:rPr>
        <w:t xml:space="preserve">, </w:t>
      </w:r>
      <w:r w:rsidRPr="00AB1A14">
        <w:rPr>
          <w:rFonts w:ascii="Times New Roman" w:hAnsi="Times New Roman"/>
          <w:sz w:val="24"/>
        </w:rPr>
        <w:t>309 [351].</w:t>
      </w:r>
    </w:p>
  </w:footnote>
  <w:footnote w:id="284">
    <w:p w14:paraId="4FF10AC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308 [348].</w:t>
      </w:r>
    </w:p>
  </w:footnote>
  <w:footnote w:id="285">
    <w:p w14:paraId="6D368E5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72 [14]. </w:t>
      </w:r>
    </w:p>
  </w:footnote>
  <w:footnote w:id="286">
    <w:p w14:paraId="60FE8B1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147 [373].</w:t>
      </w:r>
    </w:p>
  </w:footnote>
  <w:footnote w:id="287">
    <w:p w14:paraId="202B17A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111</w:t>
      </w:r>
      <w:r>
        <w:rPr>
          <w:rFonts w:ascii="Times New Roman" w:hAnsi="Times New Roman"/>
          <w:sz w:val="24"/>
        </w:rPr>
        <w:noBreakHyphen/>
      </w:r>
      <w:r w:rsidRPr="00AB1A14">
        <w:rPr>
          <w:rFonts w:ascii="Times New Roman" w:hAnsi="Times New Roman"/>
          <w:sz w:val="24"/>
        </w:rPr>
        <w:t>112 [189].</w:t>
      </w:r>
    </w:p>
  </w:footnote>
  <w:footnote w:id="288">
    <w:p w14:paraId="30360AE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120 [230].</w:t>
      </w:r>
    </w:p>
  </w:footnote>
  <w:footnote w:id="289">
    <w:p w14:paraId="244DE99C"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[341].</w:t>
      </w:r>
    </w:p>
  </w:footnote>
  <w:footnote w:id="290">
    <w:p w14:paraId="5C07D26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117</w:t>
      </w:r>
      <w:r>
        <w:rPr>
          <w:rFonts w:ascii="Times New Roman" w:hAnsi="Times New Roman"/>
          <w:sz w:val="24"/>
        </w:rPr>
        <w:noBreakHyphen/>
      </w:r>
      <w:r w:rsidRPr="00AB1A14">
        <w:rPr>
          <w:rFonts w:ascii="Times New Roman" w:hAnsi="Times New Roman"/>
          <w:sz w:val="24"/>
        </w:rPr>
        <w:t>118 [217]-[220], 120 [231], 143 [354]-[355].</w:t>
      </w:r>
    </w:p>
  </w:footnote>
  <w:footnote w:id="291">
    <w:p w14:paraId="331F6CE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293 [266].</w:t>
      </w:r>
    </w:p>
  </w:footnote>
  <w:footnote w:id="292">
    <w:p w14:paraId="57A15ED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296 [281].</w:t>
      </w:r>
    </w:p>
  </w:footnote>
  <w:footnote w:id="293">
    <w:p w14:paraId="64C11DAC"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296 [282].</w:t>
      </w:r>
    </w:p>
  </w:footnote>
  <w:footnote w:id="294">
    <w:p w14:paraId="5F9C441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118 [220], 120 [231], 143 [354]-[355].</w:t>
      </w:r>
    </w:p>
  </w:footnote>
  <w:footnote w:id="295">
    <w:p w14:paraId="08EC58A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295 [278] (emphasis added).</w:t>
      </w:r>
    </w:p>
  </w:footnote>
  <w:footnote w:id="296">
    <w:p w14:paraId="6E11F102"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w:t>
      </w:r>
      <w:r>
        <w:rPr>
          <w:rFonts w:ascii="Times New Roman" w:hAnsi="Times New Roman"/>
          <w:sz w:val="24"/>
        </w:rPr>
        <w:t xml:space="preserve"> </w:t>
      </w:r>
      <w:r w:rsidRPr="00AB1A14">
        <w:rPr>
          <w:rFonts w:ascii="Times New Roman" w:hAnsi="Times New Roman"/>
          <w:sz w:val="24"/>
        </w:rPr>
        <w:t>at 296 [282].</w:t>
      </w:r>
    </w:p>
  </w:footnote>
  <w:footnote w:id="297">
    <w:p w14:paraId="4157BA9C"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297 [284].</w:t>
      </w:r>
    </w:p>
  </w:footnote>
  <w:footnote w:id="298">
    <w:p w14:paraId="5D9EC74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297 [286].</w:t>
      </w:r>
    </w:p>
  </w:footnote>
  <w:footnote w:id="299">
    <w:p w14:paraId="2F4F585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117 [217].</w:t>
      </w:r>
    </w:p>
  </w:footnote>
  <w:footnote w:id="300">
    <w:p w14:paraId="11FBE26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109 [176].</w:t>
      </w:r>
    </w:p>
  </w:footnote>
  <w:footnote w:id="301">
    <w:p w14:paraId="0728A3F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eg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256 [84], 294 [272].</w:t>
      </w:r>
    </w:p>
  </w:footnote>
  <w:footnote w:id="302">
    <w:p w14:paraId="3D2716D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Sigma Pharmaceuticals (Australia) Pty Ltd v Wyeth</w:t>
      </w:r>
      <w:r w:rsidRPr="00AB1A14">
        <w:rPr>
          <w:rFonts w:ascii="Times New Roman" w:hAnsi="Times New Roman"/>
          <w:sz w:val="24"/>
        </w:rPr>
        <w:t xml:space="preserve"> (2018) 136 IPR 8 at 79 [301].</w:t>
      </w:r>
    </w:p>
  </w:footnote>
  <w:footnote w:id="303">
    <w:p w14:paraId="1FA332D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289 [248]. See also at 307 [340].</w:t>
      </w:r>
    </w:p>
  </w:footnote>
  <w:footnote w:id="304">
    <w:p w14:paraId="52E1E63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[341].</w:t>
      </w:r>
    </w:p>
  </w:footnote>
  <w:footnote w:id="305">
    <w:p w14:paraId="3F4A188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[341].</w:t>
      </w:r>
    </w:p>
  </w:footnote>
  <w:footnote w:id="306">
    <w:p w14:paraId="189C14F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308 [348].</w:t>
      </w:r>
    </w:p>
  </w:footnote>
  <w:footnote w:id="307">
    <w:p w14:paraId="36DD0F5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[340], quoted in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91 [108].</w:t>
      </w:r>
    </w:p>
  </w:footnote>
  <w:footnote w:id="308">
    <w:p w14:paraId="59A32F2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Payne v Parker</w:t>
      </w:r>
      <w:r w:rsidRPr="00AB1A14">
        <w:rPr>
          <w:rFonts w:ascii="Times New Roman" w:hAnsi="Times New Roman"/>
          <w:sz w:val="24"/>
        </w:rPr>
        <w:t xml:space="preserve"> [1976] 1 NSWLR 191 at 201E-202C.</w:t>
      </w:r>
    </w:p>
  </w:footnote>
  <w:footnote w:id="309">
    <w:p w14:paraId="64542F1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cf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308 [344]-[347];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145-146 [366].</w:t>
      </w:r>
    </w:p>
  </w:footnote>
  <w:footnote w:id="310">
    <w:p w14:paraId="0C9ED22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320 [421].</w:t>
      </w:r>
    </w:p>
  </w:footnote>
  <w:footnote w:id="311">
    <w:p w14:paraId="43F2063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ab/>
      </w:r>
      <w:r w:rsidRPr="00AB1A14">
        <w:rPr>
          <w:rFonts w:ascii="Times New Roman" w:hAnsi="Times New Roman"/>
          <w:i/>
          <w:iCs/>
          <w:sz w:val="24"/>
        </w:rPr>
        <w:t>Sigma Pharmaceuticals (Australia) Pty Ltd v Wyeth</w:t>
      </w:r>
      <w:r w:rsidRPr="00AB1A14">
        <w:rPr>
          <w:rFonts w:ascii="Times New Roman" w:hAnsi="Times New Roman"/>
          <w:sz w:val="24"/>
        </w:rPr>
        <w:t xml:space="preserve"> (2018) 136 IPR 8 at 83 [319].</w:t>
      </w:r>
    </w:p>
  </w:footnote>
  <w:footnote w:id="312">
    <w:p w14:paraId="36E5BEE8"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Air Express Ltd v Ansett Transport Industries (Operations) Pty Ltd</w:t>
      </w:r>
      <w:r w:rsidRPr="00AB1A14">
        <w:rPr>
          <w:rFonts w:ascii="Times New Roman" w:hAnsi="Times New Roman"/>
          <w:sz w:val="24"/>
        </w:rPr>
        <w:t xml:space="preserve"> (1981) 146 CLR 249 at 332.</w:t>
      </w:r>
    </w:p>
  </w:footnote>
  <w:footnote w:id="313">
    <w:p w14:paraId="26D989F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Air Express Ltd v Ansett Transport Industries (Operations) Pty Ltd</w:t>
      </w:r>
      <w:r w:rsidRPr="00AB1A14">
        <w:rPr>
          <w:rFonts w:ascii="Times New Roman" w:hAnsi="Times New Roman"/>
          <w:sz w:val="24"/>
        </w:rPr>
        <w:t xml:space="preserve"> (1981) 146 CLR 249 at 314, 317-318, 332-334. </w:t>
      </w:r>
    </w:p>
  </w:footnote>
  <w:footnote w:id="314">
    <w:p w14:paraId="028ED81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149 [382].</w:t>
      </w:r>
    </w:p>
  </w:footnote>
  <w:footnote w:id="315">
    <w:p w14:paraId="3D03F05F"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96 [129]. See also at 97 [134].</w:t>
      </w:r>
    </w:p>
  </w:footnote>
  <w:footnote w:id="316">
    <w:p w14:paraId="5B295171"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cf </w:t>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114</w:t>
      </w:r>
      <w:r>
        <w:rPr>
          <w:rFonts w:ascii="Times New Roman" w:hAnsi="Times New Roman"/>
          <w:sz w:val="24"/>
        </w:rPr>
        <w:noBreakHyphen/>
      </w:r>
      <w:r w:rsidRPr="00AB1A14">
        <w:rPr>
          <w:rFonts w:ascii="Times New Roman" w:hAnsi="Times New Roman"/>
          <w:sz w:val="24"/>
        </w:rPr>
        <w:t>115 [204]-[205].</w:t>
      </w:r>
    </w:p>
  </w:footnote>
  <w:footnote w:id="317">
    <w:p w14:paraId="5B26403B"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115 [205].</w:t>
      </w:r>
    </w:p>
  </w:footnote>
  <w:footnote w:id="318">
    <w:p w14:paraId="657AEBA7"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307 [341].</w:t>
      </w:r>
    </w:p>
  </w:footnote>
  <w:footnote w:id="319">
    <w:p w14:paraId="37AF45C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309 [349].</w:t>
      </w:r>
    </w:p>
  </w:footnote>
  <w:footnote w:id="320">
    <w:p w14:paraId="5A15A509"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305 [330].</w:t>
      </w:r>
    </w:p>
  </w:footnote>
  <w:footnote w:id="321">
    <w:p w14:paraId="0B6922C3"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 [No 5]</w:t>
      </w:r>
      <w:r w:rsidRPr="00AB1A14">
        <w:rPr>
          <w:rFonts w:ascii="Times New Roman" w:hAnsi="Times New Roman"/>
          <w:sz w:val="24"/>
        </w:rPr>
        <w:t xml:space="preserve"> (2020) 151 IPR 237 at 303 [322].</w:t>
      </w:r>
    </w:p>
  </w:footnote>
  <w:footnote w:id="322">
    <w:p w14:paraId="5B675A2C"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Commonwealth v Sanofi (formerly Sanofi-Aventis)</w:t>
      </w:r>
      <w:r w:rsidRPr="00AB1A14">
        <w:rPr>
          <w:rFonts w:ascii="Times New Roman" w:hAnsi="Times New Roman"/>
          <w:sz w:val="24"/>
        </w:rPr>
        <w:t xml:space="preserve"> (2023) 174 IPR 66 at 118</w:t>
      </w:r>
      <w:r>
        <w:rPr>
          <w:rFonts w:ascii="Times New Roman" w:hAnsi="Times New Roman"/>
          <w:sz w:val="24"/>
        </w:rPr>
        <w:noBreakHyphen/>
      </w:r>
      <w:r w:rsidRPr="00AB1A14">
        <w:rPr>
          <w:rFonts w:ascii="Times New Roman" w:hAnsi="Times New Roman"/>
          <w:sz w:val="24"/>
        </w:rPr>
        <w:t>120 [222]-[229].</w:t>
      </w:r>
    </w:p>
  </w:footnote>
  <w:footnote w:id="323">
    <w:p w14:paraId="26FB20D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Australia, House of Representatives, </w:t>
      </w:r>
      <w:r w:rsidRPr="00AB1A14">
        <w:rPr>
          <w:rFonts w:ascii="Times New Roman" w:hAnsi="Times New Roman"/>
          <w:i/>
          <w:iCs/>
          <w:sz w:val="24"/>
        </w:rPr>
        <w:t>Parliamentary Debates</w:t>
      </w:r>
      <w:r w:rsidRPr="00AB1A14">
        <w:rPr>
          <w:rFonts w:ascii="Times New Roman" w:hAnsi="Times New Roman"/>
          <w:sz w:val="24"/>
        </w:rPr>
        <w:t xml:space="preserve"> (Hansard), 4 July 2019 at 291-292.</w:t>
      </w:r>
    </w:p>
  </w:footnote>
  <w:footnote w:id="324">
    <w:p w14:paraId="0B272C80"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eg, </w:t>
      </w:r>
      <w:r w:rsidRPr="00AB1A14">
        <w:rPr>
          <w:rFonts w:ascii="Times New Roman" w:hAnsi="Times New Roman"/>
          <w:i/>
          <w:iCs/>
          <w:sz w:val="24"/>
        </w:rPr>
        <w:t>Air Express Ltd v Ansett Transport Industries (Operations) Pty Ltd</w:t>
      </w:r>
      <w:r w:rsidRPr="00AB1A14">
        <w:rPr>
          <w:rFonts w:ascii="Times New Roman" w:hAnsi="Times New Roman"/>
          <w:sz w:val="24"/>
        </w:rPr>
        <w:t xml:space="preserve"> (1981) 146 CLR 249 at 266-267, 312-313; </w:t>
      </w:r>
      <w:r w:rsidRPr="00AB1A14">
        <w:rPr>
          <w:rFonts w:ascii="Times New Roman" w:hAnsi="Times New Roman"/>
          <w:i/>
          <w:iCs/>
          <w:sz w:val="24"/>
        </w:rPr>
        <w:t>European Bank Ltd v Evans</w:t>
      </w:r>
      <w:r w:rsidRPr="00AB1A14">
        <w:rPr>
          <w:rFonts w:ascii="Times New Roman" w:hAnsi="Times New Roman"/>
          <w:sz w:val="24"/>
        </w:rPr>
        <w:t xml:space="preserve"> (2010) 240 CLR 432 at 439 [18].</w:t>
      </w:r>
    </w:p>
  </w:footnote>
  <w:footnote w:id="325">
    <w:p w14:paraId="78E2E8EA"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Air Express</w:t>
      </w:r>
      <w:r w:rsidRPr="00AB1A14">
        <w:rPr>
          <w:rFonts w:ascii="Times New Roman" w:hAnsi="Times New Roman"/>
          <w:sz w:val="24"/>
        </w:rPr>
        <w:t xml:space="preserve"> </w:t>
      </w:r>
      <w:r w:rsidRPr="00AB1A14">
        <w:rPr>
          <w:rFonts w:ascii="Times New Roman" w:hAnsi="Times New Roman"/>
          <w:i/>
          <w:iCs/>
          <w:sz w:val="24"/>
        </w:rPr>
        <w:t>Ltd v Ansett Transport Industries (Operations) Pty Ltd</w:t>
      </w:r>
      <w:r w:rsidRPr="00AB1A14">
        <w:rPr>
          <w:rFonts w:ascii="Times New Roman" w:hAnsi="Times New Roman"/>
          <w:sz w:val="24"/>
        </w:rPr>
        <w:t xml:space="preserve"> (1981) 146 CLR 249 at 325.</w:t>
      </w:r>
    </w:p>
  </w:footnote>
  <w:footnote w:id="326">
    <w:p w14:paraId="340E3E9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GenRx Pty Ltd v Sanofi-Aventis</w:t>
      </w:r>
      <w:r w:rsidRPr="00AB1A14">
        <w:rPr>
          <w:rFonts w:ascii="Times New Roman" w:hAnsi="Times New Roman"/>
          <w:sz w:val="24"/>
        </w:rPr>
        <w:t xml:space="preserve"> (2007) 73 IPR 502 at 506 [15].</w:t>
      </w:r>
    </w:p>
  </w:footnote>
  <w:footnote w:id="327">
    <w:p w14:paraId="2184CC34"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t xml:space="preserve">See, by analogy, </w:t>
      </w:r>
      <w:r w:rsidRPr="00AB1A14">
        <w:rPr>
          <w:rFonts w:ascii="Times New Roman" w:hAnsi="Times New Roman"/>
          <w:i/>
          <w:iCs/>
          <w:sz w:val="24"/>
        </w:rPr>
        <w:t>Re Golding</w:t>
      </w:r>
      <w:r w:rsidRPr="00AB1A14">
        <w:rPr>
          <w:rFonts w:ascii="Times New Roman" w:hAnsi="Times New Roman"/>
          <w:sz w:val="24"/>
        </w:rPr>
        <w:t xml:space="preserve"> (2020) 94 ALJR 1014 at 1018 [11]; 384 ALR 204 at 207-208. </w:t>
      </w:r>
    </w:p>
  </w:footnote>
  <w:footnote w:id="328">
    <w:p w14:paraId="7E9A9F1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 xml:space="preserve">(2015) 237 FCR 483; </w:t>
      </w:r>
      <w:r w:rsidRPr="00AB1A14">
        <w:rPr>
          <w:rFonts w:ascii="Times New Roman" w:hAnsi="Times New Roman"/>
          <w:i/>
          <w:iCs/>
          <w:sz w:val="24"/>
        </w:rPr>
        <w:t>Sanofi (formerly Sanofi-Aventis) v The</w:t>
      </w:r>
      <w:r w:rsidRPr="00AB1A14">
        <w:rPr>
          <w:rFonts w:ascii="Times New Roman" w:hAnsi="Times New Roman"/>
          <w:sz w:val="24"/>
        </w:rPr>
        <w:t xml:space="preserve"> </w:t>
      </w:r>
      <w:r w:rsidRPr="00AB1A14">
        <w:rPr>
          <w:rFonts w:ascii="Times New Roman" w:hAnsi="Times New Roman"/>
          <w:i/>
          <w:iCs/>
          <w:sz w:val="24"/>
        </w:rPr>
        <w:t xml:space="preserve">Commonwealth </w:t>
      </w:r>
      <w:r w:rsidRPr="00AB1A14">
        <w:rPr>
          <w:rFonts w:ascii="Times New Roman" w:hAnsi="Times New Roman"/>
          <w:sz w:val="24"/>
        </w:rPr>
        <w:t>[2016] HCASL 98.</w:t>
      </w:r>
    </w:p>
  </w:footnote>
  <w:footnote w:id="329">
    <w:p w14:paraId="0CD5F1AD"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(2015) 237 FCR 483 at 506 [91].</w:t>
      </w:r>
    </w:p>
  </w:footnote>
  <w:footnote w:id="330">
    <w:p w14:paraId="06A535DE"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(2015) 237 FCR 483 at 507 [93].</w:t>
      </w:r>
    </w:p>
  </w:footnote>
  <w:footnote w:id="331">
    <w:p w14:paraId="0B104C1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(2015) 237 FCR 483 at 507 [96].</w:t>
      </w:r>
    </w:p>
  </w:footnote>
  <w:footnote w:id="332">
    <w:p w14:paraId="0B439195"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(2015) 237 FCR 483 at 508 [98].</w:t>
      </w:r>
    </w:p>
  </w:footnote>
  <w:footnote w:id="333">
    <w:p w14:paraId="3A34AD56" w14:textId="77777777" w:rsidR="00CC75FC" w:rsidRPr="00AB1A14" w:rsidRDefault="00CC75FC" w:rsidP="00AB1A14">
      <w:pPr>
        <w:pStyle w:val="FootnoteText"/>
        <w:spacing w:line="280" w:lineRule="exact"/>
        <w:ind w:right="0"/>
        <w:jc w:val="both"/>
        <w:rPr>
          <w:rFonts w:ascii="Times New Roman" w:hAnsi="Times New Roman"/>
          <w:sz w:val="24"/>
        </w:rPr>
      </w:pPr>
      <w:r w:rsidRPr="00AB1A14">
        <w:rPr>
          <w:rStyle w:val="FootnoteReference"/>
          <w:rFonts w:ascii="Times New Roman" w:hAnsi="Times New Roman"/>
          <w:sz w:val="22"/>
          <w:vertAlign w:val="baseline"/>
        </w:rPr>
        <w:footnoteRef/>
      </w:r>
      <w:r w:rsidRPr="00AB1A14">
        <w:rPr>
          <w:rFonts w:ascii="Times New Roman" w:hAnsi="Times New Roman"/>
          <w:sz w:val="24"/>
        </w:rPr>
        <w:t xml:space="preserve"> </w:t>
      </w:r>
      <w:r w:rsidRPr="00AB1A14">
        <w:rPr>
          <w:rFonts w:ascii="Times New Roman" w:hAnsi="Times New Roman"/>
          <w:sz w:val="24"/>
        </w:rPr>
        <w:tab/>
      </w:r>
      <w:r w:rsidRPr="00AB1A14">
        <w:rPr>
          <w:rFonts w:ascii="Times New Roman" w:hAnsi="Times New Roman"/>
          <w:i/>
          <w:iCs/>
          <w:sz w:val="24"/>
        </w:rPr>
        <w:t>The</w:t>
      </w:r>
      <w:r w:rsidRPr="00AB1A14">
        <w:rPr>
          <w:rFonts w:ascii="Times New Roman" w:hAnsi="Times New Roman"/>
          <w:sz w:val="24"/>
        </w:rPr>
        <w:t xml:space="preserve"> </w:t>
      </w:r>
      <w:r w:rsidRPr="00AB1A14">
        <w:rPr>
          <w:rFonts w:ascii="Times New Roman" w:hAnsi="Times New Roman"/>
          <w:i/>
          <w:iCs/>
          <w:sz w:val="24"/>
        </w:rPr>
        <w:t xml:space="preserve">Commonwealth v Sanofi </w:t>
      </w:r>
      <w:r w:rsidRPr="00AB1A14">
        <w:rPr>
          <w:rFonts w:ascii="Times New Roman" w:hAnsi="Times New Roman"/>
          <w:sz w:val="24"/>
        </w:rPr>
        <w:t>(2015) 237 FCR 483 at 511 [113].</w:t>
      </w:r>
    </w:p>
  </w:footnote>
  <w:footnote w:id="334">
    <w:p w14:paraId="1501F20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GenRx Pty Ltd v Sanofi-Aventis</w:t>
      </w:r>
      <w:r w:rsidRPr="006519AA">
        <w:rPr>
          <w:rFonts w:ascii="Times New Roman" w:hAnsi="Times New Roman"/>
          <w:sz w:val="24"/>
        </w:rPr>
        <w:t xml:space="preserve"> (2007) 73 IPR 502.</w:t>
      </w:r>
    </w:p>
  </w:footnote>
  <w:footnote w:id="335">
    <w:p w14:paraId="06AE616B"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Apotex Pty Ltd (formerly GenRx Pty Ltd) </w:t>
      </w:r>
      <w:bookmarkStart w:id="3" w:name="_Hlk179811259"/>
      <w:r w:rsidRPr="006519AA">
        <w:rPr>
          <w:rFonts w:ascii="Times New Roman" w:hAnsi="Times New Roman"/>
          <w:i/>
          <w:iCs/>
          <w:sz w:val="24"/>
        </w:rPr>
        <w:t>(ACN 096 916 148</w:t>
      </w:r>
      <w:bookmarkEnd w:id="3"/>
      <w:r w:rsidRPr="006519AA">
        <w:rPr>
          <w:rFonts w:ascii="Times New Roman" w:hAnsi="Times New Roman"/>
          <w:i/>
          <w:iCs/>
          <w:sz w:val="24"/>
        </w:rPr>
        <w:t xml:space="preserve">) v Sanofi-Aventis </w:t>
      </w:r>
      <w:r w:rsidRPr="006519AA">
        <w:rPr>
          <w:rFonts w:ascii="Times New Roman" w:hAnsi="Times New Roman"/>
          <w:sz w:val="24"/>
        </w:rPr>
        <w:t>(2008) 78 IPR 485.</w:t>
      </w:r>
    </w:p>
  </w:footnote>
  <w:footnote w:id="336">
    <w:p w14:paraId="6ADBF0C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Apotex Pty Ltd (formerly GenRx Pty Ltd) (ACN 096 916 148) v Sanofi-Aventis</w:t>
      </w:r>
      <w:r w:rsidRPr="006519AA">
        <w:rPr>
          <w:rFonts w:ascii="Times New Roman" w:hAnsi="Times New Roman"/>
          <w:sz w:val="24"/>
        </w:rPr>
        <w:t xml:space="preserve"> (2008) 78 IPR 485 at 536 [134].</w:t>
      </w:r>
    </w:p>
  </w:footnote>
  <w:footnote w:id="337">
    <w:p w14:paraId="12B1EBC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Apotex Pty Ltd v Sanofi-Aventis </w:t>
      </w:r>
      <w:r w:rsidRPr="006519AA">
        <w:rPr>
          <w:rFonts w:ascii="Times New Roman" w:hAnsi="Times New Roman"/>
          <w:sz w:val="24"/>
        </w:rPr>
        <w:t>(2009) 82 IPR 416 at 451 [193].</w:t>
      </w:r>
    </w:p>
  </w:footnote>
  <w:footnote w:id="338">
    <w:p w14:paraId="4EADE137"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w:t>
      </w:r>
      <w:r w:rsidRPr="006519AA">
        <w:rPr>
          <w:rFonts w:ascii="Times New Roman" w:hAnsi="Times New Roman"/>
          <w:i/>
          <w:iCs/>
          <w:sz w:val="24"/>
        </w:rPr>
        <w:t xml:space="preserve">Patrick Stevedores Operations No 2 Pty Ltd v Maritime Union of Australia </w:t>
      </w:r>
      <w:r w:rsidRPr="006519AA">
        <w:rPr>
          <w:rFonts w:ascii="Times New Roman" w:hAnsi="Times New Roman"/>
          <w:sz w:val="24"/>
        </w:rPr>
        <w:t xml:space="preserve">(1998) 195 CLR 1 at 41-43. </w:t>
      </w:r>
    </w:p>
  </w:footnote>
  <w:footnote w:id="339">
    <w:p w14:paraId="7FA5EB38"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National Health Act 1953 </w:t>
      </w:r>
      <w:r w:rsidRPr="006519AA">
        <w:rPr>
          <w:rFonts w:ascii="Times New Roman" w:hAnsi="Times New Roman"/>
          <w:sz w:val="24"/>
        </w:rPr>
        <w:t xml:space="preserve">(Cth), s 99ACB. </w:t>
      </w:r>
    </w:p>
  </w:footnote>
  <w:footnote w:id="340">
    <w:p w14:paraId="1B3DC74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reasons of Jagot J at </w:t>
      </w:r>
      <w:r w:rsidRPr="00840C5B">
        <w:rPr>
          <w:rFonts w:ascii="Times New Roman" w:hAnsi="Times New Roman"/>
          <w:sz w:val="24"/>
        </w:rPr>
        <w:t>[</w:t>
      </w:r>
      <w:r>
        <w:rPr>
          <w:rFonts w:ascii="Times New Roman" w:hAnsi="Times New Roman"/>
          <w:sz w:val="24"/>
        </w:rPr>
        <w:t>330</w:t>
      </w:r>
      <w:r w:rsidRPr="00840C5B">
        <w:rPr>
          <w:rFonts w:ascii="Times New Roman" w:hAnsi="Times New Roman"/>
          <w:sz w:val="24"/>
        </w:rPr>
        <w:t>]-[</w:t>
      </w:r>
      <w:r>
        <w:rPr>
          <w:rFonts w:ascii="Times New Roman" w:hAnsi="Times New Roman"/>
          <w:sz w:val="24"/>
        </w:rPr>
        <w:t>331</w:t>
      </w:r>
      <w:r w:rsidRPr="00840C5B">
        <w:rPr>
          <w:rFonts w:ascii="Times New Roman" w:hAnsi="Times New Roman"/>
          <w:sz w:val="24"/>
        </w:rPr>
        <w:t>].</w:t>
      </w:r>
      <w:r w:rsidRPr="006519AA">
        <w:rPr>
          <w:rFonts w:ascii="Times New Roman" w:hAnsi="Times New Roman"/>
          <w:sz w:val="24"/>
        </w:rPr>
        <w:t xml:space="preserve"> </w:t>
      </w:r>
    </w:p>
  </w:footnote>
  <w:footnote w:id="341">
    <w:p w14:paraId="2C135D24"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The</w:t>
      </w:r>
      <w:r w:rsidRPr="006519AA">
        <w:rPr>
          <w:rFonts w:ascii="Times New Roman" w:hAnsi="Times New Roman"/>
          <w:sz w:val="24"/>
        </w:rPr>
        <w:t xml:space="preserve"> </w:t>
      </w:r>
      <w:r w:rsidRPr="006519AA">
        <w:rPr>
          <w:rFonts w:ascii="Times New Roman" w:hAnsi="Times New Roman"/>
          <w:i/>
          <w:iCs/>
          <w:sz w:val="24"/>
        </w:rPr>
        <w:t xml:space="preserve">Commonwealth v Sanofi (formerly Sanofi-aventis) [No 5] </w:t>
      </w:r>
      <w:r w:rsidRPr="006519AA">
        <w:rPr>
          <w:rFonts w:ascii="Times New Roman" w:hAnsi="Times New Roman"/>
          <w:sz w:val="24"/>
        </w:rPr>
        <w:t>("</w:t>
      </w:r>
      <w:r w:rsidRPr="006519AA">
        <w:rPr>
          <w:rFonts w:ascii="Times New Roman" w:hAnsi="Times New Roman"/>
          <w:i/>
          <w:iCs/>
          <w:sz w:val="24"/>
        </w:rPr>
        <w:t>Sanofi (No 5)</w:t>
      </w:r>
      <w:r w:rsidRPr="006519AA">
        <w:rPr>
          <w:rFonts w:ascii="Times New Roman" w:hAnsi="Times New Roman"/>
          <w:sz w:val="24"/>
        </w:rPr>
        <w:t>") (2020) 151 IPR 237 at 246 [26]-[27], 309 [349]-[351].</w:t>
      </w:r>
    </w:p>
  </w:footnote>
  <w:footnote w:id="342">
    <w:p w14:paraId="7DE9003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The</w:t>
      </w:r>
      <w:r w:rsidRPr="006519AA">
        <w:rPr>
          <w:rFonts w:ascii="Times New Roman" w:hAnsi="Times New Roman"/>
          <w:sz w:val="24"/>
        </w:rPr>
        <w:t xml:space="preserve"> </w:t>
      </w:r>
      <w:r w:rsidRPr="006519AA">
        <w:rPr>
          <w:rFonts w:ascii="Times New Roman" w:hAnsi="Times New Roman"/>
          <w:i/>
          <w:iCs/>
          <w:sz w:val="24"/>
        </w:rPr>
        <w:t xml:space="preserve">Commonwealth v Sanofi (formerly Sanofi-aventis) </w:t>
      </w:r>
      <w:r w:rsidRPr="006519AA">
        <w:rPr>
          <w:rFonts w:ascii="Times New Roman" w:hAnsi="Times New Roman"/>
          <w:sz w:val="24"/>
        </w:rPr>
        <w:t>("</w:t>
      </w:r>
      <w:r w:rsidRPr="006519AA">
        <w:rPr>
          <w:rFonts w:ascii="Times New Roman" w:hAnsi="Times New Roman"/>
          <w:i/>
          <w:iCs/>
          <w:sz w:val="24"/>
        </w:rPr>
        <w:t>Sanofi FFC</w:t>
      </w:r>
      <w:r w:rsidRPr="006519AA">
        <w:rPr>
          <w:rFonts w:ascii="Times New Roman" w:hAnsi="Times New Roman"/>
          <w:sz w:val="24"/>
        </w:rPr>
        <w:t xml:space="preserve">") (2023) 411 ALR 315 at 321 [14]. </w:t>
      </w:r>
    </w:p>
  </w:footnote>
  <w:footnote w:id="343">
    <w:p w14:paraId="6EB9815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Air Express Ltd v Ansett Transport Industries (Operations) Pty Ltd</w:t>
      </w:r>
      <w:r w:rsidRPr="006519AA">
        <w:rPr>
          <w:rFonts w:ascii="Times New Roman" w:hAnsi="Times New Roman"/>
          <w:sz w:val="24"/>
        </w:rPr>
        <w:t xml:space="preserve"> (1981) 146 CLR 249 at 313, 320, 324-325.</w:t>
      </w:r>
    </w:p>
  </w:footnote>
  <w:footnote w:id="344">
    <w:p w14:paraId="5DA4A8B8"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Air Express</w:t>
      </w:r>
      <w:r w:rsidRPr="006519AA">
        <w:rPr>
          <w:rFonts w:ascii="Times New Roman" w:hAnsi="Times New Roman"/>
          <w:sz w:val="24"/>
        </w:rPr>
        <w:t xml:space="preserve"> (1981) 146 CLR 249 at 318, 320, 325.</w:t>
      </w:r>
    </w:p>
  </w:footnote>
  <w:footnote w:id="345">
    <w:p w14:paraId="10E99641"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Air Express</w:t>
      </w:r>
      <w:r w:rsidRPr="006519AA">
        <w:rPr>
          <w:rFonts w:ascii="Times New Roman" w:hAnsi="Times New Roman"/>
          <w:sz w:val="24"/>
        </w:rPr>
        <w:t xml:space="preserve"> (1981) 146 CLR 249 at 268, 310, 312, 315, 324.</w:t>
      </w:r>
    </w:p>
  </w:footnote>
  <w:footnote w:id="346">
    <w:p w14:paraId="6C35F54E"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Purkess v Crittenden</w:t>
      </w:r>
      <w:r w:rsidRPr="006519AA">
        <w:rPr>
          <w:rFonts w:ascii="Times New Roman" w:hAnsi="Times New Roman"/>
          <w:sz w:val="24"/>
        </w:rPr>
        <w:t xml:space="preserve"> (1965) 114 CLR 164 at 168.</w:t>
      </w:r>
    </w:p>
  </w:footnote>
  <w:footnote w:id="347">
    <w:p w14:paraId="6D10AC4A"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below </w:t>
      </w:r>
      <w:r w:rsidRPr="0060541D">
        <w:rPr>
          <w:rFonts w:ascii="Times New Roman" w:hAnsi="Times New Roman"/>
          <w:sz w:val="24"/>
        </w:rPr>
        <w:t>at [</w:t>
      </w:r>
      <w:r>
        <w:rPr>
          <w:rFonts w:ascii="Times New Roman" w:hAnsi="Times New Roman"/>
          <w:sz w:val="24"/>
        </w:rPr>
        <w:t>366</w:t>
      </w:r>
      <w:r w:rsidRPr="0060541D">
        <w:rPr>
          <w:rFonts w:ascii="Times New Roman" w:hAnsi="Times New Roman"/>
          <w:sz w:val="24"/>
        </w:rPr>
        <w:t>].</w:t>
      </w:r>
    </w:p>
  </w:footnote>
  <w:footnote w:id="348">
    <w:p w14:paraId="33AE95EF"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See reasons of Jagot J at [</w:t>
      </w:r>
      <w:r>
        <w:rPr>
          <w:rFonts w:ascii="Times New Roman" w:hAnsi="Times New Roman"/>
          <w:sz w:val="24"/>
        </w:rPr>
        <w:t>275</w:t>
      </w:r>
      <w:r w:rsidRPr="006519AA">
        <w:rPr>
          <w:rFonts w:ascii="Times New Roman" w:hAnsi="Times New Roman"/>
          <w:sz w:val="24"/>
        </w:rPr>
        <w:t xml:space="preserve">]. </w:t>
      </w:r>
    </w:p>
  </w:footnote>
  <w:footnote w:id="349">
    <w:p w14:paraId="4BBABFD3"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(No 5) </w:t>
      </w:r>
      <w:r w:rsidRPr="006519AA">
        <w:rPr>
          <w:rFonts w:ascii="Times New Roman" w:hAnsi="Times New Roman"/>
          <w:sz w:val="24"/>
        </w:rPr>
        <w:t>(2020) 151 IPR 237 at 275 [174]-[175].</w:t>
      </w:r>
    </w:p>
  </w:footnote>
  <w:footnote w:id="350">
    <w:p w14:paraId="565DDED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w:t>
      </w:r>
      <w:r w:rsidRPr="006519AA">
        <w:rPr>
          <w:rFonts w:ascii="Times New Roman" w:hAnsi="Times New Roman"/>
          <w:i/>
          <w:iCs/>
          <w:sz w:val="24"/>
        </w:rPr>
        <w:t xml:space="preserve">Evidence Act 1995 </w:t>
      </w:r>
      <w:r w:rsidRPr="006519AA">
        <w:rPr>
          <w:rFonts w:ascii="Times New Roman" w:hAnsi="Times New Roman"/>
          <w:sz w:val="24"/>
        </w:rPr>
        <w:t>(Cth), s 136.</w:t>
      </w:r>
    </w:p>
  </w:footnote>
  <w:footnote w:id="351">
    <w:p w14:paraId="6A3B9CA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In these reasons, all time references are references to Sydney time. </w:t>
      </w:r>
    </w:p>
  </w:footnote>
  <w:footnote w:id="352">
    <w:p w14:paraId="0BF485E3"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See below a</w:t>
      </w:r>
      <w:r w:rsidRPr="0060541D">
        <w:rPr>
          <w:rFonts w:ascii="Times New Roman" w:hAnsi="Times New Roman"/>
          <w:sz w:val="24"/>
        </w:rPr>
        <w:t>t [374].</w:t>
      </w:r>
    </w:p>
  </w:footnote>
  <w:footnote w:id="353">
    <w:p w14:paraId="3EC10E3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(No 5) </w:t>
      </w:r>
      <w:r w:rsidRPr="006519AA">
        <w:rPr>
          <w:rFonts w:ascii="Times New Roman" w:hAnsi="Times New Roman"/>
          <w:sz w:val="24"/>
        </w:rPr>
        <w:t>(2020) 151 IPR 237 at 297 [288].</w:t>
      </w:r>
    </w:p>
  </w:footnote>
  <w:footnote w:id="354">
    <w:p w14:paraId="0F4A0E2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342 [118].</w:t>
      </w:r>
    </w:p>
  </w:footnote>
  <w:footnote w:id="355">
    <w:p w14:paraId="270E737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See above a</w:t>
      </w:r>
      <w:r w:rsidRPr="0060541D">
        <w:rPr>
          <w:rFonts w:ascii="Times New Roman" w:hAnsi="Times New Roman"/>
          <w:sz w:val="24"/>
        </w:rPr>
        <w:t>t [</w:t>
      </w:r>
      <w:r>
        <w:rPr>
          <w:rFonts w:ascii="Times New Roman" w:hAnsi="Times New Roman"/>
          <w:sz w:val="24"/>
        </w:rPr>
        <w:t>343</w:t>
      </w:r>
      <w:r w:rsidRPr="0060541D">
        <w:rPr>
          <w:rFonts w:ascii="Times New Roman" w:hAnsi="Times New Roman"/>
          <w:sz w:val="24"/>
        </w:rPr>
        <w:t>]-[</w:t>
      </w:r>
      <w:r>
        <w:rPr>
          <w:rFonts w:ascii="Times New Roman" w:hAnsi="Times New Roman"/>
          <w:sz w:val="24"/>
        </w:rPr>
        <w:t>345</w:t>
      </w:r>
      <w:r w:rsidRPr="0060541D">
        <w:rPr>
          <w:rFonts w:ascii="Times New Roman" w:hAnsi="Times New Roman"/>
          <w:sz w:val="24"/>
        </w:rPr>
        <w:t>].</w:t>
      </w:r>
      <w:r w:rsidRPr="006519AA">
        <w:rPr>
          <w:rFonts w:ascii="Times New Roman" w:hAnsi="Times New Roman"/>
          <w:sz w:val="24"/>
        </w:rPr>
        <w:t xml:space="preserve"> </w:t>
      </w:r>
    </w:p>
  </w:footnote>
  <w:footnote w:id="356">
    <w:p w14:paraId="706F9E8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5" w:name="_Hlk180065038"/>
      <w:r w:rsidRPr="006519AA">
        <w:rPr>
          <w:rFonts w:ascii="Times New Roman" w:hAnsi="Times New Roman"/>
          <w:sz w:val="24"/>
        </w:rPr>
        <w:t>See reasons of Jagot J at [</w:t>
      </w:r>
      <w:r>
        <w:rPr>
          <w:rFonts w:ascii="Times New Roman" w:hAnsi="Times New Roman"/>
          <w:sz w:val="24"/>
        </w:rPr>
        <w:t>307</w:t>
      </w:r>
      <w:r w:rsidRPr="006519AA">
        <w:rPr>
          <w:rFonts w:ascii="Times New Roman" w:hAnsi="Times New Roman"/>
          <w:sz w:val="24"/>
        </w:rPr>
        <w:t>].</w:t>
      </w:r>
    </w:p>
    <w:bookmarkEnd w:id="5"/>
  </w:footnote>
  <w:footnote w:id="357">
    <w:p w14:paraId="05207649"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290 [251]. </w:t>
      </w:r>
    </w:p>
  </w:footnote>
  <w:footnote w:id="358">
    <w:p w14:paraId="496683A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289-290 [249]-[251]. </w:t>
      </w:r>
    </w:p>
  </w:footnote>
  <w:footnote w:id="359">
    <w:p w14:paraId="7CD52276"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295 [278].</w:t>
      </w:r>
    </w:p>
  </w:footnote>
  <w:footnote w:id="360">
    <w:p w14:paraId="1797FAB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295 [279].</w:t>
      </w:r>
    </w:p>
  </w:footnote>
  <w:footnote w:id="361">
    <w:p w14:paraId="3C78E21E"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296 [281].</w:t>
      </w:r>
    </w:p>
  </w:footnote>
  <w:footnote w:id="362">
    <w:p w14:paraId="04876AE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6" w:name="_Hlk180136398"/>
      <w:r w:rsidRPr="006519AA">
        <w:rPr>
          <w:rFonts w:ascii="Times New Roman" w:hAnsi="Times New Roman"/>
          <w:i/>
          <w:iCs/>
          <w:sz w:val="24"/>
        </w:rPr>
        <w:t>Sanofi (No 5)</w:t>
      </w:r>
      <w:r w:rsidRPr="006519AA">
        <w:rPr>
          <w:rFonts w:ascii="Times New Roman" w:hAnsi="Times New Roman"/>
          <w:sz w:val="24"/>
        </w:rPr>
        <w:t xml:space="preserve"> (2020) 151 IPR 237 at 297 [286].</w:t>
      </w:r>
      <w:bookmarkEnd w:id="6"/>
    </w:p>
  </w:footnote>
  <w:footnote w:id="363">
    <w:p w14:paraId="5A1BBBE9"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304 [325]. </w:t>
      </w:r>
    </w:p>
  </w:footnote>
  <w:footnote w:id="364">
    <w:p w14:paraId="7504BDBF"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299 [294]-[296], 301 [310]. </w:t>
      </w:r>
    </w:p>
  </w:footnote>
  <w:footnote w:id="365">
    <w:p w14:paraId="51F03C0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299 [296].</w:t>
      </w:r>
    </w:p>
  </w:footnote>
  <w:footnote w:id="366">
    <w:p w14:paraId="083AB05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bookmarkStart w:id="7" w:name="_Hlk180138632"/>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301 [311].</w:t>
      </w:r>
      <w:bookmarkEnd w:id="7"/>
    </w:p>
  </w:footnote>
  <w:footnote w:id="367">
    <w:p w14:paraId="4E8B68A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303 [322].</w:t>
      </w:r>
    </w:p>
  </w:footnote>
  <w:footnote w:id="368">
    <w:p w14:paraId="553B666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reasons of Jagot J </w:t>
      </w:r>
      <w:r w:rsidRPr="0036158F">
        <w:rPr>
          <w:rFonts w:ascii="Times New Roman" w:hAnsi="Times New Roman"/>
          <w:sz w:val="24"/>
        </w:rPr>
        <w:t>at [</w:t>
      </w:r>
      <w:r>
        <w:rPr>
          <w:rFonts w:ascii="Times New Roman" w:hAnsi="Times New Roman"/>
          <w:sz w:val="24"/>
        </w:rPr>
        <w:t>316</w:t>
      </w:r>
      <w:r w:rsidRPr="0036158F">
        <w:rPr>
          <w:rFonts w:ascii="Times New Roman" w:hAnsi="Times New Roman"/>
          <w:sz w:val="24"/>
        </w:rPr>
        <w:t>]-[</w:t>
      </w:r>
      <w:r>
        <w:rPr>
          <w:rFonts w:ascii="Times New Roman" w:hAnsi="Times New Roman"/>
          <w:sz w:val="24"/>
        </w:rPr>
        <w:t>325</w:t>
      </w:r>
      <w:r w:rsidRPr="0036158F">
        <w:rPr>
          <w:rFonts w:ascii="Times New Roman" w:hAnsi="Times New Roman"/>
          <w:sz w:val="24"/>
        </w:rPr>
        <w:t>].</w:t>
      </w:r>
    </w:p>
  </w:footnote>
  <w:footnote w:id="369">
    <w:p w14:paraId="62D34D2F"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256 [84]-[85].</w:t>
      </w:r>
    </w:p>
  </w:footnote>
  <w:footnote w:id="370">
    <w:p w14:paraId="5F44FBE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290 [251]; </w:t>
      </w:r>
      <w:r w:rsidRPr="006519AA">
        <w:rPr>
          <w:rFonts w:ascii="Times New Roman" w:hAnsi="Times New Roman"/>
          <w:i/>
          <w:iCs/>
          <w:sz w:val="24"/>
        </w:rPr>
        <w:t xml:space="preserve">Sanofi FFC </w:t>
      </w:r>
      <w:r w:rsidRPr="006519AA">
        <w:rPr>
          <w:rFonts w:ascii="Times New Roman" w:hAnsi="Times New Roman"/>
          <w:sz w:val="24"/>
        </w:rPr>
        <w:t>(2023) 411 ALR 315 at 380-381 [301].</w:t>
      </w:r>
    </w:p>
  </w:footnote>
  <w:footnote w:id="371">
    <w:p w14:paraId="747FF7F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379-381 [296]-[302].</w:t>
      </w:r>
    </w:p>
  </w:footnote>
  <w:footnote w:id="372">
    <w:p w14:paraId="6C57FFD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8" w:name="_Hlk180404194"/>
      <w:r w:rsidRPr="006519AA">
        <w:rPr>
          <w:rFonts w:ascii="Times New Roman" w:hAnsi="Times New Roman"/>
          <w:i/>
          <w:iCs/>
          <w:sz w:val="24"/>
        </w:rPr>
        <w:t xml:space="preserve">Sanofi FFC </w:t>
      </w:r>
      <w:r w:rsidRPr="006519AA">
        <w:rPr>
          <w:rFonts w:ascii="Times New Roman" w:hAnsi="Times New Roman"/>
          <w:sz w:val="24"/>
        </w:rPr>
        <w:t>(2023) 411 ALR 315 at 364 [205].</w:t>
      </w:r>
      <w:bookmarkEnd w:id="8"/>
    </w:p>
  </w:footnote>
  <w:footnote w:id="373">
    <w:p w14:paraId="06FFB25B"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364 [204].</w:t>
      </w:r>
    </w:p>
  </w:footnote>
  <w:footnote w:id="374">
    <w:p w14:paraId="1A6A0449"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295 [279]-[280].</w:t>
      </w:r>
    </w:p>
  </w:footnote>
  <w:footnote w:id="375">
    <w:p w14:paraId="703312F9"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307 [340]-[341].</w:t>
      </w:r>
    </w:p>
  </w:footnote>
  <w:footnote w:id="376">
    <w:p w14:paraId="726BCBF8"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above </w:t>
      </w:r>
      <w:r w:rsidRPr="0036158F">
        <w:rPr>
          <w:rFonts w:ascii="Times New Roman" w:hAnsi="Times New Roman"/>
          <w:sz w:val="24"/>
        </w:rPr>
        <w:t>at [3</w:t>
      </w:r>
      <w:r>
        <w:rPr>
          <w:rFonts w:ascii="Times New Roman" w:hAnsi="Times New Roman"/>
          <w:sz w:val="24"/>
        </w:rPr>
        <w:t>74</w:t>
      </w:r>
      <w:r w:rsidRPr="0036158F">
        <w:rPr>
          <w:rFonts w:ascii="Times New Roman" w:hAnsi="Times New Roman"/>
          <w:sz w:val="24"/>
        </w:rPr>
        <w:t>].</w:t>
      </w:r>
      <w:r w:rsidRPr="006519AA">
        <w:rPr>
          <w:rFonts w:ascii="Times New Roman" w:hAnsi="Times New Roman"/>
          <w:sz w:val="24"/>
        </w:rPr>
        <w:t xml:space="preserve"> </w:t>
      </w:r>
    </w:p>
  </w:footnote>
  <w:footnote w:id="377">
    <w:p w14:paraId="2C7CF07E"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(1959) 101 CLR 298.</w:t>
      </w:r>
    </w:p>
  </w:footnote>
  <w:footnote w:id="378">
    <w:p w14:paraId="5022CDF1"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308 [345]-[347].</w:t>
      </w:r>
    </w:p>
  </w:footnote>
  <w:footnote w:id="379">
    <w:p w14:paraId="62436AEB"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308-309 [348]-[349]. </w:t>
      </w:r>
    </w:p>
  </w:footnote>
  <w:footnote w:id="380">
    <w:p w14:paraId="4F69A771"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392 [355].</w:t>
      </w:r>
    </w:p>
  </w:footnote>
  <w:footnote w:id="381">
    <w:p w14:paraId="23496D6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(1976) 1 NSWLR 191.</w:t>
      </w:r>
    </w:p>
  </w:footnote>
  <w:footnote w:id="382">
    <w:p w14:paraId="52F5AEC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Payne v Parker </w:t>
      </w:r>
      <w:r w:rsidRPr="006519AA">
        <w:rPr>
          <w:rFonts w:ascii="Times New Roman" w:hAnsi="Times New Roman"/>
          <w:sz w:val="24"/>
        </w:rPr>
        <w:t>(1976) 1 NSWLR 191 at 200-201.</w:t>
      </w:r>
    </w:p>
  </w:footnote>
  <w:footnote w:id="383">
    <w:p w14:paraId="363DE267"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308 [345]-[347].</w:t>
      </w:r>
    </w:p>
  </w:footnote>
  <w:footnote w:id="384">
    <w:p w14:paraId="7F235D69"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above at </w:t>
      </w:r>
      <w:r w:rsidRPr="00F87E8A">
        <w:rPr>
          <w:rFonts w:ascii="Times New Roman" w:hAnsi="Times New Roman"/>
          <w:sz w:val="24"/>
        </w:rPr>
        <w:t>[</w:t>
      </w:r>
      <w:r>
        <w:rPr>
          <w:rFonts w:ascii="Times New Roman" w:hAnsi="Times New Roman"/>
          <w:sz w:val="24"/>
        </w:rPr>
        <w:t>379</w:t>
      </w:r>
      <w:r w:rsidRPr="00F87E8A">
        <w:rPr>
          <w:rFonts w:ascii="Times New Roman" w:hAnsi="Times New Roman"/>
          <w:sz w:val="24"/>
        </w:rPr>
        <w:t>]-[</w:t>
      </w:r>
      <w:r>
        <w:rPr>
          <w:rFonts w:ascii="Times New Roman" w:hAnsi="Times New Roman"/>
          <w:sz w:val="24"/>
        </w:rPr>
        <w:t>387</w:t>
      </w:r>
      <w:r w:rsidRPr="00F87E8A">
        <w:rPr>
          <w:rFonts w:ascii="Times New Roman" w:hAnsi="Times New Roman"/>
          <w:sz w:val="24"/>
        </w:rPr>
        <w:t>]</w:t>
      </w:r>
      <w:r>
        <w:rPr>
          <w:rFonts w:ascii="Times New Roman" w:hAnsi="Times New Roman"/>
          <w:sz w:val="24"/>
        </w:rPr>
        <w:t>.</w:t>
      </w:r>
    </w:p>
  </w:footnote>
  <w:footnote w:id="385">
    <w:p w14:paraId="0AC376B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cf </w:t>
      </w:r>
      <w:r w:rsidRPr="006519AA">
        <w:rPr>
          <w:rFonts w:ascii="Times New Roman" w:hAnsi="Times New Roman"/>
          <w:i/>
          <w:iCs/>
          <w:sz w:val="24"/>
        </w:rPr>
        <w:t>Payne v Parker</w:t>
      </w:r>
      <w:r w:rsidRPr="006519AA">
        <w:rPr>
          <w:rFonts w:ascii="Times New Roman" w:hAnsi="Times New Roman"/>
          <w:sz w:val="24"/>
        </w:rPr>
        <w:t xml:space="preserve"> (1976) 1 NSWLR 191 at 202.</w:t>
      </w:r>
    </w:p>
  </w:footnote>
  <w:footnote w:id="386">
    <w:p w14:paraId="07AEF23A"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FFC</w:t>
      </w:r>
      <w:r w:rsidRPr="006519AA">
        <w:rPr>
          <w:rFonts w:ascii="Times New Roman" w:hAnsi="Times New Roman"/>
          <w:sz w:val="24"/>
        </w:rPr>
        <w:t xml:space="preserve"> (2023) 411 ALR 315 at 383 [316].</w:t>
      </w:r>
    </w:p>
  </w:footnote>
  <w:footnote w:id="387">
    <w:p w14:paraId="5D8F4C1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above </w:t>
      </w:r>
      <w:r w:rsidRPr="006A5E27">
        <w:rPr>
          <w:rFonts w:ascii="Times New Roman" w:hAnsi="Times New Roman"/>
          <w:sz w:val="24"/>
        </w:rPr>
        <w:t>at [</w:t>
      </w:r>
      <w:r>
        <w:rPr>
          <w:rFonts w:ascii="Times New Roman" w:hAnsi="Times New Roman"/>
          <w:sz w:val="24"/>
        </w:rPr>
        <w:t>359</w:t>
      </w:r>
      <w:r w:rsidRPr="006A5E27">
        <w:rPr>
          <w:rFonts w:ascii="Times New Roman" w:hAnsi="Times New Roman"/>
          <w:sz w:val="24"/>
        </w:rPr>
        <w:t>]-[</w:t>
      </w:r>
      <w:r>
        <w:rPr>
          <w:rFonts w:ascii="Times New Roman" w:hAnsi="Times New Roman"/>
          <w:sz w:val="24"/>
        </w:rPr>
        <w:t>360</w:t>
      </w:r>
      <w:r w:rsidRPr="006A5E27">
        <w:rPr>
          <w:rFonts w:ascii="Times New Roman" w:hAnsi="Times New Roman"/>
          <w:sz w:val="24"/>
        </w:rPr>
        <w:t>].</w:t>
      </w:r>
    </w:p>
  </w:footnote>
  <w:footnote w:id="388">
    <w:p w14:paraId="5D6646C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9" w:name="_Hlk180405845"/>
      <w:r w:rsidRPr="006519AA">
        <w:rPr>
          <w:rFonts w:ascii="Times New Roman" w:hAnsi="Times New Roman"/>
          <w:i/>
          <w:iCs/>
          <w:sz w:val="24"/>
        </w:rPr>
        <w:t>Sanofi (No 5)</w:t>
      </w:r>
      <w:r w:rsidRPr="006519AA">
        <w:rPr>
          <w:rFonts w:ascii="Times New Roman" w:hAnsi="Times New Roman"/>
          <w:sz w:val="24"/>
        </w:rPr>
        <w:t xml:space="preserve"> (2020) 151 IPR 237 at 289 [245]. </w:t>
      </w:r>
      <w:bookmarkEnd w:id="9"/>
    </w:p>
  </w:footnote>
  <w:footnote w:id="389">
    <w:p w14:paraId="37B6EE68"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345 [129].</w:t>
      </w:r>
    </w:p>
  </w:footnote>
  <w:footnote w:id="390">
    <w:p w14:paraId="7FE4CDA4"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reasons of Jagot J </w:t>
      </w:r>
      <w:r w:rsidRPr="006A5E27">
        <w:rPr>
          <w:rFonts w:ascii="Times New Roman" w:hAnsi="Times New Roman"/>
          <w:sz w:val="24"/>
        </w:rPr>
        <w:t>at [305].</w:t>
      </w:r>
    </w:p>
  </w:footnote>
  <w:footnote w:id="391">
    <w:p w14:paraId="07B1FFD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383 [314].</w:t>
      </w:r>
    </w:p>
  </w:footnote>
  <w:footnote w:id="392">
    <w:p w14:paraId="52AFDCDA"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FFC</w:t>
      </w:r>
      <w:r w:rsidRPr="006519AA">
        <w:rPr>
          <w:rFonts w:ascii="Times New Roman" w:hAnsi="Times New Roman"/>
          <w:sz w:val="24"/>
        </w:rPr>
        <w:t xml:space="preserve"> (2023) 411 ALR 315 at 349 [141].</w:t>
      </w:r>
    </w:p>
  </w:footnote>
  <w:footnote w:id="393">
    <w:p w14:paraId="3FB86E90"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reasons of Jagot J </w:t>
      </w:r>
      <w:r w:rsidRPr="009D12DE">
        <w:rPr>
          <w:rFonts w:ascii="Times New Roman" w:hAnsi="Times New Roman"/>
          <w:sz w:val="24"/>
        </w:rPr>
        <w:t>at [</w:t>
      </w:r>
      <w:r>
        <w:rPr>
          <w:rFonts w:ascii="Times New Roman" w:hAnsi="Times New Roman"/>
          <w:sz w:val="24"/>
        </w:rPr>
        <w:t>282</w:t>
      </w:r>
      <w:r w:rsidRPr="009D12DE">
        <w:rPr>
          <w:rFonts w:ascii="Times New Roman" w:hAnsi="Times New Roman"/>
          <w:sz w:val="24"/>
        </w:rPr>
        <w:t>]-[</w:t>
      </w:r>
      <w:r>
        <w:rPr>
          <w:rFonts w:ascii="Times New Roman" w:hAnsi="Times New Roman"/>
          <w:sz w:val="24"/>
        </w:rPr>
        <w:t>284</w:t>
      </w:r>
      <w:r w:rsidRPr="009D12DE">
        <w:rPr>
          <w:rFonts w:ascii="Times New Roman" w:hAnsi="Times New Roman"/>
          <w:sz w:val="24"/>
        </w:rPr>
        <w:t>].</w:t>
      </w:r>
    </w:p>
  </w:footnote>
  <w:footnote w:id="394">
    <w:p w14:paraId="21765C36"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10" w:name="_Hlk180413512"/>
      <w:r w:rsidRPr="006519AA">
        <w:rPr>
          <w:rFonts w:ascii="Times New Roman" w:hAnsi="Times New Roman"/>
          <w:i/>
          <w:iCs/>
          <w:sz w:val="24"/>
        </w:rPr>
        <w:t>Sanofi (No 5)</w:t>
      </w:r>
      <w:r w:rsidRPr="006519AA">
        <w:rPr>
          <w:rFonts w:ascii="Times New Roman" w:hAnsi="Times New Roman"/>
          <w:sz w:val="24"/>
        </w:rPr>
        <w:t xml:space="preserve"> (2020) 151 IPR 237 at 289 [248], 295 [277], 308 [348].</w:t>
      </w:r>
      <w:bookmarkEnd w:id="10"/>
    </w:p>
  </w:footnote>
  <w:footnote w:id="395">
    <w:p w14:paraId="54BC4B8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11" w:name="_Hlk180502749"/>
      <w:r w:rsidRPr="006519AA">
        <w:rPr>
          <w:rFonts w:ascii="Times New Roman" w:hAnsi="Times New Roman"/>
          <w:i/>
          <w:iCs/>
          <w:sz w:val="24"/>
        </w:rPr>
        <w:t xml:space="preserve">Sanofi FFC </w:t>
      </w:r>
      <w:r w:rsidRPr="006519AA">
        <w:rPr>
          <w:rFonts w:ascii="Times New Roman" w:hAnsi="Times New Roman"/>
          <w:sz w:val="24"/>
        </w:rPr>
        <w:t xml:space="preserve">(2023) 411 ALR 315 </w:t>
      </w:r>
      <w:bookmarkEnd w:id="11"/>
      <w:r w:rsidRPr="006519AA">
        <w:rPr>
          <w:rFonts w:ascii="Times New Roman" w:hAnsi="Times New Roman"/>
          <w:sz w:val="24"/>
        </w:rPr>
        <w:t>at 388 [340].</w:t>
      </w:r>
    </w:p>
  </w:footnote>
  <w:footnote w:id="396">
    <w:p w14:paraId="56AB221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See reasons of Jagot J at [</w:t>
      </w:r>
      <w:r>
        <w:rPr>
          <w:rFonts w:ascii="Times New Roman" w:hAnsi="Times New Roman"/>
          <w:sz w:val="24"/>
        </w:rPr>
        <w:t>285</w:t>
      </w:r>
      <w:r w:rsidRPr="006519AA">
        <w:rPr>
          <w:rFonts w:ascii="Times New Roman" w:hAnsi="Times New Roman"/>
          <w:sz w:val="24"/>
        </w:rPr>
        <w:t xml:space="preserve">]. </w:t>
      </w:r>
    </w:p>
  </w:footnote>
  <w:footnote w:id="397">
    <w:p w14:paraId="7E4772D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Sanofi (No 5)</w:t>
      </w:r>
      <w:r w:rsidRPr="006519AA">
        <w:rPr>
          <w:rFonts w:ascii="Times New Roman" w:hAnsi="Times New Roman"/>
          <w:sz w:val="24"/>
        </w:rPr>
        <w:t xml:space="preserve"> (2020) 151 IPR 237 at 297 [288].</w:t>
      </w:r>
    </w:p>
  </w:footnote>
  <w:footnote w:id="398">
    <w:p w14:paraId="160E966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(2023) 411 ALR 315 at 342 [118].</w:t>
      </w:r>
    </w:p>
  </w:footnote>
  <w:footnote w:id="399">
    <w:p w14:paraId="48AD9D1A"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(No 5) </w:t>
      </w:r>
      <w:r w:rsidRPr="006519AA">
        <w:rPr>
          <w:rFonts w:ascii="Times New Roman" w:hAnsi="Times New Roman"/>
          <w:sz w:val="24"/>
        </w:rPr>
        <w:t>(2020) 151 IPR 237 at 308 [348].</w:t>
      </w:r>
    </w:p>
  </w:footnote>
  <w:footnote w:id="400">
    <w:p w14:paraId="4770CF8D"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Sanofi FFC </w:t>
      </w:r>
      <w:r w:rsidRPr="006519AA">
        <w:rPr>
          <w:rFonts w:ascii="Times New Roman" w:hAnsi="Times New Roman"/>
          <w:sz w:val="24"/>
        </w:rPr>
        <w:t xml:space="preserve">(2023) 411 ALR 315 at 394 [364]. </w:t>
      </w:r>
    </w:p>
  </w:footnote>
  <w:footnote w:id="401">
    <w:p w14:paraId="4DD73DA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bookmarkStart w:id="13" w:name="_Hlk180414464"/>
      <w:r w:rsidRPr="006519AA">
        <w:rPr>
          <w:rFonts w:ascii="Times New Roman" w:hAnsi="Times New Roman"/>
          <w:sz w:val="24"/>
        </w:rPr>
        <w:t xml:space="preserve">(2012) 247 CLR 345 </w:t>
      </w:r>
      <w:bookmarkEnd w:id="13"/>
      <w:r w:rsidRPr="006519AA">
        <w:rPr>
          <w:rFonts w:ascii="Times New Roman" w:hAnsi="Times New Roman"/>
          <w:sz w:val="24"/>
        </w:rPr>
        <w:t>at 445 [257].</w:t>
      </w:r>
    </w:p>
  </w:footnote>
  <w:footnote w:id="402">
    <w:p w14:paraId="5564D295"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Australian Securities and Investments Commission v Hellicar </w:t>
      </w:r>
      <w:r w:rsidRPr="006519AA">
        <w:rPr>
          <w:rFonts w:ascii="Times New Roman" w:hAnsi="Times New Roman"/>
          <w:sz w:val="24"/>
        </w:rPr>
        <w:t>("</w:t>
      </w:r>
      <w:r w:rsidRPr="006519AA">
        <w:rPr>
          <w:rFonts w:ascii="Times New Roman" w:hAnsi="Times New Roman"/>
          <w:i/>
          <w:iCs/>
          <w:sz w:val="24"/>
        </w:rPr>
        <w:t>Hellicar</w:t>
      </w:r>
      <w:r w:rsidRPr="006519AA">
        <w:rPr>
          <w:rFonts w:ascii="Times New Roman" w:hAnsi="Times New Roman"/>
          <w:sz w:val="24"/>
        </w:rPr>
        <w:t>") (2012) 247 CLR 345 at 413 [169].</w:t>
      </w:r>
    </w:p>
  </w:footnote>
  <w:footnote w:id="403">
    <w:p w14:paraId="17EF90B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Hellicar </w:t>
      </w:r>
      <w:r w:rsidRPr="006519AA">
        <w:rPr>
          <w:rFonts w:ascii="Times New Roman" w:hAnsi="Times New Roman"/>
          <w:sz w:val="24"/>
        </w:rPr>
        <w:t xml:space="preserve">(2012) 247 CLR 345 at 432 [232]; </w:t>
      </w:r>
      <w:r w:rsidRPr="006519AA">
        <w:rPr>
          <w:rFonts w:ascii="Times New Roman" w:hAnsi="Times New Roman"/>
          <w:i/>
          <w:iCs/>
          <w:sz w:val="24"/>
        </w:rPr>
        <w:t>Jones v Dunkel</w:t>
      </w:r>
      <w:r w:rsidRPr="006519AA">
        <w:rPr>
          <w:rFonts w:ascii="Times New Roman" w:hAnsi="Times New Roman"/>
          <w:sz w:val="24"/>
        </w:rPr>
        <w:t xml:space="preserve"> (1959) 101 CLR 298 at 308.</w:t>
      </w:r>
    </w:p>
  </w:footnote>
  <w:footnote w:id="404">
    <w:p w14:paraId="5C8ECC16"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t xml:space="preserve">See </w:t>
      </w:r>
      <w:bookmarkStart w:id="14" w:name="_Hlk180489767"/>
      <w:r w:rsidRPr="006519AA">
        <w:rPr>
          <w:rFonts w:ascii="Times New Roman" w:hAnsi="Times New Roman"/>
          <w:i/>
          <w:iCs/>
          <w:sz w:val="24"/>
        </w:rPr>
        <w:t>Hellicar</w:t>
      </w:r>
      <w:bookmarkEnd w:id="14"/>
      <w:r w:rsidRPr="006519AA">
        <w:rPr>
          <w:rFonts w:ascii="Times New Roman" w:hAnsi="Times New Roman"/>
          <w:i/>
          <w:iCs/>
          <w:sz w:val="24"/>
        </w:rPr>
        <w:t xml:space="preserve"> </w:t>
      </w:r>
      <w:bookmarkStart w:id="15" w:name="_Hlk180414954"/>
      <w:r w:rsidRPr="006519AA">
        <w:rPr>
          <w:rFonts w:ascii="Times New Roman" w:hAnsi="Times New Roman"/>
          <w:sz w:val="24"/>
        </w:rPr>
        <w:t xml:space="preserve">(2012) 247 CLR 345 </w:t>
      </w:r>
      <w:bookmarkEnd w:id="15"/>
      <w:r w:rsidRPr="006519AA">
        <w:rPr>
          <w:rFonts w:ascii="Times New Roman" w:hAnsi="Times New Roman"/>
          <w:sz w:val="24"/>
        </w:rPr>
        <w:t>at 440-441 [249].</w:t>
      </w:r>
    </w:p>
  </w:footnote>
  <w:footnote w:id="405">
    <w:p w14:paraId="6D385682"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Hellicar </w:t>
      </w:r>
      <w:r w:rsidRPr="006519AA">
        <w:rPr>
          <w:rFonts w:ascii="Times New Roman" w:hAnsi="Times New Roman"/>
          <w:sz w:val="24"/>
        </w:rPr>
        <w:t>(2012) 247 CLR 345 at 413 [168], 432 [232].</w:t>
      </w:r>
    </w:p>
  </w:footnote>
  <w:footnote w:id="406">
    <w:p w14:paraId="255BB65C"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 xml:space="preserve">Hellicar </w:t>
      </w:r>
      <w:r w:rsidRPr="006519AA">
        <w:rPr>
          <w:rFonts w:ascii="Times New Roman" w:hAnsi="Times New Roman"/>
          <w:sz w:val="24"/>
        </w:rPr>
        <w:t xml:space="preserve">(2012) 247 CLR 345 at 413 [168]. </w:t>
      </w:r>
    </w:p>
  </w:footnote>
  <w:footnote w:id="407">
    <w:p w14:paraId="4A6FA816" w14:textId="77777777" w:rsidR="00067C14" w:rsidRPr="006519AA" w:rsidRDefault="00067C14" w:rsidP="006519AA">
      <w:pPr>
        <w:pStyle w:val="FootnoteText"/>
        <w:spacing w:line="280" w:lineRule="exact"/>
        <w:ind w:right="0"/>
        <w:jc w:val="both"/>
        <w:rPr>
          <w:rFonts w:ascii="Times New Roman" w:hAnsi="Times New Roman"/>
          <w:sz w:val="24"/>
        </w:rPr>
      </w:pPr>
      <w:r w:rsidRPr="006519AA">
        <w:rPr>
          <w:rStyle w:val="FootnoteReference"/>
          <w:rFonts w:ascii="Times New Roman" w:hAnsi="Times New Roman"/>
          <w:sz w:val="22"/>
          <w:vertAlign w:val="baseline"/>
        </w:rPr>
        <w:footnoteRef/>
      </w:r>
      <w:r w:rsidRPr="006519AA">
        <w:rPr>
          <w:rFonts w:ascii="Times New Roman" w:hAnsi="Times New Roman"/>
          <w:sz w:val="24"/>
        </w:rPr>
        <w:t xml:space="preserve"> </w:t>
      </w:r>
      <w:r w:rsidRPr="006519AA">
        <w:rPr>
          <w:rFonts w:ascii="Times New Roman" w:hAnsi="Times New Roman"/>
          <w:sz w:val="24"/>
        </w:rPr>
        <w:tab/>
      </w:r>
      <w:r w:rsidRPr="006519AA">
        <w:rPr>
          <w:rFonts w:ascii="Times New Roman" w:hAnsi="Times New Roman"/>
          <w:i/>
          <w:iCs/>
          <w:sz w:val="24"/>
        </w:rPr>
        <w:t>Louth v Diprose</w:t>
      </w:r>
      <w:r w:rsidRPr="006519AA">
        <w:rPr>
          <w:rFonts w:ascii="Times New Roman" w:hAnsi="Times New Roman"/>
          <w:sz w:val="24"/>
        </w:rPr>
        <w:t xml:space="preserve"> (1992) 175 CLR 621 at 633-634.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F78E" w14:textId="77777777" w:rsidR="00B14447" w:rsidRPr="007A3534" w:rsidRDefault="00B14447" w:rsidP="007A35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2477" w14:textId="77777777" w:rsidR="00380D5A" w:rsidRDefault="005D338E" w:rsidP="006519AA">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CD3C638" w14:textId="77777777" w:rsidR="00380D5A" w:rsidRDefault="00380D5A" w:rsidP="006519AA">
    <w:pPr>
      <w:pStyle w:val="Header"/>
      <w:tabs>
        <w:tab w:val="clear" w:pos="4153"/>
        <w:tab w:val="clear" w:pos="8306"/>
        <w:tab w:val="right" w:pos="1304"/>
      </w:tabs>
      <w:spacing w:line="280" w:lineRule="exact"/>
      <w:ind w:firstLine="0"/>
      <w:rPr>
        <w:rFonts w:ascii="Times New Roman" w:hAnsi="Times New Roman"/>
        <w:i/>
        <w:sz w:val="22"/>
      </w:rPr>
    </w:pPr>
  </w:p>
  <w:p w14:paraId="336815C8" w14:textId="77777777" w:rsidR="00380D5A" w:rsidRDefault="005D338E" w:rsidP="006519AA">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B185F6A" w14:textId="77777777" w:rsidR="00380D5A" w:rsidRPr="006519AA" w:rsidRDefault="00380D5A" w:rsidP="006519AA">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23E3" w14:textId="77777777" w:rsidR="00380D5A" w:rsidRDefault="005D338E" w:rsidP="006519AA">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49ABBEBD" w14:textId="77777777" w:rsidR="00380D5A" w:rsidRDefault="00380D5A" w:rsidP="006519AA">
    <w:pPr>
      <w:pStyle w:val="Header"/>
      <w:tabs>
        <w:tab w:val="clear" w:pos="4153"/>
        <w:tab w:val="clear" w:pos="8306"/>
        <w:tab w:val="left" w:pos="7200"/>
        <w:tab w:val="right" w:pos="8504"/>
      </w:tabs>
      <w:spacing w:line="280" w:lineRule="exact"/>
      <w:jc w:val="right"/>
      <w:rPr>
        <w:rFonts w:ascii="Times New Roman" w:hAnsi="Times New Roman"/>
        <w:i/>
        <w:sz w:val="22"/>
      </w:rPr>
    </w:pPr>
  </w:p>
  <w:p w14:paraId="5CC13B7D" w14:textId="77777777" w:rsidR="00380D5A" w:rsidRDefault="005D338E" w:rsidP="006519AA">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C141AA6" w14:textId="77777777" w:rsidR="00380D5A" w:rsidRPr="006519AA" w:rsidRDefault="00380D5A" w:rsidP="006519AA">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082" w14:textId="77777777" w:rsidR="00380D5A" w:rsidRDefault="00380D5A" w:rsidP="006519AA">
    <w:pPr>
      <w:pStyle w:val="Header"/>
      <w:tabs>
        <w:tab w:val="clear" w:pos="4153"/>
        <w:tab w:val="clear" w:pos="8306"/>
        <w:tab w:val="center" w:pos="1134"/>
      </w:tabs>
      <w:spacing w:line="280" w:lineRule="exact"/>
      <w:ind w:firstLine="0"/>
      <w:rPr>
        <w:rFonts w:ascii="Times New Roman" w:hAnsi="Times New Roman"/>
        <w:i/>
        <w:sz w:val="22"/>
      </w:rPr>
    </w:pPr>
  </w:p>
  <w:p w14:paraId="40C7DD59" w14:textId="77777777" w:rsidR="00380D5A" w:rsidRDefault="00380D5A" w:rsidP="006519AA">
    <w:pPr>
      <w:pStyle w:val="Header"/>
      <w:tabs>
        <w:tab w:val="clear" w:pos="4153"/>
        <w:tab w:val="clear" w:pos="8306"/>
        <w:tab w:val="center" w:pos="1134"/>
      </w:tabs>
      <w:spacing w:line="280" w:lineRule="exact"/>
      <w:ind w:firstLine="0"/>
      <w:rPr>
        <w:rFonts w:ascii="Times New Roman" w:hAnsi="Times New Roman"/>
        <w:i/>
        <w:sz w:val="22"/>
      </w:rPr>
    </w:pPr>
  </w:p>
  <w:p w14:paraId="4E837C2B" w14:textId="77777777" w:rsidR="00380D5A" w:rsidRDefault="00380D5A" w:rsidP="006519AA">
    <w:pPr>
      <w:pStyle w:val="Header"/>
      <w:tabs>
        <w:tab w:val="clear" w:pos="4153"/>
        <w:tab w:val="clear" w:pos="8306"/>
        <w:tab w:val="center" w:pos="1134"/>
      </w:tabs>
      <w:spacing w:line="280" w:lineRule="exact"/>
      <w:ind w:firstLine="0"/>
      <w:rPr>
        <w:rFonts w:ascii="Times New Roman" w:hAnsi="Times New Roman"/>
        <w:i/>
        <w:sz w:val="22"/>
      </w:rPr>
    </w:pPr>
  </w:p>
  <w:p w14:paraId="253F597C" w14:textId="77777777" w:rsidR="00380D5A" w:rsidRPr="006519AA" w:rsidRDefault="00380D5A" w:rsidP="006519AA">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1F09" w14:textId="77777777" w:rsidR="00EA11B6" w:rsidRPr="00EA11B6" w:rsidRDefault="00EA11B6" w:rsidP="00EA1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38F6" w14:textId="3FF098BC" w:rsidR="00B14447" w:rsidRPr="007A3534" w:rsidRDefault="007A3534" w:rsidP="007A3534">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FAC" w14:textId="7D2E9A92" w:rsidR="00962C32" w:rsidRPr="007A3534" w:rsidRDefault="00962C32" w:rsidP="007A3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7789" w14:textId="77777777" w:rsidR="007A3534" w:rsidRPr="00B14447" w:rsidRDefault="007A3534" w:rsidP="00B14447">
    <w:pPr>
      <w:pStyle w:val="Header"/>
      <w:tabs>
        <w:tab w:val="clear" w:pos="4153"/>
        <w:tab w:val="clear" w:pos="8306"/>
        <w:tab w:val="right" w:pos="1304"/>
      </w:tabs>
      <w:spacing w:line="280" w:lineRule="exact"/>
      <w:ind w:firstLine="0"/>
      <w:rPr>
        <w:rFonts w:ascii="Times New Roman" w:hAnsi="Times New Roman"/>
        <w:i/>
        <w:sz w:val="22"/>
      </w:rPr>
    </w:pPr>
    <w:r w:rsidRPr="00B14447">
      <w:rPr>
        <w:rFonts w:ascii="Times New Roman" w:hAnsi="Times New Roman"/>
        <w:i/>
        <w:sz w:val="22"/>
      </w:rPr>
      <w:t>Gordon</w:t>
    </w:r>
    <w:r w:rsidRPr="00B14447">
      <w:rPr>
        <w:rFonts w:ascii="Times New Roman" w:hAnsi="Times New Roman"/>
        <w:i/>
        <w:sz w:val="22"/>
      </w:rPr>
      <w:tab/>
      <w:t>A-CJ</w:t>
    </w:r>
  </w:p>
  <w:p w14:paraId="43A0BAE1" w14:textId="77777777" w:rsidR="007A3534" w:rsidRPr="00B14447" w:rsidRDefault="007A3534" w:rsidP="00B14447">
    <w:pPr>
      <w:pStyle w:val="Header"/>
      <w:tabs>
        <w:tab w:val="clear" w:pos="4153"/>
        <w:tab w:val="clear" w:pos="8306"/>
        <w:tab w:val="right" w:pos="1304"/>
      </w:tabs>
      <w:spacing w:line="280" w:lineRule="exact"/>
      <w:ind w:firstLine="0"/>
      <w:rPr>
        <w:rFonts w:ascii="Times New Roman" w:hAnsi="Times New Roman"/>
        <w:i/>
        <w:sz w:val="22"/>
      </w:rPr>
    </w:pPr>
    <w:r w:rsidRPr="00B14447">
      <w:rPr>
        <w:rFonts w:ascii="Times New Roman" w:hAnsi="Times New Roman"/>
        <w:i/>
        <w:sz w:val="22"/>
      </w:rPr>
      <w:t>Edelman</w:t>
    </w:r>
    <w:r w:rsidRPr="00B14447">
      <w:rPr>
        <w:rFonts w:ascii="Times New Roman" w:hAnsi="Times New Roman"/>
        <w:i/>
        <w:sz w:val="22"/>
      </w:rPr>
      <w:tab/>
      <w:t>J</w:t>
    </w:r>
  </w:p>
  <w:p w14:paraId="082E2A2D" w14:textId="77777777" w:rsidR="007A3534" w:rsidRDefault="007A3534" w:rsidP="00B1444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6E14AB0E" w14:textId="77777777" w:rsidR="007A3534" w:rsidRDefault="007A3534" w:rsidP="00B14447">
    <w:pPr>
      <w:pStyle w:val="Header"/>
      <w:tabs>
        <w:tab w:val="clear" w:pos="4153"/>
        <w:tab w:val="clear" w:pos="8306"/>
        <w:tab w:val="right" w:pos="1304"/>
      </w:tabs>
      <w:spacing w:line="280" w:lineRule="exact"/>
      <w:ind w:firstLine="0"/>
      <w:rPr>
        <w:rFonts w:ascii="Times New Roman" w:hAnsi="Times New Roman"/>
        <w:i/>
        <w:sz w:val="22"/>
      </w:rPr>
    </w:pPr>
  </w:p>
  <w:p w14:paraId="29F32675" w14:textId="77777777" w:rsidR="007A3534" w:rsidRDefault="007A3534" w:rsidP="00B1444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0171F68" w14:textId="77777777" w:rsidR="007A3534" w:rsidRPr="00B14447" w:rsidRDefault="007A3534" w:rsidP="00B1444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6D54" w14:textId="77777777" w:rsidR="007A3534" w:rsidRPr="00B14447" w:rsidRDefault="007A3534" w:rsidP="00B14447">
    <w:pPr>
      <w:pStyle w:val="Header"/>
      <w:tabs>
        <w:tab w:val="clear" w:pos="4153"/>
        <w:tab w:val="clear" w:pos="8306"/>
        <w:tab w:val="left" w:pos="7200"/>
        <w:tab w:val="right" w:pos="8504"/>
      </w:tabs>
      <w:spacing w:line="280" w:lineRule="exact"/>
      <w:jc w:val="right"/>
      <w:rPr>
        <w:rFonts w:ascii="Times New Roman" w:hAnsi="Times New Roman"/>
        <w:i/>
        <w:sz w:val="22"/>
      </w:rPr>
    </w:pPr>
    <w:r w:rsidRPr="00B14447">
      <w:rPr>
        <w:rFonts w:ascii="Times New Roman" w:hAnsi="Times New Roman"/>
        <w:i/>
        <w:sz w:val="22"/>
      </w:rPr>
      <w:tab/>
      <w:t>Gordon</w:t>
    </w:r>
    <w:r w:rsidRPr="00B14447">
      <w:rPr>
        <w:rFonts w:ascii="Times New Roman" w:hAnsi="Times New Roman"/>
        <w:i/>
        <w:sz w:val="22"/>
      </w:rPr>
      <w:tab/>
      <w:t>A-CJ</w:t>
    </w:r>
  </w:p>
  <w:p w14:paraId="62291617" w14:textId="77777777" w:rsidR="007A3534" w:rsidRPr="00B14447" w:rsidRDefault="007A3534" w:rsidP="00B14447">
    <w:pPr>
      <w:pStyle w:val="Header"/>
      <w:tabs>
        <w:tab w:val="clear" w:pos="4153"/>
        <w:tab w:val="clear" w:pos="8306"/>
        <w:tab w:val="left" w:pos="7200"/>
        <w:tab w:val="right" w:pos="8504"/>
      </w:tabs>
      <w:spacing w:line="280" w:lineRule="exact"/>
      <w:jc w:val="right"/>
      <w:rPr>
        <w:rFonts w:ascii="Times New Roman" w:hAnsi="Times New Roman"/>
        <w:i/>
        <w:sz w:val="22"/>
      </w:rPr>
    </w:pPr>
    <w:r w:rsidRPr="00B14447">
      <w:rPr>
        <w:rFonts w:ascii="Times New Roman" w:hAnsi="Times New Roman"/>
        <w:i/>
        <w:sz w:val="22"/>
      </w:rPr>
      <w:tab/>
      <w:t>Edelman</w:t>
    </w:r>
    <w:r w:rsidRPr="00B14447">
      <w:rPr>
        <w:rFonts w:ascii="Times New Roman" w:hAnsi="Times New Roman"/>
        <w:i/>
        <w:sz w:val="22"/>
      </w:rPr>
      <w:tab/>
      <w:t>J</w:t>
    </w:r>
  </w:p>
  <w:p w14:paraId="5D4163D2" w14:textId="77777777" w:rsidR="007A3534" w:rsidRDefault="007A3534" w:rsidP="00B1444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309F459C" w14:textId="77777777" w:rsidR="007A3534" w:rsidRDefault="007A3534" w:rsidP="00B14447">
    <w:pPr>
      <w:pStyle w:val="Header"/>
      <w:tabs>
        <w:tab w:val="clear" w:pos="4153"/>
        <w:tab w:val="clear" w:pos="8306"/>
        <w:tab w:val="left" w:pos="7200"/>
        <w:tab w:val="right" w:pos="8504"/>
      </w:tabs>
      <w:spacing w:line="280" w:lineRule="exact"/>
      <w:jc w:val="right"/>
      <w:rPr>
        <w:rFonts w:ascii="Times New Roman" w:hAnsi="Times New Roman"/>
        <w:i/>
        <w:sz w:val="22"/>
      </w:rPr>
    </w:pPr>
  </w:p>
  <w:p w14:paraId="693E2EBC" w14:textId="77777777" w:rsidR="007A3534" w:rsidRDefault="007A3534" w:rsidP="00B1444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193E3ED" w14:textId="77777777" w:rsidR="007A3534" w:rsidRPr="00B14447" w:rsidRDefault="007A3534" w:rsidP="00B1444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1C73" w14:textId="77777777" w:rsidR="007A3534"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p w14:paraId="1F065D1E" w14:textId="77777777" w:rsidR="007A3534"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p w14:paraId="522F0C9B" w14:textId="77777777" w:rsidR="007A3534"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p w14:paraId="720385CD" w14:textId="77777777" w:rsidR="007A3534"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p w14:paraId="0C30EE1B" w14:textId="77777777" w:rsidR="007A3534"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p w14:paraId="4C2B3330" w14:textId="77777777" w:rsidR="007A3534" w:rsidRPr="00B14447" w:rsidRDefault="007A3534" w:rsidP="00B14447">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9C87" w14:textId="77777777" w:rsidR="00ED45FE" w:rsidRDefault="005D338E" w:rsidP="00AB1A14">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7083AA2D" w14:textId="77777777" w:rsidR="00ED45FE" w:rsidRDefault="00ED45FE" w:rsidP="00AB1A14">
    <w:pPr>
      <w:pStyle w:val="Header"/>
      <w:tabs>
        <w:tab w:val="clear" w:pos="4153"/>
        <w:tab w:val="clear" w:pos="8306"/>
        <w:tab w:val="right" w:pos="1304"/>
      </w:tabs>
      <w:spacing w:line="280" w:lineRule="exact"/>
      <w:ind w:firstLine="0"/>
      <w:rPr>
        <w:rFonts w:ascii="Times New Roman" w:hAnsi="Times New Roman"/>
        <w:i/>
        <w:sz w:val="22"/>
      </w:rPr>
    </w:pPr>
  </w:p>
  <w:p w14:paraId="062476F7" w14:textId="77777777" w:rsidR="00ED45FE" w:rsidRDefault="005D338E" w:rsidP="00AB1A14">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FF48386" w14:textId="77777777" w:rsidR="00ED45FE" w:rsidRPr="00AB1A14" w:rsidRDefault="00ED45FE" w:rsidP="00AB1A14">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364A" w14:textId="77777777" w:rsidR="00ED45FE" w:rsidRDefault="005D338E" w:rsidP="00AB1A14">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16DA9DC9" w14:textId="77777777" w:rsidR="00ED45FE" w:rsidRDefault="00ED45FE" w:rsidP="00AB1A14">
    <w:pPr>
      <w:pStyle w:val="Header"/>
      <w:tabs>
        <w:tab w:val="clear" w:pos="4153"/>
        <w:tab w:val="clear" w:pos="8306"/>
        <w:tab w:val="left" w:pos="7200"/>
        <w:tab w:val="right" w:pos="8504"/>
      </w:tabs>
      <w:spacing w:line="280" w:lineRule="exact"/>
      <w:jc w:val="right"/>
      <w:rPr>
        <w:rFonts w:ascii="Times New Roman" w:hAnsi="Times New Roman"/>
        <w:i/>
        <w:sz w:val="22"/>
      </w:rPr>
    </w:pPr>
  </w:p>
  <w:p w14:paraId="5BE3E6E2" w14:textId="77777777" w:rsidR="00ED45FE" w:rsidRDefault="005D338E" w:rsidP="00AB1A14">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11D5526" w14:textId="77777777" w:rsidR="00ED45FE" w:rsidRPr="00AB1A14" w:rsidRDefault="00ED45FE" w:rsidP="00AB1A14">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5BE6" w14:textId="77777777" w:rsidR="00ED45FE" w:rsidRDefault="00ED45FE" w:rsidP="00AB1A14">
    <w:pPr>
      <w:pStyle w:val="Header"/>
      <w:tabs>
        <w:tab w:val="clear" w:pos="4153"/>
        <w:tab w:val="clear" w:pos="8306"/>
        <w:tab w:val="center" w:pos="1134"/>
      </w:tabs>
      <w:spacing w:line="280" w:lineRule="exact"/>
      <w:ind w:firstLine="0"/>
      <w:rPr>
        <w:rFonts w:ascii="Times New Roman" w:hAnsi="Times New Roman"/>
        <w:i/>
        <w:sz w:val="22"/>
      </w:rPr>
    </w:pPr>
  </w:p>
  <w:p w14:paraId="598A7A78" w14:textId="77777777" w:rsidR="00ED45FE" w:rsidRDefault="00ED45FE" w:rsidP="00AB1A14">
    <w:pPr>
      <w:pStyle w:val="Header"/>
      <w:tabs>
        <w:tab w:val="clear" w:pos="4153"/>
        <w:tab w:val="clear" w:pos="8306"/>
        <w:tab w:val="center" w:pos="1134"/>
      </w:tabs>
      <w:spacing w:line="280" w:lineRule="exact"/>
      <w:ind w:firstLine="0"/>
      <w:rPr>
        <w:rFonts w:ascii="Times New Roman" w:hAnsi="Times New Roman"/>
        <w:i/>
        <w:sz w:val="22"/>
      </w:rPr>
    </w:pPr>
  </w:p>
  <w:p w14:paraId="3089276F" w14:textId="77777777" w:rsidR="00ED45FE" w:rsidRDefault="00ED45FE" w:rsidP="00AB1A14">
    <w:pPr>
      <w:pStyle w:val="Header"/>
      <w:tabs>
        <w:tab w:val="clear" w:pos="4153"/>
        <w:tab w:val="clear" w:pos="8306"/>
        <w:tab w:val="center" w:pos="1134"/>
      </w:tabs>
      <w:spacing w:line="280" w:lineRule="exact"/>
      <w:ind w:firstLine="0"/>
      <w:rPr>
        <w:rFonts w:ascii="Times New Roman" w:hAnsi="Times New Roman"/>
        <w:i/>
        <w:sz w:val="22"/>
      </w:rPr>
    </w:pPr>
  </w:p>
  <w:p w14:paraId="18BA9F00" w14:textId="77777777" w:rsidR="00ED45FE" w:rsidRPr="00AB1A14" w:rsidRDefault="00ED45FE" w:rsidP="00AB1A14">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3DD43F4"/>
    <w:multiLevelType w:val="hybridMultilevel"/>
    <w:tmpl w:val="3A80CC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8223490"/>
    <w:multiLevelType w:val="hybridMultilevel"/>
    <w:tmpl w:val="4CFCBCF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9" w15:restartNumberingAfterBreak="0">
    <w:nsid w:val="73AD7EE8"/>
    <w:multiLevelType w:val="hybridMultilevel"/>
    <w:tmpl w:val="8C401E6C"/>
    <w:lvl w:ilvl="0" w:tplc="386CFBE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789B2087"/>
    <w:multiLevelType w:val="hybridMultilevel"/>
    <w:tmpl w:val="2BC0D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0232ED"/>
    <w:multiLevelType w:val="hybridMultilevel"/>
    <w:tmpl w:val="E1C4D27A"/>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2"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22"/>
  </w:num>
  <w:num w:numId="4" w16cid:durableId="1020468450">
    <w:abstractNumId w:val="13"/>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6"/>
  </w:num>
  <w:num w:numId="18" w16cid:durableId="586305847">
    <w:abstractNumId w:val="11"/>
  </w:num>
  <w:num w:numId="19" w16cid:durableId="650985869">
    <w:abstractNumId w:val="11"/>
  </w:num>
  <w:num w:numId="20" w16cid:durableId="2133816320">
    <w:abstractNumId w:val="18"/>
  </w:num>
  <w:num w:numId="21" w16cid:durableId="179011101">
    <w:abstractNumId w:val="20"/>
  </w:num>
  <w:num w:numId="22" w16cid:durableId="650523231">
    <w:abstractNumId w:val="21"/>
  </w:num>
  <w:num w:numId="23" w16cid:durableId="11901456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0031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202685">
    <w:abstractNumId w:val="15"/>
  </w:num>
  <w:num w:numId="26" w16cid:durableId="5476919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6D"/>
    <w:rsid w:val="00000019"/>
    <w:rsid w:val="000004C2"/>
    <w:rsid w:val="00000617"/>
    <w:rsid w:val="000008EC"/>
    <w:rsid w:val="0000161B"/>
    <w:rsid w:val="00001810"/>
    <w:rsid w:val="0000187D"/>
    <w:rsid w:val="00001E1F"/>
    <w:rsid w:val="00002069"/>
    <w:rsid w:val="00002786"/>
    <w:rsid w:val="000027CE"/>
    <w:rsid w:val="0000291D"/>
    <w:rsid w:val="00002CE6"/>
    <w:rsid w:val="0000316A"/>
    <w:rsid w:val="00003194"/>
    <w:rsid w:val="000032F6"/>
    <w:rsid w:val="00003395"/>
    <w:rsid w:val="00003B2F"/>
    <w:rsid w:val="00004308"/>
    <w:rsid w:val="00004329"/>
    <w:rsid w:val="000047D2"/>
    <w:rsid w:val="000049B7"/>
    <w:rsid w:val="00004AC2"/>
    <w:rsid w:val="00004B41"/>
    <w:rsid w:val="00004C5D"/>
    <w:rsid w:val="000056B6"/>
    <w:rsid w:val="00005D9B"/>
    <w:rsid w:val="000070D8"/>
    <w:rsid w:val="00007C74"/>
    <w:rsid w:val="00007F30"/>
    <w:rsid w:val="0001010E"/>
    <w:rsid w:val="00010401"/>
    <w:rsid w:val="000107B4"/>
    <w:rsid w:val="00010E67"/>
    <w:rsid w:val="000111AF"/>
    <w:rsid w:val="000112A0"/>
    <w:rsid w:val="00011FCE"/>
    <w:rsid w:val="0001220F"/>
    <w:rsid w:val="00012868"/>
    <w:rsid w:val="000132F2"/>
    <w:rsid w:val="000141CA"/>
    <w:rsid w:val="000145B7"/>
    <w:rsid w:val="00014AAF"/>
    <w:rsid w:val="00014B34"/>
    <w:rsid w:val="00014FB9"/>
    <w:rsid w:val="00015328"/>
    <w:rsid w:val="00015685"/>
    <w:rsid w:val="00016088"/>
    <w:rsid w:val="0001616E"/>
    <w:rsid w:val="000163A2"/>
    <w:rsid w:val="000168C9"/>
    <w:rsid w:val="0001690E"/>
    <w:rsid w:val="00016B9D"/>
    <w:rsid w:val="00016C20"/>
    <w:rsid w:val="00016DBB"/>
    <w:rsid w:val="00017144"/>
    <w:rsid w:val="0001718A"/>
    <w:rsid w:val="000172C8"/>
    <w:rsid w:val="000175D6"/>
    <w:rsid w:val="00017671"/>
    <w:rsid w:val="00017B6C"/>
    <w:rsid w:val="00017D58"/>
    <w:rsid w:val="0002001A"/>
    <w:rsid w:val="000202EF"/>
    <w:rsid w:val="00020557"/>
    <w:rsid w:val="00020572"/>
    <w:rsid w:val="00020843"/>
    <w:rsid w:val="00020E24"/>
    <w:rsid w:val="00020ECC"/>
    <w:rsid w:val="00021077"/>
    <w:rsid w:val="0002137E"/>
    <w:rsid w:val="0002213B"/>
    <w:rsid w:val="000223FF"/>
    <w:rsid w:val="00022804"/>
    <w:rsid w:val="00022918"/>
    <w:rsid w:val="00022A53"/>
    <w:rsid w:val="000238E1"/>
    <w:rsid w:val="0002395D"/>
    <w:rsid w:val="000239B0"/>
    <w:rsid w:val="000239F3"/>
    <w:rsid w:val="0002402C"/>
    <w:rsid w:val="000245D2"/>
    <w:rsid w:val="00024C1A"/>
    <w:rsid w:val="000250AF"/>
    <w:rsid w:val="00025490"/>
    <w:rsid w:val="0002561E"/>
    <w:rsid w:val="000266CA"/>
    <w:rsid w:val="000268E1"/>
    <w:rsid w:val="00026B71"/>
    <w:rsid w:val="000270FF"/>
    <w:rsid w:val="00027188"/>
    <w:rsid w:val="00027389"/>
    <w:rsid w:val="00027573"/>
    <w:rsid w:val="000276D1"/>
    <w:rsid w:val="000276F2"/>
    <w:rsid w:val="000278EF"/>
    <w:rsid w:val="00027978"/>
    <w:rsid w:val="00027DC1"/>
    <w:rsid w:val="000305C2"/>
    <w:rsid w:val="000306B1"/>
    <w:rsid w:val="000309AE"/>
    <w:rsid w:val="00030F87"/>
    <w:rsid w:val="0003170F"/>
    <w:rsid w:val="00031A4F"/>
    <w:rsid w:val="00031AC4"/>
    <w:rsid w:val="00031E6A"/>
    <w:rsid w:val="00031E8D"/>
    <w:rsid w:val="000320A2"/>
    <w:rsid w:val="0003236F"/>
    <w:rsid w:val="000328E6"/>
    <w:rsid w:val="00032BD9"/>
    <w:rsid w:val="00032CF7"/>
    <w:rsid w:val="00032D73"/>
    <w:rsid w:val="00032F86"/>
    <w:rsid w:val="00033270"/>
    <w:rsid w:val="000332D7"/>
    <w:rsid w:val="000334F1"/>
    <w:rsid w:val="00033B89"/>
    <w:rsid w:val="00033D5F"/>
    <w:rsid w:val="00034165"/>
    <w:rsid w:val="000343C2"/>
    <w:rsid w:val="0003487A"/>
    <w:rsid w:val="00034B85"/>
    <w:rsid w:val="00034ED5"/>
    <w:rsid w:val="00034EE8"/>
    <w:rsid w:val="00034F52"/>
    <w:rsid w:val="0003548C"/>
    <w:rsid w:val="0003575A"/>
    <w:rsid w:val="000357FE"/>
    <w:rsid w:val="000358B4"/>
    <w:rsid w:val="00035CFB"/>
    <w:rsid w:val="000360EB"/>
    <w:rsid w:val="0003613D"/>
    <w:rsid w:val="00036468"/>
    <w:rsid w:val="00036552"/>
    <w:rsid w:val="00036813"/>
    <w:rsid w:val="000369B1"/>
    <w:rsid w:val="00036E0D"/>
    <w:rsid w:val="0003704A"/>
    <w:rsid w:val="00037762"/>
    <w:rsid w:val="00037807"/>
    <w:rsid w:val="000379DC"/>
    <w:rsid w:val="00037A5F"/>
    <w:rsid w:val="00037D66"/>
    <w:rsid w:val="00037D87"/>
    <w:rsid w:val="00037ED5"/>
    <w:rsid w:val="0004001E"/>
    <w:rsid w:val="000401DD"/>
    <w:rsid w:val="00040438"/>
    <w:rsid w:val="00040476"/>
    <w:rsid w:val="00040A5A"/>
    <w:rsid w:val="00040E38"/>
    <w:rsid w:val="0004130D"/>
    <w:rsid w:val="00041538"/>
    <w:rsid w:val="000418D3"/>
    <w:rsid w:val="000421E2"/>
    <w:rsid w:val="0004256C"/>
    <w:rsid w:val="00042640"/>
    <w:rsid w:val="0004264C"/>
    <w:rsid w:val="00042DE6"/>
    <w:rsid w:val="00042EF3"/>
    <w:rsid w:val="000433D9"/>
    <w:rsid w:val="00043614"/>
    <w:rsid w:val="00043D2C"/>
    <w:rsid w:val="00044488"/>
    <w:rsid w:val="00044B2B"/>
    <w:rsid w:val="00044BA3"/>
    <w:rsid w:val="00044CF6"/>
    <w:rsid w:val="0004555B"/>
    <w:rsid w:val="000456F8"/>
    <w:rsid w:val="0004592E"/>
    <w:rsid w:val="00045989"/>
    <w:rsid w:val="000460D4"/>
    <w:rsid w:val="0004680D"/>
    <w:rsid w:val="00046812"/>
    <w:rsid w:val="000471E1"/>
    <w:rsid w:val="000473C5"/>
    <w:rsid w:val="000476CF"/>
    <w:rsid w:val="00047B16"/>
    <w:rsid w:val="00047C5F"/>
    <w:rsid w:val="00047C6D"/>
    <w:rsid w:val="00051654"/>
    <w:rsid w:val="0005189C"/>
    <w:rsid w:val="00051908"/>
    <w:rsid w:val="000519EE"/>
    <w:rsid w:val="0005235C"/>
    <w:rsid w:val="000528B5"/>
    <w:rsid w:val="00052B0E"/>
    <w:rsid w:val="00052DAA"/>
    <w:rsid w:val="000531BA"/>
    <w:rsid w:val="000539FF"/>
    <w:rsid w:val="00053C4C"/>
    <w:rsid w:val="0005456C"/>
    <w:rsid w:val="000546D7"/>
    <w:rsid w:val="000550A9"/>
    <w:rsid w:val="0005543F"/>
    <w:rsid w:val="000556E3"/>
    <w:rsid w:val="00055A80"/>
    <w:rsid w:val="00055ACD"/>
    <w:rsid w:val="00055ADB"/>
    <w:rsid w:val="000569BD"/>
    <w:rsid w:val="00056EEC"/>
    <w:rsid w:val="00056F27"/>
    <w:rsid w:val="00057139"/>
    <w:rsid w:val="00057293"/>
    <w:rsid w:val="000573AF"/>
    <w:rsid w:val="00057A73"/>
    <w:rsid w:val="00057C20"/>
    <w:rsid w:val="000604D8"/>
    <w:rsid w:val="00060BCE"/>
    <w:rsid w:val="00060EB4"/>
    <w:rsid w:val="0006113F"/>
    <w:rsid w:val="00061328"/>
    <w:rsid w:val="000613CD"/>
    <w:rsid w:val="0006169E"/>
    <w:rsid w:val="000618FB"/>
    <w:rsid w:val="00061B5E"/>
    <w:rsid w:val="00061D88"/>
    <w:rsid w:val="00061F86"/>
    <w:rsid w:val="00062211"/>
    <w:rsid w:val="000626FD"/>
    <w:rsid w:val="0006401F"/>
    <w:rsid w:val="00064107"/>
    <w:rsid w:val="0006432B"/>
    <w:rsid w:val="00064451"/>
    <w:rsid w:val="00064934"/>
    <w:rsid w:val="00064A76"/>
    <w:rsid w:val="00064B0A"/>
    <w:rsid w:val="00064F3E"/>
    <w:rsid w:val="000653D4"/>
    <w:rsid w:val="000653DE"/>
    <w:rsid w:val="00065761"/>
    <w:rsid w:val="000658EF"/>
    <w:rsid w:val="00065972"/>
    <w:rsid w:val="00065B0C"/>
    <w:rsid w:val="000661A5"/>
    <w:rsid w:val="000661AF"/>
    <w:rsid w:val="00066296"/>
    <w:rsid w:val="00066362"/>
    <w:rsid w:val="00066BF3"/>
    <w:rsid w:val="0006751D"/>
    <w:rsid w:val="0006753B"/>
    <w:rsid w:val="00067770"/>
    <w:rsid w:val="00067C14"/>
    <w:rsid w:val="00067C77"/>
    <w:rsid w:val="0007039C"/>
    <w:rsid w:val="00070F98"/>
    <w:rsid w:val="00071C35"/>
    <w:rsid w:val="00072059"/>
    <w:rsid w:val="000721C9"/>
    <w:rsid w:val="000721FA"/>
    <w:rsid w:val="00072AB0"/>
    <w:rsid w:val="00073792"/>
    <w:rsid w:val="00073ECE"/>
    <w:rsid w:val="0007454C"/>
    <w:rsid w:val="00075389"/>
    <w:rsid w:val="000754F4"/>
    <w:rsid w:val="00075B41"/>
    <w:rsid w:val="00075F50"/>
    <w:rsid w:val="00075F70"/>
    <w:rsid w:val="00076401"/>
    <w:rsid w:val="00076A7F"/>
    <w:rsid w:val="00076B9A"/>
    <w:rsid w:val="00077049"/>
    <w:rsid w:val="000773A2"/>
    <w:rsid w:val="000775BB"/>
    <w:rsid w:val="00077C32"/>
    <w:rsid w:val="00080A89"/>
    <w:rsid w:val="00080B58"/>
    <w:rsid w:val="00080CDD"/>
    <w:rsid w:val="00080D77"/>
    <w:rsid w:val="00082487"/>
    <w:rsid w:val="00082523"/>
    <w:rsid w:val="000826D4"/>
    <w:rsid w:val="00083142"/>
    <w:rsid w:val="00083164"/>
    <w:rsid w:val="000835C8"/>
    <w:rsid w:val="00083A22"/>
    <w:rsid w:val="00083E97"/>
    <w:rsid w:val="00083F1D"/>
    <w:rsid w:val="000842AF"/>
    <w:rsid w:val="0008435D"/>
    <w:rsid w:val="000845A8"/>
    <w:rsid w:val="000845CA"/>
    <w:rsid w:val="00084879"/>
    <w:rsid w:val="000849D7"/>
    <w:rsid w:val="00084CD0"/>
    <w:rsid w:val="00084E83"/>
    <w:rsid w:val="0008503E"/>
    <w:rsid w:val="0008512D"/>
    <w:rsid w:val="0008558C"/>
    <w:rsid w:val="00085F13"/>
    <w:rsid w:val="000865DE"/>
    <w:rsid w:val="000868FF"/>
    <w:rsid w:val="000870FA"/>
    <w:rsid w:val="000871E5"/>
    <w:rsid w:val="00087269"/>
    <w:rsid w:val="000874D4"/>
    <w:rsid w:val="00087597"/>
    <w:rsid w:val="00087A98"/>
    <w:rsid w:val="00090684"/>
    <w:rsid w:val="00090809"/>
    <w:rsid w:val="000908E3"/>
    <w:rsid w:val="00090970"/>
    <w:rsid w:val="00090983"/>
    <w:rsid w:val="00090FB7"/>
    <w:rsid w:val="000912E4"/>
    <w:rsid w:val="00091733"/>
    <w:rsid w:val="000917DB"/>
    <w:rsid w:val="000918ED"/>
    <w:rsid w:val="00091A0A"/>
    <w:rsid w:val="00092766"/>
    <w:rsid w:val="000931B3"/>
    <w:rsid w:val="00093534"/>
    <w:rsid w:val="00093ADA"/>
    <w:rsid w:val="00093B7E"/>
    <w:rsid w:val="00093C67"/>
    <w:rsid w:val="00093E65"/>
    <w:rsid w:val="00093F20"/>
    <w:rsid w:val="00095138"/>
    <w:rsid w:val="000951AC"/>
    <w:rsid w:val="000954FB"/>
    <w:rsid w:val="00095A90"/>
    <w:rsid w:val="00095D3F"/>
    <w:rsid w:val="00096201"/>
    <w:rsid w:val="0009638D"/>
    <w:rsid w:val="000966CF"/>
    <w:rsid w:val="00096973"/>
    <w:rsid w:val="00096E4B"/>
    <w:rsid w:val="00096F54"/>
    <w:rsid w:val="0009705B"/>
    <w:rsid w:val="0009716B"/>
    <w:rsid w:val="00097946"/>
    <w:rsid w:val="00097BE3"/>
    <w:rsid w:val="000A0173"/>
    <w:rsid w:val="000A04C9"/>
    <w:rsid w:val="000A06FA"/>
    <w:rsid w:val="000A0881"/>
    <w:rsid w:val="000A0AD9"/>
    <w:rsid w:val="000A1158"/>
    <w:rsid w:val="000A21B3"/>
    <w:rsid w:val="000A2472"/>
    <w:rsid w:val="000A28D4"/>
    <w:rsid w:val="000A2EB4"/>
    <w:rsid w:val="000A312B"/>
    <w:rsid w:val="000A3185"/>
    <w:rsid w:val="000A3340"/>
    <w:rsid w:val="000A377E"/>
    <w:rsid w:val="000A3954"/>
    <w:rsid w:val="000A3DA3"/>
    <w:rsid w:val="000A4008"/>
    <w:rsid w:val="000A402B"/>
    <w:rsid w:val="000A4322"/>
    <w:rsid w:val="000A469E"/>
    <w:rsid w:val="000A4933"/>
    <w:rsid w:val="000A4B6A"/>
    <w:rsid w:val="000A500D"/>
    <w:rsid w:val="000A5011"/>
    <w:rsid w:val="000A5278"/>
    <w:rsid w:val="000A54D5"/>
    <w:rsid w:val="000A56B1"/>
    <w:rsid w:val="000A61C2"/>
    <w:rsid w:val="000A63C6"/>
    <w:rsid w:val="000A64E3"/>
    <w:rsid w:val="000A7335"/>
    <w:rsid w:val="000A78C4"/>
    <w:rsid w:val="000A7B4A"/>
    <w:rsid w:val="000A7B70"/>
    <w:rsid w:val="000B0140"/>
    <w:rsid w:val="000B0E42"/>
    <w:rsid w:val="000B126E"/>
    <w:rsid w:val="000B1570"/>
    <w:rsid w:val="000B1C6E"/>
    <w:rsid w:val="000B1DDF"/>
    <w:rsid w:val="000B2B2E"/>
    <w:rsid w:val="000B2E36"/>
    <w:rsid w:val="000B3436"/>
    <w:rsid w:val="000B3D43"/>
    <w:rsid w:val="000B4141"/>
    <w:rsid w:val="000B4281"/>
    <w:rsid w:val="000B4630"/>
    <w:rsid w:val="000B497F"/>
    <w:rsid w:val="000B5628"/>
    <w:rsid w:val="000B59C3"/>
    <w:rsid w:val="000B59E0"/>
    <w:rsid w:val="000B5BFB"/>
    <w:rsid w:val="000B6182"/>
    <w:rsid w:val="000B62E4"/>
    <w:rsid w:val="000B6D37"/>
    <w:rsid w:val="000B6D83"/>
    <w:rsid w:val="000B6E94"/>
    <w:rsid w:val="000B710D"/>
    <w:rsid w:val="000B7558"/>
    <w:rsid w:val="000B78F3"/>
    <w:rsid w:val="000B7B11"/>
    <w:rsid w:val="000B7E73"/>
    <w:rsid w:val="000C04DC"/>
    <w:rsid w:val="000C06A5"/>
    <w:rsid w:val="000C07E2"/>
    <w:rsid w:val="000C08F8"/>
    <w:rsid w:val="000C0B1A"/>
    <w:rsid w:val="000C0C6F"/>
    <w:rsid w:val="000C0D98"/>
    <w:rsid w:val="000C2C4A"/>
    <w:rsid w:val="000C365F"/>
    <w:rsid w:val="000C366B"/>
    <w:rsid w:val="000C38E4"/>
    <w:rsid w:val="000C440C"/>
    <w:rsid w:val="000C4A63"/>
    <w:rsid w:val="000C4B00"/>
    <w:rsid w:val="000C4C56"/>
    <w:rsid w:val="000C52B0"/>
    <w:rsid w:val="000C5A4F"/>
    <w:rsid w:val="000C6972"/>
    <w:rsid w:val="000C6C77"/>
    <w:rsid w:val="000C6F98"/>
    <w:rsid w:val="000C7D8B"/>
    <w:rsid w:val="000D0256"/>
    <w:rsid w:val="000D053E"/>
    <w:rsid w:val="000D0764"/>
    <w:rsid w:val="000D07D0"/>
    <w:rsid w:val="000D0819"/>
    <w:rsid w:val="000D083A"/>
    <w:rsid w:val="000D0D40"/>
    <w:rsid w:val="000D122D"/>
    <w:rsid w:val="000D13B6"/>
    <w:rsid w:val="000D18F1"/>
    <w:rsid w:val="000D1EDC"/>
    <w:rsid w:val="000D1F0D"/>
    <w:rsid w:val="000D1F31"/>
    <w:rsid w:val="000D222D"/>
    <w:rsid w:val="000D25E6"/>
    <w:rsid w:val="000D2D56"/>
    <w:rsid w:val="000D3360"/>
    <w:rsid w:val="000D3F42"/>
    <w:rsid w:val="000D4221"/>
    <w:rsid w:val="000D4C05"/>
    <w:rsid w:val="000D53C8"/>
    <w:rsid w:val="000D604C"/>
    <w:rsid w:val="000D6271"/>
    <w:rsid w:val="000D6991"/>
    <w:rsid w:val="000D6BCF"/>
    <w:rsid w:val="000D74E3"/>
    <w:rsid w:val="000D7B47"/>
    <w:rsid w:val="000D7E21"/>
    <w:rsid w:val="000D7FE2"/>
    <w:rsid w:val="000E05AC"/>
    <w:rsid w:val="000E0C03"/>
    <w:rsid w:val="000E1549"/>
    <w:rsid w:val="000E1922"/>
    <w:rsid w:val="000E1D93"/>
    <w:rsid w:val="000E1F7D"/>
    <w:rsid w:val="000E207F"/>
    <w:rsid w:val="000E2822"/>
    <w:rsid w:val="000E3103"/>
    <w:rsid w:val="000E3215"/>
    <w:rsid w:val="000E326F"/>
    <w:rsid w:val="000E33BF"/>
    <w:rsid w:val="000E34E7"/>
    <w:rsid w:val="000E354E"/>
    <w:rsid w:val="000E3593"/>
    <w:rsid w:val="000E3B77"/>
    <w:rsid w:val="000E3F83"/>
    <w:rsid w:val="000E423C"/>
    <w:rsid w:val="000E4673"/>
    <w:rsid w:val="000E4CB6"/>
    <w:rsid w:val="000E4D56"/>
    <w:rsid w:val="000E4E6E"/>
    <w:rsid w:val="000E5073"/>
    <w:rsid w:val="000E5838"/>
    <w:rsid w:val="000E592D"/>
    <w:rsid w:val="000E5D0D"/>
    <w:rsid w:val="000E5DBE"/>
    <w:rsid w:val="000E6213"/>
    <w:rsid w:val="000E6535"/>
    <w:rsid w:val="000E65F7"/>
    <w:rsid w:val="000E672D"/>
    <w:rsid w:val="000E69D7"/>
    <w:rsid w:val="000E6FFD"/>
    <w:rsid w:val="000E7441"/>
    <w:rsid w:val="000E74AA"/>
    <w:rsid w:val="000E753E"/>
    <w:rsid w:val="000E763F"/>
    <w:rsid w:val="000E77CA"/>
    <w:rsid w:val="000E7ACA"/>
    <w:rsid w:val="000E7B65"/>
    <w:rsid w:val="000F0FA3"/>
    <w:rsid w:val="000F11CC"/>
    <w:rsid w:val="000F1345"/>
    <w:rsid w:val="000F1A8D"/>
    <w:rsid w:val="000F233B"/>
    <w:rsid w:val="000F29BC"/>
    <w:rsid w:val="000F2E68"/>
    <w:rsid w:val="000F31A4"/>
    <w:rsid w:val="000F3927"/>
    <w:rsid w:val="000F3BB3"/>
    <w:rsid w:val="000F3D36"/>
    <w:rsid w:val="000F3E92"/>
    <w:rsid w:val="000F4E4B"/>
    <w:rsid w:val="000F4FB1"/>
    <w:rsid w:val="000F50A5"/>
    <w:rsid w:val="000F512B"/>
    <w:rsid w:val="000F55CB"/>
    <w:rsid w:val="000F5B4E"/>
    <w:rsid w:val="000F5C0C"/>
    <w:rsid w:val="000F5C81"/>
    <w:rsid w:val="000F5DFC"/>
    <w:rsid w:val="000F6357"/>
    <w:rsid w:val="000F6497"/>
    <w:rsid w:val="000F6CB5"/>
    <w:rsid w:val="000F6E57"/>
    <w:rsid w:val="000F711A"/>
    <w:rsid w:val="000F7404"/>
    <w:rsid w:val="000F74C6"/>
    <w:rsid w:val="000F7600"/>
    <w:rsid w:val="001000E5"/>
    <w:rsid w:val="00100180"/>
    <w:rsid w:val="001001B9"/>
    <w:rsid w:val="0010031A"/>
    <w:rsid w:val="001007F5"/>
    <w:rsid w:val="00100CB8"/>
    <w:rsid w:val="00100E16"/>
    <w:rsid w:val="00100F9A"/>
    <w:rsid w:val="001013E6"/>
    <w:rsid w:val="00101930"/>
    <w:rsid w:val="00101B2D"/>
    <w:rsid w:val="00101C51"/>
    <w:rsid w:val="00102254"/>
    <w:rsid w:val="0010257E"/>
    <w:rsid w:val="0010333E"/>
    <w:rsid w:val="00103BAA"/>
    <w:rsid w:val="00103FDF"/>
    <w:rsid w:val="00104268"/>
    <w:rsid w:val="0010456C"/>
    <w:rsid w:val="00104EB9"/>
    <w:rsid w:val="00104F0B"/>
    <w:rsid w:val="00105B2C"/>
    <w:rsid w:val="00105D58"/>
    <w:rsid w:val="00105D68"/>
    <w:rsid w:val="001062B7"/>
    <w:rsid w:val="00106866"/>
    <w:rsid w:val="0010702C"/>
    <w:rsid w:val="001070E9"/>
    <w:rsid w:val="0010743E"/>
    <w:rsid w:val="00107C04"/>
    <w:rsid w:val="00110010"/>
    <w:rsid w:val="001106A6"/>
    <w:rsid w:val="0011070F"/>
    <w:rsid w:val="00110723"/>
    <w:rsid w:val="00110970"/>
    <w:rsid w:val="0011130D"/>
    <w:rsid w:val="00111568"/>
    <w:rsid w:val="00111D8F"/>
    <w:rsid w:val="001120C0"/>
    <w:rsid w:val="001121EC"/>
    <w:rsid w:val="001126C8"/>
    <w:rsid w:val="0011278F"/>
    <w:rsid w:val="00112A29"/>
    <w:rsid w:val="001131E7"/>
    <w:rsid w:val="00113538"/>
    <w:rsid w:val="001136DD"/>
    <w:rsid w:val="0011375C"/>
    <w:rsid w:val="0011414E"/>
    <w:rsid w:val="00114272"/>
    <w:rsid w:val="00114737"/>
    <w:rsid w:val="001147B1"/>
    <w:rsid w:val="00114A97"/>
    <w:rsid w:val="00114B81"/>
    <w:rsid w:val="001150BF"/>
    <w:rsid w:val="00115624"/>
    <w:rsid w:val="00115853"/>
    <w:rsid w:val="00115B74"/>
    <w:rsid w:val="00115EB0"/>
    <w:rsid w:val="00115ED8"/>
    <w:rsid w:val="00115FF7"/>
    <w:rsid w:val="00116180"/>
    <w:rsid w:val="001168EA"/>
    <w:rsid w:val="001168F2"/>
    <w:rsid w:val="00116EE3"/>
    <w:rsid w:val="00116F77"/>
    <w:rsid w:val="001170B7"/>
    <w:rsid w:val="001171C9"/>
    <w:rsid w:val="001172C4"/>
    <w:rsid w:val="00117623"/>
    <w:rsid w:val="001179A7"/>
    <w:rsid w:val="00117D60"/>
    <w:rsid w:val="00117EE4"/>
    <w:rsid w:val="0012002B"/>
    <w:rsid w:val="001200EA"/>
    <w:rsid w:val="00120207"/>
    <w:rsid w:val="00121C83"/>
    <w:rsid w:val="00121CEC"/>
    <w:rsid w:val="00121D76"/>
    <w:rsid w:val="001224CF"/>
    <w:rsid w:val="0012251D"/>
    <w:rsid w:val="0012293F"/>
    <w:rsid w:val="00122DC8"/>
    <w:rsid w:val="00122FB1"/>
    <w:rsid w:val="00123242"/>
    <w:rsid w:val="00123379"/>
    <w:rsid w:val="00123436"/>
    <w:rsid w:val="001234CF"/>
    <w:rsid w:val="00123A27"/>
    <w:rsid w:val="00123C1B"/>
    <w:rsid w:val="00124030"/>
    <w:rsid w:val="001245E0"/>
    <w:rsid w:val="001245E9"/>
    <w:rsid w:val="00124989"/>
    <w:rsid w:val="00124CF3"/>
    <w:rsid w:val="001251DC"/>
    <w:rsid w:val="00125A2A"/>
    <w:rsid w:val="00125CA0"/>
    <w:rsid w:val="00125E3C"/>
    <w:rsid w:val="0012627B"/>
    <w:rsid w:val="00126622"/>
    <w:rsid w:val="001268B7"/>
    <w:rsid w:val="00126A18"/>
    <w:rsid w:val="001270E7"/>
    <w:rsid w:val="00127191"/>
    <w:rsid w:val="00127C89"/>
    <w:rsid w:val="00127D1E"/>
    <w:rsid w:val="00130051"/>
    <w:rsid w:val="001304B4"/>
    <w:rsid w:val="0013051A"/>
    <w:rsid w:val="001308F2"/>
    <w:rsid w:val="00130B42"/>
    <w:rsid w:val="00130DDD"/>
    <w:rsid w:val="00130F19"/>
    <w:rsid w:val="00130F5E"/>
    <w:rsid w:val="00131633"/>
    <w:rsid w:val="0013166B"/>
    <w:rsid w:val="00131D51"/>
    <w:rsid w:val="00131E4D"/>
    <w:rsid w:val="0013239F"/>
    <w:rsid w:val="00132754"/>
    <w:rsid w:val="0013312B"/>
    <w:rsid w:val="0013330E"/>
    <w:rsid w:val="00133832"/>
    <w:rsid w:val="00133E7E"/>
    <w:rsid w:val="00133F74"/>
    <w:rsid w:val="00133FE4"/>
    <w:rsid w:val="0013456F"/>
    <w:rsid w:val="0013464F"/>
    <w:rsid w:val="00134719"/>
    <w:rsid w:val="00134AF2"/>
    <w:rsid w:val="00134D89"/>
    <w:rsid w:val="00135104"/>
    <w:rsid w:val="0013518B"/>
    <w:rsid w:val="00135210"/>
    <w:rsid w:val="001353EA"/>
    <w:rsid w:val="001354E5"/>
    <w:rsid w:val="0013560A"/>
    <w:rsid w:val="00135A3E"/>
    <w:rsid w:val="00135DBA"/>
    <w:rsid w:val="0013627F"/>
    <w:rsid w:val="00136977"/>
    <w:rsid w:val="00136DC8"/>
    <w:rsid w:val="00137040"/>
    <w:rsid w:val="00137F0A"/>
    <w:rsid w:val="00140070"/>
    <w:rsid w:val="00140580"/>
    <w:rsid w:val="001405C0"/>
    <w:rsid w:val="00140AEA"/>
    <w:rsid w:val="00140BA5"/>
    <w:rsid w:val="00140F44"/>
    <w:rsid w:val="00141654"/>
    <w:rsid w:val="00142072"/>
    <w:rsid w:val="00142452"/>
    <w:rsid w:val="00142CF6"/>
    <w:rsid w:val="00142D13"/>
    <w:rsid w:val="00142D77"/>
    <w:rsid w:val="00142DE3"/>
    <w:rsid w:val="00142F9D"/>
    <w:rsid w:val="001439CF"/>
    <w:rsid w:val="00143A24"/>
    <w:rsid w:val="00143FCB"/>
    <w:rsid w:val="00143FCC"/>
    <w:rsid w:val="00144B4B"/>
    <w:rsid w:val="00144FEF"/>
    <w:rsid w:val="00145144"/>
    <w:rsid w:val="001453B6"/>
    <w:rsid w:val="001454BC"/>
    <w:rsid w:val="00145627"/>
    <w:rsid w:val="001458DA"/>
    <w:rsid w:val="0014598D"/>
    <w:rsid w:val="00145A8E"/>
    <w:rsid w:val="0014638C"/>
    <w:rsid w:val="00146594"/>
    <w:rsid w:val="00146668"/>
    <w:rsid w:val="00146A41"/>
    <w:rsid w:val="001472CA"/>
    <w:rsid w:val="00147930"/>
    <w:rsid w:val="00147B7D"/>
    <w:rsid w:val="00147F74"/>
    <w:rsid w:val="0015031C"/>
    <w:rsid w:val="001503DB"/>
    <w:rsid w:val="001508D1"/>
    <w:rsid w:val="00150AED"/>
    <w:rsid w:val="00150F4C"/>
    <w:rsid w:val="001515A1"/>
    <w:rsid w:val="00151679"/>
    <w:rsid w:val="001519A8"/>
    <w:rsid w:val="001519F9"/>
    <w:rsid w:val="001521CF"/>
    <w:rsid w:val="001524F1"/>
    <w:rsid w:val="00152623"/>
    <w:rsid w:val="001528F8"/>
    <w:rsid w:val="00152B6A"/>
    <w:rsid w:val="00152E18"/>
    <w:rsid w:val="0015318E"/>
    <w:rsid w:val="00153614"/>
    <w:rsid w:val="00153919"/>
    <w:rsid w:val="00153B82"/>
    <w:rsid w:val="00153D83"/>
    <w:rsid w:val="00154141"/>
    <w:rsid w:val="00154152"/>
    <w:rsid w:val="00154D72"/>
    <w:rsid w:val="00155504"/>
    <w:rsid w:val="00155D07"/>
    <w:rsid w:val="00155DED"/>
    <w:rsid w:val="00156276"/>
    <w:rsid w:val="0015693B"/>
    <w:rsid w:val="00156B41"/>
    <w:rsid w:val="00156EA9"/>
    <w:rsid w:val="00157248"/>
    <w:rsid w:val="0016038C"/>
    <w:rsid w:val="001604FC"/>
    <w:rsid w:val="00160604"/>
    <w:rsid w:val="00160C79"/>
    <w:rsid w:val="00160DBB"/>
    <w:rsid w:val="00161073"/>
    <w:rsid w:val="001610E6"/>
    <w:rsid w:val="001610FA"/>
    <w:rsid w:val="001613B5"/>
    <w:rsid w:val="00161674"/>
    <w:rsid w:val="00161A47"/>
    <w:rsid w:val="00161BDB"/>
    <w:rsid w:val="00161E0F"/>
    <w:rsid w:val="001623F7"/>
    <w:rsid w:val="00162D17"/>
    <w:rsid w:val="00163179"/>
    <w:rsid w:val="00163D50"/>
    <w:rsid w:val="00163D92"/>
    <w:rsid w:val="00164144"/>
    <w:rsid w:val="001648E9"/>
    <w:rsid w:val="001652BC"/>
    <w:rsid w:val="001656E6"/>
    <w:rsid w:val="00165A34"/>
    <w:rsid w:val="00165B00"/>
    <w:rsid w:val="00165B44"/>
    <w:rsid w:val="00165BA2"/>
    <w:rsid w:val="0016621B"/>
    <w:rsid w:val="001665D9"/>
    <w:rsid w:val="001665EB"/>
    <w:rsid w:val="00166C69"/>
    <w:rsid w:val="001674AF"/>
    <w:rsid w:val="00167BBD"/>
    <w:rsid w:val="00167E2D"/>
    <w:rsid w:val="0017009E"/>
    <w:rsid w:val="0017034B"/>
    <w:rsid w:val="0017062C"/>
    <w:rsid w:val="0017088D"/>
    <w:rsid w:val="001708DE"/>
    <w:rsid w:val="00170951"/>
    <w:rsid w:val="00170AC0"/>
    <w:rsid w:val="00170EE2"/>
    <w:rsid w:val="00171821"/>
    <w:rsid w:val="00171A8E"/>
    <w:rsid w:val="001721FC"/>
    <w:rsid w:val="00172ADE"/>
    <w:rsid w:val="0017334D"/>
    <w:rsid w:val="00173786"/>
    <w:rsid w:val="00173EFE"/>
    <w:rsid w:val="00174089"/>
    <w:rsid w:val="00174686"/>
    <w:rsid w:val="0017472E"/>
    <w:rsid w:val="001749BC"/>
    <w:rsid w:val="00175703"/>
    <w:rsid w:val="001758DE"/>
    <w:rsid w:val="00176072"/>
    <w:rsid w:val="001763F3"/>
    <w:rsid w:val="00176AD2"/>
    <w:rsid w:val="00176D25"/>
    <w:rsid w:val="00176F36"/>
    <w:rsid w:val="00176F43"/>
    <w:rsid w:val="00176F76"/>
    <w:rsid w:val="001770CB"/>
    <w:rsid w:val="00177188"/>
    <w:rsid w:val="00177464"/>
    <w:rsid w:val="001778E6"/>
    <w:rsid w:val="001778EC"/>
    <w:rsid w:val="00177A3E"/>
    <w:rsid w:val="00180356"/>
    <w:rsid w:val="00180A26"/>
    <w:rsid w:val="00180A68"/>
    <w:rsid w:val="00180F24"/>
    <w:rsid w:val="00180FB7"/>
    <w:rsid w:val="001817F0"/>
    <w:rsid w:val="00181A37"/>
    <w:rsid w:val="00182258"/>
    <w:rsid w:val="0018270E"/>
    <w:rsid w:val="00182AE2"/>
    <w:rsid w:val="00182CBC"/>
    <w:rsid w:val="00182FD8"/>
    <w:rsid w:val="00183082"/>
    <w:rsid w:val="0018342E"/>
    <w:rsid w:val="00183CFD"/>
    <w:rsid w:val="001840C2"/>
    <w:rsid w:val="0018460A"/>
    <w:rsid w:val="0018498E"/>
    <w:rsid w:val="00184B46"/>
    <w:rsid w:val="00184D2D"/>
    <w:rsid w:val="00184F25"/>
    <w:rsid w:val="001851C2"/>
    <w:rsid w:val="00185585"/>
    <w:rsid w:val="00185939"/>
    <w:rsid w:val="00185C7C"/>
    <w:rsid w:val="00186730"/>
    <w:rsid w:val="0018697E"/>
    <w:rsid w:val="00186E03"/>
    <w:rsid w:val="00186EC5"/>
    <w:rsid w:val="00186EE6"/>
    <w:rsid w:val="001876F6"/>
    <w:rsid w:val="001878C4"/>
    <w:rsid w:val="001908D9"/>
    <w:rsid w:val="00190901"/>
    <w:rsid w:val="00190CB8"/>
    <w:rsid w:val="00190D6E"/>
    <w:rsid w:val="00190FDF"/>
    <w:rsid w:val="0019115D"/>
    <w:rsid w:val="001913CF"/>
    <w:rsid w:val="00191E23"/>
    <w:rsid w:val="001920E5"/>
    <w:rsid w:val="001921A0"/>
    <w:rsid w:val="0019277E"/>
    <w:rsid w:val="001927F1"/>
    <w:rsid w:val="0019317A"/>
    <w:rsid w:val="0019348F"/>
    <w:rsid w:val="001937B1"/>
    <w:rsid w:val="001937E7"/>
    <w:rsid w:val="001938BD"/>
    <w:rsid w:val="00194C30"/>
    <w:rsid w:val="001953B1"/>
    <w:rsid w:val="001955AC"/>
    <w:rsid w:val="00195739"/>
    <w:rsid w:val="0019579F"/>
    <w:rsid w:val="001963C0"/>
    <w:rsid w:val="0019671E"/>
    <w:rsid w:val="00196AE0"/>
    <w:rsid w:val="00196C67"/>
    <w:rsid w:val="00196D3D"/>
    <w:rsid w:val="00197956"/>
    <w:rsid w:val="00197AE8"/>
    <w:rsid w:val="001A02D5"/>
    <w:rsid w:val="001A10FC"/>
    <w:rsid w:val="001A1B4B"/>
    <w:rsid w:val="001A1FAE"/>
    <w:rsid w:val="001A2926"/>
    <w:rsid w:val="001A2B5A"/>
    <w:rsid w:val="001A2C13"/>
    <w:rsid w:val="001A2E11"/>
    <w:rsid w:val="001A2F8A"/>
    <w:rsid w:val="001A354C"/>
    <w:rsid w:val="001A3EBC"/>
    <w:rsid w:val="001A409D"/>
    <w:rsid w:val="001A446E"/>
    <w:rsid w:val="001A4482"/>
    <w:rsid w:val="001A44AA"/>
    <w:rsid w:val="001A462E"/>
    <w:rsid w:val="001A4D4F"/>
    <w:rsid w:val="001A4DE6"/>
    <w:rsid w:val="001A4E9D"/>
    <w:rsid w:val="001A5850"/>
    <w:rsid w:val="001A592D"/>
    <w:rsid w:val="001A779D"/>
    <w:rsid w:val="001B087D"/>
    <w:rsid w:val="001B08E3"/>
    <w:rsid w:val="001B0CCD"/>
    <w:rsid w:val="001B0CEF"/>
    <w:rsid w:val="001B1353"/>
    <w:rsid w:val="001B165F"/>
    <w:rsid w:val="001B1676"/>
    <w:rsid w:val="001B17A8"/>
    <w:rsid w:val="001B1AC1"/>
    <w:rsid w:val="001B21E8"/>
    <w:rsid w:val="001B2224"/>
    <w:rsid w:val="001B22F6"/>
    <w:rsid w:val="001B27FD"/>
    <w:rsid w:val="001B2CEB"/>
    <w:rsid w:val="001B3161"/>
    <w:rsid w:val="001B3940"/>
    <w:rsid w:val="001B39EC"/>
    <w:rsid w:val="001B3A7C"/>
    <w:rsid w:val="001B3E1A"/>
    <w:rsid w:val="001B47FD"/>
    <w:rsid w:val="001B4848"/>
    <w:rsid w:val="001B49FD"/>
    <w:rsid w:val="001B4A6D"/>
    <w:rsid w:val="001B5088"/>
    <w:rsid w:val="001B5461"/>
    <w:rsid w:val="001B546E"/>
    <w:rsid w:val="001B55C8"/>
    <w:rsid w:val="001B62D9"/>
    <w:rsid w:val="001B63C6"/>
    <w:rsid w:val="001B6782"/>
    <w:rsid w:val="001B6E7D"/>
    <w:rsid w:val="001B7230"/>
    <w:rsid w:val="001B7C61"/>
    <w:rsid w:val="001C0C22"/>
    <w:rsid w:val="001C1251"/>
    <w:rsid w:val="001C193A"/>
    <w:rsid w:val="001C19F5"/>
    <w:rsid w:val="001C250F"/>
    <w:rsid w:val="001C2841"/>
    <w:rsid w:val="001C3028"/>
    <w:rsid w:val="001C38A4"/>
    <w:rsid w:val="001C39E5"/>
    <w:rsid w:val="001C434C"/>
    <w:rsid w:val="001C4867"/>
    <w:rsid w:val="001C48D4"/>
    <w:rsid w:val="001C4CAB"/>
    <w:rsid w:val="001C510D"/>
    <w:rsid w:val="001C547E"/>
    <w:rsid w:val="001C592D"/>
    <w:rsid w:val="001C596F"/>
    <w:rsid w:val="001C5EC2"/>
    <w:rsid w:val="001C63BE"/>
    <w:rsid w:val="001C6870"/>
    <w:rsid w:val="001C6AE5"/>
    <w:rsid w:val="001C727E"/>
    <w:rsid w:val="001C73B5"/>
    <w:rsid w:val="001C7597"/>
    <w:rsid w:val="001C7C93"/>
    <w:rsid w:val="001D01DF"/>
    <w:rsid w:val="001D046A"/>
    <w:rsid w:val="001D0568"/>
    <w:rsid w:val="001D0B5E"/>
    <w:rsid w:val="001D1020"/>
    <w:rsid w:val="001D132F"/>
    <w:rsid w:val="001D1399"/>
    <w:rsid w:val="001D23A2"/>
    <w:rsid w:val="001D2B11"/>
    <w:rsid w:val="001D2B5C"/>
    <w:rsid w:val="001D34B6"/>
    <w:rsid w:val="001D357D"/>
    <w:rsid w:val="001D363E"/>
    <w:rsid w:val="001D36CD"/>
    <w:rsid w:val="001D3C52"/>
    <w:rsid w:val="001D443E"/>
    <w:rsid w:val="001D45D2"/>
    <w:rsid w:val="001D487C"/>
    <w:rsid w:val="001D4A50"/>
    <w:rsid w:val="001D4E70"/>
    <w:rsid w:val="001D4F49"/>
    <w:rsid w:val="001D5441"/>
    <w:rsid w:val="001D5C99"/>
    <w:rsid w:val="001D6075"/>
    <w:rsid w:val="001D6A80"/>
    <w:rsid w:val="001D6FEC"/>
    <w:rsid w:val="001D7155"/>
    <w:rsid w:val="001D7333"/>
    <w:rsid w:val="001D7982"/>
    <w:rsid w:val="001E0887"/>
    <w:rsid w:val="001E0BDB"/>
    <w:rsid w:val="001E13FB"/>
    <w:rsid w:val="001E189E"/>
    <w:rsid w:val="001E1A35"/>
    <w:rsid w:val="001E1D3D"/>
    <w:rsid w:val="001E254A"/>
    <w:rsid w:val="001E27C7"/>
    <w:rsid w:val="001E27F4"/>
    <w:rsid w:val="001E2E91"/>
    <w:rsid w:val="001E2EF7"/>
    <w:rsid w:val="001E3348"/>
    <w:rsid w:val="001E3C03"/>
    <w:rsid w:val="001E47D1"/>
    <w:rsid w:val="001E4EAD"/>
    <w:rsid w:val="001E4FE1"/>
    <w:rsid w:val="001E509C"/>
    <w:rsid w:val="001E50D1"/>
    <w:rsid w:val="001E5725"/>
    <w:rsid w:val="001E5C6B"/>
    <w:rsid w:val="001E69BC"/>
    <w:rsid w:val="001E6A64"/>
    <w:rsid w:val="001E6C38"/>
    <w:rsid w:val="001E6E24"/>
    <w:rsid w:val="001E75C5"/>
    <w:rsid w:val="001E7937"/>
    <w:rsid w:val="001E7AF1"/>
    <w:rsid w:val="001E7C35"/>
    <w:rsid w:val="001E7EFC"/>
    <w:rsid w:val="001F05FD"/>
    <w:rsid w:val="001F087E"/>
    <w:rsid w:val="001F1653"/>
    <w:rsid w:val="001F1697"/>
    <w:rsid w:val="001F172C"/>
    <w:rsid w:val="001F18F7"/>
    <w:rsid w:val="001F1B5F"/>
    <w:rsid w:val="001F1FD4"/>
    <w:rsid w:val="001F21F6"/>
    <w:rsid w:val="001F2287"/>
    <w:rsid w:val="001F28BB"/>
    <w:rsid w:val="001F28E4"/>
    <w:rsid w:val="001F2E9E"/>
    <w:rsid w:val="001F31B8"/>
    <w:rsid w:val="001F3385"/>
    <w:rsid w:val="001F36A8"/>
    <w:rsid w:val="001F3F2A"/>
    <w:rsid w:val="001F3F4E"/>
    <w:rsid w:val="001F4063"/>
    <w:rsid w:val="001F45AA"/>
    <w:rsid w:val="001F4603"/>
    <w:rsid w:val="001F46EF"/>
    <w:rsid w:val="001F4997"/>
    <w:rsid w:val="001F4E70"/>
    <w:rsid w:val="001F5CD7"/>
    <w:rsid w:val="001F61A5"/>
    <w:rsid w:val="001F69C2"/>
    <w:rsid w:val="001F6A22"/>
    <w:rsid w:val="001F6F15"/>
    <w:rsid w:val="001F7300"/>
    <w:rsid w:val="001F786F"/>
    <w:rsid w:val="001F7A38"/>
    <w:rsid w:val="001F7B54"/>
    <w:rsid w:val="002004FA"/>
    <w:rsid w:val="00200AB1"/>
    <w:rsid w:val="00200B4C"/>
    <w:rsid w:val="002020EA"/>
    <w:rsid w:val="00202454"/>
    <w:rsid w:val="002025A4"/>
    <w:rsid w:val="00202CB8"/>
    <w:rsid w:val="0020319B"/>
    <w:rsid w:val="002039F1"/>
    <w:rsid w:val="00203E02"/>
    <w:rsid w:val="00204111"/>
    <w:rsid w:val="00204831"/>
    <w:rsid w:val="002048D1"/>
    <w:rsid w:val="002051F2"/>
    <w:rsid w:val="002055F0"/>
    <w:rsid w:val="00205803"/>
    <w:rsid w:val="002059AE"/>
    <w:rsid w:val="00205A82"/>
    <w:rsid w:val="00205ADA"/>
    <w:rsid w:val="00205DD0"/>
    <w:rsid w:val="00206227"/>
    <w:rsid w:val="002062DB"/>
    <w:rsid w:val="00206444"/>
    <w:rsid w:val="00206929"/>
    <w:rsid w:val="00206975"/>
    <w:rsid w:val="00206CD0"/>
    <w:rsid w:val="00206E7A"/>
    <w:rsid w:val="002076B1"/>
    <w:rsid w:val="00207920"/>
    <w:rsid w:val="002079CB"/>
    <w:rsid w:val="002102F3"/>
    <w:rsid w:val="00210573"/>
    <w:rsid w:val="0021096E"/>
    <w:rsid w:val="00210DE8"/>
    <w:rsid w:val="00211048"/>
    <w:rsid w:val="002111A8"/>
    <w:rsid w:val="00211B13"/>
    <w:rsid w:val="00211D73"/>
    <w:rsid w:val="002124CE"/>
    <w:rsid w:val="00212A3E"/>
    <w:rsid w:val="00212A43"/>
    <w:rsid w:val="00213099"/>
    <w:rsid w:val="00213100"/>
    <w:rsid w:val="00213859"/>
    <w:rsid w:val="00213BF9"/>
    <w:rsid w:val="00213EBA"/>
    <w:rsid w:val="00214011"/>
    <w:rsid w:val="0021412B"/>
    <w:rsid w:val="002141C1"/>
    <w:rsid w:val="00214BF2"/>
    <w:rsid w:val="00214E27"/>
    <w:rsid w:val="00214F22"/>
    <w:rsid w:val="0021544A"/>
    <w:rsid w:val="00215735"/>
    <w:rsid w:val="00215A7F"/>
    <w:rsid w:val="00215F6A"/>
    <w:rsid w:val="0021615C"/>
    <w:rsid w:val="00216522"/>
    <w:rsid w:val="00216AD1"/>
    <w:rsid w:val="00216BCE"/>
    <w:rsid w:val="00216C69"/>
    <w:rsid w:val="00217708"/>
    <w:rsid w:val="00217E1A"/>
    <w:rsid w:val="00220314"/>
    <w:rsid w:val="00220DA2"/>
    <w:rsid w:val="00221071"/>
    <w:rsid w:val="00221D19"/>
    <w:rsid w:val="00222333"/>
    <w:rsid w:val="002223C7"/>
    <w:rsid w:val="002226F4"/>
    <w:rsid w:val="00222865"/>
    <w:rsid w:val="00222A24"/>
    <w:rsid w:val="00222C4F"/>
    <w:rsid w:val="00222CDE"/>
    <w:rsid w:val="002232BB"/>
    <w:rsid w:val="00223575"/>
    <w:rsid w:val="0022390B"/>
    <w:rsid w:val="00224649"/>
    <w:rsid w:val="00224F30"/>
    <w:rsid w:val="0022560B"/>
    <w:rsid w:val="00225988"/>
    <w:rsid w:val="00226196"/>
    <w:rsid w:val="0022666B"/>
    <w:rsid w:val="00226FA9"/>
    <w:rsid w:val="0022734D"/>
    <w:rsid w:val="00227661"/>
    <w:rsid w:val="00227D0E"/>
    <w:rsid w:val="00230327"/>
    <w:rsid w:val="00230B4C"/>
    <w:rsid w:val="00231404"/>
    <w:rsid w:val="00232057"/>
    <w:rsid w:val="002326E9"/>
    <w:rsid w:val="00232E1C"/>
    <w:rsid w:val="002331EB"/>
    <w:rsid w:val="00233314"/>
    <w:rsid w:val="002333A2"/>
    <w:rsid w:val="00233574"/>
    <w:rsid w:val="00233C6D"/>
    <w:rsid w:val="00234456"/>
    <w:rsid w:val="0023447F"/>
    <w:rsid w:val="002346A9"/>
    <w:rsid w:val="00234AB4"/>
    <w:rsid w:val="00234F0E"/>
    <w:rsid w:val="00234F6B"/>
    <w:rsid w:val="00235046"/>
    <w:rsid w:val="002350B3"/>
    <w:rsid w:val="00235220"/>
    <w:rsid w:val="002356A4"/>
    <w:rsid w:val="00235D32"/>
    <w:rsid w:val="00235EBA"/>
    <w:rsid w:val="00236A51"/>
    <w:rsid w:val="0023741D"/>
    <w:rsid w:val="00237434"/>
    <w:rsid w:val="00237789"/>
    <w:rsid w:val="0023798E"/>
    <w:rsid w:val="002379A6"/>
    <w:rsid w:val="0024073A"/>
    <w:rsid w:val="002408BE"/>
    <w:rsid w:val="00241871"/>
    <w:rsid w:val="00241A68"/>
    <w:rsid w:val="00241D3C"/>
    <w:rsid w:val="002421F8"/>
    <w:rsid w:val="002422EA"/>
    <w:rsid w:val="002428EE"/>
    <w:rsid w:val="00242EE4"/>
    <w:rsid w:val="002432ED"/>
    <w:rsid w:val="00243742"/>
    <w:rsid w:val="00243B84"/>
    <w:rsid w:val="002441DA"/>
    <w:rsid w:val="0024462E"/>
    <w:rsid w:val="00244A5A"/>
    <w:rsid w:val="00244AAE"/>
    <w:rsid w:val="00245536"/>
    <w:rsid w:val="0024558B"/>
    <w:rsid w:val="00245AE5"/>
    <w:rsid w:val="00245B5A"/>
    <w:rsid w:val="00245B7F"/>
    <w:rsid w:val="00245D03"/>
    <w:rsid w:val="00246372"/>
    <w:rsid w:val="00246720"/>
    <w:rsid w:val="00246F35"/>
    <w:rsid w:val="0024707D"/>
    <w:rsid w:val="002474FA"/>
    <w:rsid w:val="002475DB"/>
    <w:rsid w:val="002502FA"/>
    <w:rsid w:val="00250816"/>
    <w:rsid w:val="00250A5E"/>
    <w:rsid w:val="00250F6D"/>
    <w:rsid w:val="00251074"/>
    <w:rsid w:val="00251228"/>
    <w:rsid w:val="00251498"/>
    <w:rsid w:val="00251519"/>
    <w:rsid w:val="002519E6"/>
    <w:rsid w:val="00251A2D"/>
    <w:rsid w:val="00251BF8"/>
    <w:rsid w:val="00251C4D"/>
    <w:rsid w:val="00252573"/>
    <w:rsid w:val="002525A0"/>
    <w:rsid w:val="00252AC9"/>
    <w:rsid w:val="00252D10"/>
    <w:rsid w:val="00252F92"/>
    <w:rsid w:val="00252FD7"/>
    <w:rsid w:val="00253273"/>
    <w:rsid w:val="002533A3"/>
    <w:rsid w:val="00253493"/>
    <w:rsid w:val="0025356E"/>
    <w:rsid w:val="00253DE9"/>
    <w:rsid w:val="00254096"/>
    <w:rsid w:val="00255052"/>
    <w:rsid w:val="00255291"/>
    <w:rsid w:val="002558AF"/>
    <w:rsid w:val="002559D9"/>
    <w:rsid w:val="00255BAB"/>
    <w:rsid w:val="00255D6E"/>
    <w:rsid w:val="00255F39"/>
    <w:rsid w:val="00257313"/>
    <w:rsid w:val="00257986"/>
    <w:rsid w:val="00257AFB"/>
    <w:rsid w:val="00257F0A"/>
    <w:rsid w:val="00260229"/>
    <w:rsid w:val="00260970"/>
    <w:rsid w:val="00260E55"/>
    <w:rsid w:val="00260FF4"/>
    <w:rsid w:val="0026132F"/>
    <w:rsid w:val="00261EB2"/>
    <w:rsid w:val="0026232B"/>
    <w:rsid w:val="00262483"/>
    <w:rsid w:val="002625AE"/>
    <w:rsid w:val="0026293D"/>
    <w:rsid w:val="0026302A"/>
    <w:rsid w:val="00263362"/>
    <w:rsid w:val="00263926"/>
    <w:rsid w:val="00264247"/>
    <w:rsid w:val="0026493B"/>
    <w:rsid w:val="00264BB1"/>
    <w:rsid w:val="00264F48"/>
    <w:rsid w:val="00265024"/>
    <w:rsid w:val="00265982"/>
    <w:rsid w:val="00265CA2"/>
    <w:rsid w:val="0026614A"/>
    <w:rsid w:val="0026623B"/>
    <w:rsid w:val="00266512"/>
    <w:rsid w:val="00267472"/>
    <w:rsid w:val="002675C6"/>
    <w:rsid w:val="00267E18"/>
    <w:rsid w:val="00270154"/>
    <w:rsid w:val="002701BD"/>
    <w:rsid w:val="002701C0"/>
    <w:rsid w:val="00270844"/>
    <w:rsid w:val="0027088E"/>
    <w:rsid w:val="00270A46"/>
    <w:rsid w:val="00270BE2"/>
    <w:rsid w:val="0027105C"/>
    <w:rsid w:val="002712F0"/>
    <w:rsid w:val="00271624"/>
    <w:rsid w:val="00271F05"/>
    <w:rsid w:val="00271F70"/>
    <w:rsid w:val="00272179"/>
    <w:rsid w:val="0027236A"/>
    <w:rsid w:val="002723BD"/>
    <w:rsid w:val="00272870"/>
    <w:rsid w:val="00272A2E"/>
    <w:rsid w:val="00272C76"/>
    <w:rsid w:val="002732DD"/>
    <w:rsid w:val="002733CD"/>
    <w:rsid w:val="002737BF"/>
    <w:rsid w:val="00273959"/>
    <w:rsid w:val="0027405C"/>
    <w:rsid w:val="0027408B"/>
    <w:rsid w:val="0027537B"/>
    <w:rsid w:val="002753BD"/>
    <w:rsid w:val="00275E8D"/>
    <w:rsid w:val="00276B56"/>
    <w:rsid w:val="00276C8A"/>
    <w:rsid w:val="00276E2E"/>
    <w:rsid w:val="002771EC"/>
    <w:rsid w:val="002773E6"/>
    <w:rsid w:val="00277609"/>
    <w:rsid w:val="0027777B"/>
    <w:rsid w:val="00280152"/>
    <w:rsid w:val="002808F3"/>
    <w:rsid w:val="00280D25"/>
    <w:rsid w:val="00280F46"/>
    <w:rsid w:val="00281534"/>
    <w:rsid w:val="002819FD"/>
    <w:rsid w:val="00281AAD"/>
    <w:rsid w:val="002821F7"/>
    <w:rsid w:val="00282F5D"/>
    <w:rsid w:val="00283374"/>
    <w:rsid w:val="002834C8"/>
    <w:rsid w:val="002842DC"/>
    <w:rsid w:val="00284F07"/>
    <w:rsid w:val="0028583A"/>
    <w:rsid w:val="00285B36"/>
    <w:rsid w:val="00285F82"/>
    <w:rsid w:val="0028621B"/>
    <w:rsid w:val="002864EA"/>
    <w:rsid w:val="0028707E"/>
    <w:rsid w:val="002871ED"/>
    <w:rsid w:val="00287238"/>
    <w:rsid w:val="00287368"/>
    <w:rsid w:val="002874AA"/>
    <w:rsid w:val="00287873"/>
    <w:rsid w:val="00287B87"/>
    <w:rsid w:val="00287D48"/>
    <w:rsid w:val="00287DFD"/>
    <w:rsid w:val="00290FA5"/>
    <w:rsid w:val="002916CC"/>
    <w:rsid w:val="00291D94"/>
    <w:rsid w:val="00291DD6"/>
    <w:rsid w:val="00291F7D"/>
    <w:rsid w:val="00291FB2"/>
    <w:rsid w:val="00291FCC"/>
    <w:rsid w:val="0029220E"/>
    <w:rsid w:val="0029278C"/>
    <w:rsid w:val="00292E65"/>
    <w:rsid w:val="00293459"/>
    <w:rsid w:val="00293524"/>
    <w:rsid w:val="00293674"/>
    <w:rsid w:val="002937B6"/>
    <w:rsid w:val="002939E4"/>
    <w:rsid w:val="00294BA5"/>
    <w:rsid w:val="00295A4C"/>
    <w:rsid w:val="00295C99"/>
    <w:rsid w:val="00296536"/>
    <w:rsid w:val="0029697C"/>
    <w:rsid w:val="00296E4E"/>
    <w:rsid w:val="00296ECC"/>
    <w:rsid w:val="0029778A"/>
    <w:rsid w:val="002979F1"/>
    <w:rsid w:val="00297BF9"/>
    <w:rsid w:val="00297E38"/>
    <w:rsid w:val="002A000C"/>
    <w:rsid w:val="002A006F"/>
    <w:rsid w:val="002A0327"/>
    <w:rsid w:val="002A06BF"/>
    <w:rsid w:val="002A13E1"/>
    <w:rsid w:val="002A16F9"/>
    <w:rsid w:val="002A216F"/>
    <w:rsid w:val="002A24B1"/>
    <w:rsid w:val="002A2621"/>
    <w:rsid w:val="002A3248"/>
    <w:rsid w:val="002A3CB3"/>
    <w:rsid w:val="002A3D74"/>
    <w:rsid w:val="002A44E1"/>
    <w:rsid w:val="002A4652"/>
    <w:rsid w:val="002A47CC"/>
    <w:rsid w:val="002A4BC5"/>
    <w:rsid w:val="002A548C"/>
    <w:rsid w:val="002A5560"/>
    <w:rsid w:val="002A5EA1"/>
    <w:rsid w:val="002A6376"/>
    <w:rsid w:val="002A646B"/>
    <w:rsid w:val="002A6BF3"/>
    <w:rsid w:val="002A7FCA"/>
    <w:rsid w:val="002B081B"/>
    <w:rsid w:val="002B0846"/>
    <w:rsid w:val="002B08A0"/>
    <w:rsid w:val="002B0B51"/>
    <w:rsid w:val="002B10E0"/>
    <w:rsid w:val="002B1304"/>
    <w:rsid w:val="002B1372"/>
    <w:rsid w:val="002B1508"/>
    <w:rsid w:val="002B1A2E"/>
    <w:rsid w:val="002B1C61"/>
    <w:rsid w:val="002B2489"/>
    <w:rsid w:val="002B2D99"/>
    <w:rsid w:val="002B2FE6"/>
    <w:rsid w:val="002B37EB"/>
    <w:rsid w:val="002B3C71"/>
    <w:rsid w:val="002B3FCF"/>
    <w:rsid w:val="002B424A"/>
    <w:rsid w:val="002B4B60"/>
    <w:rsid w:val="002B55FE"/>
    <w:rsid w:val="002B5CB4"/>
    <w:rsid w:val="002B5EC9"/>
    <w:rsid w:val="002B61EF"/>
    <w:rsid w:val="002B65B5"/>
    <w:rsid w:val="002B684C"/>
    <w:rsid w:val="002B6EAE"/>
    <w:rsid w:val="002B7056"/>
    <w:rsid w:val="002B7394"/>
    <w:rsid w:val="002B771D"/>
    <w:rsid w:val="002B7B55"/>
    <w:rsid w:val="002B7D99"/>
    <w:rsid w:val="002B7DED"/>
    <w:rsid w:val="002C047F"/>
    <w:rsid w:val="002C09B8"/>
    <w:rsid w:val="002C0B88"/>
    <w:rsid w:val="002C10A5"/>
    <w:rsid w:val="002C121B"/>
    <w:rsid w:val="002C1624"/>
    <w:rsid w:val="002C1E12"/>
    <w:rsid w:val="002C1EDE"/>
    <w:rsid w:val="002C2057"/>
    <w:rsid w:val="002C26B2"/>
    <w:rsid w:val="002C2DA2"/>
    <w:rsid w:val="002C366F"/>
    <w:rsid w:val="002C37A4"/>
    <w:rsid w:val="002C37AF"/>
    <w:rsid w:val="002C3A48"/>
    <w:rsid w:val="002C3BA9"/>
    <w:rsid w:val="002C3F63"/>
    <w:rsid w:val="002C469E"/>
    <w:rsid w:val="002C51ED"/>
    <w:rsid w:val="002C5443"/>
    <w:rsid w:val="002C54CD"/>
    <w:rsid w:val="002C5981"/>
    <w:rsid w:val="002C5A01"/>
    <w:rsid w:val="002C5B4F"/>
    <w:rsid w:val="002C5E1A"/>
    <w:rsid w:val="002C6850"/>
    <w:rsid w:val="002C6CD8"/>
    <w:rsid w:val="002C6F1A"/>
    <w:rsid w:val="002C6FF9"/>
    <w:rsid w:val="002C7307"/>
    <w:rsid w:val="002C74C6"/>
    <w:rsid w:val="002C756B"/>
    <w:rsid w:val="002C7FDF"/>
    <w:rsid w:val="002D018B"/>
    <w:rsid w:val="002D0410"/>
    <w:rsid w:val="002D0899"/>
    <w:rsid w:val="002D0945"/>
    <w:rsid w:val="002D0AA9"/>
    <w:rsid w:val="002D1707"/>
    <w:rsid w:val="002D17E2"/>
    <w:rsid w:val="002D213F"/>
    <w:rsid w:val="002D217B"/>
    <w:rsid w:val="002D2E47"/>
    <w:rsid w:val="002D3B26"/>
    <w:rsid w:val="002D3D76"/>
    <w:rsid w:val="002D3F5B"/>
    <w:rsid w:val="002D4255"/>
    <w:rsid w:val="002D4396"/>
    <w:rsid w:val="002D4E60"/>
    <w:rsid w:val="002D56A4"/>
    <w:rsid w:val="002D5718"/>
    <w:rsid w:val="002D58AD"/>
    <w:rsid w:val="002D5D40"/>
    <w:rsid w:val="002D6C3D"/>
    <w:rsid w:val="002D6D8A"/>
    <w:rsid w:val="002D71E5"/>
    <w:rsid w:val="002D782A"/>
    <w:rsid w:val="002D7B12"/>
    <w:rsid w:val="002D7C71"/>
    <w:rsid w:val="002D7F71"/>
    <w:rsid w:val="002E0042"/>
    <w:rsid w:val="002E037A"/>
    <w:rsid w:val="002E0595"/>
    <w:rsid w:val="002E0889"/>
    <w:rsid w:val="002E0EC8"/>
    <w:rsid w:val="002E1269"/>
    <w:rsid w:val="002E13E1"/>
    <w:rsid w:val="002E1AD3"/>
    <w:rsid w:val="002E1D61"/>
    <w:rsid w:val="002E1E60"/>
    <w:rsid w:val="002E2082"/>
    <w:rsid w:val="002E278F"/>
    <w:rsid w:val="002E2CCA"/>
    <w:rsid w:val="002E2D58"/>
    <w:rsid w:val="002E355D"/>
    <w:rsid w:val="002E3B4D"/>
    <w:rsid w:val="002E4DF3"/>
    <w:rsid w:val="002E5065"/>
    <w:rsid w:val="002E52E1"/>
    <w:rsid w:val="002E5BAD"/>
    <w:rsid w:val="002E5C13"/>
    <w:rsid w:val="002E669D"/>
    <w:rsid w:val="002E672C"/>
    <w:rsid w:val="002E6AFA"/>
    <w:rsid w:val="002E6FE3"/>
    <w:rsid w:val="002E702F"/>
    <w:rsid w:val="002E7498"/>
    <w:rsid w:val="002F007F"/>
    <w:rsid w:val="002F04B8"/>
    <w:rsid w:val="002F0522"/>
    <w:rsid w:val="002F0734"/>
    <w:rsid w:val="002F087D"/>
    <w:rsid w:val="002F0FFC"/>
    <w:rsid w:val="002F181B"/>
    <w:rsid w:val="002F275B"/>
    <w:rsid w:val="002F2B2A"/>
    <w:rsid w:val="002F2BF3"/>
    <w:rsid w:val="002F38C3"/>
    <w:rsid w:val="002F3CB6"/>
    <w:rsid w:val="002F3DE0"/>
    <w:rsid w:val="002F44B1"/>
    <w:rsid w:val="002F4B25"/>
    <w:rsid w:val="002F59B4"/>
    <w:rsid w:val="002F5E24"/>
    <w:rsid w:val="002F6075"/>
    <w:rsid w:val="002F63F8"/>
    <w:rsid w:val="002F6BDA"/>
    <w:rsid w:val="002F7831"/>
    <w:rsid w:val="002F7F60"/>
    <w:rsid w:val="002F7FD1"/>
    <w:rsid w:val="0030026A"/>
    <w:rsid w:val="00301063"/>
    <w:rsid w:val="00301707"/>
    <w:rsid w:val="003018A5"/>
    <w:rsid w:val="00301975"/>
    <w:rsid w:val="00301DFB"/>
    <w:rsid w:val="00301F0A"/>
    <w:rsid w:val="00302070"/>
    <w:rsid w:val="00303075"/>
    <w:rsid w:val="00304173"/>
    <w:rsid w:val="003045A2"/>
    <w:rsid w:val="003046D0"/>
    <w:rsid w:val="00305371"/>
    <w:rsid w:val="0030542C"/>
    <w:rsid w:val="00305508"/>
    <w:rsid w:val="00305921"/>
    <w:rsid w:val="00306001"/>
    <w:rsid w:val="003062D2"/>
    <w:rsid w:val="00306E41"/>
    <w:rsid w:val="00306F50"/>
    <w:rsid w:val="00310059"/>
    <w:rsid w:val="00310301"/>
    <w:rsid w:val="00310418"/>
    <w:rsid w:val="00310772"/>
    <w:rsid w:val="003111AE"/>
    <w:rsid w:val="00311FE2"/>
    <w:rsid w:val="003121B8"/>
    <w:rsid w:val="00312320"/>
    <w:rsid w:val="00312BEF"/>
    <w:rsid w:val="00312E01"/>
    <w:rsid w:val="00312FFC"/>
    <w:rsid w:val="00313925"/>
    <w:rsid w:val="0031397B"/>
    <w:rsid w:val="00313AAC"/>
    <w:rsid w:val="00313CD7"/>
    <w:rsid w:val="00313DFD"/>
    <w:rsid w:val="00313FA1"/>
    <w:rsid w:val="003150BF"/>
    <w:rsid w:val="003150CE"/>
    <w:rsid w:val="003155A9"/>
    <w:rsid w:val="00315662"/>
    <w:rsid w:val="0031596F"/>
    <w:rsid w:val="00315BD9"/>
    <w:rsid w:val="00315E92"/>
    <w:rsid w:val="00316276"/>
    <w:rsid w:val="00316D06"/>
    <w:rsid w:val="00316D86"/>
    <w:rsid w:val="0031702E"/>
    <w:rsid w:val="00317691"/>
    <w:rsid w:val="00317A61"/>
    <w:rsid w:val="00317EBB"/>
    <w:rsid w:val="003206D2"/>
    <w:rsid w:val="003206D3"/>
    <w:rsid w:val="00320958"/>
    <w:rsid w:val="003212C2"/>
    <w:rsid w:val="00322488"/>
    <w:rsid w:val="003227CF"/>
    <w:rsid w:val="00322987"/>
    <w:rsid w:val="00323773"/>
    <w:rsid w:val="00323B9E"/>
    <w:rsid w:val="00323E17"/>
    <w:rsid w:val="003240CB"/>
    <w:rsid w:val="00324133"/>
    <w:rsid w:val="003242D0"/>
    <w:rsid w:val="00324517"/>
    <w:rsid w:val="00324A01"/>
    <w:rsid w:val="00324F65"/>
    <w:rsid w:val="00325252"/>
    <w:rsid w:val="00325671"/>
    <w:rsid w:val="00325C7F"/>
    <w:rsid w:val="00326EAF"/>
    <w:rsid w:val="00326EF6"/>
    <w:rsid w:val="003279E5"/>
    <w:rsid w:val="00327C7A"/>
    <w:rsid w:val="003301DC"/>
    <w:rsid w:val="00330739"/>
    <w:rsid w:val="00330804"/>
    <w:rsid w:val="00330BFF"/>
    <w:rsid w:val="00331143"/>
    <w:rsid w:val="003315B1"/>
    <w:rsid w:val="00331B50"/>
    <w:rsid w:val="00331C1C"/>
    <w:rsid w:val="00331E12"/>
    <w:rsid w:val="003321A2"/>
    <w:rsid w:val="003321B9"/>
    <w:rsid w:val="003324A2"/>
    <w:rsid w:val="0033254B"/>
    <w:rsid w:val="00334460"/>
    <w:rsid w:val="00334598"/>
    <w:rsid w:val="003347FF"/>
    <w:rsid w:val="00334A6B"/>
    <w:rsid w:val="00334B85"/>
    <w:rsid w:val="0033529A"/>
    <w:rsid w:val="003353FE"/>
    <w:rsid w:val="00335847"/>
    <w:rsid w:val="003359C9"/>
    <w:rsid w:val="00335A6A"/>
    <w:rsid w:val="00335B51"/>
    <w:rsid w:val="00335CE1"/>
    <w:rsid w:val="00335F07"/>
    <w:rsid w:val="00335F6C"/>
    <w:rsid w:val="00335FAD"/>
    <w:rsid w:val="003366B2"/>
    <w:rsid w:val="00336D41"/>
    <w:rsid w:val="00337009"/>
    <w:rsid w:val="003372E6"/>
    <w:rsid w:val="00337DB8"/>
    <w:rsid w:val="00337E0C"/>
    <w:rsid w:val="00340066"/>
    <w:rsid w:val="0034036A"/>
    <w:rsid w:val="00340B26"/>
    <w:rsid w:val="00341156"/>
    <w:rsid w:val="0034122D"/>
    <w:rsid w:val="003414D4"/>
    <w:rsid w:val="003415DA"/>
    <w:rsid w:val="003419F2"/>
    <w:rsid w:val="00341DD1"/>
    <w:rsid w:val="00342372"/>
    <w:rsid w:val="003424B7"/>
    <w:rsid w:val="00342842"/>
    <w:rsid w:val="0034288B"/>
    <w:rsid w:val="00343018"/>
    <w:rsid w:val="0034309D"/>
    <w:rsid w:val="0034328F"/>
    <w:rsid w:val="0034332B"/>
    <w:rsid w:val="00343AC2"/>
    <w:rsid w:val="00344089"/>
    <w:rsid w:val="0034498E"/>
    <w:rsid w:val="00344D35"/>
    <w:rsid w:val="00344EDF"/>
    <w:rsid w:val="0034549F"/>
    <w:rsid w:val="00345A66"/>
    <w:rsid w:val="0034614D"/>
    <w:rsid w:val="0034681C"/>
    <w:rsid w:val="003470DF"/>
    <w:rsid w:val="0034738A"/>
    <w:rsid w:val="003474C9"/>
    <w:rsid w:val="003476A0"/>
    <w:rsid w:val="003478D7"/>
    <w:rsid w:val="00347A10"/>
    <w:rsid w:val="00347D6F"/>
    <w:rsid w:val="00347E47"/>
    <w:rsid w:val="00350396"/>
    <w:rsid w:val="00350CAB"/>
    <w:rsid w:val="00350E13"/>
    <w:rsid w:val="003511BD"/>
    <w:rsid w:val="003512B8"/>
    <w:rsid w:val="003514DD"/>
    <w:rsid w:val="00351782"/>
    <w:rsid w:val="00351792"/>
    <w:rsid w:val="0035247C"/>
    <w:rsid w:val="003528C3"/>
    <w:rsid w:val="00352A89"/>
    <w:rsid w:val="00352E65"/>
    <w:rsid w:val="0035363B"/>
    <w:rsid w:val="00353B5D"/>
    <w:rsid w:val="00353DF8"/>
    <w:rsid w:val="0035467F"/>
    <w:rsid w:val="00354ED9"/>
    <w:rsid w:val="0035517B"/>
    <w:rsid w:val="003552AD"/>
    <w:rsid w:val="0035558B"/>
    <w:rsid w:val="00355AC9"/>
    <w:rsid w:val="00355C28"/>
    <w:rsid w:val="00355D5B"/>
    <w:rsid w:val="003568D5"/>
    <w:rsid w:val="003569CA"/>
    <w:rsid w:val="00356C82"/>
    <w:rsid w:val="00357047"/>
    <w:rsid w:val="00357282"/>
    <w:rsid w:val="00357AA7"/>
    <w:rsid w:val="00357D3F"/>
    <w:rsid w:val="00357E6F"/>
    <w:rsid w:val="003600A8"/>
    <w:rsid w:val="003611EF"/>
    <w:rsid w:val="00361518"/>
    <w:rsid w:val="0036192A"/>
    <w:rsid w:val="003619BC"/>
    <w:rsid w:val="00361AAC"/>
    <w:rsid w:val="00362150"/>
    <w:rsid w:val="003624FF"/>
    <w:rsid w:val="00362603"/>
    <w:rsid w:val="0036260E"/>
    <w:rsid w:val="0036284D"/>
    <w:rsid w:val="00362BD9"/>
    <w:rsid w:val="00362E44"/>
    <w:rsid w:val="0036322B"/>
    <w:rsid w:val="003639BF"/>
    <w:rsid w:val="003640FE"/>
    <w:rsid w:val="00364234"/>
    <w:rsid w:val="00364A48"/>
    <w:rsid w:val="00364A7D"/>
    <w:rsid w:val="00364B78"/>
    <w:rsid w:val="00364BC1"/>
    <w:rsid w:val="00364C45"/>
    <w:rsid w:val="00365174"/>
    <w:rsid w:val="00365964"/>
    <w:rsid w:val="0036611C"/>
    <w:rsid w:val="00366306"/>
    <w:rsid w:val="00366422"/>
    <w:rsid w:val="00366524"/>
    <w:rsid w:val="00366608"/>
    <w:rsid w:val="00366F5A"/>
    <w:rsid w:val="003671E6"/>
    <w:rsid w:val="003674F5"/>
    <w:rsid w:val="003675FF"/>
    <w:rsid w:val="00367D82"/>
    <w:rsid w:val="00367E1B"/>
    <w:rsid w:val="00367EBC"/>
    <w:rsid w:val="003701DD"/>
    <w:rsid w:val="003704E7"/>
    <w:rsid w:val="003706FF"/>
    <w:rsid w:val="003708DF"/>
    <w:rsid w:val="0037110F"/>
    <w:rsid w:val="0037142D"/>
    <w:rsid w:val="003716C7"/>
    <w:rsid w:val="003717A3"/>
    <w:rsid w:val="00371D02"/>
    <w:rsid w:val="00371DA1"/>
    <w:rsid w:val="003723B4"/>
    <w:rsid w:val="00372431"/>
    <w:rsid w:val="00373A0C"/>
    <w:rsid w:val="00373C41"/>
    <w:rsid w:val="00373E58"/>
    <w:rsid w:val="0037417A"/>
    <w:rsid w:val="00375244"/>
    <w:rsid w:val="003753EB"/>
    <w:rsid w:val="00375407"/>
    <w:rsid w:val="00375819"/>
    <w:rsid w:val="00375C36"/>
    <w:rsid w:val="00376073"/>
    <w:rsid w:val="0037634C"/>
    <w:rsid w:val="003765D4"/>
    <w:rsid w:val="0037664A"/>
    <w:rsid w:val="00376B6E"/>
    <w:rsid w:val="00377452"/>
    <w:rsid w:val="00377974"/>
    <w:rsid w:val="00377B17"/>
    <w:rsid w:val="0038056C"/>
    <w:rsid w:val="003806E3"/>
    <w:rsid w:val="00380D5A"/>
    <w:rsid w:val="00381223"/>
    <w:rsid w:val="00381364"/>
    <w:rsid w:val="00381849"/>
    <w:rsid w:val="00381859"/>
    <w:rsid w:val="00381F59"/>
    <w:rsid w:val="003820CD"/>
    <w:rsid w:val="003820DE"/>
    <w:rsid w:val="003823A0"/>
    <w:rsid w:val="0038330F"/>
    <w:rsid w:val="003835A9"/>
    <w:rsid w:val="003835D5"/>
    <w:rsid w:val="00383B0E"/>
    <w:rsid w:val="00383C23"/>
    <w:rsid w:val="00383E44"/>
    <w:rsid w:val="00383F0D"/>
    <w:rsid w:val="00384952"/>
    <w:rsid w:val="00384DB2"/>
    <w:rsid w:val="00384F36"/>
    <w:rsid w:val="00385271"/>
    <w:rsid w:val="00385A49"/>
    <w:rsid w:val="00385B06"/>
    <w:rsid w:val="00385DC5"/>
    <w:rsid w:val="0038768D"/>
    <w:rsid w:val="003877C9"/>
    <w:rsid w:val="00387B5F"/>
    <w:rsid w:val="00387F09"/>
    <w:rsid w:val="003900A8"/>
    <w:rsid w:val="00390229"/>
    <w:rsid w:val="00390B03"/>
    <w:rsid w:val="00391A57"/>
    <w:rsid w:val="00391BC2"/>
    <w:rsid w:val="00392238"/>
    <w:rsid w:val="0039226E"/>
    <w:rsid w:val="003927FE"/>
    <w:rsid w:val="00392CC8"/>
    <w:rsid w:val="003934B3"/>
    <w:rsid w:val="003936C5"/>
    <w:rsid w:val="003940AD"/>
    <w:rsid w:val="003943DD"/>
    <w:rsid w:val="00394699"/>
    <w:rsid w:val="003947A0"/>
    <w:rsid w:val="0039508B"/>
    <w:rsid w:val="0039522B"/>
    <w:rsid w:val="003953EA"/>
    <w:rsid w:val="00395993"/>
    <w:rsid w:val="0039638B"/>
    <w:rsid w:val="00396FAB"/>
    <w:rsid w:val="003973A0"/>
    <w:rsid w:val="00397623"/>
    <w:rsid w:val="00397708"/>
    <w:rsid w:val="003A0050"/>
    <w:rsid w:val="003A0123"/>
    <w:rsid w:val="003A06BA"/>
    <w:rsid w:val="003A0E3E"/>
    <w:rsid w:val="003A0E43"/>
    <w:rsid w:val="003A111D"/>
    <w:rsid w:val="003A1194"/>
    <w:rsid w:val="003A1503"/>
    <w:rsid w:val="003A1FBE"/>
    <w:rsid w:val="003A2017"/>
    <w:rsid w:val="003A24B2"/>
    <w:rsid w:val="003A282B"/>
    <w:rsid w:val="003A292C"/>
    <w:rsid w:val="003A2C49"/>
    <w:rsid w:val="003A2DF7"/>
    <w:rsid w:val="003A31DF"/>
    <w:rsid w:val="003A347D"/>
    <w:rsid w:val="003A3AE1"/>
    <w:rsid w:val="003A3AE6"/>
    <w:rsid w:val="003A3C8D"/>
    <w:rsid w:val="003A3D5D"/>
    <w:rsid w:val="003A3FF9"/>
    <w:rsid w:val="003A44F9"/>
    <w:rsid w:val="003A4594"/>
    <w:rsid w:val="003A48CC"/>
    <w:rsid w:val="003A4C4F"/>
    <w:rsid w:val="003A4C6E"/>
    <w:rsid w:val="003A4CE3"/>
    <w:rsid w:val="003A4E5D"/>
    <w:rsid w:val="003A5443"/>
    <w:rsid w:val="003A5529"/>
    <w:rsid w:val="003A5939"/>
    <w:rsid w:val="003A5DCC"/>
    <w:rsid w:val="003A6028"/>
    <w:rsid w:val="003A6445"/>
    <w:rsid w:val="003A66B7"/>
    <w:rsid w:val="003A72EF"/>
    <w:rsid w:val="003A7ADD"/>
    <w:rsid w:val="003A7E21"/>
    <w:rsid w:val="003B0545"/>
    <w:rsid w:val="003B06D9"/>
    <w:rsid w:val="003B0B11"/>
    <w:rsid w:val="003B12B9"/>
    <w:rsid w:val="003B151A"/>
    <w:rsid w:val="003B2172"/>
    <w:rsid w:val="003B28B5"/>
    <w:rsid w:val="003B2C2E"/>
    <w:rsid w:val="003B3557"/>
    <w:rsid w:val="003B3AA1"/>
    <w:rsid w:val="003B442D"/>
    <w:rsid w:val="003B4D46"/>
    <w:rsid w:val="003B4EED"/>
    <w:rsid w:val="003B4F40"/>
    <w:rsid w:val="003B5747"/>
    <w:rsid w:val="003B5867"/>
    <w:rsid w:val="003B5A8A"/>
    <w:rsid w:val="003B5CA6"/>
    <w:rsid w:val="003B5FC2"/>
    <w:rsid w:val="003B6606"/>
    <w:rsid w:val="003B6B2C"/>
    <w:rsid w:val="003B6B40"/>
    <w:rsid w:val="003C00DE"/>
    <w:rsid w:val="003C01DD"/>
    <w:rsid w:val="003C08CF"/>
    <w:rsid w:val="003C0B50"/>
    <w:rsid w:val="003C0EF9"/>
    <w:rsid w:val="003C17E1"/>
    <w:rsid w:val="003C2206"/>
    <w:rsid w:val="003C24BC"/>
    <w:rsid w:val="003C2602"/>
    <w:rsid w:val="003C266A"/>
    <w:rsid w:val="003C26A9"/>
    <w:rsid w:val="003C2A2D"/>
    <w:rsid w:val="003C3583"/>
    <w:rsid w:val="003C35F7"/>
    <w:rsid w:val="003C36C1"/>
    <w:rsid w:val="003C392C"/>
    <w:rsid w:val="003C55C6"/>
    <w:rsid w:val="003C57E5"/>
    <w:rsid w:val="003C5C28"/>
    <w:rsid w:val="003C5F6B"/>
    <w:rsid w:val="003C602A"/>
    <w:rsid w:val="003C64C7"/>
    <w:rsid w:val="003C6646"/>
    <w:rsid w:val="003C669C"/>
    <w:rsid w:val="003C671A"/>
    <w:rsid w:val="003C6BFC"/>
    <w:rsid w:val="003C782C"/>
    <w:rsid w:val="003C7A57"/>
    <w:rsid w:val="003D0383"/>
    <w:rsid w:val="003D0915"/>
    <w:rsid w:val="003D09D4"/>
    <w:rsid w:val="003D0A9D"/>
    <w:rsid w:val="003D10C1"/>
    <w:rsid w:val="003D1131"/>
    <w:rsid w:val="003D11FB"/>
    <w:rsid w:val="003D1385"/>
    <w:rsid w:val="003D16BD"/>
    <w:rsid w:val="003D1759"/>
    <w:rsid w:val="003D1896"/>
    <w:rsid w:val="003D1949"/>
    <w:rsid w:val="003D2035"/>
    <w:rsid w:val="003D20A9"/>
    <w:rsid w:val="003D214C"/>
    <w:rsid w:val="003D2DB0"/>
    <w:rsid w:val="003D30E9"/>
    <w:rsid w:val="003D3839"/>
    <w:rsid w:val="003D39EE"/>
    <w:rsid w:val="003D3B14"/>
    <w:rsid w:val="003D3C5C"/>
    <w:rsid w:val="003D45D8"/>
    <w:rsid w:val="003D45D9"/>
    <w:rsid w:val="003D49B7"/>
    <w:rsid w:val="003D4F77"/>
    <w:rsid w:val="003D5D01"/>
    <w:rsid w:val="003D62F7"/>
    <w:rsid w:val="003D64F0"/>
    <w:rsid w:val="003D656E"/>
    <w:rsid w:val="003D6E60"/>
    <w:rsid w:val="003D7087"/>
    <w:rsid w:val="003E03C4"/>
    <w:rsid w:val="003E0429"/>
    <w:rsid w:val="003E077E"/>
    <w:rsid w:val="003E0924"/>
    <w:rsid w:val="003E1035"/>
    <w:rsid w:val="003E1499"/>
    <w:rsid w:val="003E16BA"/>
    <w:rsid w:val="003E17F2"/>
    <w:rsid w:val="003E19F7"/>
    <w:rsid w:val="003E1EB2"/>
    <w:rsid w:val="003E219D"/>
    <w:rsid w:val="003E2CCA"/>
    <w:rsid w:val="003E3A3C"/>
    <w:rsid w:val="003E4039"/>
    <w:rsid w:val="003E4162"/>
    <w:rsid w:val="003E4635"/>
    <w:rsid w:val="003E492C"/>
    <w:rsid w:val="003E49C3"/>
    <w:rsid w:val="003E50F9"/>
    <w:rsid w:val="003E51E9"/>
    <w:rsid w:val="003E5426"/>
    <w:rsid w:val="003E6033"/>
    <w:rsid w:val="003E66F1"/>
    <w:rsid w:val="003E6B4F"/>
    <w:rsid w:val="003E710D"/>
    <w:rsid w:val="003E7955"/>
    <w:rsid w:val="003E7A9C"/>
    <w:rsid w:val="003F04AB"/>
    <w:rsid w:val="003F0971"/>
    <w:rsid w:val="003F0FD8"/>
    <w:rsid w:val="003F24B1"/>
    <w:rsid w:val="003F2528"/>
    <w:rsid w:val="003F2669"/>
    <w:rsid w:val="003F2A12"/>
    <w:rsid w:val="003F2ACD"/>
    <w:rsid w:val="003F328F"/>
    <w:rsid w:val="003F3473"/>
    <w:rsid w:val="003F40B1"/>
    <w:rsid w:val="003F4147"/>
    <w:rsid w:val="003F429C"/>
    <w:rsid w:val="003F44C7"/>
    <w:rsid w:val="003F492F"/>
    <w:rsid w:val="003F49B7"/>
    <w:rsid w:val="003F531A"/>
    <w:rsid w:val="003F5717"/>
    <w:rsid w:val="003F59EF"/>
    <w:rsid w:val="003F5AE8"/>
    <w:rsid w:val="003F5F53"/>
    <w:rsid w:val="003F5FA5"/>
    <w:rsid w:val="003F6886"/>
    <w:rsid w:val="003F6F77"/>
    <w:rsid w:val="003F715C"/>
    <w:rsid w:val="003F7215"/>
    <w:rsid w:val="003F736D"/>
    <w:rsid w:val="003F73E0"/>
    <w:rsid w:val="003F74D2"/>
    <w:rsid w:val="003F78D3"/>
    <w:rsid w:val="003F7C9E"/>
    <w:rsid w:val="00400005"/>
    <w:rsid w:val="00400008"/>
    <w:rsid w:val="00400B34"/>
    <w:rsid w:val="00400F33"/>
    <w:rsid w:val="00400FC5"/>
    <w:rsid w:val="00401337"/>
    <w:rsid w:val="004015DE"/>
    <w:rsid w:val="00401D97"/>
    <w:rsid w:val="004022E1"/>
    <w:rsid w:val="004022F2"/>
    <w:rsid w:val="004025E8"/>
    <w:rsid w:val="00402768"/>
    <w:rsid w:val="00402863"/>
    <w:rsid w:val="00402A89"/>
    <w:rsid w:val="00403055"/>
    <w:rsid w:val="00403180"/>
    <w:rsid w:val="00403709"/>
    <w:rsid w:val="00403D9E"/>
    <w:rsid w:val="00404976"/>
    <w:rsid w:val="00404AFC"/>
    <w:rsid w:val="00404C36"/>
    <w:rsid w:val="00405099"/>
    <w:rsid w:val="00405D74"/>
    <w:rsid w:val="0040604E"/>
    <w:rsid w:val="00406987"/>
    <w:rsid w:val="00406CAE"/>
    <w:rsid w:val="00406DBD"/>
    <w:rsid w:val="00406E49"/>
    <w:rsid w:val="00406E77"/>
    <w:rsid w:val="00406E88"/>
    <w:rsid w:val="00406F38"/>
    <w:rsid w:val="00406F3D"/>
    <w:rsid w:val="00407F48"/>
    <w:rsid w:val="00407F4F"/>
    <w:rsid w:val="004102B7"/>
    <w:rsid w:val="004103F7"/>
    <w:rsid w:val="004105EB"/>
    <w:rsid w:val="00410653"/>
    <w:rsid w:val="004106DC"/>
    <w:rsid w:val="00410708"/>
    <w:rsid w:val="004107CA"/>
    <w:rsid w:val="00410ED8"/>
    <w:rsid w:val="004111BC"/>
    <w:rsid w:val="004114CB"/>
    <w:rsid w:val="004119A3"/>
    <w:rsid w:val="00411D5D"/>
    <w:rsid w:val="004121E7"/>
    <w:rsid w:val="004125F4"/>
    <w:rsid w:val="004126D4"/>
    <w:rsid w:val="004127C9"/>
    <w:rsid w:val="00412CAD"/>
    <w:rsid w:val="00412EEC"/>
    <w:rsid w:val="004133D6"/>
    <w:rsid w:val="0041403D"/>
    <w:rsid w:val="00414703"/>
    <w:rsid w:val="00414A9F"/>
    <w:rsid w:val="00415D2B"/>
    <w:rsid w:val="00415E76"/>
    <w:rsid w:val="00416A1B"/>
    <w:rsid w:val="00416A8C"/>
    <w:rsid w:val="00416C0A"/>
    <w:rsid w:val="004171A4"/>
    <w:rsid w:val="004174BD"/>
    <w:rsid w:val="00417F0A"/>
    <w:rsid w:val="00420030"/>
    <w:rsid w:val="00420787"/>
    <w:rsid w:val="004208AE"/>
    <w:rsid w:val="004209C8"/>
    <w:rsid w:val="00420AB0"/>
    <w:rsid w:val="00420CB2"/>
    <w:rsid w:val="004214C4"/>
    <w:rsid w:val="00421941"/>
    <w:rsid w:val="004221D6"/>
    <w:rsid w:val="00422828"/>
    <w:rsid w:val="00422E98"/>
    <w:rsid w:val="00423007"/>
    <w:rsid w:val="0042318B"/>
    <w:rsid w:val="00423AC3"/>
    <w:rsid w:val="00424DE2"/>
    <w:rsid w:val="00424E41"/>
    <w:rsid w:val="00425621"/>
    <w:rsid w:val="00425A9A"/>
    <w:rsid w:val="00425CC9"/>
    <w:rsid w:val="00425EB4"/>
    <w:rsid w:val="0042689D"/>
    <w:rsid w:val="004268C6"/>
    <w:rsid w:val="00426F7B"/>
    <w:rsid w:val="00426FB2"/>
    <w:rsid w:val="00427020"/>
    <w:rsid w:val="004274AB"/>
    <w:rsid w:val="00427A83"/>
    <w:rsid w:val="004303D9"/>
    <w:rsid w:val="004304C1"/>
    <w:rsid w:val="004307C8"/>
    <w:rsid w:val="004309E5"/>
    <w:rsid w:val="00430CD8"/>
    <w:rsid w:val="00430E18"/>
    <w:rsid w:val="00431274"/>
    <w:rsid w:val="00431286"/>
    <w:rsid w:val="0043129E"/>
    <w:rsid w:val="004320C9"/>
    <w:rsid w:val="00432528"/>
    <w:rsid w:val="00432836"/>
    <w:rsid w:val="00433C19"/>
    <w:rsid w:val="00434029"/>
    <w:rsid w:val="00434139"/>
    <w:rsid w:val="00434231"/>
    <w:rsid w:val="00434270"/>
    <w:rsid w:val="00434378"/>
    <w:rsid w:val="00434BAF"/>
    <w:rsid w:val="0043590D"/>
    <w:rsid w:val="004361FB"/>
    <w:rsid w:val="00436392"/>
    <w:rsid w:val="004373D1"/>
    <w:rsid w:val="00437678"/>
    <w:rsid w:val="0043778D"/>
    <w:rsid w:val="00437949"/>
    <w:rsid w:val="00437AD0"/>
    <w:rsid w:val="00437B2C"/>
    <w:rsid w:val="00437B7A"/>
    <w:rsid w:val="0044045A"/>
    <w:rsid w:val="00440ABE"/>
    <w:rsid w:val="0044149E"/>
    <w:rsid w:val="00441B03"/>
    <w:rsid w:val="00441DD0"/>
    <w:rsid w:val="00441FE2"/>
    <w:rsid w:val="00442336"/>
    <w:rsid w:val="004426C8"/>
    <w:rsid w:val="004426CF"/>
    <w:rsid w:val="00442CE5"/>
    <w:rsid w:val="00443259"/>
    <w:rsid w:val="004439D6"/>
    <w:rsid w:val="00443B3F"/>
    <w:rsid w:val="0044547B"/>
    <w:rsid w:val="004454C2"/>
    <w:rsid w:val="00445CFE"/>
    <w:rsid w:val="00447128"/>
    <w:rsid w:val="00447347"/>
    <w:rsid w:val="00447D17"/>
    <w:rsid w:val="00447F33"/>
    <w:rsid w:val="00450130"/>
    <w:rsid w:val="004509B1"/>
    <w:rsid w:val="00450A27"/>
    <w:rsid w:val="00450C40"/>
    <w:rsid w:val="00450DCD"/>
    <w:rsid w:val="004513EA"/>
    <w:rsid w:val="00451C2F"/>
    <w:rsid w:val="00451EC2"/>
    <w:rsid w:val="004521EA"/>
    <w:rsid w:val="00452781"/>
    <w:rsid w:val="00452902"/>
    <w:rsid w:val="00453101"/>
    <w:rsid w:val="004541EA"/>
    <w:rsid w:val="004554A6"/>
    <w:rsid w:val="0045577F"/>
    <w:rsid w:val="00455783"/>
    <w:rsid w:val="004558FF"/>
    <w:rsid w:val="00455F9C"/>
    <w:rsid w:val="0045604A"/>
    <w:rsid w:val="00456931"/>
    <w:rsid w:val="00456C6B"/>
    <w:rsid w:val="00457454"/>
    <w:rsid w:val="004575AD"/>
    <w:rsid w:val="0045772A"/>
    <w:rsid w:val="00457F61"/>
    <w:rsid w:val="0046079E"/>
    <w:rsid w:val="00460B7C"/>
    <w:rsid w:val="00460F13"/>
    <w:rsid w:val="00460F39"/>
    <w:rsid w:val="00461195"/>
    <w:rsid w:val="0046173E"/>
    <w:rsid w:val="004617DE"/>
    <w:rsid w:val="00461C6B"/>
    <w:rsid w:val="00462FB5"/>
    <w:rsid w:val="004630FB"/>
    <w:rsid w:val="00463357"/>
    <w:rsid w:val="00463906"/>
    <w:rsid w:val="00463A04"/>
    <w:rsid w:val="00463A39"/>
    <w:rsid w:val="00463A85"/>
    <w:rsid w:val="00463C92"/>
    <w:rsid w:val="00464070"/>
    <w:rsid w:val="004648BB"/>
    <w:rsid w:val="004649BF"/>
    <w:rsid w:val="00464B58"/>
    <w:rsid w:val="00464BFF"/>
    <w:rsid w:val="00464D3E"/>
    <w:rsid w:val="00464DAC"/>
    <w:rsid w:val="00465255"/>
    <w:rsid w:val="004653E0"/>
    <w:rsid w:val="00465E86"/>
    <w:rsid w:val="004660D3"/>
    <w:rsid w:val="0046625C"/>
    <w:rsid w:val="0046632D"/>
    <w:rsid w:val="0046651C"/>
    <w:rsid w:val="0046668E"/>
    <w:rsid w:val="00466AA9"/>
    <w:rsid w:val="0046700F"/>
    <w:rsid w:val="0046717B"/>
    <w:rsid w:val="004672D9"/>
    <w:rsid w:val="00467B81"/>
    <w:rsid w:val="00467E8C"/>
    <w:rsid w:val="00467EA3"/>
    <w:rsid w:val="00470401"/>
    <w:rsid w:val="00470790"/>
    <w:rsid w:val="00471063"/>
    <w:rsid w:val="00471166"/>
    <w:rsid w:val="004714C1"/>
    <w:rsid w:val="0047164C"/>
    <w:rsid w:val="00472187"/>
    <w:rsid w:val="004723BC"/>
    <w:rsid w:val="00472C5D"/>
    <w:rsid w:val="00473104"/>
    <w:rsid w:val="00473718"/>
    <w:rsid w:val="00473869"/>
    <w:rsid w:val="0047410E"/>
    <w:rsid w:val="004742CD"/>
    <w:rsid w:val="004743D9"/>
    <w:rsid w:val="00474540"/>
    <w:rsid w:val="00474D3C"/>
    <w:rsid w:val="00474FCA"/>
    <w:rsid w:val="00475B7B"/>
    <w:rsid w:val="004762AA"/>
    <w:rsid w:val="0047648F"/>
    <w:rsid w:val="00476A74"/>
    <w:rsid w:val="00476E8F"/>
    <w:rsid w:val="004770EF"/>
    <w:rsid w:val="00477358"/>
    <w:rsid w:val="0047785C"/>
    <w:rsid w:val="004778A5"/>
    <w:rsid w:val="004778B0"/>
    <w:rsid w:val="0048054A"/>
    <w:rsid w:val="00480628"/>
    <w:rsid w:val="0048073D"/>
    <w:rsid w:val="00480C23"/>
    <w:rsid w:val="00480CC5"/>
    <w:rsid w:val="00480E47"/>
    <w:rsid w:val="00481130"/>
    <w:rsid w:val="004811D1"/>
    <w:rsid w:val="004813A6"/>
    <w:rsid w:val="004814FA"/>
    <w:rsid w:val="00481851"/>
    <w:rsid w:val="004818E8"/>
    <w:rsid w:val="00481D5A"/>
    <w:rsid w:val="00481F4B"/>
    <w:rsid w:val="00482465"/>
    <w:rsid w:val="004826A8"/>
    <w:rsid w:val="004829DC"/>
    <w:rsid w:val="00482BD1"/>
    <w:rsid w:val="00482F67"/>
    <w:rsid w:val="00483006"/>
    <w:rsid w:val="00483814"/>
    <w:rsid w:val="004839A8"/>
    <w:rsid w:val="00484647"/>
    <w:rsid w:val="00484915"/>
    <w:rsid w:val="00484B29"/>
    <w:rsid w:val="00485055"/>
    <w:rsid w:val="004855CA"/>
    <w:rsid w:val="00485961"/>
    <w:rsid w:val="00485D76"/>
    <w:rsid w:val="004861F1"/>
    <w:rsid w:val="004862CA"/>
    <w:rsid w:val="004863A2"/>
    <w:rsid w:val="004868EB"/>
    <w:rsid w:val="00486CF7"/>
    <w:rsid w:val="00487190"/>
    <w:rsid w:val="00487387"/>
    <w:rsid w:val="00487806"/>
    <w:rsid w:val="00487F99"/>
    <w:rsid w:val="0049019C"/>
    <w:rsid w:val="0049032A"/>
    <w:rsid w:val="004908E9"/>
    <w:rsid w:val="00490E50"/>
    <w:rsid w:val="00491254"/>
    <w:rsid w:val="004913CC"/>
    <w:rsid w:val="0049140D"/>
    <w:rsid w:val="004914C8"/>
    <w:rsid w:val="0049158C"/>
    <w:rsid w:val="004916EB"/>
    <w:rsid w:val="0049181B"/>
    <w:rsid w:val="004919FD"/>
    <w:rsid w:val="00491A5A"/>
    <w:rsid w:val="00491AE3"/>
    <w:rsid w:val="004935AF"/>
    <w:rsid w:val="004939A6"/>
    <w:rsid w:val="004939FB"/>
    <w:rsid w:val="00493A32"/>
    <w:rsid w:val="00493C1D"/>
    <w:rsid w:val="00493E8B"/>
    <w:rsid w:val="0049418D"/>
    <w:rsid w:val="004946B1"/>
    <w:rsid w:val="0049473F"/>
    <w:rsid w:val="004948AA"/>
    <w:rsid w:val="00494CDD"/>
    <w:rsid w:val="00494F9B"/>
    <w:rsid w:val="004954A0"/>
    <w:rsid w:val="00495A2C"/>
    <w:rsid w:val="00495BE4"/>
    <w:rsid w:val="004962F8"/>
    <w:rsid w:val="00496D67"/>
    <w:rsid w:val="00497E55"/>
    <w:rsid w:val="004A0159"/>
    <w:rsid w:val="004A06FC"/>
    <w:rsid w:val="004A073B"/>
    <w:rsid w:val="004A0A72"/>
    <w:rsid w:val="004A0D45"/>
    <w:rsid w:val="004A0DF7"/>
    <w:rsid w:val="004A132C"/>
    <w:rsid w:val="004A1774"/>
    <w:rsid w:val="004A1DD0"/>
    <w:rsid w:val="004A2969"/>
    <w:rsid w:val="004A2B2C"/>
    <w:rsid w:val="004A31CC"/>
    <w:rsid w:val="004A32D9"/>
    <w:rsid w:val="004A3B45"/>
    <w:rsid w:val="004A40A6"/>
    <w:rsid w:val="004A421E"/>
    <w:rsid w:val="004A437E"/>
    <w:rsid w:val="004A44AF"/>
    <w:rsid w:val="004A4513"/>
    <w:rsid w:val="004A4BC8"/>
    <w:rsid w:val="004A4EB5"/>
    <w:rsid w:val="004A502A"/>
    <w:rsid w:val="004A508B"/>
    <w:rsid w:val="004A5566"/>
    <w:rsid w:val="004A55E0"/>
    <w:rsid w:val="004A5C27"/>
    <w:rsid w:val="004A5CB3"/>
    <w:rsid w:val="004A5D25"/>
    <w:rsid w:val="004A6006"/>
    <w:rsid w:val="004A60C7"/>
    <w:rsid w:val="004A6951"/>
    <w:rsid w:val="004A6CA1"/>
    <w:rsid w:val="004A6EE8"/>
    <w:rsid w:val="004A70A3"/>
    <w:rsid w:val="004A789F"/>
    <w:rsid w:val="004A7DE7"/>
    <w:rsid w:val="004A7E95"/>
    <w:rsid w:val="004A7F98"/>
    <w:rsid w:val="004B0326"/>
    <w:rsid w:val="004B05B2"/>
    <w:rsid w:val="004B11FD"/>
    <w:rsid w:val="004B1515"/>
    <w:rsid w:val="004B1C1E"/>
    <w:rsid w:val="004B24AD"/>
    <w:rsid w:val="004B2583"/>
    <w:rsid w:val="004B26D9"/>
    <w:rsid w:val="004B2C5E"/>
    <w:rsid w:val="004B2F94"/>
    <w:rsid w:val="004B34A2"/>
    <w:rsid w:val="004B3510"/>
    <w:rsid w:val="004B3F10"/>
    <w:rsid w:val="004B442A"/>
    <w:rsid w:val="004B4462"/>
    <w:rsid w:val="004B46E3"/>
    <w:rsid w:val="004B52AC"/>
    <w:rsid w:val="004B52AE"/>
    <w:rsid w:val="004B5675"/>
    <w:rsid w:val="004B5AF2"/>
    <w:rsid w:val="004B5D41"/>
    <w:rsid w:val="004B5E87"/>
    <w:rsid w:val="004B648E"/>
    <w:rsid w:val="004B6507"/>
    <w:rsid w:val="004B6609"/>
    <w:rsid w:val="004B69A7"/>
    <w:rsid w:val="004B6BB1"/>
    <w:rsid w:val="004B6D5B"/>
    <w:rsid w:val="004B71E8"/>
    <w:rsid w:val="004B774B"/>
    <w:rsid w:val="004B791C"/>
    <w:rsid w:val="004B7FF0"/>
    <w:rsid w:val="004C0039"/>
    <w:rsid w:val="004C0364"/>
    <w:rsid w:val="004C0F06"/>
    <w:rsid w:val="004C0FD8"/>
    <w:rsid w:val="004C19D1"/>
    <w:rsid w:val="004C1BCD"/>
    <w:rsid w:val="004C20DE"/>
    <w:rsid w:val="004C2359"/>
    <w:rsid w:val="004C24DA"/>
    <w:rsid w:val="004C2995"/>
    <w:rsid w:val="004C2E1B"/>
    <w:rsid w:val="004C3764"/>
    <w:rsid w:val="004C3FFF"/>
    <w:rsid w:val="004C4130"/>
    <w:rsid w:val="004C4629"/>
    <w:rsid w:val="004C46DB"/>
    <w:rsid w:val="004C486D"/>
    <w:rsid w:val="004C4B71"/>
    <w:rsid w:val="004C4CAA"/>
    <w:rsid w:val="004C4E21"/>
    <w:rsid w:val="004C57A9"/>
    <w:rsid w:val="004C6B85"/>
    <w:rsid w:val="004C70EA"/>
    <w:rsid w:val="004D0477"/>
    <w:rsid w:val="004D0637"/>
    <w:rsid w:val="004D087E"/>
    <w:rsid w:val="004D1056"/>
    <w:rsid w:val="004D1121"/>
    <w:rsid w:val="004D1192"/>
    <w:rsid w:val="004D14F9"/>
    <w:rsid w:val="004D19DB"/>
    <w:rsid w:val="004D1AA6"/>
    <w:rsid w:val="004D1B20"/>
    <w:rsid w:val="004D1E88"/>
    <w:rsid w:val="004D1EFA"/>
    <w:rsid w:val="004D2225"/>
    <w:rsid w:val="004D2909"/>
    <w:rsid w:val="004D3068"/>
    <w:rsid w:val="004D379C"/>
    <w:rsid w:val="004D37B9"/>
    <w:rsid w:val="004D3CD7"/>
    <w:rsid w:val="004D3D44"/>
    <w:rsid w:val="004D409F"/>
    <w:rsid w:val="004D42A5"/>
    <w:rsid w:val="004D4B4F"/>
    <w:rsid w:val="004D581A"/>
    <w:rsid w:val="004D58DE"/>
    <w:rsid w:val="004D63E2"/>
    <w:rsid w:val="004D6988"/>
    <w:rsid w:val="004D6D3F"/>
    <w:rsid w:val="004D6F50"/>
    <w:rsid w:val="004D75A0"/>
    <w:rsid w:val="004D78AE"/>
    <w:rsid w:val="004D7929"/>
    <w:rsid w:val="004D7A8F"/>
    <w:rsid w:val="004D7C68"/>
    <w:rsid w:val="004E03FB"/>
    <w:rsid w:val="004E08FC"/>
    <w:rsid w:val="004E0D75"/>
    <w:rsid w:val="004E1108"/>
    <w:rsid w:val="004E1877"/>
    <w:rsid w:val="004E1FB6"/>
    <w:rsid w:val="004E2DDE"/>
    <w:rsid w:val="004E3039"/>
    <w:rsid w:val="004E391A"/>
    <w:rsid w:val="004E3F30"/>
    <w:rsid w:val="004E3FA6"/>
    <w:rsid w:val="004E4148"/>
    <w:rsid w:val="004E46F8"/>
    <w:rsid w:val="004E4ABB"/>
    <w:rsid w:val="004E4B71"/>
    <w:rsid w:val="004E50C8"/>
    <w:rsid w:val="004E51FA"/>
    <w:rsid w:val="004E5F13"/>
    <w:rsid w:val="004E653E"/>
    <w:rsid w:val="004E65F5"/>
    <w:rsid w:val="004E682C"/>
    <w:rsid w:val="004E6C4D"/>
    <w:rsid w:val="004E6E45"/>
    <w:rsid w:val="004E7B80"/>
    <w:rsid w:val="004E7BB9"/>
    <w:rsid w:val="004F0362"/>
    <w:rsid w:val="004F0E80"/>
    <w:rsid w:val="004F0F6C"/>
    <w:rsid w:val="004F1003"/>
    <w:rsid w:val="004F10F9"/>
    <w:rsid w:val="004F1528"/>
    <w:rsid w:val="004F16BF"/>
    <w:rsid w:val="004F1A01"/>
    <w:rsid w:val="004F2867"/>
    <w:rsid w:val="004F2D33"/>
    <w:rsid w:val="004F2D77"/>
    <w:rsid w:val="004F3076"/>
    <w:rsid w:val="004F3C00"/>
    <w:rsid w:val="004F3E28"/>
    <w:rsid w:val="004F40C4"/>
    <w:rsid w:val="004F4230"/>
    <w:rsid w:val="004F46FE"/>
    <w:rsid w:val="004F4CA4"/>
    <w:rsid w:val="004F4D59"/>
    <w:rsid w:val="004F4E0A"/>
    <w:rsid w:val="004F5DB0"/>
    <w:rsid w:val="004F6119"/>
    <w:rsid w:val="004F621F"/>
    <w:rsid w:val="004F625C"/>
    <w:rsid w:val="004F63B1"/>
    <w:rsid w:val="004F650A"/>
    <w:rsid w:val="004F6903"/>
    <w:rsid w:val="004F6CAC"/>
    <w:rsid w:val="004F6F09"/>
    <w:rsid w:val="004F7879"/>
    <w:rsid w:val="005006B7"/>
    <w:rsid w:val="00500809"/>
    <w:rsid w:val="00500A3F"/>
    <w:rsid w:val="0050172B"/>
    <w:rsid w:val="00501830"/>
    <w:rsid w:val="00501C9E"/>
    <w:rsid w:val="00501DB7"/>
    <w:rsid w:val="005027CD"/>
    <w:rsid w:val="00502A83"/>
    <w:rsid w:val="00502C21"/>
    <w:rsid w:val="00502EAE"/>
    <w:rsid w:val="0050341F"/>
    <w:rsid w:val="00503528"/>
    <w:rsid w:val="0050390C"/>
    <w:rsid w:val="0050395D"/>
    <w:rsid w:val="00503A1B"/>
    <w:rsid w:val="0050445F"/>
    <w:rsid w:val="0050500F"/>
    <w:rsid w:val="005051CE"/>
    <w:rsid w:val="00505279"/>
    <w:rsid w:val="005060CE"/>
    <w:rsid w:val="005063E1"/>
    <w:rsid w:val="005064D4"/>
    <w:rsid w:val="00506563"/>
    <w:rsid w:val="005067A0"/>
    <w:rsid w:val="005068EB"/>
    <w:rsid w:val="0050709A"/>
    <w:rsid w:val="005078D1"/>
    <w:rsid w:val="005079FC"/>
    <w:rsid w:val="00507CC5"/>
    <w:rsid w:val="00507F96"/>
    <w:rsid w:val="0051000C"/>
    <w:rsid w:val="005102E5"/>
    <w:rsid w:val="00510B4A"/>
    <w:rsid w:val="00510E60"/>
    <w:rsid w:val="00511145"/>
    <w:rsid w:val="00511C8F"/>
    <w:rsid w:val="0051239B"/>
    <w:rsid w:val="00512663"/>
    <w:rsid w:val="005127C4"/>
    <w:rsid w:val="005127C5"/>
    <w:rsid w:val="00512808"/>
    <w:rsid w:val="005128F2"/>
    <w:rsid w:val="00513E20"/>
    <w:rsid w:val="005140E1"/>
    <w:rsid w:val="005142C9"/>
    <w:rsid w:val="00515048"/>
    <w:rsid w:val="00515600"/>
    <w:rsid w:val="0051567F"/>
    <w:rsid w:val="00515A18"/>
    <w:rsid w:val="00516095"/>
    <w:rsid w:val="00516BBB"/>
    <w:rsid w:val="00516E77"/>
    <w:rsid w:val="00516FA7"/>
    <w:rsid w:val="00517043"/>
    <w:rsid w:val="00517239"/>
    <w:rsid w:val="00517592"/>
    <w:rsid w:val="00517898"/>
    <w:rsid w:val="00517BBC"/>
    <w:rsid w:val="00520D66"/>
    <w:rsid w:val="00521396"/>
    <w:rsid w:val="005213F3"/>
    <w:rsid w:val="005218B2"/>
    <w:rsid w:val="0052191D"/>
    <w:rsid w:val="005221F0"/>
    <w:rsid w:val="00522483"/>
    <w:rsid w:val="00522790"/>
    <w:rsid w:val="005229B5"/>
    <w:rsid w:val="00522DE2"/>
    <w:rsid w:val="00522E2D"/>
    <w:rsid w:val="00523E83"/>
    <w:rsid w:val="00523F31"/>
    <w:rsid w:val="005248BB"/>
    <w:rsid w:val="00524BC0"/>
    <w:rsid w:val="00524CA1"/>
    <w:rsid w:val="00525DBF"/>
    <w:rsid w:val="00525E77"/>
    <w:rsid w:val="0052616D"/>
    <w:rsid w:val="0052766C"/>
    <w:rsid w:val="00527B3E"/>
    <w:rsid w:val="00527E90"/>
    <w:rsid w:val="00530309"/>
    <w:rsid w:val="0053033E"/>
    <w:rsid w:val="005308A5"/>
    <w:rsid w:val="00530E80"/>
    <w:rsid w:val="00530FB5"/>
    <w:rsid w:val="0053140B"/>
    <w:rsid w:val="005314E9"/>
    <w:rsid w:val="00531723"/>
    <w:rsid w:val="005320E8"/>
    <w:rsid w:val="005320F6"/>
    <w:rsid w:val="005321C7"/>
    <w:rsid w:val="005324D9"/>
    <w:rsid w:val="0053275E"/>
    <w:rsid w:val="005328BB"/>
    <w:rsid w:val="0053324F"/>
    <w:rsid w:val="00533435"/>
    <w:rsid w:val="005336F9"/>
    <w:rsid w:val="005337A7"/>
    <w:rsid w:val="00533806"/>
    <w:rsid w:val="00533905"/>
    <w:rsid w:val="00534237"/>
    <w:rsid w:val="005343E5"/>
    <w:rsid w:val="00534783"/>
    <w:rsid w:val="005348BF"/>
    <w:rsid w:val="005348C1"/>
    <w:rsid w:val="00534FEB"/>
    <w:rsid w:val="005355C6"/>
    <w:rsid w:val="005358A6"/>
    <w:rsid w:val="00535D03"/>
    <w:rsid w:val="0053646F"/>
    <w:rsid w:val="005369B7"/>
    <w:rsid w:val="00536DCC"/>
    <w:rsid w:val="00537F3A"/>
    <w:rsid w:val="00540103"/>
    <w:rsid w:val="00540184"/>
    <w:rsid w:val="00540372"/>
    <w:rsid w:val="0054037F"/>
    <w:rsid w:val="0054081C"/>
    <w:rsid w:val="005419BC"/>
    <w:rsid w:val="005419F4"/>
    <w:rsid w:val="00541E10"/>
    <w:rsid w:val="00541EF9"/>
    <w:rsid w:val="00542A46"/>
    <w:rsid w:val="00543088"/>
    <w:rsid w:val="005431CF"/>
    <w:rsid w:val="00543275"/>
    <w:rsid w:val="0054355D"/>
    <w:rsid w:val="005438E6"/>
    <w:rsid w:val="00543A30"/>
    <w:rsid w:val="00543D0A"/>
    <w:rsid w:val="00543F84"/>
    <w:rsid w:val="0054402B"/>
    <w:rsid w:val="005445C0"/>
    <w:rsid w:val="00544C0D"/>
    <w:rsid w:val="00544EFB"/>
    <w:rsid w:val="005454F3"/>
    <w:rsid w:val="005455E5"/>
    <w:rsid w:val="0054563C"/>
    <w:rsid w:val="0054580F"/>
    <w:rsid w:val="00545955"/>
    <w:rsid w:val="00545B75"/>
    <w:rsid w:val="0054681B"/>
    <w:rsid w:val="00546872"/>
    <w:rsid w:val="0054779A"/>
    <w:rsid w:val="00547BA1"/>
    <w:rsid w:val="00547DCB"/>
    <w:rsid w:val="00550050"/>
    <w:rsid w:val="00550483"/>
    <w:rsid w:val="0055134D"/>
    <w:rsid w:val="00551822"/>
    <w:rsid w:val="00551ABC"/>
    <w:rsid w:val="00551CAA"/>
    <w:rsid w:val="00551E4B"/>
    <w:rsid w:val="00552063"/>
    <w:rsid w:val="0055261F"/>
    <w:rsid w:val="00552918"/>
    <w:rsid w:val="00552D53"/>
    <w:rsid w:val="00552F3B"/>
    <w:rsid w:val="00553397"/>
    <w:rsid w:val="00553614"/>
    <w:rsid w:val="00553EBC"/>
    <w:rsid w:val="0055440D"/>
    <w:rsid w:val="00554427"/>
    <w:rsid w:val="00554A16"/>
    <w:rsid w:val="00554D24"/>
    <w:rsid w:val="005550E9"/>
    <w:rsid w:val="005553A0"/>
    <w:rsid w:val="00555D8E"/>
    <w:rsid w:val="00555FBF"/>
    <w:rsid w:val="00555FC9"/>
    <w:rsid w:val="00556101"/>
    <w:rsid w:val="00556766"/>
    <w:rsid w:val="0055692B"/>
    <w:rsid w:val="00556BC9"/>
    <w:rsid w:val="00557508"/>
    <w:rsid w:val="00557CB1"/>
    <w:rsid w:val="00557E54"/>
    <w:rsid w:val="0056072C"/>
    <w:rsid w:val="0056091E"/>
    <w:rsid w:val="00560C69"/>
    <w:rsid w:val="00560CF1"/>
    <w:rsid w:val="00561371"/>
    <w:rsid w:val="0056165D"/>
    <w:rsid w:val="0056172D"/>
    <w:rsid w:val="00561A82"/>
    <w:rsid w:val="00561D56"/>
    <w:rsid w:val="0056294D"/>
    <w:rsid w:val="00562DAD"/>
    <w:rsid w:val="00563281"/>
    <w:rsid w:val="005635F3"/>
    <w:rsid w:val="00563B0A"/>
    <w:rsid w:val="00563D93"/>
    <w:rsid w:val="0056411C"/>
    <w:rsid w:val="005642F2"/>
    <w:rsid w:val="0056494B"/>
    <w:rsid w:val="00564CEA"/>
    <w:rsid w:val="00564FC9"/>
    <w:rsid w:val="005655BB"/>
    <w:rsid w:val="005655C6"/>
    <w:rsid w:val="00565B4C"/>
    <w:rsid w:val="00565C1E"/>
    <w:rsid w:val="00566190"/>
    <w:rsid w:val="00566254"/>
    <w:rsid w:val="005663FF"/>
    <w:rsid w:val="00567050"/>
    <w:rsid w:val="00567642"/>
    <w:rsid w:val="0056773A"/>
    <w:rsid w:val="005677E5"/>
    <w:rsid w:val="00567881"/>
    <w:rsid w:val="00567923"/>
    <w:rsid w:val="00567E2E"/>
    <w:rsid w:val="00567F67"/>
    <w:rsid w:val="00570311"/>
    <w:rsid w:val="0057055A"/>
    <w:rsid w:val="00570D24"/>
    <w:rsid w:val="00571813"/>
    <w:rsid w:val="00571B96"/>
    <w:rsid w:val="00571D0A"/>
    <w:rsid w:val="00571D83"/>
    <w:rsid w:val="00572384"/>
    <w:rsid w:val="0057251D"/>
    <w:rsid w:val="00572556"/>
    <w:rsid w:val="00572BB6"/>
    <w:rsid w:val="00572BCA"/>
    <w:rsid w:val="00572D91"/>
    <w:rsid w:val="005730EB"/>
    <w:rsid w:val="00573BC9"/>
    <w:rsid w:val="00574295"/>
    <w:rsid w:val="0057447A"/>
    <w:rsid w:val="005744AD"/>
    <w:rsid w:val="00574C1A"/>
    <w:rsid w:val="00574EB8"/>
    <w:rsid w:val="0057576D"/>
    <w:rsid w:val="00575DE8"/>
    <w:rsid w:val="0057620C"/>
    <w:rsid w:val="00576900"/>
    <w:rsid w:val="0057695A"/>
    <w:rsid w:val="00577298"/>
    <w:rsid w:val="0057734C"/>
    <w:rsid w:val="005773CA"/>
    <w:rsid w:val="005775A4"/>
    <w:rsid w:val="005777DA"/>
    <w:rsid w:val="00577CF8"/>
    <w:rsid w:val="00577DDC"/>
    <w:rsid w:val="00577E4E"/>
    <w:rsid w:val="00577EE1"/>
    <w:rsid w:val="005805BB"/>
    <w:rsid w:val="00580C6B"/>
    <w:rsid w:val="00580EEB"/>
    <w:rsid w:val="00580FCF"/>
    <w:rsid w:val="00581233"/>
    <w:rsid w:val="00581509"/>
    <w:rsid w:val="00581B23"/>
    <w:rsid w:val="00581C76"/>
    <w:rsid w:val="00581F32"/>
    <w:rsid w:val="0058213C"/>
    <w:rsid w:val="0058272A"/>
    <w:rsid w:val="00582C75"/>
    <w:rsid w:val="00582DFC"/>
    <w:rsid w:val="00582EF2"/>
    <w:rsid w:val="0058313B"/>
    <w:rsid w:val="0058334E"/>
    <w:rsid w:val="0058342B"/>
    <w:rsid w:val="00583673"/>
    <w:rsid w:val="0058397F"/>
    <w:rsid w:val="005839FB"/>
    <w:rsid w:val="00583D08"/>
    <w:rsid w:val="00583E3E"/>
    <w:rsid w:val="005841E6"/>
    <w:rsid w:val="00584B3D"/>
    <w:rsid w:val="00585289"/>
    <w:rsid w:val="00585593"/>
    <w:rsid w:val="00585B8F"/>
    <w:rsid w:val="00586DA8"/>
    <w:rsid w:val="00586EB4"/>
    <w:rsid w:val="00587403"/>
    <w:rsid w:val="0058772D"/>
    <w:rsid w:val="005879BD"/>
    <w:rsid w:val="00587BC1"/>
    <w:rsid w:val="00587BE7"/>
    <w:rsid w:val="00587CBC"/>
    <w:rsid w:val="00587EA7"/>
    <w:rsid w:val="00590046"/>
    <w:rsid w:val="005900F4"/>
    <w:rsid w:val="0059057E"/>
    <w:rsid w:val="00590E0C"/>
    <w:rsid w:val="00591937"/>
    <w:rsid w:val="005919FB"/>
    <w:rsid w:val="00591AC0"/>
    <w:rsid w:val="005922D4"/>
    <w:rsid w:val="005923C4"/>
    <w:rsid w:val="0059255F"/>
    <w:rsid w:val="00592CF4"/>
    <w:rsid w:val="005933D5"/>
    <w:rsid w:val="00593736"/>
    <w:rsid w:val="005937E4"/>
    <w:rsid w:val="00593868"/>
    <w:rsid w:val="00593A22"/>
    <w:rsid w:val="00593D09"/>
    <w:rsid w:val="00593D5E"/>
    <w:rsid w:val="00593EE8"/>
    <w:rsid w:val="00593F47"/>
    <w:rsid w:val="00594340"/>
    <w:rsid w:val="00594380"/>
    <w:rsid w:val="0059440E"/>
    <w:rsid w:val="0059449B"/>
    <w:rsid w:val="005944F6"/>
    <w:rsid w:val="00594A4C"/>
    <w:rsid w:val="00594D17"/>
    <w:rsid w:val="00594E63"/>
    <w:rsid w:val="00595068"/>
    <w:rsid w:val="0059565E"/>
    <w:rsid w:val="00595BEA"/>
    <w:rsid w:val="00595DF1"/>
    <w:rsid w:val="00595FA5"/>
    <w:rsid w:val="005960DE"/>
    <w:rsid w:val="005961F2"/>
    <w:rsid w:val="00596224"/>
    <w:rsid w:val="00596524"/>
    <w:rsid w:val="005968C6"/>
    <w:rsid w:val="0059701D"/>
    <w:rsid w:val="00597305"/>
    <w:rsid w:val="00597804"/>
    <w:rsid w:val="00597C20"/>
    <w:rsid w:val="00597D35"/>
    <w:rsid w:val="00597F2E"/>
    <w:rsid w:val="00597F8F"/>
    <w:rsid w:val="005A0828"/>
    <w:rsid w:val="005A0ACB"/>
    <w:rsid w:val="005A101A"/>
    <w:rsid w:val="005A15F8"/>
    <w:rsid w:val="005A1A80"/>
    <w:rsid w:val="005A1B70"/>
    <w:rsid w:val="005A2A05"/>
    <w:rsid w:val="005A2A77"/>
    <w:rsid w:val="005A2CE6"/>
    <w:rsid w:val="005A2EF3"/>
    <w:rsid w:val="005A3A3B"/>
    <w:rsid w:val="005A41B5"/>
    <w:rsid w:val="005A4A36"/>
    <w:rsid w:val="005A5B8A"/>
    <w:rsid w:val="005A603C"/>
    <w:rsid w:val="005A6084"/>
    <w:rsid w:val="005A6184"/>
    <w:rsid w:val="005A6D6D"/>
    <w:rsid w:val="005A720B"/>
    <w:rsid w:val="005A7264"/>
    <w:rsid w:val="005A7AEE"/>
    <w:rsid w:val="005A7B68"/>
    <w:rsid w:val="005B0E53"/>
    <w:rsid w:val="005B0F49"/>
    <w:rsid w:val="005B1601"/>
    <w:rsid w:val="005B18C6"/>
    <w:rsid w:val="005B1A06"/>
    <w:rsid w:val="005B1A13"/>
    <w:rsid w:val="005B1B78"/>
    <w:rsid w:val="005B1DC3"/>
    <w:rsid w:val="005B24BC"/>
    <w:rsid w:val="005B2884"/>
    <w:rsid w:val="005B2EDF"/>
    <w:rsid w:val="005B2F8D"/>
    <w:rsid w:val="005B33C0"/>
    <w:rsid w:val="005B364C"/>
    <w:rsid w:val="005B36FE"/>
    <w:rsid w:val="005B42B2"/>
    <w:rsid w:val="005B4396"/>
    <w:rsid w:val="005B44BB"/>
    <w:rsid w:val="005B44D2"/>
    <w:rsid w:val="005B47E1"/>
    <w:rsid w:val="005B4CFC"/>
    <w:rsid w:val="005B4DFB"/>
    <w:rsid w:val="005B4F1F"/>
    <w:rsid w:val="005B586A"/>
    <w:rsid w:val="005B58B0"/>
    <w:rsid w:val="005B5DD3"/>
    <w:rsid w:val="005B5E94"/>
    <w:rsid w:val="005B5EAA"/>
    <w:rsid w:val="005B69B5"/>
    <w:rsid w:val="005B6DF8"/>
    <w:rsid w:val="005B6E0D"/>
    <w:rsid w:val="005B7793"/>
    <w:rsid w:val="005B7857"/>
    <w:rsid w:val="005B7B55"/>
    <w:rsid w:val="005B7C87"/>
    <w:rsid w:val="005B7D7F"/>
    <w:rsid w:val="005C0298"/>
    <w:rsid w:val="005C0769"/>
    <w:rsid w:val="005C0E75"/>
    <w:rsid w:val="005C11E6"/>
    <w:rsid w:val="005C13CD"/>
    <w:rsid w:val="005C18E5"/>
    <w:rsid w:val="005C1E65"/>
    <w:rsid w:val="005C360A"/>
    <w:rsid w:val="005C3682"/>
    <w:rsid w:val="005C3848"/>
    <w:rsid w:val="005C3DC6"/>
    <w:rsid w:val="005C3E92"/>
    <w:rsid w:val="005C3F07"/>
    <w:rsid w:val="005C3F16"/>
    <w:rsid w:val="005C410C"/>
    <w:rsid w:val="005C4397"/>
    <w:rsid w:val="005C4E6A"/>
    <w:rsid w:val="005C4EEA"/>
    <w:rsid w:val="005C50C3"/>
    <w:rsid w:val="005C5FBC"/>
    <w:rsid w:val="005C79B4"/>
    <w:rsid w:val="005C7EE9"/>
    <w:rsid w:val="005D07D5"/>
    <w:rsid w:val="005D0903"/>
    <w:rsid w:val="005D1047"/>
    <w:rsid w:val="005D110E"/>
    <w:rsid w:val="005D12E9"/>
    <w:rsid w:val="005D144E"/>
    <w:rsid w:val="005D150B"/>
    <w:rsid w:val="005D19D4"/>
    <w:rsid w:val="005D1E51"/>
    <w:rsid w:val="005D20CC"/>
    <w:rsid w:val="005D21B8"/>
    <w:rsid w:val="005D221C"/>
    <w:rsid w:val="005D27B6"/>
    <w:rsid w:val="005D2A43"/>
    <w:rsid w:val="005D2D92"/>
    <w:rsid w:val="005D3293"/>
    <w:rsid w:val="005D338E"/>
    <w:rsid w:val="005D33F4"/>
    <w:rsid w:val="005D3B73"/>
    <w:rsid w:val="005D3D71"/>
    <w:rsid w:val="005D3E0E"/>
    <w:rsid w:val="005D3EF5"/>
    <w:rsid w:val="005D4AB1"/>
    <w:rsid w:val="005D4DCE"/>
    <w:rsid w:val="005D5367"/>
    <w:rsid w:val="005D5D46"/>
    <w:rsid w:val="005D5EE2"/>
    <w:rsid w:val="005D69F4"/>
    <w:rsid w:val="005D6EA0"/>
    <w:rsid w:val="005D7808"/>
    <w:rsid w:val="005D79C7"/>
    <w:rsid w:val="005D7C7D"/>
    <w:rsid w:val="005E008C"/>
    <w:rsid w:val="005E00FB"/>
    <w:rsid w:val="005E1133"/>
    <w:rsid w:val="005E16CF"/>
    <w:rsid w:val="005E2B3D"/>
    <w:rsid w:val="005E30BA"/>
    <w:rsid w:val="005E3188"/>
    <w:rsid w:val="005E38BC"/>
    <w:rsid w:val="005E3C5D"/>
    <w:rsid w:val="005E4457"/>
    <w:rsid w:val="005E4C18"/>
    <w:rsid w:val="005E518E"/>
    <w:rsid w:val="005E5198"/>
    <w:rsid w:val="005E63FA"/>
    <w:rsid w:val="005E65C7"/>
    <w:rsid w:val="005E6FB0"/>
    <w:rsid w:val="005E745A"/>
    <w:rsid w:val="005E75A7"/>
    <w:rsid w:val="005E76E2"/>
    <w:rsid w:val="005E77F7"/>
    <w:rsid w:val="005E79FA"/>
    <w:rsid w:val="005E7A74"/>
    <w:rsid w:val="005E7AFD"/>
    <w:rsid w:val="005E7B36"/>
    <w:rsid w:val="005E7B7E"/>
    <w:rsid w:val="005E7DB2"/>
    <w:rsid w:val="005F02E6"/>
    <w:rsid w:val="005F091D"/>
    <w:rsid w:val="005F0B6E"/>
    <w:rsid w:val="005F0C99"/>
    <w:rsid w:val="005F0F44"/>
    <w:rsid w:val="005F10F1"/>
    <w:rsid w:val="005F147E"/>
    <w:rsid w:val="005F1911"/>
    <w:rsid w:val="005F19A9"/>
    <w:rsid w:val="005F21A6"/>
    <w:rsid w:val="005F2469"/>
    <w:rsid w:val="005F2478"/>
    <w:rsid w:val="005F26A9"/>
    <w:rsid w:val="005F28AB"/>
    <w:rsid w:val="005F2CBA"/>
    <w:rsid w:val="005F3216"/>
    <w:rsid w:val="005F3932"/>
    <w:rsid w:val="005F3F36"/>
    <w:rsid w:val="005F3FD1"/>
    <w:rsid w:val="005F45D8"/>
    <w:rsid w:val="005F469F"/>
    <w:rsid w:val="005F49D5"/>
    <w:rsid w:val="005F49F4"/>
    <w:rsid w:val="005F4DFE"/>
    <w:rsid w:val="005F4E3D"/>
    <w:rsid w:val="005F4EF9"/>
    <w:rsid w:val="005F507D"/>
    <w:rsid w:val="005F50D5"/>
    <w:rsid w:val="005F54E7"/>
    <w:rsid w:val="005F5908"/>
    <w:rsid w:val="005F5B8E"/>
    <w:rsid w:val="005F5D24"/>
    <w:rsid w:val="005F5D67"/>
    <w:rsid w:val="005F631A"/>
    <w:rsid w:val="005F7B17"/>
    <w:rsid w:val="006007D0"/>
    <w:rsid w:val="00600BC5"/>
    <w:rsid w:val="00600CFE"/>
    <w:rsid w:val="00600FCF"/>
    <w:rsid w:val="00601095"/>
    <w:rsid w:val="006015AE"/>
    <w:rsid w:val="006017B1"/>
    <w:rsid w:val="006018D8"/>
    <w:rsid w:val="00601A6F"/>
    <w:rsid w:val="0060269D"/>
    <w:rsid w:val="00602A09"/>
    <w:rsid w:val="00602B49"/>
    <w:rsid w:val="00602D6C"/>
    <w:rsid w:val="00603251"/>
    <w:rsid w:val="006038B5"/>
    <w:rsid w:val="00604229"/>
    <w:rsid w:val="006043DA"/>
    <w:rsid w:val="006047AA"/>
    <w:rsid w:val="0060480B"/>
    <w:rsid w:val="00604889"/>
    <w:rsid w:val="00604E86"/>
    <w:rsid w:val="0060514D"/>
    <w:rsid w:val="006056CA"/>
    <w:rsid w:val="0060586C"/>
    <w:rsid w:val="00605B7B"/>
    <w:rsid w:val="00605C58"/>
    <w:rsid w:val="00605CB4"/>
    <w:rsid w:val="00606081"/>
    <w:rsid w:val="0060621D"/>
    <w:rsid w:val="00606433"/>
    <w:rsid w:val="0060685F"/>
    <w:rsid w:val="006068BF"/>
    <w:rsid w:val="00606DF9"/>
    <w:rsid w:val="00607066"/>
    <w:rsid w:val="006070E9"/>
    <w:rsid w:val="00607197"/>
    <w:rsid w:val="00607589"/>
    <w:rsid w:val="00607A16"/>
    <w:rsid w:val="00607FE4"/>
    <w:rsid w:val="006109F8"/>
    <w:rsid w:val="00610C24"/>
    <w:rsid w:val="006111AB"/>
    <w:rsid w:val="006114D1"/>
    <w:rsid w:val="00611880"/>
    <w:rsid w:val="0061209B"/>
    <w:rsid w:val="0061255D"/>
    <w:rsid w:val="006126EC"/>
    <w:rsid w:val="00612957"/>
    <w:rsid w:val="00613449"/>
    <w:rsid w:val="00613CD4"/>
    <w:rsid w:val="006143AA"/>
    <w:rsid w:val="006147E9"/>
    <w:rsid w:val="006147EA"/>
    <w:rsid w:val="00614974"/>
    <w:rsid w:val="006149CC"/>
    <w:rsid w:val="00614A79"/>
    <w:rsid w:val="00614BA4"/>
    <w:rsid w:val="00614DDC"/>
    <w:rsid w:val="00614FA4"/>
    <w:rsid w:val="006150D9"/>
    <w:rsid w:val="006158F6"/>
    <w:rsid w:val="00615AEC"/>
    <w:rsid w:val="00616581"/>
    <w:rsid w:val="00616F09"/>
    <w:rsid w:val="0061754A"/>
    <w:rsid w:val="00617652"/>
    <w:rsid w:val="006177F1"/>
    <w:rsid w:val="00617CD1"/>
    <w:rsid w:val="00617D8F"/>
    <w:rsid w:val="006207ED"/>
    <w:rsid w:val="00620E80"/>
    <w:rsid w:val="00620F0C"/>
    <w:rsid w:val="006217F1"/>
    <w:rsid w:val="00621CB0"/>
    <w:rsid w:val="00622B4E"/>
    <w:rsid w:val="00623075"/>
    <w:rsid w:val="006230B8"/>
    <w:rsid w:val="006232C6"/>
    <w:rsid w:val="0062336D"/>
    <w:rsid w:val="00623837"/>
    <w:rsid w:val="00623910"/>
    <w:rsid w:val="006239F6"/>
    <w:rsid w:val="006241AA"/>
    <w:rsid w:val="00624A27"/>
    <w:rsid w:val="00624D74"/>
    <w:rsid w:val="00625655"/>
    <w:rsid w:val="00625B07"/>
    <w:rsid w:val="00625C50"/>
    <w:rsid w:val="00625EA3"/>
    <w:rsid w:val="00626FA7"/>
    <w:rsid w:val="006270CE"/>
    <w:rsid w:val="0062716D"/>
    <w:rsid w:val="006277C9"/>
    <w:rsid w:val="00627AF2"/>
    <w:rsid w:val="00627D14"/>
    <w:rsid w:val="00627E65"/>
    <w:rsid w:val="00627F99"/>
    <w:rsid w:val="00630B91"/>
    <w:rsid w:val="00630F7E"/>
    <w:rsid w:val="00630FEE"/>
    <w:rsid w:val="006313F8"/>
    <w:rsid w:val="00632235"/>
    <w:rsid w:val="006325A2"/>
    <w:rsid w:val="00632D2E"/>
    <w:rsid w:val="00632F94"/>
    <w:rsid w:val="00633065"/>
    <w:rsid w:val="006335F9"/>
    <w:rsid w:val="00633AD0"/>
    <w:rsid w:val="00633E5E"/>
    <w:rsid w:val="0063632F"/>
    <w:rsid w:val="006365A8"/>
    <w:rsid w:val="00636746"/>
    <w:rsid w:val="00636975"/>
    <w:rsid w:val="00636AD9"/>
    <w:rsid w:val="006372DE"/>
    <w:rsid w:val="00637419"/>
    <w:rsid w:val="00637448"/>
    <w:rsid w:val="00637BED"/>
    <w:rsid w:val="006403E6"/>
    <w:rsid w:val="00640409"/>
    <w:rsid w:val="0064081A"/>
    <w:rsid w:val="00640E38"/>
    <w:rsid w:val="006412AF"/>
    <w:rsid w:val="00641BC4"/>
    <w:rsid w:val="00641FBE"/>
    <w:rsid w:val="006440AB"/>
    <w:rsid w:val="0064478B"/>
    <w:rsid w:val="006447A9"/>
    <w:rsid w:val="00644EA7"/>
    <w:rsid w:val="00645912"/>
    <w:rsid w:val="00645F21"/>
    <w:rsid w:val="00645FE2"/>
    <w:rsid w:val="00647055"/>
    <w:rsid w:val="0064727E"/>
    <w:rsid w:val="006472D3"/>
    <w:rsid w:val="00650C56"/>
    <w:rsid w:val="0065149E"/>
    <w:rsid w:val="00651534"/>
    <w:rsid w:val="006518CE"/>
    <w:rsid w:val="00651E4B"/>
    <w:rsid w:val="00652387"/>
    <w:rsid w:val="00652656"/>
    <w:rsid w:val="00652743"/>
    <w:rsid w:val="00652858"/>
    <w:rsid w:val="00652BEE"/>
    <w:rsid w:val="0065344E"/>
    <w:rsid w:val="00653AE0"/>
    <w:rsid w:val="00653E24"/>
    <w:rsid w:val="006540EE"/>
    <w:rsid w:val="006542B8"/>
    <w:rsid w:val="00654A93"/>
    <w:rsid w:val="00654DF0"/>
    <w:rsid w:val="0065589E"/>
    <w:rsid w:val="006558DC"/>
    <w:rsid w:val="00655CDC"/>
    <w:rsid w:val="00655D46"/>
    <w:rsid w:val="0065607B"/>
    <w:rsid w:val="00656224"/>
    <w:rsid w:val="00656290"/>
    <w:rsid w:val="00656566"/>
    <w:rsid w:val="0065663F"/>
    <w:rsid w:val="0065690D"/>
    <w:rsid w:val="00656B27"/>
    <w:rsid w:val="00657091"/>
    <w:rsid w:val="00657884"/>
    <w:rsid w:val="00657B15"/>
    <w:rsid w:val="00657F70"/>
    <w:rsid w:val="00657F8B"/>
    <w:rsid w:val="00660401"/>
    <w:rsid w:val="0066083E"/>
    <w:rsid w:val="00660D69"/>
    <w:rsid w:val="0066151F"/>
    <w:rsid w:val="006618A0"/>
    <w:rsid w:val="006618FC"/>
    <w:rsid w:val="00661A5A"/>
    <w:rsid w:val="00661DC8"/>
    <w:rsid w:val="0066254A"/>
    <w:rsid w:val="006628C1"/>
    <w:rsid w:val="0066296E"/>
    <w:rsid w:val="00662B21"/>
    <w:rsid w:val="00663C39"/>
    <w:rsid w:val="00663D00"/>
    <w:rsid w:val="00663E86"/>
    <w:rsid w:val="00663FE1"/>
    <w:rsid w:val="0066404E"/>
    <w:rsid w:val="00664662"/>
    <w:rsid w:val="006647C3"/>
    <w:rsid w:val="00664BA1"/>
    <w:rsid w:val="00665638"/>
    <w:rsid w:val="00665858"/>
    <w:rsid w:val="00665A8A"/>
    <w:rsid w:val="00665CB5"/>
    <w:rsid w:val="00666944"/>
    <w:rsid w:val="00666B33"/>
    <w:rsid w:val="006674F6"/>
    <w:rsid w:val="00667729"/>
    <w:rsid w:val="006679A5"/>
    <w:rsid w:val="00667A1C"/>
    <w:rsid w:val="00667E39"/>
    <w:rsid w:val="00670458"/>
    <w:rsid w:val="00670471"/>
    <w:rsid w:val="00670579"/>
    <w:rsid w:val="00670D90"/>
    <w:rsid w:val="00670FD5"/>
    <w:rsid w:val="00671170"/>
    <w:rsid w:val="00671198"/>
    <w:rsid w:val="006712FC"/>
    <w:rsid w:val="00671686"/>
    <w:rsid w:val="00671B7E"/>
    <w:rsid w:val="00672635"/>
    <w:rsid w:val="0067264D"/>
    <w:rsid w:val="00672C7E"/>
    <w:rsid w:val="00672E8C"/>
    <w:rsid w:val="00673311"/>
    <w:rsid w:val="00673566"/>
    <w:rsid w:val="0067358A"/>
    <w:rsid w:val="00673B6D"/>
    <w:rsid w:val="00673CAF"/>
    <w:rsid w:val="00673E69"/>
    <w:rsid w:val="006741F3"/>
    <w:rsid w:val="006742E7"/>
    <w:rsid w:val="00674411"/>
    <w:rsid w:val="00674F6E"/>
    <w:rsid w:val="006752FB"/>
    <w:rsid w:val="00675499"/>
    <w:rsid w:val="00675BD4"/>
    <w:rsid w:val="006760F1"/>
    <w:rsid w:val="006765BD"/>
    <w:rsid w:val="006767BC"/>
    <w:rsid w:val="0067698E"/>
    <w:rsid w:val="00677B5C"/>
    <w:rsid w:val="0068051B"/>
    <w:rsid w:val="00681587"/>
    <w:rsid w:val="00681809"/>
    <w:rsid w:val="00681C89"/>
    <w:rsid w:val="00681D37"/>
    <w:rsid w:val="00681D75"/>
    <w:rsid w:val="00681F74"/>
    <w:rsid w:val="00682236"/>
    <w:rsid w:val="0068235A"/>
    <w:rsid w:val="0068242E"/>
    <w:rsid w:val="00682437"/>
    <w:rsid w:val="006832CC"/>
    <w:rsid w:val="00683303"/>
    <w:rsid w:val="006834D3"/>
    <w:rsid w:val="006834F6"/>
    <w:rsid w:val="0068429C"/>
    <w:rsid w:val="0068453F"/>
    <w:rsid w:val="00684A77"/>
    <w:rsid w:val="00684BAF"/>
    <w:rsid w:val="00684CB3"/>
    <w:rsid w:val="00684FB2"/>
    <w:rsid w:val="00685338"/>
    <w:rsid w:val="006853D5"/>
    <w:rsid w:val="00685C4A"/>
    <w:rsid w:val="00686A78"/>
    <w:rsid w:val="00686F4C"/>
    <w:rsid w:val="006872FE"/>
    <w:rsid w:val="006873AF"/>
    <w:rsid w:val="0068752F"/>
    <w:rsid w:val="006879EB"/>
    <w:rsid w:val="00687FAC"/>
    <w:rsid w:val="00690156"/>
    <w:rsid w:val="00691919"/>
    <w:rsid w:val="006919B4"/>
    <w:rsid w:val="00691ED2"/>
    <w:rsid w:val="006920F8"/>
    <w:rsid w:val="00692544"/>
    <w:rsid w:val="006926D0"/>
    <w:rsid w:val="00692716"/>
    <w:rsid w:val="00692917"/>
    <w:rsid w:val="00692B82"/>
    <w:rsid w:val="00693CEB"/>
    <w:rsid w:val="00694123"/>
    <w:rsid w:val="00694686"/>
    <w:rsid w:val="00694AC7"/>
    <w:rsid w:val="00694B7A"/>
    <w:rsid w:val="00694C81"/>
    <w:rsid w:val="00694E4D"/>
    <w:rsid w:val="006950BA"/>
    <w:rsid w:val="0069544A"/>
    <w:rsid w:val="006957C7"/>
    <w:rsid w:val="00695C88"/>
    <w:rsid w:val="00696131"/>
    <w:rsid w:val="00696211"/>
    <w:rsid w:val="00696671"/>
    <w:rsid w:val="00696EBB"/>
    <w:rsid w:val="006971B2"/>
    <w:rsid w:val="00697271"/>
    <w:rsid w:val="00697BF8"/>
    <w:rsid w:val="00697C53"/>
    <w:rsid w:val="00697E84"/>
    <w:rsid w:val="00697FC2"/>
    <w:rsid w:val="006A0771"/>
    <w:rsid w:val="006A0953"/>
    <w:rsid w:val="006A0D5C"/>
    <w:rsid w:val="006A0FAF"/>
    <w:rsid w:val="006A13DF"/>
    <w:rsid w:val="006A1940"/>
    <w:rsid w:val="006A1946"/>
    <w:rsid w:val="006A1F10"/>
    <w:rsid w:val="006A2444"/>
    <w:rsid w:val="006A24F1"/>
    <w:rsid w:val="006A29EB"/>
    <w:rsid w:val="006A29EE"/>
    <w:rsid w:val="006A3888"/>
    <w:rsid w:val="006A3CCE"/>
    <w:rsid w:val="006A3E4B"/>
    <w:rsid w:val="006A4A51"/>
    <w:rsid w:val="006A4D4E"/>
    <w:rsid w:val="006A53E8"/>
    <w:rsid w:val="006A5A6A"/>
    <w:rsid w:val="006A5D93"/>
    <w:rsid w:val="006A652E"/>
    <w:rsid w:val="006A66D0"/>
    <w:rsid w:val="006A683C"/>
    <w:rsid w:val="006A6B77"/>
    <w:rsid w:val="006A6C41"/>
    <w:rsid w:val="006A7196"/>
    <w:rsid w:val="006A7879"/>
    <w:rsid w:val="006A7A14"/>
    <w:rsid w:val="006B01AF"/>
    <w:rsid w:val="006B035B"/>
    <w:rsid w:val="006B0687"/>
    <w:rsid w:val="006B091E"/>
    <w:rsid w:val="006B097D"/>
    <w:rsid w:val="006B0A4B"/>
    <w:rsid w:val="006B0BF0"/>
    <w:rsid w:val="006B0FBE"/>
    <w:rsid w:val="006B130D"/>
    <w:rsid w:val="006B183F"/>
    <w:rsid w:val="006B27A1"/>
    <w:rsid w:val="006B29D8"/>
    <w:rsid w:val="006B338E"/>
    <w:rsid w:val="006B38E3"/>
    <w:rsid w:val="006B44D9"/>
    <w:rsid w:val="006B45BC"/>
    <w:rsid w:val="006B45BF"/>
    <w:rsid w:val="006B4907"/>
    <w:rsid w:val="006B4B71"/>
    <w:rsid w:val="006B5799"/>
    <w:rsid w:val="006B5DF1"/>
    <w:rsid w:val="006B630A"/>
    <w:rsid w:val="006B6F05"/>
    <w:rsid w:val="006B721D"/>
    <w:rsid w:val="006B76F9"/>
    <w:rsid w:val="006B7B09"/>
    <w:rsid w:val="006B7BA0"/>
    <w:rsid w:val="006B7C24"/>
    <w:rsid w:val="006B7CC9"/>
    <w:rsid w:val="006C0590"/>
    <w:rsid w:val="006C061F"/>
    <w:rsid w:val="006C099B"/>
    <w:rsid w:val="006C0C03"/>
    <w:rsid w:val="006C0D58"/>
    <w:rsid w:val="006C0E6A"/>
    <w:rsid w:val="006C131B"/>
    <w:rsid w:val="006C148F"/>
    <w:rsid w:val="006C1577"/>
    <w:rsid w:val="006C1A37"/>
    <w:rsid w:val="006C1ADA"/>
    <w:rsid w:val="006C1DCB"/>
    <w:rsid w:val="006C2521"/>
    <w:rsid w:val="006C25A9"/>
    <w:rsid w:val="006C27B8"/>
    <w:rsid w:val="006C2FB6"/>
    <w:rsid w:val="006C3224"/>
    <w:rsid w:val="006C3660"/>
    <w:rsid w:val="006C43A8"/>
    <w:rsid w:val="006C4856"/>
    <w:rsid w:val="006C4AB4"/>
    <w:rsid w:val="006C5030"/>
    <w:rsid w:val="006C53B4"/>
    <w:rsid w:val="006C5A71"/>
    <w:rsid w:val="006C5ACD"/>
    <w:rsid w:val="006C5B07"/>
    <w:rsid w:val="006C5D72"/>
    <w:rsid w:val="006C6300"/>
    <w:rsid w:val="006C6560"/>
    <w:rsid w:val="006C688F"/>
    <w:rsid w:val="006C6BE7"/>
    <w:rsid w:val="006C6F44"/>
    <w:rsid w:val="006C72B4"/>
    <w:rsid w:val="006C7501"/>
    <w:rsid w:val="006C7815"/>
    <w:rsid w:val="006C7AE3"/>
    <w:rsid w:val="006D015F"/>
    <w:rsid w:val="006D0696"/>
    <w:rsid w:val="006D073B"/>
    <w:rsid w:val="006D0859"/>
    <w:rsid w:val="006D1544"/>
    <w:rsid w:val="006D185B"/>
    <w:rsid w:val="006D18AC"/>
    <w:rsid w:val="006D220B"/>
    <w:rsid w:val="006D2C68"/>
    <w:rsid w:val="006D30C7"/>
    <w:rsid w:val="006D3354"/>
    <w:rsid w:val="006D35B3"/>
    <w:rsid w:val="006D36B7"/>
    <w:rsid w:val="006D39F1"/>
    <w:rsid w:val="006D3A49"/>
    <w:rsid w:val="006D3F9E"/>
    <w:rsid w:val="006D4294"/>
    <w:rsid w:val="006D42EC"/>
    <w:rsid w:val="006D47CF"/>
    <w:rsid w:val="006D4C32"/>
    <w:rsid w:val="006D5680"/>
    <w:rsid w:val="006D5E1A"/>
    <w:rsid w:val="006D6647"/>
    <w:rsid w:val="006D686D"/>
    <w:rsid w:val="006D6CCD"/>
    <w:rsid w:val="006D6F07"/>
    <w:rsid w:val="006D6F5B"/>
    <w:rsid w:val="006E03DC"/>
    <w:rsid w:val="006E0591"/>
    <w:rsid w:val="006E0794"/>
    <w:rsid w:val="006E0834"/>
    <w:rsid w:val="006E09EC"/>
    <w:rsid w:val="006E0C89"/>
    <w:rsid w:val="006E0C96"/>
    <w:rsid w:val="006E0E82"/>
    <w:rsid w:val="006E140B"/>
    <w:rsid w:val="006E16F1"/>
    <w:rsid w:val="006E2D6A"/>
    <w:rsid w:val="006E3052"/>
    <w:rsid w:val="006E30CE"/>
    <w:rsid w:val="006E33CC"/>
    <w:rsid w:val="006E359B"/>
    <w:rsid w:val="006E3856"/>
    <w:rsid w:val="006E3CC1"/>
    <w:rsid w:val="006E3CF4"/>
    <w:rsid w:val="006E3F6B"/>
    <w:rsid w:val="006E4945"/>
    <w:rsid w:val="006E510D"/>
    <w:rsid w:val="006E5766"/>
    <w:rsid w:val="006E5D5D"/>
    <w:rsid w:val="006E5EA5"/>
    <w:rsid w:val="006E6081"/>
    <w:rsid w:val="006E75BF"/>
    <w:rsid w:val="006E7AB2"/>
    <w:rsid w:val="006E7C36"/>
    <w:rsid w:val="006E7DCE"/>
    <w:rsid w:val="006F03A7"/>
    <w:rsid w:val="006F08A5"/>
    <w:rsid w:val="006F09B5"/>
    <w:rsid w:val="006F1349"/>
    <w:rsid w:val="006F18FA"/>
    <w:rsid w:val="006F1A19"/>
    <w:rsid w:val="006F1C62"/>
    <w:rsid w:val="006F1DF8"/>
    <w:rsid w:val="006F201F"/>
    <w:rsid w:val="006F20AF"/>
    <w:rsid w:val="006F2C03"/>
    <w:rsid w:val="006F2F2C"/>
    <w:rsid w:val="006F35F9"/>
    <w:rsid w:val="006F4309"/>
    <w:rsid w:val="006F48B3"/>
    <w:rsid w:val="006F48B8"/>
    <w:rsid w:val="006F4ACE"/>
    <w:rsid w:val="006F553C"/>
    <w:rsid w:val="006F57AE"/>
    <w:rsid w:val="006F5924"/>
    <w:rsid w:val="006F5B40"/>
    <w:rsid w:val="006F5D0A"/>
    <w:rsid w:val="006F6258"/>
    <w:rsid w:val="006F65E1"/>
    <w:rsid w:val="006F682F"/>
    <w:rsid w:val="006F713D"/>
    <w:rsid w:val="006F74CF"/>
    <w:rsid w:val="006F75D4"/>
    <w:rsid w:val="006F7B60"/>
    <w:rsid w:val="006F7C02"/>
    <w:rsid w:val="006F7F75"/>
    <w:rsid w:val="006F7F8E"/>
    <w:rsid w:val="007000E9"/>
    <w:rsid w:val="00700497"/>
    <w:rsid w:val="00701035"/>
    <w:rsid w:val="0070130F"/>
    <w:rsid w:val="0070141A"/>
    <w:rsid w:val="00701552"/>
    <w:rsid w:val="007029C9"/>
    <w:rsid w:val="00703267"/>
    <w:rsid w:val="00703744"/>
    <w:rsid w:val="00703A40"/>
    <w:rsid w:val="00703CA8"/>
    <w:rsid w:val="007043A7"/>
    <w:rsid w:val="00704FDE"/>
    <w:rsid w:val="00705023"/>
    <w:rsid w:val="00705448"/>
    <w:rsid w:val="0070544A"/>
    <w:rsid w:val="007056D8"/>
    <w:rsid w:val="00706889"/>
    <w:rsid w:val="00706F25"/>
    <w:rsid w:val="00707102"/>
    <w:rsid w:val="00707B9E"/>
    <w:rsid w:val="00707FD8"/>
    <w:rsid w:val="0071074F"/>
    <w:rsid w:val="0071140F"/>
    <w:rsid w:val="0071199A"/>
    <w:rsid w:val="00711A02"/>
    <w:rsid w:val="007120A0"/>
    <w:rsid w:val="007122EC"/>
    <w:rsid w:val="0071276B"/>
    <w:rsid w:val="00713797"/>
    <w:rsid w:val="00714504"/>
    <w:rsid w:val="0071466D"/>
    <w:rsid w:val="0071474B"/>
    <w:rsid w:val="00714A1A"/>
    <w:rsid w:val="00714B46"/>
    <w:rsid w:val="00714EF9"/>
    <w:rsid w:val="00714F94"/>
    <w:rsid w:val="0071571B"/>
    <w:rsid w:val="00715777"/>
    <w:rsid w:val="007158D8"/>
    <w:rsid w:val="00715B0D"/>
    <w:rsid w:val="00715B48"/>
    <w:rsid w:val="00715EA0"/>
    <w:rsid w:val="007163A3"/>
    <w:rsid w:val="00716A43"/>
    <w:rsid w:val="00716B3B"/>
    <w:rsid w:val="00716B9E"/>
    <w:rsid w:val="00716BE5"/>
    <w:rsid w:val="00716E58"/>
    <w:rsid w:val="00716EE7"/>
    <w:rsid w:val="007170F1"/>
    <w:rsid w:val="0071742A"/>
    <w:rsid w:val="007177EC"/>
    <w:rsid w:val="00720108"/>
    <w:rsid w:val="007204B9"/>
    <w:rsid w:val="007207B0"/>
    <w:rsid w:val="00720E13"/>
    <w:rsid w:val="00721573"/>
    <w:rsid w:val="0072159B"/>
    <w:rsid w:val="00721691"/>
    <w:rsid w:val="00721740"/>
    <w:rsid w:val="007219AE"/>
    <w:rsid w:val="00722935"/>
    <w:rsid w:val="007229A7"/>
    <w:rsid w:val="00722A97"/>
    <w:rsid w:val="007233FA"/>
    <w:rsid w:val="007242A4"/>
    <w:rsid w:val="00724377"/>
    <w:rsid w:val="00725178"/>
    <w:rsid w:val="00725399"/>
    <w:rsid w:val="007258DE"/>
    <w:rsid w:val="00726BBC"/>
    <w:rsid w:val="007272A8"/>
    <w:rsid w:val="0072737C"/>
    <w:rsid w:val="00727473"/>
    <w:rsid w:val="00727B22"/>
    <w:rsid w:val="00727E33"/>
    <w:rsid w:val="0073086B"/>
    <w:rsid w:val="00730E8F"/>
    <w:rsid w:val="00731149"/>
    <w:rsid w:val="007312C3"/>
    <w:rsid w:val="00731D48"/>
    <w:rsid w:val="00731D95"/>
    <w:rsid w:val="00731DC7"/>
    <w:rsid w:val="00731ECB"/>
    <w:rsid w:val="007320DA"/>
    <w:rsid w:val="0073222B"/>
    <w:rsid w:val="007324FF"/>
    <w:rsid w:val="00732636"/>
    <w:rsid w:val="007327CD"/>
    <w:rsid w:val="00733201"/>
    <w:rsid w:val="007335AE"/>
    <w:rsid w:val="00733664"/>
    <w:rsid w:val="00733A86"/>
    <w:rsid w:val="00733C6B"/>
    <w:rsid w:val="00733D9F"/>
    <w:rsid w:val="00733DC6"/>
    <w:rsid w:val="00733DED"/>
    <w:rsid w:val="00734353"/>
    <w:rsid w:val="00734484"/>
    <w:rsid w:val="007347F5"/>
    <w:rsid w:val="0073482E"/>
    <w:rsid w:val="007349F5"/>
    <w:rsid w:val="00734A0A"/>
    <w:rsid w:val="00734D14"/>
    <w:rsid w:val="00734E2A"/>
    <w:rsid w:val="007350A8"/>
    <w:rsid w:val="00735A4C"/>
    <w:rsid w:val="007365DE"/>
    <w:rsid w:val="00737B61"/>
    <w:rsid w:val="0074033B"/>
    <w:rsid w:val="00740595"/>
    <w:rsid w:val="00740AA5"/>
    <w:rsid w:val="00740ACC"/>
    <w:rsid w:val="00741154"/>
    <w:rsid w:val="007411DF"/>
    <w:rsid w:val="007419AE"/>
    <w:rsid w:val="007419C6"/>
    <w:rsid w:val="00742076"/>
    <w:rsid w:val="007422E8"/>
    <w:rsid w:val="00742C17"/>
    <w:rsid w:val="00742C7D"/>
    <w:rsid w:val="00743048"/>
    <w:rsid w:val="007438A6"/>
    <w:rsid w:val="0074427B"/>
    <w:rsid w:val="007447C1"/>
    <w:rsid w:val="00744C21"/>
    <w:rsid w:val="00744E7F"/>
    <w:rsid w:val="007450B8"/>
    <w:rsid w:val="00745136"/>
    <w:rsid w:val="00745926"/>
    <w:rsid w:val="00745A06"/>
    <w:rsid w:val="00745A15"/>
    <w:rsid w:val="00745DD2"/>
    <w:rsid w:val="00745E38"/>
    <w:rsid w:val="00745FCE"/>
    <w:rsid w:val="00746197"/>
    <w:rsid w:val="00746579"/>
    <w:rsid w:val="007465A5"/>
    <w:rsid w:val="00746D5C"/>
    <w:rsid w:val="0074732A"/>
    <w:rsid w:val="007474A5"/>
    <w:rsid w:val="00747C97"/>
    <w:rsid w:val="00747DE1"/>
    <w:rsid w:val="00750175"/>
    <w:rsid w:val="00750359"/>
    <w:rsid w:val="00751354"/>
    <w:rsid w:val="00751C19"/>
    <w:rsid w:val="00752324"/>
    <w:rsid w:val="00752456"/>
    <w:rsid w:val="00752C23"/>
    <w:rsid w:val="00753296"/>
    <w:rsid w:val="007532DB"/>
    <w:rsid w:val="007549AD"/>
    <w:rsid w:val="00754D58"/>
    <w:rsid w:val="00755CA7"/>
    <w:rsid w:val="007561CE"/>
    <w:rsid w:val="00756909"/>
    <w:rsid w:val="00756AE1"/>
    <w:rsid w:val="00756C48"/>
    <w:rsid w:val="00757134"/>
    <w:rsid w:val="007572A2"/>
    <w:rsid w:val="00757AA1"/>
    <w:rsid w:val="00757AC1"/>
    <w:rsid w:val="00757D24"/>
    <w:rsid w:val="00757E4E"/>
    <w:rsid w:val="007602F8"/>
    <w:rsid w:val="00760483"/>
    <w:rsid w:val="0076078F"/>
    <w:rsid w:val="00760D10"/>
    <w:rsid w:val="00761004"/>
    <w:rsid w:val="007616D8"/>
    <w:rsid w:val="00761778"/>
    <w:rsid w:val="00761E07"/>
    <w:rsid w:val="00761EE7"/>
    <w:rsid w:val="00762108"/>
    <w:rsid w:val="00762475"/>
    <w:rsid w:val="0076287E"/>
    <w:rsid w:val="00762FCA"/>
    <w:rsid w:val="007636CB"/>
    <w:rsid w:val="00763A3F"/>
    <w:rsid w:val="00763A44"/>
    <w:rsid w:val="00763E84"/>
    <w:rsid w:val="007642B9"/>
    <w:rsid w:val="007643DD"/>
    <w:rsid w:val="00764D94"/>
    <w:rsid w:val="00764E37"/>
    <w:rsid w:val="00764E4E"/>
    <w:rsid w:val="00765267"/>
    <w:rsid w:val="00765510"/>
    <w:rsid w:val="00765628"/>
    <w:rsid w:val="00765737"/>
    <w:rsid w:val="00765BA3"/>
    <w:rsid w:val="00765C90"/>
    <w:rsid w:val="00766B49"/>
    <w:rsid w:val="007675FD"/>
    <w:rsid w:val="00767CC3"/>
    <w:rsid w:val="00767E54"/>
    <w:rsid w:val="0077013B"/>
    <w:rsid w:val="0077084C"/>
    <w:rsid w:val="00770E38"/>
    <w:rsid w:val="00770F50"/>
    <w:rsid w:val="0077133A"/>
    <w:rsid w:val="00771952"/>
    <w:rsid w:val="00771957"/>
    <w:rsid w:val="007719FE"/>
    <w:rsid w:val="007725F9"/>
    <w:rsid w:val="00772AB3"/>
    <w:rsid w:val="00773169"/>
    <w:rsid w:val="0077343F"/>
    <w:rsid w:val="00773B51"/>
    <w:rsid w:val="00773C86"/>
    <w:rsid w:val="00774876"/>
    <w:rsid w:val="00774FCB"/>
    <w:rsid w:val="007751DE"/>
    <w:rsid w:val="00775405"/>
    <w:rsid w:val="00775B50"/>
    <w:rsid w:val="00775DEE"/>
    <w:rsid w:val="00775FB9"/>
    <w:rsid w:val="007761CE"/>
    <w:rsid w:val="0077667C"/>
    <w:rsid w:val="007766EA"/>
    <w:rsid w:val="00776A40"/>
    <w:rsid w:val="00776AF1"/>
    <w:rsid w:val="00776D8B"/>
    <w:rsid w:val="0077702E"/>
    <w:rsid w:val="0077758B"/>
    <w:rsid w:val="00777B8D"/>
    <w:rsid w:val="00777CF3"/>
    <w:rsid w:val="00780108"/>
    <w:rsid w:val="0078018B"/>
    <w:rsid w:val="007802C4"/>
    <w:rsid w:val="00780622"/>
    <w:rsid w:val="00780D48"/>
    <w:rsid w:val="0078118F"/>
    <w:rsid w:val="0078133D"/>
    <w:rsid w:val="00781596"/>
    <w:rsid w:val="00781E34"/>
    <w:rsid w:val="00781F33"/>
    <w:rsid w:val="00782008"/>
    <w:rsid w:val="00782181"/>
    <w:rsid w:val="007824FE"/>
    <w:rsid w:val="0078261A"/>
    <w:rsid w:val="00782BC3"/>
    <w:rsid w:val="00783235"/>
    <w:rsid w:val="00783631"/>
    <w:rsid w:val="007837D5"/>
    <w:rsid w:val="0078403C"/>
    <w:rsid w:val="007841C4"/>
    <w:rsid w:val="00784419"/>
    <w:rsid w:val="0078476D"/>
    <w:rsid w:val="00784846"/>
    <w:rsid w:val="00784D48"/>
    <w:rsid w:val="00784FC3"/>
    <w:rsid w:val="00785253"/>
    <w:rsid w:val="00785785"/>
    <w:rsid w:val="007858A8"/>
    <w:rsid w:val="007859EC"/>
    <w:rsid w:val="00785CFC"/>
    <w:rsid w:val="007860A9"/>
    <w:rsid w:val="0079090A"/>
    <w:rsid w:val="0079199E"/>
    <w:rsid w:val="00791A70"/>
    <w:rsid w:val="00791DED"/>
    <w:rsid w:val="00791E8E"/>
    <w:rsid w:val="00791EAF"/>
    <w:rsid w:val="00791F5C"/>
    <w:rsid w:val="007925FD"/>
    <w:rsid w:val="007929F6"/>
    <w:rsid w:val="00792AA8"/>
    <w:rsid w:val="00792E9A"/>
    <w:rsid w:val="00792F9C"/>
    <w:rsid w:val="00793350"/>
    <w:rsid w:val="00793AAE"/>
    <w:rsid w:val="00794972"/>
    <w:rsid w:val="00795043"/>
    <w:rsid w:val="007956AF"/>
    <w:rsid w:val="00795FA8"/>
    <w:rsid w:val="00796192"/>
    <w:rsid w:val="00796937"/>
    <w:rsid w:val="00796EC4"/>
    <w:rsid w:val="00796EE7"/>
    <w:rsid w:val="00797022"/>
    <w:rsid w:val="00797150"/>
    <w:rsid w:val="00797342"/>
    <w:rsid w:val="00797380"/>
    <w:rsid w:val="00797816"/>
    <w:rsid w:val="007A06E3"/>
    <w:rsid w:val="007A0F49"/>
    <w:rsid w:val="007A10EF"/>
    <w:rsid w:val="007A145C"/>
    <w:rsid w:val="007A1864"/>
    <w:rsid w:val="007A18AE"/>
    <w:rsid w:val="007A19B1"/>
    <w:rsid w:val="007A1A3B"/>
    <w:rsid w:val="007A2167"/>
    <w:rsid w:val="007A2B0B"/>
    <w:rsid w:val="007A2D63"/>
    <w:rsid w:val="007A3534"/>
    <w:rsid w:val="007A386B"/>
    <w:rsid w:val="007A3929"/>
    <w:rsid w:val="007A3ABE"/>
    <w:rsid w:val="007A3E31"/>
    <w:rsid w:val="007A3EC8"/>
    <w:rsid w:val="007A3FAF"/>
    <w:rsid w:val="007A4CB0"/>
    <w:rsid w:val="007A501A"/>
    <w:rsid w:val="007A5B52"/>
    <w:rsid w:val="007A60F8"/>
    <w:rsid w:val="007A62C3"/>
    <w:rsid w:val="007A6552"/>
    <w:rsid w:val="007A6B3C"/>
    <w:rsid w:val="007A721C"/>
    <w:rsid w:val="007B13C7"/>
    <w:rsid w:val="007B18EF"/>
    <w:rsid w:val="007B2938"/>
    <w:rsid w:val="007B31D1"/>
    <w:rsid w:val="007B341B"/>
    <w:rsid w:val="007B4102"/>
    <w:rsid w:val="007B435F"/>
    <w:rsid w:val="007B452C"/>
    <w:rsid w:val="007B47EC"/>
    <w:rsid w:val="007B6010"/>
    <w:rsid w:val="007B651A"/>
    <w:rsid w:val="007B6615"/>
    <w:rsid w:val="007B6648"/>
    <w:rsid w:val="007B6659"/>
    <w:rsid w:val="007B6669"/>
    <w:rsid w:val="007B66B0"/>
    <w:rsid w:val="007B67CC"/>
    <w:rsid w:val="007B6B59"/>
    <w:rsid w:val="007B6D44"/>
    <w:rsid w:val="007B7DFF"/>
    <w:rsid w:val="007C00AF"/>
    <w:rsid w:val="007C033F"/>
    <w:rsid w:val="007C06CD"/>
    <w:rsid w:val="007C09EA"/>
    <w:rsid w:val="007C0B46"/>
    <w:rsid w:val="007C1CFE"/>
    <w:rsid w:val="007C1D88"/>
    <w:rsid w:val="007C27C2"/>
    <w:rsid w:val="007C297C"/>
    <w:rsid w:val="007C30E8"/>
    <w:rsid w:val="007C311B"/>
    <w:rsid w:val="007C32BA"/>
    <w:rsid w:val="007C37A9"/>
    <w:rsid w:val="007C3D93"/>
    <w:rsid w:val="007C426D"/>
    <w:rsid w:val="007C45FC"/>
    <w:rsid w:val="007C462E"/>
    <w:rsid w:val="007C46B2"/>
    <w:rsid w:val="007C4B02"/>
    <w:rsid w:val="007C506B"/>
    <w:rsid w:val="007C5733"/>
    <w:rsid w:val="007C5ACF"/>
    <w:rsid w:val="007C65CA"/>
    <w:rsid w:val="007C6ADA"/>
    <w:rsid w:val="007C70B8"/>
    <w:rsid w:val="007C7368"/>
    <w:rsid w:val="007C7FAC"/>
    <w:rsid w:val="007D0126"/>
    <w:rsid w:val="007D06BB"/>
    <w:rsid w:val="007D0986"/>
    <w:rsid w:val="007D1B41"/>
    <w:rsid w:val="007D2459"/>
    <w:rsid w:val="007D282A"/>
    <w:rsid w:val="007D2956"/>
    <w:rsid w:val="007D2D0F"/>
    <w:rsid w:val="007D4B8E"/>
    <w:rsid w:val="007D51C3"/>
    <w:rsid w:val="007D564F"/>
    <w:rsid w:val="007D59A7"/>
    <w:rsid w:val="007D5D4D"/>
    <w:rsid w:val="007D698B"/>
    <w:rsid w:val="007D6AD5"/>
    <w:rsid w:val="007D6D09"/>
    <w:rsid w:val="007D7010"/>
    <w:rsid w:val="007D70F9"/>
    <w:rsid w:val="007D710E"/>
    <w:rsid w:val="007D790F"/>
    <w:rsid w:val="007D7BB6"/>
    <w:rsid w:val="007E1BB0"/>
    <w:rsid w:val="007E2066"/>
    <w:rsid w:val="007E22B8"/>
    <w:rsid w:val="007E288A"/>
    <w:rsid w:val="007E2A2A"/>
    <w:rsid w:val="007E3192"/>
    <w:rsid w:val="007E31D5"/>
    <w:rsid w:val="007E3CCA"/>
    <w:rsid w:val="007E3D71"/>
    <w:rsid w:val="007E3DE2"/>
    <w:rsid w:val="007E3E61"/>
    <w:rsid w:val="007E404E"/>
    <w:rsid w:val="007E4128"/>
    <w:rsid w:val="007E4253"/>
    <w:rsid w:val="007E4296"/>
    <w:rsid w:val="007E4F4D"/>
    <w:rsid w:val="007E5A06"/>
    <w:rsid w:val="007E5B0A"/>
    <w:rsid w:val="007E5C1F"/>
    <w:rsid w:val="007E5D35"/>
    <w:rsid w:val="007E612E"/>
    <w:rsid w:val="007E69BB"/>
    <w:rsid w:val="007E6A47"/>
    <w:rsid w:val="007E6DCF"/>
    <w:rsid w:val="007E71EC"/>
    <w:rsid w:val="007E7989"/>
    <w:rsid w:val="007E7EB0"/>
    <w:rsid w:val="007F0612"/>
    <w:rsid w:val="007F0834"/>
    <w:rsid w:val="007F0951"/>
    <w:rsid w:val="007F0BCC"/>
    <w:rsid w:val="007F0C54"/>
    <w:rsid w:val="007F3041"/>
    <w:rsid w:val="007F3181"/>
    <w:rsid w:val="007F32B3"/>
    <w:rsid w:val="007F3E93"/>
    <w:rsid w:val="007F52A6"/>
    <w:rsid w:val="007F53F8"/>
    <w:rsid w:val="007F5789"/>
    <w:rsid w:val="007F5B14"/>
    <w:rsid w:val="007F5D17"/>
    <w:rsid w:val="007F5E17"/>
    <w:rsid w:val="007F5EF9"/>
    <w:rsid w:val="007F60C0"/>
    <w:rsid w:val="007F68DA"/>
    <w:rsid w:val="007F6B5C"/>
    <w:rsid w:val="007F793F"/>
    <w:rsid w:val="007F79CB"/>
    <w:rsid w:val="007F7AC8"/>
    <w:rsid w:val="007F7ACD"/>
    <w:rsid w:val="007F7CF1"/>
    <w:rsid w:val="007F7FAB"/>
    <w:rsid w:val="008004E7"/>
    <w:rsid w:val="00800E57"/>
    <w:rsid w:val="008015EF"/>
    <w:rsid w:val="0080212D"/>
    <w:rsid w:val="00802628"/>
    <w:rsid w:val="0080276C"/>
    <w:rsid w:val="0080289D"/>
    <w:rsid w:val="00802A47"/>
    <w:rsid w:val="008031F7"/>
    <w:rsid w:val="0080340B"/>
    <w:rsid w:val="00803D1B"/>
    <w:rsid w:val="00803E83"/>
    <w:rsid w:val="008049D1"/>
    <w:rsid w:val="00804CE1"/>
    <w:rsid w:val="00804E56"/>
    <w:rsid w:val="00805404"/>
    <w:rsid w:val="00805578"/>
    <w:rsid w:val="008055D0"/>
    <w:rsid w:val="008060C8"/>
    <w:rsid w:val="008060F1"/>
    <w:rsid w:val="00806649"/>
    <w:rsid w:val="0080686E"/>
    <w:rsid w:val="00806932"/>
    <w:rsid w:val="008076F7"/>
    <w:rsid w:val="00807FDF"/>
    <w:rsid w:val="008101B6"/>
    <w:rsid w:val="00810280"/>
    <w:rsid w:val="008102FD"/>
    <w:rsid w:val="00810AD5"/>
    <w:rsid w:val="00810F5C"/>
    <w:rsid w:val="00810F6C"/>
    <w:rsid w:val="00811085"/>
    <w:rsid w:val="0081109B"/>
    <w:rsid w:val="008111C7"/>
    <w:rsid w:val="008116EB"/>
    <w:rsid w:val="008119EB"/>
    <w:rsid w:val="00811A6A"/>
    <w:rsid w:val="00812382"/>
    <w:rsid w:val="00812723"/>
    <w:rsid w:val="00812724"/>
    <w:rsid w:val="00812748"/>
    <w:rsid w:val="00813820"/>
    <w:rsid w:val="008138FF"/>
    <w:rsid w:val="00813DB2"/>
    <w:rsid w:val="00813EDA"/>
    <w:rsid w:val="00814030"/>
    <w:rsid w:val="0081457D"/>
    <w:rsid w:val="008145BC"/>
    <w:rsid w:val="008149D7"/>
    <w:rsid w:val="008149F6"/>
    <w:rsid w:val="00814A6A"/>
    <w:rsid w:val="00814ED4"/>
    <w:rsid w:val="0081508B"/>
    <w:rsid w:val="008152E3"/>
    <w:rsid w:val="0081557C"/>
    <w:rsid w:val="008159B1"/>
    <w:rsid w:val="00816109"/>
    <w:rsid w:val="008162EE"/>
    <w:rsid w:val="008163A1"/>
    <w:rsid w:val="008167FE"/>
    <w:rsid w:val="008168A5"/>
    <w:rsid w:val="00817517"/>
    <w:rsid w:val="0082000E"/>
    <w:rsid w:val="00820282"/>
    <w:rsid w:val="00820651"/>
    <w:rsid w:val="00820B7B"/>
    <w:rsid w:val="0082117F"/>
    <w:rsid w:val="00821510"/>
    <w:rsid w:val="00821678"/>
    <w:rsid w:val="008216B8"/>
    <w:rsid w:val="00821E78"/>
    <w:rsid w:val="008221DB"/>
    <w:rsid w:val="00822E14"/>
    <w:rsid w:val="00823121"/>
    <w:rsid w:val="00823228"/>
    <w:rsid w:val="008235A0"/>
    <w:rsid w:val="0082377E"/>
    <w:rsid w:val="008237BF"/>
    <w:rsid w:val="0082439F"/>
    <w:rsid w:val="00824F37"/>
    <w:rsid w:val="00825274"/>
    <w:rsid w:val="00825799"/>
    <w:rsid w:val="00825B1A"/>
    <w:rsid w:val="00825BB4"/>
    <w:rsid w:val="00825D20"/>
    <w:rsid w:val="00826087"/>
    <w:rsid w:val="0082619C"/>
    <w:rsid w:val="0082628D"/>
    <w:rsid w:val="008264ED"/>
    <w:rsid w:val="00826553"/>
    <w:rsid w:val="00826975"/>
    <w:rsid w:val="00826D79"/>
    <w:rsid w:val="00827A04"/>
    <w:rsid w:val="00827A3D"/>
    <w:rsid w:val="00827C57"/>
    <w:rsid w:val="00827D62"/>
    <w:rsid w:val="00827EEF"/>
    <w:rsid w:val="00830240"/>
    <w:rsid w:val="00830F01"/>
    <w:rsid w:val="00830FC7"/>
    <w:rsid w:val="008310F7"/>
    <w:rsid w:val="00831569"/>
    <w:rsid w:val="00831A0D"/>
    <w:rsid w:val="00831D5C"/>
    <w:rsid w:val="00831EB4"/>
    <w:rsid w:val="008324DB"/>
    <w:rsid w:val="00832A8C"/>
    <w:rsid w:val="0083343C"/>
    <w:rsid w:val="0083350E"/>
    <w:rsid w:val="008336C0"/>
    <w:rsid w:val="00833B29"/>
    <w:rsid w:val="00833B56"/>
    <w:rsid w:val="00833C17"/>
    <w:rsid w:val="0083402F"/>
    <w:rsid w:val="0083548F"/>
    <w:rsid w:val="00835724"/>
    <w:rsid w:val="00835BA3"/>
    <w:rsid w:val="008362B5"/>
    <w:rsid w:val="00836694"/>
    <w:rsid w:val="0083698C"/>
    <w:rsid w:val="00836AD2"/>
    <w:rsid w:val="00836CD3"/>
    <w:rsid w:val="008375CC"/>
    <w:rsid w:val="00837D07"/>
    <w:rsid w:val="008406F4"/>
    <w:rsid w:val="00840764"/>
    <w:rsid w:val="00840CD5"/>
    <w:rsid w:val="0084123F"/>
    <w:rsid w:val="00841265"/>
    <w:rsid w:val="008415CC"/>
    <w:rsid w:val="00841B7E"/>
    <w:rsid w:val="00841C1D"/>
    <w:rsid w:val="00841F03"/>
    <w:rsid w:val="008423B1"/>
    <w:rsid w:val="00842862"/>
    <w:rsid w:val="00842C9F"/>
    <w:rsid w:val="00842CE2"/>
    <w:rsid w:val="00842F6E"/>
    <w:rsid w:val="00842FE3"/>
    <w:rsid w:val="00843010"/>
    <w:rsid w:val="00843436"/>
    <w:rsid w:val="008436D5"/>
    <w:rsid w:val="008442E7"/>
    <w:rsid w:val="008447BB"/>
    <w:rsid w:val="00844A64"/>
    <w:rsid w:val="00844C6F"/>
    <w:rsid w:val="00844FE0"/>
    <w:rsid w:val="00845199"/>
    <w:rsid w:val="00845954"/>
    <w:rsid w:val="00846187"/>
    <w:rsid w:val="008461AC"/>
    <w:rsid w:val="008461DE"/>
    <w:rsid w:val="00846ACE"/>
    <w:rsid w:val="00846C3E"/>
    <w:rsid w:val="00846D46"/>
    <w:rsid w:val="00847371"/>
    <w:rsid w:val="0084758D"/>
    <w:rsid w:val="0084779D"/>
    <w:rsid w:val="008478E5"/>
    <w:rsid w:val="00847926"/>
    <w:rsid w:val="00847DFE"/>
    <w:rsid w:val="00847FF8"/>
    <w:rsid w:val="008504AB"/>
    <w:rsid w:val="008508BD"/>
    <w:rsid w:val="008509E8"/>
    <w:rsid w:val="00850A51"/>
    <w:rsid w:val="00851111"/>
    <w:rsid w:val="008516C4"/>
    <w:rsid w:val="00851BB9"/>
    <w:rsid w:val="00851C14"/>
    <w:rsid w:val="00851D0C"/>
    <w:rsid w:val="00851F3D"/>
    <w:rsid w:val="00851FB7"/>
    <w:rsid w:val="00852525"/>
    <w:rsid w:val="008525CF"/>
    <w:rsid w:val="0085276E"/>
    <w:rsid w:val="0085348B"/>
    <w:rsid w:val="0085387E"/>
    <w:rsid w:val="00853F82"/>
    <w:rsid w:val="008542CC"/>
    <w:rsid w:val="008544E7"/>
    <w:rsid w:val="00855264"/>
    <w:rsid w:val="0085550C"/>
    <w:rsid w:val="00855B76"/>
    <w:rsid w:val="00855FEC"/>
    <w:rsid w:val="008560F7"/>
    <w:rsid w:val="00856727"/>
    <w:rsid w:val="00856E0D"/>
    <w:rsid w:val="0086006E"/>
    <w:rsid w:val="0086032C"/>
    <w:rsid w:val="00860973"/>
    <w:rsid w:val="00860AC1"/>
    <w:rsid w:val="00860B77"/>
    <w:rsid w:val="00860CDF"/>
    <w:rsid w:val="00860E56"/>
    <w:rsid w:val="00860E92"/>
    <w:rsid w:val="00860F35"/>
    <w:rsid w:val="00860F42"/>
    <w:rsid w:val="008611EE"/>
    <w:rsid w:val="0086183E"/>
    <w:rsid w:val="00861A8C"/>
    <w:rsid w:val="00861FC3"/>
    <w:rsid w:val="008624FE"/>
    <w:rsid w:val="00862933"/>
    <w:rsid w:val="00862D8D"/>
    <w:rsid w:val="00862F92"/>
    <w:rsid w:val="00863210"/>
    <w:rsid w:val="00863551"/>
    <w:rsid w:val="008648B5"/>
    <w:rsid w:val="00864976"/>
    <w:rsid w:val="008652BD"/>
    <w:rsid w:val="008657CE"/>
    <w:rsid w:val="00865912"/>
    <w:rsid w:val="00865A78"/>
    <w:rsid w:val="0086641A"/>
    <w:rsid w:val="008669DF"/>
    <w:rsid w:val="00866F9A"/>
    <w:rsid w:val="00867371"/>
    <w:rsid w:val="0086750D"/>
    <w:rsid w:val="0086763C"/>
    <w:rsid w:val="008677B3"/>
    <w:rsid w:val="008677B5"/>
    <w:rsid w:val="00867D58"/>
    <w:rsid w:val="00867F68"/>
    <w:rsid w:val="00867FE2"/>
    <w:rsid w:val="00867FEE"/>
    <w:rsid w:val="008700D7"/>
    <w:rsid w:val="00870BE2"/>
    <w:rsid w:val="00870E54"/>
    <w:rsid w:val="008715EE"/>
    <w:rsid w:val="008717B7"/>
    <w:rsid w:val="00871FA3"/>
    <w:rsid w:val="00872089"/>
    <w:rsid w:val="00872519"/>
    <w:rsid w:val="00872B77"/>
    <w:rsid w:val="0087307C"/>
    <w:rsid w:val="00873324"/>
    <w:rsid w:val="0087353F"/>
    <w:rsid w:val="008736AA"/>
    <w:rsid w:val="008737D3"/>
    <w:rsid w:val="00873AB4"/>
    <w:rsid w:val="00873CBA"/>
    <w:rsid w:val="00873E0E"/>
    <w:rsid w:val="00873F14"/>
    <w:rsid w:val="00874149"/>
    <w:rsid w:val="0087431A"/>
    <w:rsid w:val="00875504"/>
    <w:rsid w:val="00875EAF"/>
    <w:rsid w:val="008760AE"/>
    <w:rsid w:val="0087638D"/>
    <w:rsid w:val="00876F5D"/>
    <w:rsid w:val="00876FDF"/>
    <w:rsid w:val="00877012"/>
    <w:rsid w:val="0087780D"/>
    <w:rsid w:val="00877886"/>
    <w:rsid w:val="008779C1"/>
    <w:rsid w:val="00877A87"/>
    <w:rsid w:val="00877CBF"/>
    <w:rsid w:val="00881365"/>
    <w:rsid w:val="00881530"/>
    <w:rsid w:val="0088220C"/>
    <w:rsid w:val="00882235"/>
    <w:rsid w:val="0088228A"/>
    <w:rsid w:val="0088229B"/>
    <w:rsid w:val="00882336"/>
    <w:rsid w:val="00882653"/>
    <w:rsid w:val="008829AF"/>
    <w:rsid w:val="00882D53"/>
    <w:rsid w:val="00882E51"/>
    <w:rsid w:val="00883244"/>
    <w:rsid w:val="00883382"/>
    <w:rsid w:val="00883437"/>
    <w:rsid w:val="008834C5"/>
    <w:rsid w:val="00883C24"/>
    <w:rsid w:val="00883F9C"/>
    <w:rsid w:val="008840FE"/>
    <w:rsid w:val="008845A4"/>
    <w:rsid w:val="00884E86"/>
    <w:rsid w:val="008853F8"/>
    <w:rsid w:val="00885500"/>
    <w:rsid w:val="0088596A"/>
    <w:rsid w:val="00885E46"/>
    <w:rsid w:val="00885EA7"/>
    <w:rsid w:val="00886CB2"/>
    <w:rsid w:val="00887DAB"/>
    <w:rsid w:val="00890271"/>
    <w:rsid w:val="00890282"/>
    <w:rsid w:val="00890747"/>
    <w:rsid w:val="00890817"/>
    <w:rsid w:val="00890FB2"/>
    <w:rsid w:val="008916D5"/>
    <w:rsid w:val="00891CA2"/>
    <w:rsid w:val="00891E3F"/>
    <w:rsid w:val="00891F41"/>
    <w:rsid w:val="008923D8"/>
    <w:rsid w:val="00892496"/>
    <w:rsid w:val="00892788"/>
    <w:rsid w:val="00892BC0"/>
    <w:rsid w:val="008933D3"/>
    <w:rsid w:val="008934E9"/>
    <w:rsid w:val="008938F1"/>
    <w:rsid w:val="00893C85"/>
    <w:rsid w:val="0089409D"/>
    <w:rsid w:val="0089413C"/>
    <w:rsid w:val="008944F4"/>
    <w:rsid w:val="0089464D"/>
    <w:rsid w:val="0089479B"/>
    <w:rsid w:val="008953BD"/>
    <w:rsid w:val="00896F11"/>
    <w:rsid w:val="0089792D"/>
    <w:rsid w:val="00897F25"/>
    <w:rsid w:val="00897F2E"/>
    <w:rsid w:val="00897F5E"/>
    <w:rsid w:val="00897FE3"/>
    <w:rsid w:val="008A05FA"/>
    <w:rsid w:val="008A0BEB"/>
    <w:rsid w:val="008A0BF1"/>
    <w:rsid w:val="008A12FE"/>
    <w:rsid w:val="008A1522"/>
    <w:rsid w:val="008A1791"/>
    <w:rsid w:val="008A1CB0"/>
    <w:rsid w:val="008A1D52"/>
    <w:rsid w:val="008A1F45"/>
    <w:rsid w:val="008A2C83"/>
    <w:rsid w:val="008A2E80"/>
    <w:rsid w:val="008A373F"/>
    <w:rsid w:val="008A4628"/>
    <w:rsid w:val="008A4997"/>
    <w:rsid w:val="008A50B1"/>
    <w:rsid w:val="008A52F4"/>
    <w:rsid w:val="008A5D70"/>
    <w:rsid w:val="008A5E62"/>
    <w:rsid w:val="008A6047"/>
    <w:rsid w:val="008A6608"/>
    <w:rsid w:val="008A66A5"/>
    <w:rsid w:val="008A6DA4"/>
    <w:rsid w:val="008A6DF4"/>
    <w:rsid w:val="008A76F1"/>
    <w:rsid w:val="008A7C05"/>
    <w:rsid w:val="008B0641"/>
    <w:rsid w:val="008B0FBC"/>
    <w:rsid w:val="008B1425"/>
    <w:rsid w:val="008B1CFE"/>
    <w:rsid w:val="008B2709"/>
    <w:rsid w:val="008B2AF1"/>
    <w:rsid w:val="008B2D2A"/>
    <w:rsid w:val="008B2E43"/>
    <w:rsid w:val="008B30F5"/>
    <w:rsid w:val="008B33A3"/>
    <w:rsid w:val="008B39DF"/>
    <w:rsid w:val="008B3AB1"/>
    <w:rsid w:val="008B3CB7"/>
    <w:rsid w:val="008B3D50"/>
    <w:rsid w:val="008B4043"/>
    <w:rsid w:val="008B4246"/>
    <w:rsid w:val="008B476F"/>
    <w:rsid w:val="008B47CB"/>
    <w:rsid w:val="008B4A3C"/>
    <w:rsid w:val="008B4D2B"/>
    <w:rsid w:val="008B56DF"/>
    <w:rsid w:val="008B5922"/>
    <w:rsid w:val="008B5B5C"/>
    <w:rsid w:val="008B613C"/>
    <w:rsid w:val="008B619A"/>
    <w:rsid w:val="008B6801"/>
    <w:rsid w:val="008B6A6C"/>
    <w:rsid w:val="008B6B40"/>
    <w:rsid w:val="008B6E53"/>
    <w:rsid w:val="008B6F9D"/>
    <w:rsid w:val="008B776C"/>
    <w:rsid w:val="008B79F3"/>
    <w:rsid w:val="008B7AF0"/>
    <w:rsid w:val="008B7CE6"/>
    <w:rsid w:val="008B7EA4"/>
    <w:rsid w:val="008C0025"/>
    <w:rsid w:val="008C0687"/>
    <w:rsid w:val="008C0AEB"/>
    <w:rsid w:val="008C1551"/>
    <w:rsid w:val="008C15BB"/>
    <w:rsid w:val="008C23D1"/>
    <w:rsid w:val="008C26FE"/>
    <w:rsid w:val="008C28E5"/>
    <w:rsid w:val="008C2FEF"/>
    <w:rsid w:val="008C2FFA"/>
    <w:rsid w:val="008C3205"/>
    <w:rsid w:val="008C3335"/>
    <w:rsid w:val="008C3534"/>
    <w:rsid w:val="008C4095"/>
    <w:rsid w:val="008C409A"/>
    <w:rsid w:val="008C4177"/>
    <w:rsid w:val="008C4445"/>
    <w:rsid w:val="008C46E9"/>
    <w:rsid w:val="008C4B92"/>
    <w:rsid w:val="008C4C69"/>
    <w:rsid w:val="008C4DCB"/>
    <w:rsid w:val="008C4E5F"/>
    <w:rsid w:val="008C51D5"/>
    <w:rsid w:val="008C6886"/>
    <w:rsid w:val="008C68A2"/>
    <w:rsid w:val="008C6A6F"/>
    <w:rsid w:val="008C6C82"/>
    <w:rsid w:val="008C7ADB"/>
    <w:rsid w:val="008D00C7"/>
    <w:rsid w:val="008D012B"/>
    <w:rsid w:val="008D0599"/>
    <w:rsid w:val="008D0AD2"/>
    <w:rsid w:val="008D0B90"/>
    <w:rsid w:val="008D154C"/>
    <w:rsid w:val="008D15F7"/>
    <w:rsid w:val="008D1885"/>
    <w:rsid w:val="008D18CA"/>
    <w:rsid w:val="008D199C"/>
    <w:rsid w:val="008D1EDB"/>
    <w:rsid w:val="008D1FCF"/>
    <w:rsid w:val="008D1FDE"/>
    <w:rsid w:val="008D24A7"/>
    <w:rsid w:val="008D24AB"/>
    <w:rsid w:val="008D28CD"/>
    <w:rsid w:val="008D2EEA"/>
    <w:rsid w:val="008D319F"/>
    <w:rsid w:val="008D34ED"/>
    <w:rsid w:val="008D351D"/>
    <w:rsid w:val="008D37E9"/>
    <w:rsid w:val="008D38C7"/>
    <w:rsid w:val="008D47F3"/>
    <w:rsid w:val="008D5CF4"/>
    <w:rsid w:val="008D5D10"/>
    <w:rsid w:val="008D62BB"/>
    <w:rsid w:val="008D6FA7"/>
    <w:rsid w:val="008D708A"/>
    <w:rsid w:val="008D7503"/>
    <w:rsid w:val="008D7C8C"/>
    <w:rsid w:val="008D7FCB"/>
    <w:rsid w:val="008E140C"/>
    <w:rsid w:val="008E1467"/>
    <w:rsid w:val="008E1623"/>
    <w:rsid w:val="008E1687"/>
    <w:rsid w:val="008E1C2F"/>
    <w:rsid w:val="008E1C45"/>
    <w:rsid w:val="008E242E"/>
    <w:rsid w:val="008E29BF"/>
    <w:rsid w:val="008E2A3A"/>
    <w:rsid w:val="008E30B5"/>
    <w:rsid w:val="008E3151"/>
    <w:rsid w:val="008E35DB"/>
    <w:rsid w:val="008E3711"/>
    <w:rsid w:val="008E38E7"/>
    <w:rsid w:val="008E3CBC"/>
    <w:rsid w:val="008E418C"/>
    <w:rsid w:val="008E41DF"/>
    <w:rsid w:val="008E4658"/>
    <w:rsid w:val="008E47BE"/>
    <w:rsid w:val="008E491A"/>
    <w:rsid w:val="008E4B78"/>
    <w:rsid w:val="008E51A2"/>
    <w:rsid w:val="008E53CF"/>
    <w:rsid w:val="008E55F8"/>
    <w:rsid w:val="008E5CB3"/>
    <w:rsid w:val="008E647B"/>
    <w:rsid w:val="008E65B0"/>
    <w:rsid w:val="008E65F0"/>
    <w:rsid w:val="008E6847"/>
    <w:rsid w:val="008E6931"/>
    <w:rsid w:val="008E7092"/>
    <w:rsid w:val="008E7513"/>
    <w:rsid w:val="008E758A"/>
    <w:rsid w:val="008E75A6"/>
    <w:rsid w:val="008E7B61"/>
    <w:rsid w:val="008F0023"/>
    <w:rsid w:val="008F051A"/>
    <w:rsid w:val="008F0978"/>
    <w:rsid w:val="008F1003"/>
    <w:rsid w:val="008F1235"/>
    <w:rsid w:val="008F1899"/>
    <w:rsid w:val="008F1F09"/>
    <w:rsid w:val="008F2461"/>
    <w:rsid w:val="008F267F"/>
    <w:rsid w:val="008F2F7C"/>
    <w:rsid w:val="008F31DF"/>
    <w:rsid w:val="008F3442"/>
    <w:rsid w:val="008F3484"/>
    <w:rsid w:val="008F3AE2"/>
    <w:rsid w:val="008F3F22"/>
    <w:rsid w:val="008F4422"/>
    <w:rsid w:val="008F4690"/>
    <w:rsid w:val="008F46AE"/>
    <w:rsid w:val="008F490E"/>
    <w:rsid w:val="008F4CF3"/>
    <w:rsid w:val="008F4E5E"/>
    <w:rsid w:val="008F5907"/>
    <w:rsid w:val="008F5E5C"/>
    <w:rsid w:val="008F6221"/>
    <w:rsid w:val="008F6BEB"/>
    <w:rsid w:val="008F6C59"/>
    <w:rsid w:val="008F722B"/>
    <w:rsid w:val="008F7485"/>
    <w:rsid w:val="008F7543"/>
    <w:rsid w:val="008F777B"/>
    <w:rsid w:val="008F7CCE"/>
    <w:rsid w:val="009001B1"/>
    <w:rsid w:val="009008C4"/>
    <w:rsid w:val="00900B51"/>
    <w:rsid w:val="00900CFA"/>
    <w:rsid w:val="00900E33"/>
    <w:rsid w:val="00902080"/>
    <w:rsid w:val="009022D3"/>
    <w:rsid w:val="00902537"/>
    <w:rsid w:val="00902C55"/>
    <w:rsid w:val="00902F02"/>
    <w:rsid w:val="00903658"/>
    <w:rsid w:val="009046B4"/>
    <w:rsid w:val="009050DA"/>
    <w:rsid w:val="009052F7"/>
    <w:rsid w:val="009061A3"/>
    <w:rsid w:val="0090620F"/>
    <w:rsid w:val="009064E2"/>
    <w:rsid w:val="00906880"/>
    <w:rsid w:val="00906CA9"/>
    <w:rsid w:val="00906E86"/>
    <w:rsid w:val="009075B2"/>
    <w:rsid w:val="009076C8"/>
    <w:rsid w:val="009077C7"/>
    <w:rsid w:val="009078E9"/>
    <w:rsid w:val="00907D3F"/>
    <w:rsid w:val="00907E4F"/>
    <w:rsid w:val="00910F51"/>
    <w:rsid w:val="009111AA"/>
    <w:rsid w:val="0091169E"/>
    <w:rsid w:val="00911CCD"/>
    <w:rsid w:val="0091220E"/>
    <w:rsid w:val="009122B0"/>
    <w:rsid w:val="009125DF"/>
    <w:rsid w:val="00912EEF"/>
    <w:rsid w:val="0091363E"/>
    <w:rsid w:val="0091447F"/>
    <w:rsid w:val="0091465A"/>
    <w:rsid w:val="00914796"/>
    <w:rsid w:val="00914D03"/>
    <w:rsid w:val="00914DDF"/>
    <w:rsid w:val="009150A8"/>
    <w:rsid w:val="0091559C"/>
    <w:rsid w:val="00915842"/>
    <w:rsid w:val="00915F6D"/>
    <w:rsid w:val="00916472"/>
    <w:rsid w:val="009165F0"/>
    <w:rsid w:val="00916948"/>
    <w:rsid w:val="00917551"/>
    <w:rsid w:val="0091780B"/>
    <w:rsid w:val="00917CA7"/>
    <w:rsid w:val="00917DAB"/>
    <w:rsid w:val="00917DFF"/>
    <w:rsid w:val="00920216"/>
    <w:rsid w:val="00920463"/>
    <w:rsid w:val="00920995"/>
    <w:rsid w:val="00920FEF"/>
    <w:rsid w:val="009215E8"/>
    <w:rsid w:val="00921F86"/>
    <w:rsid w:val="00922BB3"/>
    <w:rsid w:val="00922C64"/>
    <w:rsid w:val="00923042"/>
    <w:rsid w:val="00923100"/>
    <w:rsid w:val="009231E5"/>
    <w:rsid w:val="00923571"/>
    <w:rsid w:val="009238C7"/>
    <w:rsid w:val="00923CC2"/>
    <w:rsid w:val="00923D68"/>
    <w:rsid w:val="0092410D"/>
    <w:rsid w:val="009245CA"/>
    <w:rsid w:val="00924935"/>
    <w:rsid w:val="00924955"/>
    <w:rsid w:val="009263D8"/>
    <w:rsid w:val="0092669B"/>
    <w:rsid w:val="00926E4D"/>
    <w:rsid w:val="00927144"/>
    <w:rsid w:val="00927A20"/>
    <w:rsid w:val="00927D61"/>
    <w:rsid w:val="00927F2C"/>
    <w:rsid w:val="0093167E"/>
    <w:rsid w:val="009316E8"/>
    <w:rsid w:val="009317C9"/>
    <w:rsid w:val="00931A5D"/>
    <w:rsid w:val="00932661"/>
    <w:rsid w:val="009326AA"/>
    <w:rsid w:val="00932E43"/>
    <w:rsid w:val="00932EDF"/>
    <w:rsid w:val="00933060"/>
    <w:rsid w:val="0093352D"/>
    <w:rsid w:val="00934656"/>
    <w:rsid w:val="0093472C"/>
    <w:rsid w:val="00934CD3"/>
    <w:rsid w:val="00934D07"/>
    <w:rsid w:val="00934E98"/>
    <w:rsid w:val="0093509D"/>
    <w:rsid w:val="00935732"/>
    <w:rsid w:val="00935AEA"/>
    <w:rsid w:val="00935B7B"/>
    <w:rsid w:val="009366EA"/>
    <w:rsid w:val="00936BDB"/>
    <w:rsid w:val="00936C87"/>
    <w:rsid w:val="00936CC2"/>
    <w:rsid w:val="00937101"/>
    <w:rsid w:val="009371CF"/>
    <w:rsid w:val="00937221"/>
    <w:rsid w:val="0093744D"/>
    <w:rsid w:val="009376FF"/>
    <w:rsid w:val="00937E0B"/>
    <w:rsid w:val="00937F86"/>
    <w:rsid w:val="00940185"/>
    <w:rsid w:val="00940BCD"/>
    <w:rsid w:val="00940C94"/>
    <w:rsid w:val="00940EF2"/>
    <w:rsid w:val="00941185"/>
    <w:rsid w:val="00941279"/>
    <w:rsid w:val="00941500"/>
    <w:rsid w:val="00941637"/>
    <w:rsid w:val="0094176B"/>
    <w:rsid w:val="0094184F"/>
    <w:rsid w:val="0094192D"/>
    <w:rsid w:val="00941CDA"/>
    <w:rsid w:val="00941F8E"/>
    <w:rsid w:val="009420FD"/>
    <w:rsid w:val="009422E3"/>
    <w:rsid w:val="00942D5E"/>
    <w:rsid w:val="00943234"/>
    <w:rsid w:val="00943235"/>
    <w:rsid w:val="009436E1"/>
    <w:rsid w:val="00943817"/>
    <w:rsid w:val="00943A04"/>
    <w:rsid w:val="009440DA"/>
    <w:rsid w:val="009445AD"/>
    <w:rsid w:val="009445EC"/>
    <w:rsid w:val="009447DB"/>
    <w:rsid w:val="00944966"/>
    <w:rsid w:val="009449B9"/>
    <w:rsid w:val="00944DC5"/>
    <w:rsid w:val="009453A2"/>
    <w:rsid w:val="0094543D"/>
    <w:rsid w:val="0094584F"/>
    <w:rsid w:val="0094595A"/>
    <w:rsid w:val="009460D9"/>
    <w:rsid w:val="0094627B"/>
    <w:rsid w:val="009462D5"/>
    <w:rsid w:val="0094650B"/>
    <w:rsid w:val="009467C2"/>
    <w:rsid w:val="00946AE0"/>
    <w:rsid w:val="00946BDE"/>
    <w:rsid w:val="00947E9C"/>
    <w:rsid w:val="00947F0C"/>
    <w:rsid w:val="00950B42"/>
    <w:rsid w:val="00950CB9"/>
    <w:rsid w:val="00951179"/>
    <w:rsid w:val="00951610"/>
    <w:rsid w:val="009516FD"/>
    <w:rsid w:val="00951C63"/>
    <w:rsid w:val="00952240"/>
    <w:rsid w:val="009531D4"/>
    <w:rsid w:val="00953214"/>
    <w:rsid w:val="00953237"/>
    <w:rsid w:val="0095393E"/>
    <w:rsid w:val="00953CED"/>
    <w:rsid w:val="00953EB6"/>
    <w:rsid w:val="0095449F"/>
    <w:rsid w:val="0095456C"/>
    <w:rsid w:val="009547B3"/>
    <w:rsid w:val="00954836"/>
    <w:rsid w:val="00954B97"/>
    <w:rsid w:val="009552F8"/>
    <w:rsid w:val="0095541E"/>
    <w:rsid w:val="00955501"/>
    <w:rsid w:val="00955AC7"/>
    <w:rsid w:val="00955D47"/>
    <w:rsid w:val="00955E6A"/>
    <w:rsid w:val="00956905"/>
    <w:rsid w:val="009578E9"/>
    <w:rsid w:val="00957FC3"/>
    <w:rsid w:val="00960350"/>
    <w:rsid w:val="00960A60"/>
    <w:rsid w:val="00960C12"/>
    <w:rsid w:val="009610E2"/>
    <w:rsid w:val="0096123C"/>
    <w:rsid w:val="009614C6"/>
    <w:rsid w:val="00961772"/>
    <w:rsid w:val="00961891"/>
    <w:rsid w:val="009619ED"/>
    <w:rsid w:val="00961BB8"/>
    <w:rsid w:val="0096252A"/>
    <w:rsid w:val="009626F3"/>
    <w:rsid w:val="00962738"/>
    <w:rsid w:val="00962AE9"/>
    <w:rsid w:val="00962B01"/>
    <w:rsid w:val="00962BFB"/>
    <w:rsid w:val="00962C32"/>
    <w:rsid w:val="00962D08"/>
    <w:rsid w:val="00962E1C"/>
    <w:rsid w:val="0096349D"/>
    <w:rsid w:val="00963A9F"/>
    <w:rsid w:val="009646CE"/>
    <w:rsid w:val="00964954"/>
    <w:rsid w:val="00965245"/>
    <w:rsid w:val="00965770"/>
    <w:rsid w:val="009657FC"/>
    <w:rsid w:val="00965ABD"/>
    <w:rsid w:val="00965B24"/>
    <w:rsid w:val="00965B99"/>
    <w:rsid w:val="00965D49"/>
    <w:rsid w:val="00966095"/>
    <w:rsid w:val="0096627F"/>
    <w:rsid w:val="00966502"/>
    <w:rsid w:val="00966DEC"/>
    <w:rsid w:val="00967159"/>
    <w:rsid w:val="00970178"/>
    <w:rsid w:val="00970213"/>
    <w:rsid w:val="009703A0"/>
    <w:rsid w:val="00970465"/>
    <w:rsid w:val="009708BA"/>
    <w:rsid w:val="00970B11"/>
    <w:rsid w:val="00970EAB"/>
    <w:rsid w:val="00971816"/>
    <w:rsid w:val="00971F82"/>
    <w:rsid w:val="00971F83"/>
    <w:rsid w:val="009724B0"/>
    <w:rsid w:val="0097302F"/>
    <w:rsid w:val="0097362D"/>
    <w:rsid w:val="00973691"/>
    <w:rsid w:val="00973A52"/>
    <w:rsid w:val="00973AD6"/>
    <w:rsid w:val="00973BAE"/>
    <w:rsid w:val="00973C96"/>
    <w:rsid w:val="00973CE8"/>
    <w:rsid w:val="009741CF"/>
    <w:rsid w:val="00974F5C"/>
    <w:rsid w:val="0097503C"/>
    <w:rsid w:val="00975328"/>
    <w:rsid w:val="0097543E"/>
    <w:rsid w:val="0097549F"/>
    <w:rsid w:val="0097596F"/>
    <w:rsid w:val="0097673B"/>
    <w:rsid w:val="00976A53"/>
    <w:rsid w:val="00976F16"/>
    <w:rsid w:val="009770DA"/>
    <w:rsid w:val="0097770C"/>
    <w:rsid w:val="00977CE9"/>
    <w:rsid w:val="00977D7B"/>
    <w:rsid w:val="00977FF9"/>
    <w:rsid w:val="009800C9"/>
    <w:rsid w:val="0098027B"/>
    <w:rsid w:val="009807C3"/>
    <w:rsid w:val="00980AC9"/>
    <w:rsid w:val="00980B23"/>
    <w:rsid w:val="00980DC4"/>
    <w:rsid w:val="00981645"/>
    <w:rsid w:val="00981C62"/>
    <w:rsid w:val="00981E4A"/>
    <w:rsid w:val="00981F61"/>
    <w:rsid w:val="00982849"/>
    <w:rsid w:val="00982A86"/>
    <w:rsid w:val="0098304D"/>
    <w:rsid w:val="0098413A"/>
    <w:rsid w:val="0098430A"/>
    <w:rsid w:val="00984482"/>
    <w:rsid w:val="00984762"/>
    <w:rsid w:val="009864AC"/>
    <w:rsid w:val="009865C0"/>
    <w:rsid w:val="009867A4"/>
    <w:rsid w:val="009868B7"/>
    <w:rsid w:val="0098723A"/>
    <w:rsid w:val="00987303"/>
    <w:rsid w:val="00987310"/>
    <w:rsid w:val="00987A49"/>
    <w:rsid w:val="00987C14"/>
    <w:rsid w:val="00987C7D"/>
    <w:rsid w:val="00990380"/>
    <w:rsid w:val="00990801"/>
    <w:rsid w:val="00990B68"/>
    <w:rsid w:val="0099102F"/>
    <w:rsid w:val="00991344"/>
    <w:rsid w:val="009917B6"/>
    <w:rsid w:val="0099194A"/>
    <w:rsid w:val="00992013"/>
    <w:rsid w:val="009921DB"/>
    <w:rsid w:val="00992204"/>
    <w:rsid w:val="00992C0F"/>
    <w:rsid w:val="00992CCB"/>
    <w:rsid w:val="00992DFF"/>
    <w:rsid w:val="00993839"/>
    <w:rsid w:val="00993C46"/>
    <w:rsid w:val="009940EF"/>
    <w:rsid w:val="00994195"/>
    <w:rsid w:val="0099450B"/>
    <w:rsid w:val="00994747"/>
    <w:rsid w:val="00994797"/>
    <w:rsid w:val="00994A8D"/>
    <w:rsid w:val="00994D06"/>
    <w:rsid w:val="00994E32"/>
    <w:rsid w:val="0099594C"/>
    <w:rsid w:val="00995A9F"/>
    <w:rsid w:val="00995E8A"/>
    <w:rsid w:val="009962B1"/>
    <w:rsid w:val="00996311"/>
    <w:rsid w:val="00996CF6"/>
    <w:rsid w:val="00997023"/>
    <w:rsid w:val="009979CD"/>
    <w:rsid w:val="00997C8F"/>
    <w:rsid w:val="00997CF0"/>
    <w:rsid w:val="00997E2F"/>
    <w:rsid w:val="009A0391"/>
    <w:rsid w:val="009A07F6"/>
    <w:rsid w:val="009A0BBC"/>
    <w:rsid w:val="009A0BF7"/>
    <w:rsid w:val="009A0C3A"/>
    <w:rsid w:val="009A1347"/>
    <w:rsid w:val="009A1E1A"/>
    <w:rsid w:val="009A241E"/>
    <w:rsid w:val="009A252F"/>
    <w:rsid w:val="009A2C37"/>
    <w:rsid w:val="009A2EF2"/>
    <w:rsid w:val="009A3875"/>
    <w:rsid w:val="009A3CC0"/>
    <w:rsid w:val="009A3E3D"/>
    <w:rsid w:val="009A443A"/>
    <w:rsid w:val="009A50DF"/>
    <w:rsid w:val="009A5656"/>
    <w:rsid w:val="009A56C1"/>
    <w:rsid w:val="009A5980"/>
    <w:rsid w:val="009A5A6E"/>
    <w:rsid w:val="009A5AFD"/>
    <w:rsid w:val="009A5D86"/>
    <w:rsid w:val="009A5E3D"/>
    <w:rsid w:val="009A620F"/>
    <w:rsid w:val="009A6A97"/>
    <w:rsid w:val="009A6EFD"/>
    <w:rsid w:val="009A7263"/>
    <w:rsid w:val="009A7C76"/>
    <w:rsid w:val="009B0E86"/>
    <w:rsid w:val="009B11AE"/>
    <w:rsid w:val="009B23EC"/>
    <w:rsid w:val="009B25AF"/>
    <w:rsid w:val="009B2679"/>
    <w:rsid w:val="009B277D"/>
    <w:rsid w:val="009B27A9"/>
    <w:rsid w:val="009B28E7"/>
    <w:rsid w:val="009B2913"/>
    <w:rsid w:val="009B2EC3"/>
    <w:rsid w:val="009B2F71"/>
    <w:rsid w:val="009B3600"/>
    <w:rsid w:val="009B3675"/>
    <w:rsid w:val="009B390E"/>
    <w:rsid w:val="009B39DC"/>
    <w:rsid w:val="009B447F"/>
    <w:rsid w:val="009B480F"/>
    <w:rsid w:val="009B4811"/>
    <w:rsid w:val="009B48DC"/>
    <w:rsid w:val="009B51D0"/>
    <w:rsid w:val="009B5590"/>
    <w:rsid w:val="009B592C"/>
    <w:rsid w:val="009B59DF"/>
    <w:rsid w:val="009B61E7"/>
    <w:rsid w:val="009B6CDD"/>
    <w:rsid w:val="009B6F5F"/>
    <w:rsid w:val="009B70B4"/>
    <w:rsid w:val="009B729D"/>
    <w:rsid w:val="009B74D5"/>
    <w:rsid w:val="009B7787"/>
    <w:rsid w:val="009C0087"/>
    <w:rsid w:val="009C0354"/>
    <w:rsid w:val="009C09BF"/>
    <w:rsid w:val="009C1047"/>
    <w:rsid w:val="009C11E9"/>
    <w:rsid w:val="009C136D"/>
    <w:rsid w:val="009C1854"/>
    <w:rsid w:val="009C1B49"/>
    <w:rsid w:val="009C1C61"/>
    <w:rsid w:val="009C222C"/>
    <w:rsid w:val="009C2B14"/>
    <w:rsid w:val="009C2D7E"/>
    <w:rsid w:val="009C34DC"/>
    <w:rsid w:val="009C375D"/>
    <w:rsid w:val="009C38B9"/>
    <w:rsid w:val="009C3B5A"/>
    <w:rsid w:val="009C3C7C"/>
    <w:rsid w:val="009C431D"/>
    <w:rsid w:val="009C45E2"/>
    <w:rsid w:val="009C4F15"/>
    <w:rsid w:val="009C5279"/>
    <w:rsid w:val="009C53D5"/>
    <w:rsid w:val="009C54DC"/>
    <w:rsid w:val="009C5995"/>
    <w:rsid w:val="009C663E"/>
    <w:rsid w:val="009C6E72"/>
    <w:rsid w:val="009C6FE2"/>
    <w:rsid w:val="009C71F6"/>
    <w:rsid w:val="009C7B42"/>
    <w:rsid w:val="009C7F94"/>
    <w:rsid w:val="009D0231"/>
    <w:rsid w:val="009D0DE5"/>
    <w:rsid w:val="009D0DF1"/>
    <w:rsid w:val="009D109B"/>
    <w:rsid w:val="009D150D"/>
    <w:rsid w:val="009D1610"/>
    <w:rsid w:val="009D1644"/>
    <w:rsid w:val="009D192B"/>
    <w:rsid w:val="009D1BA1"/>
    <w:rsid w:val="009D1C79"/>
    <w:rsid w:val="009D1ED9"/>
    <w:rsid w:val="009D2424"/>
    <w:rsid w:val="009D329A"/>
    <w:rsid w:val="009D344B"/>
    <w:rsid w:val="009D34EC"/>
    <w:rsid w:val="009D36E9"/>
    <w:rsid w:val="009D3B02"/>
    <w:rsid w:val="009D3BE4"/>
    <w:rsid w:val="009D3C3F"/>
    <w:rsid w:val="009D3D0D"/>
    <w:rsid w:val="009D4141"/>
    <w:rsid w:val="009D4303"/>
    <w:rsid w:val="009D44D9"/>
    <w:rsid w:val="009D450B"/>
    <w:rsid w:val="009D4789"/>
    <w:rsid w:val="009D4D67"/>
    <w:rsid w:val="009D4F1E"/>
    <w:rsid w:val="009D524B"/>
    <w:rsid w:val="009D543D"/>
    <w:rsid w:val="009D574C"/>
    <w:rsid w:val="009D5769"/>
    <w:rsid w:val="009D57A7"/>
    <w:rsid w:val="009D59E6"/>
    <w:rsid w:val="009D5DE2"/>
    <w:rsid w:val="009D6169"/>
    <w:rsid w:val="009D635B"/>
    <w:rsid w:val="009D66DC"/>
    <w:rsid w:val="009D6B01"/>
    <w:rsid w:val="009D6EB9"/>
    <w:rsid w:val="009D7227"/>
    <w:rsid w:val="009D72ED"/>
    <w:rsid w:val="009D75C5"/>
    <w:rsid w:val="009D7D62"/>
    <w:rsid w:val="009D7F6F"/>
    <w:rsid w:val="009E0393"/>
    <w:rsid w:val="009E07D3"/>
    <w:rsid w:val="009E0D11"/>
    <w:rsid w:val="009E0D7C"/>
    <w:rsid w:val="009E1284"/>
    <w:rsid w:val="009E1635"/>
    <w:rsid w:val="009E1B2F"/>
    <w:rsid w:val="009E39DE"/>
    <w:rsid w:val="009E3E4E"/>
    <w:rsid w:val="009E40DF"/>
    <w:rsid w:val="009E444E"/>
    <w:rsid w:val="009E491F"/>
    <w:rsid w:val="009E4E7B"/>
    <w:rsid w:val="009E5184"/>
    <w:rsid w:val="009E565C"/>
    <w:rsid w:val="009E591D"/>
    <w:rsid w:val="009E5A00"/>
    <w:rsid w:val="009E5C0E"/>
    <w:rsid w:val="009E5E26"/>
    <w:rsid w:val="009E6304"/>
    <w:rsid w:val="009E6842"/>
    <w:rsid w:val="009E6A20"/>
    <w:rsid w:val="009E7C58"/>
    <w:rsid w:val="009E7E69"/>
    <w:rsid w:val="009F06F2"/>
    <w:rsid w:val="009F0CDF"/>
    <w:rsid w:val="009F0E70"/>
    <w:rsid w:val="009F1281"/>
    <w:rsid w:val="009F1B8A"/>
    <w:rsid w:val="009F1C7C"/>
    <w:rsid w:val="009F1D04"/>
    <w:rsid w:val="009F2592"/>
    <w:rsid w:val="009F2D5C"/>
    <w:rsid w:val="009F31F2"/>
    <w:rsid w:val="009F32DB"/>
    <w:rsid w:val="009F3824"/>
    <w:rsid w:val="009F386E"/>
    <w:rsid w:val="009F3A7F"/>
    <w:rsid w:val="009F3C93"/>
    <w:rsid w:val="009F3D5D"/>
    <w:rsid w:val="009F3F10"/>
    <w:rsid w:val="009F4275"/>
    <w:rsid w:val="009F43E6"/>
    <w:rsid w:val="009F48A8"/>
    <w:rsid w:val="009F4F9B"/>
    <w:rsid w:val="009F51B7"/>
    <w:rsid w:val="009F52A7"/>
    <w:rsid w:val="009F5F59"/>
    <w:rsid w:val="009F635E"/>
    <w:rsid w:val="009F64E9"/>
    <w:rsid w:val="009F6BD4"/>
    <w:rsid w:val="009F73C2"/>
    <w:rsid w:val="009F74CF"/>
    <w:rsid w:val="009F77C8"/>
    <w:rsid w:val="009F7ED6"/>
    <w:rsid w:val="00A0091E"/>
    <w:rsid w:val="00A0117B"/>
    <w:rsid w:val="00A0163F"/>
    <w:rsid w:val="00A0185F"/>
    <w:rsid w:val="00A0186B"/>
    <w:rsid w:val="00A01A02"/>
    <w:rsid w:val="00A020A8"/>
    <w:rsid w:val="00A028D2"/>
    <w:rsid w:val="00A02961"/>
    <w:rsid w:val="00A02B73"/>
    <w:rsid w:val="00A02C5D"/>
    <w:rsid w:val="00A02CD3"/>
    <w:rsid w:val="00A02D06"/>
    <w:rsid w:val="00A02F01"/>
    <w:rsid w:val="00A03230"/>
    <w:rsid w:val="00A032F7"/>
    <w:rsid w:val="00A03412"/>
    <w:rsid w:val="00A037F1"/>
    <w:rsid w:val="00A0431C"/>
    <w:rsid w:val="00A0441F"/>
    <w:rsid w:val="00A04E98"/>
    <w:rsid w:val="00A050A8"/>
    <w:rsid w:val="00A05174"/>
    <w:rsid w:val="00A05185"/>
    <w:rsid w:val="00A053F2"/>
    <w:rsid w:val="00A06383"/>
    <w:rsid w:val="00A06918"/>
    <w:rsid w:val="00A06E05"/>
    <w:rsid w:val="00A07170"/>
    <w:rsid w:val="00A072AF"/>
    <w:rsid w:val="00A07479"/>
    <w:rsid w:val="00A07550"/>
    <w:rsid w:val="00A07663"/>
    <w:rsid w:val="00A07887"/>
    <w:rsid w:val="00A10558"/>
    <w:rsid w:val="00A10F09"/>
    <w:rsid w:val="00A10F1F"/>
    <w:rsid w:val="00A11894"/>
    <w:rsid w:val="00A11F07"/>
    <w:rsid w:val="00A11FE4"/>
    <w:rsid w:val="00A123E0"/>
    <w:rsid w:val="00A124C2"/>
    <w:rsid w:val="00A1270A"/>
    <w:rsid w:val="00A129B4"/>
    <w:rsid w:val="00A135AE"/>
    <w:rsid w:val="00A13BCB"/>
    <w:rsid w:val="00A140D3"/>
    <w:rsid w:val="00A1446B"/>
    <w:rsid w:val="00A1472E"/>
    <w:rsid w:val="00A14BED"/>
    <w:rsid w:val="00A1566D"/>
    <w:rsid w:val="00A158EB"/>
    <w:rsid w:val="00A15A31"/>
    <w:rsid w:val="00A16400"/>
    <w:rsid w:val="00A165A4"/>
    <w:rsid w:val="00A167F2"/>
    <w:rsid w:val="00A16A6D"/>
    <w:rsid w:val="00A16CA4"/>
    <w:rsid w:val="00A173DE"/>
    <w:rsid w:val="00A173E2"/>
    <w:rsid w:val="00A17924"/>
    <w:rsid w:val="00A1797C"/>
    <w:rsid w:val="00A17C02"/>
    <w:rsid w:val="00A17C82"/>
    <w:rsid w:val="00A17EFE"/>
    <w:rsid w:val="00A20015"/>
    <w:rsid w:val="00A202C6"/>
    <w:rsid w:val="00A2077E"/>
    <w:rsid w:val="00A208CE"/>
    <w:rsid w:val="00A20941"/>
    <w:rsid w:val="00A20BAF"/>
    <w:rsid w:val="00A20C78"/>
    <w:rsid w:val="00A20F46"/>
    <w:rsid w:val="00A21343"/>
    <w:rsid w:val="00A21489"/>
    <w:rsid w:val="00A21554"/>
    <w:rsid w:val="00A218D3"/>
    <w:rsid w:val="00A21942"/>
    <w:rsid w:val="00A21F58"/>
    <w:rsid w:val="00A22047"/>
    <w:rsid w:val="00A222B6"/>
    <w:rsid w:val="00A2312E"/>
    <w:rsid w:val="00A232BA"/>
    <w:rsid w:val="00A233B2"/>
    <w:rsid w:val="00A233BD"/>
    <w:rsid w:val="00A2340E"/>
    <w:rsid w:val="00A23509"/>
    <w:rsid w:val="00A237DA"/>
    <w:rsid w:val="00A23974"/>
    <w:rsid w:val="00A242F3"/>
    <w:rsid w:val="00A24323"/>
    <w:rsid w:val="00A2483F"/>
    <w:rsid w:val="00A24BB7"/>
    <w:rsid w:val="00A2512C"/>
    <w:rsid w:val="00A2515B"/>
    <w:rsid w:val="00A25490"/>
    <w:rsid w:val="00A255A2"/>
    <w:rsid w:val="00A255FE"/>
    <w:rsid w:val="00A2588E"/>
    <w:rsid w:val="00A25B3D"/>
    <w:rsid w:val="00A25E65"/>
    <w:rsid w:val="00A262C2"/>
    <w:rsid w:val="00A2660D"/>
    <w:rsid w:val="00A26A4A"/>
    <w:rsid w:val="00A26DC4"/>
    <w:rsid w:val="00A26EDF"/>
    <w:rsid w:val="00A2726A"/>
    <w:rsid w:val="00A27521"/>
    <w:rsid w:val="00A277D9"/>
    <w:rsid w:val="00A30C80"/>
    <w:rsid w:val="00A3109A"/>
    <w:rsid w:val="00A31EAB"/>
    <w:rsid w:val="00A31FB7"/>
    <w:rsid w:val="00A32585"/>
    <w:rsid w:val="00A32AE9"/>
    <w:rsid w:val="00A334CB"/>
    <w:rsid w:val="00A335DD"/>
    <w:rsid w:val="00A33904"/>
    <w:rsid w:val="00A3427E"/>
    <w:rsid w:val="00A34789"/>
    <w:rsid w:val="00A34C3B"/>
    <w:rsid w:val="00A34F75"/>
    <w:rsid w:val="00A35AA6"/>
    <w:rsid w:val="00A3607D"/>
    <w:rsid w:val="00A3630E"/>
    <w:rsid w:val="00A365F9"/>
    <w:rsid w:val="00A367A9"/>
    <w:rsid w:val="00A371A3"/>
    <w:rsid w:val="00A371D7"/>
    <w:rsid w:val="00A373AC"/>
    <w:rsid w:val="00A37B5F"/>
    <w:rsid w:val="00A37BB8"/>
    <w:rsid w:val="00A37BDC"/>
    <w:rsid w:val="00A37D60"/>
    <w:rsid w:val="00A37D74"/>
    <w:rsid w:val="00A37E8E"/>
    <w:rsid w:val="00A400F1"/>
    <w:rsid w:val="00A40263"/>
    <w:rsid w:val="00A40724"/>
    <w:rsid w:val="00A40D03"/>
    <w:rsid w:val="00A40DF2"/>
    <w:rsid w:val="00A41217"/>
    <w:rsid w:val="00A413AA"/>
    <w:rsid w:val="00A4161A"/>
    <w:rsid w:val="00A418AB"/>
    <w:rsid w:val="00A419C4"/>
    <w:rsid w:val="00A41E05"/>
    <w:rsid w:val="00A41FF8"/>
    <w:rsid w:val="00A4213A"/>
    <w:rsid w:val="00A425A5"/>
    <w:rsid w:val="00A4260F"/>
    <w:rsid w:val="00A42D87"/>
    <w:rsid w:val="00A430EB"/>
    <w:rsid w:val="00A43328"/>
    <w:rsid w:val="00A43F5C"/>
    <w:rsid w:val="00A44BD3"/>
    <w:rsid w:val="00A44EA7"/>
    <w:rsid w:val="00A44F99"/>
    <w:rsid w:val="00A4521D"/>
    <w:rsid w:val="00A45F24"/>
    <w:rsid w:val="00A465F4"/>
    <w:rsid w:val="00A46D6F"/>
    <w:rsid w:val="00A472DF"/>
    <w:rsid w:val="00A4731D"/>
    <w:rsid w:val="00A475E5"/>
    <w:rsid w:val="00A47750"/>
    <w:rsid w:val="00A47899"/>
    <w:rsid w:val="00A5008D"/>
    <w:rsid w:val="00A503BB"/>
    <w:rsid w:val="00A5076A"/>
    <w:rsid w:val="00A50A17"/>
    <w:rsid w:val="00A50D18"/>
    <w:rsid w:val="00A50E65"/>
    <w:rsid w:val="00A51410"/>
    <w:rsid w:val="00A515E9"/>
    <w:rsid w:val="00A51EA0"/>
    <w:rsid w:val="00A51F0A"/>
    <w:rsid w:val="00A520F7"/>
    <w:rsid w:val="00A5222C"/>
    <w:rsid w:val="00A52C7D"/>
    <w:rsid w:val="00A52DE8"/>
    <w:rsid w:val="00A539E5"/>
    <w:rsid w:val="00A53DC0"/>
    <w:rsid w:val="00A54302"/>
    <w:rsid w:val="00A543B9"/>
    <w:rsid w:val="00A544A9"/>
    <w:rsid w:val="00A54AB7"/>
    <w:rsid w:val="00A54D0B"/>
    <w:rsid w:val="00A54DF6"/>
    <w:rsid w:val="00A54EDF"/>
    <w:rsid w:val="00A54EF2"/>
    <w:rsid w:val="00A55221"/>
    <w:rsid w:val="00A5522B"/>
    <w:rsid w:val="00A55929"/>
    <w:rsid w:val="00A55C89"/>
    <w:rsid w:val="00A55D48"/>
    <w:rsid w:val="00A55ECE"/>
    <w:rsid w:val="00A55FD8"/>
    <w:rsid w:val="00A5605A"/>
    <w:rsid w:val="00A562B7"/>
    <w:rsid w:val="00A56542"/>
    <w:rsid w:val="00A56626"/>
    <w:rsid w:val="00A57136"/>
    <w:rsid w:val="00A57A6F"/>
    <w:rsid w:val="00A57BEB"/>
    <w:rsid w:val="00A6022E"/>
    <w:rsid w:val="00A60801"/>
    <w:rsid w:val="00A60AD0"/>
    <w:rsid w:val="00A60E9A"/>
    <w:rsid w:val="00A61673"/>
    <w:rsid w:val="00A61A27"/>
    <w:rsid w:val="00A623D3"/>
    <w:rsid w:val="00A62771"/>
    <w:rsid w:val="00A62970"/>
    <w:rsid w:val="00A62BD6"/>
    <w:rsid w:val="00A62F88"/>
    <w:rsid w:val="00A62FD6"/>
    <w:rsid w:val="00A63493"/>
    <w:rsid w:val="00A6377C"/>
    <w:rsid w:val="00A64060"/>
    <w:rsid w:val="00A6417A"/>
    <w:rsid w:val="00A6435B"/>
    <w:rsid w:val="00A64926"/>
    <w:rsid w:val="00A6497D"/>
    <w:rsid w:val="00A64CA7"/>
    <w:rsid w:val="00A64F4E"/>
    <w:rsid w:val="00A65155"/>
    <w:rsid w:val="00A652FB"/>
    <w:rsid w:val="00A654F0"/>
    <w:rsid w:val="00A65AB3"/>
    <w:rsid w:val="00A66475"/>
    <w:rsid w:val="00A665CF"/>
    <w:rsid w:val="00A66EF3"/>
    <w:rsid w:val="00A6750E"/>
    <w:rsid w:val="00A67B17"/>
    <w:rsid w:val="00A67CA7"/>
    <w:rsid w:val="00A67D51"/>
    <w:rsid w:val="00A67DD6"/>
    <w:rsid w:val="00A67F20"/>
    <w:rsid w:val="00A70073"/>
    <w:rsid w:val="00A704A9"/>
    <w:rsid w:val="00A7146C"/>
    <w:rsid w:val="00A7195D"/>
    <w:rsid w:val="00A71C5E"/>
    <w:rsid w:val="00A71D46"/>
    <w:rsid w:val="00A72084"/>
    <w:rsid w:val="00A73989"/>
    <w:rsid w:val="00A73A70"/>
    <w:rsid w:val="00A73E45"/>
    <w:rsid w:val="00A74F38"/>
    <w:rsid w:val="00A751E2"/>
    <w:rsid w:val="00A752B5"/>
    <w:rsid w:val="00A761D8"/>
    <w:rsid w:val="00A76427"/>
    <w:rsid w:val="00A769FB"/>
    <w:rsid w:val="00A774F0"/>
    <w:rsid w:val="00A7752F"/>
    <w:rsid w:val="00A77749"/>
    <w:rsid w:val="00A817F0"/>
    <w:rsid w:val="00A8299C"/>
    <w:rsid w:val="00A82BB5"/>
    <w:rsid w:val="00A832DD"/>
    <w:rsid w:val="00A83753"/>
    <w:rsid w:val="00A83B18"/>
    <w:rsid w:val="00A83C40"/>
    <w:rsid w:val="00A83DB0"/>
    <w:rsid w:val="00A83F1D"/>
    <w:rsid w:val="00A8438F"/>
    <w:rsid w:val="00A84649"/>
    <w:rsid w:val="00A84B13"/>
    <w:rsid w:val="00A85347"/>
    <w:rsid w:val="00A85C35"/>
    <w:rsid w:val="00A85FBE"/>
    <w:rsid w:val="00A86005"/>
    <w:rsid w:val="00A862A6"/>
    <w:rsid w:val="00A87040"/>
    <w:rsid w:val="00A8770E"/>
    <w:rsid w:val="00A8777B"/>
    <w:rsid w:val="00A87950"/>
    <w:rsid w:val="00A900FE"/>
    <w:rsid w:val="00A90C14"/>
    <w:rsid w:val="00A91CCE"/>
    <w:rsid w:val="00A92061"/>
    <w:rsid w:val="00A920D6"/>
    <w:rsid w:val="00A92B7B"/>
    <w:rsid w:val="00A93344"/>
    <w:rsid w:val="00A93846"/>
    <w:rsid w:val="00A93866"/>
    <w:rsid w:val="00A93B3F"/>
    <w:rsid w:val="00A93F78"/>
    <w:rsid w:val="00A94249"/>
    <w:rsid w:val="00A94465"/>
    <w:rsid w:val="00A94BC9"/>
    <w:rsid w:val="00A94BCB"/>
    <w:rsid w:val="00A953E2"/>
    <w:rsid w:val="00A95863"/>
    <w:rsid w:val="00A95982"/>
    <w:rsid w:val="00A959BC"/>
    <w:rsid w:val="00A95B52"/>
    <w:rsid w:val="00A95E00"/>
    <w:rsid w:val="00A95ECD"/>
    <w:rsid w:val="00A95FBB"/>
    <w:rsid w:val="00A9662A"/>
    <w:rsid w:val="00A967B9"/>
    <w:rsid w:val="00A968D4"/>
    <w:rsid w:val="00A97AA6"/>
    <w:rsid w:val="00A97DF3"/>
    <w:rsid w:val="00A97EB7"/>
    <w:rsid w:val="00AA0EDC"/>
    <w:rsid w:val="00AA0F04"/>
    <w:rsid w:val="00AA139B"/>
    <w:rsid w:val="00AA17C3"/>
    <w:rsid w:val="00AA2562"/>
    <w:rsid w:val="00AA28E0"/>
    <w:rsid w:val="00AA29DE"/>
    <w:rsid w:val="00AA380B"/>
    <w:rsid w:val="00AA3B6C"/>
    <w:rsid w:val="00AA3C12"/>
    <w:rsid w:val="00AA3C60"/>
    <w:rsid w:val="00AA4487"/>
    <w:rsid w:val="00AA5018"/>
    <w:rsid w:val="00AA551E"/>
    <w:rsid w:val="00AA5641"/>
    <w:rsid w:val="00AA573C"/>
    <w:rsid w:val="00AA5CF7"/>
    <w:rsid w:val="00AA5F75"/>
    <w:rsid w:val="00AA6141"/>
    <w:rsid w:val="00AA624D"/>
    <w:rsid w:val="00AA6861"/>
    <w:rsid w:val="00AA6CAC"/>
    <w:rsid w:val="00AA7103"/>
    <w:rsid w:val="00AA7351"/>
    <w:rsid w:val="00AA738E"/>
    <w:rsid w:val="00AA7586"/>
    <w:rsid w:val="00AA7853"/>
    <w:rsid w:val="00AA7FD4"/>
    <w:rsid w:val="00AB2623"/>
    <w:rsid w:val="00AB295F"/>
    <w:rsid w:val="00AB2994"/>
    <w:rsid w:val="00AB29C4"/>
    <w:rsid w:val="00AB2FF4"/>
    <w:rsid w:val="00AB3392"/>
    <w:rsid w:val="00AB359F"/>
    <w:rsid w:val="00AB3683"/>
    <w:rsid w:val="00AB3C1B"/>
    <w:rsid w:val="00AB4257"/>
    <w:rsid w:val="00AB497A"/>
    <w:rsid w:val="00AB49A2"/>
    <w:rsid w:val="00AB4F4F"/>
    <w:rsid w:val="00AB5EBE"/>
    <w:rsid w:val="00AB5F9C"/>
    <w:rsid w:val="00AB6B63"/>
    <w:rsid w:val="00AB6F5C"/>
    <w:rsid w:val="00AB7136"/>
    <w:rsid w:val="00AB7480"/>
    <w:rsid w:val="00AB79A8"/>
    <w:rsid w:val="00AB7D5F"/>
    <w:rsid w:val="00AC015C"/>
    <w:rsid w:val="00AC0266"/>
    <w:rsid w:val="00AC0F53"/>
    <w:rsid w:val="00AC10B9"/>
    <w:rsid w:val="00AC1AD6"/>
    <w:rsid w:val="00AC1FCF"/>
    <w:rsid w:val="00AC2866"/>
    <w:rsid w:val="00AC2CCA"/>
    <w:rsid w:val="00AC2F94"/>
    <w:rsid w:val="00AC32FF"/>
    <w:rsid w:val="00AC380B"/>
    <w:rsid w:val="00AC3D9C"/>
    <w:rsid w:val="00AC3E9E"/>
    <w:rsid w:val="00AC4231"/>
    <w:rsid w:val="00AC4385"/>
    <w:rsid w:val="00AC4623"/>
    <w:rsid w:val="00AC4927"/>
    <w:rsid w:val="00AC4FAF"/>
    <w:rsid w:val="00AC4FE1"/>
    <w:rsid w:val="00AC542C"/>
    <w:rsid w:val="00AC549E"/>
    <w:rsid w:val="00AC614B"/>
    <w:rsid w:val="00AC6284"/>
    <w:rsid w:val="00AC672C"/>
    <w:rsid w:val="00AC6A1C"/>
    <w:rsid w:val="00AC6CCF"/>
    <w:rsid w:val="00AC6EEF"/>
    <w:rsid w:val="00AC6FEC"/>
    <w:rsid w:val="00AC7CEA"/>
    <w:rsid w:val="00AC7FC4"/>
    <w:rsid w:val="00AD0220"/>
    <w:rsid w:val="00AD023A"/>
    <w:rsid w:val="00AD02A9"/>
    <w:rsid w:val="00AD0526"/>
    <w:rsid w:val="00AD055F"/>
    <w:rsid w:val="00AD066D"/>
    <w:rsid w:val="00AD0738"/>
    <w:rsid w:val="00AD0C75"/>
    <w:rsid w:val="00AD105E"/>
    <w:rsid w:val="00AD17B6"/>
    <w:rsid w:val="00AD181A"/>
    <w:rsid w:val="00AD1848"/>
    <w:rsid w:val="00AD1E51"/>
    <w:rsid w:val="00AD220E"/>
    <w:rsid w:val="00AD2306"/>
    <w:rsid w:val="00AD24DD"/>
    <w:rsid w:val="00AD28F5"/>
    <w:rsid w:val="00AD2913"/>
    <w:rsid w:val="00AD3208"/>
    <w:rsid w:val="00AD44DD"/>
    <w:rsid w:val="00AD477E"/>
    <w:rsid w:val="00AD4C8F"/>
    <w:rsid w:val="00AD4D60"/>
    <w:rsid w:val="00AD55C0"/>
    <w:rsid w:val="00AD5876"/>
    <w:rsid w:val="00AD59C3"/>
    <w:rsid w:val="00AD5B8F"/>
    <w:rsid w:val="00AD5BD0"/>
    <w:rsid w:val="00AD5FCD"/>
    <w:rsid w:val="00AD62AB"/>
    <w:rsid w:val="00AD630F"/>
    <w:rsid w:val="00AD64DF"/>
    <w:rsid w:val="00AD7668"/>
    <w:rsid w:val="00AD76F1"/>
    <w:rsid w:val="00AD7893"/>
    <w:rsid w:val="00AD799E"/>
    <w:rsid w:val="00AD7D7C"/>
    <w:rsid w:val="00AD7E18"/>
    <w:rsid w:val="00AE021E"/>
    <w:rsid w:val="00AE02EE"/>
    <w:rsid w:val="00AE045E"/>
    <w:rsid w:val="00AE0608"/>
    <w:rsid w:val="00AE09D0"/>
    <w:rsid w:val="00AE1025"/>
    <w:rsid w:val="00AE18FC"/>
    <w:rsid w:val="00AE1A29"/>
    <w:rsid w:val="00AE1BCB"/>
    <w:rsid w:val="00AE2B66"/>
    <w:rsid w:val="00AE32CB"/>
    <w:rsid w:val="00AE3B9A"/>
    <w:rsid w:val="00AE3D76"/>
    <w:rsid w:val="00AE3F03"/>
    <w:rsid w:val="00AE3FD8"/>
    <w:rsid w:val="00AE41C3"/>
    <w:rsid w:val="00AE43D3"/>
    <w:rsid w:val="00AE4B59"/>
    <w:rsid w:val="00AE4E2B"/>
    <w:rsid w:val="00AE5889"/>
    <w:rsid w:val="00AE5A1E"/>
    <w:rsid w:val="00AE5CB6"/>
    <w:rsid w:val="00AE6090"/>
    <w:rsid w:val="00AE64F0"/>
    <w:rsid w:val="00AE6891"/>
    <w:rsid w:val="00AE6A84"/>
    <w:rsid w:val="00AE71BD"/>
    <w:rsid w:val="00AE7830"/>
    <w:rsid w:val="00AF0C80"/>
    <w:rsid w:val="00AF1625"/>
    <w:rsid w:val="00AF16F6"/>
    <w:rsid w:val="00AF17F9"/>
    <w:rsid w:val="00AF1B49"/>
    <w:rsid w:val="00AF1C3B"/>
    <w:rsid w:val="00AF23C8"/>
    <w:rsid w:val="00AF240E"/>
    <w:rsid w:val="00AF2AE2"/>
    <w:rsid w:val="00AF2D44"/>
    <w:rsid w:val="00AF2DA0"/>
    <w:rsid w:val="00AF4476"/>
    <w:rsid w:val="00AF460D"/>
    <w:rsid w:val="00AF48A7"/>
    <w:rsid w:val="00AF4975"/>
    <w:rsid w:val="00AF4B14"/>
    <w:rsid w:val="00AF4FB3"/>
    <w:rsid w:val="00AF5749"/>
    <w:rsid w:val="00AF5B49"/>
    <w:rsid w:val="00AF5BD2"/>
    <w:rsid w:val="00AF5BEC"/>
    <w:rsid w:val="00AF5DB0"/>
    <w:rsid w:val="00AF5DF7"/>
    <w:rsid w:val="00AF61A2"/>
    <w:rsid w:val="00AF6294"/>
    <w:rsid w:val="00AF65BB"/>
    <w:rsid w:val="00AF6609"/>
    <w:rsid w:val="00AF7485"/>
    <w:rsid w:val="00AF78B7"/>
    <w:rsid w:val="00AF7A2A"/>
    <w:rsid w:val="00B00DF5"/>
    <w:rsid w:val="00B0132F"/>
    <w:rsid w:val="00B0181C"/>
    <w:rsid w:val="00B01B25"/>
    <w:rsid w:val="00B01D0B"/>
    <w:rsid w:val="00B0213A"/>
    <w:rsid w:val="00B023EF"/>
    <w:rsid w:val="00B02F79"/>
    <w:rsid w:val="00B03076"/>
    <w:rsid w:val="00B031DF"/>
    <w:rsid w:val="00B0377E"/>
    <w:rsid w:val="00B0382F"/>
    <w:rsid w:val="00B03CB1"/>
    <w:rsid w:val="00B03D91"/>
    <w:rsid w:val="00B03FA7"/>
    <w:rsid w:val="00B04095"/>
    <w:rsid w:val="00B04853"/>
    <w:rsid w:val="00B051EC"/>
    <w:rsid w:val="00B05448"/>
    <w:rsid w:val="00B0544F"/>
    <w:rsid w:val="00B054B9"/>
    <w:rsid w:val="00B05595"/>
    <w:rsid w:val="00B05989"/>
    <w:rsid w:val="00B05B15"/>
    <w:rsid w:val="00B05CD6"/>
    <w:rsid w:val="00B05D8C"/>
    <w:rsid w:val="00B06164"/>
    <w:rsid w:val="00B0684D"/>
    <w:rsid w:val="00B06E2D"/>
    <w:rsid w:val="00B07032"/>
    <w:rsid w:val="00B07694"/>
    <w:rsid w:val="00B079F9"/>
    <w:rsid w:val="00B07BA9"/>
    <w:rsid w:val="00B07CCE"/>
    <w:rsid w:val="00B07D07"/>
    <w:rsid w:val="00B10055"/>
    <w:rsid w:val="00B10085"/>
    <w:rsid w:val="00B103CB"/>
    <w:rsid w:val="00B10917"/>
    <w:rsid w:val="00B111C5"/>
    <w:rsid w:val="00B113FF"/>
    <w:rsid w:val="00B1141E"/>
    <w:rsid w:val="00B117CF"/>
    <w:rsid w:val="00B11840"/>
    <w:rsid w:val="00B1189D"/>
    <w:rsid w:val="00B11E71"/>
    <w:rsid w:val="00B1225D"/>
    <w:rsid w:val="00B124FF"/>
    <w:rsid w:val="00B1278B"/>
    <w:rsid w:val="00B1288C"/>
    <w:rsid w:val="00B130E2"/>
    <w:rsid w:val="00B13244"/>
    <w:rsid w:val="00B13FAA"/>
    <w:rsid w:val="00B14210"/>
    <w:rsid w:val="00B14305"/>
    <w:rsid w:val="00B14447"/>
    <w:rsid w:val="00B145CC"/>
    <w:rsid w:val="00B1460D"/>
    <w:rsid w:val="00B14780"/>
    <w:rsid w:val="00B148D6"/>
    <w:rsid w:val="00B14AF0"/>
    <w:rsid w:val="00B153F8"/>
    <w:rsid w:val="00B161AD"/>
    <w:rsid w:val="00B171F3"/>
    <w:rsid w:val="00B17295"/>
    <w:rsid w:val="00B17869"/>
    <w:rsid w:val="00B17D91"/>
    <w:rsid w:val="00B20E73"/>
    <w:rsid w:val="00B211E7"/>
    <w:rsid w:val="00B214AF"/>
    <w:rsid w:val="00B215F5"/>
    <w:rsid w:val="00B21A0C"/>
    <w:rsid w:val="00B21E09"/>
    <w:rsid w:val="00B21FF6"/>
    <w:rsid w:val="00B22382"/>
    <w:rsid w:val="00B22410"/>
    <w:rsid w:val="00B22711"/>
    <w:rsid w:val="00B229E7"/>
    <w:rsid w:val="00B22A82"/>
    <w:rsid w:val="00B22E6C"/>
    <w:rsid w:val="00B23015"/>
    <w:rsid w:val="00B23854"/>
    <w:rsid w:val="00B239BD"/>
    <w:rsid w:val="00B24065"/>
    <w:rsid w:val="00B2418D"/>
    <w:rsid w:val="00B241E4"/>
    <w:rsid w:val="00B2445D"/>
    <w:rsid w:val="00B24521"/>
    <w:rsid w:val="00B249F8"/>
    <w:rsid w:val="00B24C1D"/>
    <w:rsid w:val="00B25046"/>
    <w:rsid w:val="00B25270"/>
    <w:rsid w:val="00B253F0"/>
    <w:rsid w:val="00B25580"/>
    <w:rsid w:val="00B25936"/>
    <w:rsid w:val="00B25E33"/>
    <w:rsid w:val="00B25F27"/>
    <w:rsid w:val="00B265F6"/>
    <w:rsid w:val="00B26630"/>
    <w:rsid w:val="00B266B4"/>
    <w:rsid w:val="00B26795"/>
    <w:rsid w:val="00B26B62"/>
    <w:rsid w:val="00B26C9B"/>
    <w:rsid w:val="00B275C2"/>
    <w:rsid w:val="00B277B7"/>
    <w:rsid w:val="00B277B8"/>
    <w:rsid w:val="00B27807"/>
    <w:rsid w:val="00B27A54"/>
    <w:rsid w:val="00B27AE3"/>
    <w:rsid w:val="00B300D9"/>
    <w:rsid w:val="00B304CE"/>
    <w:rsid w:val="00B305F6"/>
    <w:rsid w:val="00B30783"/>
    <w:rsid w:val="00B30C4E"/>
    <w:rsid w:val="00B30CDB"/>
    <w:rsid w:val="00B30FD3"/>
    <w:rsid w:val="00B3162D"/>
    <w:rsid w:val="00B31F37"/>
    <w:rsid w:val="00B328E4"/>
    <w:rsid w:val="00B32EBA"/>
    <w:rsid w:val="00B335AB"/>
    <w:rsid w:val="00B337C2"/>
    <w:rsid w:val="00B33C74"/>
    <w:rsid w:val="00B34233"/>
    <w:rsid w:val="00B34263"/>
    <w:rsid w:val="00B34568"/>
    <w:rsid w:val="00B3483B"/>
    <w:rsid w:val="00B34C04"/>
    <w:rsid w:val="00B34C1B"/>
    <w:rsid w:val="00B35231"/>
    <w:rsid w:val="00B35A6A"/>
    <w:rsid w:val="00B35AAA"/>
    <w:rsid w:val="00B35F9B"/>
    <w:rsid w:val="00B36183"/>
    <w:rsid w:val="00B361D5"/>
    <w:rsid w:val="00B36B77"/>
    <w:rsid w:val="00B36C95"/>
    <w:rsid w:val="00B374CA"/>
    <w:rsid w:val="00B375E6"/>
    <w:rsid w:val="00B37A98"/>
    <w:rsid w:val="00B40C62"/>
    <w:rsid w:val="00B41167"/>
    <w:rsid w:val="00B412F8"/>
    <w:rsid w:val="00B41558"/>
    <w:rsid w:val="00B41957"/>
    <w:rsid w:val="00B41F0F"/>
    <w:rsid w:val="00B4227A"/>
    <w:rsid w:val="00B42493"/>
    <w:rsid w:val="00B42560"/>
    <w:rsid w:val="00B425A6"/>
    <w:rsid w:val="00B4356E"/>
    <w:rsid w:val="00B43987"/>
    <w:rsid w:val="00B43D67"/>
    <w:rsid w:val="00B43F84"/>
    <w:rsid w:val="00B44069"/>
    <w:rsid w:val="00B44261"/>
    <w:rsid w:val="00B442D6"/>
    <w:rsid w:val="00B44587"/>
    <w:rsid w:val="00B447A9"/>
    <w:rsid w:val="00B451DA"/>
    <w:rsid w:val="00B45335"/>
    <w:rsid w:val="00B455AA"/>
    <w:rsid w:val="00B456D9"/>
    <w:rsid w:val="00B45778"/>
    <w:rsid w:val="00B457A1"/>
    <w:rsid w:val="00B46127"/>
    <w:rsid w:val="00B462DD"/>
    <w:rsid w:val="00B4630F"/>
    <w:rsid w:val="00B4647F"/>
    <w:rsid w:val="00B464B1"/>
    <w:rsid w:val="00B46EC0"/>
    <w:rsid w:val="00B47198"/>
    <w:rsid w:val="00B477EF"/>
    <w:rsid w:val="00B47A4A"/>
    <w:rsid w:val="00B47B99"/>
    <w:rsid w:val="00B47E58"/>
    <w:rsid w:val="00B506F2"/>
    <w:rsid w:val="00B507D3"/>
    <w:rsid w:val="00B509FF"/>
    <w:rsid w:val="00B50D17"/>
    <w:rsid w:val="00B51021"/>
    <w:rsid w:val="00B510E3"/>
    <w:rsid w:val="00B5161C"/>
    <w:rsid w:val="00B521AC"/>
    <w:rsid w:val="00B52702"/>
    <w:rsid w:val="00B5278A"/>
    <w:rsid w:val="00B528F7"/>
    <w:rsid w:val="00B52B15"/>
    <w:rsid w:val="00B5379E"/>
    <w:rsid w:val="00B53E4D"/>
    <w:rsid w:val="00B53F9F"/>
    <w:rsid w:val="00B5435A"/>
    <w:rsid w:val="00B54753"/>
    <w:rsid w:val="00B5498D"/>
    <w:rsid w:val="00B54FC4"/>
    <w:rsid w:val="00B5501D"/>
    <w:rsid w:val="00B55184"/>
    <w:rsid w:val="00B55862"/>
    <w:rsid w:val="00B562F0"/>
    <w:rsid w:val="00B56667"/>
    <w:rsid w:val="00B568BA"/>
    <w:rsid w:val="00B570C2"/>
    <w:rsid w:val="00B574D7"/>
    <w:rsid w:val="00B5792C"/>
    <w:rsid w:val="00B57942"/>
    <w:rsid w:val="00B57C68"/>
    <w:rsid w:val="00B604F7"/>
    <w:rsid w:val="00B6068C"/>
    <w:rsid w:val="00B60A44"/>
    <w:rsid w:val="00B60E51"/>
    <w:rsid w:val="00B6139C"/>
    <w:rsid w:val="00B6151E"/>
    <w:rsid w:val="00B61532"/>
    <w:rsid w:val="00B61EDF"/>
    <w:rsid w:val="00B62547"/>
    <w:rsid w:val="00B627FA"/>
    <w:rsid w:val="00B62D22"/>
    <w:rsid w:val="00B62F89"/>
    <w:rsid w:val="00B63456"/>
    <w:rsid w:val="00B6446B"/>
    <w:rsid w:val="00B648A6"/>
    <w:rsid w:val="00B64962"/>
    <w:rsid w:val="00B64D35"/>
    <w:rsid w:val="00B64E15"/>
    <w:rsid w:val="00B65258"/>
    <w:rsid w:val="00B652A1"/>
    <w:rsid w:val="00B653AD"/>
    <w:rsid w:val="00B6543C"/>
    <w:rsid w:val="00B6551D"/>
    <w:rsid w:val="00B65565"/>
    <w:rsid w:val="00B65CDF"/>
    <w:rsid w:val="00B664C0"/>
    <w:rsid w:val="00B66A2B"/>
    <w:rsid w:val="00B66A3A"/>
    <w:rsid w:val="00B66F6D"/>
    <w:rsid w:val="00B67005"/>
    <w:rsid w:val="00B674CD"/>
    <w:rsid w:val="00B676EC"/>
    <w:rsid w:val="00B70151"/>
    <w:rsid w:val="00B7016C"/>
    <w:rsid w:val="00B7039B"/>
    <w:rsid w:val="00B70A51"/>
    <w:rsid w:val="00B7167F"/>
    <w:rsid w:val="00B71941"/>
    <w:rsid w:val="00B72039"/>
    <w:rsid w:val="00B7224A"/>
    <w:rsid w:val="00B72508"/>
    <w:rsid w:val="00B72724"/>
    <w:rsid w:val="00B72D5F"/>
    <w:rsid w:val="00B73487"/>
    <w:rsid w:val="00B742B8"/>
    <w:rsid w:val="00B74D1E"/>
    <w:rsid w:val="00B75204"/>
    <w:rsid w:val="00B75376"/>
    <w:rsid w:val="00B75394"/>
    <w:rsid w:val="00B75521"/>
    <w:rsid w:val="00B75673"/>
    <w:rsid w:val="00B75C89"/>
    <w:rsid w:val="00B75E4F"/>
    <w:rsid w:val="00B75F26"/>
    <w:rsid w:val="00B76A18"/>
    <w:rsid w:val="00B76C0F"/>
    <w:rsid w:val="00B76F75"/>
    <w:rsid w:val="00B778C0"/>
    <w:rsid w:val="00B80409"/>
    <w:rsid w:val="00B81412"/>
    <w:rsid w:val="00B81A81"/>
    <w:rsid w:val="00B82225"/>
    <w:rsid w:val="00B823FE"/>
    <w:rsid w:val="00B82891"/>
    <w:rsid w:val="00B82F94"/>
    <w:rsid w:val="00B83009"/>
    <w:rsid w:val="00B83272"/>
    <w:rsid w:val="00B83BAF"/>
    <w:rsid w:val="00B83D9F"/>
    <w:rsid w:val="00B83E24"/>
    <w:rsid w:val="00B8407B"/>
    <w:rsid w:val="00B84304"/>
    <w:rsid w:val="00B846D6"/>
    <w:rsid w:val="00B84874"/>
    <w:rsid w:val="00B848B9"/>
    <w:rsid w:val="00B848BC"/>
    <w:rsid w:val="00B84C6C"/>
    <w:rsid w:val="00B84DE4"/>
    <w:rsid w:val="00B85109"/>
    <w:rsid w:val="00B85955"/>
    <w:rsid w:val="00B85ACD"/>
    <w:rsid w:val="00B85C08"/>
    <w:rsid w:val="00B85CF5"/>
    <w:rsid w:val="00B860C4"/>
    <w:rsid w:val="00B864F3"/>
    <w:rsid w:val="00B866A2"/>
    <w:rsid w:val="00B8690A"/>
    <w:rsid w:val="00B87249"/>
    <w:rsid w:val="00B875AC"/>
    <w:rsid w:val="00B8766D"/>
    <w:rsid w:val="00B876A2"/>
    <w:rsid w:val="00B900AE"/>
    <w:rsid w:val="00B90464"/>
    <w:rsid w:val="00B90546"/>
    <w:rsid w:val="00B90B1A"/>
    <w:rsid w:val="00B90DE9"/>
    <w:rsid w:val="00B90E90"/>
    <w:rsid w:val="00B911ED"/>
    <w:rsid w:val="00B91613"/>
    <w:rsid w:val="00B9174B"/>
    <w:rsid w:val="00B91902"/>
    <w:rsid w:val="00B91EC9"/>
    <w:rsid w:val="00B91ED6"/>
    <w:rsid w:val="00B923C8"/>
    <w:rsid w:val="00B92687"/>
    <w:rsid w:val="00B926C3"/>
    <w:rsid w:val="00B92FB2"/>
    <w:rsid w:val="00B93234"/>
    <w:rsid w:val="00B93A32"/>
    <w:rsid w:val="00B93C10"/>
    <w:rsid w:val="00B93C7E"/>
    <w:rsid w:val="00B94058"/>
    <w:rsid w:val="00B94248"/>
    <w:rsid w:val="00B942A1"/>
    <w:rsid w:val="00B946DD"/>
    <w:rsid w:val="00B94925"/>
    <w:rsid w:val="00B94B4F"/>
    <w:rsid w:val="00B94EFF"/>
    <w:rsid w:val="00B94F8D"/>
    <w:rsid w:val="00B9517E"/>
    <w:rsid w:val="00B95D09"/>
    <w:rsid w:val="00B95F27"/>
    <w:rsid w:val="00B96955"/>
    <w:rsid w:val="00B972B3"/>
    <w:rsid w:val="00B97476"/>
    <w:rsid w:val="00B976F6"/>
    <w:rsid w:val="00B97F7C"/>
    <w:rsid w:val="00BA0236"/>
    <w:rsid w:val="00BA0372"/>
    <w:rsid w:val="00BA0409"/>
    <w:rsid w:val="00BA0528"/>
    <w:rsid w:val="00BA064E"/>
    <w:rsid w:val="00BA08C7"/>
    <w:rsid w:val="00BA1309"/>
    <w:rsid w:val="00BA1487"/>
    <w:rsid w:val="00BA1669"/>
    <w:rsid w:val="00BA1BF4"/>
    <w:rsid w:val="00BA201A"/>
    <w:rsid w:val="00BA2BB3"/>
    <w:rsid w:val="00BA3B84"/>
    <w:rsid w:val="00BA3FFD"/>
    <w:rsid w:val="00BA419E"/>
    <w:rsid w:val="00BA4D36"/>
    <w:rsid w:val="00BA4DEA"/>
    <w:rsid w:val="00BA4EF1"/>
    <w:rsid w:val="00BA4F37"/>
    <w:rsid w:val="00BA566A"/>
    <w:rsid w:val="00BA5E0D"/>
    <w:rsid w:val="00BA5F0A"/>
    <w:rsid w:val="00BA5F41"/>
    <w:rsid w:val="00BA6637"/>
    <w:rsid w:val="00BA6F13"/>
    <w:rsid w:val="00BA7385"/>
    <w:rsid w:val="00BA758D"/>
    <w:rsid w:val="00BA7769"/>
    <w:rsid w:val="00BA7E33"/>
    <w:rsid w:val="00BB0486"/>
    <w:rsid w:val="00BB06BE"/>
    <w:rsid w:val="00BB0D98"/>
    <w:rsid w:val="00BB117D"/>
    <w:rsid w:val="00BB11A5"/>
    <w:rsid w:val="00BB1433"/>
    <w:rsid w:val="00BB187C"/>
    <w:rsid w:val="00BB1926"/>
    <w:rsid w:val="00BB1A84"/>
    <w:rsid w:val="00BB1C0C"/>
    <w:rsid w:val="00BB201F"/>
    <w:rsid w:val="00BB2834"/>
    <w:rsid w:val="00BB28D3"/>
    <w:rsid w:val="00BB296B"/>
    <w:rsid w:val="00BB2A0E"/>
    <w:rsid w:val="00BB2A9C"/>
    <w:rsid w:val="00BB3152"/>
    <w:rsid w:val="00BB3622"/>
    <w:rsid w:val="00BB3B77"/>
    <w:rsid w:val="00BB3D08"/>
    <w:rsid w:val="00BB45E3"/>
    <w:rsid w:val="00BB4A4F"/>
    <w:rsid w:val="00BB4CC7"/>
    <w:rsid w:val="00BB5247"/>
    <w:rsid w:val="00BB5CB3"/>
    <w:rsid w:val="00BB5E91"/>
    <w:rsid w:val="00BB682C"/>
    <w:rsid w:val="00BB6CDF"/>
    <w:rsid w:val="00BB7740"/>
    <w:rsid w:val="00BB7CA9"/>
    <w:rsid w:val="00BC0340"/>
    <w:rsid w:val="00BC0508"/>
    <w:rsid w:val="00BC0608"/>
    <w:rsid w:val="00BC0C50"/>
    <w:rsid w:val="00BC0F37"/>
    <w:rsid w:val="00BC1056"/>
    <w:rsid w:val="00BC197C"/>
    <w:rsid w:val="00BC236B"/>
    <w:rsid w:val="00BC2504"/>
    <w:rsid w:val="00BC2BB4"/>
    <w:rsid w:val="00BC2D86"/>
    <w:rsid w:val="00BC2FEF"/>
    <w:rsid w:val="00BC32EA"/>
    <w:rsid w:val="00BC3E42"/>
    <w:rsid w:val="00BC3E7E"/>
    <w:rsid w:val="00BC4075"/>
    <w:rsid w:val="00BC5412"/>
    <w:rsid w:val="00BC545B"/>
    <w:rsid w:val="00BC54F6"/>
    <w:rsid w:val="00BC5B6F"/>
    <w:rsid w:val="00BC65D9"/>
    <w:rsid w:val="00BC65DA"/>
    <w:rsid w:val="00BC6650"/>
    <w:rsid w:val="00BC6D0D"/>
    <w:rsid w:val="00BC6E9F"/>
    <w:rsid w:val="00BC732F"/>
    <w:rsid w:val="00BC74A0"/>
    <w:rsid w:val="00BC7651"/>
    <w:rsid w:val="00BC7C52"/>
    <w:rsid w:val="00BC7CC6"/>
    <w:rsid w:val="00BD0127"/>
    <w:rsid w:val="00BD03C9"/>
    <w:rsid w:val="00BD0678"/>
    <w:rsid w:val="00BD0CF6"/>
    <w:rsid w:val="00BD126A"/>
    <w:rsid w:val="00BD12FD"/>
    <w:rsid w:val="00BD1471"/>
    <w:rsid w:val="00BD14C5"/>
    <w:rsid w:val="00BD196A"/>
    <w:rsid w:val="00BD1FD9"/>
    <w:rsid w:val="00BD2081"/>
    <w:rsid w:val="00BD2179"/>
    <w:rsid w:val="00BD2311"/>
    <w:rsid w:val="00BD2C51"/>
    <w:rsid w:val="00BD2CC8"/>
    <w:rsid w:val="00BD33B2"/>
    <w:rsid w:val="00BD3601"/>
    <w:rsid w:val="00BD37E2"/>
    <w:rsid w:val="00BD3B44"/>
    <w:rsid w:val="00BD3B78"/>
    <w:rsid w:val="00BD3C6A"/>
    <w:rsid w:val="00BD3EF8"/>
    <w:rsid w:val="00BD4704"/>
    <w:rsid w:val="00BD4797"/>
    <w:rsid w:val="00BD4D75"/>
    <w:rsid w:val="00BD4E44"/>
    <w:rsid w:val="00BD5294"/>
    <w:rsid w:val="00BD5C78"/>
    <w:rsid w:val="00BD5D87"/>
    <w:rsid w:val="00BD5DB2"/>
    <w:rsid w:val="00BD6262"/>
    <w:rsid w:val="00BD6575"/>
    <w:rsid w:val="00BD6671"/>
    <w:rsid w:val="00BD6C4B"/>
    <w:rsid w:val="00BD6DFC"/>
    <w:rsid w:val="00BD7ECC"/>
    <w:rsid w:val="00BD7EED"/>
    <w:rsid w:val="00BD7F20"/>
    <w:rsid w:val="00BE1040"/>
    <w:rsid w:val="00BE15CE"/>
    <w:rsid w:val="00BE1A31"/>
    <w:rsid w:val="00BE1AB3"/>
    <w:rsid w:val="00BE1D1C"/>
    <w:rsid w:val="00BE20D4"/>
    <w:rsid w:val="00BE337B"/>
    <w:rsid w:val="00BE3EC5"/>
    <w:rsid w:val="00BE424E"/>
    <w:rsid w:val="00BE46CC"/>
    <w:rsid w:val="00BE4743"/>
    <w:rsid w:val="00BE4C48"/>
    <w:rsid w:val="00BE580C"/>
    <w:rsid w:val="00BE59CD"/>
    <w:rsid w:val="00BE5F06"/>
    <w:rsid w:val="00BE61C1"/>
    <w:rsid w:val="00BE62AC"/>
    <w:rsid w:val="00BE64AF"/>
    <w:rsid w:val="00BE6642"/>
    <w:rsid w:val="00BE666B"/>
    <w:rsid w:val="00BE6717"/>
    <w:rsid w:val="00BE69A0"/>
    <w:rsid w:val="00BE6E4E"/>
    <w:rsid w:val="00BE7B3A"/>
    <w:rsid w:val="00BF0381"/>
    <w:rsid w:val="00BF049D"/>
    <w:rsid w:val="00BF07D9"/>
    <w:rsid w:val="00BF0E13"/>
    <w:rsid w:val="00BF0EFA"/>
    <w:rsid w:val="00BF12A7"/>
    <w:rsid w:val="00BF1F5E"/>
    <w:rsid w:val="00BF2014"/>
    <w:rsid w:val="00BF2C70"/>
    <w:rsid w:val="00BF2D8C"/>
    <w:rsid w:val="00BF2F59"/>
    <w:rsid w:val="00BF34D5"/>
    <w:rsid w:val="00BF35D3"/>
    <w:rsid w:val="00BF3E72"/>
    <w:rsid w:val="00BF446E"/>
    <w:rsid w:val="00BF59C0"/>
    <w:rsid w:val="00BF5B33"/>
    <w:rsid w:val="00BF6766"/>
    <w:rsid w:val="00BF6C62"/>
    <w:rsid w:val="00BF6E68"/>
    <w:rsid w:val="00BF6E7B"/>
    <w:rsid w:val="00C00336"/>
    <w:rsid w:val="00C00973"/>
    <w:rsid w:val="00C01021"/>
    <w:rsid w:val="00C012A4"/>
    <w:rsid w:val="00C0141F"/>
    <w:rsid w:val="00C01CDD"/>
    <w:rsid w:val="00C01D81"/>
    <w:rsid w:val="00C01D98"/>
    <w:rsid w:val="00C01DC7"/>
    <w:rsid w:val="00C01F93"/>
    <w:rsid w:val="00C02598"/>
    <w:rsid w:val="00C029F1"/>
    <w:rsid w:val="00C032CB"/>
    <w:rsid w:val="00C03BFB"/>
    <w:rsid w:val="00C04405"/>
    <w:rsid w:val="00C048AF"/>
    <w:rsid w:val="00C04AFE"/>
    <w:rsid w:val="00C04C94"/>
    <w:rsid w:val="00C0501D"/>
    <w:rsid w:val="00C056CF"/>
    <w:rsid w:val="00C05928"/>
    <w:rsid w:val="00C05C8C"/>
    <w:rsid w:val="00C05CDA"/>
    <w:rsid w:val="00C05F35"/>
    <w:rsid w:val="00C06058"/>
    <w:rsid w:val="00C0608F"/>
    <w:rsid w:val="00C06274"/>
    <w:rsid w:val="00C06B0B"/>
    <w:rsid w:val="00C070DB"/>
    <w:rsid w:val="00C073A2"/>
    <w:rsid w:val="00C07482"/>
    <w:rsid w:val="00C07490"/>
    <w:rsid w:val="00C075B0"/>
    <w:rsid w:val="00C077E0"/>
    <w:rsid w:val="00C07C67"/>
    <w:rsid w:val="00C07CF7"/>
    <w:rsid w:val="00C07DE6"/>
    <w:rsid w:val="00C10164"/>
    <w:rsid w:val="00C10416"/>
    <w:rsid w:val="00C10A4F"/>
    <w:rsid w:val="00C11A6F"/>
    <w:rsid w:val="00C11D95"/>
    <w:rsid w:val="00C11DC4"/>
    <w:rsid w:val="00C11F34"/>
    <w:rsid w:val="00C11FC6"/>
    <w:rsid w:val="00C12431"/>
    <w:rsid w:val="00C12616"/>
    <w:rsid w:val="00C12750"/>
    <w:rsid w:val="00C139A7"/>
    <w:rsid w:val="00C13D61"/>
    <w:rsid w:val="00C13DA3"/>
    <w:rsid w:val="00C1437E"/>
    <w:rsid w:val="00C14737"/>
    <w:rsid w:val="00C14BA6"/>
    <w:rsid w:val="00C14C1A"/>
    <w:rsid w:val="00C15052"/>
    <w:rsid w:val="00C154B5"/>
    <w:rsid w:val="00C15663"/>
    <w:rsid w:val="00C160CE"/>
    <w:rsid w:val="00C1627F"/>
    <w:rsid w:val="00C16315"/>
    <w:rsid w:val="00C1654C"/>
    <w:rsid w:val="00C165BB"/>
    <w:rsid w:val="00C168C8"/>
    <w:rsid w:val="00C169D0"/>
    <w:rsid w:val="00C16E18"/>
    <w:rsid w:val="00C173BE"/>
    <w:rsid w:val="00C173FC"/>
    <w:rsid w:val="00C17872"/>
    <w:rsid w:val="00C17CC1"/>
    <w:rsid w:val="00C17D5A"/>
    <w:rsid w:val="00C20345"/>
    <w:rsid w:val="00C205A1"/>
    <w:rsid w:val="00C205E9"/>
    <w:rsid w:val="00C2061D"/>
    <w:rsid w:val="00C2093D"/>
    <w:rsid w:val="00C20CA0"/>
    <w:rsid w:val="00C212BE"/>
    <w:rsid w:val="00C212FC"/>
    <w:rsid w:val="00C21C6A"/>
    <w:rsid w:val="00C21EBE"/>
    <w:rsid w:val="00C22BA8"/>
    <w:rsid w:val="00C22CF2"/>
    <w:rsid w:val="00C22D7E"/>
    <w:rsid w:val="00C235AE"/>
    <w:rsid w:val="00C237EC"/>
    <w:rsid w:val="00C2398B"/>
    <w:rsid w:val="00C23CBA"/>
    <w:rsid w:val="00C23CE9"/>
    <w:rsid w:val="00C23F48"/>
    <w:rsid w:val="00C24054"/>
    <w:rsid w:val="00C24184"/>
    <w:rsid w:val="00C2420A"/>
    <w:rsid w:val="00C242AA"/>
    <w:rsid w:val="00C24379"/>
    <w:rsid w:val="00C24431"/>
    <w:rsid w:val="00C25890"/>
    <w:rsid w:val="00C25F74"/>
    <w:rsid w:val="00C262BD"/>
    <w:rsid w:val="00C262D9"/>
    <w:rsid w:val="00C26AAA"/>
    <w:rsid w:val="00C26B30"/>
    <w:rsid w:val="00C26B53"/>
    <w:rsid w:val="00C26E03"/>
    <w:rsid w:val="00C26EB0"/>
    <w:rsid w:val="00C27A24"/>
    <w:rsid w:val="00C30069"/>
    <w:rsid w:val="00C3072A"/>
    <w:rsid w:val="00C30980"/>
    <w:rsid w:val="00C30E04"/>
    <w:rsid w:val="00C310C2"/>
    <w:rsid w:val="00C320BC"/>
    <w:rsid w:val="00C32AA4"/>
    <w:rsid w:val="00C32C80"/>
    <w:rsid w:val="00C32D3F"/>
    <w:rsid w:val="00C330F7"/>
    <w:rsid w:val="00C33572"/>
    <w:rsid w:val="00C33A32"/>
    <w:rsid w:val="00C33FFC"/>
    <w:rsid w:val="00C34083"/>
    <w:rsid w:val="00C340A0"/>
    <w:rsid w:val="00C346E7"/>
    <w:rsid w:val="00C34CCA"/>
    <w:rsid w:val="00C34ED3"/>
    <w:rsid w:val="00C360F0"/>
    <w:rsid w:val="00C36205"/>
    <w:rsid w:val="00C36525"/>
    <w:rsid w:val="00C36821"/>
    <w:rsid w:val="00C36824"/>
    <w:rsid w:val="00C36984"/>
    <w:rsid w:val="00C36C99"/>
    <w:rsid w:val="00C377C7"/>
    <w:rsid w:val="00C377D2"/>
    <w:rsid w:val="00C37AD9"/>
    <w:rsid w:val="00C37FAC"/>
    <w:rsid w:val="00C40666"/>
    <w:rsid w:val="00C40777"/>
    <w:rsid w:val="00C40EB3"/>
    <w:rsid w:val="00C417A9"/>
    <w:rsid w:val="00C41BD9"/>
    <w:rsid w:val="00C41C8C"/>
    <w:rsid w:val="00C421EA"/>
    <w:rsid w:val="00C423F2"/>
    <w:rsid w:val="00C427CD"/>
    <w:rsid w:val="00C42BDC"/>
    <w:rsid w:val="00C434FD"/>
    <w:rsid w:val="00C4350E"/>
    <w:rsid w:val="00C44803"/>
    <w:rsid w:val="00C44887"/>
    <w:rsid w:val="00C44C09"/>
    <w:rsid w:val="00C45186"/>
    <w:rsid w:val="00C452F7"/>
    <w:rsid w:val="00C45389"/>
    <w:rsid w:val="00C45844"/>
    <w:rsid w:val="00C45B43"/>
    <w:rsid w:val="00C45B8C"/>
    <w:rsid w:val="00C45D03"/>
    <w:rsid w:val="00C46374"/>
    <w:rsid w:val="00C46425"/>
    <w:rsid w:val="00C475C4"/>
    <w:rsid w:val="00C4775B"/>
    <w:rsid w:val="00C47AC7"/>
    <w:rsid w:val="00C47DB7"/>
    <w:rsid w:val="00C5023A"/>
    <w:rsid w:val="00C5047E"/>
    <w:rsid w:val="00C50793"/>
    <w:rsid w:val="00C50B48"/>
    <w:rsid w:val="00C5101A"/>
    <w:rsid w:val="00C5192E"/>
    <w:rsid w:val="00C51A72"/>
    <w:rsid w:val="00C51AB7"/>
    <w:rsid w:val="00C51CFF"/>
    <w:rsid w:val="00C52093"/>
    <w:rsid w:val="00C521D6"/>
    <w:rsid w:val="00C52457"/>
    <w:rsid w:val="00C52DA3"/>
    <w:rsid w:val="00C52DE6"/>
    <w:rsid w:val="00C52EF8"/>
    <w:rsid w:val="00C53376"/>
    <w:rsid w:val="00C535F8"/>
    <w:rsid w:val="00C53683"/>
    <w:rsid w:val="00C5368B"/>
    <w:rsid w:val="00C5385F"/>
    <w:rsid w:val="00C53CD1"/>
    <w:rsid w:val="00C5442B"/>
    <w:rsid w:val="00C54458"/>
    <w:rsid w:val="00C546BF"/>
    <w:rsid w:val="00C55409"/>
    <w:rsid w:val="00C554CD"/>
    <w:rsid w:val="00C55924"/>
    <w:rsid w:val="00C55AB4"/>
    <w:rsid w:val="00C56054"/>
    <w:rsid w:val="00C56534"/>
    <w:rsid w:val="00C56B87"/>
    <w:rsid w:val="00C5711D"/>
    <w:rsid w:val="00C57168"/>
    <w:rsid w:val="00C57174"/>
    <w:rsid w:val="00C57208"/>
    <w:rsid w:val="00C5751D"/>
    <w:rsid w:val="00C5788C"/>
    <w:rsid w:val="00C57B85"/>
    <w:rsid w:val="00C57C93"/>
    <w:rsid w:val="00C6016B"/>
    <w:rsid w:val="00C605F1"/>
    <w:rsid w:val="00C606B9"/>
    <w:rsid w:val="00C608A9"/>
    <w:rsid w:val="00C61875"/>
    <w:rsid w:val="00C61960"/>
    <w:rsid w:val="00C619BE"/>
    <w:rsid w:val="00C61E5C"/>
    <w:rsid w:val="00C62303"/>
    <w:rsid w:val="00C6297D"/>
    <w:rsid w:val="00C62C89"/>
    <w:rsid w:val="00C634A7"/>
    <w:rsid w:val="00C638B4"/>
    <w:rsid w:val="00C638D7"/>
    <w:rsid w:val="00C638DF"/>
    <w:rsid w:val="00C63D86"/>
    <w:rsid w:val="00C63F03"/>
    <w:rsid w:val="00C640AF"/>
    <w:rsid w:val="00C64720"/>
    <w:rsid w:val="00C64D06"/>
    <w:rsid w:val="00C65107"/>
    <w:rsid w:val="00C65171"/>
    <w:rsid w:val="00C6517F"/>
    <w:rsid w:val="00C65647"/>
    <w:rsid w:val="00C65A6B"/>
    <w:rsid w:val="00C65DD5"/>
    <w:rsid w:val="00C66031"/>
    <w:rsid w:val="00C66DB8"/>
    <w:rsid w:val="00C66F26"/>
    <w:rsid w:val="00C6759E"/>
    <w:rsid w:val="00C67652"/>
    <w:rsid w:val="00C67970"/>
    <w:rsid w:val="00C67BA6"/>
    <w:rsid w:val="00C70106"/>
    <w:rsid w:val="00C70108"/>
    <w:rsid w:val="00C701FF"/>
    <w:rsid w:val="00C709AC"/>
    <w:rsid w:val="00C70AEE"/>
    <w:rsid w:val="00C70DA3"/>
    <w:rsid w:val="00C71054"/>
    <w:rsid w:val="00C7137F"/>
    <w:rsid w:val="00C71920"/>
    <w:rsid w:val="00C71D8D"/>
    <w:rsid w:val="00C71E84"/>
    <w:rsid w:val="00C71EB7"/>
    <w:rsid w:val="00C722CA"/>
    <w:rsid w:val="00C725F4"/>
    <w:rsid w:val="00C72948"/>
    <w:rsid w:val="00C72A63"/>
    <w:rsid w:val="00C72E2C"/>
    <w:rsid w:val="00C735AD"/>
    <w:rsid w:val="00C73D0F"/>
    <w:rsid w:val="00C73ECB"/>
    <w:rsid w:val="00C73F28"/>
    <w:rsid w:val="00C74133"/>
    <w:rsid w:val="00C74176"/>
    <w:rsid w:val="00C7441E"/>
    <w:rsid w:val="00C74C92"/>
    <w:rsid w:val="00C757DF"/>
    <w:rsid w:val="00C75D41"/>
    <w:rsid w:val="00C75F2F"/>
    <w:rsid w:val="00C76187"/>
    <w:rsid w:val="00C76B2D"/>
    <w:rsid w:val="00C76DF6"/>
    <w:rsid w:val="00C776A6"/>
    <w:rsid w:val="00C7799A"/>
    <w:rsid w:val="00C77A70"/>
    <w:rsid w:val="00C77B3A"/>
    <w:rsid w:val="00C77CB8"/>
    <w:rsid w:val="00C80AE4"/>
    <w:rsid w:val="00C80E71"/>
    <w:rsid w:val="00C80EA1"/>
    <w:rsid w:val="00C81269"/>
    <w:rsid w:val="00C815B8"/>
    <w:rsid w:val="00C8174C"/>
    <w:rsid w:val="00C81853"/>
    <w:rsid w:val="00C82779"/>
    <w:rsid w:val="00C830B6"/>
    <w:rsid w:val="00C83187"/>
    <w:rsid w:val="00C832D4"/>
    <w:rsid w:val="00C83883"/>
    <w:rsid w:val="00C83D52"/>
    <w:rsid w:val="00C84006"/>
    <w:rsid w:val="00C84069"/>
    <w:rsid w:val="00C84815"/>
    <w:rsid w:val="00C857F1"/>
    <w:rsid w:val="00C8586E"/>
    <w:rsid w:val="00C85985"/>
    <w:rsid w:val="00C85DBE"/>
    <w:rsid w:val="00C8626B"/>
    <w:rsid w:val="00C86534"/>
    <w:rsid w:val="00C866D8"/>
    <w:rsid w:val="00C86A25"/>
    <w:rsid w:val="00C86C04"/>
    <w:rsid w:val="00C871C4"/>
    <w:rsid w:val="00C87401"/>
    <w:rsid w:val="00C8761A"/>
    <w:rsid w:val="00C878F3"/>
    <w:rsid w:val="00C87FB0"/>
    <w:rsid w:val="00C9060A"/>
    <w:rsid w:val="00C90613"/>
    <w:rsid w:val="00C90933"/>
    <w:rsid w:val="00C910DF"/>
    <w:rsid w:val="00C91885"/>
    <w:rsid w:val="00C918F3"/>
    <w:rsid w:val="00C91CA9"/>
    <w:rsid w:val="00C91E94"/>
    <w:rsid w:val="00C92108"/>
    <w:rsid w:val="00C92337"/>
    <w:rsid w:val="00C9257B"/>
    <w:rsid w:val="00C9261E"/>
    <w:rsid w:val="00C92894"/>
    <w:rsid w:val="00C92999"/>
    <w:rsid w:val="00C92F54"/>
    <w:rsid w:val="00C93486"/>
    <w:rsid w:val="00C942E1"/>
    <w:rsid w:val="00C9437B"/>
    <w:rsid w:val="00C94A68"/>
    <w:rsid w:val="00C95630"/>
    <w:rsid w:val="00C959F1"/>
    <w:rsid w:val="00C95C19"/>
    <w:rsid w:val="00C95C6B"/>
    <w:rsid w:val="00C95E03"/>
    <w:rsid w:val="00C95E08"/>
    <w:rsid w:val="00C96481"/>
    <w:rsid w:val="00C965B5"/>
    <w:rsid w:val="00C96CED"/>
    <w:rsid w:val="00C96EA0"/>
    <w:rsid w:val="00C9715A"/>
    <w:rsid w:val="00C9715B"/>
    <w:rsid w:val="00C9729C"/>
    <w:rsid w:val="00C97301"/>
    <w:rsid w:val="00C975A3"/>
    <w:rsid w:val="00C97D49"/>
    <w:rsid w:val="00CA1130"/>
    <w:rsid w:val="00CA146D"/>
    <w:rsid w:val="00CA14F9"/>
    <w:rsid w:val="00CA1582"/>
    <w:rsid w:val="00CA182B"/>
    <w:rsid w:val="00CA1C9C"/>
    <w:rsid w:val="00CA1DF5"/>
    <w:rsid w:val="00CA2060"/>
    <w:rsid w:val="00CA2172"/>
    <w:rsid w:val="00CA2319"/>
    <w:rsid w:val="00CA2445"/>
    <w:rsid w:val="00CA2650"/>
    <w:rsid w:val="00CA2BB6"/>
    <w:rsid w:val="00CA2C8F"/>
    <w:rsid w:val="00CA2F69"/>
    <w:rsid w:val="00CA351A"/>
    <w:rsid w:val="00CA3577"/>
    <w:rsid w:val="00CA3D10"/>
    <w:rsid w:val="00CA415F"/>
    <w:rsid w:val="00CA41B9"/>
    <w:rsid w:val="00CA4EBB"/>
    <w:rsid w:val="00CA529D"/>
    <w:rsid w:val="00CA5378"/>
    <w:rsid w:val="00CA54E2"/>
    <w:rsid w:val="00CA58CB"/>
    <w:rsid w:val="00CA5EA7"/>
    <w:rsid w:val="00CA5F92"/>
    <w:rsid w:val="00CA603B"/>
    <w:rsid w:val="00CA6D92"/>
    <w:rsid w:val="00CA7415"/>
    <w:rsid w:val="00CA74D3"/>
    <w:rsid w:val="00CA74F7"/>
    <w:rsid w:val="00CA79A2"/>
    <w:rsid w:val="00CA7AE8"/>
    <w:rsid w:val="00CB0201"/>
    <w:rsid w:val="00CB026C"/>
    <w:rsid w:val="00CB030F"/>
    <w:rsid w:val="00CB0777"/>
    <w:rsid w:val="00CB1C7A"/>
    <w:rsid w:val="00CB1EC7"/>
    <w:rsid w:val="00CB284D"/>
    <w:rsid w:val="00CB2C14"/>
    <w:rsid w:val="00CB2F77"/>
    <w:rsid w:val="00CB2FAB"/>
    <w:rsid w:val="00CB36E5"/>
    <w:rsid w:val="00CB37BA"/>
    <w:rsid w:val="00CB3C7C"/>
    <w:rsid w:val="00CB50C2"/>
    <w:rsid w:val="00CB5882"/>
    <w:rsid w:val="00CB58AF"/>
    <w:rsid w:val="00CB5A49"/>
    <w:rsid w:val="00CB5C15"/>
    <w:rsid w:val="00CB6145"/>
    <w:rsid w:val="00CB64CE"/>
    <w:rsid w:val="00CB678B"/>
    <w:rsid w:val="00CB6A63"/>
    <w:rsid w:val="00CB6AEC"/>
    <w:rsid w:val="00CB6D79"/>
    <w:rsid w:val="00CB6D96"/>
    <w:rsid w:val="00CB70F7"/>
    <w:rsid w:val="00CB731D"/>
    <w:rsid w:val="00CB75C1"/>
    <w:rsid w:val="00CC1228"/>
    <w:rsid w:val="00CC1738"/>
    <w:rsid w:val="00CC190D"/>
    <w:rsid w:val="00CC1A21"/>
    <w:rsid w:val="00CC1AFB"/>
    <w:rsid w:val="00CC1D2F"/>
    <w:rsid w:val="00CC2490"/>
    <w:rsid w:val="00CC26E8"/>
    <w:rsid w:val="00CC28A9"/>
    <w:rsid w:val="00CC2C88"/>
    <w:rsid w:val="00CC2DAA"/>
    <w:rsid w:val="00CC3654"/>
    <w:rsid w:val="00CC3C27"/>
    <w:rsid w:val="00CC3F23"/>
    <w:rsid w:val="00CC41DA"/>
    <w:rsid w:val="00CC44C6"/>
    <w:rsid w:val="00CC49A6"/>
    <w:rsid w:val="00CC49DE"/>
    <w:rsid w:val="00CC5624"/>
    <w:rsid w:val="00CC56CC"/>
    <w:rsid w:val="00CC57B8"/>
    <w:rsid w:val="00CC57E9"/>
    <w:rsid w:val="00CC6152"/>
    <w:rsid w:val="00CC63E3"/>
    <w:rsid w:val="00CC63EE"/>
    <w:rsid w:val="00CC66DE"/>
    <w:rsid w:val="00CC6A3D"/>
    <w:rsid w:val="00CC6C03"/>
    <w:rsid w:val="00CC6CA1"/>
    <w:rsid w:val="00CC7414"/>
    <w:rsid w:val="00CC748D"/>
    <w:rsid w:val="00CC752B"/>
    <w:rsid w:val="00CC7571"/>
    <w:rsid w:val="00CC75FC"/>
    <w:rsid w:val="00CC76B6"/>
    <w:rsid w:val="00CC776C"/>
    <w:rsid w:val="00CC7B08"/>
    <w:rsid w:val="00CC7C0C"/>
    <w:rsid w:val="00CD00AB"/>
    <w:rsid w:val="00CD0174"/>
    <w:rsid w:val="00CD0410"/>
    <w:rsid w:val="00CD051B"/>
    <w:rsid w:val="00CD0946"/>
    <w:rsid w:val="00CD0C23"/>
    <w:rsid w:val="00CD0FB5"/>
    <w:rsid w:val="00CD1111"/>
    <w:rsid w:val="00CD1226"/>
    <w:rsid w:val="00CD19F0"/>
    <w:rsid w:val="00CD1C1F"/>
    <w:rsid w:val="00CD2177"/>
    <w:rsid w:val="00CD2898"/>
    <w:rsid w:val="00CD32BE"/>
    <w:rsid w:val="00CD3835"/>
    <w:rsid w:val="00CD3A47"/>
    <w:rsid w:val="00CD3FB3"/>
    <w:rsid w:val="00CD4204"/>
    <w:rsid w:val="00CD45C7"/>
    <w:rsid w:val="00CD4CEF"/>
    <w:rsid w:val="00CD5043"/>
    <w:rsid w:val="00CD507D"/>
    <w:rsid w:val="00CD5694"/>
    <w:rsid w:val="00CD64EF"/>
    <w:rsid w:val="00CD6873"/>
    <w:rsid w:val="00CD6998"/>
    <w:rsid w:val="00CD6D72"/>
    <w:rsid w:val="00CD755D"/>
    <w:rsid w:val="00CD75E3"/>
    <w:rsid w:val="00CD782E"/>
    <w:rsid w:val="00CD7A84"/>
    <w:rsid w:val="00CE0E4A"/>
    <w:rsid w:val="00CE0F16"/>
    <w:rsid w:val="00CE184E"/>
    <w:rsid w:val="00CE1A29"/>
    <w:rsid w:val="00CE1B60"/>
    <w:rsid w:val="00CE1E30"/>
    <w:rsid w:val="00CE2267"/>
    <w:rsid w:val="00CE24B5"/>
    <w:rsid w:val="00CE24E9"/>
    <w:rsid w:val="00CE2627"/>
    <w:rsid w:val="00CE2EB2"/>
    <w:rsid w:val="00CE2FEF"/>
    <w:rsid w:val="00CE37CD"/>
    <w:rsid w:val="00CE4251"/>
    <w:rsid w:val="00CE433A"/>
    <w:rsid w:val="00CE465A"/>
    <w:rsid w:val="00CE4DED"/>
    <w:rsid w:val="00CE4E4F"/>
    <w:rsid w:val="00CE50C8"/>
    <w:rsid w:val="00CE512E"/>
    <w:rsid w:val="00CE51C1"/>
    <w:rsid w:val="00CE51D9"/>
    <w:rsid w:val="00CE525D"/>
    <w:rsid w:val="00CE54C8"/>
    <w:rsid w:val="00CE5C05"/>
    <w:rsid w:val="00CE5C99"/>
    <w:rsid w:val="00CE6021"/>
    <w:rsid w:val="00CE610C"/>
    <w:rsid w:val="00CE62A5"/>
    <w:rsid w:val="00CE648E"/>
    <w:rsid w:val="00CE6931"/>
    <w:rsid w:val="00CE7529"/>
    <w:rsid w:val="00CE7A11"/>
    <w:rsid w:val="00CE7F41"/>
    <w:rsid w:val="00CF0130"/>
    <w:rsid w:val="00CF0A27"/>
    <w:rsid w:val="00CF0D98"/>
    <w:rsid w:val="00CF0F0F"/>
    <w:rsid w:val="00CF1257"/>
    <w:rsid w:val="00CF127D"/>
    <w:rsid w:val="00CF1355"/>
    <w:rsid w:val="00CF1E57"/>
    <w:rsid w:val="00CF2223"/>
    <w:rsid w:val="00CF2348"/>
    <w:rsid w:val="00CF23EE"/>
    <w:rsid w:val="00CF27B7"/>
    <w:rsid w:val="00CF3347"/>
    <w:rsid w:val="00CF3AF3"/>
    <w:rsid w:val="00CF416E"/>
    <w:rsid w:val="00CF41D3"/>
    <w:rsid w:val="00CF457C"/>
    <w:rsid w:val="00CF4A97"/>
    <w:rsid w:val="00CF5162"/>
    <w:rsid w:val="00CF5599"/>
    <w:rsid w:val="00CF5C10"/>
    <w:rsid w:val="00CF63E4"/>
    <w:rsid w:val="00CF65C8"/>
    <w:rsid w:val="00CF69E7"/>
    <w:rsid w:val="00CF6EAB"/>
    <w:rsid w:val="00CF72AE"/>
    <w:rsid w:val="00CF738B"/>
    <w:rsid w:val="00CF7EA0"/>
    <w:rsid w:val="00CF7EF5"/>
    <w:rsid w:val="00D01B49"/>
    <w:rsid w:val="00D01BE9"/>
    <w:rsid w:val="00D01E89"/>
    <w:rsid w:val="00D025F9"/>
    <w:rsid w:val="00D026CA"/>
    <w:rsid w:val="00D02B5C"/>
    <w:rsid w:val="00D02C3B"/>
    <w:rsid w:val="00D02D0F"/>
    <w:rsid w:val="00D0333E"/>
    <w:rsid w:val="00D0395B"/>
    <w:rsid w:val="00D03BFC"/>
    <w:rsid w:val="00D043A2"/>
    <w:rsid w:val="00D043E3"/>
    <w:rsid w:val="00D04821"/>
    <w:rsid w:val="00D0486A"/>
    <w:rsid w:val="00D0522D"/>
    <w:rsid w:val="00D0550B"/>
    <w:rsid w:val="00D05E34"/>
    <w:rsid w:val="00D06253"/>
    <w:rsid w:val="00D0628D"/>
    <w:rsid w:val="00D068C4"/>
    <w:rsid w:val="00D06CBB"/>
    <w:rsid w:val="00D06CF2"/>
    <w:rsid w:val="00D06EBB"/>
    <w:rsid w:val="00D072CB"/>
    <w:rsid w:val="00D10645"/>
    <w:rsid w:val="00D109A6"/>
    <w:rsid w:val="00D11357"/>
    <w:rsid w:val="00D12420"/>
    <w:rsid w:val="00D126F7"/>
    <w:rsid w:val="00D12853"/>
    <w:rsid w:val="00D128F3"/>
    <w:rsid w:val="00D129F5"/>
    <w:rsid w:val="00D12B4B"/>
    <w:rsid w:val="00D12E8C"/>
    <w:rsid w:val="00D12ED9"/>
    <w:rsid w:val="00D130C4"/>
    <w:rsid w:val="00D13B89"/>
    <w:rsid w:val="00D13BB6"/>
    <w:rsid w:val="00D13C50"/>
    <w:rsid w:val="00D141DD"/>
    <w:rsid w:val="00D146CD"/>
    <w:rsid w:val="00D147D6"/>
    <w:rsid w:val="00D1494A"/>
    <w:rsid w:val="00D14C3C"/>
    <w:rsid w:val="00D15582"/>
    <w:rsid w:val="00D158D9"/>
    <w:rsid w:val="00D15BC7"/>
    <w:rsid w:val="00D15EFB"/>
    <w:rsid w:val="00D16578"/>
    <w:rsid w:val="00D168FE"/>
    <w:rsid w:val="00D16B76"/>
    <w:rsid w:val="00D16E18"/>
    <w:rsid w:val="00D17013"/>
    <w:rsid w:val="00D17B79"/>
    <w:rsid w:val="00D17BDE"/>
    <w:rsid w:val="00D202F8"/>
    <w:rsid w:val="00D202FA"/>
    <w:rsid w:val="00D2052C"/>
    <w:rsid w:val="00D2060D"/>
    <w:rsid w:val="00D208F2"/>
    <w:rsid w:val="00D20CD1"/>
    <w:rsid w:val="00D20DE8"/>
    <w:rsid w:val="00D21129"/>
    <w:rsid w:val="00D21133"/>
    <w:rsid w:val="00D211F6"/>
    <w:rsid w:val="00D21873"/>
    <w:rsid w:val="00D21887"/>
    <w:rsid w:val="00D220DC"/>
    <w:rsid w:val="00D22B4E"/>
    <w:rsid w:val="00D22F9A"/>
    <w:rsid w:val="00D231EE"/>
    <w:rsid w:val="00D235A5"/>
    <w:rsid w:val="00D23FE3"/>
    <w:rsid w:val="00D24008"/>
    <w:rsid w:val="00D24314"/>
    <w:rsid w:val="00D24AA9"/>
    <w:rsid w:val="00D24D7A"/>
    <w:rsid w:val="00D258C5"/>
    <w:rsid w:val="00D25980"/>
    <w:rsid w:val="00D266DE"/>
    <w:rsid w:val="00D272B2"/>
    <w:rsid w:val="00D27460"/>
    <w:rsid w:val="00D27815"/>
    <w:rsid w:val="00D27A1E"/>
    <w:rsid w:val="00D304E7"/>
    <w:rsid w:val="00D30D79"/>
    <w:rsid w:val="00D31425"/>
    <w:rsid w:val="00D31689"/>
    <w:rsid w:val="00D31D44"/>
    <w:rsid w:val="00D31F10"/>
    <w:rsid w:val="00D3218D"/>
    <w:rsid w:val="00D3237A"/>
    <w:rsid w:val="00D325D3"/>
    <w:rsid w:val="00D32C29"/>
    <w:rsid w:val="00D32DFD"/>
    <w:rsid w:val="00D3365D"/>
    <w:rsid w:val="00D33726"/>
    <w:rsid w:val="00D33F82"/>
    <w:rsid w:val="00D34059"/>
    <w:rsid w:val="00D341C2"/>
    <w:rsid w:val="00D3486D"/>
    <w:rsid w:val="00D34B81"/>
    <w:rsid w:val="00D34C43"/>
    <w:rsid w:val="00D34D0F"/>
    <w:rsid w:val="00D35567"/>
    <w:rsid w:val="00D355E8"/>
    <w:rsid w:val="00D3589C"/>
    <w:rsid w:val="00D362BF"/>
    <w:rsid w:val="00D3641B"/>
    <w:rsid w:val="00D36506"/>
    <w:rsid w:val="00D368C5"/>
    <w:rsid w:val="00D369BE"/>
    <w:rsid w:val="00D369E0"/>
    <w:rsid w:val="00D36BEF"/>
    <w:rsid w:val="00D36CF4"/>
    <w:rsid w:val="00D36F3C"/>
    <w:rsid w:val="00D371CC"/>
    <w:rsid w:val="00D37291"/>
    <w:rsid w:val="00D37465"/>
    <w:rsid w:val="00D3749D"/>
    <w:rsid w:val="00D3789A"/>
    <w:rsid w:val="00D3794E"/>
    <w:rsid w:val="00D37BEF"/>
    <w:rsid w:val="00D40032"/>
    <w:rsid w:val="00D41082"/>
    <w:rsid w:val="00D417F6"/>
    <w:rsid w:val="00D41819"/>
    <w:rsid w:val="00D4221A"/>
    <w:rsid w:val="00D42454"/>
    <w:rsid w:val="00D43A52"/>
    <w:rsid w:val="00D43DD6"/>
    <w:rsid w:val="00D44278"/>
    <w:rsid w:val="00D448FE"/>
    <w:rsid w:val="00D44A43"/>
    <w:rsid w:val="00D44A93"/>
    <w:rsid w:val="00D454EC"/>
    <w:rsid w:val="00D4581C"/>
    <w:rsid w:val="00D45931"/>
    <w:rsid w:val="00D45A9E"/>
    <w:rsid w:val="00D45AD9"/>
    <w:rsid w:val="00D45E4D"/>
    <w:rsid w:val="00D4610E"/>
    <w:rsid w:val="00D463AB"/>
    <w:rsid w:val="00D46B0C"/>
    <w:rsid w:val="00D47851"/>
    <w:rsid w:val="00D47A5D"/>
    <w:rsid w:val="00D47B51"/>
    <w:rsid w:val="00D47E4B"/>
    <w:rsid w:val="00D50C20"/>
    <w:rsid w:val="00D51826"/>
    <w:rsid w:val="00D518DB"/>
    <w:rsid w:val="00D51C2C"/>
    <w:rsid w:val="00D524E4"/>
    <w:rsid w:val="00D5287B"/>
    <w:rsid w:val="00D52F6B"/>
    <w:rsid w:val="00D53241"/>
    <w:rsid w:val="00D53461"/>
    <w:rsid w:val="00D5351A"/>
    <w:rsid w:val="00D535E3"/>
    <w:rsid w:val="00D53C53"/>
    <w:rsid w:val="00D53D1B"/>
    <w:rsid w:val="00D5447F"/>
    <w:rsid w:val="00D5540F"/>
    <w:rsid w:val="00D55731"/>
    <w:rsid w:val="00D55A36"/>
    <w:rsid w:val="00D563EA"/>
    <w:rsid w:val="00D5646B"/>
    <w:rsid w:val="00D5681D"/>
    <w:rsid w:val="00D5689A"/>
    <w:rsid w:val="00D56BFC"/>
    <w:rsid w:val="00D57072"/>
    <w:rsid w:val="00D575EE"/>
    <w:rsid w:val="00D5763B"/>
    <w:rsid w:val="00D57657"/>
    <w:rsid w:val="00D57B73"/>
    <w:rsid w:val="00D57CB9"/>
    <w:rsid w:val="00D60220"/>
    <w:rsid w:val="00D602B4"/>
    <w:rsid w:val="00D602DE"/>
    <w:rsid w:val="00D6093A"/>
    <w:rsid w:val="00D60C82"/>
    <w:rsid w:val="00D61249"/>
    <w:rsid w:val="00D613DF"/>
    <w:rsid w:val="00D6140B"/>
    <w:rsid w:val="00D61AE5"/>
    <w:rsid w:val="00D61B8D"/>
    <w:rsid w:val="00D62143"/>
    <w:rsid w:val="00D62DBF"/>
    <w:rsid w:val="00D63539"/>
    <w:rsid w:val="00D63646"/>
    <w:rsid w:val="00D63F0E"/>
    <w:rsid w:val="00D64636"/>
    <w:rsid w:val="00D64D87"/>
    <w:rsid w:val="00D65977"/>
    <w:rsid w:val="00D65D01"/>
    <w:rsid w:val="00D65DE6"/>
    <w:rsid w:val="00D65F0E"/>
    <w:rsid w:val="00D66778"/>
    <w:rsid w:val="00D668E4"/>
    <w:rsid w:val="00D66EB7"/>
    <w:rsid w:val="00D67466"/>
    <w:rsid w:val="00D679AE"/>
    <w:rsid w:val="00D67BEB"/>
    <w:rsid w:val="00D67CB9"/>
    <w:rsid w:val="00D703F7"/>
    <w:rsid w:val="00D7047B"/>
    <w:rsid w:val="00D70735"/>
    <w:rsid w:val="00D7074B"/>
    <w:rsid w:val="00D70B03"/>
    <w:rsid w:val="00D70BC7"/>
    <w:rsid w:val="00D70DB6"/>
    <w:rsid w:val="00D71F87"/>
    <w:rsid w:val="00D72339"/>
    <w:rsid w:val="00D7239F"/>
    <w:rsid w:val="00D72504"/>
    <w:rsid w:val="00D72743"/>
    <w:rsid w:val="00D729A9"/>
    <w:rsid w:val="00D72B6F"/>
    <w:rsid w:val="00D735F4"/>
    <w:rsid w:val="00D737BF"/>
    <w:rsid w:val="00D738F0"/>
    <w:rsid w:val="00D73E3A"/>
    <w:rsid w:val="00D741F4"/>
    <w:rsid w:val="00D7444D"/>
    <w:rsid w:val="00D74DD5"/>
    <w:rsid w:val="00D74FEC"/>
    <w:rsid w:val="00D75094"/>
    <w:rsid w:val="00D75505"/>
    <w:rsid w:val="00D758C7"/>
    <w:rsid w:val="00D75D3D"/>
    <w:rsid w:val="00D75D7F"/>
    <w:rsid w:val="00D76695"/>
    <w:rsid w:val="00D767B3"/>
    <w:rsid w:val="00D76C15"/>
    <w:rsid w:val="00D76CCC"/>
    <w:rsid w:val="00D77179"/>
    <w:rsid w:val="00D77530"/>
    <w:rsid w:val="00D7777B"/>
    <w:rsid w:val="00D778AC"/>
    <w:rsid w:val="00D77B2F"/>
    <w:rsid w:val="00D77DAB"/>
    <w:rsid w:val="00D80234"/>
    <w:rsid w:val="00D80636"/>
    <w:rsid w:val="00D807E8"/>
    <w:rsid w:val="00D80998"/>
    <w:rsid w:val="00D80AD1"/>
    <w:rsid w:val="00D80B5F"/>
    <w:rsid w:val="00D80B9B"/>
    <w:rsid w:val="00D80CEA"/>
    <w:rsid w:val="00D80D74"/>
    <w:rsid w:val="00D80E19"/>
    <w:rsid w:val="00D80EAD"/>
    <w:rsid w:val="00D813AF"/>
    <w:rsid w:val="00D815E9"/>
    <w:rsid w:val="00D8186C"/>
    <w:rsid w:val="00D81DA0"/>
    <w:rsid w:val="00D8228F"/>
    <w:rsid w:val="00D82B75"/>
    <w:rsid w:val="00D82D7C"/>
    <w:rsid w:val="00D82FFC"/>
    <w:rsid w:val="00D832C7"/>
    <w:rsid w:val="00D833B5"/>
    <w:rsid w:val="00D83816"/>
    <w:rsid w:val="00D83CB1"/>
    <w:rsid w:val="00D84249"/>
    <w:rsid w:val="00D8455E"/>
    <w:rsid w:val="00D85BA3"/>
    <w:rsid w:val="00D85BC5"/>
    <w:rsid w:val="00D85E0D"/>
    <w:rsid w:val="00D85FCB"/>
    <w:rsid w:val="00D862DA"/>
    <w:rsid w:val="00D8640C"/>
    <w:rsid w:val="00D86456"/>
    <w:rsid w:val="00D86535"/>
    <w:rsid w:val="00D86F0E"/>
    <w:rsid w:val="00D870BD"/>
    <w:rsid w:val="00D8728A"/>
    <w:rsid w:val="00D872EC"/>
    <w:rsid w:val="00D874D5"/>
    <w:rsid w:val="00D87750"/>
    <w:rsid w:val="00D877DD"/>
    <w:rsid w:val="00D879DF"/>
    <w:rsid w:val="00D879E7"/>
    <w:rsid w:val="00D9004E"/>
    <w:rsid w:val="00D90222"/>
    <w:rsid w:val="00D90505"/>
    <w:rsid w:val="00D905D1"/>
    <w:rsid w:val="00D908E6"/>
    <w:rsid w:val="00D90A1A"/>
    <w:rsid w:val="00D90B7E"/>
    <w:rsid w:val="00D90ED8"/>
    <w:rsid w:val="00D9141F"/>
    <w:rsid w:val="00D916EE"/>
    <w:rsid w:val="00D9248F"/>
    <w:rsid w:val="00D92A88"/>
    <w:rsid w:val="00D936C9"/>
    <w:rsid w:val="00D938CD"/>
    <w:rsid w:val="00D93C70"/>
    <w:rsid w:val="00D94261"/>
    <w:rsid w:val="00D94638"/>
    <w:rsid w:val="00D94F73"/>
    <w:rsid w:val="00D95ACE"/>
    <w:rsid w:val="00D95F59"/>
    <w:rsid w:val="00D96188"/>
    <w:rsid w:val="00D96576"/>
    <w:rsid w:val="00D967C8"/>
    <w:rsid w:val="00D96C68"/>
    <w:rsid w:val="00D96D6F"/>
    <w:rsid w:val="00D96EA4"/>
    <w:rsid w:val="00D97146"/>
    <w:rsid w:val="00D9783C"/>
    <w:rsid w:val="00DA01F5"/>
    <w:rsid w:val="00DA0453"/>
    <w:rsid w:val="00DA0827"/>
    <w:rsid w:val="00DA0DAB"/>
    <w:rsid w:val="00DA0F1C"/>
    <w:rsid w:val="00DA14CC"/>
    <w:rsid w:val="00DA17C0"/>
    <w:rsid w:val="00DA1E4D"/>
    <w:rsid w:val="00DA29CA"/>
    <w:rsid w:val="00DA2C9A"/>
    <w:rsid w:val="00DA31F1"/>
    <w:rsid w:val="00DA336A"/>
    <w:rsid w:val="00DA33CC"/>
    <w:rsid w:val="00DA3426"/>
    <w:rsid w:val="00DA3CCE"/>
    <w:rsid w:val="00DA3D7B"/>
    <w:rsid w:val="00DA4488"/>
    <w:rsid w:val="00DA44B1"/>
    <w:rsid w:val="00DA4517"/>
    <w:rsid w:val="00DA4A65"/>
    <w:rsid w:val="00DA4D22"/>
    <w:rsid w:val="00DA5F32"/>
    <w:rsid w:val="00DA60CA"/>
    <w:rsid w:val="00DA646E"/>
    <w:rsid w:val="00DA64EF"/>
    <w:rsid w:val="00DA6721"/>
    <w:rsid w:val="00DA6855"/>
    <w:rsid w:val="00DA6A76"/>
    <w:rsid w:val="00DA6DAF"/>
    <w:rsid w:val="00DA6FA3"/>
    <w:rsid w:val="00DA70D3"/>
    <w:rsid w:val="00DA7189"/>
    <w:rsid w:val="00DA7370"/>
    <w:rsid w:val="00DA7D5F"/>
    <w:rsid w:val="00DB0045"/>
    <w:rsid w:val="00DB00B0"/>
    <w:rsid w:val="00DB0AC9"/>
    <w:rsid w:val="00DB0DE9"/>
    <w:rsid w:val="00DB1038"/>
    <w:rsid w:val="00DB1190"/>
    <w:rsid w:val="00DB17A2"/>
    <w:rsid w:val="00DB319B"/>
    <w:rsid w:val="00DB33C4"/>
    <w:rsid w:val="00DB3585"/>
    <w:rsid w:val="00DB3660"/>
    <w:rsid w:val="00DB3BCA"/>
    <w:rsid w:val="00DB3E1D"/>
    <w:rsid w:val="00DB4129"/>
    <w:rsid w:val="00DB4594"/>
    <w:rsid w:val="00DB48A0"/>
    <w:rsid w:val="00DB4AA3"/>
    <w:rsid w:val="00DB4E1A"/>
    <w:rsid w:val="00DB5381"/>
    <w:rsid w:val="00DB5468"/>
    <w:rsid w:val="00DB57AF"/>
    <w:rsid w:val="00DB59A5"/>
    <w:rsid w:val="00DB5B24"/>
    <w:rsid w:val="00DB62FF"/>
    <w:rsid w:val="00DB68FF"/>
    <w:rsid w:val="00DB6B55"/>
    <w:rsid w:val="00DB7230"/>
    <w:rsid w:val="00DB73A2"/>
    <w:rsid w:val="00DB74EA"/>
    <w:rsid w:val="00DB7FC4"/>
    <w:rsid w:val="00DC147F"/>
    <w:rsid w:val="00DC1A94"/>
    <w:rsid w:val="00DC1C02"/>
    <w:rsid w:val="00DC20E6"/>
    <w:rsid w:val="00DC2479"/>
    <w:rsid w:val="00DC29D2"/>
    <w:rsid w:val="00DC2A1D"/>
    <w:rsid w:val="00DC318F"/>
    <w:rsid w:val="00DC32BA"/>
    <w:rsid w:val="00DC330A"/>
    <w:rsid w:val="00DC34AF"/>
    <w:rsid w:val="00DC41B8"/>
    <w:rsid w:val="00DC4476"/>
    <w:rsid w:val="00DC456E"/>
    <w:rsid w:val="00DC46E9"/>
    <w:rsid w:val="00DC4A7B"/>
    <w:rsid w:val="00DC4DFC"/>
    <w:rsid w:val="00DC4E60"/>
    <w:rsid w:val="00DC4F40"/>
    <w:rsid w:val="00DC5053"/>
    <w:rsid w:val="00DC5CA7"/>
    <w:rsid w:val="00DC5CB2"/>
    <w:rsid w:val="00DC5FD8"/>
    <w:rsid w:val="00DC6063"/>
    <w:rsid w:val="00DC654C"/>
    <w:rsid w:val="00DC65A2"/>
    <w:rsid w:val="00DC661E"/>
    <w:rsid w:val="00DC6810"/>
    <w:rsid w:val="00DC6A22"/>
    <w:rsid w:val="00DC792E"/>
    <w:rsid w:val="00DC7D20"/>
    <w:rsid w:val="00DC7F73"/>
    <w:rsid w:val="00DD007A"/>
    <w:rsid w:val="00DD11B8"/>
    <w:rsid w:val="00DD1227"/>
    <w:rsid w:val="00DD159A"/>
    <w:rsid w:val="00DD173E"/>
    <w:rsid w:val="00DD1972"/>
    <w:rsid w:val="00DD1C25"/>
    <w:rsid w:val="00DD2288"/>
    <w:rsid w:val="00DD2460"/>
    <w:rsid w:val="00DD29A3"/>
    <w:rsid w:val="00DD2A7A"/>
    <w:rsid w:val="00DD2AB6"/>
    <w:rsid w:val="00DD2CFB"/>
    <w:rsid w:val="00DD3B0C"/>
    <w:rsid w:val="00DD3BEF"/>
    <w:rsid w:val="00DD3D11"/>
    <w:rsid w:val="00DD3E6B"/>
    <w:rsid w:val="00DD40A3"/>
    <w:rsid w:val="00DD449B"/>
    <w:rsid w:val="00DD51AE"/>
    <w:rsid w:val="00DD6074"/>
    <w:rsid w:val="00DD6274"/>
    <w:rsid w:val="00DD62FF"/>
    <w:rsid w:val="00DD6518"/>
    <w:rsid w:val="00DD6537"/>
    <w:rsid w:val="00DD6667"/>
    <w:rsid w:val="00DD67DD"/>
    <w:rsid w:val="00DD69F3"/>
    <w:rsid w:val="00DD7418"/>
    <w:rsid w:val="00DD74A2"/>
    <w:rsid w:val="00DD7EB8"/>
    <w:rsid w:val="00DE02DB"/>
    <w:rsid w:val="00DE06AD"/>
    <w:rsid w:val="00DE07DA"/>
    <w:rsid w:val="00DE0825"/>
    <w:rsid w:val="00DE09AA"/>
    <w:rsid w:val="00DE12F8"/>
    <w:rsid w:val="00DE13DC"/>
    <w:rsid w:val="00DE14A4"/>
    <w:rsid w:val="00DE18A8"/>
    <w:rsid w:val="00DE20F9"/>
    <w:rsid w:val="00DE26DF"/>
    <w:rsid w:val="00DE281E"/>
    <w:rsid w:val="00DE2A3E"/>
    <w:rsid w:val="00DE2D4D"/>
    <w:rsid w:val="00DE2D98"/>
    <w:rsid w:val="00DE2FE3"/>
    <w:rsid w:val="00DE304A"/>
    <w:rsid w:val="00DE371A"/>
    <w:rsid w:val="00DE383B"/>
    <w:rsid w:val="00DE3AF6"/>
    <w:rsid w:val="00DE43E4"/>
    <w:rsid w:val="00DE49BE"/>
    <w:rsid w:val="00DE4A06"/>
    <w:rsid w:val="00DE4B44"/>
    <w:rsid w:val="00DE4CB9"/>
    <w:rsid w:val="00DE4DF4"/>
    <w:rsid w:val="00DE4EC6"/>
    <w:rsid w:val="00DE5094"/>
    <w:rsid w:val="00DE5694"/>
    <w:rsid w:val="00DE5E81"/>
    <w:rsid w:val="00DE6128"/>
    <w:rsid w:val="00DE6576"/>
    <w:rsid w:val="00DE6658"/>
    <w:rsid w:val="00DE66FC"/>
    <w:rsid w:val="00DE67C1"/>
    <w:rsid w:val="00DE67E6"/>
    <w:rsid w:val="00DE68E8"/>
    <w:rsid w:val="00DE699F"/>
    <w:rsid w:val="00DE7665"/>
    <w:rsid w:val="00DE7D19"/>
    <w:rsid w:val="00DE7DB4"/>
    <w:rsid w:val="00DF0010"/>
    <w:rsid w:val="00DF018C"/>
    <w:rsid w:val="00DF028D"/>
    <w:rsid w:val="00DF06EB"/>
    <w:rsid w:val="00DF0DEB"/>
    <w:rsid w:val="00DF0ED4"/>
    <w:rsid w:val="00DF1556"/>
    <w:rsid w:val="00DF1A3E"/>
    <w:rsid w:val="00DF218A"/>
    <w:rsid w:val="00DF2A3B"/>
    <w:rsid w:val="00DF3765"/>
    <w:rsid w:val="00DF4614"/>
    <w:rsid w:val="00DF46ED"/>
    <w:rsid w:val="00DF485B"/>
    <w:rsid w:val="00DF4988"/>
    <w:rsid w:val="00DF4C08"/>
    <w:rsid w:val="00DF4C0E"/>
    <w:rsid w:val="00DF4D23"/>
    <w:rsid w:val="00DF4E63"/>
    <w:rsid w:val="00DF5632"/>
    <w:rsid w:val="00DF568B"/>
    <w:rsid w:val="00DF6D10"/>
    <w:rsid w:val="00DF6E2F"/>
    <w:rsid w:val="00DF723E"/>
    <w:rsid w:val="00DF76E4"/>
    <w:rsid w:val="00DF795B"/>
    <w:rsid w:val="00DF7B25"/>
    <w:rsid w:val="00DF7E14"/>
    <w:rsid w:val="00DF7F16"/>
    <w:rsid w:val="00E00104"/>
    <w:rsid w:val="00E00428"/>
    <w:rsid w:val="00E008A2"/>
    <w:rsid w:val="00E00A67"/>
    <w:rsid w:val="00E00B67"/>
    <w:rsid w:val="00E00D28"/>
    <w:rsid w:val="00E00FE1"/>
    <w:rsid w:val="00E01376"/>
    <w:rsid w:val="00E013F0"/>
    <w:rsid w:val="00E015B1"/>
    <w:rsid w:val="00E016D4"/>
    <w:rsid w:val="00E02041"/>
    <w:rsid w:val="00E02503"/>
    <w:rsid w:val="00E02A1E"/>
    <w:rsid w:val="00E02D77"/>
    <w:rsid w:val="00E0378E"/>
    <w:rsid w:val="00E03C3B"/>
    <w:rsid w:val="00E0411C"/>
    <w:rsid w:val="00E04807"/>
    <w:rsid w:val="00E0483D"/>
    <w:rsid w:val="00E04840"/>
    <w:rsid w:val="00E0499E"/>
    <w:rsid w:val="00E04B96"/>
    <w:rsid w:val="00E04D71"/>
    <w:rsid w:val="00E05A3D"/>
    <w:rsid w:val="00E05C62"/>
    <w:rsid w:val="00E066FF"/>
    <w:rsid w:val="00E06728"/>
    <w:rsid w:val="00E06BC9"/>
    <w:rsid w:val="00E06D93"/>
    <w:rsid w:val="00E06E19"/>
    <w:rsid w:val="00E06EDF"/>
    <w:rsid w:val="00E06EE6"/>
    <w:rsid w:val="00E0700B"/>
    <w:rsid w:val="00E07540"/>
    <w:rsid w:val="00E07ABA"/>
    <w:rsid w:val="00E07F19"/>
    <w:rsid w:val="00E10393"/>
    <w:rsid w:val="00E117E2"/>
    <w:rsid w:val="00E1186B"/>
    <w:rsid w:val="00E11934"/>
    <w:rsid w:val="00E13126"/>
    <w:rsid w:val="00E13234"/>
    <w:rsid w:val="00E135A1"/>
    <w:rsid w:val="00E13643"/>
    <w:rsid w:val="00E14803"/>
    <w:rsid w:val="00E1496E"/>
    <w:rsid w:val="00E150C3"/>
    <w:rsid w:val="00E15791"/>
    <w:rsid w:val="00E15DC2"/>
    <w:rsid w:val="00E16A6E"/>
    <w:rsid w:val="00E16EF1"/>
    <w:rsid w:val="00E16FD4"/>
    <w:rsid w:val="00E1741B"/>
    <w:rsid w:val="00E177A0"/>
    <w:rsid w:val="00E17CB5"/>
    <w:rsid w:val="00E17F63"/>
    <w:rsid w:val="00E20234"/>
    <w:rsid w:val="00E20266"/>
    <w:rsid w:val="00E205E8"/>
    <w:rsid w:val="00E209BC"/>
    <w:rsid w:val="00E20A19"/>
    <w:rsid w:val="00E2100B"/>
    <w:rsid w:val="00E21ADA"/>
    <w:rsid w:val="00E21D0B"/>
    <w:rsid w:val="00E228BF"/>
    <w:rsid w:val="00E22A9C"/>
    <w:rsid w:val="00E22E07"/>
    <w:rsid w:val="00E22FDE"/>
    <w:rsid w:val="00E23922"/>
    <w:rsid w:val="00E23B1C"/>
    <w:rsid w:val="00E23EBE"/>
    <w:rsid w:val="00E2464C"/>
    <w:rsid w:val="00E24A91"/>
    <w:rsid w:val="00E25138"/>
    <w:rsid w:val="00E25AA7"/>
    <w:rsid w:val="00E25C1B"/>
    <w:rsid w:val="00E25FA0"/>
    <w:rsid w:val="00E26087"/>
    <w:rsid w:val="00E262E7"/>
    <w:rsid w:val="00E264E6"/>
    <w:rsid w:val="00E266C0"/>
    <w:rsid w:val="00E26A77"/>
    <w:rsid w:val="00E278FF"/>
    <w:rsid w:val="00E27CB2"/>
    <w:rsid w:val="00E307EB"/>
    <w:rsid w:val="00E3086D"/>
    <w:rsid w:val="00E30F79"/>
    <w:rsid w:val="00E31023"/>
    <w:rsid w:val="00E311F1"/>
    <w:rsid w:val="00E318EB"/>
    <w:rsid w:val="00E31901"/>
    <w:rsid w:val="00E323AD"/>
    <w:rsid w:val="00E32611"/>
    <w:rsid w:val="00E32ABF"/>
    <w:rsid w:val="00E32DE4"/>
    <w:rsid w:val="00E32E5D"/>
    <w:rsid w:val="00E33041"/>
    <w:rsid w:val="00E33201"/>
    <w:rsid w:val="00E337D8"/>
    <w:rsid w:val="00E33C1F"/>
    <w:rsid w:val="00E33C7F"/>
    <w:rsid w:val="00E33CC3"/>
    <w:rsid w:val="00E33E6C"/>
    <w:rsid w:val="00E34028"/>
    <w:rsid w:val="00E3436A"/>
    <w:rsid w:val="00E3438E"/>
    <w:rsid w:val="00E343E3"/>
    <w:rsid w:val="00E344DA"/>
    <w:rsid w:val="00E34AB9"/>
    <w:rsid w:val="00E360E8"/>
    <w:rsid w:val="00E361E7"/>
    <w:rsid w:val="00E368C3"/>
    <w:rsid w:val="00E36962"/>
    <w:rsid w:val="00E3697C"/>
    <w:rsid w:val="00E36B5A"/>
    <w:rsid w:val="00E36C65"/>
    <w:rsid w:val="00E374CD"/>
    <w:rsid w:val="00E3764A"/>
    <w:rsid w:val="00E377B0"/>
    <w:rsid w:val="00E37A8C"/>
    <w:rsid w:val="00E37B42"/>
    <w:rsid w:val="00E401FB"/>
    <w:rsid w:val="00E40296"/>
    <w:rsid w:val="00E403F5"/>
    <w:rsid w:val="00E40B10"/>
    <w:rsid w:val="00E40CE6"/>
    <w:rsid w:val="00E411D0"/>
    <w:rsid w:val="00E4180F"/>
    <w:rsid w:val="00E41BEF"/>
    <w:rsid w:val="00E41C4A"/>
    <w:rsid w:val="00E42364"/>
    <w:rsid w:val="00E42494"/>
    <w:rsid w:val="00E4329E"/>
    <w:rsid w:val="00E43326"/>
    <w:rsid w:val="00E43BC9"/>
    <w:rsid w:val="00E43C06"/>
    <w:rsid w:val="00E43EAD"/>
    <w:rsid w:val="00E440A7"/>
    <w:rsid w:val="00E44460"/>
    <w:rsid w:val="00E44473"/>
    <w:rsid w:val="00E4472B"/>
    <w:rsid w:val="00E4474D"/>
    <w:rsid w:val="00E447E3"/>
    <w:rsid w:val="00E449B1"/>
    <w:rsid w:val="00E44CD6"/>
    <w:rsid w:val="00E44FDC"/>
    <w:rsid w:val="00E454C4"/>
    <w:rsid w:val="00E45685"/>
    <w:rsid w:val="00E45F72"/>
    <w:rsid w:val="00E4647B"/>
    <w:rsid w:val="00E46BC7"/>
    <w:rsid w:val="00E47058"/>
    <w:rsid w:val="00E4759A"/>
    <w:rsid w:val="00E47922"/>
    <w:rsid w:val="00E47B31"/>
    <w:rsid w:val="00E5009D"/>
    <w:rsid w:val="00E501F7"/>
    <w:rsid w:val="00E5082D"/>
    <w:rsid w:val="00E50ADE"/>
    <w:rsid w:val="00E5160E"/>
    <w:rsid w:val="00E52899"/>
    <w:rsid w:val="00E539A0"/>
    <w:rsid w:val="00E53C8E"/>
    <w:rsid w:val="00E53DB4"/>
    <w:rsid w:val="00E53FB3"/>
    <w:rsid w:val="00E5400C"/>
    <w:rsid w:val="00E54049"/>
    <w:rsid w:val="00E541EB"/>
    <w:rsid w:val="00E5422C"/>
    <w:rsid w:val="00E546D7"/>
    <w:rsid w:val="00E5471A"/>
    <w:rsid w:val="00E559FB"/>
    <w:rsid w:val="00E55CE7"/>
    <w:rsid w:val="00E56C15"/>
    <w:rsid w:val="00E56EDC"/>
    <w:rsid w:val="00E574A9"/>
    <w:rsid w:val="00E576CD"/>
    <w:rsid w:val="00E576DF"/>
    <w:rsid w:val="00E578C5"/>
    <w:rsid w:val="00E6003B"/>
    <w:rsid w:val="00E60158"/>
    <w:rsid w:val="00E602B3"/>
    <w:rsid w:val="00E6038E"/>
    <w:rsid w:val="00E61355"/>
    <w:rsid w:val="00E613BC"/>
    <w:rsid w:val="00E615B1"/>
    <w:rsid w:val="00E61608"/>
    <w:rsid w:val="00E61C08"/>
    <w:rsid w:val="00E61C6E"/>
    <w:rsid w:val="00E61E46"/>
    <w:rsid w:val="00E61F1E"/>
    <w:rsid w:val="00E62321"/>
    <w:rsid w:val="00E623DC"/>
    <w:rsid w:val="00E626CC"/>
    <w:rsid w:val="00E6280A"/>
    <w:rsid w:val="00E62FF1"/>
    <w:rsid w:val="00E632E2"/>
    <w:rsid w:val="00E6364E"/>
    <w:rsid w:val="00E63A3F"/>
    <w:rsid w:val="00E64561"/>
    <w:rsid w:val="00E64637"/>
    <w:rsid w:val="00E6488A"/>
    <w:rsid w:val="00E65079"/>
    <w:rsid w:val="00E653AE"/>
    <w:rsid w:val="00E6571F"/>
    <w:rsid w:val="00E658F9"/>
    <w:rsid w:val="00E6598B"/>
    <w:rsid w:val="00E65AAF"/>
    <w:rsid w:val="00E65B52"/>
    <w:rsid w:val="00E65BD1"/>
    <w:rsid w:val="00E66861"/>
    <w:rsid w:val="00E66AF0"/>
    <w:rsid w:val="00E66E21"/>
    <w:rsid w:val="00E66F13"/>
    <w:rsid w:val="00E67063"/>
    <w:rsid w:val="00E70019"/>
    <w:rsid w:val="00E70704"/>
    <w:rsid w:val="00E70D0B"/>
    <w:rsid w:val="00E70F38"/>
    <w:rsid w:val="00E710FC"/>
    <w:rsid w:val="00E714B4"/>
    <w:rsid w:val="00E717E7"/>
    <w:rsid w:val="00E71915"/>
    <w:rsid w:val="00E7205F"/>
    <w:rsid w:val="00E72607"/>
    <w:rsid w:val="00E728ED"/>
    <w:rsid w:val="00E72BC6"/>
    <w:rsid w:val="00E73044"/>
    <w:rsid w:val="00E7356E"/>
    <w:rsid w:val="00E73665"/>
    <w:rsid w:val="00E7394A"/>
    <w:rsid w:val="00E73B30"/>
    <w:rsid w:val="00E73F7F"/>
    <w:rsid w:val="00E74298"/>
    <w:rsid w:val="00E74522"/>
    <w:rsid w:val="00E74AFE"/>
    <w:rsid w:val="00E74FE9"/>
    <w:rsid w:val="00E75128"/>
    <w:rsid w:val="00E75173"/>
    <w:rsid w:val="00E75661"/>
    <w:rsid w:val="00E75B62"/>
    <w:rsid w:val="00E75F69"/>
    <w:rsid w:val="00E76CA8"/>
    <w:rsid w:val="00E770AB"/>
    <w:rsid w:val="00E77448"/>
    <w:rsid w:val="00E800AC"/>
    <w:rsid w:val="00E800ED"/>
    <w:rsid w:val="00E80916"/>
    <w:rsid w:val="00E80A54"/>
    <w:rsid w:val="00E80ACA"/>
    <w:rsid w:val="00E811B5"/>
    <w:rsid w:val="00E814D1"/>
    <w:rsid w:val="00E81DA2"/>
    <w:rsid w:val="00E824F2"/>
    <w:rsid w:val="00E82851"/>
    <w:rsid w:val="00E82A6E"/>
    <w:rsid w:val="00E82BA4"/>
    <w:rsid w:val="00E82EC6"/>
    <w:rsid w:val="00E8364D"/>
    <w:rsid w:val="00E838C7"/>
    <w:rsid w:val="00E840DF"/>
    <w:rsid w:val="00E84525"/>
    <w:rsid w:val="00E8452A"/>
    <w:rsid w:val="00E84D5A"/>
    <w:rsid w:val="00E8560F"/>
    <w:rsid w:val="00E85B1A"/>
    <w:rsid w:val="00E85C15"/>
    <w:rsid w:val="00E85D50"/>
    <w:rsid w:val="00E860F8"/>
    <w:rsid w:val="00E86691"/>
    <w:rsid w:val="00E8698C"/>
    <w:rsid w:val="00E86A0B"/>
    <w:rsid w:val="00E86CBF"/>
    <w:rsid w:val="00E8780A"/>
    <w:rsid w:val="00E8788F"/>
    <w:rsid w:val="00E87CA8"/>
    <w:rsid w:val="00E9045E"/>
    <w:rsid w:val="00E9144D"/>
    <w:rsid w:val="00E91531"/>
    <w:rsid w:val="00E919FD"/>
    <w:rsid w:val="00E91CEE"/>
    <w:rsid w:val="00E91F20"/>
    <w:rsid w:val="00E91FE0"/>
    <w:rsid w:val="00E92076"/>
    <w:rsid w:val="00E920E7"/>
    <w:rsid w:val="00E92B51"/>
    <w:rsid w:val="00E92CEE"/>
    <w:rsid w:val="00E92E01"/>
    <w:rsid w:val="00E92FC7"/>
    <w:rsid w:val="00E9366C"/>
    <w:rsid w:val="00E93A2A"/>
    <w:rsid w:val="00E9442B"/>
    <w:rsid w:val="00E944C7"/>
    <w:rsid w:val="00E94C77"/>
    <w:rsid w:val="00E9518F"/>
    <w:rsid w:val="00E9535F"/>
    <w:rsid w:val="00E957FC"/>
    <w:rsid w:val="00E96918"/>
    <w:rsid w:val="00E96A2E"/>
    <w:rsid w:val="00E96E97"/>
    <w:rsid w:val="00E97427"/>
    <w:rsid w:val="00E975DE"/>
    <w:rsid w:val="00E979E6"/>
    <w:rsid w:val="00E97A0A"/>
    <w:rsid w:val="00E97ADF"/>
    <w:rsid w:val="00EA0289"/>
    <w:rsid w:val="00EA0422"/>
    <w:rsid w:val="00EA058D"/>
    <w:rsid w:val="00EA0C32"/>
    <w:rsid w:val="00EA1053"/>
    <w:rsid w:val="00EA11B6"/>
    <w:rsid w:val="00EA1C74"/>
    <w:rsid w:val="00EA201C"/>
    <w:rsid w:val="00EA21BF"/>
    <w:rsid w:val="00EA2C1A"/>
    <w:rsid w:val="00EA3491"/>
    <w:rsid w:val="00EA378A"/>
    <w:rsid w:val="00EA37E2"/>
    <w:rsid w:val="00EA3CB6"/>
    <w:rsid w:val="00EA3DC9"/>
    <w:rsid w:val="00EA515F"/>
    <w:rsid w:val="00EA52F8"/>
    <w:rsid w:val="00EA5696"/>
    <w:rsid w:val="00EA5C68"/>
    <w:rsid w:val="00EA5D82"/>
    <w:rsid w:val="00EA5DEB"/>
    <w:rsid w:val="00EA601E"/>
    <w:rsid w:val="00EA6E00"/>
    <w:rsid w:val="00EA7A59"/>
    <w:rsid w:val="00EB0054"/>
    <w:rsid w:val="00EB024A"/>
    <w:rsid w:val="00EB0570"/>
    <w:rsid w:val="00EB0BFE"/>
    <w:rsid w:val="00EB11D1"/>
    <w:rsid w:val="00EB12CF"/>
    <w:rsid w:val="00EB1596"/>
    <w:rsid w:val="00EB162C"/>
    <w:rsid w:val="00EB181B"/>
    <w:rsid w:val="00EB1CA4"/>
    <w:rsid w:val="00EB1DDC"/>
    <w:rsid w:val="00EB1E8E"/>
    <w:rsid w:val="00EB276F"/>
    <w:rsid w:val="00EB2787"/>
    <w:rsid w:val="00EB28B3"/>
    <w:rsid w:val="00EB29B6"/>
    <w:rsid w:val="00EB2A49"/>
    <w:rsid w:val="00EB2B49"/>
    <w:rsid w:val="00EB2B96"/>
    <w:rsid w:val="00EB2DEA"/>
    <w:rsid w:val="00EB2F3F"/>
    <w:rsid w:val="00EB2FE4"/>
    <w:rsid w:val="00EB305D"/>
    <w:rsid w:val="00EB3511"/>
    <w:rsid w:val="00EB3A42"/>
    <w:rsid w:val="00EB3ACB"/>
    <w:rsid w:val="00EB3B8B"/>
    <w:rsid w:val="00EB40EF"/>
    <w:rsid w:val="00EB4481"/>
    <w:rsid w:val="00EB45D9"/>
    <w:rsid w:val="00EB4AEF"/>
    <w:rsid w:val="00EB50F0"/>
    <w:rsid w:val="00EB528E"/>
    <w:rsid w:val="00EB5474"/>
    <w:rsid w:val="00EB54F1"/>
    <w:rsid w:val="00EB6139"/>
    <w:rsid w:val="00EB6629"/>
    <w:rsid w:val="00EB66D1"/>
    <w:rsid w:val="00EB6A40"/>
    <w:rsid w:val="00EB6B03"/>
    <w:rsid w:val="00EB7683"/>
    <w:rsid w:val="00EB779D"/>
    <w:rsid w:val="00EB77C0"/>
    <w:rsid w:val="00EB7B1A"/>
    <w:rsid w:val="00EB7C9A"/>
    <w:rsid w:val="00EC093F"/>
    <w:rsid w:val="00EC105D"/>
    <w:rsid w:val="00EC133D"/>
    <w:rsid w:val="00EC1E32"/>
    <w:rsid w:val="00EC1F47"/>
    <w:rsid w:val="00EC2690"/>
    <w:rsid w:val="00EC27CB"/>
    <w:rsid w:val="00EC340B"/>
    <w:rsid w:val="00EC341C"/>
    <w:rsid w:val="00EC369F"/>
    <w:rsid w:val="00EC37DB"/>
    <w:rsid w:val="00EC41AB"/>
    <w:rsid w:val="00EC470C"/>
    <w:rsid w:val="00EC47E9"/>
    <w:rsid w:val="00EC48F6"/>
    <w:rsid w:val="00EC4ABE"/>
    <w:rsid w:val="00EC4B96"/>
    <w:rsid w:val="00EC53B0"/>
    <w:rsid w:val="00EC53B4"/>
    <w:rsid w:val="00EC5E26"/>
    <w:rsid w:val="00EC6506"/>
    <w:rsid w:val="00EC6BBA"/>
    <w:rsid w:val="00EC7013"/>
    <w:rsid w:val="00EC76FF"/>
    <w:rsid w:val="00EC7722"/>
    <w:rsid w:val="00EC782D"/>
    <w:rsid w:val="00EC7E37"/>
    <w:rsid w:val="00ED03D4"/>
    <w:rsid w:val="00ED0417"/>
    <w:rsid w:val="00ED0D07"/>
    <w:rsid w:val="00ED1137"/>
    <w:rsid w:val="00ED1657"/>
    <w:rsid w:val="00ED16FB"/>
    <w:rsid w:val="00ED1D51"/>
    <w:rsid w:val="00ED1E6A"/>
    <w:rsid w:val="00ED2084"/>
    <w:rsid w:val="00ED2471"/>
    <w:rsid w:val="00ED2E94"/>
    <w:rsid w:val="00ED33CC"/>
    <w:rsid w:val="00ED36B5"/>
    <w:rsid w:val="00ED45FE"/>
    <w:rsid w:val="00ED47B5"/>
    <w:rsid w:val="00ED4B6C"/>
    <w:rsid w:val="00ED51F7"/>
    <w:rsid w:val="00ED53FD"/>
    <w:rsid w:val="00ED5637"/>
    <w:rsid w:val="00ED5DE2"/>
    <w:rsid w:val="00ED6530"/>
    <w:rsid w:val="00ED6618"/>
    <w:rsid w:val="00ED6A46"/>
    <w:rsid w:val="00ED6AD9"/>
    <w:rsid w:val="00ED6B8B"/>
    <w:rsid w:val="00ED6E4F"/>
    <w:rsid w:val="00ED70A7"/>
    <w:rsid w:val="00ED7692"/>
    <w:rsid w:val="00ED790F"/>
    <w:rsid w:val="00ED79BE"/>
    <w:rsid w:val="00EE03E7"/>
    <w:rsid w:val="00EE07CD"/>
    <w:rsid w:val="00EE11C1"/>
    <w:rsid w:val="00EE1270"/>
    <w:rsid w:val="00EE1460"/>
    <w:rsid w:val="00EE1915"/>
    <w:rsid w:val="00EE1BA3"/>
    <w:rsid w:val="00EE28FA"/>
    <w:rsid w:val="00EE2CE1"/>
    <w:rsid w:val="00EE2F89"/>
    <w:rsid w:val="00EE2FD9"/>
    <w:rsid w:val="00EE3C44"/>
    <w:rsid w:val="00EE3CF8"/>
    <w:rsid w:val="00EE43D4"/>
    <w:rsid w:val="00EE48B5"/>
    <w:rsid w:val="00EE48F9"/>
    <w:rsid w:val="00EE4A24"/>
    <w:rsid w:val="00EE4ADA"/>
    <w:rsid w:val="00EE4B18"/>
    <w:rsid w:val="00EE4DD9"/>
    <w:rsid w:val="00EE51A2"/>
    <w:rsid w:val="00EE51D5"/>
    <w:rsid w:val="00EE59D2"/>
    <w:rsid w:val="00EE5B9C"/>
    <w:rsid w:val="00EE6D5A"/>
    <w:rsid w:val="00EE71C9"/>
    <w:rsid w:val="00EE793C"/>
    <w:rsid w:val="00EE7A62"/>
    <w:rsid w:val="00EE7D25"/>
    <w:rsid w:val="00EE7F65"/>
    <w:rsid w:val="00EE7FB7"/>
    <w:rsid w:val="00EF0CFB"/>
    <w:rsid w:val="00EF1066"/>
    <w:rsid w:val="00EF1137"/>
    <w:rsid w:val="00EF13D2"/>
    <w:rsid w:val="00EF13EC"/>
    <w:rsid w:val="00EF1645"/>
    <w:rsid w:val="00EF186E"/>
    <w:rsid w:val="00EF1941"/>
    <w:rsid w:val="00EF1B6E"/>
    <w:rsid w:val="00EF21BB"/>
    <w:rsid w:val="00EF2347"/>
    <w:rsid w:val="00EF23A4"/>
    <w:rsid w:val="00EF2531"/>
    <w:rsid w:val="00EF265C"/>
    <w:rsid w:val="00EF2A24"/>
    <w:rsid w:val="00EF2A54"/>
    <w:rsid w:val="00EF2B90"/>
    <w:rsid w:val="00EF2E18"/>
    <w:rsid w:val="00EF30E7"/>
    <w:rsid w:val="00EF352D"/>
    <w:rsid w:val="00EF38CD"/>
    <w:rsid w:val="00EF3D17"/>
    <w:rsid w:val="00EF423A"/>
    <w:rsid w:val="00EF47CE"/>
    <w:rsid w:val="00EF4945"/>
    <w:rsid w:val="00EF498A"/>
    <w:rsid w:val="00EF4AEE"/>
    <w:rsid w:val="00EF4FCF"/>
    <w:rsid w:val="00EF4FD8"/>
    <w:rsid w:val="00EF5836"/>
    <w:rsid w:val="00EF628B"/>
    <w:rsid w:val="00EF6808"/>
    <w:rsid w:val="00EF6947"/>
    <w:rsid w:val="00EF6DF8"/>
    <w:rsid w:val="00EF6E41"/>
    <w:rsid w:val="00EF6FCA"/>
    <w:rsid w:val="00EF6FEC"/>
    <w:rsid w:val="00EF70F2"/>
    <w:rsid w:val="00EF73DF"/>
    <w:rsid w:val="00EF74FA"/>
    <w:rsid w:val="00EF7524"/>
    <w:rsid w:val="00EF753F"/>
    <w:rsid w:val="00EF7593"/>
    <w:rsid w:val="00F0016F"/>
    <w:rsid w:val="00F0042F"/>
    <w:rsid w:val="00F005B0"/>
    <w:rsid w:val="00F00631"/>
    <w:rsid w:val="00F00CDE"/>
    <w:rsid w:val="00F0112C"/>
    <w:rsid w:val="00F01577"/>
    <w:rsid w:val="00F017CD"/>
    <w:rsid w:val="00F0229F"/>
    <w:rsid w:val="00F02605"/>
    <w:rsid w:val="00F0261E"/>
    <w:rsid w:val="00F02982"/>
    <w:rsid w:val="00F031E3"/>
    <w:rsid w:val="00F03687"/>
    <w:rsid w:val="00F03938"/>
    <w:rsid w:val="00F03BB5"/>
    <w:rsid w:val="00F03BF4"/>
    <w:rsid w:val="00F03F3B"/>
    <w:rsid w:val="00F0417F"/>
    <w:rsid w:val="00F042EA"/>
    <w:rsid w:val="00F04690"/>
    <w:rsid w:val="00F04F8B"/>
    <w:rsid w:val="00F04FD2"/>
    <w:rsid w:val="00F050D3"/>
    <w:rsid w:val="00F05385"/>
    <w:rsid w:val="00F05973"/>
    <w:rsid w:val="00F05A2F"/>
    <w:rsid w:val="00F05FC0"/>
    <w:rsid w:val="00F062C6"/>
    <w:rsid w:val="00F06424"/>
    <w:rsid w:val="00F0652C"/>
    <w:rsid w:val="00F068AB"/>
    <w:rsid w:val="00F06C65"/>
    <w:rsid w:val="00F06D49"/>
    <w:rsid w:val="00F06FF1"/>
    <w:rsid w:val="00F07468"/>
    <w:rsid w:val="00F07D70"/>
    <w:rsid w:val="00F10768"/>
    <w:rsid w:val="00F11247"/>
    <w:rsid w:val="00F11DDC"/>
    <w:rsid w:val="00F11E4A"/>
    <w:rsid w:val="00F120D3"/>
    <w:rsid w:val="00F12267"/>
    <w:rsid w:val="00F122E7"/>
    <w:rsid w:val="00F12CCF"/>
    <w:rsid w:val="00F1302B"/>
    <w:rsid w:val="00F1340D"/>
    <w:rsid w:val="00F13CBE"/>
    <w:rsid w:val="00F13F76"/>
    <w:rsid w:val="00F14159"/>
    <w:rsid w:val="00F1427C"/>
    <w:rsid w:val="00F14961"/>
    <w:rsid w:val="00F15176"/>
    <w:rsid w:val="00F153C1"/>
    <w:rsid w:val="00F15428"/>
    <w:rsid w:val="00F15AFF"/>
    <w:rsid w:val="00F15BA7"/>
    <w:rsid w:val="00F15C72"/>
    <w:rsid w:val="00F166F3"/>
    <w:rsid w:val="00F16AF4"/>
    <w:rsid w:val="00F1724A"/>
    <w:rsid w:val="00F172D6"/>
    <w:rsid w:val="00F1780D"/>
    <w:rsid w:val="00F17FDA"/>
    <w:rsid w:val="00F200A2"/>
    <w:rsid w:val="00F21165"/>
    <w:rsid w:val="00F21690"/>
    <w:rsid w:val="00F2176B"/>
    <w:rsid w:val="00F217E8"/>
    <w:rsid w:val="00F2263F"/>
    <w:rsid w:val="00F22CEA"/>
    <w:rsid w:val="00F22D82"/>
    <w:rsid w:val="00F22FE8"/>
    <w:rsid w:val="00F23138"/>
    <w:rsid w:val="00F235C3"/>
    <w:rsid w:val="00F237F8"/>
    <w:rsid w:val="00F23A8E"/>
    <w:rsid w:val="00F23C36"/>
    <w:rsid w:val="00F23E73"/>
    <w:rsid w:val="00F2439A"/>
    <w:rsid w:val="00F24886"/>
    <w:rsid w:val="00F2491B"/>
    <w:rsid w:val="00F24AE9"/>
    <w:rsid w:val="00F24CAD"/>
    <w:rsid w:val="00F24D1F"/>
    <w:rsid w:val="00F2537A"/>
    <w:rsid w:val="00F2542E"/>
    <w:rsid w:val="00F25642"/>
    <w:rsid w:val="00F2565C"/>
    <w:rsid w:val="00F25CB9"/>
    <w:rsid w:val="00F2621C"/>
    <w:rsid w:val="00F266D0"/>
    <w:rsid w:val="00F26A7D"/>
    <w:rsid w:val="00F26AEC"/>
    <w:rsid w:val="00F26D40"/>
    <w:rsid w:val="00F27192"/>
    <w:rsid w:val="00F2733D"/>
    <w:rsid w:val="00F27459"/>
    <w:rsid w:val="00F27DDF"/>
    <w:rsid w:val="00F27FB0"/>
    <w:rsid w:val="00F300F7"/>
    <w:rsid w:val="00F31212"/>
    <w:rsid w:val="00F31919"/>
    <w:rsid w:val="00F31DD2"/>
    <w:rsid w:val="00F31FBC"/>
    <w:rsid w:val="00F32351"/>
    <w:rsid w:val="00F32369"/>
    <w:rsid w:val="00F33A25"/>
    <w:rsid w:val="00F340B6"/>
    <w:rsid w:val="00F343EE"/>
    <w:rsid w:val="00F345D2"/>
    <w:rsid w:val="00F34DBA"/>
    <w:rsid w:val="00F35906"/>
    <w:rsid w:val="00F35EB5"/>
    <w:rsid w:val="00F361B7"/>
    <w:rsid w:val="00F36622"/>
    <w:rsid w:val="00F3675E"/>
    <w:rsid w:val="00F36F2B"/>
    <w:rsid w:val="00F3706C"/>
    <w:rsid w:val="00F37175"/>
    <w:rsid w:val="00F371A5"/>
    <w:rsid w:val="00F372BF"/>
    <w:rsid w:val="00F37557"/>
    <w:rsid w:val="00F37707"/>
    <w:rsid w:val="00F37EB2"/>
    <w:rsid w:val="00F37FA5"/>
    <w:rsid w:val="00F4047B"/>
    <w:rsid w:val="00F4094B"/>
    <w:rsid w:val="00F40BAE"/>
    <w:rsid w:val="00F40E84"/>
    <w:rsid w:val="00F4134C"/>
    <w:rsid w:val="00F417FF"/>
    <w:rsid w:val="00F418AB"/>
    <w:rsid w:val="00F42C68"/>
    <w:rsid w:val="00F431C5"/>
    <w:rsid w:val="00F43217"/>
    <w:rsid w:val="00F43649"/>
    <w:rsid w:val="00F43A42"/>
    <w:rsid w:val="00F43BEB"/>
    <w:rsid w:val="00F43D1A"/>
    <w:rsid w:val="00F43DB8"/>
    <w:rsid w:val="00F4406D"/>
    <w:rsid w:val="00F45317"/>
    <w:rsid w:val="00F453A2"/>
    <w:rsid w:val="00F45874"/>
    <w:rsid w:val="00F4650E"/>
    <w:rsid w:val="00F469E6"/>
    <w:rsid w:val="00F46B76"/>
    <w:rsid w:val="00F46BC3"/>
    <w:rsid w:val="00F4738A"/>
    <w:rsid w:val="00F477FE"/>
    <w:rsid w:val="00F5003C"/>
    <w:rsid w:val="00F50541"/>
    <w:rsid w:val="00F507B1"/>
    <w:rsid w:val="00F50906"/>
    <w:rsid w:val="00F50A62"/>
    <w:rsid w:val="00F50A69"/>
    <w:rsid w:val="00F51430"/>
    <w:rsid w:val="00F51B3D"/>
    <w:rsid w:val="00F51FF8"/>
    <w:rsid w:val="00F52389"/>
    <w:rsid w:val="00F523E1"/>
    <w:rsid w:val="00F526D8"/>
    <w:rsid w:val="00F52754"/>
    <w:rsid w:val="00F528CC"/>
    <w:rsid w:val="00F52E4C"/>
    <w:rsid w:val="00F52F93"/>
    <w:rsid w:val="00F531ED"/>
    <w:rsid w:val="00F5335A"/>
    <w:rsid w:val="00F535DA"/>
    <w:rsid w:val="00F53982"/>
    <w:rsid w:val="00F5458A"/>
    <w:rsid w:val="00F54608"/>
    <w:rsid w:val="00F546A9"/>
    <w:rsid w:val="00F547A6"/>
    <w:rsid w:val="00F552F2"/>
    <w:rsid w:val="00F55E52"/>
    <w:rsid w:val="00F56067"/>
    <w:rsid w:val="00F5671A"/>
    <w:rsid w:val="00F56855"/>
    <w:rsid w:val="00F5696D"/>
    <w:rsid w:val="00F56AE1"/>
    <w:rsid w:val="00F57383"/>
    <w:rsid w:val="00F57667"/>
    <w:rsid w:val="00F5776E"/>
    <w:rsid w:val="00F57EF0"/>
    <w:rsid w:val="00F57F0B"/>
    <w:rsid w:val="00F57F36"/>
    <w:rsid w:val="00F600DC"/>
    <w:rsid w:val="00F60572"/>
    <w:rsid w:val="00F61487"/>
    <w:rsid w:val="00F62374"/>
    <w:rsid w:val="00F627E2"/>
    <w:rsid w:val="00F629F5"/>
    <w:rsid w:val="00F62ADB"/>
    <w:rsid w:val="00F62E1B"/>
    <w:rsid w:val="00F62F42"/>
    <w:rsid w:val="00F63309"/>
    <w:rsid w:val="00F63363"/>
    <w:rsid w:val="00F6350A"/>
    <w:rsid w:val="00F63F78"/>
    <w:rsid w:val="00F645D0"/>
    <w:rsid w:val="00F64B99"/>
    <w:rsid w:val="00F65595"/>
    <w:rsid w:val="00F65880"/>
    <w:rsid w:val="00F66176"/>
    <w:rsid w:val="00F663D5"/>
    <w:rsid w:val="00F66B38"/>
    <w:rsid w:val="00F66DFC"/>
    <w:rsid w:val="00F6706E"/>
    <w:rsid w:val="00F675B5"/>
    <w:rsid w:val="00F677BF"/>
    <w:rsid w:val="00F67842"/>
    <w:rsid w:val="00F679E0"/>
    <w:rsid w:val="00F67A5C"/>
    <w:rsid w:val="00F67A8E"/>
    <w:rsid w:val="00F67AD6"/>
    <w:rsid w:val="00F67D8D"/>
    <w:rsid w:val="00F67FBD"/>
    <w:rsid w:val="00F70F44"/>
    <w:rsid w:val="00F7106C"/>
    <w:rsid w:val="00F71255"/>
    <w:rsid w:val="00F7133B"/>
    <w:rsid w:val="00F71520"/>
    <w:rsid w:val="00F71847"/>
    <w:rsid w:val="00F72737"/>
    <w:rsid w:val="00F72987"/>
    <w:rsid w:val="00F72DD8"/>
    <w:rsid w:val="00F7369F"/>
    <w:rsid w:val="00F73796"/>
    <w:rsid w:val="00F737E7"/>
    <w:rsid w:val="00F741BB"/>
    <w:rsid w:val="00F74A0F"/>
    <w:rsid w:val="00F7590F"/>
    <w:rsid w:val="00F75C51"/>
    <w:rsid w:val="00F75FE2"/>
    <w:rsid w:val="00F76552"/>
    <w:rsid w:val="00F76C16"/>
    <w:rsid w:val="00F772CC"/>
    <w:rsid w:val="00F77455"/>
    <w:rsid w:val="00F7781E"/>
    <w:rsid w:val="00F77B96"/>
    <w:rsid w:val="00F77D0B"/>
    <w:rsid w:val="00F80109"/>
    <w:rsid w:val="00F80560"/>
    <w:rsid w:val="00F80DBD"/>
    <w:rsid w:val="00F80F2A"/>
    <w:rsid w:val="00F81157"/>
    <w:rsid w:val="00F814BC"/>
    <w:rsid w:val="00F81F36"/>
    <w:rsid w:val="00F8247D"/>
    <w:rsid w:val="00F83624"/>
    <w:rsid w:val="00F83DAA"/>
    <w:rsid w:val="00F83FA5"/>
    <w:rsid w:val="00F8484A"/>
    <w:rsid w:val="00F8486F"/>
    <w:rsid w:val="00F852E0"/>
    <w:rsid w:val="00F85378"/>
    <w:rsid w:val="00F8569E"/>
    <w:rsid w:val="00F85A14"/>
    <w:rsid w:val="00F85E3C"/>
    <w:rsid w:val="00F85ECB"/>
    <w:rsid w:val="00F860A4"/>
    <w:rsid w:val="00F860DC"/>
    <w:rsid w:val="00F86571"/>
    <w:rsid w:val="00F86626"/>
    <w:rsid w:val="00F86698"/>
    <w:rsid w:val="00F8671B"/>
    <w:rsid w:val="00F8682D"/>
    <w:rsid w:val="00F86BA9"/>
    <w:rsid w:val="00F86DFF"/>
    <w:rsid w:val="00F8726D"/>
    <w:rsid w:val="00F872CE"/>
    <w:rsid w:val="00F8732A"/>
    <w:rsid w:val="00F874B1"/>
    <w:rsid w:val="00F878D9"/>
    <w:rsid w:val="00F879CE"/>
    <w:rsid w:val="00F87E5C"/>
    <w:rsid w:val="00F90EB0"/>
    <w:rsid w:val="00F913C6"/>
    <w:rsid w:val="00F91565"/>
    <w:rsid w:val="00F91C89"/>
    <w:rsid w:val="00F91C99"/>
    <w:rsid w:val="00F9212D"/>
    <w:rsid w:val="00F921B9"/>
    <w:rsid w:val="00F92514"/>
    <w:rsid w:val="00F927FB"/>
    <w:rsid w:val="00F92939"/>
    <w:rsid w:val="00F92C95"/>
    <w:rsid w:val="00F9304A"/>
    <w:rsid w:val="00F94034"/>
    <w:rsid w:val="00F94401"/>
    <w:rsid w:val="00F945E9"/>
    <w:rsid w:val="00F94864"/>
    <w:rsid w:val="00F94986"/>
    <w:rsid w:val="00F94C97"/>
    <w:rsid w:val="00F95327"/>
    <w:rsid w:val="00F95BBA"/>
    <w:rsid w:val="00F95BDA"/>
    <w:rsid w:val="00F95BDD"/>
    <w:rsid w:val="00F95CAC"/>
    <w:rsid w:val="00F96380"/>
    <w:rsid w:val="00F96E9E"/>
    <w:rsid w:val="00F970A7"/>
    <w:rsid w:val="00FA0052"/>
    <w:rsid w:val="00FA022F"/>
    <w:rsid w:val="00FA02EE"/>
    <w:rsid w:val="00FA0C74"/>
    <w:rsid w:val="00FA10FD"/>
    <w:rsid w:val="00FA1302"/>
    <w:rsid w:val="00FA134E"/>
    <w:rsid w:val="00FA13CC"/>
    <w:rsid w:val="00FA147B"/>
    <w:rsid w:val="00FA1991"/>
    <w:rsid w:val="00FA199B"/>
    <w:rsid w:val="00FA2A8D"/>
    <w:rsid w:val="00FA2CEE"/>
    <w:rsid w:val="00FA2FF4"/>
    <w:rsid w:val="00FA33A6"/>
    <w:rsid w:val="00FA3461"/>
    <w:rsid w:val="00FA3A01"/>
    <w:rsid w:val="00FA44EB"/>
    <w:rsid w:val="00FA4817"/>
    <w:rsid w:val="00FA5490"/>
    <w:rsid w:val="00FA5722"/>
    <w:rsid w:val="00FA5C4C"/>
    <w:rsid w:val="00FA5F20"/>
    <w:rsid w:val="00FA614B"/>
    <w:rsid w:val="00FA68BA"/>
    <w:rsid w:val="00FA68C7"/>
    <w:rsid w:val="00FA6C2C"/>
    <w:rsid w:val="00FA6E14"/>
    <w:rsid w:val="00FA6F2D"/>
    <w:rsid w:val="00FA7522"/>
    <w:rsid w:val="00FA7748"/>
    <w:rsid w:val="00FA7B80"/>
    <w:rsid w:val="00FB01BD"/>
    <w:rsid w:val="00FB0202"/>
    <w:rsid w:val="00FB0207"/>
    <w:rsid w:val="00FB06DB"/>
    <w:rsid w:val="00FB0729"/>
    <w:rsid w:val="00FB0824"/>
    <w:rsid w:val="00FB091D"/>
    <w:rsid w:val="00FB0AAF"/>
    <w:rsid w:val="00FB0B18"/>
    <w:rsid w:val="00FB0B66"/>
    <w:rsid w:val="00FB0BBC"/>
    <w:rsid w:val="00FB135E"/>
    <w:rsid w:val="00FB18E7"/>
    <w:rsid w:val="00FB18EA"/>
    <w:rsid w:val="00FB287E"/>
    <w:rsid w:val="00FB2926"/>
    <w:rsid w:val="00FB2ACA"/>
    <w:rsid w:val="00FB3060"/>
    <w:rsid w:val="00FB31DD"/>
    <w:rsid w:val="00FB3398"/>
    <w:rsid w:val="00FB38CA"/>
    <w:rsid w:val="00FB3AA3"/>
    <w:rsid w:val="00FB3B57"/>
    <w:rsid w:val="00FB3C3A"/>
    <w:rsid w:val="00FB3FC0"/>
    <w:rsid w:val="00FB4100"/>
    <w:rsid w:val="00FB4259"/>
    <w:rsid w:val="00FB4664"/>
    <w:rsid w:val="00FB4748"/>
    <w:rsid w:val="00FB47EB"/>
    <w:rsid w:val="00FB565C"/>
    <w:rsid w:val="00FB567C"/>
    <w:rsid w:val="00FB673E"/>
    <w:rsid w:val="00FB6ACA"/>
    <w:rsid w:val="00FB7187"/>
    <w:rsid w:val="00FB753B"/>
    <w:rsid w:val="00FB78BF"/>
    <w:rsid w:val="00FC23C1"/>
    <w:rsid w:val="00FC346E"/>
    <w:rsid w:val="00FC3977"/>
    <w:rsid w:val="00FC3BF6"/>
    <w:rsid w:val="00FC3D57"/>
    <w:rsid w:val="00FC3E35"/>
    <w:rsid w:val="00FC3EB4"/>
    <w:rsid w:val="00FC3F3B"/>
    <w:rsid w:val="00FC419F"/>
    <w:rsid w:val="00FC501D"/>
    <w:rsid w:val="00FC51B8"/>
    <w:rsid w:val="00FC520F"/>
    <w:rsid w:val="00FC5569"/>
    <w:rsid w:val="00FC560F"/>
    <w:rsid w:val="00FC56A9"/>
    <w:rsid w:val="00FC5923"/>
    <w:rsid w:val="00FC5A3F"/>
    <w:rsid w:val="00FC5FD1"/>
    <w:rsid w:val="00FC6711"/>
    <w:rsid w:val="00FC6C2D"/>
    <w:rsid w:val="00FC70D2"/>
    <w:rsid w:val="00FC7578"/>
    <w:rsid w:val="00FC75BC"/>
    <w:rsid w:val="00FC78BE"/>
    <w:rsid w:val="00FC7AA7"/>
    <w:rsid w:val="00FC7E3B"/>
    <w:rsid w:val="00FC7F00"/>
    <w:rsid w:val="00FD05C1"/>
    <w:rsid w:val="00FD0791"/>
    <w:rsid w:val="00FD097D"/>
    <w:rsid w:val="00FD16AB"/>
    <w:rsid w:val="00FD189A"/>
    <w:rsid w:val="00FD1C61"/>
    <w:rsid w:val="00FD1F2E"/>
    <w:rsid w:val="00FD2163"/>
    <w:rsid w:val="00FD27AC"/>
    <w:rsid w:val="00FD2E3A"/>
    <w:rsid w:val="00FD2EDA"/>
    <w:rsid w:val="00FD314C"/>
    <w:rsid w:val="00FD315B"/>
    <w:rsid w:val="00FD3181"/>
    <w:rsid w:val="00FD3564"/>
    <w:rsid w:val="00FD38DC"/>
    <w:rsid w:val="00FD3D02"/>
    <w:rsid w:val="00FD4292"/>
    <w:rsid w:val="00FD4965"/>
    <w:rsid w:val="00FD4BEF"/>
    <w:rsid w:val="00FD55FF"/>
    <w:rsid w:val="00FD5650"/>
    <w:rsid w:val="00FD6382"/>
    <w:rsid w:val="00FD6457"/>
    <w:rsid w:val="00FD6D9F"/>
    <w:rsid w:val="00FD71F8"/>
    <w:rsid w:val="00FD7333"/>
    <w:rsid w:val="00FD7420"/>
    <w:rsid w:val="00FD755E"/>
    <w:rsid w:val="00FD78C3"/>
    <w:rsid w:val="00FD7CD3"/>
    <w:rsid w:val="00FD7F56"/>
    <w:rsid w:val="00FE0218"/>
    <w:rsid w:val="00FE0813"/>
    <w:rsid w:val="00FE0965"/>
    <w:rsid w:val="00FE0A9F"/>
    <w:rsid w:val="00FE2502"/>
    <w:rsid w:val="00FE27F7"/>
    <w:rsid w:val="00FE2954"/>
    <w:rsid w:val="00FE29AE"/>
    <w:rsid w:val="00FE2AE2"/>
    <w:rsid w:val="00FE40B8"/>
    <w:rsid w:val="00FE410C"/>
    <w:rsid w:val="00FE41FD"/>
    <w:rsid w:val="00FE44C5"/>
    <w:rsid w:val="00FE48C6"/>
    <w:rsid w:val="00FE4A06"/>
    <w:rsid w:val="00FE4B86"/>
    <w:rsid w:val="00FE5DDE"/>
    <w:rsid w:val="00FE5EE9"/>
    <w:rsid w:val="00FE6813"/>
    <w:rsid w:val="00FE71C5"/>
    <w:rsid w:val="00FE72E7"/>
    <w:rsid w:val="00FF0B76"/>
    <w:rsid w:val="00FF1021"/>
    <w:rsid w:val="00FF104B"/>
    <w:rsid w:val="00FF11C4"/>
    <w:rsid w:val="00FF141F"/>
    <w:rsid w:val="00FF1F9D"/>
    <w:rsid w:val="00FF2173"/>
    <w:rsid w:val="00FF2580"/>
    <w:rsid w:val="00FF2658"/>
    <w:rsid w:val="00FF2C90"/>
    <w:rsid w:val="00FF301B"/>
    <w:rsid w:val="00FF3A5B"/>
    <w:rsid w:val="00FF3AEC"/>
    <w:rsid w:val="00FF406D"/>
    <w:rsid w:val="00FF431E"/>
    <w:rsid w:val="00FF4AEA"/>
    <w:rsid w:val="00FF4B1E"/>
    <w:rsid w:val="00FF5193"/>
    <w:rsid w:val="00FF5444"/>
    <w:rsid w:val="00FF5CE3"/>
    <w:rsid w:val="00FF5EC6"/>
    <w:rsid w:val="00FF6D79"/>
    <w:rsid w:val="00FF7552"/>
    <w:rsid w:val="00FF7F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F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F75FE2"/>
    <w:pPr>
      <w:keepNext/>
      <w:numPr>
        <w:numId w:val="5"/>
      </w:numPr>
      <w:ind w:right="1296"/>
      <w:outlineLvl w:val="0"/>
    </w:pPr>
    <w:rPr>
      <w:u w:val="single"/>
    </w:rPr>
  </w:style>
  <w:style w:type="paragraph" w:styleId="Heading2">
    <w:name w:val="heading 2"/>
    <w:basedOn w:val="Normal"/>
    <w:next w:val="Normal"/>
    <w:uiPriority w:val="99"/>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paragraph" w:styleId="ListParagraph">
    <w:name w:val="List Paragraph"/>
    <w:basedOn w:val="Normal"/>
    <w:uiPriority w:val="34"/>
    <w:qFormat/>
    <w:locked/>
    <w:rsid w:val="00E576CD"/>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720" w:right="0" w:firstLine="0"/>
      <w:contextualSpacing/>
    </w:pPr>
    <w:rPr>
      <w:rFonts w:ascii="Calibri" w:eastAsiaTheme="minorHAnsi" w:hAnsi="Calibri" w:cs="Calibri"/>
      <w:sz w:val="22"/>
      <w:szCs w:val="22"/>
    </w:rPr>
  </w:style>
  <w:style w:type="character" w:customStyle="1" w:styleId="FootnoteTextChar">
    <w:name w:val="Footnote Text Char"/>
    <w:basedOn w:val="DefaultParagraphFont"/>
    <w:link w:val="FootnoteText"/>
    <w:uiPriority w:val="53"/>
    <w:rsid w:val="00E576CD"/>
  </w:style>
  <w:style w:type="character" w:styleId="CommentReference">
    <w:name w:val="annotation reference"/>
    <w:basedOn w:val="DefaultParagraphFont"/>
    <w:uiPriority w:val="99"/>
    <w:semiHidden/>
    <w:unhideWhenUsed/>
    <w:locked/>
    <w:rsid w:val="00E576CD"/>
    <w:rPr>
      <w:sz w:val="16"/>
      <w:szCs w:val="16"/>
    </w:rPr>
  </w:style>
  <w:style w:type="paragraph" w:styleId="CommentText">
    <w:name w:val="annotation text"/>
    <w:basedOn w:val="Normal"/>
    <w:link w:val="CommentTextChar"/>
    <w:uiPriority w:val="99"/>
    <w:unhideWhenUsed/>
    <w:locked/>
    <w:rsid w:val="00E576CD"/>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40" w:lineRule="auto"/>
      <w:ind w:right="0" w:firstLine="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E576CD"/>
    <w:rPr>
      <w:rFonts w:asciiTheme="minorHAnsi" w:eastAsiaTheme="minorHAnsi" w:hAnsiTheme="minorHAnsi" w:cstheme="minorBidi"/>
      <w:kern w:val="2"/>
      <w:sz w:val="20"/>
      <w:szCs w:val="20"/>
      <w:lang w:eastAsia="en-US"/>
      <w14:ligatures w14:val="standardContextual"/>
    </w:rPr>
  </w:style>
  <w:style w:type="paragraph" w:styleId="NormalWeb">
    <w:name w:val="Normal (Web)"/>
    <w:basedOn w:val="Normal"/>
    <w:uiPriority w:val="99"/>
    <w:unhideWhenUsed/>
    <w:locked/>
    <w:rsid w:val="00875EAF"/>
    <w:pPr>
      <w:tabs>
        <w:tab w:val="clear" w:pos="720"/>
      </w:tabs>
      <w:spacing w:before="120" w:line="312" w:lineRule="auto"/>
      <w:ind w:left="709" w:firstLine="0"/>
      <w:jc w:val="both"/>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locked/>
    <w:rsid w:val="006760F1"/>
    <w:pPr>
      <w:tabs>
        <w:tab w:val="left" w:pos="720"/>
        <w:tab w:val="left" w:pos="1440"/>
        <w:tab w:val="left" w:pos="2160"/>
        <w:tab w:val="left" w:pos="2880"/>
        <w:tab w:val="left" w:pos="3600"/>
        <w:tab w:val="left" w:pos="4320"/>
        <w:tab w:val="left" w:pos="5040"/>
        <w:tab w:val="left" w:pos="5760"/>
        <w:tab w:val="left" w:pos="6480"/>
        <w:tab w:val="left" w:pos="7200"/>
      </w:tabs>
      <w:spacing w:after="0"/>
      <w:ind w:right="130" w:firstLine="720"/>
    </w:pPr>
    <w:rPr>
      <w:rFonts w:ascii="Univers" w:eastAsia="Times New Roman" w:hAnsi="Univers" w:cs="Times New Roman"/>
      <w:b/>
      <w:bCs/>
      <w:kern w:val="0"/>
      <w:lang w:eastAsia="en-AU"/>
      <w14:ligatures w14:val="none"/>
    </w:rPr>
  </w:style>
  <w:style w:type="character" w:customStyle="1" w:styleId="CommentSubjectChar">
    <w:name w:val="Comment Subject Char"/>
    <w:basedOn w:val="CommentTextChar"/>
    <w:link w:val="CommentSubject"/>
    <w:uiPriority w:val="99"/>
    <w:semiHidden/>
    <w:rsid w:val="006760F1"/>
    <w:rPr>
      <w:rFonts w:asciiTheme="minorHAnsi" w:eastAsiaTheme="minorHAnsi" w:hAnsiTheme="minorHAnsi" w:cstheme="minorBidi"/>
      <w:b/>
      <w:bCs/>
      <w:kern w:val="2"/>
      <w:sz w:val="20"/>
      <w:szCs w:val="20"/>
      <w:lang w:eastAsia="en-US"/>
      <w14:ligatures w14:val="standardContextual"/>
    </w:rPr>
  </w:style>
  <w:style w:type="paragraph" w:customStyle="1" w:styleId="NoNorm">
    <w:name w:val="No Norm"/>
    <w:basedOn w:val="Normal"/>
    <w:qFormat/>
    <w:rsid w:val="0046668E"/>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paragraph" w:customStyle="1" w:styleId="Noindentnormal">
    <w:name w:val="No indent normal"/>
    <w:basedOn w:val="NoNorm"/>
    <w:qFormat/>
    <w:rsid w:val="0046668E"/>
    <w:pPr>
      <w:tabs>
        <w:tab w:val="clear" w:pos="2160"/>
        <w:tab w:val="left" w:pos="1418"/>
      </w:tabs>
      <w:ind w:left="1418" w:hanging="709"/>
    </w:pPr>
  </w:style>
  <w:style w:type="paragraph" w:customStyle="1" w:styleId="Indentlista">
    <w:name w:val="Indent list a)"/>
    <w:basedOn w:val="Noindentnormal"/>
    <w:qFormat/>
    <w:rsid w:val="0046668E"/>
    <w:pPr>
      <w:tabs>
        <w:tab w:val="left" w:pos="2268"/>
      </w:tabs>
      <w:spacing w:before="60"/>
      <w:ind w:left="2268" w:hanging="567"/>
    </w:pPr>
  </w:style>
  <w:style w:type="paragraph" w:styleId="Revision">
    <w:name w:val="Revision"/>
    <w:hidden/>
    <w:uiPriority w:val="99"/>
    <w:semiHidden/>
    <w:rsid w:val="00D6093A"/>
  </w:style>
  <w:style w:type="table" w:styleId="TableGrid">
    <w:name w:val="Table Grid"/>
    <w:basedOn w:val="TableNormal"/>
    <w:uiPriority w:val="59"/>
    <w:locked/>
    <w:rsid w:val="00EB6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locked/>
    <w:rsid w:val="004E08FC"/>
    <w:pPr>
      <w:spacing w:line="240" w:lineRule="auto"/>
    </w:pPr>
    <w:rPr>
      <w:sz w:val="20"/>
      <w:szCs w:val="20"/>
    </w:rPr>
  </w:style>
  <w:style w:type="character" w:customStyle="1" w:styleId="EndnoteTextChar">
    <w:name w:val="Endnote Text Char"/>
    <w:basedOn w:val="DefaultParagraphFont"/>
    <w:link w:val="EndnoteText"/>
    <w:uiPriority w:val="99"/>
    <w:semiHidden/>
    <w:rsid w:val="004E08FC"/>
    <w:rPr>
      <w:sz w:val="20"/>
      <w:szCs w:val="20"/>
    </w:rPr>
  </w:style>
  <w:style w:type="character" w:styleId="EndnoteReference">
    <w:name w:val="endnote reference"/>
    <w:basedOn w:val="DefaultParagraphFont"/>
    <w:uiPriority w:val="99"/>
    <w:semiHidden/>
    <w:unhideWhenUsed/>
    <w:locked/>
    <w:rsid w:val="004E08FC"/>
    <w:rPr>
      <w:vertAlign w:val="superscript"/>
    </w:rPr>
  </w:style>
  <w:style w:type="character" w:customStyle="1" w:styleId="cf01">
    <w:name w:val="cf01"/>
    <w:basedOn w:val="DefaultParagraphFont"/>
    <w:rsid w:val="00BC2FEF"/>
    <w:rPr>
      <w:rFonts w:ascii="Segoe UI" w:hAnsi="Segoe UI" w:cs="Segoe UI" w:hint="default"/>
      <w:sz w:val="18"/>
      <w:szCs w:val="18"/>
    </w:rPr>
  </w:style>
  <w:style w:type="paragraph" w:customStyle="1" w:styleId="Body">
    <w:name w:val="Body"/>
    <w:basedOn w:val="Normal"/>
    <w:qFormat/>
    <w:rsid w:val="007A353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7A3534"/>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7A3534"/>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7A3534"/>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7A3534"/>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7A3534"/>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1237">
      <w:bodyDiv w:val="1"/>
      <w:marLeft w:val="0"/>
      <w:marRight w:val="0"/>
      <w:marTop w:val="0"/>
      <w:marBottom w:val="0"/>
      <w:divBdr>
        <w:top w:val="none" w:sz="0" w:space="0" w:color="auto"/>
        <w:left w:val="none" w:sz="0" w:space="0" w:color="auto"/>
        <w:bottom w:val="none" w:sz="0" w:space="0" w:color="auto"/>
        <w:right w:val="none" w:sz="0" w:space="0" w:color="auto"/>
      </w:divBdr>
    </w:div>
    <w:div w:id="347761190">
      <w:bodyDiv w:val="1"/>
      <w:marLeft w:val="0"/>
      <w:marRight w:val="0"/>
      <w:marTop w:val="0"/>
      <w:marBottom w:val="0"/>
      <w:divBdr>
        <w:top w:val="none" w:sz="0" w:space="0" w:color="auto"/>
        <w:left w:val="none" w:sz="0" w:space="0" w:color="auto"/>
        <w:bottom w:val="none" w:sz="0" w:space="0" w:color="auto"/>
        <w:right w:val="none" w:sz="0" w:space="0" w:color="auto"/>
      </w:divBdr>
    </w:div>
    <w:div w:id="424108304">
      <w:bodyDiv w:val="1"/>
      <w:marLeft w:val="0"/>
      <w:marRight w:val="0"/>
      <w:marTop w:val="0"/>
      <w:marBottom w:val="0"/>
      <w:divBdr>
        <w:top w:val="none" w:sz="0" w:space="0" w:color="auto"/>
        <w:left w:val="none" w:sz="0" w:space="0" w:color="auto"/>
        <w:bottom w:val="none" w:sz="0" w:space="0" w:color="auto"/>
        <w:right w:val="none" w:sz="0" w:space="0" w:color="auto"/>
      </w:divBdr>
    </w:div>
    <w:div w:id="708455705">
      <w:bodyDiv w:val="1"/>
      <w:marLeft w:val="0"/>
      <w:marRight w:val="0"/>
      <w:marTop w:val="0"/>
      <w:marBottom w:val="0"/>
      <w:divBdr>
        <w:top w:val="none" w:sz="0" w:space="0" w:color="auto"/>
        <w:left w:val="none" w:sz="0" w:space="0" w:color="auto"/>
        <w:bottom w:val="none" w:sz="0" w:space="0" w:color="auto"/>
        <w:right w:val="none" w:sz="0" w:space="0" w:color="auto"/>
      </w:divBdr>
    </w:div>
    <w:div w:id="737754166">
      <w:bodyDiv w:val="1"/>
      <w:marLeft w:val="0"/>
      <w:marRight w:val="0"/>
      <w:marTop w:val="0"/>
      <w:marBottom w:val="0"/>
      <w:divBdr>
        <w:top w:val="none" w:sz="0" w:space="0" w:color="auto"/>
        <w:left w:val="none" w:sz="0" w:space="0" w:color="auto"/>
        <w:bottom w:val="none" w:sz="0" w:space="0" w:color="auto"/>
        <w:right w:val="none" w:sz="0" w:space="0" w:color="auto"/>
      </w:divBdr>
    </w:div>
    <w:div w:id="752552996">
      <w:bodyDiv w:val="1"/>
      <w:marLeft w:val="0"/>
      <w:marRight w:val="0"/>
      <w:marTop w:val="0"/>
      <w:marBottom w:val="0"/>
      <w:divBdr>
        <w:top w:val="none" w:sz="0" w:space="0" w:color="auto"/>
        <w:left w:val="none" w:sz="0" w:space="0" w:color="auto"/>
        <w:bottom w:val="none" w:sz="0" w:space="0" w:color="auto"/>
        <w:right w:val="none" w:sz="0" w:space="0" w:color="auto"/>
      </w:divBdr>
    </w:div>
    <w:div w:id="931206080">
      <w:bodyDiv w:val="1"/>
      <w:marLeft w:val="0"/>
      <w:marRight w:val="0"/>
      <w:marTop w:val="0"/>
      <w:marBottom w:val="0"/>
      <w:divBdr>
        <w:top w:val="none" w:sz="0" w:space="0" w:color="auto"/>
        <w:left w:val="none" w:sz="0" w:space="0" w:color="auto"/>
        <w:bottom w:val="none" w:sz="0" w:space="0" w:color="auto"/>
        <w:right w:val="none" w:sz="0" w:space="0" w:color="auto"/>
      </w:divBdr>
    </w:div>
    <w:div w:id="1355379982">
      <w:bodyDiv w:val="1"/>
      <w:marLeft w:val="0"/>
      <w:marRight w:val="0"/>
      <w:marTop w:val="0"/>
      <w:marBottom w:val="0"/>
      <w:divBdr>
        <w:top w:val="none" w:sz="0" w:space="0" w:color="auto"/>
        <w:left w:val="none" w:sz="0" w:space="0" w:color="auto"/>
        <w:bottom w:val="none" w:sz="0" w:space="0" w:color="auto"/>
        <w:right w:val="none" w:sz="0" w:space="0" w:color="auto"/>
      </w:divBdr>
    </w:div>
    <w:div w:id="147124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CDE3A780-1F3F-4E21-BC2F-14E750A00F49}"/>
</file>

<file path=customXml/itemProps4.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147</Pages>
  <Words>48759</Words>
  <Characters>277929</Characters>
  <Application>Microsoft Office Word</Application>
  <DocSecurity>0</DocSecurity>
  <Lines>2316</Lines>
  <Paragraphs>652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Matter No S169 of 2023</vt:lpstr>
      <vt:lpstr>    COMMONWEALTH OF AUSTRALIA</vt:lpstr>
      <vt:lpstr>    v</vt:lpstr>
      <vt:lpstr>    SANOFI (FORMERLY SAANOFI-AVENTIS) &amp; ORS</vt:lpstr>
      <vt:lpstr>Matter No S169 of 2023</vt:lpstr>
      <vt:lpstr>    COMMONWEALTH OF AUSTRALIA</vt:lpstr>
      <vt:lpstr>    v</vt:lpstr>
      <vt:lpstr>    SANOFI (FORMERLY SAANOFI-AVENTIS) &amp; ORS</vt:lpstr>
      <vt:lpstr>        Introduction</vt:lpstr>
      <vt:lpstr>        The first ground of appeal in this Court </vt:lpstr>
      <vt:lpstr>        The second ground of appeal in this Court   </vt:lpstr>
      <vt:lpstr>        Appellate review of facts </vt:lpstr>
      <vt:lpstr>        The background in outline  </vt:lpstr>
      <vt:lpstr>        The counter-factual test and the two reasons that the appeal must be dismissed</vt:lpstr>
      <vt:lpstr>        The notice of contention</vt:lpstr>
    </vt:vector>
  </TitlesOfParts>
  <LinksUpToDate>false</LinksUpToDate>
  <CharactersWithSpaces>326036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2024-12-10T01:55:00Z</dcterms:created>
  <dcterms:modified xsi:type="dcterms:W3CDTF">2025-12-04T00:58:00Z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