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E2CC" w14:textId="77777777" w:rsidR="001F4795" w:rsidRPr="00704FF8" w:rsidRDefault="001F4795" w:rsidP="00704FF8">
      <w:pPr>
        <w:pStyle w:val="OrdersTopLine"/>
      </w:pPr>
      <w:r w:rsidRPr="00704FF8">
        <w:t>HIGH COURT OF AUSTRALIA</w:t>
      </w:r>
    </w:p>
    <w:p w14:paraId="5C4395C2" w14:textId="77777777" w:rsidR="001F4795" w:rsidRPr="00704FF8" w:rsidRDefault="001F4795" w:rsidP="00704FF8">
      <w:pPr>
        <w:pStyle w:val="OrderCentre"/>
      </w:pPr>
    </w:p>
    <w:p w14:paraId="27D511D0" w14:textId="77777777" w:rsidR="001F4795" w:rsidRPr="00C46004" w:rsidRDefault="001F4795" w:rsidP="00704FF8">
      <w:pPr>
        <w:pStyle w:val="OrderCentre"/>
        <w:rPr>
          <w:spacing w:val="-4"/>
          <w:sz w:val="24"/>
          <w:szCs w:val="24"/>
        </w:rPr>
      </w:pPr>
      <w:r w:rsidRPr="00C46004">
        <w:rPr>
          <w:spacing w:val="-4"/>
          <w:sz w:val="24"/>
          <w:szCs w:val="24"/>
        </w:rPr>
        <w:t>GAGELER CJ,</w:t>
      </w:r>
    </w:p>
    <w:p w14:paraId="34192657" w14:textId="77777777" w:rsidR="001F4795" w:rsidRPr="00704FF8" w:rsidRDefault="001F4795"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3E09FE9" w14:textId="77777777" w:rsidR="001F4795" w:rsidRPr="00427F3A" w:rsidRDefault="001F4795" w:rsidP="00EE5374">
      <w:pPr>
        <w:pStyle w:val="Centre"/>
        <w:rPr>
          <w:lang w:val="en-AU"/>
        </w:rPr>
      </w:pPr>
    </w:p>
    <w:p w14:paraId="1B63925A" w14:textId="77777777" w:rsidR="001F4795" w:rsidRPr="00704FF8" w:rsidRDefault="001F4795" w:rsidP="00704FF8">
      <w:pPr>
        <w:pStyle w:val="OrdersCenteredBorder"/>
      </w:pPr>
    </w:p>
    <w:p w14:paraId="55F23EF7" w14:textId="77777777" w:rsidR="001F4795" w:rsidRPr="00704FF8" w:rsidRDefault="001F4795" w:rsidP="0032341F">
      <w:pPr>
        <w:pStyle w:val="OrdersBodyHeading"/>
      </w:pPr>
    </w:p>
    <w:p w14:paraId="49667361" w14:textId="77777777" w:rsidR="001F4795" w:rsidRDefault="001F4795" w:rsidP="009362E8">
      <w:pPr>
        <w:pStyle w:val="OrdersPartyName"/>
        <w:ind w:right="-1"/>
      </w:pPr>
      <w:r w:rsidRPr="00E209F7">
        <w:t xml:space="preserve">MINISTER FOR IMMIGRATION AND </w:t>
      </w:r>
    </w:p>
    <w:p w14:paraId="7A652E6B" w14:textId="77777777" w:rsidR="001F4795" w:rsidRPr="0032341F" w:rsidRDefault="001F4795" w:rsidP="009362E8">
      <w:pPr>
        <w:pStyle w:val="OrdersPartyName"/>
        <w:ind w:right="-1"/>
      </w:pPr>
      <w:r w:rsidRPr="00E209F7">
        <w:t>MULTICULTURAL AFFAIRS</w:t>
      </w:r>
      <w:r>
        <w:t xml:space="preserve"> &amp; ORS</w:t>
      </w:r>
      <w:r w:rsidRPr="0032341F">
        <w:tab/>
        <w:t>APPELLANT</w:t>
      </w:r>
      <w:r>
        <w:t>S</w:t>
      </w:r>
    </w:p>
    <w:p w14:paraId="16B2CB70" w14:textId="77777777" w:rsidR="001F4795" w:rsidRPr="0032341F" w:rsidRDefault="001F4795" w:rsidP="009362E8">
      <w:pPr>
        <w:pStyle w:val="OrdersPartyName"/>
        <w:ind w:right="-1"/>
      </w:pPr>
    </w:p>
    <w:p w14:paraId="6433583C" w14:textId="77777777" w:rsidR="001F4795" w:rsidRPr="0032341F" w:rsidRDefault="001F4795" w:rsidP="009362E8">
      <w:pPr>
        <w:pStyle w:val="OrdersPartyName"/>
        <w:ind w:right="-1"/>
      </w:pPr>
      <w:r w:rsidRPr="0032341F">
        <w:t>AND</w:t>
      </w:r>
    </w:p>
    <w:p w14:paraId="20CCD9C1" w14:textId="77777777" w:rsidR="001F4795" w:rsidRPr="0032341F" w:rsidRDefault="001F4795" w:rsidP="009362E8">
      <w:pPr>
        <w:pStyle w:val="OrdersPartyName"/>
        <w:ind w:right="-1"/>
      </w:pPr>
    </w:p>
    <w:p w14:paraId="6DCA806D" w14:textId="77777777" w:rsidR="001F4795" w:rsidRPr="0032341F" w:rsidRDefault="001F4795" w:rsidP="009362E8">
      <w:pPr>
        <w:pStyle w:val="OrdersPartyName"/>
        <w:ind w:right="-1"/>
      </w:pPr>
      <w:r w:rsidRPr="00E209F7">
        <w:t>MZAPC</w:t>
      </w:r>
      <w:r w:rsidRPr="0032341F">
        <w:tab/>
        <w:t>RESPONDENT</w:t>
      </w:r>
    </w:p>
    <w:p w14:paraId="0CADC219" w14:textId="77777777" w:rsidR="001F4795" w:rsidRPr="00427F3A" w:rsidRDefault="001F4795" w:rsidP="00AF0A5E">
      <w:pPr>
        <w:pStyle w:val="BodyHeading"/>
      </w:pPr>
    </w:p>
    <w:p w14:paraId="00FBED29" w14:textId="77777777" w:rsidR="001F4795" w:rsidRPr="00427F3A" w:rsidRDefault="001F4795" w:rsidP="00BE0A6C">
      <w:pPr>
        <w:pStyle w:val="BodyHeading"/>
      </w:pPr>
    </w:p>
    <w:p w14:paraId="5BC5FA96" w14:textId="77777777" w:rsidR="001F4795" w:rsidRPr="00427F3A" w:rsidRDefault="001F4795" w:rsidP="00EE5374">
      <w:pPr>
        <w:pStyle w:val="CentreItalics"/>
      </w:pPr>
      <w:r w:rsidRPr="0092594B">
        <w:t>Minister for Immigration and Multicultural Affairs v MZAPC</w:t>
      </w:r>
    </w:p>
    <w:p w14:paraId="552B2B47" w14:textId="77777777" w:rsidR="001F4795" w:rsidRPr="00427F3A" w:rsidRDefault="001F4795" w:rsidP="00E90E4F">
      <w:pPr>
        <w:pStyle w:val="OrdersCentre"/>
      </w:pPr>
      <w:r>
        <w:t>[2025</w:t>
      </w:r>
      <w:r w:rsidRPr="00427F3A">
        <w:t xml:space="preserve">] HCA </w:t>
      </w:r>
      <w:r>
        <w:t>5</w:t>
      </w:r>
    </w:p>
    <w:p w14:paraId="74281F7A" w14:textId="77777777" w:rsidR="001F4795" w:rsidRDefault="001F4795" w:rsidP="00E90E4F">
      <w:pPr>
        <w:pStyle w:val="OrdersCentreItalics"/>
      </w:pPr>
      <w:r>
        <w:t>Date of Hearing: 13 August &amp; 13 November 2024</w:t>
      </w:r>
    </w:p>
    <w:p w14:paraId="424C7F9C" w14:textId="77777777" w:rsidR="001F4795" w:rsidRPr="00427F3A" w:rsidRDefault="001F4795" w:rsidP="00E90E4F">
      <w:pPr>
        <w:pStyle w:val="OrdersCentreItalics"/>
      </w:pPr>
      <w:r>
        <w:t>Date of Judgment: 5 March 2025</w:t>
      </w:r>
    </w:p>
    <w:p w14:paraId="0BC859EB" w14:textId="77777777" w:rsidR="001F4795" w:rsidRDefault="001F4795" w:rsidP="00E90E4F">
      <w:pPr>
        <w:pStyle w:val="OrdersCentre"/>
      </w:pPr>
      <w:r w:rsidRPr="0092594B">
        <w:t>P21/2024</w:t>
      </w:r>
    </w:p>
    <w:p w14:paraId="202E4279" w14:textId="77777777" w:rsidR="001F4795" w:rsidRPr="00427F3A" w:rsidRDefault="001F4795" w:rsidP="00E90E4F">
      <w:pPr>
        <w:pStyle w:val="OrdersCentre"/>
      </w:pPr>
    </w:p>
    <w:p w14:paraId="29B8D4FB" w14:textId="77777777" w:rsidR="001F4795" w:rsidRPr="00BE0A6C" w:rsidRDefault="001F4795" w:rsidP="00E90E4F">
      <w:pPr>
        <w:pStyle w:val="OrderCentreBold"/>
      </w:pPr>
      <w:r w:rsidRPr="00BE0A6C">
        <w:t>ORDER</w:t>
      </w:r>
    </w:p>
    <w:p w14:paraId="32CF5D6D" w14:textId="77777777" w:rsidR="001F4795" w:rsidRPr="00427F3A" w:rsidRDefault="001F4795" w:rsidP="00736C52">
      <w:pPr>
        <w:pStyle w:val="Centre"/>
        <w:rPr>
          <w:lang w:val="en-AU"/>
        </w:rPr>
      </w:pPr>
    </w:p>
    <w:p w14:paraId="583FF9EF" w14:textId="77777777" w:rsidR="001F4795" w:rsidRPr="008E1013" w:rsidRDefault="001F4795" w:rsidP="006C767E">
      <w:pPr>
        <w:pStyle w:val="OrdersText"/>
      </w:pPr>
      <w:r>
        <w:t>Appeal dismissed with costs.</w:t>
      </w:r>
    </w:p>
    <w:p w14:paraId="29642FC6" w14:textId="77777777" w:rsidR="001F4795" w:rsidRDefault="001F4795" w:rsidP="00EE5374">
      <w:pPr>
        <w:pStyle w:val="Body"/>
      </w:pPr>
    </w:p>
    <w:p w14:paraId="038992A1" w14:textId="77777777" w:rsidR="001F4795" w:rsidRPr="00427F3A" w:rsidRDefault="001F4795" w:rsidP="00EE5374">
      <w:pPr>
        <w:pStyle w:val="Body"/>
      </w:pPr>
    </w:p>
    <w:p w14:paraId="4FCAD9D8" w14:textId="77777777" w:rsidR="001F4795" w:rsidRPr="00427F3A" w:rsidRDefault="001F4795" w:rsidP="0092594B">
      <w:pPr>
        <w:pStyle w:val="OrdersBody"/>
      </w:pPr>
      <w:r w:rsidRPr="00427F3A">
        <w:t xml:space="preserve">On appeal from the </w:t>
      </w:r>
      <w:r>
        <w:t>Federal Court of Australia</w:t>
      </w:r>
    </w:p>
    <w:p w14:paraId="34140584" w14:textId="77777777" w:rsidR="001F4795" w:rsidRDefault="001F4795" w:rsidP="00EE5374">
      <w:pPr>
        <w:pStyle w:val="Body"/>
      </w:pPr>
    </w:p>
    <w:p w14:paraId="7F246ED1" w14:textId="77777777" w:rsidR="001F4795" w:rsidRPr="00427F3A" w:rsidRDefault="001F4795" w:rsidP="00EE5374">
      <w:pPr>
        <w:pStyle w:val="Body"/>
      </w:pPr>
    </w:p>
    <w:p w14:paraId="33BC4E46" w14:textId="77777777" w:rsidR="001F4795" w:rsidRPr="00427F3A" w:rsidRDefault="001F4795" w:rsidP="00E90E4F">
      <w:pPr>
        <w:pStyle w:val="OrdersBodyHeading"/>
      </w:pPr>
      <w:r w:rsidRPr="00427F3A">
        <w:t>Representation</w:t>
      </w:r>
    </w:p>
    <w:p w14:paraId="5A13A121" w14:textId="77777777" w:rsidR="001F4795" w:rsidRDefault="001F4795" w:rsidP="00EE5374">
      <w:pPr>
        <w:pStyle w:val="Body"/>
      </w:pPr>
    </w:p>
    <w:p w14:paraId="3E1956B1" w14:textId="77777777" w:rsidR="001F4795" w:rsidRPr="0092594B" w:rsidRDefault="001F4795" w:rsidP="00E90E4F">
      <w:pPr>
        <w:pStyle w:val="OrdersBody"/>
      </w:pPr>
      <w:r w:rsidRPr="0092594B">
        <w:t xml:space="preserve">P D Herzfeld SC with J G </w:t>
      </w:r>
      <w:proofErr w:type="spellStart"/>
      <w:r w:rsidRPr="0092594B">
        <w:t>Wherrett</w:t>
      </w:r>
      <w:proofErr w:type="spellEnd"/>
      <w:r w:rsidRPr="0092594B">
        <w:t xml:space="preserve"> for the appellants and on behalf of the Attorney-General of the Commonwealth, intervening (instructed by Australian Government Solicitor)</w:t>
      </w:r>
    </w:p>
    <w:p w14:paraId="6D1F86C2" w14:textId="77777777" w:rsidR="001F4795" w:rsidRPr="0092594B" w:rsidRDefault="001F4795" w:rsidP="001B3C97">
      <w:pPr>
        <w:pStyle w:val="Body"/>
      </w:pPr>
    </w:p>
    <w:p w14:paraId="6D81C519" w14:textId="77777777" w:rsidR="001F4795" w:rsidRPr="0092594B" w:rsidRDefault="001F4795" w:rsidP="00E90E4F">
      <w:pPr>
        <w:pStyle w:val="OrdersBody"/>
      </w:pPr>
      <w:r w:rsidRPr="0092594B">
        <w:t xml:space="preserve">C L </w:t>
      </w:r>
      <w:proofErr w:type="spellStart"/>
      <w:r w:rsidRPr="0092594B">
        <w:t>Lenehan</w:t>
      </w:r>
      <w:proofErr w:type="spellEnd"/>
      <w:r w:rsidRPr="0092594B">
        <w:t xml:space="preserve"> SC with A F L </w:t>
      </w:r>
      <w:proofErr w:type="spellStart"/>
      <w:r w:rsidRPr="0092594B">
        <w:t>Krohn</w:t>
      </w:r>
      <w:proofErr w:type="spellEnd"/>
      <w:r w:rsidRPr="0092594B">
        <w:t>, C J Tran and A R Sapienza for the respondent (instructed by Pinnacle Lawyers)</w:t>
      </w:r>
    </w:p>
    <w:p w14:paraId="26733D68" w14:textId="77777777" w:rsidR="001F4795" w:rsidRDefault="001F4795" w:rsidP="00A01277">
      <w:pPr>
        <w:pStyle w:val="Body"/>
      </w:pPr>
    </w:p>
    <w:p w14:paraId="2E0772DC" w14:textId="77777777" w:rsidR="001F4795" w:rsidRDefault="001F4795" w:rsidP="00EE5374">
      <w:pPr>
        <w:pStyle w:val="Body"/>
      </w:pPr>
    </w:p>
    <w:p w14:paraId="6ECE1E9C" w14:textId="77777777" w:rsidR="001F4795" w:rsidRPr="00427F3A" w:rsidRDefault="001F4795" w:rsidP="00EE5374">
      <w:pPr>
        <w:pStyle w:val="Body"/>
      </w:pPr>
    </w:p>
    <w:p w14:paraId="74794BD1" w14:textId="77777777" w:rsidR="001F4795" w:rsidRPr="00427F3A" w:rsidRDefault="001F4795" w:rsidP="00F9713B">
      <w:pPr>
        <w:pStyle w:val="Notice"/>
        <w:rPr>
          <w:lang w:val="en-AU"/>
        </w:rPr>
      </w:pPr>
      <w:r w:rsidRPr="00427F3A">
        <w:rPr>
          <w:lang w:val="en-AU"/>
        </w:rPr>
        <w:t>Notice:  This copy of the Court's Reasons for Judgment is subject to formal revision prior to publication in the Commonwealth Law Reports.</w:t>
      </w:r>
    </w:p>
    <w:p w14:paraId="6B97295A" w14:textId="7025307E" w:rsidR="001F4795" w:rsidRDefault="001F47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C75C335" w14:textId="77777777" w:rsidR="001F4795" w:rsidRDefault="001F47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F4795" w:rsidSect="001F479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CAE5C09" w14:textId="77777777" w:rsidR="001F4795" w:rsidRDefault="001F4795" w:rsidP="001649CA">
      <w:pPr>
        <w:pStyle w:val="CatchwordsBold"/>
      </w:pPr>
      <w:r>
        <w:lastRenderedPageBreak/>
        <w:t>CATCHWORDS</w:t>
      </w:r>
    </w:p>
    <w:p w14:paraId="580DA4BA" w14:textId="77777777" w:rsidR="001F4795" w:rsidRDefault="001F4795" w:rsidP="001246EC">
      <w:pPr>
        <w:pStyle w:val="CatchwordsBold"/>
      </w:pPr>
    </w:p>
    <w:p w14:paraId="1E755D26" w14:textId="77777777" w:rsidR="001F4795" w:rsidRDefault="001F4795" w:rsidP="001246EC">
      <w:pPr>
        <w:pStyle w:val="CatchwordsBold"/>
      </w:pPr>
      <w:r w:rsidRPr="00B1619C">
        <w:t xml:space="preserve">Minister </w:t>
      </w:r>
      <w:r>
        <w:t>f</w:t>
      </w:r>
      <w:r w:rsidRPr="00B1619C">
        <w:t xml:space="preserve">or Immigration </w:t>
      </w:r>
      <w:r>
        <w:t>a</w:t>
      </w:r>
      <w:r w:rsidRPr="00B1619C">
        <w:t xml:space="preserve">nd Multicultural Affairs </w:t>
      </w:r>
      <w:r>
        <w:t>v</w:t>
      </w:r>
      <w:r w:rsidRPr="00B1619C">
        <w:t xml:space="preserve"> </w:t>
      </w:r>
      <w:r>
        <w:t>MZAPC</w:t>
      </w:r>
    </w:p>
    <w:p w14:paraId="17832BA9" w14:textId="77777777" w:rsidR="001F4795" w:rsidRDefault="001F4795" w:rsidP="00D825B8">
      <w:pPr>
        <w:pStyle w:val="CatchwordsText"/>
        <w:rPr>
          <w:i/>
          <w:iCs/>
        </w:rPr>
      </w:pPr>
    </w:p>
    <w:p w14:paraId="1E2EB65B" w14:textId="77777777" w:rsidR="001F4795" w:rsidRDefault="001F4795" w:rsidP="002A7655">
      <w:pPr>
        <w:pStyle w:val="CatchwordsText"/>
      </w:pPr>
      <w:r>
        <w:t xml:space="preserve">Immigration – Unlawful non-citizens – Where proceeding for declaration that departmental officer exceeded executive power of Commonwealth – Where departmental officer declined to refer to Minister request for exercise of power under s 195A of </w:t>
      </w:r>
      <w:r w:rsidRPr="00F31443">
        <w:rPr>
          <w:i/>
          <w:iCs/>
        </w:rPr>
        <w:t>Migration Act 1958</w:t>
      </w:r>
      <w:r>
        <w:t xml:space="preserve"> (</w:t>
      </w:r>
      <w:proofErr w:type="spellStart"/>
      <w:r>
        <w:t>Cth</w:t>
      </w:r>
      <w:proofErr w:type="spellEnd"/>
      <w:r>
        <w:t xml:space="preserve">) – Where s 198(6) of </w:t>
      </w:r>
      <w:r>
        <w:rPr>
          <w:i/>
          <w:iCs/>
        </w:rPr>
        <w:t>Migration Act</w:t>
      </w:r>
      <w:r>
        <w:t xml:space="preserve"> imposed duty on officers to remove unlawful non-citizen as soon as reasonably practicable – Where proceeding did not challenge valid application of s 198(6) to unlawful non-citizen – Whether Federal Court could make interlocutory order restraining officers from removing unlawful non-citizen notwithstanding duty imposed by s 198(6) – Meaning of "reasonably practicable" – Relevance of </w:t>
      </w:r>
      <w:r w:rsidRPr="00BC20D3">
        <w:rPr>
          <w:i/>
          <w:iCs/>
        </w:rPr>
        <w:t xml:space="preserve">Tait v The Queen </w:t>
      </w:r>
      <w:r w:rsidRPr="00BC20D3">
        <w:t>(1962) 108 CLR 620</w:t>
      </w:r>
      <w:r>
        <w:t xml:space="preserve">. </w:t>
      </w:r>
    </w:p>
    <w:p w14:paraId="0116913C" w14:textId="77777777" w:rsidR="001F4795" w:rsidRDefault="001F4795" w:rsidP="002A7655">
      <w:pPr>
        <w:pStyle w:val="CatchwordsText"/>
      </w:pPr>
    </w:p>
    <w:p w14:paraId="59CE6BE9" w14:textId="77777777" w:rsidR="001F4795" w:rsidRDefault="001F4795" w:rsidP="00981E75">
      <w:pPr>
        <w:pStyle w:val="CatchwordsText"/>
      </w:pPr>
      <w:r>
        <w:t xml:space="preserve">Words and phrases – "balance of convenience", </w:t>
      </w:r>
      <w:r w:rsidRPr="00F15EBE">
        <w:t>"effective exercise of jurisdiction", "executive power", "incidental power"</w:t>
      </w:r>
      <w:r>
        <w:t xml:space="preserve">, </w:t>
      </w:r>
      <w:r w:rsidRPr="00F15EBE">
        <w:t xml:space="preserve">"integrity of court processes", "interlocutory injunction", </w:t>
      </w:r>
      <w:r>
        <w:t xml:space="preserve">"interpretative accommodation", "liberty to consider", </w:t>
      </w:r>
      <w:r w:rsidRPr="00F15EBE">
        <w:t xml:space="preserve">"non-compellable power", "personal power", "preserve subject matter", "preserve utility of final relief", </w:t>
      </w:r>
      <w:r>
        <w:t xml:space="preserve">"prima facie case", "principle of legality", "procedural decision", </w:t>
      </w:r>
      <w:r w:rsidRPr="00F15EBE">
        <w:t>"reasonably practicable", "remov</w:t>
      </w:r>
      <w:r>
        <w:t>e</w:t>
      </w:r>
      <w:r w:rsidRPr="00F15EBE">
        <w:t xml:space="preserve"> unlawful non</w:t>
      </w:r>
      <w:r>
        <w:noBreakHyphen/>
      </w:r>
      <w:r w:rsidRPr="00F15EBE">
        <w:t>citizen", "statutory duty", "statutory power"</w:t>
      </w:r>
      <w:r>
        <w:t xml:space="preserve">, "statutory process". </w:t>
      </w:r>
    </w:p>
    <w:p w14:paraId="5F0E9D90" w14:textId="77777777" w:rsidR="001F4795" w:rsidRDefault="001F4795" w:rsidP="002A7655">
      <w:pPr>
        <w:pStyle w:val="CatchwordsText"/>
      </w:pPr>
    </w:p>
    <w:p w14:paraId="4EBF9366" w14:textId="77777777" w:rsidR="001F4795" w:rsidRDefault="001F4795" w:rsidP="003719B5">
      <w:pPr>
        <w:pStyle w:val="CatchwordsText"/>
      </w:pPr>
      <w:r>
        <w:rPr>
          <w:i/>
          <w:iCs/>
        </w:rPr>
        <w:t xml:space="preserve">Migration Act 1958 </w:t>
      </w:r>
      <w:r>
        <w:t>(</w:t>
      </w:r>
      <w:proofErr w:type="spellStart"/>
      <w:r>
        <w:t>Cth</w:t>
      </w:r>
      <w:proofErr w:type="spellEnd"/>
      <w:r>
        <w:t>), ss 195A, 198(6).</w:t>
      </w:r>
    </w:p>
    <w:p w14:paraId="5DC24D7B" w14:textId="02233D55" w:rsidR="001F4795" w:rsidRDefault="001F4795" w:rsidP="001F47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CF48A99" w14:textId="4CCE28A1" w:rsidR="001F4795" w:rsidRDefault="001F47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BF9828E" w14:textId="4E1241CD" w:rsidR="001F4795" w:rsidRDefault="001F479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D732280" w14:textId="77777777" w:rsidR="001F4795" w:rsidRDefault="001F4795" w:rsidP="00191C99">
      <w:pPr>
        <w:pStyle w:val="FixListStyle"/>
        <w:tabs>
          <w:tab w:val="clear" w:pos="720"/>
          <w:tab w:val="left" w:pos="0"/>
        </w:tabs>
        <w:spacing w:after="260" w:line="280" w:lineRule="exact"/>
        <w:ind w:right="0"/>
        <w:jc w:val="both"/>
        <w:rPr>
          <w:rFonts w:ascii="Times New Roman" w:hAnsi="Times New Roman"/>
        </w:rPr>
        <w:sectPr w:rsidR="001F4795" w:rsidSect="001F4795">
          <w:pgSz w:w="11907" w:h="16839" w:code="9"/>
          <w:pgMar w:top="1440" w:right="1701" w:bottom="1984" w:left="1701" w:header="720" w:footer="720" w:gutter="0"/>
          <w:pgNumType w:start="1"/>
          <w:cols w:space="720"/>
          <w:titlePg/>
          <w:docGrid w:linePitch="354"/>
        </w:sectPr>
      </w:pPr>
    </w:p>
    <w:p w14:paraId="0D96695E" w14:textId="3A10D44C" w:rsidR="00936E15" w:rsidRPr="00191C99" w:rsidRDefault="00191C99" w:rsidP="00191C99">
      <w:pPr>
        <w:pStyle w:val="FixListStyle"/>
        <w:tabs>
          <w:tab w:val="clear" w:pos="720"/>
          <w:tab w:val="left" w:pos="0"/>
        </w:tabs>
        <w:spacing w:after="260" w:line="280" w:lineRule="exact"/>
        <w:ind w:right="0"/>
        <w:jc w:val="both"/>
        <w:rPr>
          <w:rFonts w:ascii="Times New Roman" w:hAnsi="Times New Roman"/>
        </w:rPr>
      </w:pPr>
      <w:r w:rsidRPr="00191C99">
        <w:rPr>
          <w:rFonts w:ascii="Times New Roman" w:hAnsi="Times New Roman"/>
        </w:rPr>
        <w:lastRenderedPageBreak/>
        <w:t xml:space="preserve">GAGELER CJ, GORDON, GLEESON AND JAGOT JJ.   </w:t>
      </w:r>
      <w:r w:rsidR="00DF61C0" w:rsidRPr="00191C99">
        <w:rPr>
          <w:rFonts w:ascii="Times New Roman" w:hAnsi="Times New Roman"/>
        </w:rPr>
        <w:t>Section 19</w:t>
      </w:r>
      <w:r w:rsidR="00826FFE" w:rsidRPr="00191C99">
        <w:rPr>
          <w:rFonts w:ascii="Times New Roman" w:hAnsi="Times New Roman"/>
        </w:rPr>
        <w:t>8</w:t>
      </w:r>
      <w:r w:rsidR="00C603AF" w:rsidRPr="00191C99">
        <w:rPr>
          <w:rFonts w:ascii="Times New Roman" w:hAnsi="Times New Roman"/>
        </w:rPr>
        <w:t xml:space="preserve">(6) of the </w:t>
      </w:r>
      <w:r w:rsidR="00C603AF" w:rsidRPr="00191C99">
        <w:rPr>
          <w:rFonts w:ascii="Times New Roman" w:hAnsi="Times New Roman"/>
          <w:i/>
          <w:iCs/>
        </w:rPr>
        <w:t>Migration Act 1958</w:t>
      </w:r>
      <w:r w:rsidR="00C603AF" w:rsidRPr="00191C99">
        <w:rPr>
          <w:rFonts w:ascii="Times New Roman" w:hAnsi="Times New Roman"/>
        </w:rPr>
        <w:t> (</w:t>
      </w:r>
      <w:proofErr w:type="spellStart"/>
      <w:r w:rsidR="00C603AF" w:rsidRPr="00191C99">
        <w:rPr>
          <w:rFonts w:ascii="Times New Roman" w:hAnsi="Times New Roman"/>
        </w:rPr>
        <w:t>Cth</w:t>
      </w:r>
      <w:proofErr w:type="spellEnd"/>
      <w:r w:rsidR="00C603AF" w:rsidRPr="00191C99">
        <w:rPr>
          <w:rFonts w:ascii="Times New Roman" w:hAnsi="Times New Roman"/>
        </w:rPr>
        <w:t>) confers a power and imposes a duty on an officer to remove</w:t>
      </w:r>
      <w:r w:rsidR="009A0407" w:rsidRPr="00191C99">
        <w:rPr>
          <w:rFonts w:ascii="Times New Roman" w:hAnsi="Times New Roman"/>
        </w:rPr>
        <w:t xml:space="preserve"> </w:t>
      </w:r>
      <w:r w:rsidR="008B04C8" w:rsidRPr="00191C99">
        <w:rPr>
          <w:rFonts w:ascii="Times New Roman" w:hAnsi="Times New Roman"/>
        </w:rPr>
        <w:t xml:space="preserve">from Australia </w:t>
      </w:r>
      <w:r w:rsidR="005962DD" w:rsidRPr="00191C99">
        <w:rPr>
          <w:rFonts w:ascii="Times New Roman" w:hAnsi="Times New Roman"/>
        </w:rPr>
        <w:t>"</w:t>
      </w:r>
      <w:r w:rsidR="00C603AF" w:rsidRPr="00191C99">
        <w:rPr>
          <w:rFonts w:ascii="Times New Roman" w:hAnsi="Times New Roman"/>
        </w:rPr>
        <w:t>as soon as reasonably practicable</w:t>
      </w:r>
      <w:r w:rsidR="005962DD" w:rsidRPr="00191C99">
        <w:rPr>
          <w:rFonts w:ascii="Times New Roman" w:hAnsi="Times New Roman"/>
        </w:rPr>
        <w:t xml:space="preserve">" </w:t>
      </w:r>
      <w:r w:rsidR="009A0407" w:rsidRPr="00191C99">
        <w:rPr>
          <w:rFonts w:ascii="Times New Roman" w:hAnsi="Times New Roman"/>
        </w:rPr>
        <w:t xml:space="preserve">an </w:t>
      </w:r>
      <w:r w:rsidR="00857489" w:rsidRPr="00191C99">
        <w:rPr>
          <w:rFonts w:ascii="Times New Roman" w:hAnsi="Times New Roman"/>
        </w:rPr>
        <w:t xml:space="preserve">unlawful non-citizen </w:t>
      </w:r>
      <w:r w:rsidR="003F456E" w:rsidRPr="00191C99">
        <w:rPr>
          <w:rFonts w:ascii="Times New Roman" w:hAnsi="Times New Roman"/>
        </w:rPr>
        <w:t xml:space="preserve">who is </w:t>
      </w:r>
      <w:r w:rsidR="00857489" w:rsidRPr="00191C99">
        <w:rPr>
          <w:rFonts w:ascii="Times New Roman" w:hAnsi="Times New Roman"/>
        </w:rPr>
        <w:t xml:space="preserve">in immigration detention </w:t>
      </w:r>
      <w:r w:rsidR="003F456E" w:rsidRPr="00191C99">
        <w:rPr>
          <w:rFonts w:ascii="Times New Roman" w:hAnsi="Times New Roman"/>
        </w:rPr>
        <w:t xml:space="preserve">and </w:t>
      </w:r>
      <w:r w:rsidR="001A7070" w:rsidRPr="00191C99">
        <w:rPr>
          <w:rFonts w:ascii="Times New Roman" w:hAnsi="Times New Roman"/>
        </w:rPr>
        <w:t xml:space="preserve">whose application </w:t>
      </w:r>
      <w:r w:rsidR="00417EB2" w:rsidRPr="00191C99">
        <w:rPr>
          <w:rFonts w:ascii="Times New Roman" w:hAnsi="Times New Roman"/>
        </w:rPr>
        <w:t xml:space="preserve">for a substantive visa has been </w:t>
      </w:r>
      <w:r w:rsidR="00595646" w:rsidRPr="00191C99">
        <w:rPr>
          <w:rFonts w:ascii="Times New Roman" w:hAnsi="Times New Roman"/>
        </w:rPr>
        <w:t xml:space="preserve">refused and </w:t>
      </w:r>
      <w:r w:rsidR="00417EB2" w:rsidRPr="00191C99">
        <w:rPr>
          <w:rFonts w:ascii="Times New Roman" w:hAnsi="Times New Roman"/>
        </w:rPr>
        <w:t xml:space="preserve">finally </w:t>
      </w:r>
      <w:r w:rsidR="00595646" w:rsidRPr="00191C99">
        <w:rPr>
          <w:rFonts w:ascii="Times New Roman" w:hAnsi="Times New Roman"/>
        </w:rPr>
        <w:t xml:space="preserve">determined. </w:t>
      </w:r>
    </w:p>
    <w:p w14:paraId="22599F51" w14:textId="3CE5DE4D" w:rsidR="0031136E" w:rsidRPr="00191C99" w:rsidRDefault="00936E15"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8F0143" w:rsidRPr="00191C99">
        <w:rPr>
          <w:rFonts w:ascii="Times New Roman" w:hAnsi="Times New Roman"/>
        </w:rPr>
        <w:t xml:space="preserve">Section 195A </w:t>
      </w:r>
      <w:r w:rsidRPr="00191C99">
        <w:rPr>
          <w:rFonts w:ascii="Times New Roman" w:hAnsi="Times New Roman"/>
        </w:rPr>
        <w:t xml:space="preserve">of the </w:t>
      </w:r>
      <w:r w:rsidRPr="00191C99">
        <w:rPr>
          <w:rFonts w:ascii="Times New Roman" w:hAnsi="Times New Roman"/>
          <w:i/>
          <w:iCs/>
        </w:rPr>
        <w:t xml:space="preserve">Migration Act </w:t>
      </w:r>
      <w:r w:rsidR="002920B6" w:rsidRPr="00191C99">
        <w:rPr>
          <w:rFonts w:ascii="Times New Roman" w:hAnsi="Times New Roman"/>
        </w:rPr>
        <w:t xml:space="preserve">confers a </w:t>
      </w:r>
      <w:r w:rsidR="00AA29BF" w:rsidRPr="00191C99">
        <w:rPr>
          <w:rFonts w:ascii="Times New Roman" w:hAnsi="Times New Roman"/>
        </w:rPr>
        <w:t xml:space="preserve">personal and </w:t>
      </w:r>
      <w:r w:rsidR="002920B6" w:rsidRPr="00191C99">
        <w:rPr>
          <w:rFonts w:ascii="Times New Roman" w:hAnsi="Times New Roman"/>
        </w:rPr>
        <w:t>non-compellable</w:t>
      </w:r>
      <w:r w:rsidR="00FF4033" w:rsidRPr="00191C99">
        <w:rPr>
          <w:rFonts w:ascii="Times New Roman" w:hAnsi="Times New Roman"/>
        </w:rPr>
        <w:t xml:space="preserve"> </w:t>
      </w:r>
      <w:r w:rsidR="002920B6" w:rsidRPr="00191C99">
        <w:rPr>
          <w:rFonts w:ascii="Times New Roman" w:hAnsi="Times New Roman"/>
        </w:rPr>
        <w:t>power on the Minister</w:t>
      </w:r>
      <w:r w:rsidR="00777AE5" w:rsidRPr="00191C99">
        <w:rPr>
          <w:rFonts w:ascii="Times New Roman" w:hAnsi="Times New Roman"/>
        </w:rPr>
        <w:t xml:space="preserve"> </w:t>
      </w:r>
      <w:r w:rsidR="002920B6" w:rsidRPr="00191C99">
        <w:rPr>
          <w:rFonts w:ascii="Times New Roman" w:hAnsi="Times New Roman"/>
        </w:rPr>
        <w:t xml:space="preserve">to </w:t>
      </w:r>
      <w:r w:rsidR="00923B15" w:rsidRPr="00191C99">
        <w:rPr>
          <w:rFonts w:ascii="Times New Roman" w:hAnsi="Times New Roman"/>
        </w:rPr>
        <w:t>grant a person who is in immigration detention</w:t>
      </w:r>
      <w:r w:rsidR="00FF4033" w:rsidRPr="00191C99">
        <w:rPr>
          <w:rFonts w:ascii="Times New Roman" w:hAnsi="Times New Roman"/>
        </w:rPr>
        <w:t xml:space="preserve"> a visa of a particular </w:t>
      </w:r>
      <w:r w:rsidR="006455B1" w:rsidRPr="00191C99">
        <w:rPr>
          <w:rFonts w:ascii="Times New Roman" w:hAnsi="Times New Roman"/>
        </w:rPr>
        <w:t xml:space="preserve">class if the </w:t>
      </w:r>
      <w:r w:rsidR="00072027" w:rsidRPr="00191C99">
        <w:rPr>
          <w:rFonts w:ascii="Times New Roman" w:hAnsi="Times New Roman"/>
        </w:rPr>
        <w:t xml:space="preserve">Minister thinks that it is in the public interest to do so. </w:t>
      </w:r>
      <w:r w:rsidR="00515779" w:rsidRPr="00191C99">
        <w:rPr>
          <w:rFonts w:ascii="Times New Roman" w:hAnsi="Times New Roman"/>
        </w:rPr>
        <w:t>The requirement of</w:t>
      </w:r>
      <w:r w:rsidR="00072027" w:rsidRPr="00191C99">
        <w:rPr>
          <w:rFonts w:ascii="Times New Roman" w:hAnsi="Times New Roman"/>
        </w:rPr>
        <w:t xml:space="preserve"> </w:t>
      </w:r>
      <w:r w:rsidR="007070B9" w:rsidRPr="00191C99">
        <w:rPr>
          <w:rFonts w:ascii="Times New Roman" w:hAnsi="Times New Roman"/>
        </w:rPr>
        <w:t>s</w:t>
      </w:r>
      <w:r w:rsidR="00920A93" w:rsidRPr="00191C99">
        <w:rPr>
          <w:rFonts w:ascii="Times New Roman" w:hAnsi="Times New Roman"/>
        </w:rPr>
        <w:t> </w:t>
      </w:r>
      <w:r w:rsidR="00072027" w:rsidRPr="00191C99">
        <w:rPr>
          <w:rFonts w:ascii="Times New Roman" w:hAnsi="Times New Roman"/>
        </w:rPr>
        <w:t xml:space="preserve">195A </w:t>
      </w:r>
      <w:r w:rsidR="003912C3" w:rsidRPr="00191C99">
        <w:rPr>
          <w:rFonts w:ascii="Times New Roman" w:hAnsi="Times New Roman"/>
        </w:rPr>
        <w:t>that "[t]he power ... may only be exercised by the Minister personally" w</w:t>
      </w:r>
      <w:r w:rsidR="00072027" w:rsidRPr="00191C99">
        <w:rPr>
          <w:rFonts w:ascii="Times New Roman" w:hAnsi="Times New Roman"/>
        </w:rPr>
        <w:t xml:space="preserve">as </w:t>
      </w:r>
      <w:r w:rsidR="007F365C" w:rsidRPr="00191C99">
        <w:rPr>
          <w:rFonts w:ascii="Times New Roman" w:hAnsi="Times New Roman"/>
        </w:rPr>
        <w:t>held</w:t>
      </w:r>
      <w:r w:rsidR="00072027" w:rsidRPr="00191C99">
        <w:rPr>
          <w:rFonts w:ascii="Times New Roman" w:hAnsi="Times New Roman"/>
        </w:rPr>
        <w:t xml:space="preserve"> in </w:t>
      </w:r>
      <w:r w:rsidR="00A20073" w:rsidRPr="00191C99">
        <w:rPr>
          <w:rFonts w:ascii="Times New Roman" w:hAnsi="Times New Roman"/>
          <w:i/>
          <w:iCs/>
        </w:rPr>
        <w:t xml:space="preserve">Davis v Minister for </w:t>
      </w:r>
      <w:r w:rsidR="00B20DC3" w:rsidRPr="00191C99">
        <w:rPr>
          <w:rFonts w:ascii="Times New Roman" w:hAnsi="Times New Roman"/>
          <w:i/>
          <w:iCs/>
        </w:rPr>
        <w:t>Immigration, Citizenship, Migra</w:t>
      </w:r>
      <w:r w:rsidR="006B1324" w:rsidRPr="00191C99">
        <w:rPr>
          <w:rFonts w:ascii="Times New Roman" w:hAnsi="Times New Roman"/>
          <w:i/>
          <w:iCs/>
        </w:rPr>
        <w:t>nt</w:t>
      </w:r>
      <w:r w:rsidR="00B20DC3" w:rsidRPr="00191C99">
        <w:rPr>
          <w:rFonts w:ascii="Times New Roman" w:hAnsi="Times New Roman"/>
          <w:i/>
          <w:iCs/>
        </w:rPr>
        <w:t xml:space="preserve"> Services and Multicultural Affairs</w:t>
      </w:r>
      <w:r w:rsidR="00FB560B" w:rsidRPr="00191C99">
        <w:rPr>
          <w:rStyle w:val="FootnoteReference"/>
          <w:rFonts w:ascii="Times New Roman" w:hAnsi="Times New Roman"/>
          <w:sz w:val="24"/>
        </w:rPr>
        <w:footnoteReference w:id="2"/>
      </w:r>
      <w:r w:rsidR="00944A48" w:rsidRPr="00191C99">
        <w:rPr>
          <w:rFonts w:ascii="Times New Roman" w:hAnsi="Times New Roman"/>
          <w:i/>
          <w:iCs/>
        </w:rPr>
        <w:t xml:space="preserve"> </w:t>
      </w:r>
      <w:r w:rsidR="007F365C" w:rsidRPr="00191C99">
        <w:rPr>
          <w:rFonts w:ascii="Times New Roman" w:hAnsi="Times New Roman"/>
        </w:rPr>
        <w:t>to create</w:t>
      </w:r>
      <w:r w:rsidR="00FB560B" w:rsidRPr="00191C99">
        <w:rPr>
          <w:rFonts w:ascii="Times New Roman" w:hAnsi="Times New Roman"/>
        </w:rPr>
        <w:t xml:space="preserve"> a "zone of exclusive Ministerial personal decision‑making power" into which no </w:t>
      </w:r>
      <w:r w:rsidR="0073585A" w:rsidRPr="00191C99">
        <w:rPr>
          <w:rFonts w:ascii="Times New Roman" w:hAnsi="Times New Roman"/>
        </w:rPr>
        <w:t xml:space="preserve">other </w:t>
      </w:r>
      <w:r w:rsidR="00AF726A" w:rsidRPr="00191C99">
        <w:rPr>
          <w:rFonts w:ascii="Times New Roman" w:hAnsi="Times New Roman"/>
        </w:rPr>
        <w:t xml:space="preserve">executive </w:t>
      </w:r>
      <w:r w:rsidR="00FB560B" w:rsidRPr="00191C99">
        <w:rPr>
          <w:rFonts w:ascii="Times New Roman" w:hAnsi="Times New Roman"/>
        </w:rPr>
        <w:t xml:space="preserve">officer of the </w:t>
      </w:r>
      <w:r w:rsidR="00AF726A" w:rsidRPr="00191C99">
        <w:rPr>
          <w:rFonts w:ascii="Times New Roman" w:hAnsi="Times New Roman"/>
        </w:rPr>
        <w:t>Commonwealth</w:t>
      </w:r>
      <w:r w:rsidR="00FB560B" w:rsidRPr="00191C99">
        <w:rPr>
          <w:rFonts w:ascii="Times New Roman" w:hAnsi="Times New Roman"/>
        </w:rPr>
        <w:t xml:space="preserve"> may transgress</w:t>
      </w:r>
      <w:r w:rsidR="001F026D" w:rsidRPr="00191C99">
        <w:rPr>
          <w:rFonts w:ascii="Times New Roman" w:hAnsi="Times New Roman"/>
        </w:rPr>
        <w:t xml:space="preserve">. The </w:t>
      </w:r>
      <w:r w:rsidR="00D76646" w:rsidRPr="00191C99">
        <w:rPr>
          <w:rFonts w:ascii="Times New Roman" w:hAnsi="Times New Roman"/>
        </w:rPr>
        <w:t xml:space="preserve">effect of the </w:t>
      </w:r>
      <w:r w:rsidR="00615417" w:rsidRPr="00191C99">
        <w:rPr>
          <w:rFonts w:ascii="Times New Roman" w:hAnsi="Times New Roman"/>
        </w:rPr>
        <w:t xml:space="preserve">statutory </w:t>
      </w:r>
      <w:r w:rsidR="00D76646" w:rsidRPr="00191C99">
        <w:rPr>
          <w:rFonts w:ascii="Times New Roman" w:hAnsi="Times New Roman"/>
        </w:rPr>
        <w:t>zone of exclusion</w:t>
      </w:r>
      <w:r w:rsidR="001836E3" w:rsidRPr="00191C99">
        <w:rPr>
          <w:rFonts w:ascii="Times New Roman" w:hAnsi="Times New Roman"/>
        </w:rPr>
        <w:t xml:space="preserve"> </w:t>
      </w:r>
      <w:r w:rsidR="00615417" w:rsidRPr="00191C99">
        <w:rPr>
          <w:rFonts w:ascii="Times New Roman" w:hAnsi="Times New Roman"/>
        </w:rPr>
        <w:t>is that</w:t>
      </w:r>
      <w:r w:rsidR="00D116B6" w:rsidRPr="00191C99">
        <w:rPr>
          <w:rFonts w:ascii="Times New Roman" w:hAnsi="Times New Roman"/>
        </w:rPr>
        <w:t xml:space="preserve"> </w:t>
      </w:r>
      <w:r w:rsidR="00195E17" w:rsidRPr="00191C99">
        <w:rPr>
          <w:rFonts w:ascii="Times New Roman" w:hAnsi="Times New Roman"/>
        </w:rPr>
        <w:t xml:space="preserve">the executive power of the Commonwealth </w:t>
      </w:r>
      <w:r w:rsidR="00EC1CA9" w:rsidRPr="00191C99">
        <w:rPr>
          <w:rFonts w:ascii="Times New Roman" w:hAnsi="Times New Roman"/>
        </w:rPr>
        <w:t xml:space="preserve">does not </w:t>
      </w:r>
      <w:r w:rsidR="00061DAF" w:rsidRPr="00191C99">
        <w:rPr>
          <w:rFonts w:ascii="Times New Roman" w:hAnsi="Times New Roman"/>
        </w:rPr>
        <w:t xml:space="preserve">extend to </w:t>
      </w:r>
      <w:r w:rsidR="00B373EA" w:rsidRPr="00191C99">
        <w:rPr>
          <w:rFonts w:ascii="Times New Roman" w:hAnsi="Times New Roman"/>
        </w:rPr>
        <w:t xml:space="preserve">permit the Minister to </w:t>
      </w:r>
      <w:r w:rsidR="00C4595B" w:rsidRPr="00191C99">
        <w:rPr>
          <w:rFonts w:ascii="Times New Roman" w:hAnsi="Times New Roman"/>
        </w:rPr>
        <w:t>authoris</w:t>
      </w:r>
      <w:r w:rsidR="00B373EA" w:rsidRPr="00191C99">
        <w:rPr>
          <w:rFonts w:ascii="Times New Roman" w:hAnsi="Times New Roman"/>
        </w:rPr>
        <w:t>e</w:t>
      </w:r>
      <w:r w:rsidR="00054EF8" w:rsidRPr="00191C99">
        <w:rPr>
          <w:rFonts w:ascii="Times New Roman" w:hAnsi="Times New Roman"/>
        </w:rPr>
        <w:t xml:space="preserve"> </w:t>
      </w:r>
      <w:r w:rsidR="008364F3" w:rsidRPr="00191C99">
        <w:rPr>
          <w:rFonts w:ascii="Times New Roman" w:hAnsi="Times New Roman"/>
        </w:rPr>
        <w:t>a departmental</w:t>
      </w:r>
      <w:r w:rsidR="003479F5" w:rsidRPr="00191C99">
        <w:rPr>
          <w:rFonts w:ascii="Times New Roman" w:hAnsi="Times New Roman"/>
        </w:rPr>
        <w:t xml:space="preserve"> officer</w:t>
      </w:r>
      <w:r w:rsidR="00DE51D9" w:rsidRPr="00191C99">
        <w:rPr>
          <w:rFonts w:ascii="Times New Roman" w:hAnsi="Times New Roman"/>
        </w:rPr>
        <w:t xml:space="preserve"> </w:t>
      </w:r>
      <w:r w:rsidR="00D116B6" w:rsidRPr="00191C99">
        <w:rPr>
          <w:rFonts w:ascii="Times New Roman" w:hAnsi="Times New Roman"/>
        </w:rPr>
        <w:t>t</w:t>
      </w:r>
      <w:r w:rsidR="001C3224" w:rsidRPr="00191C99">
        <w:rPr>
          <w:rFonts w:ascii="Times New Roman" w:hAnsi="Times New Roman"/>
        </w:rPr>
        <w:t xml:space="preserve">o decide that </w:t>
      </w:r>
      <w:r w:rsidR="00912711" w:rsidRPr="00191C99">
        <w:rPr>
          <w:rFonts w:ascii="Times New Roman" w:hAnsi="Times New Roman"/>
        </w:rPr>
        <w:t>it is not in the public interest to grant a visa</w:t>
      </w:r>
      <w:r w:rsidR="00E25A89" w:rsidRPr="00191C99">
        <w:rPr>
          <w:rFonts w:ascii="Times New Roman" w:hAnsi="Times New Roman"/>
        </w:rPr>
        <w:t xml:space="preserve"> </w:t>
      </w:r>
      <w:r w:rsidR="00386872" w:rsidRPr="00191C99">
        <w:rPr>
          <w:rFonts w:ascii="Times New Roman" w:hAnsi="Times New Roman"/>
        </w:rPr>
        <w:t>as a</w:t>
      </w:r>
      <w:r w:rsidR="00061CE2" w:rsidRPr="00191C99">
        <w:rPr>
          <w:rFonts w:ascii="Times New Roman" w:hAnsi="Times New Roman"/>
        </w:rPr>
        <w:t xml:space="preserve"> basis </w:t>
      </w:r>
      <w:r w:rsidR="00386872" w:rsidRPr="00191C99">
        <w:rPr>
          <w:rFonts w:ascii="Times New Roman" w:hAnsi="Times New Roman"/>
        </w:rPr>
        <w:t>for</w:t>
      </w:r>
      <w:r w:rsidR="00983D57" w:rsidRPr="00191C99">
        <w:rPr>
          <w:rFonts w:ascii="Times New Roman" w:hAnsi="Times New Roman"/>
        </w:rPr>
        <w:t xml:space="preserve"> declin</w:t>
      </w:r>
      <w:r w:rsidR="00386872" w:rsidRPr="00191C99">
        <w:rPr>
          <w:rFonts w:ascii="Times New Roman" w:hAnsi="Times New Roman"/>
        </w:rPr>
        <w:t>ing</w:t>
      </w:r>
      <w:r w:rsidR="00983D57" w:rsidRPr="00191C99">
        <w:rPr>
          <w:rFonts w:ascii="Times New Roman" w:hAnsi="Times New Roman"/>
        </w:rPr>
        <w:t xml:space="preserve"> to</w:t>
      </w:r>
      <w:r w:rsidR="00061CE2" w:rsidRPr="00191C99">
        <w:rPr>
          <w:rFonts w:ascii="Times New Roman" w:hAnsi="Times New Roman"/>
        </w:rPr>
        <w:t xml:space="preserve"> </w:t>
      </w:r>
      <w:r w:rsidR="001067BA" w:rsidRPr="00191C99">
        <w:rPr>
          <w:rFonts w:ascii="Times New Roman" w:hAnsi="Times New Roman"/>
        </w:rPr>
        <w:t xml:space="preserve">refer </w:t>
      </w:r>
      <w:r w:rsidR="00386872" w:rsidRPr="00191C99">
        <w:rPr>
          <w:rFonts w:ascii="Times New Roman" w:hAnsi="Times New Roman"/>
        </w:rPr>
        <w:t>to the Minister</w:t>
      </w:r>
      <w:r w:rsidR="00AE3D13" w:rsidRPr="00191C99">
        <w:rPr>
          <w:rFonts w:ascii="Times New Roman" w:hAnsi="Times New Roman"/>
        </w:rPr>
        <w:t xml:space="preserve"> a request for an exercise of power under that section</w:t>
      </w:r>
      <w:r w:rsidR="008025D9" w:rsidRPr="00191C99">
        <w:rPr>
          <w:rFonts w:ascii="Times New Roman" w:hAnsi="Times New Roman"/>
        </w:rPr>
        <w:t>.</w:t>
      </w:r>
      <w:r w:rsidR="000D2ED3" w:rsidRPr="00191C99">
        <w:rPr>
          <w:rFonts w:ascii="Times New Roman" w:hAnsi="Times New Roman"/>
        </w:rPr>
        <w:t xml:space="preserve"> </w:t>
      </w:r>
    </w:p>
    <w:p w14:paraId="02386C69" w14:textId="5584BE8F" w:rsidR="00840D31" w:rsidRPr="00191C99" w:rsidRDefault="0031136E"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3C5FD8" w:rsidRPr="00191C99">
        <w:rPr>
          <w:rFonts w:ascii="Times New Roman" w:hAnsi="Times New Roman"/>
        </w:rPr>
        <w:t xml:space="preserve">In </w:t>
      </w:r>
      <w:r w:rsidR="00B521AE" w:rsidRPr="00191C99">
        <w:rPr>
          <w:rFonts w:ascii="Times New Roman" w:hAnsi="Times New Roman"/>
        </w:rPr>
        <w:t xml:space="preserve">a proceeding for a declaration </w:t>
      </w:r>
      <w:r w:rsidR="00AA3245" w:rsidRPr="00191C99">
        <w:rPr>
          <w:rFonts w:ascii="Times New Roman" w:hAnsi="Times New Roman"/>
        </w:rPr>
        <w:t>that a departmental officer ha</w:t>
      </w:r>
      <w:r w:rsidR="00DB37B9" w:rsidRPr="00191C99">
        <w:rPr>
          <w:rFonts w:ascii="Times New Roman" w:hAnsi="Times New Roman"/>
        </w:rPr>
        <w:t>d</w:t>
      </w:r>
      <w:r w:rsidR="00AA3245" w:rsidRPr="00191C99">
        <w:rPr>
          <w:rFonts w:ascii="Times New Roman" w:hAnsi="Times New Roman"/>
        </w:rPr>
        <w:t xml:space="preserve"> exceeded the executive power of the Commonwealth </w:t>
      </w:r>
      <w:r w:rsidR="00CB4305" w:rsidRPr="00191C99">
        <w:rPr>
          <w:rFonts w:ascii="Times New Roman" w:hAnsi="Times New Roman"/>
        </w:rPr>
        <w:t xml:space="preserve">in declining to refer to the Minister a request by an unlawful non-citizen </w:t>
      </w:r>
      <w:r w:rsidR="00C95F77" w:rsidRPr="00191C99">
        <w:rPr>
          <w:rFonts w:ascii="Times New Roman" w:hAnsi="Times New Roman"/>
        </w:rPr>
        <w:t xml:space="preserve">who is in immigration detention </w:t>
      </w:r>
      <w:r w:rsidR="00CB4305" w:rsidRPr="00191C99">
        <w:rPr>
          <w:rFonts w:ascii="Times New Roman" w:hAnsi="Times New Roman"/>
        </w:rPr>
        <w:t>for an exercise of power under s</w:t>
      </w:r>
      <w:r w:rsidR="005719E7" w:rsidRPr="00191C99">
        <w:rPr>
          <w:rFonts w:ascii="Times New Roman" w:hAnsi="Times New Roman"/>
        </w:rPr>
        <w:t> </w:t>
      </w:r>
      <w:r w:rsidR="00CB4305" w:rsidRPr="00191C99">
        <w:rPr>
          <w:rFonts w:ascii="Times New Roman" w:hAnsi="Times New Roman"/>
        </w:rPr>
        <w:t xml:space="preserve">195A of the </w:t>
      </w:r>
      <w:r w:rsidR="00CB4305" w:rsidRPr="00191C99">
        <w:rPr>
          <w:rFonts w:ascii="Times New Roman" w:hAnsi="Times New Roman"/>
          <w:i/>
          <w:iCs/>
        </w:rPr>
        <w:t>Migration Act</w:t>
      </w:r>
      <w:r w:rsidR="003C5FD8" w:rsidRPr="00191C99">
        <w:rPr>
          <w:rFonts w:ascii="Times New Roman" w:hAnsi="Times New Roman"/>
        </w:rPr>
        <w:t xml:space="preserve">, can </w:t>
      </w:r>
      <w:r w:rsidR="00BE1942" w:rsidRPr="00191C99">
        <w:rPr>
          <w:rFonts w:ascii="Times New Roman" w:hAnsi="Times New Roman"/>
        </w:rPr>
        <w:t xml:space="preserve">the Federal Court of Australia </w:t>
      </w:r>
      <w:r w:rsidR="003C5FD8" w:rsidRPr="00191C99">
        <w:rPr>
          <w:rFonts w:ascii="Times New Roman" w:hAnsi="Times New Roman"/>
        </w:rPr>
        <w:t xml:space="preserve">make an interlocutory order restraining officers </w:t>
      </w:r>
      <w:r w:rsidR="00A851F7" w:rsidRPr="00191C99">
        <w:rPr>
          <w:rFonts w:ascii="Times New Roman" w:hAnsi="Times New Roman"/>
        </w:rPr>
        <w:t xml:space="preserve">from </w:t>
      </w:r>
      <w:r w:rsidR="003C5FD8" w:rsidRPr="00191C99">
        <w:rPr>
          <w:rFonts w:ascii="Times New Roman" w:hAnsi="Times New Roman"/>
        </w:rPr>
        <w:t>removing</w:t>
      </w:r>
      <w:r w:rsidR="00CB4305" w:rsidRPr="00191C99">
        <w:rPr>
          <w:rFonts w:ascii="Times New Roman" w:hAnsi="Times New Roman"/>
        </w:rPr>
        <w:t xml:space="preserve"> the</w:t>
      </w:r>
      <w:r w:rsidR="003C5FD8" w:rsidRPr="00191C99">
        <w:rPr>
          <w:rFonts w:ascii="Times New Roman" w:hAnsi="Times New Roman"/>
        </w:rPr>
        <w:t xml:space="preserve"> unlawful non</w:t>
      </w:r>
      <w:r w:rsidR="00AF7677">
        <w:rPr>
          <w:rFonts w:ascii="Times New Roman" w:hAnsi="Times New Roman"/>
        </w:rPr>
        <w:noBreakHyphen/>
      </w:r>
      <w:r w:rsidR="003C5FD8" w:rsidRPr="00191C99">
        <w:rPr>
          <w:rFonts w:ascii="Times New Roman" w:hAnsi="Times New Roman"/>
        </w:rPr>
        <w:t>citizen</w:t>
      </w:r>
      <w:r w:rsidR="00E37E50" w:rsidRPr="00191C99">
        <w:rPr>
          <w:rFonts w:ascii="Times New Roman" w:hAnsi="Times New Roman"/>
        </w:rPr>
        <w:t>,</w:t>
      </w:r>
      <w:r w:rsidR="003C5FD8" w:rsidRPr="00191C99">
        <w:rPr>
          <w:rFonts w:ascii="Times New Roman" w:hAnsi="Times New Roman"/>
        </w:rPr>
        <w:t xml:space="preserve"> </w:t>
      </w:r>
      <w:r w:rsidR="006858CC" w:rsidRPr="00191C99">
        <w:rPr>
          <w:rFonts w:ascii="Times New Roman" w:hAnsi="Times New Roman"/>
        </w:rPr>
        <w:t>notwithstanding</w:t>
      </w:r>
      <w:r w:rsidR="006832FF" w:rsidRPr="00191C99">
        <w:rPr>
          <w:rFonts w:ascii="Times New Roman" w:hAnsi="Times New Roman"/>
        </w:rPr>
        <w:t xml:space="preserve"> the duty </w:t>
      </w:r>
      <w:r w:rsidR="00156E6D" w:rsidRPr="00191C99">
        <w:rPr>
          <w:rFonts w:ascii="Times New Roman" w:hAnsi="Times New Roman"/>
        </w:rPr>
        <w:t>imposed on</w:t>
      </w:r>
      <w:r w:rsidR="006832FF" w:rsidRPr="00191C99">
        <w:rPr>
          <w:rFonts w:ascii="Times New Roman" w:hAnsi="Times New Roman"/>
        </w:rPr>
        <w:t xml:space="preserve"> officers </w:t>
      </w:r>
      <w:r w:rsidR="00156E6D" w:rsidRPr="00191C99">
        <w:rPr>
          <w:rFonts w:ascii="Times New Roman" w:hAnsi="Times New Roman"/>
        </w:rPr>
        <w:t xml:space="preserve">by s 198(6) </w:t>
      </w:r>
      <w:r w:rsidR="006832FF" w:rsidRPr="00191C99">
        <w:rPr>
          <w:rFonts w:ascii="Times New Roman" w:hAnsi="Times New Roman"/>
        </w:rPr>
        <w:t>to remove the unlawful non-citizen as soon as reasonably practicable</w:t>
      </w:r>
      <w:r w:rsidR="00E37E50" w:rsidRPr="00191C99">
        <w:rPr>
          <w:rFonts w:ascii="Times New Roman" w:hAnsi="Times New Roman"/>
        </w:rPr>
        <w:t>,</w:t>
      </w:r>
      <w:r w:rsidR="006832FF" w:rsidRPr="00191C99">
        <w:rPr>
          <w:rFonts w:ascii="Times New Roman" w:hAnsi="Times New Roman"/>
        </w:rPr>
        <w:t xml:space="preserve"> </w:t>
      </w:r>
      <w:r w:rsidR="003119AD" w:rsidRPr="00191C99">
        <w:rPr>
          <w:rFonts w:ascii="Times New Roman" w:hAnsi="Times New Roman"/>
        </w:rPr>
        <w:t xml:space="preserve">where </w:t>
      </w:r>
      <w:r w:rsidR="003C5FD8" w:rsidRPr="00191C99">
        <w:rPr>
          <w:rFonts w:ascii="Times New Roman" w:hAnsi="Times New Roman"/>
        </w:rPr>
        <w:t xml:space="preserve">the proceeding does not challenge the valid application of s 198(6) to the unlawful non-citizen? </w:t>
      </w:r>
    </w:p>
    <w:p w14:paraId="33348871" w14:textId="48AD6B56" w:rsidR="00830E68" w:rsidRPr="00191C99" w:rsidRDefault="00840D31"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EE77D7" w:rsidRPr="00191C99">
        <w:rPr>
          <w:rFonts w:ascii="Times New Roman" w:hAnsi="Times New Roman"/>
        </w:rPr>
        <w:t>The answer</w:t>
      </w:r>
      <w:r w:rsidR="007D4DFE" w:rsidRPr="00191C99">
        <w:rPr>
          <w:rFonts w:ascii="Times New Roman" w:hAnsi="Times New Roman"/>
        </w:rPr>
        <w:t xml:space="preserve"> </w:t>
      </w:r>
      <w:r w:rsidR="00196CA1" w:rsidRPr="00191C99">
        <w:rPr>
          <w:rFonts w:ascii="Times New Roman" w:hAnsi="Times New Roman"/>
        </w:rPr>
        <w:t xml:space="preserve">is </w:t>
      </w:r>
      <w:r w:rsidR="007D4DFE" w:rsidRPr="00191C99">
        <w:rPr>
          <w:rFonts w:ascii="Times New Roman" w:hAnsi="Times New Roman"/>
        </w:rPr>
        <w:t>that</w:t>
      </w:r>
      <w:r w:rsidR="00F16F62" w:rsidRPr="00191C99">
        <w:rPr>
          <w:rFonts w:ascii="Times New Roman" w:hAnsi="Times New Roman"/>
        </w:rPr>
        <w:t xml:space="preserve"> it can.</w:t>
      </w:r>
      <w:r w:rsidR="007D4DFE" w:rsidRPr="00191C99">
        <w:rPr>
          <w:rFonts w:ascii="Times New Roman" w:hAnsi="Times New Roman"/>
        </w:rPr>
        <w:t xml:space="preserve"> </w:t>
      </w:r>
      <w:r w:rsidR="00F16F62" w:rsidRPr="00191C99">
        <w:rPr>
          <w:rFonts w:ascii="Times New Roman" w:hAnsi="Times New Roman"/>
        </w:rPr>
        <w:t>I</w:t>
      </w:r>
      <w:r w:rsidR="007D4DFE" w:rsidRPr="00191C99">
        <w:rPr>
          <w:rFonts w:ascii="Times New Roman" w:hAnsi="Times New Roman"/>
        </w:rPr>
        <w:t>n the exercise of its</w:t>
      </w:r>
      <w:r w:rsidR="00A63D74" w:rsidRPr="00191C99">
        <w:rPr>
          <w:rFonts w:ascii="Times New Roman" w:hAnsi="Times New Roman"/>
        </w:rPr>
        <w:t xml:space="preserve"> </w:t>
      </w:r>
      <w:r w:rsidR="008527BD" w:rsidRPr="00191C99">
        <w:rPr>
          <w:rFonts w:ascii="Times New Roman" w:hAnsi="Times New Roman"/>
        </w:rPr>
        <w:t xml:space="preserve">incidental </w:t>
      </w:r>
      <w:r w:rsidR="004742BB" w:rsidRPr="00191C99">
        <w:rPr>
          <w:rFonts w:ascii="Times New Roman" w:hAnsi="Times New Roman"/>
        </w:rPr>
        <w:t xml:space="preserve">and statutory </w:t>
      </w:r>
      <w:r w:rsidR="008527BD" w:rsidRPr="00191C99">
        <w:rPr>
          <w:rFonts w:ascii="Times New Roman" w:hAnsi="Times New Roman"/>
        </w:rPr>
        <w:t xml:space="preserve">power to </w:t>
      </w:r>
      <w:r w:rsidR="00031EAA" w:rsidRPr="00191C99">
        <w:rPr>
          <w:rFonts w:ascii="Times New Roman" w:hAnsi="Times New Roman"/>
        </w:rPr>
        <w:t>protect the integrity of its own processes</w:t>
      </w:r>
      <w:r w:rsidR="00055C30" w:rsidRPr="00191C99">
        <w:rPr>
          <w:rFonts w:ascii="Times New Roman" w:hAnsi="Times New Roman"/>
        </w:rPr>
        <w:t>,</w:t>
      </w:r>
      <w:r w:rsidR="00031EAA" w:rsidRPr="00191C99">
        <w:rPr>
          <w:rFonts w:ascii="Times New Roman" w:hAnsi="Times New Roman"/>
        </w:rPr>
        <w:t xml:space="preserve"> including by </w:t>
      </w:r>
      <w:r w:rsidR="008527BD" w:rsidRPr="00191C99">
        <w:rPr>
          <w:rFonts w:ascii="Times New Roman" w:hAnsi="Times New Roman"/>
        </w:rPr>
        <w:t>"</w:t>
      </w:r>
      <w:proofErr w:type="spellStart"/>
      <w:r w:rsidR="008527BD" w:rsidRPr="00191C99">
        <w:rPr>
          <w:rFonts w:ascii="Times New Roman" w:hAnsi="Times New Roman"/>
        </w:rPr>
        <w:t>preserv</w:t>
      </w:r>
      <w:proofErr w:type="spellEnd"/>
      <w:r w:rsidR="00031EAA" w:rsidRPr="00191C99">
        <w:rPr>
          <w:rFonts w:ascii="Times New Roman" w:hAnsi="Times New Roman"/>
        </w:rPr>
        <w:t>[</w:t>
      </w:r>
      <w:proofErr w:type="spellStart"/>
      <w:r w:rsidR="00031EAA" w:rsidRPr="00191C99">
        <w:rPr>
          <w:rFonts w:ascii="Times New Roman" w:hAnsi="Times New Roman"/>
        </w:rPr>
        <w:t>ing</w:t>
      </w:r>
      <w:proofErr w:type="spellEnd"/>
      <w:r w:rsidR="00031EAA" w:rsidRPr="00191C99">
        <w:rPr>
          <w:rFonts w:ascii="Times New Roman" w:hAnsi="Times New Roman"/>
        </w:rPr>
        <w:t>]</w:t>
      </w:r>
      <w:r w:rsidR="008527BD" w:rsidRPr="00191C99">
        <w:rPr>
          <w:rFonts w:ascii="Times New Roman" w:hAnsi="Times New Roman"/>
        </w:rPr>
        <w:t xml:space="preserve"> any subject matter ... pending a decision"</w:t>
      </w:r>
      <w:r w:rsidR="008527BD" w:rsidRPr="00191C99">
        <w:rPr>
          <w:rStyle w:val="FootnoteReference"/>
          <w:rFonts w:ascii="Times New Roman" w:hAnsi="Times New Roman"/>
          <w:sz w:val="24"/>
        </w:rPr>
        <w:footnoteReference w:id="3"/>
      </w:r>
      <w:r w:rsidR="008527BD" w:rsidRPr="00191C99">
        <w:rPr>
          <w:rFonts w:ascii="Times New Roman" w:hAnsi="Times New Roman"/>
        </w:rPr>
        <w:t xml:space="preserve"> </w:t>
      </w:r>
      <w:r w:rsidR="00031EAA" w:rsidRPr="00191C99">
        <w:rPr>
          <w:rFonts w:ascii="Times New Roman" w:hAnsi="Times New Roman"/>
        </w:rPr>
        <w:t xml:space="preserve">and </w:t>
      </w:r>
      <w:r w:rsidR="0095194D" w:rsidRPr="00191C99">
        <w:rPr>
          <w:rFonts w:ascii="Times New Roman" w:hAnsi="Times New Roman"/>
        </w:rPr>
        <w:t xml:space="preserve">by </w:t>
      </w:r>
      <w:r w:rsidR="00E9529C" w:rsidRPr="00191C99">
        <w:rPr>
          <w:rFonts w:ascii="Times New Roman" w:hAnsi="Times New Roman"/>
        </w:rPr>
        <w:t>"</w:t>
      </w:r>
      <w:proofErr w:type="spellStart"/>
      <w:r w:rsidR="00E9529C" w:rsidRPr="00191C99">
        <w:rPr>
          <w:rFonts w:ascii="Times New Roman" w:hAnsi="Times New Roman"/>
        </w:rPr>
        <w:t>ensur</w:t>
      </w:r>
      <w:proofErr w:type="spellEnd"/>
      <w:r w:rsidR="0095194D" w:rsidRPr="00191C99">
        <w:rPr>
          <w:rFonts w:ascii="Times New Roman" w:hAnsi="Times New Roman"/>
        </w:rPr>
        <w:t>[</w:t>
      </w:r>
      <w:proofErr w:type="spellStart"/>
      <w:r w:rsidR="0095194D" w:rsidRPr="00191C99">
        <w:rPr>
          <w:rFonts w:ascii="Times New Roman" w:hAnsi="Times New Roman"/>
        </w:rPr>
        <w:t>ing</w:t>
      </w:r>
      <w:proofErr w:type="spellEnd"/>
      <w:r w:rsidR="0095194D" w:rsidRPr="00191C99">
        <w:rPr>
          <w:rFonts w:ascii="Times New Roman" w:hAnsi="Times New Roman"/>
        </w:rPr>
        <w:t>]</w:t>
      </w:r>
      <w:r w:rsidR="00E9529C" w:rsidRPr="00191C99">
        <w:rPr>
          <w:rFonts w:ascii="Times New Roman" w:hAnsi="Times New Roman"/>
        </w:rPr>
        <w:t xml:space="preserve"> the effective exercise of the </w:t>
      </w:r>
      <w:r w:rsidR="00E9529C" w:rsidRPr="00191C99">
        <w:rPr>
          <w:rFonts w:ascii="Times New Roman" w:hAnsi="Times New Roman"/>
        </w:rPr>
        <w:lastRenderedPageBreak/>
        <w:t>jurisdiction invoked"</w:t>
      </w:r>
      <w:r w:rsidR="007D4DFE" w:rsidRPr="00191C99">
        <w:rPr>
          <w:rFonts w:ascii="Times New Roman" w:hAnsi="Times New Roman"/>
        </w:rPr>
        <w:t>,</w:t>
      </w:r>
      <w:r w:rsidR="007D4DFE" w:rsidRPr="00191C99">
        <w:rPr>
          <w:rStyle w:val="FootnoteReference"/>
          <w:rFonts w:ascii="Times New Roman" w:hAnsi="Times New Roman"/>
          <w:sz w:val="24"/>
        </w:rPr>
        <w:footnoteReference w:id="4"/>
      </w:r>
      <w:r w:rsidR="008527BD" w:rsidRPr="00191C99">
        <w:rPr>
          <w:rFonts w:ascii="Times New Roman" w:hAnsi="Times New Roman"/>
        </w:rPr>
        <w:t xml:space="preserve"> </w:t>
      </w:r>
      <w:r w:rsidR="007D4DFE" w:rsidRPr="00191C99">
        <w:rPr>
          <w:rFonts w:ascii="Times New Roman" w:hAnsi="Times New Roman"/>
        </w:rPr>
        <w:t>the Federal Court</w:t>
      </w:r>
      <w:r w:rsidR="007D4DFE" w:rsidRPr="00191C99">
        <w:rPr>
          <w:rStyle w:val="FootnoteReference"/>
          <w:rFonts w:ascii="Times New Roman" w:hAnsi="Times New Roman"/>
          <w:sz w:val="24"/>
        </w:rPr>
        <w:footnoteReference w:id="5"/>
      </w:r>
      <w:r w:rsidR="007D4DFE" w:rsidRPr="00191C99">
        <w:rPr>
          <w:rFonts w:ascii="Times New Roman" w:hAnsi="Times New Roman"/>
        </w:rPr>
        <w:t xml:space="preserve"> </w:t>
      </w:r>
      <w:r w:rsidR="00A63D74" w:rsidRPr="00191C99">
        <w:rPr>
          <w:rFonts w:ascii="Times New Roman" w:hAnsi="Times New Roman"/>
        </w:rPr>
        <w:t xml:space="preserve">has power to make an interlocutory order which restrains officers </w:t>
      </w:r>
      <w:r w:rsidR="00BB7D5D" w:rsidRPr="00191C99">
        <w:rPr>
          <w:rFonts w:ascii="Times New Roman" w:hAnsi="Times New Roman"/>
        </w:rPr>
        <w:t xml:space="preserve">from </w:t>
      </w:r>
      <w:r w:rsidR="00A63D74" w:rsidRPr="00191C99">
        <w:rPr>
          <w:rFonts w:ascii="Times New Roman" w:hAnsi="Times New Roman"/>
        </w:rPr>
        <w:t>removing an unlawful non-citizen, whether the proceeding challenges the valid application of s 198(6)</w:t>
      </w:r>
      <w:r w:rsidR="00F16F62" w:rsidRPr="00191C99">
        <w:rPr>
          <w:rFonts w:ascii="Times New Roman" w:hAnsi="Times New Roman"/>
        </w:rPr>
        <w:t xml:space="preserve"> of the </w:t>
      </w:r>
      <w:r w:rsidR="00F16F62" w:rsidRPr="00191C99">
        <w:rPr>
          <w:rFonts w:ascii="Times New Roman" w:hAnsi="Times New Roman"/>
          <w:i/>
          <w:iCs/>
        </w:rPr>
        <w:t>Migration Act</w:t>
      </w:r>
      <w:r w:rsidR="00EB0233" w:rsidRPr="00191C99">
        <w:rPr>
          <w:rFonts w:ascii="Times New Roman" w:hAnsi="Times New Roman"/>
        </w:rPr>
        <w:t xml:space="preserve"> </w:t>
      </w:r>
      <w:r w:rsidR="00A63D74" w:rsidRPr="00191C99">
        <w:rPr>
          <w:rFonts w:ascii="Times New Roman" w:hAnsi="Times New Roman"/>
        </w:rPr>
        <w:t xml:space="preserve">to the unlawful non-citizen or not. </w:t>
      </w:r>
      <w:r w:rsidR="00F16F62" w:rsidRPr="00191C99">
        <w:rPr>
          <w:rFonts w:ascii="Times New Roman" w:hAnsi="Times New Roman"/>
        </w:rPr>
        <w:t>T</w:t>
      </w:r>
      <w:r w:rsidR="00D92762" w:rsidRPr="00191C99">
        <w:rPr>
          <w:rFonts w:ascii="Times New Roman" w:hAnsi="Times New Roman"/>
        </w:rPr>
        <w:t xml:space="preserve">he power and the duty of an officer to remove an unlawful non-citizen from Australia as soon as reasonably practicable </w:t>
      </w:r>
      <w:r w:rsidR="00356811" w:rsidRPr="00191C99">
        <w:rPr>
          <w:rFonts w:ascii="Times New Roman" w:hAnsi="Times New Roman"/>
        </w:rPr>
        <w:t xml:space="preserve">in s 198(6) </w:t>
      </w:r>
      <w:r w:rsidR="00D92762" w:rsidRPr="00191C99">
        <w:rPr>
          <w:rFonts w:ascii="Times New Roman" w:hAnsi="Times New Roman"/>
        </w:rPr>
        <w:t>is to be construed as accommodating to</w:t>
      </w:r>
      <w:r w:rsidR="00EB0233" w:rsidRPr="00191C99">
        <w:rPr>
          <w:rFonts w:ascii="Times New Roman" w:hAnsi="Times New Roman"/>
        </w:rPr>
        <w:t xml:space="preserve"> the power of the Federal Court to grant </w:t>
      </w:r>
      <w:r w:rsidR="00356811" w:rsidRPr="00191C99">
        <w:rPr>
          <w:rFonts w:ascii="Times New Roman" w:hAnsi="Times New Roman"/>
        </w:rPr>
        <w:t xml:space="preserve">an interlocutory </w:t>
      </w:r>
      <w:r w:rsidR="00EB0233" w:rsidRPr="00191C99">
        <w:rPr>
          <w:rFonts w:ascii="Times New Roman" w:hAnsi="Times New Roman"/>
        </w:rPr>
        <w:t xml:space="preserve">injunction </w:t>
      </w:r>
      <w:r w:rsidR="00356811" w:rsidRPr="00191C99">
        <w:rPr>
          <w:rFonts w:ascii="Times New Roman" w:hAnsi="Times New Roman"/>
        </w:rPr>
        <w:t xml:space="preserve">restraining officers </w:t>
      </w:r>
      <w:r w:rsidR="00831126" w:rsidRPr="00191C99">
        <w:rPr>
          <w:rFonts w:ascii="Times New Roman" w:hAnsi="Times New Roman"/>
        </w:rPr>
        <w:t xml:space="preserve">from </w:t>
      </w:r>
      <w:r w:rsidR="00356811" w:rsidRPr="00191C99">
        <w:rPr>
          <w:rFonts w:ascii="Times New Roman" w:hAnsi="Times New Roman"/>
        </w:rPr>
        <w:t>removing an unlawful non</w:t>
      </w:r>
      <w:r w:rsidR="009109BB">
        <w:rPr>
          <w:rFonts w:ascii="Times New Roman" w:hAnsi="Times New Roman"/>
        </w:rPr>
        <w:noBreakHyphen/>
      </w:r>
      <w:r w:rsidR="00356811" w:rsidRPr="00191C99">
        <w:rPr>
          <w:rFonts w:ascii="Times New Roman" w:hAnsi="Times New Roman"/>
        </w:rPr>
        <w:t xml:space="preserve">citizen. </w:t>
      </w:r>
      <w:r w:rsidR="002D1177" w:rsidRPr="00191C99">
        <w:rPr>
          <w:rFonts w:ascii="Times New Roman" w:hAnsi="Times New Roman"/>
        </w:rPr>
        <w:t xml:space="preserve">To comply with the injunction </w:t>
      </w:r>
      <w:r w:rsidR="00176327" w:rsidRPr="00191C99">
        <w:rPr>
          <w:rFonts w:ascii="Times New Roman" w:hAnsi="Times New Roman"/>
        </w:rPr>
        <w:t>is not to breach the statutory duty.</w:t>
      </w:r>
    </w:p>
    <w:p w14:paraId="413AAA4A" w14:textId="76BA4DF1" w:rsidR="00A73989" w:rsidRPr="00191C99" w:rsidRDefault="00581977" w:rsidP="00191C99">
      <w:pPr>
        <w:pStyle w:val="FixListStyle"/>
        <w:spacing w:after="260" w:line="280" w:lineRule="exact"/>
        <w:ind w:right="0"/>
        <w:jc w:val="both"/>
        <w:rPr>
          <w:rFonts w:ascii="Times New Roman" w:hAnsi="Times New Roman"/>
        </w:rPr>
      </w:pPr>
      <w:r w:rsidRPr="00191C99">
        <w:rPr>
          <w:rFonts w:ascii="Times New Roman" w:hAnsi="Times New Roman"/>
        </w:rPr>
        <w:tab/>
        <w:t>T</w:t>
      </w:r>
      <w:r w:rsidR="00830E68" w:rsidRPr="00191C99">
        <w:rPr>
          <w:rFonts w:ascii="Times New Roman" w:hAnsi="Times New Roman"/>
        </w:rPr>
        <w:t>her</w:t>
      </w:r>
      <w:r w:rsidRPr="00191C99">
        <w:rPr>
          <w:rFonts w:ascii="Times New Roman" w:hAnsi="Times New Roman"/>
        </w:rPr>
        <w:t>efore</w:t>
      </w:r>
      <w:r w:rsidR="00830E68" w:rsidRPr="00191C99">
        <w:rPr>
          <w:rFonts w:ascii="Times New Roman" w:hAnsi="Times New Roman"/>
        </w:rPr>
        <w:t xml:space="preserve">, and as </w:t>
      </w:r>
      <w:r w:rsidRPr="00191C99">
        <w:rPr>
          <w:rFonts w:ascii="Times New Roman" w:hAnsi="Times New Roman"/>
        </w:rPr>
        <w:t xml:space="preserve">explained below, </w:t>
      </w:r>
      <w:r w:rsidR="00EE77D7" w:rsidRPr="00191C99">
        <w:rPr>
          <w:rFonts w:ascii="Times New Roman" w:hAnsi="Times New Roman"/>
        </w:rPr>
        <w:t xml:space="preserve">the appeal is to be dismissed with costs. </w:t>
      </w:r>
    </w:p>
    <w:p w14:paraId="16BE8507" w14:textId="5EA9BD36" w:rsidR="00EC23D3" w:rsidRPr="00191C99" w:rsidRDefault="009617F0" w:rsidP="00191C99">
      <w:pPr>
        <w:pStyle w:val="HeadingL1"/>
        <w:spacing w:after="260" w:line="280" w:lineRule="exact"/>
        <w:ind w:right="0"/>
        <w:jc w:val="both"/>
        <w:rPr>
          <w:rFonts w:ascii="Times New Roman" w:hAnsi="Times New Roman"/>
        </w:rPr>
      </w:pPr>
      <w:r w:rsidRPr="00191C99">
        <w:rPr>
          <w:rFonts w:ascii="Times New Roman" w:hAnsi="Times New Roman"/>
        </w:rPr>
        <w:t>Background</w:t>
      </w:r>
    </w:p>
    <w:p w14:paraId="30DCE167" w14:textId="2C2C4168" w:rsidR="00D45C0A" w:rsidRPr="00191C99" w:rsidRDefault="00D45C0A" w:rsidP="00191C99">
      <w:pPr>
        <w:pStyle w:val="HeadingL2"/>
        <w:spacing w:after="260" w:line="280" w:lineRule="exact"/>
        <w:ind w:right="0"/>
        <w:jc w:val="both"/>
        <w:rPr>
          <w:rFonts w:ascii="Times New Roman" w:hAnsi="Times New Roman"/>
        </w:rPr>
      </w:pPr>
      <w:r w:rsidRPr="00191C99">
        <w:rPr>
          <w:rFonts w:ascii="Times New Roman" w:hAnsi="Times New Roman"/>
        </w:rPr>
        <w:t>The originating application and application for an interlocutory injunction</w:t>
      </w:r>
    </w:p>
    <w:p w14:paraId="38369F2C" w14:textId="5C1212D2" w:rsidR="009617F0" w:rsidRPr="00191C99" w:rsidRDefault="00D45C0A"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9617F0" w:rsidRPr="00191C99">
        <w:rPr>
          <w:rFonts w:ascii="Times New Roman" w:hAnsi="Times New Roman"/>
        </w:rPr>
        <w:t xml:space="preserve">On </w:t>
      </w:r>
      <w:r w:rsidR="002B32B9" w:rsidRPr="00191C99">
        <w:rPr>
          <w:rFonts w:ascii="Times New Roman" w:hAnsi="Times New Roman"/>
        </w:rPr>
        <w:t>8 </w:t>
      </w:r>
      <w:r w:rsidR="009617F0" w:rsidRPr="00191C99">
        <w:rPr>
          <w:rFonts w:ascii="Times New Roman" w:hAnsi="Times New Roman"/>
        </w:rPr>
        <w:t>August 2023 the respondent</w:t>
      </w:r>
      <w:r w:rsidR="001B1EF4" w:rsidRPr="00191C99">
        <w:rPr>
          <w:rFonts w:ascii="Times New Roman" w:hAnsi="Times New Roman"/>
        </w:rPr>
        <w:t>, a</w:t>
      </w:r>
      <w:r w:rsidR="004B035A" w:rsidRPr="00191C99">
        <w:rPr>
          <w:rFonts w:ascii="Times New Roman" w:hAnsi="Times New Roman"/>
        </w:rPr>
        <w:t>n</w:t>
      </w:r>
      <w:r w:rsidR="001B1EF4" w:rsidRPr="00191C99">
        <w:rPr>
          <w:rFonts w:ascii="Times New Roman" w:hAnsi="Times New Roman"/>
        </w:rPr>
        <w:t xml:space="preserve"> </w:t>
      </w:r>
      <w:r w:rsidR="004B035A" w:rsidRPr="00191C99">
        <w:rPr>
          <w:rFonts w:ascii="Times New Roman" w:hAnsi="Times New Roman"/>
        </w:rPr>
        <w:t xml:space="preserve">unlawful non-citizen </w:t>
      </w:r>
      <w:r w:rsidR="001B1EF4" w:rsidRPr="00191C99">
        <w:rPr>
          <w:rFonts w:ascii="Times New Roman" w:hAnsi="Times New Roman"/>
        </w:rPr>
        <w:t>held in immigration detention pending removal from Australia,</w:t>
      </w:r>
      <w:r w:rsidR="009617F0" w:rsidRPr="00191C99">
        <w:rPr>
          <w:rFonts w:ascii="Times New Roman" w:hAnsi="Times New Roman"/>
        </w:rPr>
        <w:t xml:space="preserve"> filed an </w:t>
      </w:r>
      <w:r w:rsidR="00D74DC1" w:rsidRPr="00191C99">
        <w:rPr>
          <w:rFonts w:ascii="Times New Roman" w:hAnsi="Times New Roman"/>
        </w:rPr>
        <w:t>originating</w:t>
      </w:r>
      <w:r w:rsidR="009617F0" w:rsidRPr="00191C99">
        <w:rPr>
          <w:rFonts w:ascii="Times New Roman" w:hAnsi="Times New Roman"/>
        </w:rPr>
        <w:t xml:space="preserve"> </w:t>
      </w:r>
      <w:r w:rsidR="00D74DC1" w:rsidRPr="00191C99">
        <w:rPr>
          <w:rFonts w:ascii="Times New Roman" w:hAnsi="Times New Roman"/>
        </w:rPr>
        <w:t xml:space="preserve">application in the Federal Court of Australia. In that </w:t>
      </w:r>
      <w:r w:rsidR="00F04DE7" w:rsidRPr="00191C99">
        <w:rPr>
          <w:rFonts w:ascii="Times New Roman" w:hAnsi="Times New Roman"/>
        </w:rPr>
        <w:t>application</w:t>
      </w:r>
      <w:r w:rsidR="00D74DC1" w:rsidRPr="00191C99">
        <w:rPr>
          <w:rFonts w:ascii="Times New Roman" w:hAnsi="Times New Roman"/>
        </w:rPr>
        <w:t xml:space="preserve"> the </w:t>
      </w:r>
      <w:r w:rsidR="00F04DE7" w:rsidRPr="00191C99">
        <w:rPr>
          <w:rFonts w:ascii="Times New Roman" w:hAnsi="Times New Roman"/>
        </w:rPr>
        <w:t>respondent sought declaratory and related relief</w:t>
      </w:r>
      <w:r w:rsidR="00BF5FDE" w:rsidRPr="00191C99">
        <w:rPr>
          <w:rFonts w:ascii="Times New Roman" w:hAnsi="Times New Roman"/>
        </w:rPr>
        <w:t>. The form of the declaration sought was refined before this Court to a declaration in these terms:</w:t>
      </w:r>
    </w:p>
    <w:p w14:paraId="2B1E0823" w14:textId="77777777" w:rsidR="00191C99" w:rsidRDefault="00B8283A" w:rsidP="00191C99">
      <w:pPr>
        <w:pStyle w:val="leftright"/>
        <w:spacing w:before="0" w:after="260" w:line="280" w:lineRule="exact"/>
        <w:ind w:right="0"/>
        <w:jc w:val="both"/>
        <w:rPr>
          <w:rFonts w:ascii="Times New Roman" w:hAnsi="Times New Roman"/>
        </w:rPr>
      </w:pPr>
      <w:r w:rsidRPr="00191C99">
        <w:rPr>
          <w:rFonts w:ascii="Times New Roman" w:hAnsi="Times New Roman"/>
        </w:rPr>
        <w:t xml:space="preserve">"Declare that the decisions made by officers of the Commonwealth in respect of the respondent from 2016 to 2022 in purported compliance with </w:t>
      </w:r>
      <w:r w:rsidR="00401BD2" w:rsidRPr="00191C99">
        <w:rPr>
          <w:rFonts w:ascii="Times New Roman" w:hAnsi="Times New Roman"/>
        </w:rPr>
        <w:t xml:space="preserve">the </w:t>
      </w:r>
      <w:r w:rsidR="00B0131C" w:rsidRPr="00191C99">
        <w:rPr>
          <w:rFonts w:ascii="Times New Roman" w:hAnsi="Times New Roman"/>
        </w:rPr>
        <w:t>'</w:t>
      </w:r>
      <w:r w:rsidR="00401BD2" w:rsidRPr="00191C99">
        <w:rPr>
          <w:rFonts w:ascii="Times New Roman" w:hAnsi="Times New Roman"/>
        </w:rPr>
        <w:t xml:space="preserve">Guidelines on Minister's detention intervention power (s 195A of the </w:t>
      </w:r>
      <w:r w:rsidR="00401BD2" w:rsidRPr="00191C99">
        <w:rPr>
          <w:rFonts w:ascii="Times New Roman" w:hAnsi="Times New Roman"/>
          <w:i/>
          <w:iCs/>
        </w:rPr>
        <w:t>Migration Act</w:t>
      </w:r>
      <w:r w:rsidR="00401BD2" w:rsidRPr="00191C99">
        <w:rPr>
          <w:rFonts w:ascii="Times New Roman" w:hAnsi="Times New Roman"/>
        </w:rPr>
        <w:t>)</w:t>
      </w:r>
      <w:r w:rsidR="002B405E" w:rsidRPr="00191C99">
        <w:rPr>
          <w:rFonts w:ascii="Times New Roman" w:hAnsi="Times New Roman"/>
        </w:rPr>
        <w:t>'</w:t>
      </w:r>
      <w:r w:rsidR="00401BD2" w:rsidRPr="00191C99">
        <w:rPr>
          <w:rFonts w:ascii="Times New Roman" w:hAnsi="Times New Roman"/>
        </w:rPr>
        <w:t xml:space="preserve"> </w:t>
      </w:r>
      <w:r w:rsidR="00777B85" w:rsidRPr="00191C99">
        <w:rPr>
          <w:rFonts w:ascii="Times New Roman" w:hAnsi="Times New Roman"/>
        </w:rPr>
        <w:t>(November 2016) exceeded the executive power of the Commonwealth."</w:t>
      </w:r>
    </w:p>
    <w:p w14:paraId="58372995" w14:textId="5D309056" w:rsidR="00EF61AB" w:rsidRPr="00191C99" w:rsidRDefault="003143FB"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B30B08" w:rsidRPr="00191C99">
        <w:rPr>
          <w:rFonts w:ascii="Times New Roman" w:hAnsi="Times New Roman"/>
        </w:rPr>
        <w:t xml:space="preserve">In the originating application the respondent also sought an </w:t>
      </w:r>
      <w:r w:rsidR="00EF1F4B" w:rsidRPr="00191C99">
        <w:rPr>
          <w:rFonts w:ascii="Times New Roman" w:hAnsi="Times New Roman"/>
        </w:rPr>
        <w:t>interlocutory injunction restraining the Minister</w:t>
      </w:r>
      <w:r w:rsidR="00FA5556" w:rsidRPr="00191C99">
        <w:rPr>
          <w:rFonts w:ascii="Times New Roman" w:hAnsi="Times New Roman"/>
        </w:rPr>
        <w:t xml:space="preserve"> for </w:t>
      </w:r>
      <w:r w:rsidR="004559C1" w:rsidRPr="00191C99">
        <w:rPr>
          <w:rFonts w:ascii="Times New Roman" w:hAnsi="Times New Roman"/>
        </w:rPr>
        <w:t>Immigration and Multicultural Affairs</w:t>
      </w:r>
      <w:r w:rsidR="00EF1F4B" w:rsidRPr="00191C99">
        <w:rPr>
          <w:rFonts w:ascii="Times New Roman" w:hAnsi="Times New Roman"/>
        </w:rPr>
        <w:t>, the Secretary</w:t>
      </w:r>
      <w:r w:rsidR="008B2718" w:rsidRPr="00191C99">
        <w:rPr>
          <w:rFonts w:ascii="Times New Roman" w:hAnsi="Times New Roman"/>
        </w:rPr>
        <w:t xml:space="preserve"> of the </w:t>
      </w:r>
      <w:r w:rsidR="004D57DD" w:rsidRPr="00191C99">
        <w:rPr>
          <w:rFonts w:ascii="Times New Roman" w:hAnsi="Times New Roman"/>
        </w:rPr>
        <w:t>Department</w:t>
      </w:r>
      <w:r w:rsidR="00EF1F4B" w:rsidRPr="00191C99">
        <w:rPr>
          <w:rFonts w:ascii="Times New Roman" w:hAnsi="Times New Roman"/>
        </w:rPr>
        <w:t xml:space="preserve"> of Home Affairs, and the </w:t>
      </w:r>
      <w:r w:rsidR="004D57DD" w:rsidRPr="00191C99">
        <w:rPr>
          <w:rFonts w:ascii="Times New Roman" w:hAnsi="Times New Roman"/>
        </w:rPr>
        <w:t xml:space="preserve">relevant officers </w:t>
      </w:r>
      <w:r w:rsidR="00B600DB" w:rsidRPr="00191C99">
        <w:rPr>
          <w:rFonts w:ascii="Times New Roman" w:hAnsi="Times New Roman"/>
        </w:rPr>
        <w:t xml:space="preserve">acting </w:t>
      </w:r>
      <w:r w:rsidR="004D57DD" w:rsidRPr="00191C99">
        <w:rPr>
          <w:rFonts w:ascii="Times New Roman" w:hAnsi="Times New Roman"/>
        </w:rPr>
        <w:t>under s 198</w:t>
      </w:r>
      <w:r w:rsidR="00D4581E" w:rsidRPr="00191C99">
        <w:rPr>
          <w:rFonts w:ascii="Times New Roman" w:hAnsi="Times New Roman"/>
        </w:rPr>
        <w:t>(6)</w:t>
      </w:r>
      <w:r w:rsidR="004D57DD" w:rsidRPr="00191C99">
        <w:rPr>
          <w:rFonts w:ascii="Times New Roman" w:hAnsi="Times New Roman"/>
        </w:rPr>
        <w:t xml:space="preserve"> of the </w:t>
      </w:r>
      <w:r w:rsidR="004D57DD" w:rsidRPr="00191C99">
        <w:rPr>
          <w:rFonts w:ascii="Times New Roman" w:hAnsi="Times New Roman"/>
          <w:i/>
          <w:iCs/>
        </w:rPr>
        <w:t>Migration Act</w:t>
      </w:r>
      <w:r w:rsidR="004D57DD" w:rsidRPr="00191C99">
        <w:rPr>
          <w:rFonts w:ascii="Times New Roman" w:hAnsi="Times New Roman"/>
        </w:rPr>
        <w:t xml:space="preserve"> </w:t>
      </w:r>
      <w:r w:rsidR="00D60E9F" w:rsidRPr="00191C99">
        <w:rPr>
          <w:rFonts w:ascii="Times New Roman" w:hAnsi="Times New Roman"/>
        </w:rPr>
        <w:t>(togeth</w:t>
      </w:r>
      <w:r w:rsidR="00266C73" w:rsidRPr="00191C99">
        <w:rPr>
          <w:rFonts w:ascii="Times New Roman" w:hAnsi="Times New Roman"/>
        </w:rPr>
        <w:t>e</w:t>
      </w:r>
      <w:r w:rsidR="00D60E9F" w:rsidRPr="00191C99">
        <w:rPr>
          <w:rFonts w:ascii="Times New Roman" w:hAnsi="Times New Roman"/>
        </w:rPr>
        <w:t xml:space="preserve">r, </w:t>
      </w:r>
      <w:r w:rsidR="00266C73" w:rsidRPr="00191C99">
        <w:rPr>
          <w:rFonts w:ascii="Times New Roman" w:hAnsi="Times New Roman"/>
        </w:rPr>
        <w:t xml:space="preserve">the appellants) </w:t>
      </w:r>
      <w:r w:rsidR="004D57DD" w:rsidRPr="00191C99">
        <w:rPr>
          <w:rFonts w:ascii="Times New Roman" w:hAnsi="Times New Roman"/>
        </w:rPr>
        <w:t xml:space="preserve">from removing the respondent from Australia pending the </w:t>
      </w:r>
      <w:r w:rsidR="007955AF" w:rsidRPr="00191C99">
        <w:rPr>
          <w:rFonts w:ascii="Times New Roman" w:hAnsi="Times New Roman"/>
        </w:rPr>
        <w:t xml:space="preserve">final determination of the proceeding. </w:t>
      </w:r>
    </w:p>
    <w:p w14:paraId="04FBF6FF" w14:textId="65CB7900" w:rsidR="00D45C0A" w:rsidRPr="00191C99" w:rsidRDefault="00D45C0A" w:rsidP="00191C99">
      <w:pPr>
        <w:pStyle w:val="HeadingL2"/>
        <w:spacing w:after="260" w:line="280" w:lineRule="exact"/>
        <w:ind w:right="0"/>
        <w:jc w:val="both"/>
        <w:rPr>
          <w:rFonts w:ascii="Times New Roman" w:hAnsi="Times New Roman"/>
        </w:rPr>
      </w:pPr>
      <w:r w:rsidRPr="00191C99">
        <w:rPr>
          <w:rFonts w:ascii="Times New Roman" w:hAnsi="Times New Roman"/>
        </w:rPr>
        <w:lastRenderedPageBreak/>
        <w:t xml:space="preserve">The primary judge grants </w:t>
      </w:r>
      <w:r w:rsidR="009C0F94" w:rsidRPr="00191C99">
        <w:rPr>
          <w:rFonts w:ascii="Times New Roman" w:hAnsi="Times New Roman"/>
        </w:rPr>
        <w:t xml:space="preserve">an </w:t>
      </w:r>
      <w:r w:rsidRPr="00191C99">
        <w:rPr>
          <w:rFonts w:ascii="Times New Roman" w:hAnsi="Times New Roman"/>
        </w:rPr>
        <w:t>interlocutory injunction</w:t>
      </w:r>
    </w:p>
    <w:p w14:paraId="28EA4B3F" w14:textId="07E2BC70" w:rsidR="001B1EF4" w:rsidRPr="00191C99" w:rsidRDefault="00D45C0A"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906BD9" w:rsidRPr="00191C99">
        <w:rPr>
          <w:rFonts w:ascii="Times New Roman" w:hAnsi="Times New Roman"/>
        </w:rPr>
        <w:t xml:space="preserve">The </w:t>
      </w:r>
      <w:r w:rsidR="000E75F3" w:rsidRPr="00191C99">
        <w:rPr>
          <w:rFonts w:ascii="Times New Roman" w:hAnsi="Times New Roman"/>
        </w:rPr>
        <w:t>primary judge (</w:t>
      </w:r>
      <w:proofErr w:type="spellStart"/>
      <w:r w:rsidR="000E75F3" w:rsidRPr="00191C99">
        <w:rPr>
          <w:rFonts w:ascii="Times New Roman" w:hAnsi="Times New Roman"/>
        </w:rPr>
        <w:t>Feutrill</w:t>
      </w:r>
      <w:proofErr w:type="spellEnd"/>
      <w:r w:rsidR="000E75F3" w:rsidRPr="00191C99">
        <w:rPr>
          <w:rFonts w:ascii="Times New Roman" w:hAnsi="Times New Roman"/>
        </w:rPr>
        <w:t xml:space="preserve"> J) heard the </w:t>
      </w:r>
      <w:r w:rsidR="00906BD9" w:rsidRPr="00191C99">
        <w:rPr>
          <w:rFonts w:ascii="Times New Roman" w:hAnsi="Times New Roman"/>
        </w:rPr>
        <w:t xml:space="preserve">application for the interlocutory injunction </w:t>
      </w:r>
      <w:r w:rsidR="0083561E" w:rsidRPr="00191C99">
        <w:rPr>
          <w:rFonts w:ascii="Times New Roman" w:hAnsi="Times New Roman"/>
        </w:rPr>
        <w:t>on 9 and</w:t>
      </w:r>
      <w:r w:rsidR="00AA5416" w:rsidRPr="00191C99">
        <w:rPr>
          <w:rFonts w:ascii="Times New Roman" w:hAnsi="Times New Roman"/>
        </w:rPr>
        <w:t> </w:t>
      </w:r>
      <w:r w:rsidR="0083561E" w:rsidRPr="00191C99">
        <w:rPr>
          <w:rFonts w:ascii="Times New Roman" w:hAnsi="Times New Roman"/>
        </w:rPr>
        <w:t>18 August 20</w:t>
      </w:r>
      <w:r w:rsidR="00C07C37" w:rsidRPr="00191C99">
        <w:rPr>
          <w:rFonts w:ascii="Times New Roman" w:hAnsi="Times New Roman"/>
        </w:rPr>
        <w:t>2</w:t>
      </w:r>
      <w:r w:rsidR="0083561E" w:rsidRPr="00191C99">
        <w:rPr>
          <w:rFonts w:ascii="Times New Roman" w:hAnsi="Times New Roman"/>
        </w:rPr>
        <w:t xml:space="preserve">3. </w:t>
      </w:r>
      <w:r w:rsidR="000315FE" w:rsidRPr="00191C99">
        <w:rPr>
          <w:rFonts w:ascii="Times New Roman" w:hAnsi="Times New Roman"/>
        </w:rPr>
        <w:t>The primary judge granted the interlocutory injunction</w:t>
      </w:r>
      <w:r w:rsidR="000E75F3" w:rsidRPr="00191C99">
        <w:rPr>
          <w:rFonts w:ascii="Times New Roman" w:hAnsi="Times New Roman"/>
        </w:rPr>
        <w:t xml:space="preserve"> on </w:t>
      </w:r>
      <w:r w:rsidR="00331B8C" w:rsidRPr="00191C99">
        <w:rPr>
          <w:rFonts w:ascii="Times New Roman" w:hAnsi="Times New Roman"/>
        </w:rPr>
        <w:t>21</w:t>
      </w:r>
      <w:r w:rsidR="00C07C37" w:rsidRPr="00191C99">
        <w:rPr>
          <w:rFonts w:ascii="Times New Roman" w:hAnsi="Times New Roman"/>
        </w:rPr>
        <w:t> </w:t>
      </w:r>
      <w:r w:rsidR="00331B8C" w:rsidRPr="00191C99">
        <w:rPr>
          <w:rFonts w:ascii="Times New Roman" w:hAnsi="Times New Roman"/>
        </w:rPr>
        <w:t>August 2023.</w:t>
      </w:r>
      <w:r w:rsidR="000315FE" w:rsidRPr="00191C99">
        <w:rPr>
          <w:rFonts w:ascii="Times New Roman" w:hAnsi="Times New Roman"/>
        </w:rPr>
        <w:t xml:space="preserve"> </w:t>
      </w:r>
    </w:p>
    <w:p w14:paraId="281C0C69" w14:textId="12FB97E9" w:rsidR="00B05D84" w:rsidRPr="00191C99" w:rsidRDefault="000315FE"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9E5DA3" w:rsidRPr="00191C99">
        <w:rPr>
          <w:rFonts w:ascii="Times New Roman" w:hAnsi="Times New Roman"/>
        </w:rPr>
        <w:t>In determining to grant the interlocutory injunction</w:t>
      </w:r>
      <w:r w:rsidR="000104E5" w:rsidRPr="00191C99">
        <w:rPr>
          <w:rFonts w:ascii="Times New Roman" w:hAnsi="Times New Roman"/>
        </w:rPr>
        <w:t>,</w:t>
      </w:r>
      <w:r w:rsidR="009E5DA3" w:rsidRPr="00191C99">
        <w:rPr>
          <w:rFonts w:ascii="Times New Roman" w:hAnsi="Times New Roman"/>
        </w:rPr>
        <w:t xml:space="preserve"> the primary judge recorded that the </w:t>
      </w:r>
      <w:r w:rsidR="00EE01AB" w:rsidRPr="00191C99">
        <w:rPr>
          <w:rFonts w:ascii="Times New Roman" w:hAnsi="Times New Roman"/>
        </w:rPr>
        <w:t xml:space="preserve">substantive relief sought in the originating application (the declaration and related orders) depended on claims that </w:t>
      </w:r>
      <w:r w:rsidR="001A493A" w:rsidRPr="00191C99">
        <w:rPr>
          <w:rFonts w:ascii="Times New Roman" w:hAnsi="Times New Roman"/>
        </w:rPr>
        <w:t xml:space="preserve">"officers of the Commonwealth exceeded the executive power of the Commonwealth in making a number of decisions in purported compliance with ministerial guidelines in respect of requests the </w:t>
      </w:r>
      <w:r w:rsidR="00BE0E74" w:rsidRPr="00191C99">
        <w:rPr>
          <w:rFonts w:ascii="Times New Roman" w:hAnsi="Times New Roman"/>
        </w:rPr>
        <w:t xml:space="preserve">[respondent] </w:t>
      </w:r>
      <w:r w:rsidR="001A493A" w:rsidRPr="00191C99">
        <w:rPr>
          <w:rFonts w:ascii="Times New Roman" w:hAnsi="Times New Roman"/>
        </w:rPr>
        <w:t xml:space="preserve">made for the Minister to consider exercising </w:t>
      </w:r>
      <w:r w:rsidR="00701B96" w:rsidRPr="00191C99">
        <w:rPr>
          <w:rFonts w:ascii="Times New Roman" w:hAnsi="Times New Roman"/>
        </w:rPr>
        <w:t xml:space="preserve">[several personal and non-compellable Ministerial] </w:t>
      </w:r>
      <w:r w:rsidR="001A493A" w:rsidRPr="00191C99">
        <w:rPr>
          <w:rFonts w:ascii="Times New Roman" w:hAnsi="Times New Roman"/>
        </w:rPr>
        <w:t xml:space="preserve">powers </w:t>
      </w:r>
      <w:r w:rsidR="00252D6B" w:rsidRPr="00191C99">
        <w:rPr>
          <w:rFonts w:ascii="Times New Roman" w:hAnsi="Times New Roman"/>
        </w:rPr>
        <w:t>[including that conferred by s</w:t>
      </w:r>
      <w:r w:rsidR="00446811" w:rsidRPr="00191C99">
        <w:rPr>
          <w:rFonts w:ascii="Times New Roman" w:hAnsi="Times New Roman"/>
        </w:rPr>
        <w:t> </w:t>
      </w:r>
      <w:r w:rsidR="00252D6B" w:rsidRPr="00191C99">
        <w:rPr>
          <w:rFonts w:ascii="Times New Roman" w:hAnsi="Times New Roman"/>
        </w:rPr>
        <w:t xml:space="preserve">195A of the </w:t>
      </w:r>
      <w:r w:rsidR="00252D6B" w:rsidRPr="00191C99">
        <w:rPr>
          <w:rFonts w:ascii="Times New Roman" w:hAnsi="Times New Roman"/>
          <w:i/>
          <w:iCs/>
        </w:rPr>
        <w:t>Migration Act</w:t>
      </w:r>
      <w:r w:rsidR="00252D6B" w:rsidRPr="00191C99">
        <w:rPr>
          <w:rFonts w:ascii="Times New Roman" w:hAnsi="Times New Roman"/>
        </w:rPr>
        <w:t xml:space="preserve">] </w:t>
      </w:r>
      <w:r w:rsidR="001A493A" w:rsidRPr="00191C99">
        <w:rPr>
          <w:rFonts w:ascii="Times New Roman" w:hAnsi="Times New Roman"/>
        </w:rPr>
        <w:t xml:space="preserve">to grant the </w:t>
      </w:r>
      <w:r w:rsidR="00BE0E74" w:rsidRPr="00191C99">
        <w:rPr>
          <w:rFonts w:ascii="Times New Roman" w:hAnsi="Times New Roman"/>
        </w:rPr>
        <w:t xml:space="preserve">[respondent] </w:t>
      </w:r>
      <w:r w:rsidR="001A493A" w:rsidRPr="00191C99">
        <w:rPr>
          <w:rFonts w:ascii="Times New Roman" w:hAnsi="Times New Roman"/>
        </w:rPr>
        <w:t>a visa</w:t>
      </w:r>
      <w:r w:rsidR="00BE0E74" w:rsidRPr="00191C99">
        <w:rPr>
          <w:rFonts w:ascii="Times New Roman" w:hAnsi="Times New Roman"/>
        </w:rPr>
        <w:t>"</w:t>
      </w:r>
      <w:r w:rsidR="0037031E" w:rsidRPr="00191C99">
        <w:rPr>
          <w:rFonts w:ascii="Times New Roman" w:hAnsi="Times New Roman"/>
        </w:rPr>
        <w:t>.</w:t>
      </w:r>
      <w:r w:rsidR="000E155B" w:rsidRPr="00191C99">
        <w:rPr>
          <w:rStyle w:val="FootnoteReference"/>
          <w:rFonts w:ascii="Times New Roman" w:hAnsi="Times New Roman"/>
          <w:sz w:val="24"/>
        </w:rPr>
        <w:footnoteReference w:id="6"/>
      </w:r>
      <w:r w:rsidR="000E155B" w:rsidRPr="00191C99">
        <w:rPr>
          <w:rFonts w:ascii="Times New Roman" w:hAnsi="Times New Roman"/>
        </w:rPr>
        <w:t xml:space="preserve"> </w:t>
      </w:r>
    </w:p>
    <w:p w14:paraId="4033649F" w14:textId="5BA670A3" w:rsidR="00E13DA7" w:rsidRPr="00191C99" w:rsidRDefault="00E13DA7"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8D272B" w:rsidRPr="00191C99">
        <w:rPr>
          <w:rFonts w:ascii="Times New Roman" w:hAnsi="Times New Roman"/>
        </w:rPr>
        <w:t xml:space="preserve">The primary judge </w:t>
      </w:r>
      <w:r w:rsidR="006C398F" w:rsidRPr="00191C99">
        <w:rPr>
          <w:rFonts w:ascii="Times New Roman" w:hAnsi="Times New Roman"/>
        </w:rPr>
        <w:t xml:space="preserve">found that </w:t>
      </w:r>
      <w:r w:rsidR="00653956" w:rsidRPr="00191C99">
        <w:rPr>
          <w:rFonts w:ascii="Times New Roman" w:hAnsi="Times New Roman"/>
        </w:rPr>
        <w:t>"</w:t>
      </w:r>
      <w:r w:rsidR="00ED6E25" w:rsidRPr="00191C99">
        <w:rPr>
          <w:rFonts w:ascii="Times New Roman" w:hAnsi="Times New Roman"/>
        </w:rPr>
        <w:t xml:space="preserve">with respect to the 2016 Ministerial Guidelines, the factors that the Department is instructed to assess and balance operate as </w:t>
      </w:r>
      <w:r w:rsidR="0063248E" w:rsidRPr="00191C99">
        <w:rPr>
          <w:rFonts w:ascii="Times New Roman" w:hAnsi="Times New Roman"/>
        </w:rPr>
        <w:t>'</w:t>
      </w:r>
      <w:r w:rsidR="00ED6E25" w:rsidRPr="00191C99">
        <w:rPr>
          <w:rFonts w:ascii="Times New Roman" w:hAnsi="Times New Roman"/>
        </w:rPr>
        <w:t>an approximation of the public interest</w:t>
      </w:r>
      <w:r w:rsidR="0063248E" w:rsidRPr="00191C99">
        <w:rPr>
          <w:rFonts w:ascii="Times New Roman" w:hAnsi="Times New Roman"/>
        </w:rPr>
        <w:t>'</w:t>
      </w:r>
      <w:r w:rsidR="00ED6E25" w:rsidRPr="00191C99">
        <w:rPr>
          <w:rFonts w:ascii="Times New Roman" w:hAnsi="Times New Roman"/>
        </w:rPr>
        <w:t>. Therefore, it is reasonably arguable that the Minister has purported to entrust the dispositive evaluation of the public interest to departmental officers and thereby exceeded the statutory limit on executive power imposed by s 195A(1)."</w:t>
      </w:r>
      <w:r w:rsidR="00286049" w:rsidRPr="00191C99">
        <w:rPr>
          <w:rStyle w:val="FootnoteReference"/>
          <w:rFonts w:ascii="Times New Roman" w:hAnsi="Times New Roman"/>
          <w:sz w:val="24"/>
        </w:rPr>
        <w:footnoteReference w:id="7"/>
      </w:r>
      <w:r w:rsidR="00DD295C" w:rsidRPr="00191C99">
        <w:rPr>
          <w:rFonts w:ascii="Times New Roman" w:hAnsi="Times New Roman"/>
        </w:rPr>
        <w:t xml:space="preserve"> As a result, the primary judge concluded that there was "a sound legal basis for, at least, the declaratory relief the [respondent] seeks in the proceedings</w:t>
      </w:r>
      <w:r w:rsidR="00AE26F5" w:rsidRPr="00191C99">
        <w:rPr>
          <w:rFonts w:ascii="Times New Roman" w:hAnsi="Times New Roman"/>
        </w:rPr>
        <w:t>".</w:t>
      </w:r>
      <w:r w:rsidR="00BF08AC" w:rsidRPr="00191C99">
        <w:rPr>
          <w:rStyle w:val="FootnoteReference"/>
          <w:rFonts w:ascii="Times New Roman" w:hAnsi="Times New Roman"/>
          <w:sz w:val="24"/>
        </w:rPr>
        <w:footnoteReference w:id="8"/>
      </w:r>
    </w:p>
    <w:p w14:paraId="6DFE9345" w14:textId="385221BA" w:rsidR="00604601" w:rsidRPr="00191C99" w:rsidRDefault="00653D25"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AA0691" w:rsidRPr="00191C99">
        <w:rPr>
          <w:rFonts w:ascii="Times New Roman" w:hAnsi="Times New Roman"/>
        </w:rPr>
        <w:t>T</w:t>
      </w:r>
      <w:r w:rsidR="001373A7" w:rsidRPr="00191C99">
        <w:rPr>
          <w:rFonts w:ascii="Times New Roman" w:hAnsi="Times New Roman"/>
        </w:rPr>
        <w:t xml:space="preserve">he primary judge also found that </w:t>
      </w:r>
      <w:r w:rsidR="00801663" w:rsidRPr="00191C99">
        <w:rPr>
          <w:rFonts w:ascii="Times New Roman" w:hAnsi="Times New Roman"/>
        </w:rPr>
        <w:t xml:space="preserve">the affidavits adduced </w:t>
      </w:r>
      <w:r w:rsidR="00983FEB" w:rsidRPr="00191C99">
        <w:rPr>
          <w:rFonts w:ascii="Times New Roman" w:hAnsi="Times New Roman"/>
        </w:rPr>
        <w:t>as evidence in respect of the application for the interlocutory injunction demonstrated</w:t>
      </w:r>
      <w:r w:rsidR="00A91B69" w:rsidRPr="00191C99">
        <w:rPr>
          <w:rFonts w:ascii="Times New Roman" w:hAnsi="Times New Roman"/>
        </w:rPr>
        <w:t>,</w:t>
      </w:r>
      <w:r w:rsidR="00983FEB" w:rsidRPr="00191C99">
        <w:rPr>
          <w:rFonts w:ascii="Times New Roman" w:hAnsi="Times New Roman"/>
        </w:rPr>
        <w:t xml:space="preserve"> "</w:t>
      </w:r>
      <w:r w:rsidR="006A6AE3" w:rsidRPr="00191C99">
        <w:rPr>
          <w:rFonts w:ascii="Times New Roman" w:hAnsi="Times New Roman"/>
        </w:rPr>
        <w:t xml:space="preserve">at the very least, that the Department made assessments of the [respondent's] circumstances against the 2016 Ministerial Guidelines and </w:t>
      </w:r>
      <w:r w:rsidR="00703A5D" w:rsidRPr="00191C99">
        <w:rPr>
          <w:rFonts w:ascii="Times New Roman" w:hAnsi="Times New Roman"/>
        </w:rPr>
        <w:t>'</w:t>
      </w:r>
      <w:r w:rsidR="006A6AE3" w:rsidRPr="00191C99">
        <w:rPr>
          <w:rFonts w:ascii="Times New Roman" w:hAnsi="Times New Roman"/>
        </w:rPr>
        <w:t>decided</w:t>
      </w:r>
      <w:r w:rsidR="00703A5D" w:rsidRPr="00191C99">
        <w:rPr>
          <w:rFonts w:ascii="Times New Roman" w:hAnsi="Times New Roman"/>
        </w:rPr>
        <w:t>'</w:t>
      </w:r>
      <w:r w:rsidR="006A6AE3" w:rsidRPr="00191C99">
        <w:rPr>
          <w:rFonts w:ascii="Times New Roman" w:hAnsi="Times New Roman"/>
        </w:rPr>
        <w:t xml:space="preserve"> based on those assessments not to refer his case to the Minister for consideration of the exercise of the Minister</w:t>
      </w:r>
      <w:r w:rsidR="008B489A" w:rsidRPr="00191C99">
        <w:rPr>
          <w:rFonts w:ascii="Times New Roman" w:hAnsi="Times New Roman"/>
        </w:rPr>
        <w:t>'</w:t>
      </w:r>
      <w:r w:rsidR="006A6AE3" w:rsidRPr="00191C99">
        <w:rPr>
          <w:rFonts w:ascii="Times New Roman" w:hAnsi="Times New Roman"/>
        </w:rPr>
        <w:t>s power under s 195A"</w:t>
      </w:r>
      <w:r w:rsidR="001D1C94" w:rsidRPr="00191C99">
        <w:rPr>
          <w:rFonts w:ascii="Times New Roman" w:hAnsi="Times New Roman"/>
        </w:rPr>
        <w:t>.</w:t>
      </w:r>
      <w:r w:rsidR="006A6AE3" w:rsidRPr="00191C99">
        <w:rPr>
          <w:rFonts w:ascii="Times New Roman" w:hAnsi="Times New Roman"/>
        </w:rPr>
        <w:t xml:space="preserve"> As a result, the primary judge considered </w:t>
      </w:r>
      <w:r w:rsidR="006A6AE3" w:rsidRPr="00191C99">
        <w:rPr>
          <w:rFonts w:ascii="Times New Roman" w:hAnsi="Times New Roman"/>
        </w:rPr>
        <w:lastRenderedPageBreak/>
        <w:t xml:space="preserve">that the respondent had </w:t>
      </w:r>
      <w:r w:rsidR="00030416" w:rsidRPr="00191C99">
        <w:rPr>
          <w:rFonts w:ascii="Times New Roman" w:hAnsi="Times New Roman"/>
        </w:rPr>
        <w:t>established a factual foundation for the declaratory relief sought in the originating application.</w:t>
      </w:r>
      <w:r w:rsidR="00030416" w:rsidRPr="00191C99">
        <w:rPr>
          <w:rStyle w:val="FootnoteReference"/>
          <w:rFonts w:ascii="Times New Roman" w:hAnsi="Times New Roman"/>
          <w:sz w:val="24"/>
        </w:rPr>
        <w:footnoteReference w:id="9"/>
      </w:r>
    </w:p>
    <w:p w14:paraId="5B7A2EA4" w14:textId="20FC4B31" w:rsidR="00BE7701" w:rsidRPr="00191C99" w:rsidRDefault="00001EDF"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The primary judge, having </w:t>
      </w:r>
      <w:r w:rsidR="003A3153" w:rsidRPr="00191C99">
        <w:rPr>
          <w:rFonts w:ascii="Times New Roman" w:hAnsi="Times New Roman"/>
        </w:rPr>
        <w:t xml:space="preserve">thereby </w:t>
      </w:r>
      <w:r w:rsidRPr="00191C99">
        <w:rPr>
          <w:rFonts w:ascii="Times New Roman" w:hAnsi="Times New Roman"/>
        </w:rPr>
        <w:t xml:space="preserve">found </w:t>
      </w:r>
      <w:r w:rsidR="00AA220D" w:rsidRPr="00191C99">
        <w:rPr>
          <w:rFonts w:ascii="Times New Roman" w:hAnsi="Times New Roman"/>
        </w:rPr>
        <w:t>"</w:t>
      </w:r>
      <w:r w:rsidRPr="00191C99">
        <w:rPr>
          <w:rFonts w:ascii="Times New Roman" w:hAnsi="Times New Roman"/>
        </w:rPr>
        <w:t>a serious question to be tried</w:t>
      </w:r>
      <w:r w:rsidR="00AA220D" w:rsidRPr="00191C99">
        <w:rPr>
          <w:rFonts w:ascii="Times New Roman" w:hAnsi="Times New Roman"/>
        </w:rPr>
        <w:t>"</w:t>
      </w:r>
      <w:r w:rsidR="006A6AC4" w:rsidRPr="00191C99">
        <w:rPr>
          <w:rStyle w:val="FootnoteReference"/>
          <w:rFonts w:ascii="Times New Roman" w:hAnsi="Times New Roman"/>
          <w:sz w:val="24"/>
        </w:rPr>
        <w:footnoteReference w:id="10"/>
      </w:r>
      <w:r w:rsidRPr="00191C99">
        <w:rPr>
          <w:rFonts w:ascii="Times New Roman" w:hAnsi="Times New Roman"/>
        </w:rPr>
        <w:t xml:space="preserve"> existed</w:t>
      </w:r>
      <w:r w:rsidR="00FC6209" w:rsidRPr="00191C99">
        <w:rPr>
          <w:rFonts w:ascii="Times New Roman" w:hAnsi="Times New Roman"/>
        </w:rPr>
        <w:t>,</w:t>
      </w:r>
      <w:r w:rsidRPr="00191C99">
        <w:rPr>
          <w:rFonts w:ascii="Times New Roman" w:hAnsi="Times New Roman"/>
        </w:rPr>
        <w:t xml:space="preserve"> in assessing the balance of </w:t>
      </w:r>
      <w:r w:rsidR="004E32C4" w:rsidRPr="00191C99">
        <w:rPr>
          <w:rFonts w:ascii="Times New Roman" w:hAnsi="Times New Roman"/>
        </w:rPr>
        <w:t>convenience</w:t>
      </w:r>
      <w:r w:rsidRPr="00191C99">
        <w:rPr>
          <w:rFonts w:ascii="Times New Roman" w:hAnsi="Times New Roman"/>
        </w:rPr>
        <w:t xml:space="preserve"> said that </w:t>
      </w:r>
      <w:r w:rsidR="004E32C4" w:rsidRPr="00191C99">
        <w:rPr>
          <w:rFonts w:ascii="Times New Roman" w:hAnsi="Times New Roman"/>
        </w:rPr>
        <w:t>the question was whether the duty to remove the respondent under s 198</w:t>
      </w:r>
      <w:r w:rsidR="00B53226" w:rsidRPr="00191C99">
        <w:rPr>
          <w:rFonts w:ascii="Times New Roman" w:hAnsi="Times New Roman"/>
        </w:rPr>
        <w:t>(6)</w:t>
      </w:r>
      <w:r w:rsidR="004E32C4" w:rsidRPr="00191C99">
        <w:rPr>
          <w:rFonts w:ascii="Times New Roman" w:hAnsi="Times New Roman"/>
        </w:rPr>
        <w:t xml:space="preserve"> of the </w:t>
      </w:r>
      <w:r w:rsidR="004E32C4" w:rsidRPr="00191C99">
        <w:rPr>
          <w:rFonts w:ascii="Times New Roman" w:hAnsi="Times New Roman"/>
          <w:i/>
          <w:iCs/>
        </w:rPr>
        <w:t>Migration Act</w:t>
      </w:r>
      <w:r w:rsidR="004E32C4" w:rsidRPr="00191C99">
        <w:rPr>
          <w:rFonts w:ascii="Times New Roman" w:hAnsi="Times New Roman"/>
        </w:rPr>
        <w:t xml:space="preserve"> </w:t>
      </w:r>
      <w:r w:rsidR="00922F98" w:rsidRPr="00191C99">
        <w:rPr>
          <w:rFonts w:ascii="Times New Roman" w:hAnsi="Times New Roman"/>
        </w:rPr>
        <w:t>would "frustrate the Court's process</w:t>
      </w:r>
      <w:r w:rsidR="00BA3431" w:rsidRPr="00191C99">
        <w:rPr>
          <w:rFonts w:ascii="Times New Roman" w:hAnsi="Times New Roman"/>
        </w:rPr>
        <w:t>es</w:t>
      </w:r>
      <w:r w:rsidR="00922F98" w:rsidRPr="00191C99">
        <w:rPr>
          <w:rFonts w:ascii="Times New Roman" w:hAnsi="Times New Roman"/>
        </w:rPr>
        <w:t>"</w:t>
      </w:r>
      <w:r w:rsidR="00150E93" w:rsidRPr="00191C99">
        <w:rPr>
          <w:rFonts w:ascii="Times New Roman" w:hAnsi="Times New Roman"/>
        </w:rPr>
        <w:t>.</w:t>
      </w:r>
      <w:r w:rsidR="00922F98" w:rsidRPr="00191C99">
        <w:rPr>
          <w:rStyle w:val="FootnoteReference"/>
          <w:rFonts w:ascii="Times New Roman" w:hAnsi="Times New Roman"/>
          <w:sz w:val="24"/>
        </w:rPr>
        <w:footnoteReference w:id="11"/>
      </w:r>
      <w:r w:rsidR="004F111C" w:rsidRPr="00191C99">
        <w:rPr>
          <w:rFonts w:ascii="Times New Roman" w:hAnsi="Times New Roman"/>
        </w:rPr>
        <w:t xml:space="preserve"> </w:t>
      </w:r>
      <w:r w:rsidR="00E7036F" w:rsidRPr="00191C99">
        <w:rPr>
          <w:rFonts w:ascii="Times New Roman" w:hAnsi="Times New Roman"/>
        </w:rPr>
        <w:t>In answering that question</w:t>
      </w:r>
      <w:r w:rsidR="002C4F5A" w:rsidRPr="00191C99">
        <w:rPr>
          <w:rFonts w:ascii="Times New Roman" w:hAnsi="Times New Roman"/>
        </w:rPr>
        <w:t xml:space="preserve"> </w:t>
      </w:r>
      <w:r w:rsidR="00993E00" w:rsidRPr="00191C99">
        <w:rPr>
          <w:rFonts w:ascii="Times New Roman" w:hAnsi="Times New Roman"/>
        </w:rPr>
        <w:t>in the affirmative</w:t>
      </w:r>
      <w:r w:rsidR="00E7036F" w:rsidRPr="00191C99">
        <w:rPr>
          <w:rFonts w:ascii="Times New Roman" w:hAnsi="Times New Roman"/>
        </w:rPr>
        <w:t xml:space="preserve">, the primary judge found </w:t>
      </w:r>
      <w:r w:rsidR="00E3719F" w:rsidRPr="00191C99">
        <w:rPr>
          <w:rFonts w:ascii="Times New Roman" w:hAnsi="Times New Roman"/>
        </w:rPr>
        <w:t>that</w:t>
      </w:r>
      <w:r w:rsidR="00E7036F" w:rsidRPr="00191C99">
        <w:rPr>
          <w:rFonts w:ascii="Times New Roman" w:hAnsi="Times New Roman"/>
        </w:rPr>
        <w:t>:</w:t>
      </w:r>
      <w:r w:rsidR="00E7036F" w:rsidRPr="00191C99">
        <w:rPr>
          <w:rStyle w:val="FootnoteReference"/>
          <w:rFonts w:ascii="Times New Roman" w:hAnsi="Times New Roman"/>
          <w:sz w:val="24"/>
        </w:rPr>
        <w:footnoteReference w:id="12"/>
      </w:r>
    </w:p>
    <w:p w14:paraId="18F2D51B" w14:textId="1749957C" w:rsidR="00191C99" w:rsidRDefault="00E7036F" w:rsidP="00191C99">
      <w:pPr>
        <w:pStyle w:val="leftright"/>
        <w:spacing w:before="0" w:after="260" w:line="280" w:lineRule="exact"/>
        <w:ind w:right="0"/>
        <w:jc w:val="both"/>
        <w:rPr>
          <w:rFonts w:ascii="Times New Roman" w:hAnsi="Times New Roman"/>
        </w:rPr>
      </w:pPr>
      <w:r w:rsidRPr="00191C99">
        <w:rPr>
          <w:rFonts w:ascii="Times New Roman" w:hAnsi="Times New Roman"/>
        </w:rPr>
        <w:t>"</w:t>
      </w:r>
      <w:r w:rsidR="00CF07A2">
        <w:rPr>
          <w:rFonts w:ascii="Times New Roman" w:hAnsi="Times New Roman"/>
        </w:rPr>
        <w:t> </w:t>
      </w:r>
      <w:r w:rsidR="006A5343" w:rsidRPr="00191C99">
        <w:rPr>
          <w:rFonts w:ascii="Times New Roman" w:hAnsi="Times New Roman"/>
        </w:rPr>
        <w:t>...</w:t>
      </w:r>
      <w:r w:rsidR="00E73893" w:rsidRPr="00191C99">
        <w:rPr>
          <w:rFonts w:ascii="Times New Roman" w:hAnsi="Times New Roman"/>
        </w:rPr>
        <w:t> </w:t>
      </w:r>
      <w:r w:rsidR="006A5343" w:rsidRPr="00191C99">
        <w:rPr>
          <w:rFonts w:ascii="Times New Roman" w:hAnsi="Times New Roman"/>
        </w:rPr>
        <w:t>the [respondent's] ability to represent himself and, if legally represented, maintain his instructions, will be significantly impeded if he were removed from Australia. In such circumstances, there is a very real prospect that due to physical harm or medical ailment he would not be able to continue to prosecute these proceedings from India.</w:t>
      </w:r>
      <w:r w:rsidR="00AB1E48" w:rsidRPr="00191C99">
        <w:rPr>
          <w:rFonts w:ascii="Times New Roman" w:hAnsi="Times New Roman"/>
        </w:rPr>
        <w:t>"</w:t>
      </w:r>
    </w:p>
    <w:p w14:paraId="3C728BDB" w14:textId="68B23D9E" w:rsidR="00D81457" w:rsidRPr="00191C99" w:rsidRDefault="002A2C0C"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D81457" w:rsidRPr="00191C99">
        <w:rPr>
          <w:rFonts w:ascii="Times New Roman" w:hAnsi="Times New Roman"/>
        </w:rPr>
        <w:t>Further, the primary judge found that</w:t>
      </w:r>
      <w:r w:rsidR="009D63E0" w:rsidRPr="00191C99">
        <w:rPr>
          <w:rFonts w:ascii="Times New Roman" w:hAnsi="Times New Roman"/>
        </w:rPr>
        <w:t>:</w:t>
      </w:r>
      <w:r w:rsidR="009D63E0" w:rsidRPr="00191C99">
        <w:rPr>
          <w:rStyle w:val="FootnoteReference"/>
          <w:rFonts w:ascii="Times New Roman" w:hAnsi="Times New Roman"/>
          <w:sz w:val="24"/>
        </w:rPr>
        <w:footnoteReference w:id="13"/>
      </w:r>
      <w:r w:rsidR="00D81457" w:rsidRPr="00191C99">
        <w:rPr>
          <w:rFonts w:ascii="Times New Roman" w:hAnsi="Times New Roman"/>
        </w:rPr>
        <w:t xml:space="preserve"> </w:t>
      </w:r>
    </w:p>
    <w:p w14:paraId="024A1A33" w14:textId="5301EDFB" w:rsidR="00191C99" w:rsidRDefault="00D81457" w:rsidP="00191C99">
      <w:pPr>
        <w:pStyle w:val="leftright"/>
        <w:spacing w:before="0" w:after="260" w:line="280" w:lineRule="exact"/>
        <w:ind w:right="0"/>
        <w:jc w:val="both"/>
        <w:rPr>
          <w:rFonts w:ascii="Times New Roman" w:hAnsi="Times New Roman"/>
        </w:rPr>
      </w:pPr>
      <w:r w:rsidRPr="00191C99">
        <w:rPr>
          <w:rFonts w:ascii="Times New Roman" w:hAnsi="Times New Roman"/>
        </w:rPr>
        <w:t>"</w:t>
      </w:r>
      <w:r w:rsidR="00CF07A2">
        <w:rPr>
          <w:rFonts w:ascii="Times New Roman" w:hAnsi="Times New Roman"/>
        </w:rPr>
        <w:t> </w:t>
      </w:r>
      <w:r w:rsidR="00527353" w:rsidRPr="00191C99">
        <w:rPr>
          <w:rFonts w:ascii="Times New Roman" w:hAnsi="Times New Roman"/>
        </w:rPr>
        <w:t>... </w:t>
      </w:r>
      <w:r w:rsidRPr="00191C99">
        <w:rPr>
          <w:rFonts w:ascii="Times New Roman" w:hAnsi="Times New Roman"/>
        </w:rPr>
        <w:t xml:space="preserve">while remote, any possibility of the grant of a visa under s 195A would be lost if the </w:t>
      </w:r>
      <w:r w:rsidR="004237D6" w:rsidRPr="00191C99">
        <w:rPr>
          <w:rFonts w:ascii="Times New Roman" w:hAnsi="Times New Roman"/>
        </w:rPr>
        <w:t xml:space="preserve">[respondent] </w:t>
      </w:r>
      <w:r w:rsidRPr="00191C99">
        <w:rPr>
          <w:rFonts w:ascii="Times New Roman" w:hAnsi="Times New Roman"/>
        </w:rPr>
        <w:t>were removed from Australia. These proceedings are a step along the way to bringing to fruition that remote possibility. Thus, removal from Australia would practically deprive the applicant of the subject matter of the proceeding (his interest in remaining in Australia)."</w:t>
      </w:r>
    </w:p>
    <w:p w14:paraId="7E8136AF" w14:textId="1A747F73" w:rsidR="00AB1E48" w:rsidRPr="00191C99" w:rsidRDefault="00895F7F" w:rsidP="00191C99">
      <w:pPr>
        <w:pStyle w:val="FixListStyle"/>
        <w:spacing w:after="260" w:line="280" w:lineRule="exact"/>
        <w:ind w:right="0"/>
        <w:jc w:val="both"/>
        <w:rPr>
          <w:rFonts w:ascii="Times New Roman" w:hAnsi="Times New Roman"/>
        </w:rPr>
      </w:pPr>
      <w:r w:rsidRPr="00191C99">
        <w:rPr>
          <w:rFonts w:ascii="Times New Roman" w:hAnsi="Times New Roman"/>
        </w:rPr>
        <w:lastRenderedPageBreak/>
        <w:tab/>
      </w:r>
      <w:r w:rsidR="006A6AC4" w:rsidRPr="00191C99">
        <w:rPr>
          <w:rFonts w:ascii="Times New Roman" w:hAnsi="Times New Roman"/>
        </w:rPr>
        <w:t>The primary judge</w:t>
      </w:r>
      <w:r w:rsidR="00880A8B" w:rsidRPr="00191C99">
        <w:rPr>
          <w:rFonts w:ascii="Times New Roman" w:hAnsi="Times New Roman"/>
        </w:rPr>
        <w:t>, explaining why the interlocutory injunction restraining the respondent's removal from Australia would be granted,</w:t>
      </w:r>
      <w:r w:rsidR="006A6AC4" w:rsidRPr="00191C99">
        <w:rPr>
          <w:rFonts w:ascii="Times New Roman" w:hAnsi="Times New Roman"/>
        </w:rPr>
        <w:t xml:space="preserve"> </w:t>
      </w:r>
      <w:r w:rsidR="00BE7701" w:rsidRPr="00191C99">
        <w:rPr>
          <w:rFonts w:ascii="Times New Roman" w:hAnsi="Times New Roman"/>
        </w:rPr>
        <w:t>concluded that:</w:t>
      </w:r>
      <w:r w:rsidR="000502B1" w:rsidRPr="00191C99">
        <w:rPr>
          <w:rStyle w:val="FootnoteReference"/>
          <w:rFonts w:ascii="Times New Roman" w:hAnsi="Times New Roman"/>
          <w:sz w:val="24"/>
        </w:rPr>
        <w:footnoteReference w:id="14"/>
      </w:r>
    </w:p>
    <w:p w14:paraId="46C45F37" w14:textId="77777777" w:rsidR="00191C99" w:rsidRDefault="00056EFA" w:rsidP="00191C99">
      <w:pPr>
        <w:pStyle w:val="leftright"/>
        <w:spacing w:before="0" w:after="260" w:line="280" w:lineRule="exact"/>
        <w:ind w:right="0"/>
        <w:jc w:val="both"/>
        <w:rPr>
          <w:rFonts w:ascii="Times New Roman" w:hAnsi="Times New Roman"/>
        </w:rPr>
      </w:pPr>
      <w:r w:rsidRPr="00191C99">
        <w:rPr>
          <w:rFonts w:ascii="Times New Roman" w:hAnsi="Times New Roman"/>
        </w:rPr>
        <w:tab/>
      </w:r>
      <w:r w:rsidR="00BE7701" w:rsidRPr="00191C99">
        <w:rPr>
          <w:rFonts w:ascii="Times New Roman" w:hAnsi="Times New Roman"/>
        </w:rPr>
        <w:t xml:space="preserve">"In this case, granting an interlocutory injunction is the course that carries the lower risk of injustice. In so doing, I accept that </w:t>
      </w:r>
      <w:r w:rsidR="00EC259E" w:rsidRPr="00191C99">
        <w:rPr>
          <w:rFonts w:ascii="Times New Roman" w:hAnsi="Times New Roman"/>
        </w:rPr>
        <w:t>'</w:t>
      </w:r>
      <w:r w:rsidR="00BE7701" w:rsidRPr="00191C99">
        <w:rPr>
          <w:rFonts w:ascii="Times New Roman" w:hAnsi="Times New Roman"/>
        </w:rPr>
        <w:t>risk of injustice</w:t>
      </w:r>
      <w:r w:rsidR="00EC259E" w:rsidRPr="00191C99">
        <w:rPr>
          <w:rFonts w:ascii="Times New Roman" w:hAnsi="Times New Roman"/>
        </w:rPr>
        <w:t>'</w:t>
      </w:r>
      <w:r w:rsidR="00BE7701" w:rsidRPr="00191C99">
        <w:rPr>
          <w:rFonts w:ascii="Times New Roman" w:hAnsi="Times New Roman"/>
        </w:rPr>
        <w:t xml:space="preserve"> in the context of public law and impeding or frustrating legislative intention falls within the concept of </w:t>
      </w:r>
      <w:r w:rsidR="00EC259E" w:rsidRPr="00191C99">
        <w:rPr>
          <w:rFonts w:ascii="Times New Roman" w:hAnsi="Times New Roman"/>
        </w:rPr>
        <w:t>'</w:t>
      </w:r>
      <w:r w:rsidR="00BE7701" w:rsidRPr="00191C99">
        <w:rPr>
          <w:rFonts w:ascii="Times New Roman" w:hAnsi="Times New Roman"/>
        </w:rPr>
        <w:t>injustice</w:t>
      </w:r>
      <w:r w:rsidR="00EC259E" w:rsidRPr="00191C99">
        <w:rPr>
          <w:rFonts w:ascii="Times New Roman" w:hAnsi="Times New Roman"/>
        </w:rPr>
        <w:t>'</w:t>
      </w:r>
      <w:r w:rsidR="00BE7701" w:rsidRPr="00191C99">
        <w:rPr>
          <w:rFonts w:ascii="Times New Roman" w:hAnsi="Times New Roman"/>
        </w:rPr>
        <w:t xml:space="preserve"> for the purposes of assessment of that risk. But, here, the countervailing and greater risk of injustice is that of frustrating the Court</w:t>
      </w:r>
      <w:r w:rsidR="00800E56" w:rsidRPr="00191C99">
        <w:rPr>
          <w:rFonts w:ascii="Times New Roman" w:hAnsi="Times New Roman"/>
        </w:rPr>
        <w:t>'</w:t>
      </w:r>
      <w:r w:rsidR="00BE7701" w:rsidRPr="00191C99">
        <w:rPr>
          <w:rFonts w:ascii="Times New Roman" w:hAnsi="Times New Roman"/>
        </w:rPr>
        <w:t>s supervisory jurisdiction that entails ensuring that the exercise of executive power takes place within the legislative limits of that power."</w:t>
      </w:r>
    </w:p>
    <w:p w14:paraId="372520B2" w14:textId="034D47B3" w:rsidR="002633E6" w:rsidRPr="00191C99" w:rsidRDefault="002633E6" w:rsidP="00191C99">
      <w:pPr>
        <w:pStyle w:val="HeadingL2"/>
        <w:spacing w:after="260" w:line="280" w:lineRule="exact"/>
        <w:ind w:right="0"/>
        <w:jc w:val="both"/>
        <w:rPr>
          <w:rFonts w:ascii="Times New Roman" w:hAnsi="Times New Roman"/>
        </w:rPr>
      </w:pPr>
      <w:r w:rsidRPr="00191C99">
        <w:rPr>
          <w:rFonts w:ascii="Times New Roman" w:hAnsi="Times New Roman"/>
        </w:rPr>
        <w:t>The Full Court dismisses the appeal</w:t>
      </w:r>
    </w:p>
    <w:p w14:paraId="26A92762" w14:textId="2FFFB98D" w:rsidR="00D12192" w:rsidRPr="00191C99" w:rsidRDefault="002633E6"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8B09E3" w:rsidRPr="00191C99">
        <w:rPr>
          <w:rFonts w:ascii="Times New Roman" w:hAnsi="Times New Roman"/>
        </w:rPr>
        <w:t xml:space="preserve">The </w:t>
      </w:r>
      <w:r w:rsidR="00163B91" w:rsidRPr="00191C99">
        <w:rPr>
          <w:rFonts w:ascii="Times New Roman" w:hAnsi="Times New Roman"/>
        </w:rPr>
        <w:t xml:space="preserve">appellants </w:t>
      </w:r>
      <w:r w:rsidR="008B09E3" w:rsidRPr="00191C99">
        <w:rPr>
          <w:rFonts w:ascii="Times New Roman" w:hAnsi="Times New Roman"/>
        </w:rPr>
        <w:t xml:space="preserve">applied for leave to appeal from the orders of the primary judge granting the interlocutory injunction. </w:t>
      </w:r>
      <w:r w:rsidR="00CD13EA" w:rsidRPr="00191C99">
        <w:rPr>
          <w:rFonts w:ascii="Times New Roman" w:hAnsi="Times New Roman"/>
        </w:rPr>
        <w:t xml:space="preserve">The Full </w:t>
      </w:r>
      <w:r w:rsidR="00F90601" w:rsidRPr="00191C99">
        <w:rPr>
          <w:rFonts w:ascii="Times New Roman" w:hAnsi="Times New Roman"/>
        </w:rPr>
        <w:t>Court</w:t>
      </w:r>
      <w:r w:rsidR="00CD13EA" w:rsidRPr="00191C99">
        <w:rPr>
          <w:rFonts w:ascii="Times New Roman" w:hAnsi="Times New Roman"/>
        </w:rPr>
        <w:t xml:space="preserve"> of the Federal </w:t>
      </w:r>
      <w:r w:rsidR="00F90601" w:rsidRPr="00191C99">
        <w:rPr>
          <w:rFonts w:ascii="Times New Roman" w:hAnsi="Times New Roman"/>
        </w:rPr>
        <w:t>Co</w:t>
      </w:r>
      <w:r w:rsidR="00CD13EA" w:rsidRPr="00191C99">
        <w:rPr>
          <w:rFonts w:ascii="Times New Roman" w:hAnsi="Times New Roman"/>
        </w:rPr>
        <w:t xml:space="preserve">urt of Australia </w:t>
      </w:r>
      <w:r w:rsidR="00F90601" w:rsidRPr="00191C99">
        <w:rPr>
          <w:rFonts w:ascii="Times New Roman" w:hAnsi="Times New Roman"/>
        </w:rPr>
        <w:t>(Sarah</w:t>
      </w:r>
      <w:r w:rsidR="004832A0" w:rsidRPr="00191C99">
        <w:rPr>
          <w:rFonts w:ascii="Times New Roman" w:hAnsi="Times New Roman"/>
        </w:rPr>
        <w:t> </w:t>
      </w:r>
      <w:r w:rsidR="00F90601" w:rsidRPr="00191C99">
        <w:rPr>
          <w:rFonts w:ascii="Times New Roman" w:hAnsi="Times New Roman"/>
        </w:rPr>
        <w:t xml:space="preserve">C </w:t>
      </w:r>
      <w:proofErr w:type="spellStart"/>
      <w:r w:rsidR="00F90601" w:rsidRPr="00191C99">
        <w:rPr>
          <w:rFonts w:ascii="Times New Roman" w:hAnsi="Times New Roman"/>
        </w:rPr>
        <w:t>Derrington</w:t>
      </w:r>
      <w:proofErr w:type="spellEnd"/>
      <w:r w:rsidR="00F90601" w:rsidRPr="00191C99">
        <w:rPr>
          <w:rFonts w:ascii="Times New Roman" w:hAnsi="Times New Roman"/>
        </w:rPr>
        <w:t xml:space="preserve">, Colvin and Jackson JJ) </w:t>
      </w:r>
      <w:r w:rsidR="00EE4DFD" w:rsidRPr="00191C99">
        <w:rPr>
          <w:rFonts w:ascii="Times New Roman" w:hAnsi="Times New Roman"/>
        </w:rPr>
        <w:t xml:space="preserve">granted leave to appeal and </w:t>
      </w:r>
      <w:r w:rsidR="003F20AE" w:rsidRPr="00191C99">
        <w:rPr>
          <w:rFonts w:ascii="Times New Roman" w:hAnsi="Times New Roman"/>
        </w:rPr>
        <w:t xml:space="preserve">by majority </w:t>
      </w:r>
      <w:r w:rsidR="00EE4DFD" w:rsidRPr="00191C99">
        <w:rPr>
          <w:rFonts w:ascii="Times New Roman" w:hAnsi="Times New Roman"/>
        </w:rPr>
        <w:t>dismissed the appeal.</w:t>
      </w:r>
      <w:r w:rsidR="00EE4DFD" w:rsidRPr="00191C99">
        <w:rPr>
          <w:rStyle w:val="FootnoteReference"/>
          <w:rFonts w:ascii="Times New Roman" w:hAnsi="Times New Roman"/>
          <w:sz w:val="24"/>
        </w:rPr>
        <w:footnoteReference w:id="15"/>
      </w:r>
      <w:r w:rsidR="00AB267D" w:rsidRPr="00191C99">
        <w:rPr>
          <w:rFonts w:ascii="Times New Roman" w:hAnsi="Times New Roman"/>
        </w:rPr>
        <w:t xml:space="preserve"> </w:t>
      </w:r>
    </w:p>
    <w:p w14:paraId="0F438FE3" w14:textId="333CE76E" w:rsidR="002A047F" w:rsidRPr="00191C99" w:rsidRDefault="00D12192"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2E2F56" w:rsidRPr="00191C99">
        <w:rPr>
          <w:rFonts w:ascii="Times New Roman" w:hAnsi="Times New Roman"/>
        </w:rPr>
        <w:t>Sarah</w:t>
      </w:r>
      <w:r w:rsidR="00C11FA9" w:rsidRPr="00191C99">
        <w:rPr>
          <w:rFonts w:ascii="Times New Roman" w:hAnsi="Times New Roman"/>
        </w:rPr>
        <w:t> </w:t>
      </w:r>
      <w:r w:rsidR="002E2F56" w:rsidRPr="00191C99">
        <w:rPr>
          <w:rFonts w:ascii="Times New Roman" w:hAnsi="Times New Roman"/>
        </w:rPr>
        <w:t xml:space="preserve">C </w:t>
      </w:r>
      <w:proofErr w:type="spellStart"/>
      <w:r w:rsidR="002E2F56" w:rsidRPr="00191C99">
        <w:rPr>
          <w:rFonts w:ascii="Times New Roman" w:hAnsi="Times New Roman"/>
        </w:rPr>
        <w:t>Derrington</w:t>
      </w:r>
      <w:proofErr w:type="spellEnd"/>
      <w:r w:rsidR="002E2F56" w:rsidRPr="00191C99">
        <w:rPr>
          <w:rFonts w:ascii="Times New Roman" w:hAnsi="Times New Roman"/>
        </w:rPr>
        <w:t> J</w:t>
      </w:r>
      <w:r w:rsidR="00965042" w:rsidRPr="00191C99">
        <w:rPr>
          <w:rFonts w:ascii="Times New Roman" w:hAnsi="Times New Roman"/>
        </w:rPr>
        <w:t xml:space="preserve">, </w:t>
      </w:r>
      <w:r w:rsidR="002E2F56" w:rsidRPr="00191C99">
        <w:rPr>
          <w:rFonts w:ascii="Times New Roman" w:hAnsi="Times New Roman"/>
        </w:rPr>
        <w:t>in dissent</w:t>
      </w:r>
      <w:r w:rsidR="002857F8" w:rsidRPr="00191C99">
        <w:rPr>
          <w:rFonts w:ascii="Times New Roman" w:hAnsi="Times New Roman"/>
        </w:rPr>
        <w:t xml:space="preserve"> on the appeal</w:t>
      </w:r>
      <w:r w:rsidR="00965042" w:rsidRPr="00191C99">
        <w:rPr>
          <w:rFonts w:ascii="Times New Roman" w:hAnsi="Times New Roman"/>
        </w:rPr>
        <w:t>,</w:t>
      </w:r>
      <w:r w:rsidR="002E2F56" w:rsidRPr="00191C99">
        <w:rPr>
          <w:rFonts w:ascii="Times New Roman" w:hAnsi="Times New Roman"/>
        </w:rPr>
        <w:t xml:space="preserve"> con</w:t>
      </w:r>
      <w:r w:rsidR="00D03FB3" w:rsidRPr="00191C99">
        <w:rPr>
          <w:rFonts w:ascii="Times New Roman" w:hAnsi="Times New Roman"/>
        </w:rPr>
        <w:t>sidered</w:t>
      </w:r>
      <w:r w:rsidR="002E2F56" w:rsidRPr="00191C99">
        <w:rPr>
          <w:rFonts w:ascii="Times New Roman" w:hAnsi="Times New Roman"/>
        </w:rPr>
        <w:t xml:space="preserve"> that</w:t>
      </w:r>
      <w:r w:rsidR="005C1F0D" w:rsidRPr="00191C99">
        <w:rPr>
          <w:rFonts w:ascii="Times New Roman" w:hAnsi="Times New Roman"/>
        </w:rPr>
        <w:t xml:space="preserve"> "[t]he preconditions specified in s 198(6) having been met, and there being no legal challenge to any of those preconditions which have engaged the Court</w:t>
      </w:r>
      <w:r w:rsidR="00A3242D" w:rsidRPr="00191C99">
        <w:rPr>
          <w:rFonts w:ascii="Times New Roman" w:hAnsi="Times New Roman"/>
        </w:rPr>
        <w:t>'</w:t>
      </w:r>
      <w:r w:rsidR="005C1F0D" w:rsidRPr="00191C99">
        <w:rPr>
          <w:rFonts w:ascii="Times New Roman" w:hAnsi="Times New Roman"/>
        </w:rPr>
        <w:t xml:space="preserve">s processes, it cannot be correct that the interlocutory injunction sought by </w:t>
      </w:r>
      <w:r w:rsidR="00B06B99" w:rsidRPr="00191C99">
        <w:rPr>
          <w:rFonts w:ascii="Times New Roman" w:hAnsi="Times New Roman"/>
        </w:rPr>
        <w:t xml:space="preserve">[the respondent] </w:t>
      </w:r>
      <w:r w:rsidR="005C1F0D" w:rsidRPr="00191C99">
        <w:rPr>
          <w:rFonts w:ascii="Times New Roman" w:hAnsi="Times New Roman"/>
        </w:rPr>
        <w:t>is intended to prevent the abuse or frustration of the Court</w:t>
      </w:r>
      <w:r w:rsidR="003165A8" w:rsidRPr="00191C99">
        <w:rPr>
          <w:rFonts w:ascii="Times New Roman" w:hAnsi="Times New Roman"/>
        </w:rPr>
        <w:t>'</w:t>
      </w:r>
      <w:r w:rsidR="005C1F0D" w:rsidRPr="00191C99">
        <w:rPr>
          <w:rFonts w:ascii="Times New Roman" w:hAnsi="Times New Roman"/>
        </w:rPr>
        <w:t xml:space="preserve">s process, which has been engaged in relation to different provisions of the </w:t>
      </w:r>
      <w:r w:rsidR="005C1F0D" w:rsidRPr="00191C99">
        <w:rPr>
          <w:rFonts w:ascii="Times New Roman" w:hAnsi="Times New Roman"/>
          <w:i/>
          <w:iCs/>
        </w:rPr>
        <w:t>Migration Act</w:t>
      </w:r>
      <w:r w:rsidR="005C1F0D" w:rsidRPr="00191C99">
        <w:rPr>
          <w:rFonts w:ascii="Times New Roman" w:hAnsi="Times New Roman"/>
        </w:rPr>
        <w:t xml:space="preserve"> that confer personal, non-compellable powers of intervention on the Minister. The relief sought by </w:t>
      </w:r>
      <w:r w:rsidR="00B06B99" w:rsidRPr="00191C99">
        <w:rPr>
          <w:rFonts w:ascii="Times New Roman" w:hAnsi="Times New Roman"/>
        </w:rPr>
        <w:t>[the respondent</w:t>
      </w:r>
      <w:r w:rsidR="00AE01DF" w:rsidRPr="00191C99">
        <w:rPr>
          <w:rFonts w:ascii="Times New Roman" w:hAnsi="Times New Roman"/>
        </w:rPr>
        <w:t>]</w:t>
      </w:r>
      <w:r w:rsidR="00B06B99" w:rsidRPr="00191C99">
        <w:rPr>
          <w:rFonts w:ascii="Times New Roman" w:hAnsi="Times New Roman"/>
        </w:rPr>
        <w:t xml:space="preserve"> </w:t>
      </w:r>
      <w:r w:rsidR="005C1F0D" w:rsidRPr="00191C99">
        <w:rPr>
          <w:rFonts w:ascii="Times New Roman" w:hAnsi="Times New Roman"/>
        </w:rPr>
        <w:t>is not connected to the preconditions for the exercise of the statutory duty in s</w:t>
      </w:r>
      <w:r w:rsidR="00305AEF" w:rsidRPr="00191C99">
        <w:rPr>
          <w:rFonts w:ascii="Times New Roman" w:hAnsi="Times New Roman"/>
        </w:rPr>
        <w:t> </w:t>
      </w:r>
      <w:r w:rsidR="005C1F0D" w:rsidRPr="00191C99">
        <w:rPr>
          <w:rFonts w:ascii="Times New Roman" w:hAnsi="Times New Roman"/>
        </w:rPr>
        <w:t>198(6)</w:t>
      </w:r>
      <w:r w:rsidR="00220BB6" w:rsidRPr="00191C99">
        <w:rPr>
          <w:rFonts w:ascii="Times New Roman" w:hAnsi="Times New Roman"/>
        </w:rPr>
        <w:t>.</w:t>
      </w:r>
      <w:r w:rsidR="0059606F" w:rsidRPr="00191C99">
        <w:rPr>
          <w:rFonts w:ascii="Times New Roman" w:hAnsi="Times New Roman"/>
        </w:rPr>
        <w:t>"</w:t>
      </w:r>
      <w:r w:rsidR="00AE3D57" w:rsidRPr="00191C99">
        <w:rPr>
          <w:rStyle w:val="FootnoteReference"/>
          <w:rFonts w:ascii="Times New Roman" w:hAnsi="Times New Roman"/>
          <w:sz w:val="24"/>
        </w:rPr>
        <w:footnoteReference w:id="16"/>
      </w:r>
      <w:r w:rsidR="00AE3D57" w:rsidRPr="00191C99">
        <w:rPr>
          <w:rFonts w:ascii="Times New Roman" w:hAnsi="Times New Roman"/>
        </w:rPr>
        <w:t xml:space="preserve"> </w:t>
      </w:r>
    </w:p>
    <w:p w14:paraId="3E1207EE" w14:textId="0AAE6828" w:rsidR="00F90601" w:rsidRPr="00191C99" w:rsidRDefault="00042C67"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480DC2" w:rsidRPr="00191C99">
        <w:rPr>
          <w:rFonts w:ascii="Times New Roman" w:hAnsi="Times New Roman"/>
        </w:rPr>
        <w:t>Colvin and Jackson JJ</w:t>
      </w:r>
      <w:r w:rsidR="002857F8" w:rsidRPr="00191C99">
        <w:rPr>
          <w:rFonts w:ascii="Times New Roman" w:hAnsi="Times New Roman"/>
        </w:rPr>
        <w:t>, in the majority on the appeal,</w:t>
      </w:r>
      <w:r w:rsidR="00480DC2" w:rsidRPr="00191C99">
        <w:rPr>
          <w:rFonts w:ascii="Times New Roman" w:hAnsi="Times New Roman"/>
        </w:rPr>
        <w:t xml:space="preserve"> </w:t>
      </w:r>
      <w:r w:rsidR="001130BD" w:rsidRPr="00191C99">
        <w:rPr>
          <w:rFonts w:ascii="Times New Roman" w:hAnsi="Times New Roman"/>
        </w:rPr>
        <w:t xml:space="preserve">identified the </w:t>
      </w:r>
      <w:r w:rsidR="007906E4" w:rsidRPr="00191C99">
        <w:rPr>
          <w:rFonts w:ascii="Times New Roman" w:hAnsi="Times New Roman"/>
        </w:rPr>
        <w:t xml:space="preserve">Minister's contention of error by the primary judge as </w:t>
      </w:r>
      <w:r w:rsidR="009A1E30" w:rsidRPr="00191C99">
        <w:rPr>
          <w:rFonts w:ascii="Times New Roman" w:hAnsi="Times New Roman"/>
        </w:rPr>
        <w:t xml:space="preserve">the primary judge having granted </w:t>
      </w:r>
      <w:r w:rsidR="00213F11" w:rsidRPr="00191C99">
        <w:rPr>
          <w:rFonts w:ascii="Times New Roman" w:hAnsi="Times New Roman"/>
        </w:rPr>
        <w:t xml:space="preserve">"an injunction to restrain the performance of the statute when there was no challenge to the lawful operation of the statute (which requires the removal of the </w:t>
      </w:r>
      <w:r w:rsidR="003775EB" w:rsidRPr="00191C99">
        <w:rPr>
          <w:rFonts w:ascii="Times New Roman" w:hAnsi="Times New Roman"/>
        </w:rPr>
        <w:lastRenderedPageBreak/>
        <w:t>[respondent]</w:t>
      </w:r>
      <w:r w:rsidR="00213F11" w:rsidRPr="00191C99">
        <w:rPr>
          <w:rFonts w:ascii="Times New Roman" w:hAnsi="Times New Roman"/>
        </w:rPr>
        <w:t xml:space="preserve"> from Australia as soon as reasonably practicable)"</w:t>
      </w:r>
      <w:r w:rsidR="004832A0" w:rsidRPr="00191C99">
        <w:rPr>
          <w:rFonts w:ascii="Times New Roman" w:hAnsi="Times New Roman"/>
        </w:rPr>
        <w:t>.</w:t>
      </w:r>
      <w:r w:rsidR="00213F11" w:rsidRPr="00191C99">
        <w:rPr>
          <w:rStyle w:val="FootnoteReference"/>
          <w:rFonts w:ascii="Times New Roman" w:hAnsi="Times New Roman"/>
          <w:sz w:val="24"/>
        </w:rPr>
        <w:footnoteReference w:id="17"/>
      </w:r>
      <w:r w:rsidR="00F82720" w:rsidRPr="00191C99">
        <w:rPr>
          <w:rFonts w:ascii="Times New Roman" w:hAnsi="Times New Roman"/>
        </w:rPr>
        <w:t xml:space="preserve"> The</w:t>
      </w:r>
      <w:r w:rsidR="0029705B" w:rsidRPr="00191C99">
        <w:rPr>
          <w:rFonts w:ascii="Times New Roman" w:hAnsi="Times New Roman"/>
        </w:rPr>
        <w:t>ir Honours</w:t>
      </w:r>
      <w:r w:rsidR="00F82720" w:rsidRPr="00191C99">
        <w:rPr>
          <w:rFonts w:ascii="Times New Roman" w:hAnsi="Times New Roman"/>
        </w:rPr>
        <w:t xml:space="preserve"> reasoned that </w:t>
      </w:r>
      <w:r w:rsidR="00635F2E" w:rsidRPr="00191C99">
        <w:rPr>
          <w:rFonts w:ascii="Times New Roman" w:hAnsi="Times New Roman"/>
        </w:rPr>
        <w:t>"an injunction may be granted by the Court to restrain the performance of a clear statutory duty (such as the duty to remove under s</w:t>
      </w:r>
      <w:r w:rsidR="00EB38C9" w:rsidRPr="00191C99">
        <w:rPr>
          <w:rFonts w:ascii="Times New Roman" w:hAnsi="Times New Roman"/>
        </w:rPr>
        <w:t> </w:t>
      </w:r>
      <w:r w:rsidR="00635F2E" w:rsidRPr="00191C99">
        <w:rPr>
          <w:rFonts w:ascii="Times New Roman" w:hAnsi="Times New Roman"/>
        </w:rPr>
        <w:t>198(6)), but it will only do so to preserve the subject matter of the proceedings and the integrity of its own procedures"</w:t>
      </w:r>
      <w:r w:rsidR="007116BE" w:rsidRPr="00191C99">
        <w:rPr>
          <w:rFonts w:ascii="Times New Roman" w:hAnsi="Times New Roman"/>
        </w:rPr>
        <w:t>.</w:t>
      </w:r>
      <w:r w:rsidR="00635F2E" w:rsidRPr="00191C99">
        <w:rPr>
          <w:rStyle w:val="FootnoteReference"/>
          <w:rFonts w:ascii="Times New Roman" w:hAnsi="Times New Roman"/>
          <w:sz w:val="24"/>
        </w:rPr>
        <w:footnoteReference w:id="18"/>
      </w:r>
      <w:r w:rsidR="00EB38C9" w:rsidRPr="00191C99">
        <w:rPr>
          <w:rFonts w:ascii="Times New Roman" w:hAnsi="Times New Roman"/>
        </w:rPr>
        <w:t xml:space="preserve"> </w:t>
      </w:r>
      <w:r w:rsidR="00D716ED" w:rsidRPr="00191C99">
        <w:rPr>
          <w:rFonts w:ascii="Times New Roman" w:hAnsi="Times New Roman"/>
        </w:rPr>
        <w:t>On that basis</w:t>
      </w:r>
      <w:r w:rsidR="00B66B82" w:rsidRPr="00191C99">
        <w:rPr>
          <w:rFonts w:ascii="Times New Roman" w:hAnsi="Times New Roman"/>
        </w:rPr>
        <w:t>,</w:t>
      </w:r>
      <w:r w:rsidR="00D716ED" w:rsidRPr="00191C99">
        <w:rPr>
          <w:rFonts w:ascii="Times New Roman" w:hAnsi="Times New Roman"/>
        </w:rPr>
        <w:t xml:space="preserve"> </w:t>
      </w:r>
      <w:r w:rsidR="00D45C0A" w:rsidRPr="00191C99">
        <w:rPr>
          <w:rFonts w:ascii="Times New Roman" w:hAnsi="Times New Roman"/>
        </w:rPr>
        <w:t>they concluded that the primary judge had not erred in granting the interlocutory injunction as:</w:t>
      </w:r>
      <w:r w:rsidR="00A40245" w:rsidRPr="00191C99">
        <w:rPr>
          <w:rStyle w:val="FootnoteReference"/>
          <w:rFonts w:ascii="Times New Roman" w:hAnsi="Times New Roman"/>
          <w:sz w:val="24"/>
        </w:rPr>
        <w:footnoteReference w:id="19"/>
      </w:r>
    </w:p>
    <w:p w14:paraId="1B872A7D" w14:textId="1BB9792A" w:rsidR="00191C99" w:rsidRDefault="00D45C0A" w:rsidP="00191C99">
      <w:pPr>
        <w:pStyle w:val="leftright"/>
        <w:spacing w:before="0" w:after="260" w:line="280" w:lineRule="exact"/>
        <w:ind w:right="0"/>
        <w:jc w:val="both"/>
        <w:rPr>
          <w:rFonts w:ascii="Times New Roman" w:hAnsi="Times New Roman"/>
        </w:rPr>
      </w:pPr>
      <w:r w:rsidRPr="00191C99">
        <w:rPr>
          <w:rFonts w:ascii="Times New Roman" w:hAnsi="Times New Roman"/>
        </w:rPr>
        <w:t>"</w:t>
      </w:r>
      <w:r w:rsidR="00285037">
        <w:rPr>
          <w:rFonts w:ascii="Times New Roman" w:hAnsi="Times New Roman"/>
        </w:rPr>
        <w:t> </w:t>
      </w:r>
      <w:r w:rsidR="005056B6" w:rsidRPr="00191C99">
        <w:rPr>
          <w:rFonts w:ascii="Times New Roman" w:hAnsi="Times New Roman"/>
        </w:rPr>
        <w:t>... </w:t>
      </w:r>
      <w:r w:rsidR="00B66B82" w:rsidRPr="00191C99">
        <w:rPr>
          <w:rFonts w:ascii="Times New Roman" w:hAnsi="Times New Roman"/>
        </w:rPr>
        <w:t xml:space="preserve">even though the </w:t>
      </w:r>
      <w:r w:rsidR="00D66017" w:rsidRPr="00191C99">
        <w:rPr>
          <w:rFonts w:ascii="Times New Roman" w:hAnsi="Times New Roman"/>
        </w:rPr>
        <w:t>[respondent]</w:t>
      </w:r>
      <w:r w:rsidR="00B66B82" w:rsidRPr="00191C99">
        <w:rPr>
          <w:rFonts w:ascii="Times New Roman" w:hAnsi="Times New Roman"/>
        </w:rPr>
        <w:t xml:space="preserve"> accepted that there is a present duty to remove him from Australia, interlocutory relief may be granted to restrain the removal of the </w:t>
      </w:r>
      <w:r w:rsidR="00D66017" w:rsidRPr="00191C99">
        <w:rPr>
          <w:rFonts w:ascii="Times New Roman" w:hAnsi="Times New Roman"/>
        </w:rPr>
        <w:t>[respondent]</w:t>
      </w:r>
      <w:r w:rsidR="00B66B82" w:rsidRPr="00191C99">
        <w:rPr>
          <w:rFonts w:ascii="Times New Roman" w:hAnsi="Times New Roman"/>
        </w:rPr>
        <w:t xml:space="preserve"> from Australia pending the determination of claims to relief which, if granted, would require action to be taken which may give rise to the possibility of the Minister acceding to the request. This is not because of a claim that the making of a request of itself qualifies the duty imposed by s 198(6) to remove (a claim rejected by each of Colvin</w:t>
      </w:r>
      <w:r w:rsidR="007165A8" w:rsidRPr="00191C99">
        <w:rPr>
          <w:rFonts w:ascii="Times New Roman" w:hAnsi="Times New Roman"/>
        </w:rPr>
        <w:t> J</w:t>
      </w:r>
      <w:r w:rsidR="00B66B82" w:rsidRPr="00191C99">
        <w:rPr>
          <w:rFonts w:ascii="Times New Roman" w:hAnsi="Times New Roman"/>
        </w:rPr>
        <w:t xml:space="preserve">, </w:t>
      </w:r>
      <w:proofErr w:type="spellStart"/>
      <w:r w:rsidR="00B66B82" w:rsidRPr="00191C99">
        <w:rPr>
          <w:rFonts w:ascii="Times New Roman" w:hAnsi="Times New Roman"/>
        </w:rPr>
        <w:t>Rares</w:t>
      </w:r>
      <w:proofErr w:type="spellEnd"/>
      <w:r w:rsidR="007165A8" w:rsidRPr="00191C99">
        <w:rPr>
          <w:rFonts w:ascii="Times New Roman" w:hAnsi="Times New Roman"/>
        </w:rPr>
        <w:t xml:space="preserve"> J </w:t>
      </w:r>
      <w:r w:rsidR="00B66B82" w:rsidRPr="00191C99">
        <w:rPr>
          <w:rFonts w:ascii="Times New Roman" w:hAnsi="Times New Roman"/>
        </w:rPr>
        <w:t xml:space="preserve">and </w:t>
      </w:r>
      <w:proofErr w:type="spellStart"/>
      <w:r w:rsidR="00B66B82" w:rsidRPr="00191C99">
        <w:rPr>
          <w:rFonts w:ascii="Times New Roman" w:hAnsi="Times New Roman"/>
        </w:rPr>
        <w:t>Wigney</w:t>
      </w:r>
      <w:proofErr w:type="spellEnd"/>
      <w:r w:rsidR="007165A8" w:rsidRPr="00191C99">
        <w:rPr>
          <w:rFonts w:ascii="Times New Roman" w:hAnsi="Times New Roman"/>
        </w:rPr>
        <w:t> </w:t>
      </w:r>
      <w:r w:rsidR="00B66B82" w:rsidRPr="00191C99">
        <w:rPr>
          <w:rFonts w:ascii="Times New Roman" w:hAnsi="Times New Roman"/>
        </w:rPr>
        <w:t xml:space="preserve">J) but because of a claim that there has been a </w:t>
      </w:r>
      <w:r w:rsidR="00B66B82" w:rsidRPr="00191C99">
        <w:rPr>
          <w:rFonts w:ascii="Times New Roman" w:hAnsi="Times New Roman"/>
          <w:i/>
          <w:iCs/>
        </w:rPr>
        <w:t>Davis</w:t>
      </w:r>
      <w:r w:rsidR="005554D7">
        <w:rPr>
          <w:rFonts w:ascii="Times New Roman" w:hAnsi="Times New Roman"/>
        </w:rPr>
        <w:noBreakHyphen/>
      </w:r>
      <w:r w:rsidR="00B66B82" w:rsidRPr="00191C99">
        <w:rPr>
          <w:rFonts w:ascii="Times New Roman" w:hAnsi="Times New Roman"/>
        </w:rPr>
        <w:t>type excess of authority in rejecting a request which, if upheld, gives rise to the future possibility that relief may be granted that requires steps to be taken to reinvigorate that request and, consequently, the possibility of the request being acceded to thereby, at that time, bringing the party making the request outside of the operation of s 198(6)."</w:t>
      </w:r>
    </w:p>
    <w:p w14:paraId="72878706" w14:textId="578B7152" w:rsidR="00B66B82" w:rsidRPr="00191C99" w:rsidRDefault="00B66B82"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The reference in that </w:t>
      </w:r>
      <w:r w:rsidR="00F27EDD" w:rsidRPr="00191C99">
        <w:rPr>
          <w:rFonts w:ascii="Times New Roman" w:hAnsi="Times New Roman"/>
        </w:rPr>
        <w:t xml:space="preserve">conclusion to </w:t>
      </w:r>
      <w:r w:rsidRPr="00191C99">
        <w:rPr>
          <w:rFonts w:ascii="Times New Roman" w:hAnsi="Times New Roman"/>
        </w:rPr>
        <w:t xml:space="preserve">Colvin, </w:t>
      </w:r>
      <w:proofErr w:type="spellStart"/>
      <w:r w:rsidRPr="00191C99">
        <w:rPr>
          <w:rFonts w:ascii="Times New Roman" w:hAnsi="Times New Roman"/>
        </w:rPr>
        <w:t>Rares</w:t>
      </w:r>
      <w:proofErr w:type="spellEnd"/>
      <w:r w:rsidRPr="00191C99">
        <w:rPr>
          <w:rFonts w:ascii="Times New Roman" w:hAnsi="Times New Roman"/>
        </w:rPr>
        <w:t xml:space="preserve"> and </w:t>
      </w:r>
      <w:proofErr w:type="spellStart"/>
      <w:r w:rsidRPr="00191C99">
        <w:rPr>
          <w:rFonts w:ascii="Times New Roman" w:hAnsi="Times New Roman"/>
        </w:rPr>
        <w:t>Wigney</w:t>
      </w:r>
      <w:proofErr w:type="spellEnd"/>
      <w:r w:rsidR="00F27EDD" w:rsidRPr="00191C99">
        <w:rPr>
          <w:rFonts w:ascii="Times New Roman" w:hAnsi="Times New Roman"/>
        </w:rPr>
        <w:t> </w:t>
      </w:r>
      <w:r w:rsidRPr="00191C99">
        <w:rPr>
          <w:rFonts w:ascii="Times New Roman" w:hAnsi="Times New Roman"/>
        </w:rPr>
        <w:t>JJ</w:t>
      </w:r>
      <w:r w:rsidR="00F27EDD" w:rsidRPr="00191C99">
        <w:rPr>
          <w:rFonts w:ascii="Times New Roman" w:hAnsi="Times New Roman"/>
        </w:rPr>
        <w:t xml:space="preserve"> having rejected an argument that the making of a request by a person for the Minister to exercise the personal non-compellable power in</w:t>
      </w:r>
      <w:r w:rsidR="008C2CCF" w:rsidRPr="00191C99">
        <w:rPr>
          <w:rFonts w:ascii="Times New Roman" w:hAnsi="Times New Roman"/>
        </w:rPr>
        <w:t xml:space="preserve">, relevantly, s 195A of the </w:t>
      </w:r>
      <w:r w:rsidR="008C2CCF" w:rsidRPr="00191C99">
        <w:rPr>
          <w:rFonts w:ascii="Times New Roman" w:hAnsi="Times New Roman"/>
          <w:i/>
          <w:iCs/>
        </w:rPr>
        <w:t>Migration Act</w:t>
      </w:r>
      <w:r w:rsidR="008C2CCF" w:rsidRPr="00191C99">
        <w:rPr>
          <w:rFonts w:ascii="Times New Roman" w:hAnsi="Times New Roman"/>
          <w:b/>
          <w:bCs/>
        </w:rPr>
        <w:t xml:space="preserve"> </w:t>
      </w:r>
      <w:r w:rsidR="008C2CCF" w:rsidRPr="00191C99">
        <w:rPr>
          <w:rFonts w:ascii="Times New Roman" w:hAnsi="Times New Roman"/>
        </w:rPr>
        <w:t>qualif</w:t>
      </w:r>
      <w:r w:rsidR="00696359" w:rsidRPr="00191C99">
        <w:rPr>
          <w:rFonts w:ascii="Times New Roman" w:hAnsi="Times New Roman"/>
        </w:rPr>
        <w:t>ies</w:t>
      </w:r>
      <w:r w:rsidR="008C2CCF" w:rsidRPr="00191C99">
        <w:rPr>
          <w:rFonts w:ascii="Times New Roman" w:hAnsi="Times New Roman"/>
        </w:rPr>
        <w:t xml:space="preserve"> the duty </w:t>
      </w:r>
      <w:r w:rsidR="00CC3654" w:rsidRPr="00191C99">
        <w:rPr>
          <w:rFonts w:ascii="Times New Roman" w:hAnsi="Times New Roman"/>
        </w:rPr>
        <w:t xml:space="preserve">of removal </w:t>
      </w:r>
      <w:r w:rsidR="008C2CCF" w:rsidRPr="00191C99">
        <w:rPr>
          <w:rFonts w:ascii="Times New Roman" w:hAnsi="Times New Roman"/>
        </w:rPr>
        <w:t>in s </w:t>
      </w:r>
      <w:r w:rsidR="00CC3654" w:rsidRPr="00191C99">
        <w:rPr>
          <w:rFonts w:ascii="Times New Roman" w:hAnsi="Times New Roman"/>
        </w:rPr>
        <w:t xml:space="preserve">198(6) of that Act is </w:t>
      </w:r>
      <w:r w:rsidR="0026187B" w:rsidRPr="00191C99">
        <w:rPr>
          <w:rFonts w:ascii="Times New Roman" w:hAnsi="Times New Roman"/>
        </w:rPr>
        <w:t xml:space="preserve">a reference </w:t>
      </w:r>
      <w:r w:rsidR="00CC3654" w:rsidRPr="00191C99">
        <w:rPr>
          <w:rFonts w:ascii="Times New Roman" w:hAnsi="Times New Roman"/>
        </w:rPr>
        <w:t xml:space="preserve">to their respective decisions in </w:t>
      </w:r>
      <w:r w:rsidR="00E70648" w:rsidRPr="00191C99">
        <w:rPr>
          <w:rFonts w:ascii="Times New Roman" w:hAnsi="Times New Roman"/>
          <w:i/>
          <w:iCs/>
        </w:rPr>
        <w:t>MZAPC v Minister for Immigration, Citizenship and Multicultural Affairs</w:t>
      </w:r>
      <w:r w:rsidR="00692778" w:rsidRPr="00191C99">
        <w:rPr>
          <w:rFonts w:ascii="Times New Roman" w:hAnsi="Times New Roman"/>
        </w:rPr>
        <w:t>,</w:t>
      </w:r>
      <w:r w:rsidR="00DF4F43" w:rsidRPr="00191C99">
        <w:rPr>
          <w:rStyle w:val="FootnoteReference"/>
          <w:rFonts w:ascii="Times New Roman" w:hAnsi="Times New Roman"/>
          <w:sz w:val="24"/>
        </w:rPr>
        <w:footnoteReference w:id="20"/>
      </w:r>
      <w:r w:rsidR="00B73E77" w:rsidRPr="00191C99">
        <w:rPr>
          <w:rFonts w:ascii="Times New Roman" w:hAnsi="Times New Roman"/>
          <w:i/>
          <w:iCs/>
        </w:rPr>
        <w:t xml:space="preserve"> BJM16 v Minister for Immigration, Citizenship and Multicultural Affairs</w:t>
      </w:r>
      <w:r w:rsidR="00692778" w:rsidRPr="00191C99">
        <w:rPr>
          <w:rFonts w:ascii="Times New Roman" w:hAnsi="Times New Roman"/>
        </w:rPr>
        <w:t>,</w:t>
      </w:r>
      <w:r w:rsidR="00B73E77" w:rsidRPr="00191C99">
        <w:rPr>
          <w:rStyle w:val="FootnoteReference"/>
          <w:rFonts w:ascii="Times New Roman" w:hAnsi="Times New Roman"/>
          <w:sz w:val="24"/>
        </w:rPr>
        <w:footnoteReference w:id="21"/>
      </w:r>
      <w:r w:rsidR="00470153" w:rsidRPr="00191C99">
        <w:rPr>
          <w:rFonts w:ascii="Times New Roman" w:hAnsi="Times New Roman"/>
        </w:rPr>
        <w:t xml:space="preserve"> and </w:t>
      </w:r>
      <w:r w:rsidR="00470153" w:rsidRPr="00191C99">
        <w:rPr>
          <w:rFonts w:ascii="Times New Roman" w:hAnsi="Times New Roman"/>
          <w:i/>
          <w:iCs/>
        </w:rPr>
        <w:t xml:space="preserve">ASU22 v Minister for Immigration, Citizenship and </w:t>
      </w:r>
      <w:r w:rsidR="00470153" w:rsidRPr="00191C99">
        <w:rPr>
          <w:rFonts w:ascii="Times New Roman" w:hAnsi="Times New Roman"/>
          <w:i/>
          <w:iCs/>
        </w:rPr>
        <w:lastRenderedPageBreak/>
        <w:t>Multicultural Affairs</w:t>
      </w:r>
      <w:r w:rsidR="00470153" w:rsidRPr="00191C99">
        <w:rPr>
          <w:rFonts w:ascii="Times New Roman" w:hAnsi="Times New Roman"/>
        </w:rPr>
        <w:t>.</w:t>
      </w:r>
      <w:r w:rsidR="00470153" w:rsidRPr="00191C99">
        <w:rPr>
          <w:rStyle w:val="FootnoteReference"/>
          <w:rFonts w:ascii="Times New Roman" w:hAnsi="Times New Roman"/>
          <w:sz w:val="24"/>
        </w:rPr>
        <w:footnoteReference w:id="22"/>
      </w:r>
      <w:r w:rsidR="00BC6B31" w:rsidRPr="00191C99">
        <w:rPr>
          <w:rFonts w:ascii="Times New Roman" w:hAnsi="Times New Roman"/>
        </w:rPr>
        <w:t xml:space="preserve"> In the first of these decisions, involving the respondent, </w:t>
      </w:r>
      <w:r w:rsidR="00614674" w:rsidRPr="00191C99">
        <w:rPr>
          <w:rFonts w:ascii="Times New Roman" w:hAnsi="Times New Roman"/>
        </w:rPr>
        <w:t xml:space="preserve">Colvin J dismissed the </w:t>
      </w:r>
      <w:r w:rsidR="00496D19" w:rsidRPr="00191C99">
        <w:rPr>
          <w:rFonts w:ascii="Times New Roman" w:hAnsi="Times New Roman"/>
        </w:rPr>
        <w:t>respondent's</w:t>
      </w:r>
      <w:r w:rsidR="00614674" w:rsidRPr="00191C99">
        <w:rPr>
          <w:rFonts w:ascii="Times New Roman" w:hAnsi="Times New Roman"/>
        </w:rPr>
        <w:t xml:space="preserve"> application for leave to appeal </w:t>
      </w:r>
      <w:r w:rsidR="00496D19" w:rsidRPr="00191C99">
        <w:rPr>
          <w:rFonts w:ascii="Times New Roman" w:hAnsi="Times New Roman"/>
        </w:rPr>
        <w:t>against</w:t>
      </w:r>
      <w:r w:rsidR="00614674" w:rsidRPr="00191C99">
        <w:rPr>
          <w:rFonts w:ascii="Times New Roman" w:hAnsi="Times New Roman"/>
        </w:rPr>
        <w:t xml:space="preserve"> </w:t>
      </w:r>
      <w:r w:rsidR="006B1A9D" w:rsidRPr="00191C99">
        <w:rPr>
          <w:rFonts w:ascii="Times New Roman" w:hAnsi="Times New Roman"/>
        </w:rPr>
        <w:t xml:space="preserve">an order of the </w:t>
      </w:r>
      <w:r w:rsidR="00471753" w:rsidRPr="00191C99">
        <w:rPr>
          <w:rFonts w:ascii="Times New Roman" w:hAnsi="Times New Roman"/>
        </w:rPr>
        <w:t xml:space="preserve">Federal Circuit and Family Court of Australia (Division 2) </w:t>
      </w:r>
      <w:r w:rsidR="006B1A9D" w:rsidRPr="00191C99">
        <w:rPr>
          <w:rFonts w:ascii="Times New Roman" w:hAnsi="Times New Roman"/>
        </w:rPr>
        <w:t xml:space="preserve">dismissing the respondent's application for an interlocutory injunction restraining the Minister (and others) from </w:t>
      </w:r>
      <w:r w:rsidR="00E504C3" w:rsidRPr="00191C99">
        <w:rPr>
          <w:rFonts w:ascii="Times New Roman" w:hAnsi="Times New Roman"/>
        </w:rPr>
        <w:t xml:space="preserve">removing him from Australia under s 198(6) on the basis that </w:t>
      </w:r>
      <w:r w:rsidR="00CF180B" w:rsidRPr="00191C99">
        <w:rPr>
          <w:rFonts w:ascii="Times New Roman" w:hAnsi="Times New Roman"/>
        </w:rPr>
        <w:t xml:space="preserve">because </w:t>
      </w:r>
      <w:r w:rsidR="00867E06" w:rsidRPr="00191C99">
        <w:rPr>
          <w:rFonts w:ascii="Times New Roman" w:hAnsi="Times New Roman"/>
        </w:rPr>
        <w:t xml:space="preserve">the respondent had "'pending requests' for the exercise in his favour of certain powers conferred by the </w:t>
      </w:r>
      <w:r w:rsidR="00867E06" w:rsidRPr="00191C99">
        <w:rPr>
          <w:rFonts w:ascii="Times New Roman" w:hAnsi="Times New Roman"/>
          <w:i/>
          <w:iCs/>
        </w:rPr>
        <w:t xml:space="preserve">Migration Act </w:t>
      </w:r>
      <w:r w:rsidR="00867E06" w:rsidRPr="00191C99">
        <w:rPr>
          <w:rFonts w:ascii="Times New Roman" w:hAnsi="Times New Roman"/>
        </w:rPr>
        <w:t>upon the Minister it would be unlawful for him to be removed from Australia"</w:t>
      </w:r>
      <w:r w:rsidR="00385CE6" w:rsidRPr="00191C99">
        <w:rPr>
          <w:rFonts w:ascii="Times New Roman" w:hAnsi="Times New Roman"/>
        </w:rPr>
        <w:t>.</w:t>
      </w:r>
      <w:r w:rsidR="00867E06" w:rsidRPr="00191C99">
        <w:rPr>
          <w:rStyle w:val="FootnoteReference"/>
          <w:rFonts w:ascii="Times New Roman" w:hAnsi="Times New Roman"/>
          <w:sz w:val="24"/>
        </w:rPr>
        <w:footnoteReference w:id="23"/>
      </w:r>
      <w:r w:rsidR="0033473A" w:rsidRPr="00191C99">
        <w:rPr>
          <w:rFonts w:ascii="Times New Roman" w:hAnsi="Times New Roman"/>
        </w:rPr>
        <w:t xml:space="preserve"> </w:t>
      </w:r>
      <w:r w:rsidR="00DD1D62" w:rsidRPr="00191C99">
        <w:rPr>
          <w:rFonts w:ascii="Times New Roman" w:hAnsi="Times New Roman"/>
        </w:rPr>
        <w:t>T</w:t>
      </w:r>
      <w:r w:rsidR="0033473A" w:rsidRPr="00191C99">
        <w:rPr>
          <w:rFonts w:ascii="Times New Roman" w:hAnsi="Times New Roman"/>
        </w:rPr>
        <w:t xml:space="preserve">he </w:t>
      </w:r>
      <w:r w:rsidR="00DD1D62" w:rsidRPr="00191C99">
        <w:rPr>
          <w:rFonts w:ascii="Times New Roman" w:hAnsi="Times New Roman"/>
        </w:rPr>
        <w:t>subsequent</w:t>
      </w:r>
      <w:r w:rsidR="0033473A" w:rsidRPr="00191C99">
        <w:rPr>
          <w:rFonts w:ascii="Times New Roman" w:hAnsi="Times New Roman"/>
        </w:rPr>
        <w:t xml:space="preserve"> decisions applied Colvin</w:t>
      </w:r>
      <w:r w:rsidR="00E72A06" w:rsidRPr="00191C99">
        <w:rPr>
          <w:rFonts w:ascii="Times New Roman" w:hAnsi="Times New Roman"/>
        </w:rPr>
        <w:t> </w:t>
      </w:r>
      <w:r w:rsidR="0033473A" w:rsidRPr="00191C99">
        <w:rPr>
          <w:rFonts w:ascii="Times New Roman" w:hAnsi="Times New Roman"/>
        </w:rPr>
        <w:t xml:space="preserve">J's </w:t>
      </w:r>
      <w:r w:rsidR="00DD1D62" w:rsidRPr="00191C99">
        <w:rPr>
          <w:rFonts w:ascii="Times New Roman" w:hAnsi="Times New Roman"/>
        </w:rPr>
        <w:t>reasoning.</w:t>
      </w:r>
    </w:p>
    <w:p w14:paraId="2B2E3895" w14:textId="3041218A" w:rsidR="0082698A" w:rsidRPr="00191C99" w:rsidRDefault="0082698A" w:rsidP="00191C99">
      <w:pPr>
        <w:pStyle w:val="HeadingL2"/>
        <w:spacing w:after="260" w:line="280" w:lineRule="exact"/>
        <w:ind w:right="0"/>
        <w:jc w:val="both"/>
        <w:rPr>
          <w:rFonts w:ascii="Times New Roman" w:hAnsi="Times New Roman"/>
        </w:rPr>
      </w:pPr>
      <w:r w:rsidRPr="00191C99">
        <w:rPr>
          <w:rFonts w:ascii="Times New Roman" w:hAnsi="Times New Roman"/>
        </w:rPr>
        <w:t>The appeal to this Court</w:t>
      </w:r>
    </w:p>
    <w:p w14:paraId="070CC017" w14:textId="015A8645" w:rsidR="0082698A" w:rsidRPr="00191C99" w:rsidRDefault="0082698A"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The </w:t>
      </w:r>
      <w:r w:rsidR="00163B91" w:rsidRPr="00191C99">
        <w:rPr>
          <w:rFonts w:ascii="Times New Roman" w:hAnsi="Times New Roman"/>
        </w:rPr>
        <w:t xml:space="preserve">appellants </w:t>
      </w:r>
      <w:r w:rsidR="005D512D" w:rsidRPr="00191C99">
        <w:rPr>
          <w:rFonts w:ascii="Times New Roman" w:hAnsi="Times New Roman"/>
        </w:rPr>
        <w:t xml:space="preserve">obtained special leave to appeal to this Court on </w:t>
      </w:r>
      <w:r w:rsidR="00FC0E60" w:rsidRPr="00191C99">
        <w:rPr>
          <w:rFonts w:ascii="Times New Roman" w:hAnsi="Times New Roman"/>
        </w:rPr>
        <w:t>9</w:t>
      </w:r>
      <w:r w:rsidR="00C057CD" w:rsidRPr="00191C99">
        <w:rPr>
          <w:rFonts w:ascii="Times New Roman" w:hAnsi="Times New Roman"/>
        </w:rPr>
        <w:t> </w:t>
      </w:r>
      <w:r w:rsidR="00FC0E60" w:rsidRPr="00191C99">
        <w:rPr>
          <w:rFonts w:ascii="Times New Roman" w:hAnsi="Times New Roman"/>
        </w:rPr>
        <w:t xml:space="preserve">May 2024. The sole ground of appeal was that the </w:t>
      </w:r>
      <w:r w:rsidR="00C24C22" w:rsidRPr="00191C99">
        <w:rPr>
          <w:rFonts w:ascii="Times New Roman" w:hAnsi="Times New Roman"/>
        </w:rPr>
        <w:t xml:space="preserve">majority in the </w:t>
      </w:r>
      <w:r w:rsidR="00FC0E60" w:rsidRPr="00191C99">
        <w:rPr>
          <w:rFonts w:ascii="Times New Roman" w:hAnsi="Times New Roman"/>
        </w:rPr>
        <w:t xml:space="preserve">Full Court </w:t>
      </w:r>
      <w:r w:rsidR="005828B9" w:rsidRPr="00191C99">
        <w:rPr>
          <w:rFonts w:ascii="Times New Roman" w:hAnsi="Times New Roman"/>
        </w:rPr>
        <w:t>"</w:t>
      </w:r>
      <w:r w:rsidR="00FC0E60" w:rsidRPr="00191C99">
        <w:rPr>
          <w:rFonts w:ascii="Times New Roman" w:hAnsi="Times New Roman"/>
        </w:rPr>
        <w:t xml:space="preserve">erred in concluding that the primary judge had power to </w:t>
      </w:r>
      <w:r w:rsidR="00FE4D25" w:rsidRPr="00191C99">
        <w:rPr>
          <w:rFonts w:ascii="Times New Roman" w:hAnsi="Times New Roman"/>
        </w:rPr>
        <w:t>grant an interlocutory injunction restraining the respondent's removal from Australia</w:t>
      </w:r>
      <w:r w:rsidR="00675E5E" w:rsidRPr="00191C99">
        <w:rPr>
          <w:rFonts w:ascii="Times New Roman" w:hAnsi="Times New Roman"/>
        </w:rPr>
        <w:t>"</w:t>
      </w:r>
      <w:r w:rsidR="00FE4D25" w:rsidRPr="00191C99">
        <w:rPr>
          <w:rFonts w:ascii="Times New Roman" w:hAnsi="Times New Roman"/>
        </w:rPr>
        <w:t xml:space="preserve">. </w:t>
      </w:r>
      <w:r w:rsidR="00C95A5F" w:rsidRPr="00191C99">
        <w:rPr>
          <w:rFonts w:ascii="Times New Roman" w:hAnsi="Times New Roman"/>
        </w:rPr>
        <w:t>The respondent filed a notice of contention to the effect that if</w:t>
      </w:r>
      <w:r w:rsidR="00E73F8F" w:rsidRPr="00191C99">
        <w:rPr>
          <w:rFonts w:ascii="Times New Roman" w:hAnsi="Times New Roman"/>
        </w:rPr>
        <w:t xml:space="preserve">, on its proper construction, s 198(6) of the </w:t>
      </w:r>
      <w:r w:rsidR="00E73F8F" w:rsidRPr="00191C99">
        <w:rPr>
          <w:rFonts w:ascii="Times New Roman" w:hAnsi="Times New Roman"/>
          <w:i/>
          <w:iCs/>
        </w:rPr>
        <w:t>Migration Act</w:t>
      </w:r>
      <w:r w:rsidR="00E73F8F" w:rsidRPr="00191C99">
        <w:rPr>
          <w:rFonts w:ascii="Times New Roman" w:hAnsi="Times New Roman"/>
        </w:rPr>
        <w:t xml:space="preserve"> prevents a court </w:t>
      </w:r>
      <w:r w:rsidR="00C24C22" w:rsidRPr="00191C99">
        <w:rPr>
          <w:rFonts w:ascii="Times New Roman" w:hAnsi="Times New Roman"/>
        </w:rPr>
        <w:t xml:space="preserve">in the </w:t>
      </w:r>
      <w:r w:rsidR="00E73F8F" w:rsidRPr="00191C99">
        <w:rPr>
          <w:rFonts w:ascii="Times New Roman" w:hAnsi="Times New Roman"/>
        </w:rPr>
        <w:t>exercis</w:t>
      </w:r>
      <w:r w:rsidR="00C24C22" w:rsidRPr="00191C99">
        <w:rPr>
          <w:rFonts w:ascii="Times New Roman" w:hAnsi="Times New Roman"/>
        </w:rPr>
        <w:t>e of</w:t>
      </w:r>
      <w:r w:rsidR="00E73F8F" w:rsidRPr="00191C99">
        <w:rPr>
          <w:rFonts w:ascii="Times New Roman" w:hAnsi="Times New Roman"/>
        </w:rPr>
        <w:t xml:space="preserve"> </w:t>
      </w:r>
      <w:r w:rsidR="00532B80" w:rsidRPr="00191C99">
        <w:rPr>
          <w:rFonts w:ascii="Times New Roman" w:hAnsi="Times New Roman"/>
        </w:rPr>
        <w:t xml:space="preserve">the </w:t>
      </w:r>
      <w:r w:rsidR="00E73F8F" w:rsidRPr="00191C99">
        <w:rPr>
          <w:rFonts w:ascii="Times New Roman" w:hAnsi="Times New Roman"/>
        </w:rPr>
        <w:t xml:space="preserve">judicial power </w:t>
      </w:r>
      <w:r w:rsidR="00532B80" w:rsidRPr="00191C99">
        <w:rPr>
          <w:rFonts w:ascii="Times New Roman" w:hAnsi="Times New Roman"/>
        </w:rPr>
        <w:t xml:space="preserve">of the Commonwealth from granting interlocutory relief to </w:t>
      </w:r>
      <w:r w:rsidR="00DD4A70" w:rsidRPr="00191C99">
        <w:rPr>
          <w:rFonts w:ascii="Times New Roman" w:hAnsi="Times New Roman"/>
        </w:rPr>
        <w:t>preserve the subject</w:t>
      </w:r>
      <w:r w:rsidR="00874DC3" w:rsidRPr="00191C99">
        <w:rPr>
          <w:rFonts w:ascii="Times New Roman" w:hAnsi="Times New Roman"/>
        </w:rPr>
        <w:t>-</w:t>
      </w:r>
      <w:r w:rsidR="00DD4A70" w:rsidRPr="00191C99">
        <w:rPr>
          <w:rFonts w:ascii="Times New Roman" w:hAnsi="Times New Roman"/>
        </w:rPr>
        <w:t xml:space="preserve">matter in dispute or </w:t>
      </w:r>
      <w:r w:rsidR="005B2A0B" w:rsidRPr="00191C99">
        <w:rPr>
          <w:rFonts w:ascii="Times New Roman" w:hAnsi="Times New Roman"/>
        </w:rPr>
        <w:t xml:space="preserve">to </w:t>
      </w:r>
      <w:r w:rsidR="00915A12" w:rsidRPr="00191C99">
        <w:rPr>
          <w:rFonts w:ascii="Times New Roman" w:hAnsi="Times New Roman"/>
        </w:rPr>
        <w:t xml:space="preserve">protect </w:t>
      </w:r>
      <w:r w:rsidR="00E11C75" w:rsidRPr="00191C99">
        <w:rPr>
          <w:rFonts w:ascii="Times New Roman" w:hAnsi="Times New Roman"/>
        </w:rPr>
        <w:t>the integrity of its own processes</w:t>
      </w:r>
      <w:r w:rsidR="001325F3" w:rsidRPr="00191C99">
        <w:rPr>
          <w:rFonts w:ascii="Times New Roman" w:hAnsi="Times New Roman"/>
        </w:rPr>
        <w:t>,</w:t>
      </w:r>
      <w:r w:rsidR="00E11C75" w:rsidRPr="00191C99">
        <w:rPr>
          <w:rFonts w:ascii="Times New Roman" w:hAnsi="Times New Roman"/>
        </w:rPr>
        <w:t xml:space="preserve"> then s 198(6) is inconsistent with Ch III of the </w:t>
      </w:r>
      <w:r w:rsidR="0050510D" w:rsidRPr="00191C99">
        <w:rPr>
          <w:rFonts w:ascii="Times New Roman" w:hAnsi="Times New Roman"/>
          <w:i/>
          <w:iCs/>
        </w:rPr>
        <w:t>Constitution</w:t>
      </w:r>
      <w:r w:rsidR="0050510D" w:rsidRPr="00191C99">
        <w:rPr>
          <w:rFonts w:ascii="Times New Roman" w:hAnsi="Times New Roman"/>
        </w:rPr>
        <w:t xml:space="preserve"> and is therefore incapable of applying to the extent that it is invalid, including by operation of s 3A of the </w:t>
      </w:r>
      <w:r w:rsidR="0050510D" w:rsidRPr="00191C99">
        <w:rPr>
          <w:rFonts w:ascii="Times New Roman" w:hAnsi="Times New Roman"/>
          <w:i/>
          <w:iCs/>
        </w:rPr>
        <w:t>Migration Act</w:t>
      </w:r>
      <w:r w:rsidR="0050510D" w:rsidRPr="00191C99">
        <w:rPr>
          <w:rFonts w:ascii="Times New Roman" w:hAnsi="Times New Roman"/>
        </w:rPr>
        <w:t>.</w:t>
      </w:r>
      <w:r w:rsidR="0050510D" w:rsidRPr="00191C99">
        <w:rPr>
          <w:rStyle w:val="FootnoteReference"/>
          <w:rFonts w:ascii="Times New Roman" w:hAnsi="Times New Roman"/>
          <w:sz w:val="24"/>
        </w:rPr>
        <w:footnoteReference w:id="24"/>
      </w:r>
      <w:r w:rsidR="001F450C" w:rsidRPr="00191C99">
        <w:rPr>
          <w:rFonts w:ascii="Times New Roman" w:hAnsi="Times New Roman"/>
        </w:rPr>
        <w:t xml:space="preserve"> </w:t>
      </w:r>
    </w:p>
    <w:p w14:paraId="60B971AB" w14:textId="6F662AD7" w:rsidR="007B2FD4" w:rsidRPr="00191C99" w:rsidRDefault="001F450C" w:rsidP="00191C99">
      <w:pPr>
        <w:pStyle w:val="FixListStyle"/>
        <w:spacing w:after="260" w:line="280" w:lineRule="exact"/>
        <w:ind w:right="0"/>
        <w:jc w:val="both"/>
        <w:rPr>
          <w:rFonts w:ascii="Times New Roman" w:hAnsi="Times New Roman"/>
        </w:rPr>
      </w:pPr>
      <w:r w:rsidRPr="00191C99">
        <w:rPr>
          <w:rFonts w:ascii="Times New Roman" w:hAnsi="Times New Roman"/>
        </w:rPr>
        <w:tab/>
        <w:t>When the appeal came before th</w:t>
      </w:r>
      <w:r w:rsidR="00DD316A" w:rsidRPr="00191C99">
        <w:rPr>
          <w:rFonts w:ascii="Times New Roman" w:hAnsi="Times New Roman"/>
        </w:rPr>
        <w:t>is</w:t>
      </w:r>
      <w:r w:rsidRPr="00191C99">
        <w:rPr>
          <w:rFonts w:ascii="Times New Roman" w:hAnsi="Times New Roman"/>
        </w:rPr>
        <w:t xml:space="preserve"> Court for hearing </w:t>
      </w:r>
      <w:r w:rsidR="001E68D2" w:rsidRPr="00191C99">
        <w:rPr>
          <w:rFonts w:ascii="Times New Roman" w:hAnsi="Times New Roman"/>
        </w:rPr>
        <w:t xml:space="preserve">it became apparent that, although the matter had proceeded before the primary judge and the Full Court on the basis that, properly construed, </w:t>
      </w:r>
      <w:r w:rsidR="001A7915" w:rsidRPr="00191C99">
        <w:rPr>
          <w:rFonts w:ascii="Times New Roman" w:hAnsi="Times New Roman"/>
        </w:rPr>
        <w:t>s 198(6) applied and required an officer to remove the respondent from Australia, it being reasonably practicable to do so</w:t>
      </w:r>
      <w:r w:rsidR="0012184B" w:rsidRPr="00191C99">
        <w:rPr>
          <w:rFonts w:ascii="Times New Roman" w:hAnsi="Times New Roman"/>
        </w:rPr>
        <w:t xml:space="preserve"> notwithstanding the </w:t>
      </w:r>
      <w:r w:rsidR="00793831" w:rsidRPr="00191C99">
        <w:rPr>
          <w:rFonts w:ascii="Times New Roman" w:hAnsi="Times New Roman"/>
        </w:rPr>
        <w:t xml:space="preserve">pending proceeding based on </w:t>
      </w:r>
      <w:r w:rsidR="00793831" w:rsidRPr="00191C99">
        <w:rPr>
          <w:rFonts w:ascii="Times New Roman" w:hAnsi="Times New Roman"/>
          <w:i/>
          <w:iCs/>
        </w:rPr>
        <w:t>Davis</w:t>
      </w:r>
      <w:r w:rsidR="00793831" w:rsidRPr="00191C99">
        <w:rPr>
          <w:rFonts w:ascii="Times New Roman" w:hAnsi="Times New Roman"/>
        </w:rPr>
        <w:t xml:space="preserve"> in which the respondent sought the declaration</w:t>
      </w:r>
      <w:r w:rsidR="0037375D" w:rsidRPr="00191C99">
        <w:rPr>
          <w:rFonts w:ascii="Times New Roman" w:hAnsi="Times New Roman"/>
        </w:rPr>
        <w:t>,</w:t>
      </w:r>
      <w:r w:rsidR="00CB3F45" w:rsidRPr="00191C99">
        <w:rPr>
          <w:rStyle w:val="FootnoteReference"/>
          <w:rFonts w:ascii="Times New Roman" w:hAnsi="Times New Roman"/>
          <w:sz w:val="24"/>
        </w:rPr>
        <w:footnoteReference w:id="25"/>
      </w:r>
      <w:r w:rsidR="0037375D" w:rsidRPr="00191C99">
        <w:rPr>
          <w:rFonts w:ascii="Times New Roman" w:hAnsi="Times New Roman"/>
        </w:rPr>
        <w:t xml:space="preserve"> the </w:t>
      </w:r>
      <w:r w:rsidR="00CE5C5A" w:rsidRPr="00191C99">
        <w:rPr>
          <w:rFonts w:ascii="Times New Roman" w:hAnsi="Times New Roman"/>
        </w:rPr>
        <w:t>construction of s </w:t>
      </w:r>
      <w:r w:rsidR="00245AFD" w:rsidRPr="00191C99">
        <w:rPr>
          <w:rFonts w:ascii="Times New Roman" w:hAnsi="Times New Roman"/>
        </w:rPr>
        <w:t xml:space="preserve">198(6) </w:t>
      </w:r>
      <w:r w:rsidR="00B76248" w:rsidRPr="00191C99">
        <w:rPr>
          <w:rFonts w:ascii="Times New Roman" w:hAnsi="Times New Roman"/>
        </w:rPr>
        <w:t xml:space="preserve">underlying that common </w:t>
      </w:r>
      <w:r w:rsidR="00B76248" w:rsidRPr="00191C99">
        <w:rPr>
          <w:rFonts w:ascii="Times New Roman" w:hAnsi="Times New Roman"/>
        </w:rPr>
        <w:lastRenderedPageBreak/>
        <w:t xml:space="preserve">ground </w:t>
      </w:r>
      <w:r w:rsidR="00245AFD" w:rsidRPr="00191C99">
        <w:rPr>
          <w:rFonts w:ascii="Times New Roman" w:hAnsi="Times New Roman"/>
        </w:rPr>
        <w:t>was in issue.</w:t>
      </w:r>
      <w:r w:rsidR="00192945" w:rsidRPr="00191C99">
        <w:rPr>
          <w:rFonts w:ascii="Times New Roman" w:hAnsi="Times New Roman"/>
        </w:rPr>
        <w:t xml:space="preserve"> </w:t>
      </w:r>
      <w:r w:rsidR="00245AFD" w:rsidRPr="00191C99">
        <w:rPr>
          <w:rFonts w:ascii="Times New Roman" w:hAnsi="Times New Roman"/>
        </w:rPr>
        <w:t xml:space="preserve">As the respondent </w:t>
      </w:r>
      <w:r w:rsidR="002F719F" w:rsidRPr="00191C99">
        <w:rPr>
          <w:rFonts w:ascii="Times New Roman" w:hAnsi="Times New Roman"/>
        </w:rPr>
        <w:t>p</w:t>
      </w:r>
      <w:r w:rsidR="00245AFD" w:rsidRPr="00191C99">
        <w:rPr>
          <w:rFonts w:ascii="Times New Roman" w:hAnsi="Times New Roman"/>
        </w:rPr>
        <w:t xml:space="preserve">ut it, the </w:t>
      </w:r>
      <w:r w:rsidR="00526339" w:rsidRPr="00191C99">
        <w:rPr>
          <w:rFonts w:ascii="Times New Roman" w:hAnsi="Times New Roman"/>
        </w:rPr>
        <w:t>dispute between the parties was whether "the time for performance of [the duty under s 198(6)</w:t>
      </w:r>
      <w:r w:rsidR="00CB20D7" w:rsidRPr="00191C99">
        <w:rPr>
          <w:rFonts w:ascii="Times New Roman" w:hAnsi="Times New Roman"/>
        </w:rPr>
        <w:t>] ha</w:t>
      </w:r>
      <w:r w:rsidR="00FB7E20" w:rsidRPr="00191C99">
        <w:rPr>
          <w:rFonts w:ascii="Times New Roman" w:hAnsi="Times New Roman"/>
        </w:rPr>
        <w:t>[</w:t>
      </w:r>
      <w:r w:rsidR="00CB20D7" w:rsidRPr="00191C99">
        <w:rPr>
          <w:rFonts w:ascii="Times New Roman" w:hAnsi="Times New Roman"/>
        </w:rPr>
        <w:t>d</w:t>
      </w:r>
      <w:r w:rsidR="00FB7E20" w:rsidRPr="00191C99">
        <w:rPr>
          <w:rFonts w:ascii="Times New Roman" w:hAnsi="Times New Roman"/>
        </w:rPr>
        <w:t>]</w:t>
      </w:r>
      <w:r w:rsidR="00CB20D7" w:rsidRPr="00191C99">
        <w:rPr>
          <w:rFonts w:ascii="Times New Roman" w:hAnsi="Times New Roman"/>
        </w:rPr>
        <w:t xml:space="preserve"> crystallised". </w:t>
      </w:r>
      <w:r w:rsidR="002418A7" w:rsidRPr="00191C99">
        <w:rPr>
          <w:rFonts w:ascii="Times New Roman" w:hAnsi="Times New Roman"/>
        </w:rPr>
        <w:t xml:space="preserve">The Court invited the respondent to amend </w:t>
      </w:r>
      <w:r w:rsidR="00227781" w:rsidRPr="00191C99">
        <w:rPr>
          <w:rFonts w:ascii="Times New Roman" w:hAnsi="Times New Roman"/>
        </w:rPr>
        <w:t xml:space="preserve">his </w:t>
      </w:r>
      <w:r w:rsidR="002418A7" w:rsidRPr="00191C99">
        <w:rPr>
          <w:rFonts w:ascii="Times New Roman" w:hAnsi="Times New Roman"/>
        </w:rPr>
        <w:t xml:space="preserve">notice of contention to </w:t>
      </w:r>
      <w:r w:rsidR="002D0833" w:rsidRPr="00191C99">
        <w:rPr>
          <w:rFonts w:ascii="Times New Roman" w:hAnsi="Times New Roman"/>
        </w:rPr>
        <w:t xml:space="preserve">raise the </w:t>
      </w:r>
      <w:r w:rsidR="007E1469" w:rsidRPr="00191C99">
        <w:rPr>
          <w:rFonts w:ascii="Times New Roman" w:hAnsi="Times New Roman"/>
        </w:rPr>
        <w:t>construction of s 198(6) directly. The hea</w:t>
      </w:r>
      <w:r w:rsidR="0027541C" w:rsidRPr="00191C99">
        <w:rPr>
          <w:rFonts w:ascii="Times New Roman" w:hAnsi="Times New Roman"/>
        </w:rPr>
        <w:t>r</w:t>
      </w:r>
      <w:r w:rsidR="007E1469" w:rsidRPr="00191C99">
        <w:rPr>
          <w:rFonts w:ascii="Times New Roman" w:hAnsi="Times New Roman"/>
        </w:rPr>
        <w:t xml:space="preserve">ing was adjourned at the </w:t>
      </w:r>
      <w:r w:rsidR="008B607A" w:rsidRPr="00191C99">
        <w:rPr>
          <w:rFonts w:ascii="Times New Roman" w:hAnsi="Times New Roman"/>
        </w:rPr>
        <w:t xml:space="preserve">appellants' </w:t>
      </w:r>
      <w:r w:rsidR="007E1469" w:rsidRPr="00191C99">
        <w:rPr>
          <w:rFonts w:ascii="Times New Roman" w:hAnsi="Times New Roman"/>
        </w:rPr>
        <w:t xml:space="preserve">request to enable further </w:t>
      </w:r>
      <w:r w:rsidR="00010143" w:rsidRPr="00191C99">
        <w:rPr>
          <w:rFonts w:ascii="Times New Roman" w:hAnsi="Times New Roman"/>
        </w:rPr>
        <w:t xml:space="preserve">written </w:t>
      </w:r>
      <w:r w:rsidR="007E1469" w:rsidRPr="00191C99">
        <w:rPr>
          <w:rFonts w:ascii="Times New Roman" w:hAnsi="Times New Roman"/>
        </w:rPr>
        <w:t xml:space="preserve">submissions to be filed. </w:t>
      </w:r>
      <w:r w:rsidR="00291481" w:rsidRPr="00191C99">
        <w:rPr>
          <w:rFonts w:ascii="Times New Roman" w:hAnsi="Times New Roman"/>
        </w:rPr>
        <w:t>In a further amended notice of contention the respondent raised addition</w:t>
      </w:r>
      <w:r w:rsidR="006A198D" w:rsidRPr="00191C99">
        <w:rPr>
          <w:rFonts w:ascii="Times New Roman" w:hAnsi="Times New Roman"/>
        </w:rPr>
        <w:t>al</w:t>
      </w:r>
      <w:r w:rsidR="00291481" w:rsidRPr="00191C99">
        <w:rPr>
          <w:rFonts w:ascii="Times New Roman" w:hAnsi="Times New Roman"/>
        </w:rPr>
        <w:t xml:space="preserve"> contentions as follows:</w:t>
      </w:r>
      <w:r w:rsidR="00EE103D" w:rsidRPr="00191C99">
        <w:rPr>
          <w:rFonts w:ascii="Times New Roman" w:hAnsi="Times New Roman"/>
        </w:rPr>
        <w:t xml:space="preserve"> </w:t>
      </w:r>
    </w:p>
    <w:p w14:paraId="0A1A3B1F" w14:textId="7FEA4B49" w:rsidR="00291481" w:rsidRPr="00191C99" w:rsidRDefault="00E44B8C" w:rsidP="00191C99">
      <w:pPr>
        <w:pStyle w:val="leftright"/>
        <w:spacing w:before="0" w:after="260" w:line="280" w:lineRule="exact"/>
        <w:ind w:left="1440" w:right="0" w:hanging="720"/>
        <w:jc w:val="both"/>
        <w:rPr>
          <w:rFonts w:ascii="Times New Roman" w:hAnsi="Times New Roman"/>
        </w:rPr>
      </w:pPr>
      <w:r w:rsidRPr="00191C99">
        <w:rPr>
          <w:rFonts w:ascii="Times New Roman" w:hAnsi="Times New Roman"/>
        </w:rPr>
        <w:t>"1.</w:t>
      </w:r>
      <w:r w:rsidR="00F83E8C" w:rsidRPr="00191C99">
        <w:rPr>
          <w:rFonts w:ascii="Times New Roman" w:hAnsi="Times New Roman"/>
        </w:rPr>
        <w:tab/>
      </w:r>
      <w:r w:rsidRPr="00191C99">
        <w:rPr>
          <w:rFonts w:ascii="Times New Roman" w:hAnsi="Times New Roman"/>
        </w:rPr>
        <w:t>That</w:t>
      </w:r>
      <w:r w:rsidR="00137E68" w:rsidRPr="00191C99">
        <w:rPr>
          <w:rFonts w:ascii="Times New Roman" w:hAnsi="Times New Roman"/>
        </w:rPr>
        <w:t>,</w:t>
      </w:r>
      <w:r w:rsidR="00571FC9" w:rsidRPr="00191C99">
        <w:rPr>
          <w:rFonts w:ascii="Times New Roman" w:hAnsi="Times New Roman"/>
        </w:rPr>
        <w:t xml:space="preserve"> properly construed</w:t>
      </w:r>
      <w:r w:rsidR="00137E68" w:rsidRPr="00191C99">
        <w:rPr>
          <w:rFonts w:ascii="Times New Roman" w:hAnsi="Times New Roman"/>
        </w:rPr>
        <w:t xml:space="preserve">, s 198(6) of the </w:t>
      </w:r>
      <w:r w:rsidR="00137E68" w:rsidRPr="00191C99">
        <w:rPr>
          <w:rFonts w:ascii="Times New Roman" w:hAnsi="Times New Roman"/>
          <w:i/>
          <w:iCs/>
        </w:rPr>
        <w:t>Migration Act 1958</w:t>
      </w:r>
      <w:r w:rsidR="00137E68" w:rsidRPr="00191C99">
        <w:rPr>
          <w:rFonts w:ascii="Times New Roman" w:hAnsi="Times New Roman"/>
        </w:rPr>
        <w:t xml:space="preserve"> </w:t>
      </w:r>
      <w:r w:rsidRPr="00191C99">
        <w:rPr>
          <w:rFonts w:ascii="Times New Roman" w:hAnsi="Times New Roman"/>
        </w:rPr>
        <w:t>(</w:t>
      </w:r>
      <w:proofErr w:type="spellStart"/>
      <w:r w:rsidRPr="00191C99">
        <w:rPr>
          <w:rFonts w:ascii="Times New Roman" w:hAnsi="Times New Roman"/>
        </w:rPr>
        <w:t>Cth</w:t>
      </w:r>
      <w:proofErr w:type="spellEnd"/>
      <w:r w:rsidRPr="00191C99">
        <w:rPr>
          <w:rFonts w:ascii="Times New Roman" w:hAnsi="Times New Roman"/>
        </w:rPr>
        <w:t xml:space="preserve">) </w:t>
      </w:r>
      <w:r w:rsidR="00137E68" w:rsidRPr="00191C99">
        <w:rPr>
          <w:rFonts w:ascii="Times New Roman" w:hAnsi="Times New Roman"/>
        </w:rPr>
        <w:t>does not require or permit the removal of the respondent in circumstances where</w:t>
      </w:r>
      <w:r w:rsidRPr="00191C99">
        <w:rPr>
          <w:rFonts w:ascii="Times New Roman" w:hAnsi="Times New Roman"/>
        </w:rPr>
        <w:t>:</w:t>
      </w:r>
    </w:p>
    <w:p w14:paraId="2B5ADC1F" w14:textId="3CF161FB" w:rsidR="00A01168" w:rsidRPr="00191C99" w:rsidRDefault="00F83E8C" w:rsidP="00191C99">
      <w:pPr>
        <w:pStyle w:val="leftright"/>
        <w:spacing w:before="0" w:after="260" w:line="280" w:lineRule="exact"/>
        <w:ind w:left="2160" w:right="0" w:hanging="1440"/>
        <w:jc w:val="both"/>
        <w:rPr>
          <w:rFonts w:ascii="Times New Roman" w:hAnsi="Times New Roman"/>
        </w:rPr>
      </w:pPr>
      <w:r w:rsidRPr="00191C99">
        <w:rPr>
          <w:rFonts w:ascii="Times New Roman" w:hAnsi="Times New Roman"/>
        </w:rPr>
        <w:tab/>
      </w:r>
      <w:r w:rsidR="008A3499" w:rsidRPr="00191C99">
        <w:rPr>
          <w:rFonts w:ascii="Times New Roman" w:hAnsi="Times New Roman"/>
        </w:rPr>
        <w:t>...</w:t>
      </w:r>
    </w:p>
    <w:p w14:paraId="0FA86C45" w14:textId="056C2D71" w:rsidR="00A01168" w:rsidRPr="00191C99" w:rsidRDefault="00F83E8C" w:rsidP="00191C99">
      <w:pPr>
        <w:pStyle w:val="leftright"/>
        <w:spacing w:before="0" w:after="260" w:line="280" w:lineRule="exact"/>
        <w:ind w:left="2160" w:right="0" w:hanging="1440"/>
        <w:jc w:val="both"/>
        <w:rPr>
          <w:rFonts w:ascii="Times New Roman" w:hAnsi="Times New Roman"/>
        </w:rPr>
      </w:pPr>
      <w:r w:rsidRPr="00191C99">
        <w:rPr>
          <w:rFonts w:ascii="Times New Roman" w:hAnsi="Times New Roman"/>
        </w:rPr>
        <w:tab/>
      </w:r>
      <w:r w:rsidR="00A01168" w:rsidRPr="00191C99">
        <w:rPr>
          <w:rFonts w:ascii="Times New Roman" w:hAnsi="Times New Roman"/>
        </w:rPr>
        <w:t>b.</w:t>
      </w:r>
      <w:r w:rsidRPr="00191C99">
        <w:rPr>
          <w:rFonts w:ascii="Times New Roman" w:hAnsi="Times New Roman"/>
        </w:rPr>
        <w:tab/>
      </w:r>
      <w:r w:rsidR="00BE3FE8" w:rsidRPr="00191C99">
        <w:rPr>
          <w:rFonts w:ascii="Times New Roman" w:hAnsi="Times New Roman"/>
        </w:rPr>
        <w:t>the respondent has made a request to the first appellant for the exercise of a personal non-compellable power in respect of the respondent and that request has not been brought to the first appellant's attention by the second appellant</w:t>
      </w:r>
      <w:r w:rsidR="00A01168" w:rsidRPr="00191C99">
        <w:rPr>
          <w:rFonts w:ascii="Times New Roman" w:hAnsi="Times New Roman"/>
        </w:rPr>
        <w:t>; or</w:t>
      </w:r>
    </w:p>
    <w:p w14:paraId="56890B4D" w14:textId="77777777" w:rsidR="00191C99" w:rsidRDefault="00F83E8C" w:rsidP="00191C99">
      <w:pPr>
        <w:pStyle w:val="leftright"/>
        <w:spacing w:before="0" w:after="260" w:line="280" w:lineRule="exact"/>
        <w:ind w:right="0"/>
        <w:jc w:val="both"/>
        <w:rPr>
          <w:rFonts w:ascii="Times New Roman" w:hAnsi="Times New Roman"/>
        </w:rPr>
      </w:pPr>
      <w:r w:rsidRPr="00191C99">
        <w:rPr>
          <w:rFonts w:ascii="Times New Roman" w:hAnsi="Times New Roman"/>
        </w:rPr>
        <w:tab/>
      </w:r>
      <w:r w:rsidR="004271B1" w:rsidRPr="00191C99">
        <w:rPr>
          <w:rFonts w:ascii="Times New Roman" w:hAnsi="Times New Roman"/>
        </w:rPr>
        <w:t>c.</w:t>
      </w:r>
      <w:r w:rsidRPr="00191C99">
        <w:rPr>
          <w:rFonts w:ascii="Times New Roman" w:hAnsi="Times New Roman"/>
        </w:rPr>
        <w:tab/>
      </w:r>
      <w:r w:rsidR="004271B1" w:rsidRPr="00191C99">
        <w:rPr>
          <w:rFonts w:ascii="Times New Roman" w:hAnsi="Times New Roman"/>
        </w:rPr>
        <w:t>an injunction restraining removal is in force."</w:t>
      </w:r>
    </w:p>
    <w:p w14:paraId="691C9E7A" w14:textId="5EE6C7BA" w:rsidR="004F4288" w:rsidRPr="00191C99" w:rsidRDefault="004271B1"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1F2471" w:rsidRPr="00191C99">
        <w:rPr>
          <w:rFonts w:ascii="Times New Roman" w:hAnsi="Times New Roman"/>
        </w:rPr>
        <w:t xml:space="preserve">The </w:t>
      </w:r>
      <w:r w:rsidR="008B607A" w:rsidRPr="00191C99">
        <w:rPr>
          <w:rFonts w:ascii="Times New Roman" w:hAnsi="Times New Roman"/>
        </w:rPr>
        <w:t xml:space="preserve">appellants </w:t>
      </w:r>
      <w:r w:rsidR="001F2471" w:rsidRPr="00191C99">
        <w:rPr>
          <w:rFonts w:ascii="Times New Roman" w:hAnsi="Times New Roman"/>
        </w:rPr>
        <w:t xml:space="preserve">and the </w:t>
      </w:r>
      <w:r w:rsidR="00325644" w:rsidRPr="00191C99">
        <w:rPr>
          <w:rFonts w:ascii="Times New Roman" w:hAnsi="Times New Roman"/>
        </w:rPr>
        <w:t xml:space="preserve">Attorney-General of the Commonwealth </w:t>
      </w:r>
      <w:r w:rsidR="002B51BF" w:rsidRPr="00191C99">
        <w:rPr>
          <w:rFonts w:ascii="Times New Roman" w:hAnsi="Times New Roman"/>
        </w:rPr>
        <w:t>(</w:t>
      </w:r>
      <w:r w:rsidR="00325644" w:rsidRPr="00191C99">
        <w:rPr>
          <w:rFonts w:ascii="Times New Roman" w:hAnsi="Times New Roman"/>
        </w:rPr>
        <w:t>intervening</w:t>
      </w:r>
      <w:r w:rsidR="002B51BF" w:rsidRPr="00191C99">
        <w:rPr>
          <w:rFonts w:ascii="Times New Roman" w:hAnsi="Times New Roman"/>
        </w:rPr>
        <w:t>)</w:t>
      </w:r>
      <w:r w:rsidR="00325644" w:rsidRPr="00191C99">
        <w:rPr>
          <w:rFonts w:ascii="Times New Roman" w:hAnsi="Times New Roman"/>
        </w:rPr>
        <w:t xml:space="preserve"> </w:t>
      </w:r>
      <w:r w:rsidR="008B607A" w:rsidRPr="00191C99">
        <w:rPr>
          <w:rFonts w:ascii="Times New Roman" w:hAnsi="Times New Roman"/>
        </w:rPr>
        <w:t>submitted that</w:t>
      </w:r>
      <w:r w:rsidR="00184FEA" w:rsidRPr="00191C99">
        <w:rPr>
          <w:rFonts w:ascii="Times New Roman" w:hAnsi="Times New Roman"/>
        </w:rPr>
        <w:t xml:space="preserve">, on its proper construction, s 198(6) of the </w:t>
      </w:r>
      <w:r w:rsidR="00025D7D" w:rsidRPr="00191C99">
        <w:rPr>
          <w:rFonts w:ascii="Times New Roman" w:hAnsi="Times New Roman"/>
          <w:i/>
          <w:iCs/>
        </w:rPr>
        <w:t>Migration</w:t>
      </w:r>
      <w:r w:rsidR="00184FEA" w:rsidRPr="00191C99">
        <w:rPr>
          <w:rFonts w:ascii="Times New Roman" w:hAnsi="Times New Roman"/>
          <w:i/>
          <w:iCs/>
        </w:rPr>
        <w:t xml:space="preserve"> Act</w:t>
      </w:r>
      <w:r w:rsidR="00025D7D" w:rsidRPr="00191C99">
        <w:rPr>
          <w:rFonts w:ascii="Times New Roman" w:hAnsi="Times New Roman"/>
        </w:rPr>
        <w:t xml:space="preserve">, in </w:t>
      </w:r>
      <w:r w:rsidR="00022B7E" w:rsidRPr="00191C99">
        <w:rPr>
          <w:rFonts w:ascii="Times New Roman" w:hAnsi="Times New Roman"/>
        </w:rPr>
        <w:t xml:space="preserve">framing the power and duty of an officer to remove a person in the </w:t>
      </w:r>
      <w:r w:rsidR="00DC63AC" w:rsidRPr="00191C99">
        <w:rPr>
          <w:rFonts w:ascii="Times New Roman" w:hAnsi="Times New Roman"/>
        </w:rPr>
        <w:t xml:space="preserve">specified </w:t>
      </w:r>
      <w:r w:rsidR="00022B7E" w:rsidRPr="00191C99">
        <w:rPr>
          <w:rFonts w:ascii="Times New Roman" w:hAnsi="Times New Roman"/>
        </w:rPr>
        <w:t>circumstances "as soon as reasonably practicable"</w:t>
      </w:r>
      <w:r w:rsidR="00BB223E" w:rsidRPr="00191C99">
        <w:rPr>
          <w:rFonts w:ascii="Times New Roman" w:hAnsi="Times New Roman"/>
        </w:rPr>
        <w:t xml:space="preserve">, contemplated only the practical capacity of removal, not </w:t>
      </w:r>
      <w:r w:rsidR="00E46E5C" w:rsidRPr="00191C99">
        <w:rPr>
          <w:rFonts w:ascii="Times New Roman" w:hAnsi="Times New Roman"/>
        </w:rPr>
        <w:t xml:space="preserve">any other circumstance. </w:t>
      </w:r>
      <w:r w:rsidR="00571BDD" w:rsidRPr="00191C99">
        <w:rPr>
          <w:rFonts w:ascii="Times New Roman" w:hAnsi="Times New Roman"/>
        </w:rPr>
        <w:t>According to the appellants</w:t>
      </w:r>
      <w:r w:rsidR="008A71BC" w:rsidRPr="00191C99">
        <w:rPr>
          <w:rFonts w:ascii="Times New Roman" w:hAnsi="Times New Roman"/>
        </w:rPr>
        <w:t xml:space="preserve"> and the Attorney-General</w:t>
      </w:r>
      <w:r w:rsidR="00571BDD" w:rsidRPr="00191C99">
        <w:rPr>
          <w:rFonts w:ascii="Times New Roman" w:hAnsi="Times New Roman"/>
        </w:rPr>
        <w:t>, t</w:t>
      </w:r>
      <w:r w:rsidR="00962F37" w:rsidRPr="00191C99">
        <w:rPr>
          <w:rFonts w:ascii="Times New Roman" w:hAnsi="Times New Roman"/>
        </w:rPr>
        <w:t>he power and duty of an officer in s 198(6) yield</w:t>
      </w:r>
      <w:r w:rsidR="00582D0B" w:rsidRPr="00191C99">
        <w:rPr>
          <w:rFonts w:ascii="Times New Roman" w:hAnsi="Times New Roman"/>
        </w:rPr>
        <w:t xml:space="preserve">s </w:t>
      </w:r>
      <w:r w:rsidR="00962F37" w:rsidRPr="00191C99">
        <w:rPr>
          <w:rFonts w:ascii="Times New Roman" w:hAnsi="Times New Roman"/>
        </w:rPr>
        <w:t>in a case where the Minister ha</w:t>
      </w:r>
      <w:r w:rsidR="00571BDD" w:rsidRPr="00191C99">
        <w:rPr>
          <w:rFonts w:ascii="Times New Roman" w:hAnsi="Times New Roman"/>
        </w:rPr>
        <w:t>s</w:t>
      </w:r>
      <w:r w:rsidR="00962F37" w:rsidRPr="00191C99">
        <w:rPr>
          <w:rFonts w:ascii="Times New Roman" w:hAnsi="Times New Roman"/>
        </w:rPr>
        <w:t xml:space="preserve"> made a "procedural decision" to consider the exercise of </w:t>
      </w:r>
      <w:r w:rsidR="00F137FA" w:rsidRPr="00191C99">
        <w:rPr>
          <w:rFonts w:ascii="Times New Roman" w:hAnsi="Times New Roman"/>
        </w:rPr>
        <w:t>the Minister's personal and non-compellable power,</w:t>
      </w:r>
      <w:r w:rsidR="00871FBB" w:rsidRPr="00191C99">
        <w:rPr>
          <w:rStyle w:val="FootnoteReference"/>
          <w:rFonts w:ascii="Times New Roman" w:hAnsi="Times New Roman"/>
          <w:sz w:val="24"/>
        </w:rPr>
        <w:footnoteReference w:id="26"/>
      </w:r>
      <w:r w:rsidR="00F137FA" w:rsidRPr="00191C99">
        <w:rPr>
          <w:rFonts w:ascii="Times New Roman" w:hAnsi="Times New Roman"/>
        </w:rPr>
        <w:t xml:space="preserve"> not because it was thereby not "reasonably practicable" for an officer to remove the person, but </w:t>
      </w:r>
      <w:r w:rsidR="004C426B" w:rsidRPr="00191C99">
        <w:rPr>
          <w:rFonts w:ascii="Times New Roman" w:hAnsi="Times New Roman"/>
        </w:rPr>
        <w:t xml:space="preserve">only </w:t>
      </w:r>
      <w:r w:rsidR="00F137FA" w:rsidRPr="00191C99">
        <w:rPr>
          <w:rFonts w:ascii="Times New Roman" w:hAnsi="Times New Roman"/>
        </w:rPr>
        <w:t xml:space="preserve">because s 198(6) </w:t>
      </w:r>
      <w:r w:rsidR="00571BDD" w:rsidRPr="00191C99">
        <w:rPr>
          <w:rFonts w:ascii="Times New Roman" w:hAnsi="Times New Roman"/>
        </w:rPr>
        <w:t xml:space="preserve">is </w:t>
      </w:r>
      <w:r w:rsidR="00F137FA" w:rsidRPr="00191C99">
        <w:rPr>
          <w:rFonts w:ascii="Times New Roman" w:hAnsi="Times New Roman"/>
        </w:rPr>
        <w:t xml:space="preserve">to be construed as </w:t>
      </w:r>
      <w:r w:rsidR="008A1E2A" w:rsidRPr="00191C99">
        <w:rPr>
          <w:rFonts w:ascii="Times New Roman" w:hAnsi="Times New Roman"/>
        </w:rPr>
        <w:t>subject to an</w:t>
      </w:r>
      <w:r w:rsidR="00F137FA" w:rsidRPr="00191C99">
        <w:rPr>
          <w:rFonts w:ascii="Times New Roman" w:hAnsi="Times New Roman"/>
        </w:rPr>
        <w:t xml:space="preserve"> implied exception </w:t>
      </w:r>
      <w:r w:rsidR="00871FBB" w:rsidRPr="00191C99">
        <w:rPr>
          <w:rFonts w:ascii="Times New Roman" w:hAnsi="Times New Roman"/>
        </w:rPr>
        <w:t>where such a "procedural decision" ha</w:t>
      </w:r>
      <w:r w:rsidR="00ED7F30" w:rsidRPr="00191C99">
        <w:rPr>
          <w:rFonts w:ascii="Times New Roman" w:hAnsi="Times New Roman"/>
        </w:rPr>
        <w:t>s</w:t>
      </w:r>
      <w:r w:rsidR="00871FBB" w:rsidRPr="00191C99">
        <w:rPr>
          <w:rFonts w:ascii="Times New Roman" w:hAnsi="Times New Roman"/>
        </w:rPr>
        <w:t xml:space="preserve"> been made.</w:t>
      </w:r>
      <w:r w:rsidR="00D04EEC" w:rsidRPr="00191C99">
        <w:rPr>
          <w:rFonts w:ascii="Times New Roman" w:hAnsi="Times New Roman"/>
        </w:rPr>
        <w:t xml:space="preserve"> </w:t>
      </w:r>
      <w:r w:rsidR="00582D0B" w:rsidRPr="00191C99">
        <w:rPr>
          <w:rFonts w:ascii="Times New Roman" w:hAnsi="Times New Roman"/>
        </w:rPr>
        <w:t>The making of such a "procedural decision"</w:t>
      </w:r>
      <w:r w:rsidR="00ED7F30" w:rsidRPr="00191C99">
        <w:rPr>
          <w:rFonts w:ascii="Times New Roman" w:hAnsi="Times New Roman"/>
        </w:rPr>
        <w:t xml:space="preserve">, the appellants </w:t>
      </w:r>
      <w:r w:rsidR="00FD7E85" w:rsidRPr="00191C99">
        <w:rPr>
          <w:rFonts w:ascii="Times New Roman" w:hAnsi="Times New Roman"/>
        </w:rPr>
        <w:t xml:space="preserve">and the Attorney-General </w:t>
      </w:r>
      <w:r w:rsidR="00ED7F30" w:rsidRPr="00191C99">
        <w:rPr>
          <w:rFonts w:ascii="Times New Roman" w:hAnsi="Times New Roman"/>
        </w:rPr>
        <w:t>argued,</w:t>
      </w:r>
      <w:r w:rsidR="00582D0B" w:rsidRPr="00191C99">
        <w:rPr>
          <w:rFonts w:ascii="Times New Roman" w:hAnsi="Times New Roman"/>
        </w:rPr>
        <w:t xml:space="preserve"> is critical because such a decision alone </w:t>
      </w:r>
      <w:r w:rsidR="00ED7F30" w:rsidRPr="00191C99">
        <w:rPr>
          <w:rFonts w:ascii="Times New Roman" w:hAnsi="Times New Roman"/>
        </w:rPr>
        <w:t xml:space="preserve">makes </w:t>
      </w:r>
      <w:r w:rsidR="00582D0B" w:rsidRPr="00191C99">
        <w:rPr>
          <w:rFonts w:ascii="Times New Roman" w:hAnsi="Times New Roman"/>
        </w:rPr>
        <w:t xml:space="preserve">the </w:t>
      </w:r>
      <w:r w:rsidR="00D22E63" w:rsidRPr="00191C99">
        <w:rPr>
          <w:rFonts w:ascii="Times New Roman" w:hAnsi="Times New Roman"/>
        </w:rPr>
        <w:t>length of time for which the power and duty is "postponed or suspended or deferred"</w:t>
      </w:r>
      <w:r w:rsidR="00D95B61" w:rsidRPr="00191C99">
        <w:rPr>
          <w:rFonts w:ascii="Times New Roman" w:hAnsi="Times New Roman"/>
        </w:rPr>
        <w:t>, and therefore the length of time for which an unlawful non-citizen may be detained,</w:t>
      </w:r>
      <w:r w:rsidR="00D22E63" w:rsidRPr="00191C99">
        <w:rPr>
          <w:rFonts w:ascii="Times New Roman" w:hAnsi="Times New Roman"/>
        </w:rPr>
        <w:t xml:space="preserve"> </w:t>
      </w:r>
      <w:r w:rsidR="00ED7F30" w:rsidRPr="00191C99">
        <w:rPr>
          <w:rFonts w:ascii="Times New Roman" w:hAnsi="Times New Roman"/>
        </w:rPr>
        <w:t xml:space="preserve">determinate rather than impermissibly indeterminate. </w:t>
      </w:r>
      <w:r w:rsidR="008B7053" w:rsidRPr="00191C99">
        <w:rPr>
          <w:rFonts w:ascii="Times New Roman" w:hAnsi="Times New Roman"/>
        </w:rPr>
        <w:t>In this case</w:t>
      </w:r>
      <w:r w:rsidR="00E40E52" w:rsidRPr="00191C99">
        <w:rPr>
          <w:rFonts w:ascii="Times New Roman" w:hAnsi="Times New Roman"/>
        </w:rPr>
        <w:t>, however,</w:t>
      </w:r>
      <w:r w:rsidR="008B7053" w:rsidRPr="00191C99">
        <w:rPr>
          <w:rFonts w:ascii="Times New Roman" w:hAnsi="Times New Roman"/>
        </w:rPr>
        <w:t xml:space="preserve"> the Minister had not</w:t>
      </w:r>
      <w:r w:rsidR="00747723" w:rsidRPr="00191C99">
        <w:rPr>
          <w:rFonts w:ascii="Times New Roman" w:hAnsi="Times New Roman"/>
        </w:rPr>
        <w:t xml:space="preserve"> </w:t>
      </w:r>
      <w:r w:rsidR="008B7053" w:rsidRPr="00191C99">
        <w:rPr>
          <w:rFonts w:ascii="Times New Roman" w:hAnsi="Times New Roman"/>
        </w:rPr>
        <w:t>made a "procedural decision"</w:t>
      </w:r>
      <w:r w:rsidR="00977744" w:rsidRPr="00191C99">
        <w:rPr>
          <w:rFonts w:ascii="Times New Roman" w:hAnsi="Times New Roman"/>
        </w:rPr>
        <w:t xml:space="preserve">. That an </w:t>
      </w:r>
      <w:r w:rsidR="00774C3A" w:rsidRPr="00191C99">
        <w:rPr>
          <w:rFonts w:ascii="Times New Roman" w:hAnsi="Times New Roman"/>
        </w:rPr>
        <w:t>officer</w:t>
      </w:r>
      <w:r w:rsidR="00977744" w:rsidRPr="00191C99">
        <w:rPr>
          <w:rFonts w:ascii="Times New Roman" w:hAnsi="Times New Roman"/>
        </w:rPr>
        <w:t xml:space="preserve"> decided not to bring the respondent's request</w:t>
      </w:r>
      <w:r w:rsidR="00E40E52" w:rsidRPr="00191C99">
        <w:rPr>
          <w:rFonts w:ascii="Times New Roman" w:hAnsi="Times New Roman"/>
        </w:rPr>
        <w:t>(s)</w:t>
      </w:r>
      <w:r w:rsidR="00977744" w:rsidRPr="00191C99">
        <w:rPr>
          <w:rFonts w:ascii="Times New Roman" w:hAnsi="Times New Roman"/>
        </w:rPr>
        <w:t xml:space="preserve"> to </w:t>
      </w:r>
      <w:r w:rsidR="00774C3A" w:rsidRPr="00191C99">
        <w:rPr>
          <w:rFonts w:ascii="Times New Roman" w:hAnsi="Times New Roman"/>
        </w:rPr>
        <w:t>the Minister's attention</w:t>
      </w:r>
      <w:r w:rsidR="009D702B" w:rsidRPr="00191C99">
        <w:rPr>
          <w:rFonts w:ascii="Times New Roman" w:hAnsi="Times New Roman"/>
        </w:rPr>
        <w:t xml:space="preserve">, </w:t>
      </w:r>
      <w:r w:rsidR="009D702B" w:rsidRPr="00191C99">
        <w:rPr>
          <w:rFonts w:ascii="Times New Roman" w:hAnsi="Times New Roman"/>
        </w:rPr>
        <w:lastRenderedPageBreak/>
        <w:t>according to the appellants and the Attorney-General,</w:t>
      </w:r>
      <w:r w:rsidR="00774C3A" w:rsidRPr="00191C99">
        <w:rPr>
          <w:rFonts w:ascii="Times New Roman" w:hAnsi="Times New Roman"/>
        </w:rPr>
        <w:t xml:space="preserve"> did not involve the officer usurping any part of the personal power</w:t>
      </w:r>
      <w:r w:rsidR="00E40E52" w:rsidRPr="00191C99">
        <w:rPr>
          <w:rFonts w:ascii="Times New Roman" w:hAnsi="Times New Roman"/>
        </w:rPr>
        <w:t>s</w:t>
      </w:r>
      <w:r w:rsidR="00774C3A" w:rsidRPr="00191C99">
        <w:rPr>
          <w:rFonts w:ascii="Times New Roman" w:hAnsi="Times New Roman"/>
        </w:rPr>
        <w:t xml:space="preserve"> of the Minister </w:t>
      </w:r>
      <w:r w:rsidR="00E40E52" w:rsidRPr="00191C99">
        <w:rPr>
          <w:rFonts w:ascii="Times New Roman" w:hAnsi="Times New Roman"/>
        </w:rPr>
        <w:t xml:space="preserve">under the </w:t>
      </w:r>
      <w:r w:rsidR="00E40E52" w:rsidRPr="00191C99">
        <w:rPr>
          <w:rFonts w:ascii="Times New Roman" w:hAnsi="Times New Roman"/>
          <w:i/>
          <w:iCs/>
        </w:rPr>
        <w:t>Migration Act</w:t>
      </w:r>
      <w:r w:rsidR="00E40E52" w:rsidRPr="00191C99">
        <w:rPr>
          <w:rFonts w:ascii="Times New Roman" w:hAnsi="Times New Roman"/>
        </w:rPr>
        <w:t xml:space="preserve"> </w:t>
      </w:r>
      <w:r w:rsidR="00774C3A" w:rsidRPr="00191C99">
        <w:rPr>
          <w:rFonts w:ascii="Times New Roman" w:hAnsi="Times New Roman"/>
        </w:rPr>
        <w:t xml:space="preserve">as the Minister had not instructed the officer </w:t>
      </w:r>
      <w:r w:rsidR="00E40E52" w:rsidRPr="00191C99">
        <w:rPr>
          <w:rFonts w:ascii="Times New Roman" w:hAnsi="Times New Roman"/>
        </w:rPr>
        <w:t xml:space="preserve">one way or another </w:t>
      </w:r>
      <w:r w:rsidR="00C82D67" w:rsidRPr="00191C99">
        <w:rPr>
          <w:rFonts w:ascii="Times New Roman" w:hAnsi="Times New Roman"/>
        </w:rPr>
        <w:t>about the request</w:t>
      </w:r>
      <w:r w:rsidR="00F00A61" w:rsidRPr="00191C99">
        <w:rPr>
          <w:rFonts w:ascii="Times New Roman" w:hAnsi="Times New Roman"/>
        </w:rPr>
        <w:t>(</w:t>
      </w:r>
      <w:r w:rsidR="00C82D67" w:rsidRPr="00191C99">
        <w:rPr>
          <w:rFonts w:ascii="Times New Roman" w:hAnsi="Times New Roman"/>
        </w:rPr>
        <w:t>s</w:t>
      </w:r>
      <w:r w:rsidR="00F00A61" w:rsidRPr="00191C99">
        <w:rPr>
          <w:rFonts w:ascii="Times New Roman" w:hAnsi="Times New Roman"/>
        </w:rPr>
        <w:t>)</w:t>
      </w:r>
      <w:r w:rsidR="00C82D67" w:rsidRPr="00191C99">
        <w:rPr>
          <w:rFonts w:ascii="Times New Roman" w:hAnsi="Times New Roman"/>
        </w:rPr>
        <w:t xml:space="preserve"> (either individually or as part of a class). Therefore,</w:t>
      </w:r>
      <w:r w:rsidR="00D564B4" w:rsidRPr="00191C99">
        <w:rPr>
          <w:rFonts w:ascii="Times New Roman" w:hAnsi="Times New Roman"/>
        </w:rPr>
        <w:t xml:space="preserve"> the power and </w:t>
      </w:r>
      <w:r w:rsidR="00E40E52" w:rsidRPr="00191C99">
        <w:rPr>
          <w:rFonts w:ascii="Times New Roman" w:hAnsi="Times New Roman"/>
        </w:rPr>
        <w:t xml:space="preserve">the </w:t>
      </w:r>
      <w:r w:rsidR="00D564B4" w:rsidRPr="00191C99">
        <w:rPr>
          <w:rFonts w:ascii="Times New Roman" w:hAnsi="Times New Roman"/>
        </w:rPr>
        <w:t xml:space="preserve">duty in s 198(6) </w:t>
      </w:r>
      <w:r w:rsidR="00C82D67" w:rsidRPr="00191C99">
        <w:rPr>
          <w:rFonts w:ascii="Times New Roman" w:hAnsi="Times New Roman"/>
        </w:rPr>
        <w:t xml:space="preserve">was not "postponed or suspended or deferred" but </w:t>
      </w:r>
      <w:r w:rsidR="00D564B4" w:rsidRPr="00191C99">
        <w:rPr>
          <w:rFonts w:ascii="Times New Roman" w:hAnsi="Times New Roman"/>
        </w:rPr>
        <w:t>applied according to the terms of the provision.</w:t>
      </w:r>
      <w:r w:rsidR="00C82D67" w:rsidRPr="00191C99">
        <w:rPr>
          <w:rFonts w:ascii="Times New Roman" w:hAnsi="Times New Roman"/>
        </w:rPr>
        <w:t xml:space="preserve"> </w:t>
      </w:r>
    </w:p>
    <w:p w14:paraId="7D9FDF4D" w14:textId="05C6417E" w:rsidR="002D0833" w:rsidRPr="00191C99" w:rsidRDefault="00D564B4" w:rsidP="00191C99">
      <w:pPr>
        <w:pStyle w:val="FixListStyle"/>
        <w:spacing w:after="260" w:line="280" w:lineRule="exact"/>
        <w:ind w:right="0"/>
        <w:jc w:val="both"/>
        <w:rPr>
          <w:rFonts w:ascii="Times New Roman" w:hAnsi="Times New Roman"/>
        </w:rPr>
      </w:pPr>
      <w:r w:rsidRPr="00191C99">
        <w:rPr>
          <w:rFonts w:ascii="Times New Roman" w:hAnsi="Times New Roman"/>
        </w:rPr>
        <w:tab/>
        <w:t>On th</w:t>
      </w:r>
      <w:r w:rsidR="00E40E52" w:rsidRPr="00191C99">
        <w:rPr>
          <w:rFonts w:ascii="Times New Roman" w:hAnsi="Times New Roman"/>
        </w:rPr>
        <w:t>is</w:t>
      </w:r>
      <w:r w:rsidRPr="00191C99">
        <w:rPr>
          <w:rFonts w:ascii="Times New Roman" w:hAnsi="Times New Roman"/>
        </w:rPr>
        <w:t xml:space="preserve"> basis, while the appellants and the Attorney-General </w:t>
      </w:r>
      <w:r w:rsidR="00325644" w:rsidRPr="00191C99">
        <w:rPr>
          <w:rFonts w:ascii="Times New Roman" w:hAnsi="Times New Roman"/>
        </w:rPr>
        <w:t xml:space="preserve">accepted the principle that the Federal </w:t>
      </w:r>
      <w:r w:rsidR="00600C56" w:rsidRPr="00191C99">
        <w:rPr>
          <w:rFonts w:ascii="Times New Roman" w:hAnsi="Times New Roman"/>
        </w:rPr>
        <w:t>Court</w:t>
      </w:r>
      <w:r w:rsidR="00325644" w:rsidRPr="00191C99">
        <w:rPr>
          <w:rFonts w:ascii="Times New Roman" w:hAnsi="Times New Roman"/>
        </w:rPr>
        <w:t xml:space="preserve"> has power to grant an interlocutory </w:t>
      </w:r>
      <w:r w:rsidR="00600C56" w:rsidRPr="00191C99">
        <w:rPr>
          <w:rFonts w:ascii="Times New Roman" w:hAnsi="Times New Roman"/>
        </w:rPr>
        <w:t>injunction</w:t>
      </w:r>
      <w:r w:rsidR="00325644" w:rsidRPr="00191C99">
        <w:rPr>
          <w:rFonts w:ascii="Times New Roman" w:hAnsi="Times New Roman"/>
        </w:rPr>
        <w:t xml:space="preserve"> to </w:t>
      </w:r>
      <w:r w:rsidR="00AA1385" w:rsidRPr="00191C99">
        <w:rPr>
          <w:rFonts w:ascii="Times New Roman" w:hAnsi="Times New Roman"/>
        </w:rPr>
        <w:t>ensure</w:t>
      </w:r>
      <w:r w:rsidR="00B53E4D" w:rsidRPr="00191C99">
        <w:rPr>
          <w:rFonts w:ascii="Times New Roman" w:hAnsi="Times New Roman"/>
        </w:rPr>
        <w:t xml:space="preserve"> the </w:t>
      </w:r>
      <w:r w:rsidR="00AA1385" w:rsidRPr="00191C99">
        <w:rPr>
          <w:rFonts w:ascii="Times New Roman" w:hAnsi="Times New Roman"/>
        </w:rPr>
        <w:t>effective exercise of jurisdiction invoked in</w:t>
      </w:r>
      <w:r w:rsidR="00B53E4D" w:rsidRPr="00191C99">
        <w:rPr>
          <w:rFonts w:ascii="Times New Roman" w:hAnsi="Times New Roman"/>
        </w:rPr>
        <w:t xml:space="preserve"> a proceeding before it, including to preserve the subject-matter of the proceeding and to </w:t>
      </w:r>
      <w:r w:rsidR="00325644" w:rsidRPr="00191C99">
        <w:rPr>
          <w:rFonts w:ascii="Times New Roman" w:hAnsi="Times New Roman"/>
        </w:rPr>
        <w:t xml:space="preserve">prevent the frustration of </w:t>
      </w:r>
      <w:r w:rsidR="001E5E41" w:rsidRPr="00191C99">
        <w:rPr>
          <w:rFonts w:ascii="Times New Roman" w:hAnsi="Times New Roman"/>
        </w:rPr>
        <w:t xml:space="preserve">the </w:t>
      </w:r>
      <w:r w:rsidR="00600C56" w:rsidRPr="00191C99">
        <w:rPr>
          <w:rFonts w:ascii="Times New Roman" w:hAnsi="Times New Roman"/>
        </w:rPr>
        <w:t>proceeding</w:t>
      </w:r>
      <w:r w:rsidR="00B53E4D" w:rsidRPr="00191C99">
        <w:rPr>
          <w:rFonts w:ascii="Times New Roman" w:hAnsi="Times New Roman"/>
        </w:rPr>
        <w:t>,</w:t>
      </w:r>
      <w:r w:rsidR="00325644" w:rsidRPr="00191C99">
        <w:rPr>
          <w:rFonts w:ascii="Times New Roman" w:hAnsi="Times New Roman"/>
        </w:rPr>
        <w:t xml:space="preserve"> </w:t>
      </w:r>
      <w:r w:rsidRPr="00191C99">
        <w:rPr>
          <w:rFonts w:ascii="Times New Roman" w:hAnsi="Times New Roman"/>
        </w:rPr>
        <w:t xml:space="preserve">they submitted </w:t>
      </w:r>
      <w:r w:rsidR="00600C56" w:rsidRPr="00191C99">
        <w:rPr>
          <w:rFonts w:ascii="Times New Roman" w:hAnsi="Times New Roman"/>
        </w:rPr>
        <w:t xml:space="preserve">that this power was </w:t>
      </w:r>
      <w:r w:rsidR="0063468D" w:rsidRPr="00191C99">
        <w:rPr>
          <w:rFonts w:ascii="Times New Roman" w:hAnsi="Times New Roman"/>
        </w:rPr>
        <w:t xml:space="preserve">qualified </w:t>
      </w:r>
      <w:r w:rsidR="009307D4" w:rsidRPr="00191C99">
        <w:rPr>
          <w:rFonts w:ascii="Times New Roman" w:hAnsi="Times New Roman"/>
        </w:rPr>
        <w:t>in the present case as</w:t>
      </w:r>
      <w:r w:rsidR="0063468D" w:rsidRPr="00191C99">
        <w:rPr>
          <w:rFonts w:ascii="Times New Roman" w:hAnsi="Times New Roman"/>
        </w:rPr>
        <w:t>: (a) </w:t>
      </w:r>
      <w:r w:rsidR="001E356F" w:rsidRPr="00191C99">
        <w:rPr>
          <w:rFonts w:ascii="Times New Roman" w:hAnsi="Times New Roman"/>
        </w:rPr>
        <w:t>the power cannot be exercised to permit non-compliance with a valid statute</w:t>
      </w:r>
      <w:r w:rsidR="009307D4" w:rsidRPr="00191C99">
        <w:rPr>
          <w:rFonts w:ascii="Times New Roman" w:hAnsi="Times New Roman"/>
        </w:rPr>
        <w:t xml:space="preserve"> (in this case, s 198(6)); </w:t>
      </w:r>
      <w:r w:rsidR="00CD3042" w:rsidRPr="00191C99">
        <w:rPr>
          <w:rFonts w:ascii="Times New Roman" w:hAnsi="Times New Roman"/>
        </w:rPr>
        <w:t xml:space="preserve">(b) if </w:t>
      </w:r>
      <w:r w:rsidR="00AD3AA4" w:rsidRPr="00191C99">
        <w:rPr>
          <w:rFonts w:ascii="Times New Roman" w:hAnsi="Times New Roman"/>
        </w:rPr>
        <w:t xml:space="preserve">the </w:t>
      </w:r>
      <w:r w:rsidR="00592981" w:rsidRPr="00191C99">
        <w:rPr>
          <w:rFonts w:ascii="Times New Roman" w:hAnsi="Times New Roman"/>
        </w:rPr>
        <w:t xml:space="preserve">power </w:t>
      </w:r>
      <w:r w:rsidR="00831392" w:rsidRPr="00191C99">
        <w:rPr>
          <w:rFonts w:ascii="Times New Roman" w:hAnsi="Times New Roman"/>
        </w:rPr>
        <w:t xml:space="preserve">could </w:t>
      </w:r>
      <w:r w:rsidR="00592981" w:rsidRPr="00191C99">
        <w:rPr>
          <w:rFonts w:ascii="Times New Roman" w:hAnsi="Times New Roman"/>
        </w:rPr>
        <w:t xml:space="preserve">be exercised to permit non-compliance with a valid statute, there would be no method by which the </w:t>
      </w:r>
      <w:r w:rsidR="00715978" w:rsidRPr="00191C99">
        <w:rPr>
          <w:rFonts w:ascii="Times New Roman" w:hAnsi="Times New Roman"/>
        </w:rPr>
        <w:t>c</w:t>
      </w:r>
      <w:r w:rsidR="002E06F5" w:rsidRPr="00191C99">
        <w:rPr>
          <w:rFonts w:ascii="Times New Roman" w:hAnsi="Times New Roman"/>
        </w:rPr>
        <w:t>ourt</w:t>
      </w:r>
      <w:r w:rsidR="00592981" w:rsidRPr="00191C99">
        <w:rPr>
          <w:rFonts w:ascii="Times New Roman" w:hAnsi="Times New Roman"/>
        </w:rPr>
        <w:t xml:space="preserve"> </w:t>
      </w:r>
      <w:r w:rsidR="00B70D12" w:rsidRPr="00191C99">
        <w:rPr>
          <w:rFonts w:ascii="Times New Roman" w:hAnsi="Times New Roman"/>
        </w:rPr>
        <w:t>c</w:t>
      </w:r>
      <w:r w:rsidR="00592981" w:rsidRPr="00191C99">
        <w:rPr>
          <w:rFonts w:ascii="Times New Roman" w:hAnsi="Times New Roman"/>
        </w:rPr>
        <w:t>ould evaluate the bal</w:t>
      </w:r>
      <w:r w:rsidR="002E06F5" w:rsidRPr="00191C99">
        <w:rPr>
          <w:rFonts w:ascii="Times New Roman" w:hAnsi="Times New Roman"/>
        </w:rPr>
        <w:t>a</w:t>
      </w:r>
      <w:r w:rsidR="00592981" w:rsidRPr="00191C99">
        <w:rPr>
          <w:rFonts w:ascii="Times New Roman" w:hAnsi="Times New Roman"/>
        </w:rPr>
        <w:t xml:space="preserve">nce of </w:t>
      </w:r>
      <w:r w:rsidR="002E06F5" w:rsidRPr="00191C99">
        <w:rPr>
          <w:rFonts w:ascii="Times New Roman" w:hAnsi="Times New Roman"/>
        </w:rPr>
        <w:t>convenience;</w:t>
      </w:r>
      <w:r w:rsidR="00592981" w:rsidRPr="00191C99">
        <w:rPr>
          <w:rFonts w:ascii="Times New Roman" w:hAnsi="Times New Roman"/>
        </w:rPr>
        <w:t xml:space="preserve"> </w:t>
      </w:r>
      <w:r w:rsidR="009307D4" w:rsidRPr="00191C99">
        <w:rPr>
          <w:rFonts w:ascii="Times New Roman" w:hAnsi="Times New Roman"/>
        </w:rPr>
        <w:t>(</w:t>
      </w:r>
      <w:r w:rsidR="00CD3042" w:rsidRPr="00191C99">
        <w:rPr>
          <w:rFonts w:ascii="Times New Roman" w:hAnsi="Times New Roman"/>
        </w:rPr>
        <w:t>c</w:t>
      </w:r>
      <w:r w:rsidR="009307D4" w:rsidRPr="00191C99">
        <w:rPr>
          <w:rFonts w:ascii="Times New Roman" w:hAnsi="Times New Roman"/>
        </w:rPr>
        <w:t>) </w:t>
      </w:r>
      <w:r w:rsidR="00595035" w:rsidRPr="00191C99">
        <w:rPr>
          <w:rFonts w:ascii="Times New Roman" w:hAnsi="Times New Roman"/>
        </w:rPr>
        <w:t xml:space="preserve">the power is exercisable only in connection with the </w:t>
      </w:r>
      <w:r w:rsidR="004457A4" w:rsidRPr="00191C99">
        <w:rPr>
          <w:rFonts w:ascii="Times New Roman" w:hAnsi="Times New Roman"/>
        </w:rPr>
        <w:t>preservation of the rights and obligations of the parties in the proceeding and, in t</w:t>
      </w:r>
      <w:r w:rsidR="00865FC2" w:rsidRPr="00191C99">
        <w:rPr>
          <w:rFonts w:ascii="Times New Roman" w:hAnsi="Times New Roman"/>
        </w:rPr>
        <w:t>h</w:t>
      </w:r>
      <w:r w:rsidR="004457A4" w:rsidRPr="00191C99">
        <w:rPr>
          <w:rFonts w:ascii="Times New Roman" w:hAnsi="Times New Roman"/>
        </w:rPr>
        <w:t xml:space="preserve">is case, </w:t>
      </w:r>
      <w:r w:rsidR="00865FC2" w:rsidRPr="00191C99">
        <w:rPr>
          <w:rFonts w:ascii="Times New Roman" w:hAnsi="Times New Roman"/>
        </w:rPr>
        <w:t xml:space="preserve">the </w:t>
      </w:r>
      <w:r w:rsidR="00A6315E" w:rsidRPr="00191C99">
        <w:rPr>
          <w:rFonts w:ascii="Times New Roman" w:hAnsi="Times New Roman"/>
        </w:rPr>
        <w:t xml:space="preserve">final </w:t>
      </w:r>
      <w:r w:rsidR="00865FC2" w:rsidRPr="00191C99">
        <w:rPr>
          <w:rFonts w:ascii="Times New Roman" w:hAnsi="Times New Roman"/>
        </w:rPr>
        <w:t xml:space="preserve">relief </w:t>
      </w:r>
      <w:r w:rsidR="00A6315E" w:rsidRPr="00191C99">
        <w:rPr>
          <w:rFonts w:ascii="Times New Roman" w:hAnsi="Times New Roman"/>
        </w:rPr>
        <w:t xml:space="preserve">sought does not extend to </w:t>
      </w:r>
      <w:r w:rsidR="007A14A9" w:rsidRPr="00191C99">
        <w:rPr>
          <w:rFonts w:ascii="Times New Roman" w:hAnsi="Times New Roman"/>
        </w:rPr>
        <w:t>any challenge to or prevention of the exercise of the power and duty of removal in s 198(6)</w:t>
      </w:r>
      <w:r w:rsidR="00746193" w:rsidRPr="00191C99">
        <w:rPr>
          <w:rFonts w:ascii="Times New Roman" w:hAnsi="Times New Roman"/>
        </w:rPr>
        <w:t xml:space="preserve">; </w:t>
      </w:r>
      <w:r w:rsidR="006C1FB2" w:rsidRPr="00191C99">
        <w:rPr>
          <w:rFonts w:ascii="Times New Roman" w:hAnsi="Times New Roman"/>
        </w:rPr>
        <w:t>and (</w:t>
      </w:r>
      <w:r w:rsidR="002E06F5" w:rsidRPr="00191C99">
        <w:rPr>
          <w:rFonts w:ascii="Times New Roman" w:hAnsi="Times New Roman"/>
        </w:rPr>
        <w:t>d</w:t>
      </w:r>
      <w:r w:rsidR="006C1FB2" w:rsidRPr="00191C99">
        <w:rPr>
          <w:rFonts w:ascii="Times New Roman" w:hAnsi="Times New Roman"/>
        </w:rPr>
        <w:t>) </w:t>
      </w:r>
      <w:r w:rsidR="00A573F9" w:rsidRPr="00191C99">
        <w:rPr>
          <w:rFonts w:ascii="Times New Roman" w:hAnsi="Times New Roman"/>
        </w:rPr>
        <w:t xml:space="preserve">for the interlocutory injunction to have any utility it </w:t>
      </w:r>
      <w:r w:rsidR="00C5560E" w:rsidRPr="00191C99">
        <w:rPr>
          <w:rFonts w:ascii="Times New Roman" w:hAnsi="Times New Roman"/>
        </w:rPr>
        <w:t>would need to</w:t>
      </w:r>
      <w:r w:rsidR="00A573F9" w:rsidRPr="00191C99">
        <w:rPr>
          <w:rFonts w:ascii="Times New Roman" w:hAnsi="Times New Roman"/>
        </w:rPr>
        <w:t xml:space="preserve"> continue after the declaration sought has been made</w:t>
      </w:r>
      <w:r w:rsidR="00005DD2" w:rsidRPr="00191C99">
        <w:rPr>
          <w:rFonts w:ascii="Times New Roman" w:hAnsi="Times New Roman"/>
        </w:rPr>
        <w:t>,</w:t>
      </w:r>
      <w:r w:rsidR="00A573F9" w:rsidRPr="00191C99">
        <w:rPr>
          <w:rFonts w:ascii="Times New Roman" w:hAnsi="Times New Roman"/>
        </w:rPr>
        <w:t xml:space="preserve"> </w:t>
      </w:r>
      <w:r w:rsidR="00896E45" w:rsidRPr="00191C99">
        <w:rPr>
          <w:rFonts w:ascii="Times New Roman" w:hAnsi="Times New Roman"/>
        </w:rPr>
        <w:t xml:space="preserve">the effect of which would be to preclude </w:t>
      </w:r>
      <w:r w:rsidR="003B1EC1" w:rsidRPr="00191C99">
        <w:rPr>
          <w:rFonts w:ascii="Times New Roman" w:hAnsi="Times New Roman"/>
        </w:rPr>
        <w:t>removal of the respondent from Australia contrary to the duty in s 198(6).</w:t>
      </w:r>
      <w:r w:rsidR="0012410F" w:rsidRPr="00191C99">
        <w:rPr>
          <w:rFonts w:ascii="Times New Roman" w:hAnsi="Times New Roman"/>
        </w:rPr>
        <w:t xml:space="preserve"> </w:t>
      </w:r>
    </w:p>
    <w:p w14:paraId="30A4CE34" w14:textId="75A1210F" w:rsidR="00D43384" w:rsidRPr="00191C99" w:rsidRDefault="00D43384" w:rsidP="00191C99">
      <w:pPr>
        <w:pStyle w:val="HeadingL1"/>
        <w:spacing w:after="260" w:line="280" w:lineRule="exact"/>
        <w:ind w:right="0"/>
        <w:jc w:val="both"/>
        <w:rPr>
          <w:rFonts w:ascii="Times New Roman" w:hAnsi="Times New Roman"/>
        </w:rPr>
      </w:pPr>
      <w:r w:rsidRPr="00191C99">
        <w:rPr>
          <w:rFonts w:ascii="Times New Roman" w:hAnsi="Times New Roman"/>
        </w:rPr>
        <w:t>Power to grant an interlocutory injunction to prevent removal</w:t>
      </w:r>
    </w:p>
    <w:p w14:paraId="3BEB1897" w14:textId="0F667C82" w:rsidR="001E139F" w:rsidRPr="00191C99" w:rsidRDefault="00D43384"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DB710F" w:rsidRPr="00191C99">
        <w:rPr>
          <w:rFonts w:ascii="Times New Roman" w:hAnsi="Times New Roman"/>
        </w:rPr>
        <w:t>N</w:t>
      </w:r>
      <w:r w:rsidRPr="00191C99">
        <w:rPr>
          <w:rFonts w:ascii="Times New Roman" w:hAnsi="Times New Roman"/>
        </w:rPr>
        <w:t>o court has an unlimited power to grant an interlocutory injunction</w:t>
      </w:r>
      <w:r w:rsidRPr="00191C99">
        <w:rPr>
          <w:rStyle w:val="FootnoteReference"/>
          <w:rFonts w:ascii="Times New Roman" w:hAnsi="Times New Roman"/>
          <w:sz w:val="24"/>
        </w:rPr>
        <w:footnoteReference w:id="27"/>
      </w:r>
      <w:r w:rsidRPr="00191C99">
        <w:rPr>
          <w:rFonts w:ascii="Times New Roman" w:hAnsi="Times New Roman"/>
        </w:rPr>
        <w:t xml:space="preserve"> and </w:t>
      </w:r>
      <w:r w:rsidR="00F42236" w:rsidRPr="00191C99">
        <w:rPr>
          <w:rFonts w:ascii="Times New Roman" w:hAnsi="Times New Roman"/>
        </w:rPr>
        <w:t xml:space="preserve">an </w:t>
      </w:r>
      <w:r w:rsidRPr="00191C99">
        <w:rPr>
          <w:rFonts w:ascii="Times New Roman" w:hAnsi="Times New Roman"/>
        </w:rPr>
        <w:t xml:space="preserve">order </w:t>
      </w:r>
      <w:r w:rsidR="001D5BF1" w:rsidRPr="00191C99">
        <w:rPr>
          <w:rFonts w:ascii="Times New Roman" w:hAnsi="Times New Roman"/>
        </w:rPr>
        <w:t>"</w:t>
      </w:r>
      <w:r w:rsidRPr="00191C99">
        <w:rPr>
          <w:rFonts w:ascii="Times New Roman" w:hAnsi="Times New Roman"/>
        </w:rPr>
        <w:t>must be framed so as to come within the limits set by the purpose which [the order] can properly be intended to serve"</w:t>
      </w:r>
      <w:r w:rsidR="00DB710F" w:rsidRPr="00191C99">
        <w:rPr>
          <w:rFonts w:ascii="Times New Roman" w:hAnsi="Times New Roman"/>
        </w:rPr>
        <w:t>.</w:t>
      </w:r>
      <w:r w:rsidRPr="00191C99">
        <w:rPr>
          <w:rStyle w:val="FootnoteReference"/>
          <w:rFonts w:ascii="Times New Roman" w:hAnsi="Times New Roman"/>
          <w:sz w:val="24"/>
        </w:rPr>
        <w:footnoteReference w:id="28"/>
      </w:r>
      <w:r w:rsidRPr="00191C99">
        <w:rPr>
          <w:rFonts w:ascii="Times New Roman" w:hAnsi="Times New Roman"/>
        </w:rPr>
        <w:t xml:space="preserve"> </w:t>
      </w:r>
      <w:r w:rsidR="0011772F" w:rsidRPr="00191C99">
        <w:rPr>
          <w:rFonts w:ascii="Times New Roman" w:hAnsi="Times New Roman"/>
        </w:rPr>
        <w:t xml:space="preserve">Further, the </w:t>
      </w:r>
      <w:r w:rsidR="006C3E5D" w:rsidRPr="00191C99">
        <w:rPr>
          <w:rFonts w:ascii="Times New Roman" w:hAnsi="Times New Roman"/>
        </w:rPr>
        <w:t xml:space="preserve">primary </w:t>
      </w:r>
      <w:r w:rsidR="0011772F" w:rsidRPr="00191C99">
        <w:rPr>
          <w:rFonts w:ascii="Times New Roman" w:hAnsi="Times New Roman"/>
        </w:rPr>
        <w:t xml:space="preserve">purpose of an interlocutory injunction remains </w:t>
      </w:r>
      <w:r w:rsidR="000D1E5E" w:rsidRPr="00191C99">
        <w:rPr>
          <w:rFonts w:ascii="Times New Roman" w:hAnsi="Times New Roman"/>
        </w:rPr>
        <w:t xml:space="preserve">"to keep matters in </w:t>
      </w:r>
      <w:proofErr w:type="spellStart"/>
      <w:r w:rsidR="000D1E5E" w:rsidRPr="00191C99">
        <w:rPr>
          <w:rFonts w:ascii="Times New Roman" w:hAnsi="Times New Roman"/>
        </w:rPr>
        <w:t>statu</w:t>
      </w:r>
      <w:proofErr w:type="spellEnd"/>
      <w:r w:rsidR="000D1E5E" w:rsidRPr="00191C99">
        <w:rPr>
          <w:rFonts w:ascii="Times New Roman" w:hAnsi="Times New Roman"/>
        </w:rPr>
        <w:t xml:space="preserve"> quo until the rights of the parties can be determined at the hearing of the suit"</w:t>
      </w:r>
      <w:r w:rsidR="00A33CC5" w:rsidRPr="00191C99">
        <w:rPr>
          <w:rFonts w:ascii="Times New Roman" w:hAnsi="Times New Roman"/>
        </w:rPr>
        <w:t>.</w:t>
      </w:r>
      <w:r w:rsidR="000D1E5E" w:rsidRPr="00191C99">
        <w:rPr>
          <w:rStyle w:val="FootnoteReference"/>
          <w:rFonts w:ascii="Times New Roman" w:hAnsi="Times New Roman"/>
          <w:sz w:val="24"/>
        </w:rPr>
        <w:footnoteReference w:id="29"/>
      </w:r>
      <w:r w:rsidR="000D1E5E" w:rsidRPr="00191C99">
        <w:rPr>
          <w:rFonts w:ascii="Times New Roman" w:hAnsi="Times New Roman"/>
        </w:rPr>
        <w:t xml:space="preserve"> </w:t>
      </w:r>
      <w:r w:rsidR="00BD39E3" w:rsidRPr="00191C99">
        <w:rPr>
          <w:rFonts w:ascii="Times New Roman" w:hAnsi="Times New Roman"/>
        </w:rPr>
        <w:t xml:space="preserve">The condition precedent remains that </w:t>
      </w:r>
      <w:r w:rsidR="00804725" w:rsidRPr="00191C99">
        <w:rPr>
          <w:rFonts w:ascii="Times New Roman" w:hAnsi="Times New Roman"/>
        </w:rPr>
        <w:t xml:space="preserve">"a plaintiff seeking an interlocutory injunction must be able to show sufficient colour of right to the final relief, in aid of which interlocutory relief is </w:t>
      </w:r>
      <w:r w:rsidR="00804725" w:rsidRPr="00191C99">
        <w:rPr>
          <w:rFonts w:ascii="Times New Roman" w:hAnsi="Times New Roman"/>
        </w:rPr>
        <w:lastRenderedPageBreak/>
        <w:t>sought",</w:t>
      </w:r>
      <w:r w:rsidR="00804725" w:rsidRPr="00191C99">
        <w:rPr>
          <w:rStyle w:val="FootnoteReference"/>
          <w:rFonts w:ascii="Times New Roman" w:hAnsi="Times New Roman"/>
          <w:sz w:val="24"/>
        </w:rPr>
        <w:footnoteReference w:id="30"/>
      </w:r>
      <w:r w:rsidR="00804725" w:rsidRPr="00191C99">
        <w:rPr>
          <w:rFonts w:ascii="Times New Roman" w:hAnsi="Times New Roman"/>
        </w:rPr>
        <w:t xml:space="preserve"> </w:t>
      </w:r>
      <w:r w:rsidR="00F654CC" w:rsidRPr="00191C99">
        <w:rPr>
          <w:rFonts w:ascii="Times New Roman" w:hAnsi="Times New Roman"/>
        </w:rPr>
        <w:t xml:space="preserve">the usual description of the sufficiency of that </w:t>
      </w:r>
      <w:r w:rsidR="001E139F" w:rsidRPr="00191C99">
        <w:rPr>
          <w:rFonts w:ascii="Times New Roman" w:hAnsi="Times New Roman"/>
        </w:rPr>
        <w:t xml:space="preserve">colour of </w:t>
      </w:r>
      <w:r w:rsidR="00F654CC" w:rsidRPr="00191C99">
        <w:rPr>
          <w:rFonts w:ascii="Times New Roman" w:hAnsi="Times New Roman"/>
        </w:rPr>
        <w:t>right being the establishment of a serious question to be tried or a prima facie case.</w:t>
      </w:r>
      <w:r w:rsidR="00161E91" w:rsidRPr="00191C99">
        <w:rPr>
          <w:rStyle w:val="FootnoteReference"/>
          <w:rFonts w:ascii="Times New Roman" w:hAnsi="Times New Roman"/>
          <w:sz w:val="24"/>
        </w:rPr>
        <w:footnoteReference w:id="31"/>
      </w:r>
      <w:r w:rsidR="00804725" w:rsidRPr="00191C99">
        <w:rPr>
          <w:rFonts w:ascii="Times New Roman" w:hAnsi="Times New Roman"/>
        </w:rPr>
        <w:t xml:space="preserve"> </w:t>
      </w:r>
    </w:p>
    <w:p w14:paraId="23409CD4" w14:textId="1B5EA6CC" w:rsidR="00A66A2B" w:rsidRPr="00191C99" w:rsidRDefault="001E139F"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2154F4" w:rsidRPr="00191C99">
        <w:rPr>
          <w:rFonts w:ascii="Times New Roman" w:hAnsi="Times New Roman"/>
        </w:rPr>
        <w:t>I</w:t>
      </w:r>
      <w:r w:rsidR="00D43384" w:rsidRPr="00191C99">
        <w:rPr>
          <w:rFonts w:ascii="Times New Roman" w:hAnsi="Times New Roman"/>
        </w:rPr>
        <w:t>t is not the case</w:t>
      </w:r>
      <w:r w:rsidR="002154F4" w:rsidRPr="00191C99">
        <w:rPr>
          <w:rFonts w:ascii="Times New Roman" w:hAnsi="Times New Roman"/>
        </w:rPr>
        <w:t>, however,</w:t>
      </w:r>
      <w:r w:rsidR="00D43384" w:rsidRPr="00191C99">
        <w:rPr>
          <w:rFonts w:ascii="Times New Roman" w:hAnsi="Times New Roman"/>
        </w:rPr>
        <w:t xml:space="preserve"> that the power of </w:t>
      </w:r>
      <w:r w:rsidR="00DF5295" w:rsidRPr="00191C99">
        <w:rPr>
          <w:rFonts w:ascii="Times New Roman" w:hAnsi="Times New Roman"/>
        </w:rPr>
        <w:t xml:space="preserve">a court </w:t>
      </w:r>
      <w:r w:rsidR="00D43384" w:rsidRPr="00191C99">
        <w:rPr>
          <w:rFonts w:ascii="Times New Roman" w:hAnsi="Times New Roman"/>
        </w:rPr>
        <w:t xml:space="preserve">to make an interlocutory order, including </w:t>
      </w:r>
      <w:r w:rsidR="00DF5295" w:rsidRPr="00191C99">
        <w:rPr>
          <w:rFonts w:ascii="Times New Roman" w:hAnsi="Times New Roman"/>
        </w:rPr>
        <w:t xml:space="preserve">to grant </w:t>
      </w:r>
      <w:r w:rsidR="00D43384" w:rsidRPr="00191C99">
        <w:rPr>
          <w:rFonts w:ascii="Times New Roman" w:hAnsi="Times New Roman"/>
        </w:rPr>
        <w:t>an interlocutory injunction, is confined to an order</w:t>
      </w:r>
      <w:r w:rsidR="00CD4F84" w:rsidRPr="00191C99">
        <w:rPr>
          <w:rFonts w:ascii="Times New Roman" w:hAnsi="Times New Roman"/>
        </w:rPr>
        <w:t xml:space="preserve"> (albeit on an interim basis) </w:t>
      </w:r>
      <w:r w:rsidR="00D43384" w:rsidRPr="00191C99">
        <w:rPr>
          <w:rFonts w:ascii="Times New Roman" w:hAnsi="Times New Roman"/>
        </w:rPr>
        <w:t>to the same effect as the final order sought.</w:t>
      </w:r>
      <w:r w:rsidR="0045605A" w:rsidRPr="00191C99">
        <w:rPr>
          <w:rFonts w:ascii="Times New Roman" w:hAnsi="Times New Roman"/>
        </w:rPr>
        <w:t xml:space="preserve"> </w:t>
      </w:r>
      <w:r w:rsidR="00166A28" w:rsidRPr="00191C99">
        <w:rPr>
          <w:rFonts w:ascii="Times New Roman" w:hAnsi="Times New Roman"/>
        </w:rPr>
        <w:t xml:space="preserve">Rather, as </w:t>
      </w:r>
      <w:proofErr w:type="spellStart"/>
      <w:r w:rsidR="00166A28" w:rsidRPr="00191C99">
        <w:rPr>
          <w:rFonts w:ascii="Times New Roman" w:hAnsi="Times New Roman"/>
        </w:rPr>
        <w:t>Gummow</w:t>
      </w:r>
      <w:proofErr w:type="spellEnd"/>
      <w:r w:rsidR="00166A28" w:rsidRPr="00191C99">
        <w:rPr>
          <w:rFonts w:ascii="Times New Roman" w:hAnsi="Times New Roman"/>
        </w:rPr>
        <w:t xml:space="preserve"> and Hayne</w:t>
      </w:r>
      <w:r w:rsidR="00FC4AB1" w:rsidRPr="00191C99">
        <w:rPr>
          <w:rFonts w:ascii="Times New Roman" w:hAnsi="Times New Roman"/>
        </w:rPr>
        <w:t> </w:t>
      </w:r>
      <w:r w:rsidR="00166A28" w:rsidRPr="00191C99">
        <w:rPr>
          <w:rFonts w:ascii="Times New Roman" w:hAnsi="Times New Roman"/>
        </w:rPr>
        <w:t xml:space="preserve">JJ </w:t>
      </w:r>
      <w:r w:rsidR="00292CA7" w:rsidRPr="00191C99">
        <w:rPr>
          <w:rFonts w:ascii="Times New Roman" w:hAnsi="Times New Roman"/>
        </w:rPr>
        <w:t xml:space="preserve">said </w:t>
      </w:r>
      <w:r w:rsidR="002A0FE4" w:rsidRPr="00191C99">
        <w:rPr>
          <w:rFonts w:ascii="Times New Roman" w:hAnsi="Times New Roman"/>
        </w:rPr>
        <w:t>i</w:t>
      </w:r>
      <w:r w:rsidR="00DD0C84" w:rsidRPr="00191C99">
        <w:rPr>
          <w:rFonts w:ascii="Times New Roman" w:hAnsi="Times New Roman"/>
        </w:rPr>
        <w:t xml:space="preserve">n </w:t>
      </w:r>
      <w:r w:rsidR="00DD0C84" w:rsidRPr="00191C99">
        <w:rPr>
          <w:rFonts w:ascii="Times New Roman" w:hAnsi="Times New Roman"/>
          <w:i/>
          <w:iCs/>
        </w:rPr>
        <w:t>Australian Broadcasting Corporation v Lenah Game Meats Pty Ltd</w:t>
      </w:r>
      <w:r w:rsidR="00DD0C84" w:rsidRPr="00191C99">
        <w:rPr>
          <w:rFonts w:ascii="Times New Roman" w:hAnsi="Times New Roman"/>
        </w:rPr>
        <w:t xml:space="preserve">, </w:t>
      </w:r>
      <w:r w:rsidR="00411016" w:rsidRPr="00191C99">
        <w:rPr>
          <w:rFonts w:ascii="Times New Roman" w:hAnsi="Times New Roman"/>
        </w:rPr>
        <w:t>whi</w:t>
      </w:r>
      <w:r w:rsidR="002726B8" w:rsidRPr="00191C99">
        <w:rPr>
          <w:rFonts w:ascii="Times New Roman" w:hAnsi="Times New Roman"/>
        </w:rPr>
        <w:t>l</w:t>
      </w:r>
      <w:r w:rsidR="006C4401" w:rsidRPr="00191C99">
        <w:rPr>
          <w:rFonts w:ascii="Times New Roman" w:hAnsi="Times New Roman"/>
        </w:rPr>
        <w:t>e</w:t>
      </w:r>
      <w:r w:rsidR="00E20EA3" w:rsidRPr="00191C99">
        <w:rPr>
          <w:rFonts w:ascii="Times New Roman" w:hAnsi="Times New Roman"/>
        </w:rPr>
        <w:t xml:space="preserve"> "</w:t>
      </w:r>
      <w:r w:rsidR="00281CE8" w:rsidRPr="00191C99">
        <w:rPr>
          <w:rFonts w:ascii="Times New Roman" w:hAnsi="Times New Roman"/>
        </w:rPr>
        <w:t xml:space="preserve">it is necessary to identify the legal ... </w:t>
      </w:r>
      <w:r w:rsidR="00411016" w:rsidRPr="00191C99">
        <w:rPr>
          <w:rFonts w:ascii="Times New Roman" w:hAnsi="Times New Roman"/>
        </w:rPr>
        <w:t>o</w:t>
      </w:r>
      <w:r w:rsidR="00281CE8" w:rsidRPr="00191C99">
        <w:rPr>
          <w:rFonts w:ascii="Times New Roman" w:hAnsi="Times New Roman"/>
        </w:rPr>
        <w:t>r equitable rights which are to be determined at trial and in respect of which there is sought final relief"</w:t>
      </w:r>
      <w:r w:rsidR="00411016" w:rsidRPr="00191C99">
        <w:rPr>
          <w:rFonts w:ascii="Times New Roman" w:hAnsi="Times New Roman"/>
        </w:rPr>
        <w:t xml:space="preserve">, </w:t>
      </w:r>
      <w:r w:rsidR="002726B8" w:rsidRPr="00191C99">
        <w:rPr>
          <w:rFonts w:ascii="Times New Roman" w:hAnsi="Times New Roman"/>
        </w:rPr>
        <w:t xml:space="preserve">the </w:t>
      </w:r>
      <w:r w:rsidR="00411016" w:rsidRPr="00191C99">
        <w:rPr>
          <w:rFonts w:ascii="Times New Roman" w:hAnsi="Times New Roman"/>
        </w:rPr>
        <w:t>final relief sought "may or may not be injunctive in nature".</w:t>
      </w:r>
      <w:r w:rsidR="006C4401" w:rsidRPr="00191C99">
        <w:rPr>
          <w:rStyle w:val="FootnoteReference"/>
          <w:rFonts w:ascii="Times New Roman" w:hAnsi="Times New Roman"/>
          <w:sz w:val="24"/>
        </w:rPr>
        <w:footnoteReference w:id="32"/>
      </w:r>
      <w:r w:rsidR="00411016" w:rsidRPr="00191C99">
        <w:rPr>
          <w:rFonts w:ascii="Times New Roman" w:hAnsi="Times New Roman"/>
        </w:rPr>
        <w:t xml:space="preserve"> </w:t>
      </w:r>
      <w:r w:rsidR="00FF271C" w:rsidRPr="00191C99">
        <w:rPr>
          <w:rFonts w:ascii="Times New Roman" w:hAnsi="Times New Roman"/>
        </w:rPr>
        <w:t>In stating</w:t>
      </w:r>
      <w:r w:rsidR="00AF6BEA" w:rsidRPr="00191C99">
        <w:rPr>
          <w:rFonts w:ascii="Times New Roman" w:hAnsi="Times New Roman"/>
        </w:rPr>
        <w:t xml:space="preserve"> </w:t>
      </w:r>
      <w:r w:rsidR="00DD0C84" w:rsidRPr="00191C99">
        <w:rPr>
          <w:rFonts w:ascii="Times New Roman" w:hAnsi="Times New Roman"/>
        </w:rPr>
        <w:t xml:space="preserve">in the same case </w:t>
      </w:r>
      <w:r w:rsidR="00C119C8" w:rsidRPr="00191C99">
        <w:rPr>
          <w:rFonts w:ascii="Times New Roman" w:hAnsi="Times New Roman"/>
        </w:rPr>
        <w:t>that "[</w:t>
      </w:r>
      <w:proofErr w:type="spellStart"/>
      <w:r w:rsidR="00C119C8" w:rsidRPr="00191C99">
        <w:rPr>
          <w:rFonts w:ascii="Times New Roman" w:hAnsi="Times New Roman"/>
        </w:rPr>
        <w:t>i</w:t>
      </w:r>
      <w:proofErr w:type="spellEnd"/>
      <w:r w:rsidR="00C119C8" w:rsidRPr="00191C99">
        <w:rPr>
          <w:rFonts w:ascii="Times New Roman" w:hAnsi="Times New Roman"/>
        </w:rPr>
        <w:t xml:space="preserve">]f the </w:t>
      </w:r>
      <w:r w:rsidR="009D6556" w:rsidRPr="00191C99">
        <w:rPr>
          <w:rFonts w:ascii="Times New Roman" w:hAnsi="Times New Roman"/>
        </w:rPr>
        <w:t>[</w:t>
      </w:r>
      <w:r w:rsidR="005D78DF" w:rsidRPr="00191C99">
        <w:rPr>
          <w:rFonts w:ascii="Times New Roman" w:hAnsi="Times New Roman"/>
        </w:rPr>
        <w:t>applicant</w:t>
      </w:r>
      <w:r w:rsidR="009D6556" w:rsidRPr="00191C99">
        <w:rPr>
          <w:rFonts w:ascii="Times New Roman" w:hAnsi="Times New Roman"/>
        </w:rPr>
        <w:t xml:space="preserve">] </w:t>
      </w:r>
      <w:r w:rsidR="00C119C8" w:rsidRPr="00191C99">
        <w:rPr>
          <w:rFonts w:ascii="Times New Roman" w:hAnsi="Times New Roman"/>
        </w:rPr>
        <w:t>cannot show a sufficient colour of right of the kind sought to be vindicated by final relief, the foundation of the claim for interlocutory relief disappears</w:t>
      </w:r>
      <w:r w:rsidR="009D6556" w:rsidRPr="00191C99">
        <w:rPr>
          <w:rFonts w:ascii="Times New Roman" w:hAnsi="Times New Roman"/>
        </w:rPr>
        <w:t>"</w:t>
      </w:r>
      <w:r w:rsidR="00D328D2" w:rsidRPr="00191C99">
        <w:rPr>
          <w:rFonts w:ascii="Times New Roman" w:hAnsi="Times New Roman"/>
        </w:rPr>
        <w:t>,</w:t>
      </w:r>
      <w:r w:rsidR="009D6556" w:rsidRPr="00191C99">
        <w:rPr>
          <w:rStyle w:val="FootnoteReference"/>
          <w:rFonts w:ascii="Times New Roman" w:hAnsi="Times New Roman"/>
          <w:sz w:val="24"/>
        </w:rPr>
        <w:footnoteReference w:id="33"/>
      </w:r>
      <w:r w:rsidR="00AB2448" w:rsidRPr="00191C99">
        <w:rPr>
          <w:rFonts w:ascii="Times New Roman" w:hAnsi="Times New Roman"/>
        </w:rPr>
        <w:t xml:space="preserve"> </w:t>
      </w:r>
      <w:r w:rsidR="00B663C7" w:rsidRPr="00191C99">
        <w:rPr>
          <w:rFonts w:ascii="Times New Roman" w:hAnsi="Times New Roman"/>
        </w:rPr>
        <w:t>Gleeson CJ</w:t>
      </w:r>
      <w:r w:rsidR="007206A9" w:rsidRPr="00191C99">
        <w:rPr>
          <w:rFonts w:ascii="Times New Roman" w:hAnsi="Times New Roman"/>
        </w:rPr>
        <w:t xml:space="preserve"> was making the point</w:t>
      </w:r>
      <w:r w:rsidR="003D1B20" w:rsidRPr="00191C99">
        <w:rPr>
          <w:rFonts w:ascii="Times New Roman" w:hAnsi="Times New Roman"/>
        </w:rPr>
        <w:t xml:space="preserve"> </w:t>
      </w:r>
      <w:r w:rsidR="008413ED" w:rsidRPr="00191C99">
        <w:rPr>
          <w:rFonts w:ascii="Times New Roman" w:hAnsi="Times New Roman"/>
        </w:rPr>
        <w:t xml:space="preserve">that there is </w:t>
      </w:r>
      <w:r w:rsidR="008915BA" w:rsidRPr="00191C99">
        <w:rPr>
          <w:rFonts w:ascii="Times New Roman" w:hAnsi="Times New Roman"/>
        </w:rPr>
        <w:t>no "</w:t>
      </w:r>
      <w:r w:rsidR="00452687" w:rsidRPr="00191C99">
        <w:rPr>
          <w:rFonts w:ascii="Times New Roman" w:hAnsi="Times New Roman"/>
        </w:rPr>
        <w:t>'</w:t>
      </w:r>
      <w:r w:rsidR="008413ED" w:rsidRPr="00191C99">
        <w:rPr>
          <w:rFonts w:ascii="Times New Roman" w:hAnsi="Times New Roman"/>
        </w:rPr>
        <w:t>free-standing</w:t>
      </w:r>
      <w:r w:rsidR="00452687" w:rsidRPr="00191C99">
        <w:rPr>
          <w:rFonts w:ascii="Times New Roman" w:hAnsi="Times New Roman"/>
        </w:rPr>
        <w:t>'</w:t>
      </w:r>
      <w:r w:rsidR="008413ED" w:rsidRPr="00191C99">
        <w:rPr>
          <w:rFonts w:ascii="Times New Roman" w:hAnsi="Times New Roman"/>
        </w:rPr>
        <w:t xml:space="preserve"> right to interlocutory relief</w:t>
      </w:r>
      <w:r w:rsidR="008915BA" w:rsidRPr="00191C99">
        <w:rPr>
          <w:rFonts w:ascii="Times New Roman" w:hAnsi="Times New Roman"/>
        </w:rPr>
        <w:t>" because, absent a serious question to be t</w:t>
      </w:r>
      <w:r w:rsidR="007C7EF7" w:rsidRPr="00191C99">
        <w:rPr>
          <w:rFonts w:ascii="Times New Roman" w:hAnsi="Times New Roman"/>
        </w:rPr>
        <w:t>ri</w:t>
      </w:r>
      <w:r w:rsidR="008915BA" w:rsidRPr="00191C99">
        <w:rPr>
          <w:rFonts w:ascii="Times New Roman" w:hAnsi="Times New Roman"/>
        </w:rPr>
        <w:t xml:space="preserve">ed or </w:t>
      </w:r>
      <w:r w:rsidR="007C7EF7" w:rsidRPr="00191C99">
        <w:rPr>
          <w:rFonts w:ascii="Times New Roman" w:hAnsi="Times New Roman"/>
        </w:rPr>
        <w:t xml:space="preserve">a </w:t>
      </w:r>
      <w:r w:rsidR="008915BA" w:rsidRPr="00191C99">
        <w:rPr>
          <w:rFonts w:ascii="Times New Roman" w:hAnsi="Times New Roman"/>
        </w:rPr>
        <w:t xml:space="preserve">prima facie case to final relief being established, </w:t>
      </w:r>
      <w:r w:rsidR="00B97421" w:rsidRPr="00191C99">
        <w:rPr>
          <w:rFonts w:ascii="Times New Roman" w:hAnsi="Times New Roman"/>
        </w:rPr>
        <w:t xml:space="preserve">"[t]here is then no justice in maintaining the status quo, because that depends upon restraining the </w:t>
      </w:r>
      <w:r w:rsidR="007C7EF7" w:rsidRPr="00191C99">
        <w:rPr>
          <w:rFonts w:ascii="Times New Roman" w:hAnsi="Times New Roman"/>
        </w:rPr>
        <w:t>[</w:t>
      </w:r>
      <w:r w:rsidR="00A81B7A" w:rsidRPr="00191C99">
        <w:rPr>
          <w:rFonts w:ascii="Times New Roman" w:hAnsi="Times New Roman"/>
        </w:rPr>
        <w:t>respondent</w:t>
      </w:r>
      <w:r w:rsidR="00B97421" w:rsidRPr="00191C99">
        <w:rPr>
          <w:rFonts w:ascii="Times New Roman" w:hAnsi="Times New Roman"/>
        </w:rPr>
        <w:t>] from doing something which, by hypothesis, the [</w:t>
      </w:r>
      <w:r w:rsidR="00A81B7A" w:rsidRPr="00191C99">
        <w:rPr>
          <w:rFonts w:ascii="Times New Roman" w:hAnsi="Times New Roman"/>
        </w:rPr>
        <w:t>applicant</w:t>
      </w:r>
      <w:r w:rsidR="00B97421" w:rsidRPr="00191C99">
        <w:rPr>
          <w:rFonts w:ascii="Times New Roman" w:hAnsi="Times New Roman"/>
        </w:rPr>
        <w:t>] has no right to prevent</w:t>
      </w:r>
      <w:r w:rsidR="006453EB" w:rsidRPr="00191C99">
        <w:rPr>
          <w:rFonts w:ascii="Times New Roman" w:hAnsi="Times New Roman"/>
        </w:rPr>
        <w:t>"</w:t>
      </w:r>
      <w:r w:rsidR="00A81B7A" w:rsidRPr="00191C99">
        <w:rPr>
          <w:rFonts w:ascii="Times New Roman" w:hAnsi="Times New Roman"/>
        </w:rPr>
        <w:t>.</w:t>
      </w:r>
      <w:r w:rsidR="006453EB" w:rsidRPr="00191C99">
        <w:rPr>
          <w:rStyle w:val="FootnoteReference"/>
          <w:rFonts w:ascii="Times New Roman" w:hAnsi="Times New Roman"/>
          <w:sz w:val="24"/>
        </w:rPr>
        <w:footnoteReference w:id="34"/>
      </w:r>
      <w:r w:rsidR="007C7EF7" w:rsidRPr="00191C99">
        <w:rPr>
          <w:rFonts w:ascii="Times New Roman" w:hAnsi="Times New Roman"/>
        </w:rPr>
        <w:t xml:space="preserve"> </w:t>
      </w:r>
      <w:r w:rsidR="00E84E21" w:rsidRPr="00191C99">
        <w:rPr>
          <w:rFonts w:ascii="Times New Roman" w:hAnsi="Times New Roman"/>
        </w:rPr>
        <w:t>In other words, it is the establishment of the serious question to be tried or the prima facie case</w:t>
      </w:r>
      <w:r w:rsidR="003A3898" w:rsidRPr="00191C99">
        <w:rPr>
          <w:rFonts w:ascii="Times New Roman" w:hAnsi="Times New Roman"/>
        </w:rPr>
        <w:t>,</w:t>
      </w:r>
      <w:r w:rsidR="00E84E21" w:rsidRPr="00191C99">
        <w:rPr>
          <w:rFonts w:ascii="Times New Roman" w:hAnsi="Times New Roman"/>
        </w:rPr>
        <w:t xml:space="preserve"> </w:t>
      </w:r>
      <w:r w:rsidR="00650EEE" w:rsidRPr="00191C99">
        <w:rPr>
          <w:rFonts w:ascii="Times New Roman" w:hAnsi="Times New Roman"/>
        </w:rPr>
        <w:t xml:space="preserve">and therefore a sufficient colour of right </w:t>
      </w:r>
      <w:r w:rsidR="00E84E21" w:rsidRPr="00191C99">
        <w:rPr>
          <w:rFonts w:ascii="Times New Roman" w:hAnsi="Times New Roman"/>
        </w:rPr>
        <w:t>to final relief</w:t>
      </w:r>
      <w:r w:rsidR="00090B3B" w:rsidRPr="00191C99">
        <w:rPr>
          <w:rFonts w:ascii="Times New Roman" w:hAnsi="Times New Roman"/>
        </w:rPr>
        <w:t>,</w:t>
      </w:r>
      <w:r w:rsidR="00E84E21" w:rsidRPr="00191C99">
        <w:rPr>
          <w:rFonts w:ascii="Times New Roman" w:hAnsi="Times New Roman"/>
        </w:rPr>
        <w:t xml:space="preserve"> which conditions the grant of an interlocutory injunction, the grant </w:t>
      </w:r>
      <w:r w:rsidR="00650EEE" w:rsidRPr="00191C99">
        <w:rPr>
          <w:rFonts w:ascii="Times New Roman" w:hAnsi="Times New Roman"/>
        </w:rPr>
        <w:t xml:space="preserve">otherwise </w:t>
      </w:r>
      <w:r w:rsidR="00E84E21" w:rsidRPr="00191C99">
        <w:rPr>
          <w:rFonts w:ascii="Times New Roman" w:hAnsi="Times New Roman"/>
        </w:rPr>
        <w:t xml:space="preserve">depending on </w:t>
      </w:r>
      <w:r w:rsidR="00AF1EF0" w:rsidRPr="00191C99">
        <w:rPr>
          <w:rFonts w:ascii="Times New Roman" w:hAnsi="Times New Roman"/>
        </w:rPr>
        <w:t>justification "</w:t>
      </w:r>
      <w:r w:rsidR="005F3BE4" w:rsidRPr="00191C99">
        <w:rPr>
          <w:rFonts w:ascii="Times New Roman" w:hAnsi="Times New Roman"/>
        </w:rPr>
        <w:t>by the legitimate processes of legal reasoning, by analogy, induction and deduction, from the starting point of a proper understanding of the conceptual foundation of such principles".</w:t>
      </w:r>
      <w:r w:rsidR="00CB125D" w:rsidRPr="00191C99">
        <w:rPr>
          <w:rStyle w:val="FootnoteReference"/>
          <w:rFonts w:ascii="Times New Roman" w:hAnsi="Times New Roman"/>
          <w:sz w:val="24"/>
        </w:rPr>
        <w:footnoteReference w:id="35"/>
      </w:r>
      <w:r w:rsidR="001C4A03" w:rsidRPr="00191C99">
        <w:rPr>
          <w:rFonts w:ascii="Times New Roman" w:hAnsi="Times New Roman"/>
        </w:rPr>
        <w:t xml:space="preserve"> </w:t>
      </w:r>
    </w:p>
    <w:p w14:paraId="078AFFCD" w14:textId="465EB862" w:rsidR="00787358" w:rsidRPr="00191C99" w:rsidRDefault="005F3BE4"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1C4A03" w:rsidRPr="00191C99">
        <w:rPr>
          <w:rFonts w:ascii="Times New Roman" w:hAnsi="Times New Roman"/>
        </w:rPr>
        <w:t xml:space="preserve">The principle apposite to the present case is the power of a court to </w:t>
      </w:r>
      <w:r w:rsidR="002F2BE6" w:rsidRPr="00191C99">
        <w:rPr>
          <w:rFonts w:ascii="Times New Roman" w:hAnsi="Times New Roman"/>
        </w:rPr>
        <w:t xml:space="preserve">protect the integrity of its own processes by </w:t>
      </w:r>
      <w:r w:rsidR="00EB0587" w:rsidRPr="00191C99">
        <w:rPr>
          <w:rFonts w:ascii="Times New Roman" w:hAnsi="Times New Roman"/>
        </w:rPr>
        <w:t>ensur</w:t>
      </w:r>
      <w:r w:rsidR="002F2BE6" w:rsidRPr="00191C99">
        <w:rPr>
          <w:rFonts w:ascii="Times New Roman" w:hAnsi="Times New Roman"/>
        </w:rPr>
        <w:t>ing</w:t>
      </w:r>
      <w:r w:rsidR="00EB0587" w:rsidRPr="00191C99">
        <w:rPr>
          <w:rFonts w:ascii="Times New Roman" w:hAnsi="Times New Roman"/>
        </w:rPr>
        <w:t xml:space="preserve"> </w:t>
      </w:r>
      <w:r w:rsidR="003E2A34" w:rsidRPr="00191C99">
        <w:rPr>
          <w:rFonts w:ascii="Times New Roman" w:hAnsi="Times New Roman"/>
        </w:rPr>
        <w:t xml:space="preserve">its capacity to </w:t>
      </w:r>
      <w:r w:rsidR="00EB0587" w:rsidRPr="00191C99">
        <w:rPr>
          <w:rFonts w:ascii="Times New Roman" w:hAnsi="Times New Roman"/>
        </w:rPr>
        <w:t>effective</w:t>
      </w:r>
      <w:r w:rsidR="003E2A34" w:rsidRPr="00191C99">
        <w:rPr>
          <w:rFonts w:ascii="Times New Roman" w:hAnsi="Times New Roman"/>
        </w:rPr>
        <w:t>ly</w:t>
      </w:r>
      <w:r w:rsidR="00EB0587" w:rsidRPr="00191C99">
        <w:rPr>
          <w:rFonts w:ascii="Times New Roman" w:hAnsi="Times New Roman"/>
        </w:rPr>
        <w:t xml:space="preserve"> exercise</w:t>
      </w:r>
      <w:r w:rsidR="003E2A34" w:rsidRPr="00191C99">
        <w:rPr>
          <w:rFonts w:ascii="Times New Roman" w:hAnsi="Times New Roman"/>
        </w:rPr>
        <w:t xml:space="preserve"> its</w:t>
      </w:r>
      <w:r w:rsidR="00EB0587" w:rsidRPr="00191C99">
        <w:rPr>
          <w:rFonts w:ascii="Times New Roman" w:hAnsi="Times New Roman"/>
        </w:rPr>
        <w:t xml:space="preserve"> juris</w:t>
      </w:r>
      <w:r w:rsidR="00B34F09" w:rsidRPr="00191C99">
        <w:rPr>
          <w:rFonts w:ascii="Times New Roman" w:hAnsi="Times New Roman"/>
        </w:rPr>
        <w:t>diction invoked</w:t>
      </w:r>
      <w:r w:rsidR="00FC4AB1" w:rsidRPr="00191C99">
        <w:rPr>
          <w:rFonts w:ascii="Times New Roman" w:hAnsi="Times New Roman"/>
        </w:rPr>
        <w:t xml:space="preserve"> in a proceeding pending before it</w:t>
      </w:r>
      <w:r w:rsidR="001C4A03" w:rsidRPr="00191C99">
        <w:rPr>
          <w:rFonts w:ascii="Times New Roman" w:hAnsi="Times New Roman"/>
        </w:rPr>
        <w:t xml:space="preserve">. </w:t>
      </w:r>
      <w:r w:rsidRPr="00191C99">
        <w:rPr>
          <w:rFonts w:ascii="Times New Roman" w:hAnsi="Times New Roman"/>
        </w:rPr>
        <w:t xml:space="preserve">Applied to the present </w:t>
      </w:r>
      <w:r w:rsidRPr="00191C99">
        <w:rPr>
          <w:rFonts w:ascii="Times New Roman" w:hAnsi="Times New Roman"/>
        </w:rPr>
        <w:lastRenderedPageBreak/>
        <w:t xml:space="preserve">case, </w:t>
      </w:r>
      <w:r w:rsidR="00D43384" w:rsidRPr="00191C99">
        <w:rPr>
          <w:rFonts w:ascii="Times New Roman" w:hAnsi="Times New Roman"/>
        </w:rPr>
        <w:t xml:space="preserve">the power of </w:t>
      </w:r>
      <w:r w:rsidR="00815397" w:rsidRPr="00191C99">
        <w:rPr>
          <w:rFonts w:ascii="Times New Roman" w:hAnsi="Times New Roman"/>
        </w:rPr>
        <w:t xml:space="preserve">the Federal Court </w:t>
      </w:r>
      <w:r w:rsidR="00D43384" w:rsidRPr="00191C99">
        <w:rPr>
          <w:rFonts w:ascii="Times New Roman" w:hAnsi="Times New Roman"/>
        </w:rPr>
        <w:t xml:space="preserve">to </w:t>
      </w:r>
      <w:r w:rsidR="003E2A34" w:rsidRPr="00191C99">
        <w:rPr>
          <w:rFonts w:ascii="Times New Roman" w:hAnsi="Times New Roman"/>
        </w:rPr>
        <w:t xml:space="preserve">protect the integrity of its own processes </w:t>
      </w:r>
      <w:r w:rsidR="00FC4AB1" w:rsidRPr="00191C99">
        <w:rPr>
          <w:rFonts w:ascii="Times New Roman" w:hAnsi="Times New Roman"/>
        </w:rPr>
        <w:t xml:space="preserve">in </w:t>
      </w:r>
      <w:r w:rsidR="00D43384" w:rsidRPr="00191C99">
        <w:rPr>
          <w:rFonts w:ascii="Times New Roman" w:hAnsi="Times New Roman"/>
        </w:rPr>
        <w:t xml:space="preserve">a proceeding </w:t>
      </w:r>
      <w:r w:rsidR="009571E9" w:rsidRPr="00191C99">
        <w:rPr>
          <w:rFonts w:ascii="Times New Roman" w:hAnsi="Times New Roman"/>
        </w:rPr>
        <w:t xml:space="preserve">pending before </w:t>
      </w:r>
      <w:r w:rsidR="00AB4876" w:rsidRPr="00191C99">
        <w:rPr>
          <w:rFonts w:ascii="Times New Roman" w:hAnsi="Times New Roman"/>
        </w:rPr>
        <w:t xml:space="preserve">it </w:t>
      </w:r>
      <w:r w:rsidR="00511970" w:rsidRPr="00191C99">
        <w:rPr>
          <w:rFonts w:ascii="Times New Roman" w:hAnsi="Times New Roman"/>
        </w:rPr>
        <w:t xml:space="preserve">of the kind brought by the respondent </w:t>
      </w:r>
      <w:r w:rsidR="00D43384" w:rsidRPr="00191C99">
        <w:rPr>
          <w:rFonts w:ascii="Times New Roman" w:hAnsi="Times New Roman"/>
        </w:rPr>
        <w:t>is not confined to an interlocutory injunction preventing the removal of an unlawful non</w:t>
      </w:r>
      <w:r w:rsidR="00173780">
        <w:rPr>
          <w:rFonts w:ascii="Times New Roman" w:hAnsi="Times New Roman"/>
        </w:rPr>
        <w:noBreakHyphen/>
      </w:r>
      <w:r w:rsidR="00D43384" w:rsidRPr="00191C99">
        <w:rPr>
          <w:rFonts w:ascii="Times New Roman" w:hAnsi="Times New Roman"/>
        </w:rPr>
        <w:t>citizen from Australia only where the final relief sought is an order that the person cannot be lawfully removed from Australia.</w:t>
      </w:r>
      <w:r w:rsidR="007F1B08" w:rsidRPr="00191C99">
        <w:rPr>
          <w:rFonts w:ascii="Times New Roman" w:hAnsi="Times New Roman"/>
        </w:rPr>
        <w:t xml:space="preserve"> </w:t>
      </w:r>
      <w:r w:rsidR="000F181B" w:rsidRPr="00191C99">
        <w:rPr>
          <w:rFonts w:ascii="Times New Roman" w:hAnsi="Times New Roman"/>
        </w:rPr>
        <w:t xml:space="preserve">As </w:t>
      </w:r>
      <w:r w:rsidR="00D43384" w:rsidRPr="00191C99">
        <w:rPr>
          <w:rFonts w:ascii="Times New Roman" w:hAnsi="Times New Roman"/>
        </w:rPr>
        <w:t xml:space="preserve">an incident of </w:t>
      </w:r>
      <w:r w:rsidR="000F181B" w:rsidRPr="00191C99">
        <w:rPr>
          <w:rFonts w:ascii="Times New Roman" w:hAnsi="Times New Roman"/>
        </w:rPr>
        <w:t>its statutory power</w:t>
      </w:r>
      <w:r w:rsidR="00D54030" w:rsidRPr="00191C99">
        <w:rPr>
          <w:rFonts w:ascii="Times New Roman" w:hAnsi="Times New Roman"/>
        </w:rPr>
        <w:t xml:space="preserve"> to make </w:t>
      </w:r>
      <w:r w:rsidR="00DF69AF" w:rsidRPr="00191C99">
        <w:rPr>
          <w:rFonts w:ascii="Times New Roman" w:hAnsi="Times New Roman"/>
        </w:rPr>
        <w:t>such interlocutory orders</w:t>
      </w:r>
      <w:r w:rsidR="00D123E4" w:rsidRPr="00191C99">
        <w:rPr>
          <w:rFonts w:ascii="Times New Roman" w:hAnsi="Times New Roman"/>
        </w:rPr>
        <w:t xml:space="preserve"> as are judicially considered to be appropriate</w:t>
      </w:r>
      <w:r w:rsidR="0015215A" w:rsidRPr="00191C99">
        <w:rPr>
          <w:rFonts w:ascii="Times New Roman" w:hAnsi="Times New Roman"/>
        </w:rPr>
        <w:t>,</w:t>
      </w:r>
      <w:r w:rsidR="000F181B" w:rsidRPr="00191C99">
        <w:rPr>
          <w:rStyle w:val="FootnoteReference"/>
          <w:rFonts w:ascii="Times New Roman" w:hAnsi="Times New Roman"/>
          <w:sz w:val="24"/>
        </w:rPr>
        <w:footnoteReference w:id="36"/>
      </w:r>
      <w:r w:rsidR="000F181B" w:rsidRPr="00191C99">
        <w:rPr>
          <w:rFonts w:ascii="Times New Roman" w:hAnsi="Times New Roman"/>
        </w:rPr>
        <w:t xml:space="preserve"> </w:t>
      </w:r>
      <w:r w:rsidR="00D43384" w:rsidRPr="00191C99">
        <w:rPr>
          <w:rFonts w:ascii="Times New Roman" w:hAnsi="Times New Roman"/>
        </w:rPr>
        <w:t xml:space="preserve">the power of </w:t>
      </w:r>
      <w:r w:rsidR="00482EC9" w:rsidRPr="00191C99">
        <w:rPr>
          <w:rFonts w:ascii="Times New Roman" w:hAnsi="Times New Roman"/>
        </w:rPr>
        <w:t xml:space="preserve">the Federal </w:t>
      </w:r>
      <w:r w:rsidR="00D43384" w:rsidRPr="00191C99">
        <w:rPr>
          <w:rFonts w:ascii="Times New Roman" w:hAnsi="Times New Roman"/>
        </w:rPr>
        <w:t xml:space="preserve">Court to </w:t>
      </w:r>
      <w:r w:rsidR="0032375A" w:rsidRPr="00191C99">
        <w:rPr>
          <w:rFonts w:ascii="Times New Roman" w:hAnsi="Times New Roman"/>
        </w:rPr>
        <w:t>"</w:t>
      </w:r>
      <w:r w:rsidR="0032375A" w:rsidRPr="00191C99">
        <w:rPr>
          <w:rFonts w:ascii="Times New Roman" w:hAnsi="Times New Roman"/>
          <w:i/>
          <w:iCs/>
        </w:rPr>
        <w:t>protect</w:t>
      </w:r>
      <w:r w:rsidR="0032375A" w:rsidRPr="00191C99">
        <w:rPr>
          <w:rFonts w:ascii="Times New Roman" w:hAnsi="Times New Roman"/>
        </w:rPr>
        <w:t xml:space="preserve"> the integrity" of the processes before it "once set in motion"</w:t>
      </w:r>
      <w:r w:rsidR="0032375A" w:rsidRPr="00191C99">
        <w:rPr>
          <w:rStyle w:val="FootnoteReference"/>
          <w:rFonts w:ascii="Times New Roman" w:hAnsi="Times New Roman"/>
          <w:sz w:val="24"/>
        </w:rPr>
        <w:footnoteReference w:id="37"/>
      </w:r>
      <w:r w:rsidR="0032375A" w:rsidRPr="00191C99">
        <w:rPr>
          <w:rFonts w:ascii="Times New Roman" w:hAnsi="Times New Roman"/>
        </w:rPr>
        <w:t xml:space="preserve"> </w:t>
      </w:r>
      <w:r w:rsidR="000C33B0" w:rsidRPr="00191C99">
        <w:rPr>
          <w:rFonts w:ascii="Times New Roman" w:hAnsi="Times New Roman"/>
        </w:rPr>
        <w:t>include</w:t>
      </w:r>
      <w:r w:rsidR="00AE00D5" w:rsidRPr="00191C99">
        <w:rPr>
          <w:rFonts w:ascii="Times New Roman" w:hAnsi="Times New Roman"/>
        </w:rPr>
        <w:t>s</w:t>
      </w:r>
      <w:r w:rsidR="000C33B0" w:rsidRPr="00191C99">
        <w:rPr>
          <w:rFonts w:ascii="Times New Roman" w:hAnsi="Times New Roman"/>
        </w:rPr>
        <w:t xml:space="preserve"> the vindication of its own authority to ensure it can determine the proceeding </w:t>
      </w:r>
      <w:r w:rsidR="005A0A90" w:rsidRPr="00191C99">
        <w:rPr>
          <w:rFonts w:ascii="Times New Roman" w:hAnsi="Times New Roman"/>
        </w:rPr>
        <w:t xml:space="preserve">before it </w:t>
      </w:r>
      <w:r w:rsidR="000C33B0" w:rsidRPr="00191C99">
        <w:rPr>
          <w:rFonts w:ascii="Times New Roman" w:hAnsi="Times New Roman"/>
        </w:rPr>
        <w:t>and grant final relief of utility.</w:t>
      </w:r>
      <w:r w:rsidR="000C33B0" w:rsidRPr="00191C99">
        <w:rPr>
          <w:rStyle w:val="FootnoteReference"/>
          <w:rFonts w:ascii="Times New Roman" w:hAnsi="Times New Roman"/>
          <w:sz w:val="24"/>
        </w:rPr>
        <w:footnoteReference w:id="38"/>
      </w:r>
      <w:r w:rsidR="000C33B0" w:rsidRPr="00191C99">
        <w:rPr>
          <w:rFonts w:ascii="Times New Roman" w:hAnsi="Times New Roman"/>
        </w:rPr>
        <w:t xml:space="preserve"> </w:t>
      </w:r>
    </w:p>
    <w:p w14:paraId="6D8BC052" w14:textId="21CB2E0E" w:rsidR="00D43384" w:rsidRPr="00191C99" w:rsidRDefault="00787358"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397087" w:rsidRPr="00191C99">
        <w:rPr>
          <w:rFonts w:ascii="Times New Roman" w:hAnsi="Times New Roman"/>
          <w:i/>
          <w:iCs/>
        </w:rPr>
        <w:t>Tait v The Queen</w:t>
      </w:r>
      <w:r w:rsidR="00397087" w:rsidRPr="00191C99">
        <w:rPr>
          <w:rStyle w:val="FootnoteReference"/>
          <w:rFonts w:ascii="Times New Roman" w:hAnsi="Times New Roman"/>
          <w:sz w:val="24"/>
        </w:rPr>
        <w:footnoteReference w:id="39"/>
      </w:r>
      <w:r w:rsidR="00397087" w:rsidRPr="00191C99">
        <w:rPr>
          <w:rFonts w:ascii="Times New Roman" w:hAnsi="Times New Roman"/>
        </w:rPr>
        <w:t xml:space="preserve"> </w:t>
      </w:r>
      <w:r w:rsidR="00E5442C" w:rsidRPr="00191C99">
        <w:rPr>
          <w:rFonts w:ascii="Times New Roman" w:hAnsi="Times New Roman"/>
        </w:rPr>
        <w:t xml:space="preserve">is directly </w:t>
      </w:r>
      <w:r w:rsidR="00F94D63" w:rsidRPr="00191C99">
        <w:rPr>
          <w:rFonts w:ascii="Times New Roman" w:hAnsi="Times New Roman"/>
        </w:rPr>
        <w:t>o</w:t>
      </w:r>
      <w:r w:rsidR="00E5442C" w:rsidRPr="00191C99">
        <w:rPr>
          <w:rFonts w:ascii="Times New Roman" w:hAnsi="Times New Roman"/>
        </w:rPr>
        <w:t xml:space="preserve">n point. </w:t>
      </w:r>
      <w:r w:rsidR="00397087" w:rsidRPr="00191C99">
        <w:rPr>
          <w:rFonts w:ascii="Times New Roman" w:hAnsi="Times New Roman"/>
        </w:rPr>
        <w:t>In</w:t>
      </w:r>
      <w:r w:rsidR="00D82EC6" w:rsidRPr="00191C99">
        <w:rPr>
          <w:rFonts w:ascii="Times New Roman" w:hAnsi="Times New Roman"/>
        </w:rPr>
        <w:t xml:space="preserve"> </w:t>
      </w:r>
      <w:r w:rsidR="00397087" w:rsidRPr="00191C99">
        <w:rPr>
          <w:rFonts w:ascii="Times New Roman" w:hAnsi="Times New Roman"/>
          <w:i/>
          <w:iCs/>
        </w:rPr>
        <w:t>Tait</w:t>
      </w:r>
      <w:r w:rsidR="00397087" w:rsidRPr="00191C99">
        <w:rPr>
          <w:rFonts w:ascii="Times New Roman" w:hAnsi="Times New Roman"/>
        </w:rPr>
        <w:t xml:space="preserve">, there were two </w:t>
      </w:r>
      <w:r w:rsidR="00794ED2" w:rsidRPr="00191C99">
        <w:rPr>
          <w:rFonts w:ascii="Times New Roman" w:hAnsi="Times New Roman"/>
        </w:rPr>
        <w:t>proceedings</w:t>
      </w:r>
      <w:r w:rsidR="00397087" w:rsidRPr="00191C99">
        <w:rPr>
          <w:rFonts w:ascii="Times New Roman" w:hAnsi="Times New Roman"/>
        </w:rPr>
        <w:t xml:space="preserve"> in respect of a prisoner who had been convicted and sentenced to death. The first</w:t>
      </w:r>
      <w:r w:rsidR="00C16AD9" w:rsidRPr="00191C99">
        <w:rPr>
          <w:rFonts w:ascii="Times New Roman" w:hAnsi="Times New Roman"/>
        </w:rPr>
        <w:t xml:space="preserve"> proceeding</w:t>
      </w:r>
      <w:r w:rsidR="009A7E43" w:rsidRPr="00191C99">
        <w:rPr>
          <w:rFonts w:ascii="Times New Roman" w:hAnsi="Times New Roman"/>
        </w:rPr>
        <w:t xml:space="preserve">, between </w:t>
      </w:r>
      <w:r w:rsidR="003A7800" w:rsidRPr="00191C99">
        <w:rPr>
          <w:rFonts w:ascii="Times New Roman" w:hAnsi="Times New Roman"/>
        </w:rPr>
        <w:t>the petitioner</w:t>
      </w:r>
      <w:r w:rsidR="00ED2821" w:rsidRPr="00191C99">
        <w:rPr>
          <w:rFonts w:ascii="Times New Roman" w:hAnsi="Times New Roman"/>
        </w:rPr>
        <w:t>,</w:t>
      </w:r>
      <w:r w:rsidR="003A7800" w:rsidRPr="00191C99">
        <w:rPr>
          <w:rFonts w:ascii="Times New Roman" w:hAnsi="Times New Roman"/>
        </w:rPr>
        <w:t xml:space="preserve"> </w:t>
      </w:r>
      <w:r w:rsidR="00016847" w:rsidRPr="00191C99">
        <w:rPr>
          <w:rFonts w:ascii="Times New Roman" w:hAnsi="Times New Roman"/>
        </w:rPr>
        <w:t>D</w:t>
      </w:r>
      <w:r w:rsidR="00FB798D" w:rsidRPr="00191C99">
        <w:rPr>
          <w:rFonts w:ascii="Times New Roman" w:hAnsi="Times New Roman"/>
        </w:rPr>
        <w:t> </w:t>
      </w:r>
      <w:r w:rsidR="00D97918" w:rsidRPr="00191C99">
        <w:rPr>
          <w:rFonts w:ascii="Times New Roman" w:hAnsi="Times New Roman"/>
        </w:rPr>
        <w:t>H</w:t>
      </w:r>
      <w:r w:rsidR="00FB798D" w:rsidRPr="00191C99">
        <w:rPr>
          <w:rFonts w:ascii="Times New Roman" w:hAnsi="Times New Roman"/>
        </w:rPr>
        <w:t> </w:t>
      </w:r>
      <w:r w:rsidR="00D97918" w:rsidRPr="00191C99">
        <w:rPr>
          <w:rFonts w:ascii="Times New Roman" w:hAnsi="Times New Roman"/>
        </w:rPr>
        <w:t>F</w:t>
      </w:r>
      <w:r w:rsidR="00016847" w:rsidRPr="00191C99">
        <w:rPr>
          <w:rFonts w:ascii="Times New Roman" w:hAnsi="Times New Roman"/>
        </w:rPr>
        <w:t xml:space="preserve"> </w:t>
      </w:r>
      <w:r w:rsidR="00D5660C" w:rsidRPr="00191C99">
        <w:rPr>
          <w:rFonts w:ascii="Times New Roman" w:hAnsi="Times New Roman"/>
        </w:rPr>
        <w:t>Scott</w:t>
      </w:r>
      <w:r w:rsidR="00ED2821" w:rsidRPr="00191C99">
        <w:rPr>
          <w:rFonts w:ascii="Times New Roman" w:hAnsi="Times New Roman"/>
        </w:rPr>
        <w:t>,</w:t>
      </w:r>
      <w:r w:rsidR="00D5660C" w:rsidRPr="00191C99">
        <w:rPr>
          <w:rFonts w:ascii="Times New Roman" w:hAnsi="Times New Roman"/>
        </w:rPr>
        <w:t xml:space="preserve"> and the Chief Secretary of Victoria</w:t>
      </w:r>
      <w:r w:rsidR="00B11E9B" w:rsidRPr="00191C99">
        <w:rPr>
          <w:rFonts w:ascii="Times New Roman" w:hAnsi="Times New Roman"/>
        </w:rPr>
        <w:t>,</w:t>
      </w:r>
      <w:r w:rsidR="00D5660C" w:rsidRPr="00191C99">
        <w:rPr>
          <w:rFonts w:ascii="Times New Roman" w:hAnsi="Times New Roman"/>
        </w:rPr>
        <w:t xml:space="preserve"> </w:t>
      </w:r>
      <w:r w:rsidR="004F7150" w:rsidRPr="00191C99">
        <w:rPr>
          <w:rFonts w:ascii="Times New Roman" w:hAnsi="Times New Roman"/>
        </w:rPr>
        <w:t xml:space="preserve">involved </w:t>
      </w:r>
      <w:r w:rsidR="00397087" w:rsidRPr="00191C99">
        <w:rPr>
          <w:rFonts w:ascii="Times New Roman" w:hAnsi="Times New Roman"/>
        </w:rPr>
        <w:t xml:space="preserve">a request for a direction that an inquiry into the prisoner's sanity be held. </w:t>
      </w:r>
      <w:r w:rsidR="00EC5EF7" w:rsidRPr="00191C99">
        <w:rPr>
          <w:rFonts w:ascii="Times New Roman" w:hAnsi="Times New Roman"/>
        </w:rPr>
        <w:t>C</w:t>
      </w:r>
      <w:r w:rsidR="00D76DC1" w:rsidRPr="00191C99">
        <w:rPr>
          <w:rFonts w:ascii="Times New Roman" w:hAnsi="Times New Roman"/>
        </w:rPr>
        <w:t xml:space="preserve">ounsel for </w:t>
      </w:r>
      <w:r w:rsidR="00023CF6" w:rsidRPr="00191C99">
        <w:rPr>
          <w:rFonts w:ascii="Times New Roman" w:hAnsi="Times New Roman"/>
        </w:rPr>
        <w:t xml:space="preserve">the petitioner </w:t>
      </w:r>
      <w:r w:rsidR="00EC5EF7" w:rsidRPr="00191C99">
        <w:rPr>
          <w:rFonts w:ascii="Times New Roman" w:hAnsi="Times New Roman"/>
        </w:rPr>
        <w:t xml:space="preserve">argued </w:t>
      </w:r>
      <w:r w:rsidR="004A35C8" w:rsidRPr="00191C99">
        <w:rPr>
          <w:rFonts w:ascii="Times New Roman" w:hAnsi="Times New Roman"/>
        </w:rPr>
        <w:t>that</w:t>
      </w:r>
      <w:r w:rsidR="007A2AFC" w:rsidRPr="00191C99">
        <w:rPr>
          <w:rFonts w:ascii="Times New Roman" w:hAnsi="Times New Roman"/>
        </w:rPr>
        <w:t xml:space="preserve">, </w:t>
      </w:r>
      <w:r w:rsidR="00597C4C" w:rsidRPr="00191C99">
        <w:rPr>
          <w:rFonts w:ascii="Times New Roman" w:hAnsi="Times New Roman"/>
        </w:rPr>
        <w:t xml:space="preserve">if an inquiry were ordered and the prisoner were found </w:t>
      </w:r>
      <w:r w:rsidR="00791B72" w:rsidRPr="00191C99">
        <w:rPr>
          <w:rFonts w:ascii="Times New Roman" w:hAnsi="Times New Roman"/>
        </w:rPr>
        <w:t xml:space="preserve">as a result of the inquiry </w:t>
      </w:r>
      <w:r w:rsidR="00597C4C" w:rsidRPr="00191C99">
        <w:rPr>
          <w:rFonts w:ascii="Times New Roman" w:hAnsi="Times New Roman"/>
        </w:rPr>
        <w:t>to be insane</w:t>
      </w:r>
      <w:r w:rsidR="007A2AFC" w:rsidRPr="00191C99">
        <w:rPr>
          <w:rFonts w:ascii="Times New Roman" w:hAnsi="Times New Roman"/>
        </w:rPr>
        <w:t xml:space="preserve">, his execution would </w:t>
      </w:r>
      <w:r w:rsidR="004F49B9" w:rsidRPr="00191C99">
        <w:rPr>
          <w:rFonts w:ascii="Times New Roman" w:hAnsi="Times New Roman"/>
        </w:rPr>
        <w:t>be</w:t>
      </w:r>
      <w:r w:rsidR="007A2AFC" w:rsidRPr="00191C99">
        <w:rPr>
          <w:rFonts w:ascii="Times New Roman" w:hAnsi="Times New Roman"/>
        </w:rPr>
        <w:t xml:space="preserve"> </w:t>
      </w:r>
      <w:r w:rsidR="0034749A" w:rsidRPr="00191C99">
        <w:rPr>
          <w:rFonts w:ascii="Times New Roman" w:hAnsi="Times New Roman"/>
        </w:rPr>
        <w:t xml:space="preserve">contrary to </w:t>
      </w:r>
      <w:r w:rsidR="004F49B9" w:rsidRPr="00191C99">
        <w:rPr>
          <w:rFonts w:ascii="Times New Roman" w:hAnsi="Times New Roman"/>
        </w:rPr>
        <w:t xml:space="preserve">the </w:t>
      </w:r>
      <w:r w:rsidR="0034749A" w:rsidRPr="00191C99">
        <w:rPr>
          <w:rFonts w:ascii="Times New Roman" w:hAnsi="Times New Roman"/>
        </w:rPr>
        <w:t>common law</w:t>
      </w:r>
      <w:r w:rsidR="004F49B9" w:rsidRPr="00191C99">
        <w:rPr>
          <w:rFonts w:ascii="Times New Roman" w:hAnsi="Times New Roman"/>
        </w:rPr>
        <w:t xml:space="preserve"> as applicable in Victoria</w:t>
      </w:r>
      <w:r w:rsidR="007A2AFC" w:rsidRPr="00191C99">
        <w:rPr>
          <w:rFonts w:ascii="Times New Roman" w:hAnsi="Times New Roman"/>
        </w:rPr>
        <w:t>.</w:t>
      </w:r>
      <w:r w:rsidR="000A03C7" w:rsidRPr="00191C99">
        <w:rPr>
          <w:rStyle w:val="FootnoteReference"/>
          <w:rFonts w:ascii="Times New Roman" w:hAnsi="Times New Roman"/>
          <w:sz w:val="24"/>
        </w:rPr>
        <w:footnoteReference w:id="40"/>
      </w:r>
      <w:r w:rsidR="007A2AFC" w:rsidRPr="00191C99">
        <w:rPr>
          <w:rFonts w:ascii="Times New Roman" w:hAnsi="Times New Roman"/>
        </w:rPr>
        <w:t xml:space="preserve"> </w:t>
      </w:r>
      <w:r w:rsidR="00397087" w:rsidRPr="00191C99">
        <w:rPr>
          <w:rFonts w:ascii="Times New Roman" w:hAnsi="Times New Roman"/>
        </w:rPr>
        <w:t>The second</w:t>
      </w:r>
      <w:r w:rsidR="00023CF6" w:rsidRPr="00191C99">
        <w:rPr>
          <w:rFonts w:ascii="Times New Roman" w:hAnsi="Times New Roman"/>
        </w:rPr>
        <w:t xml:space="preserve"> proceeding</w:t>
      </w:r>
      <w:r w:rsidR="00B11E9B" w:rsidRPr="00191C99">
        <w:rPr>
          <w:rFonts w:ascii="Times New Roman" w:hAnsi="Times New Roman"/>
        </w:rPr>
        <w:t xml:space="preserve">, between </w:t>
      </w:r>
      <w:r w:rsidR="00495E10" w:rsidRPr="00191C99">
        <w:rPr>
          <w:rFonts w:ascii="Times New Roman" w:hAnsi="Times New Roman"/>
        </w:rPr>
        <w:t>the prisoner and the Crown in right of Victoria,</w:t>
      </w:r>
      <w:r w:rsidR="00397087" w:rsidRPr="00191C99">
        <w:rPr>
          <w:rFonts w:ascii="Times New Roman" w:hAnsi="Times New Roman"/>
        </w:rPr>
        <w:t xml:space="preserve"> </w:t>
      </w:r>
      <w:r w:rsidR="004F7150" w:rsidRPr="00191C99">
        <w:rPr>
          <w:rFonts w:ascii="Times New Roman" w:hAnsi="Times New Roman"/>
        </w:rPr>
        <w:t>involved</w:t>
      </w:r>
      <w:r w:rsidR="00397087" w:rsidRPr="00191C99">
        <w:rPr>
          <w:rFonts w:ascii="Times New Roman" w:hAnsi="Times New Roman"/>
        </w:rPr>
        <w:t xml:space="preserve"> an application for the respite of execution of the sentence of death to which the prisoner had been subjected. Both </w:t>
      </w:r>
      <w:r w:rsidR="004F7150" w:rsidRPr="00191C99">
        <w:rPr>
          <w:rFonts w:ascii="Times New Roman" w:hAnsi="Times New Roman"/>
        </w:rPr>
        <w:t xml:space="preserve">the </w:t>
      </w:r>
      <w:r w:rsidR="00397087" w:rsidRPr="00191C99">
        <w:rPr>
          <w:rFonts w:ascii="Times New Roman" w:hAnsi="Times New Roman"/>
        </w:rPr>
        <w:t xml:space="preserve">request and </w:t>
      </w:r>
      <w:r w:rsidR="004F7150" w:rsidRPr="00191C99">
        <w:rPr>
          <w:rFonts w:ascii="Times New Roman" w:hAnsi="Times New Roman"/>
        </w:rPr>
        <w:t xml:space="preserve">the </w:t>
      </w:r>
      <w:r w:rsidR="00397087" w:rsidRPr="00191C99">
        <w:rPr>
          <w:rFonts w:ascii="Times New Roman" w:hAnsi="Times New Roman"/>
        </w:rPr>
        <w:t xml:space="preserve">application had been rejected and were subject to applications for special leave to appeal to this Court. </w:t>
      </w:r>
      <w:r w:rsidR="00907493" w:rsidRPr="00191C99">
        <w:rPr>
          <w:rFonts w:ascii="Times New Roman" w:hAnsi="Times New Roman"/>
        </w:rPr>
        <w:t xml:space="preserve">Counsel in </w:t>
      </w:r>
      <w:r w:rsidR="00E756C0" w:rsidRPr="00191C99">
        <w:rPr>
          <w:rFonts w:ascii="Times New Roman" w:hAnsi="Times New Roman"/>
        </w:rPr>
        <w:t>each</w:t>
      </w:r>
      <w:r w:rsidR="00907493" w:rsidRPr="00191C99">
        <w:rPr>
          <w:rFonts w:ascii="Times New Roman" w:hAnsi="Times New Roman"/>
        </w:rPr>
        <w:t xml:space="preserve"> </w:t>
      </w:r>
      <w:r w:rsidR="00E756C0" w:rsidRPr="00191C99">
        <w:rPr>
          <w:rFonts w:ascii="Times New Roman" w:hAnsi="Times New Roman"/>
        </w:rPr>
        <w:t>proceeding</w:t>
      </w:r>
      <w:r w:rsidR="002E1191" w:rsidRPr="00191C99">
        <w:rPr>
          <w:rFonts w:ascii="Times New Roman" w:hAnsi="Times New Roman"/>
        </w:rPr>
        <w:t xml:space="preserve"> brought</w:t>
      </w:r>
      <w:r w:rsidR="0012185E" w:rsidRPr="00191C99">
        <w:rPr>
          <w:rFonts w:ascii="Times New Roman" w:hAnsi="Times New Roman"/>
        </w:rPr>
        <w:t xml:space="preserve"> </w:t>
      </w:r>
      <w:r w:rsidR="00E756C0" w:rsidRPr="00191C99">
        <w:rPr>
          <w:rFonts w:ascii="Times New Roman" w:hAnsi="Times New Roman"/>
        </w:rPr>
        <w:t xml:space="preserve">a </w:t>
      </w:r>
      <w:r w:rsidR="00DE0982" w:rsidRPr="00191C99">
        <w:rPr>
          <w:rFonts w:ascii="Times New Roman" w:hAnsi="Times New Roman"/>
        </w:rPr>
        <w:t xml:space="preserve">preliminary application for an adjournment </w:t>
      </w:r>
      <w:r w:rsidR="00E756C0" w:rsidRPr="00191C99">
        <w:rPr>
          <w:rFonts w:ascii="Times New Roman" w:hAnsi="Times New Roman"/>
        </w:rPr>
        <w:t>of the hearing of the application for special leave to appeal and for a</w:t>
      </w:r>
      <w:r w:rsidR="00DE0982" w:rsidRPr="00191C99">
        <w:rPr>
          <w:rFonts w:ascii="Times New Roman" w:hAnsi="Times New Roman"/>
        </w:rPr>
        <w:t xml:space="preserve"> stay of </w:t>
      </w:r>
      <w:r w:rsidR="00E756C0" w:rsidRPr="00191C99">
        <w:rPr>
          <w:rFonts w:ascii="Times New Roman" w:hAnsi="Times New Roman"/>
        </w:rPr>
        <w:t xml:space="preserve">the execution of the prisoner. </w:t>
      </w:r>
      <w:r w:rsidR="00700690" w:rsidRPr="00191C99">
        <w:rPr>
          <w:rFonts w:ascii="Times New Roman" w:hAnsi="Times New Roman"/>
        </w:rPr>
        <w:t xml:space="preserve">The preliminary applications were heard together. </w:t>
      </w:r>
      <w:r w:rsidR="00140217" w:rsidRPr="00191C99">
        <w:rPr>
          <w:rFonts w:ascii="Times New Roman" w:hAnsi="Times New Roman"/>
        </w:rPr>
        <w:t xml:space="preserve">After </w:t>
      </w:r>
      <w:r w:rsidR="00007B2D" w:rsidRPr="00191C99">
        <w:rPr>
          <w:rFonts w:ascii="Times New Roman" w:hAnsi="Times New Roman"/>
        </w:rPr>
        <w:t xml:space="preserve">Dixon CJ </w:t>
      </w:r>
      <w:r w:rsidR="00397087" w:rsidRPr="00191C99">
        <w:rPr>
          <w:rFonts w:ascii="Times New Roman" w:hAnsi="Times New Roman"/>
        </w:rPr>
        <w:t>observ</w:t>
      </w:r>
      <w:r w:rsidR="00007B2D" w:rsidRPr="00191C99">
        <w:rPr>
          <w:rFonts w:ascii="Times New Roman" w:hAnsi="Times New Roman"/>
        </w:rPr>
        <w:t>ed</w:t>
      </w:r>
      <w:r w:rsidR="00397087" w:rsidRPr="00191C99">
        <w:rPr>
          <w:rFonts w:ascii="Times New Roman" w:hAnsi="Times New Roman"/>
        </w:rPr>
        <w:t xml:space="preserve"> during argument that he had "never had any doubt that the incidental powers of the Court can preserve any subject matter, human or not, pending a decision"</w:t>
      </w:r>
      <w:r w:rsidR="00155FE9" w:rsidRPr="00191C99">
        <w:rPr>
          <w:rFonts w:ascii="Times New Roman" w:hAnsi="Times New Roman"/>
        </w:rPr>
        <w:t>,</w:t>
      </w:r>
      <w:r w:rsidR="00397087" w:rsidRPr="00191C99">
        <w:rPr>
          <w:rStyle w:val="FootnoteReference"/>
          <w:rFonts w:ascii="Times New Roman" w:hAnsi="Times New Roman"/>
          <w:sz w:val="24"/>
        </w:rPr>
        <w:footnoteReference w:id="41"/>
      </w:r>
      <w:r w:rsidR="00397087" w:rsidRPr="00191C99">
        <w:rPr>
          <w:rFonts w:ascii="Times New Roman" w:hAnsi="Times New Roman"/>
        </w:rPr>
        <w:t xml:space="preserve"> </w:t>
      </w:r>
      <w:r w:rsidR="00007B2D" w:rsidRPr="00191C99">
        <w:rPr>
          <w:rFonts w:ascii="Times New Roman" w:hAnsi="Times New Roman"/>
        </w:rPr>
        <w:t xml:space="preserve">the </w:t>
      </w:r>
      <w:r w:rsidR="0012656B" w:rsidRPr="00191C99">
        <w:rPr>
          <w:rFonts w:ascii="Times New Roman" w:hAnsi="Times New Roman"/>
        </w:rPr>
        <w:t>Court</w:t>
      </w:r>
      <w:r w:rsidR="00140217" w:rsidRPr="00191C99">
        <w:rPr>
          <w:rFonts w:ascii="Times New Roman" w:hAnsi="Times New Roman"/>
        </w:rPr>
        <w:t xml:space="preserve"> </w:t>
      </w:r>
      <w:r w:rsidR="00397087" w:rsidRPr="00191C99">
        <w:rPr>
          <w:rFonts w:ascii="Times New Roman" w:hAnsi="Times New Roman"/>
        </w:rPr>
        <w:t>order</w:t>
      </w:r>
      <w:r w:rsidR="00140217" w:rsidRPr="00191C99">
        <w:rPr>
          <w:rFonts w:ascii="Times New Roman" w:hAnsi="Times New Roman"/>
        </w:rPr>
        <w:t>ed</w:t>
      </w:r>
      <w:r w:rsidR="00397087" w:rsidRPr="00191C99">
        <w:rPr>
          <w:rFonts w:ascii="Times New Roman" w:hAnsi="Times New Roman"/>
        </w:rPr>
        <w:t xml:space="preserve"> a stay of execution of the prisoner to enable the </w:t>
      </w:r>
      <w:r w:rsidR="002047B3" w:rsidRPr="00191C99">
        <w:rPr>
          <w:rFonts w:ascii="Times New Roman" w:hAnsi="Times New Roman"/>
        </w:rPr>
        <w:t xml:space="preserve">two </w:t>
      </w:r>
      <w:r w:rsidR="00397087" w:rsidRPr="00191C99">
        <w:rPr>
          <w:rFonts w:ascii="Times New Roman" w:hAnsi="Times New Roman"/>
        </w:rPr>
        <w:t xml:space="preserve">applications for special leave to appeal and any appeals to be determined "entirely </w:t>
      </w:r>
      <w:r w:rsidR="00397087" w:rsidRPr="00191C99">
        <w:rPr>
          <w:rFonts w:ascii="Times New Roman" w:hAnsi="Times New Roman"/>
        </w:rPr>
        <w:lastRenderedPageBreak/>
        <w:t>so that the authority of this Court may be maintained".</w:t>
      </w:r>
      <w:r w:rsidR="00397087" w:rsidRPr="00191C99">
        <w:rPr>
          <w:rStyle w:val="FootnoteReference"/>
          <w:rFonts w:ascii="Times New Roman" w:hAnsi="Times New Roman"/>
          <w:sz w:val="24"/>
        </w:rPr>
        <w:footnoteReference w:id="42"/>
      </w:r>
      <w:r w:rsidR="00397087" w:rsidRPr="00191C99">
        <w:rPr>
          <w:rFonts w:ascii="Times New Roman" w:hAnsi="Times New Roman"/>
        </w:rPr>
        <w:t xml:space="preserve"> By</w:t>
      </w:r>
      <w:r w:rsidR="00E86451" w:rsidRPr="00191C99">
        <w:rPr>
          <w:rFonts w:ascii="Times New Roman" w:hAnsi="Times New Roman"/>
        </w:rPr>
        <w:t xml:space="preserve"> this</w:t>
      </w:r>
      <w:r w:rsidR="005C7F98" w:rsidRPr="00191C99">
        <w:rPr>
          <w:rFonts w:ascii="Times New Roman" w:hAnsi="Times New Roman"/>
        </w:rPr>
        <w:t>,</w:t>
      </w:r>
      <w:r w:rsidR="0031544E" w:rsidRPr="00191C99">
        <w:rPr>
          <w:rFonts w:ascii="Times New Roman" w:hAnsi="Times New Roman"/>
        </w:rPr>
        <w:t xml:space="preserve"> the Court</w:t>
      </w:r>
      <w:r w:rsidR="00397087" w:rsidRPr="00191C99">
        <w:rPr>
          <w:rFonts w:ascii="Times New Roman" w:hAnsi="Times New Roman"/>
        </w:rPr>
        <w:t xml:space="preserve"> was </w:t>
      </w:r>
      <w:r w:rsidR="00140217" w:rsidRPr="00191C99">
        <w:rPr>
          <w:rFonts w:ascii="Times New Roman" w:hAnsi="Times New Roman"/>
        </w:rPr>
        <w:t xml:space="preserve">vindicating </w:t>
      </w:r>
      <w:r w:rsidR="0031544E" w:rsidRPr="00191C99">
        <w:rPr>
          <w:rFonts w:ascii="Times New Roman" w:hAnsi="Times New Roman"/>
        </w:rPr>
        <w:t xml:space="preserve">its </w:t>
      </w:r>
      <w:r w:rsidR="00397087" w:rsidRPr="00191C99">
        <w:rPr>
          <w:rFonts w:ascii="Times New Roman" w:hAnsi="Times New Roman"/>
        </w:rPr>
        <w:t>authority to</w:t>
      </w:r>
      <w:r w:rsidR="00322288" w:rsidRPr="00191C99">
        <w:rPr>
          <w:rFonts w:ascii="Times New Roman" w:hAnsi="Times New Roman"/>
        </w:rPr>
        <w:t xml:space="preserve"> determine </w:t>
      </w:r>
      <w:r w:rsidR="0028491C" w:rsidRPr="00191C99">
        <w:rPr>
          <w:rFonts w:ascii="Times New Roman" w:hAnsi="Times New Roman"/>
        </w:rPr>
        <w:t xml:space="preserve">each of the two </w:t>
      </w:r>
      <w:r w:rsidR="00B9087F" w:rsidRPr="00191C99">
        <w:rPr>
          <w:rFonts w:ascii="Times New Roman" w:hAnsi="Times New Roman"/>
        </w:rPr>
        <w:t>proceedings</w:t>
      </w:r>
      <w:r w:rsidR="00E86451" w:rsidRPr="00191C99">
        <w:rPr>
          <w:rFonts w:ascii="Times New Roman" w:hAnsi="Times New Roman"/>
        </w:rPr>
        <w:t xml:space="preserve"> </w:t>
      </w:r>
      <w:r w:rsidR="00397087" w:rsidRPr="00191C99">
        <w:rPr>
          <w:rFonts w:ascii="Times New Roman" w:hAnsi="Times New Roman"/>
        </w:rPr>
        <w:t xml:space="preserve">before it and </w:t>
      </w:r>
      <w:r w:rsidR="00BE18F2" w:rsidRPr="00191C99">
        <w:rPr>
          <w:rFonts w:ascii="Times New Roman" w:hAnsi="Times New Roman"/>
        </w:rPr>
        <w:t xml:space="preserve">acting </w:t>
      </w:r>
      <w:r w:rsidR="00322288" w:rsidRPr="00191C99">
        <w:rPr>
          <w:rFonts w:ascii="Times New Roman" w:hAnsi="Times New Roman"/>
        </w:rPr>
        <w:t xml:space="preserve">to </w:t>
      </w:r>
      <w:r w:rsidR="00397087" w:rsidRPr="00191C99">
        <w:rPr>
          <w:rFonts w:ascii="Times New Roman" w:hAnsi="Times New Roman"/>
        </w:rPr>
        <w:t>preserve the utility of so doing</w:t>
      </w:r>
      <w:r w:rsidR="00940520" w:rsidRPr="00191C99">
        <w:rPr>
          <w:rFonts w:ascii="Times New Roman" w:hAnsi="Times New Roman"/>
        </w:rPr>
        <w:t>,</w:t>
      </w:r>
      <w:r w:rsidR="004A33CC" w:rsidRPr="00191C99">
        <w:rPr>
          <w:rFonts w:ascii="Times New Roman" w:hAnsi="Times New Roman"/>
        </w:rPr>
        <w:t xml:space="preserve"> including </w:t>
      </w:r>
      <w:r w:rsidR="00643B20" w:rsidRPr="00191C99">
        <w:rPr>
          <w:rFonts w:ascii="Times New Roman" w:hAnsi="Times New Roman"/>
        </w:rPr>
        <w:t xml:space="preserve">by preserving </w:t>
      </w:r>
      <w:r w:rsidR="004A33CC" w:rsidRPr="00191C99">
        <w:rPr>
          <w:rFonts w:ascii="Times New Roman" w:hAnsi="Times New Roman"/>
        </w:rPr>
        <w:t xml:space="preserve">the utility of </w:t>
      </w:r>
      <w:r w:rsidR="00465672" w:rsidRPr="00191C99">
        <w:rPr>
          <w:rFonts w:ascii="Times New Roman" w:hAnsi="Times New Roman"/>
        </w:rPr>
        <w:t>the direction for an inquiry</w:t>
      </w:r>
      <w:r w:rsidR="00E03E2D" w:rsidRPr="00191C99">
        <w:rPr>
          <w:rFonts w:ascii="Times New Roman" w:hAnsi="Times New Roman"/>
        </w:rPr>
        <w:t xml:space="preserve"> </w:t>
      </w:r>
      <w:r w:rsidR="00256EC2" w:rsidRPr="00191C99">
        <w:rPr>
          <w:rFonts w:ascii="Times New Roman" w:hAnsi="Times New Roman"/>
        </w:rPr>
        <w:t>sought in the first procee</w:t>
      </w:r>
      <w:r w:rsidR="00E03E2D" w:rsidRPr="00191C99">
        <w:rPr>
          <w:rFonts w:ascii="Times New Roman" w:hAnsi="Times New Roman"/>
        </w:rPr>
        <w:t>ding.</w:t>
      </w:r>
      <w:r w:rsidR="006E3C07" w:rsidRPr="00191C99">
        <w:rPr>
          <w:rFonts w:ascii="Times New Roman" w:hAnsi="Times New Roman"/>
        </w:rPr>
        <w:t xml:space="preserve"> </w:t>
      </w:r>
      <w:r w:rsidR="006F4D94" w:rsidRPr="00191C99">
        <w:rPr>
          <w:rFonts w:ascii="Times New Roman" w:hAnsi="Times New Roman"/>
        </w:rPr>
        <w:t xml:space="preserve">The formal order of the Court was entered in both proceedings, recorded that it was made upon applications made to the Court “severally” by counsel on behalf of the petitioner and counsel on behalf of the prisoner, and was expressed in terms that "the execution of the … prisoner … be not carried out but be stayed pending the disposal of the aforesaid applications to this </w:t>
      </w:r>
      <w:r w:rsidR="00781755" w:rsidRPr="00191C99">
        <w:rPr>
          <w:rFonts w:ascii="Times New Roman" w:hAnsi="Times New Roman"/>
        </w:rPr>
        <w:t>C</w:t>
      </w:r>
      <w:r w:rsidR="006F4D94" w:rsidRPr="00191C99">
        <w:rPr>
          <w:rFonts w:ascii="Times New Roman" w:hAnsi="Times New Roman"/>
        </w:rPr>
        <w:t xml:space="preserve">ourt for special leave to appeal and of any appeal or appeals to this </w:t>
      </w:r>
      <w:r w:rsidR="00781755" w:rsidRPr="00191C99">
        <w:rPr>
          <w:rFonts w:ascii="Times New Roman" w:hAnsi="Times New Roman"/>
        </w:rPr>
        <w:t>C</w:t>
      </w:r>
      <w:r w:rsidR="006F4D94" w:rsidRPr="00191C99">
        <w:rPr>
          <w:rFonts w:ascii="Times New Roman" w:hAnsi="Times New Roman"/>
        </w:rPr>
        <w:t xml:space="preserve">ourt in consequence of such applications". </w:t>
      </w:r>
      <w:r w:rsidR="006E3C07" w:rsidRPr="00191C99">
        <w:rPr>
          <w:rFonts w:ascii="Times New Roman" w:hAnsi="Times New Roman"/>
        </w:rPr>
        <w:t xml:space="preserve">The </w:t>
      </w:r>
      <w:r w:rsidR="00A57438" w:rsidRPr="00191C99">
        <w:rPr>
          <w:rFonts w:ascii="Times New Roman" w:hAnsi="Times New Roman"/>
        </w:rPr>
        <w:t>submission for</w:t>
      </w:r>
      <w:r w:rsidR="00D82EC6" w:rsidRPr="00191C99">
        <w:rPr>
          <w:rFonts w:ascii="Times New Roman" w:hAnsi="Times New Roman"/>
        </w:rPr>
        <w:t xml:space="preserve"> </w:t>
      </w:r>
      <w:r w:rsidR="006E3C07" w:rsidRPr="00191C99">
        <w:rPr>
          <w:rFonts w:ascii="Times New Roman" w:hAnsi="Times New Roman"/>
        </w:rPr>
        <w:t xml:space="preserve">the appellants and the Attorney-General </w:t>
      </w:r>
      <w:r w:rsidR="00D82EC6" w:rsidRPr="00191C99">
        <w:rPr>
          <w:rFonts w:ascii="Times New Roman" w:hAnsi="Times New Roman"/>
        </w:rPr>
        <w:t xml:space="preserve">in the present case that </w:t>
      </w:r>
      <w:r w:rsidR="00B1258C" w:rsidRPr="00191C99">
        <w:rPr>
          <w:rFonts w:ascii="Times New Roman" w:hAnsi="Times New Roman"/>
        </w:rPr>
        <w:t xml:space="preserve">the interlocutory order in </w:t>
      </w:r>
      <w:r w:rsidR="00B1258C" w:rsidRPr="00191C99">
        <w:rPr>
          <w:rFonts w:ascii="Times New Roman" w:hAnsi="Times New Roman"/>
          <w:i/>
          <w:iCs/>
        </w:rPr>
        <w:t>Tait</w:t>
      </w:r>
      <w:r w:rsidR="00E561DB" w:rsidRPr="00191C99">
        <w:rPr>
          <w:rStyle w:val="FootnoteReference"/>
          <w:rFonts w:ascii="Times New Roman" w:hAnsi="Times New Roman"/>
          <w:sz w:val="24"/>
        </w:rPr>
        <w:footnoteReference w:id="43"/>
      </w:r>
      <w:r w:rsidR="00B1258C" w:rsidRPr="00191C99">
        <w:rPr>
          <w:rFonts w:ascii="Times New Roman" w:hAnsi="Times New Roman"/>
        </w:rPr>
        <w:t xml:space="preserve"> </w:t>
      </w:r>
      <w:r w:rsidR="009912D2" w:rsidRPr="00191C99">
        <w:rPr>
          <w:rFonts w:ascii="Times New Roman" w:hAnsi="Times New Roman"/>
        </w:rPr>
        <w:t xml:space="preserve">was referable solely to the </w:t>
      </w:r>
      <w:r w:rsidR="0009041D" w:rsidRPr="00191C99">
        <w:rPr>
          <w:rFonts w:ascii="Times New Roman" w:hAnsi="Times New Roman"/>
        </w:rPr>
        <w:t xml:space="preserve">second proceeding is wrong. </w:t>
      </w:r>
    </w:p>
    <w:p w14:paraId="502DE74B" w14:textId="4697FCBD" w:rsidR="00D05564" w:rsidRPr="00191C99" w:rsidRDefault="00D43384"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Contrary to </w:t>
      </w:r>
      <w:r w:rsidR="00480CE6" w:rsidRPr="00191C99">
        <w:rPr>
          <w:rFonts w:ascii="Times New Roman" w:hAnsi="Times New Roman"/>
        </w:rPr>
        <w:t>o</w:t>
      </w:r>
      <w:r w:rsidRPr="00191C99">
        <w:rPr>
          <w:rFonts w:ascii="Times New Roman" w:hAnsi="Times New Roman"/>
        </w:rPr>
        <w:t>the</w:t>
      </w:r>
      <w:r w:rsidR="00480CE6" w:rsidRPr="00191C99">
        <w:rPr>
          <w:rFonts w:ascii="Times New Roman" w:hAnsi="Times New Roman"/>
        </w:rPr>
        <w:t>r</w:t>
      </w:r>
      <w:r w:rsidRPr="00191C99">
        <w:rPr>
          <w:rFonts w:ascii="Times New Roman" w:hAnsi="Times New Roman"/>
        </w:rPr>
        <w:t xml:space="preserve"> submissions for the appellants</w:t>
      </w:r>
      <w:r w:rsidR="003D6C47" w:rsidRPr="00191C99">
        <w:rPr>
          <w:rFonts w:ascii="Times New Roman" w:hAnsi="Times New Roman"/>
        </w:rPr>
        <w:t xml:space="preserve"> and the Attorney-General</w:t>
      </w:r>
      <w:r w:rsidRPr="00191C99">
        <w:rPr>
          <w:rFonts w:ascii="Times New Roman" w:hAnsi="Times New Roman"/>
        </w:rPr>
        <w:t xml:space="preserve">, </w:t>
      </w:r>
      <w:proofErr w:type="spellStart"/>
      <w:r w:rsidRPr="00191C99">
        <w:rPr>
          <w:rFonts w:ascii="Times New Roman" w:hAnsi="Times New Roman"/>
          <w:i/>
          <w:iCs/>
        </w:rPr>
        <w:t>Simsek</w:t>
      </w:r>
      <w:proofErr w:type="spellEnd"/>
      <w:r w:rsidRPr="00191C99">
        <w:rPr>
          <w:rFonts w:ascii="Times New Roman" w:hAnsi="Times New Roman"/>
          <w:i/>
          <w:iCs/>
        </w:rPr>
        <w:t xml:space="preserve"> v </w:t>
      </w:r>
      <w:proofErr w:type="spellStart"/>
      <w:r w:rsidRPr="00191C99">
        <w:rPr>
          <w:rFonts w:ascii="Times New Roman" w:hAnsi="Times New Roman"/>
          <w:i/>
          <w:iCs/>
        </w:rPr>
        <w:t>Mac</w:t>
      </w:r>
      <w:r w:rsidR="004012FB" w:rsidRPr="00191C99">
        <w:rPr>
          <w:rFonts w:ascii="Times New Roman" w:hAnsi="Times New Roman"/>
          <w:i/>
          <w:iCs/>
        </w:rPr>
        <w:t>p</w:t>
      </w:r>
      <w:r w:rsidRPr="00191C99">
        <w:rPr>
          <w:rFonts w:ascii="Times New Roman" w:hAnsi="Times New Roman"/>
          <w:i/>
          <w:iCs/>
        </w:rPr>
        <w:t>hee</w:t>
      </w:r>
      <w:proofErr w:type="spellEnd"/>
      <w:r w:rsidRPr="00191C99">
        <w:rPr>
          <w:rStyle w:val="FootnoteReference"/>
          <w:rFonts w:ascii="Times New Roman" w:hAnsi="Times New Roman"/>
          <w:sz w:val="24"/>
        </w:rPr>
        <w:footnoteReference w:id="44"/>
      </w:r>
      <w:r w:rsidRPr="00191C99">
        <w:rPr>
          <w:rFonts w:ascii="Times New Roman" w:hAnsi="Times New Roman"/>
        </w:rPr>
        <w:t xml:space="preserve"> does not support </w:t>
      </w:r>
      <w:r w:rsidR="00322288" w:rsidRPr="00191C99">
        <w:rPr>
          <w:rFonts w:ascii="Times New Roman" w:hAnsi="Times New Roman"/>
        </w:rPr>
        <w:t xml:space="preserve">a </w:t>
      </w:r>
      <w:r w:rsidR="00511811" w:rsidRPr="00191C99">
        <w:rPr>
          <w:rFonts w:ascii="Times New Roman" w:hAnsi="Times New Roman"/>
        </w:rPr>
        <w:t>purported</w:t>
      </w:r>
      <w:r w:rsidRPr="00191C99">
        <w:rPr>
          <w:rFonts w:ascii="Times New Roman" w:hAnsi="Times New Roman"/>
        </w:rPr>
        <w:t xml:space="preserve"> limit on the power</w:t>
      </w:r>
      <w:r w:rsidR="00322288" w:rsidRPr="00191C99">
        <w:rPr>
          <w:rFonts w:ascii="Times New Roman" w:hAnsi="Times New Roman"/>
        </w:rPr>
        <w:t xml:space="preserve"> contrary to </w:t>
      </w:r>
      <w:r w:rsidR="00322288" w:rsidRPr="00191C99">
        <w:rPr>
          <w:rFonts w:ascii="Times New Roman" w:hAnsi="Times New Roman"/>
          <w:i/>
          <w:iCs/>
        </w:rPr>
        <w:t>Tait</w:t>
      </w:r>
      <w:r w:rsidRPr="00191C99">
        <w:rPr>
          <w:rFonts w:ascii="Times New Roman" w:hAnsi="Times New Roman"/>
        </w:rPr>
        <w:t xml:space="preserve">. In </w:t>
      </w:r>
      <w:proofErr w:type="spellStart"/>
      <w:r w:rsidR="006965FF" w:rsidRPr="00191C99">
        <w:rPr>
          <w:rFonts w:ascii="Times New Roman" w:hAnsi="Times New Roman"/>
          <w:i/>
          <w:iCs/>
        </w:rPr>
        <w:t>Simsek</w:t>
      </w:r>
      <w:proofErr w:type="spellEnd"/>
      <w:r w:rsidR="006965FF" w:rsidRPr="00191C99">
        <w:rPr>
          <w:rFonts w:ascii="Times New Roman" w:hAnsi="Times New Roman"/>
        </w:rPr>
        <w:t xml:space="preserve"> </w:t>
      </w:r>
      <w:r w:rsidRPr="00191C99">
        <w:rPr>
          <w:rFonts w:ascii="Times New Roman" w:hAnsi="Times New Roman"/>
        </w:rPr>
        <w:t xml:space="preserve">Stephen J merely confirmed that the incidental power </w:t>
      </w:r>
      <w:r w:rsidR="009F43E5" w:rsidRPr="00191C99">
        <w:rPr>
          <w:rFonts w:ascii="Times New Roman" w:hAnsi="Times New Roman"/>
        </w:rPr>
        <w:t xml:space="preserve">of a court </w:t>
      </w:r>
      <w:r w:rsidRPr="00191C99">
        <w:rPr>
          <w:rFonts w:ascii="Times New Roman" w:hAnsi="Times New Roman"/>
        </w:rPr>
        <w:t>is "not to be exercised as of course" and is not to be "used to circumvent the safeguard which the requirement that a prima facie case be made out provides in ensuring that the potent weapon of interlocutory injunctive relief is not misused"</w:t>
      </w:r>
      <w:r w:rsidR="00100833" w:rsidRPr="00191C99">
        <w:rPr>
          <w:rFonts w:ascii="Times New Roman" w:hAnsi="Times New Roman"/>
        </w:rPr>
        <w:t>.</w:t>
      </w:r>
      <w:r w:rsidRPr="00191C99">
        <w:rPr>
          <w:rStyle w:val="FootnoteReference"/>
          <w:rFonts w:ascii="Times New Roman" w:hAnsi="Times New Roman"/>
          <w:sz w:val="24"/>
        </w:rPr>
        <w:footnoteReference w:id="45"/>
      </w:r>
      <w:r w:rsidRPr="00191C99">
        <w:rPr>
          <w:rFonts w:ascii="Times New Roman" w:hAnsi="Times New Roman"/>
        </w:rPr>
        <w:t xml:space="preserve"> The applicant in that case failed to establish a prima facie case for any final relief.</w:t>
      </w:r>
      <w:r w:rsidRPr="00191C99">
        <w:rPr>
          <w:rStyle w:val="FootnoteReference"/>
          <w:rFonts w:ascii="Times New Roman" w:hAnsi="Times New Roman"/>
          <w:sz w:val="24"/>
        </w:rPr>
        <w:footnoteReference w:id="46"/>
      </w:r>
      <w:r w:rsidRPr="00191C99">
        <w:rPr>
          <w:rFonts w:ascii="Times New Roman" w:hAnsi="Times New Roman"/>
        </w:rPr>
        <w:t xml:space="preserve"> The applicants in </w:t>
      </w:r>
      <w:r w:rsidRPr="00191C99">
        <w:rPr>
          <w:rFonts w:ascii="Times New Roman" w:hAnsi="Times New Roman"/>
          <w:i/>
          <w:iCs/>
        </w:rPr>
        <w:t xml:space="preserve">Re Minister for </w:t>
      </w:r>
      <w:r w:rsidR="005504AB" w:rsidRPr="00191C99">
        <w:rPr>
          <w:rFonts w:ascii="Times New Roman" w:hAnsi="Times New Roman"/>
          <w:i/>
          <w:iCs/>
        </w:rPr>
        <w:t>I</w:t>
      </w:r>
      <w:r w:rsidRPr="00191C99">
        <w:rPr>
          <w:rFonts w:ascii="Times New Roman" w:hAnsi="Times New Roman"/>
          <w:i/>
          <w:iCs/>
        </w:rPr>
        <w:t xml:space="preserve">mmigration and Multicultural Affairs; </w:t>
      </w:r>
      <w:r w:rsidR="005504AB" w:rsidRPr="00191C99">
        <w:rPr>
          <w:rFonts w:ascii="Times New Roman" w:hAnsi="Times New Roman"/>
          <w:i/>
          <w:iCs/>
        </w:rPr>
        <w:t>E</w:t>
      </w:r>
      <w:r w:rsidRPr="00191C99">
        <w:rPr>
          <w:rFonts w:ascii="Times New Roman" w:hAnsi="Times New Roman"/>
          <w:i/>
          <w:iCs/>
        </w:rPr>
        <w:t xml:space="preserve">x </w:t>
      </w:r>
      <w:proofErr w:type="spellStart"/>
      <w:r w:rsidRPr="00191C99">
        <w:rPr>
          <w:rFonts w:ascii="Times New Roman" w:hAnsi="Times New Roman"/>
          <w:i/>
          <w:iCs/>
        </w:rPr>
        <w:t>parte</w:t>
      </w:r>
      <w:proofErr w:type="spellEnd"/>
      <w:r w:rsidRPr="00191C99">
        <w:rPr>
          <w:rFonts w:ascii="Times New Roman" w:hAnsi="Times New Roman"/>
          <w:i/>
          <w:iCs/>
        </w:rPr>
        <w:t xml:space="preserve"> </w:t>
      </w:r>
      <w:proofErr w:type="spellStart"/>
      <w:r w:rsidRPr="00191C99">
        <w:rPr>
          <w:rFonts w:ascii="Times New Roman" w:hAnsi="Times New Roman"/>
          <w:i/>
          <w:iCs/>
        </w:rPr>
        <w:t>Fejzullahu</w:t>
      </w:r>
      <w:proofErr w:type="spellEnd"/>
      <w:r w:rsidR="002C4D4B" w:rsidRPr="00191C99">
        <w:rPr>
          <w:rFonts w:ascii="Times New Roman" w:hAnsi="Times New Roman"/>
        </w:rPr>
        <w:t xml:space="preserve">, </w:t>
      </w:r>
      <w:r w:rsidR="00010F9C" w:rsidRPr="00191C99">
        <w:rPr>
          <w:rFonts w:ascii="Times New Roman" w:hAnsi="Times New Roman"/>
        </w:rPr>
        <w:t xml:space="preserve">whose applications for </w:t>
      </w:r>
      <w:r w:rsidR="002E0D62" w:rsidRPr="00191C99">
        <w:rPr>
          <w:rFonts w:ascii="Times New Roman" w:hAnsi="Times New Roman"/>
        </w:rPr>
        <w:t xml:space="preserve">interlocutory </w:t>
      </w:r>
      <w:r w:rsidR="00010F9C" w:rsidRPr="00191C99">
        <w:rPr>
          <w:rFonts w:ascii="Times New Roman" w:hAnsi="Times New Roman"/>
        </w:rPr>
        <w:t xml:space="preserve">injunctions </w:t>
      </w:r>
      <w:r w:rsidR="00CB548B" w:rsidRPr="00191C99">
        <w:rPr>
          <w:rFonts w:ascii="Times New Roman" w:hAnsi="Times New Roman"/>
        </w:rPr>
        <w:t>to restrain</w:t>
      </w:r>
      <w:r w:rsidR="002C2C37" w:rsidRPr="00191C99">
        <w:rPr>
          <w:rFonts w:ascii="Times New Roman" w:hAnsi="Times New Roman"/>
        </w:rPr>
        <w:t xml:space="preserve"> the Minister from removing them from Australia</w:t>
      </w:r>
      <w:r w:rsidR="00AA0ABE" w:rsidRPr="00191C99">
        <w:rPr>
          <w:rFonts w:ascii="Times New Roman" w:hAnsi="Times New Roman"/>
        </w:rPr>
        <w:t xml:space="preserve"> relied on the same power</w:t>
      </w:r>
      <w:r w:rsidR="002C4D4B" w:rsidRPr="00191C99">
        <w:rPr>
          <w:rFonts w:ascii="Times New Roman" w:hAnsi="Times New Roman"/>
        </w:rPr>
        <w:t>,</w:t>
      </w:r>
      <w:r w:rsidRPr="00191C99">
        <w:rPr>
          <w:rFonts w:ascii="Times New Roman" w:hAnsi="Times New Roman"/>
        </w:rPr>
        <w:t xml:space="preserve"> failed at the same hurdle of establishing a prima facie case for final relief.</w:t>
      </w:r>
      <w:r w:rsidRPr="00191C99">
        <w:rPr>
          <w:rStyle w:val="FootnoteReference"/>
          <w:rFonts w:ascii="Times New Roman" w:hAnsi="Times New Roman"/>
          <w:sz w:val="24"/>
        </w:rPr>
        <w:footnoteReference w:id="47"/>
      </w:r>
      <w:r w:rsidRPr="00191C99">
        <w:rPr>
          <w:rFonts w:ascii="Times New Roman" w:hAnsi="Times New Roman"/>
        </w:rPr>
        <w:t xml:space="preserve"> In </w:t>
      </w:r>
      <w:r w:rsidRPr="00191C99">
        <w:rPr>
          <w:rFonts w:ascii="Times New Roman" w:hAnsi="Times New Roman"/>
          <w:i/>
          <w:iCs/>
        </w:rPr>
        <w:t>P1/2003 v Minister for Immigration &amp; Multicultural &amp; Indigenous Affairs</w:t>
      </w:r>
      <w:r w:rsidRPr="00191C99">
        <w:rPr>
          <w:rFonts w:ascii="Times New Roman" w:hAnsi="Times New Roman"/>
        </w:rPr>
        <w:t xml:space="preserve"> French J concluded only that an interlocutory injunction preventing an unlawful non</w:t>
      </w:r>
      <w:r w:rsidR="007F5BD4">
        <w:rPr>
          <w:rFonts w:ascii="Times New Roman" w:hAnsi="Times New Roman"/>
        </w:rPr>
        <w:noBreakHyphen/>
      </w:r>
      <w:r w:rsidRPr="00191C99">
        <w:rPr>
          <w:rFonts w:ascii="Times New Roman" w:hAnsi="Times New Roman"/>
        </w:rPr>
        <w:t>citizen's removal from Australia would be "inappropriate"</w:t>
      </w:r>
      <w:r w:rsidRPr="00191C99">
        <w:rPr>
          <w:rStyle w:val="FootnoteReference"/>
          <w:rFonts w:ascii="Times New Roman" w:hAnsi="Times New Roman"/>
          <w:sz w:val="24"/>
        </w:rPr>
        <w:footnoteReference w:id="48"/>
      </w:r>
      <w:r w:rsidRPr="00191C99">
        <w:rPr>
          <w:rFonts w:ascii="Times New Roman" w:hAnsi="Times New Roman"/>
        </w:rPr>
        <w:t xml:space="preserve"> in circumstances where it could not be said that the plaintiff's claims would be "destroyed by the </w:t>
      </w:r>
      <w:r w:rsidRPr="00191C99">
        <w:rPr>
          <w:rFonts w:ascii="Times New Roman" w:hAnsi="Times New Roman"/>
        </w:rPr>
        <w:lastRenderedPageBreak/>
        <w:t>removal of the plaintiff from Australia, albeit that removal might impose considerable practical difficulties upon his ability to instruct lawyers and to pursue those claims"</w:t>
      </w:r>
      <w:r w:rsidR="00182B8B" w:rsidRPr="00191C99">
        <w:rPr>
          <w:rFonts w:ascii="Times New Roman" w:hAnsi="Times New Roman"/>
        </w:rPr>
        <w:t>.</w:t>
      </w:r>
      <w:r w:rsidRPr="00191C99">
        <w:rPr>
          <w:rStyle w:val="FootnoteReference"/>
          <w:rFonts w:ascii="Times New Roman" w:hAnsi="Times New Roman"/>
          <w:sz w:val="24"/>
        </w:rPr>
        <w:footnoteReference w:id="49"/>
      </w:r>
      <w:r w:rsidRPr="00191C99">
        <w:rPr>
          <w:rFonts w:ascii="Times New Roman" w:hAnsi="Times New Roman"/>
        </w:rPr>
        <w:t xml:space="preserve"> In </w:t>
      </w:r>
      <w:r w:rsidRPr="00191C99">
        <w:rPr>
          <w:rFonts w:ascii="Times New Roman" w:hAnsi="Times New Roman"/>
          <w:i/>
          <w:iCs/>
        </w:rPr>
        <w:t>CPK20 v Minister for Immigration, Citizenship, Migrant Services and Multicultural Affairs</w:t>
      </w:r>
      <w:r w:rsidRPr="00191C99">
        <w:rPr>
          <w:rFonts w:ascii="Times New Roman" w:hAnsi="Times New Roman"/>
        </w:rPr>
        <w:t xml:space="preserve"> </w:t>
      </w:r>
      <w:r w:rsidR="00322288" w:rsidRPr="00191C99">
        <w:rPr>
          <w:rFonts w:ascii="Times New Roman" w:hAnsi="Times New Roman"/>
        </w:rPr>
        <w:t>Mortim</w:t>
      </w:r>
      <w:r w:rsidRPr="00191C99">
        <w:rPr>
          <w:rFonts w:ascii="Times New Roman" w:hAnsi="Times New Roman"/>
        </w:rPr>
        <w:t>er J evaluated the prima facie case for final relief to be weak</w:t>
      </w:r>
      <w:r w:rsidRPr="00191C99">
        <w:rPr>
          <w:rStyle w:val="FootnoteReference"/>
          <w:rFonts w:ascii="Times New Roman" w:hAnsi="Times New Roman"/>
          <w:sz w:val="24"/>
        </w:rPr>
        <w:footnoteReference w:id="50"/>
      </w:r>
      <w:r w:rsidRPr="00191C99">
        <w:rPr>
          <w:rFonts w:ascii="Times New Roman" w:hAnsi="Times New Roman"/>
        </w:rPr>
        <w:t xml:space="preserve"> and concluded, on the facts, that the "the preservation of the subject matter of this proceeding does not require interlocutory relief to be granted"</w:t>
      </w:r>
      <w:r w:rsidR="00182B8B" w:rsidRPr="00191C99">
        <w:rPr>
          <w:rFonts w:ascii="Times New Roman" w:hAnsi="Times New Roman"/>
        </w:rPr>
        <w:t>.</w:t>
      </w:r>
      <w:r w:rsidRPr="00191C99">
        <w:rPr>
          <w:rStyle w:val="FootnoteReference"/>
          <w:rFonts w:ascii="Times New Roman" w:hAnsi="Times New Roman"/>
          <w:sz w:val="24"/>
        </w:rPr>
        <w:footnoteReference w:id="51"/>
      </w:r>
      <w:r w:rsidRPr="00191C99">
        <w:rPr>
          <w:rFonts w:ascii="Times New Roman" w:hAnsi="Times New Roman"/>
        </w:rPr>
        <w:t xml:space="preserve"> </w:t>
      </w:r>
      <w:r w:rsidR="00182B8B" w:rsidRPr="00191C99">
        <w:rPr>
          <w:rFonts w:ascii="Times New Roman" w:hAnsi="Times New Roman"/>
        </w:rPr>
        <w:t>T</w:t>
      </w:r>
      <w:r w:rsidR="000B24AA" w:rsidRPr="00191C99">
        <w:rPr>
          <w:rFonts w:ascii="Times New Roman" w:hAnsi="Times New Roman"/>
        </w:rPr>
        <w:t xml:space="preserve">hese are all findings of fact in the particular circumstances of the case. They do not establish the </w:t>
      </w:r>
      <w:r w:rsidR="00DE4B73" w:rsidRPr="00191C99">
        <w:rPr>
          <w:rFonts w:ascii="Times New Roman" w:hAnsi="Times New Roman"/>
        </w:rPr>
        <w:t xml:space="preserve">limiting </w:t>
      </w:r>
      <w:r w:rsidR="000B24AA" w:rsidRPr="00191C99">
        <w:rPr>
          <w:rFonts w:ascii="Times New Roman" w:hAnsi="Times New Roman"/>
        </w:rPr>
        <w:t xml:space="preserve">principle for which the appellants </w:t>
      </w:r>
      <w:r w:rsidR="00FF7CAF" w:rsidRPr="00191C99">
        <w:rPr>
          <w:rFonts w:ascii="Times New Roman" w:hAnsi="Times New Roman"/>
        </w:rPr>
        <w:t xml:space="preserve">and the Attorney-General </w:t>
      </w:r>
      <w:r w:rsidR="000B24AA" w:rsidRPr="00191C99">
        <w:rPr>
          <w:rFonts w:ascii="Times New Roman" w:hAnsi="Times New Roman"/>
        </w:rPr>
        <w:t>contend</w:t>
      </w:r>
      <w:r w:rsidR="00485D90" w:rsidRPr="00191C99">
        <w:rPr>
          <w:rFonts w:ascii="Times New Roman" w:hAnsi="Times New Roman"/>
        </w:rPr>
        <w:t xml:space="preserve"> (that the</w:t>
      </w:r>
      <w:r w:rsidR="00273406" w:rsidRPr="00191C99">
        <w:rPr>
          <w:rFonts w:ascii="Times New Roman" w:hAnsi="Times New Roman"/>
        </w:rPr>
        <w:t xml:space="preserve"> scope of an appropriate interlocutory order is confined to the scope of the final order sought in the matter)</w:t>
      </w:r>
      <w:r w:rsidR="000B24AA" w:rsidRPr="00191C99">
        <w:rPr>
          <w:rFonts w:ascii="Times New Roman" w:hAnsi="Times New Roman"/>
        </w:rPr>
        <w:t xml:space="preserve">. </w:t>
      </w:r>
      <w:r w:rsidR="008B5754" w:rsidRPr="00191C99">
        <w:rPr>
          <w:rFonts w:ascii="Times New Roman" w:hAnsi="Times New Roman"/>
        </w:rPr>
        <w:t>So much is apparent from the fact that, i</w:t>
      </w:r>
      <w:r w:rsidRPr="00191C99">
        <w:rPr>
          <w:rFonts w:ascii="Times New Roman" w:hAnsi="Times New Roman"/>
        </w:rPr>
        <w:t xml:space="preserve">n </w:t>
      </w:r>
      <w:r w:rsidR="00D77781" w:rsidRPr="00191C99">
        <w:rPr>
          <w:rFonts w:ascii="Times New Roman" w:hAnsi="Times New Roman"/>
        </w:rPr>
        <w:t xml:space="preserve">further </w:t>
      </w:r>
      <w:r w:rsidRPr="00191C99">
        <w:rPr>
          <w:rFonts w:ascii="Times New Roman" w:hAnsi="Times New Roman"/>
        </w:rPr>
        <w:t xml:space="preserve">observing </w:t>
      </w:r>
      <w:r w:rsidR="008B5754" w:rsidRPr="00191C99">
        <w:rPr>
          <w:rFonts w:ascii="Times New Roman" w:hAnsi="Times New Roman"/>
        </w:rPr>
        <w:t xml:space="preserve">in </w:t>
      </w:r>
      <w:r w:rsidR="008B5754" w:rsidRPr="00191C99">
        <w:rPr>
          <w:rFonts w:ascii="Times New Roman" w:hAnsi="Times New Roman"/>
          <w:i/>
          <w:iCs/>
        </w:rPr>
        <w:t xml:space="preserve">CPK20 </w:t>
      </w:r>
      <w:r w:rsidRPr="00191C99">
        <w:rPr>
          <w:rFonts w:ascii="Times New Roman" w:hAnsi="Times New Roman"/>
        </w:rPr>
        <w:t>that the interlocutory relief sought ha</w:t>
      </w:r>
      <w:r w:rsidR="00D77781" w:rsidRPr="00191C99">
        <w:rPr>
          <w:rFonts w:ascii="Times New Roman" w:hAnsi="Times New Roman"/>
        </w:rPr>
        <w:t>d</w:t>
      </w:r>
      <w:r w:rsidRPr="00191C99">
        <w:rPr>
          <w:rFonts w:ascii="Times New Roman" w:hAnsi="Times New Roman"/>
        </w:rPr>
        <w:t xml:space="preserve"> </w:t>
      </w:r>
      <w:r w:rsidR="00B361A8" w:rsidRPr="00191C99">
        <w:rPr>
          <w:rFonts w:ascii="Times New Roman" w:hAnsi="Times New Roman"/>
        </w:rPr>
        <w:t>"</w:t>
      </w:r>
      <w:r w:rsidRPr="00191C99">
        <w:rPr>
          <w:rFonts w:ascii="Times New Roman" w:hAnsi="Times New Roman"/>
        </w:rPr>
        <w:t>no substantive connection with the controversy between the parties in the proceeding, nor with the final relief sought"</w:t>
      </w:r>
      <w:r w:rsidR="00DE4B73" w:rsidRPr="00191C99">
        <w:rPr>
          <w:rFonts w:ascii="Times New Roman" w:hAnsi="Times New Roman"/>
        </w:rPr>
        <w:t>,</w:t>
      </w:r>
      <w:r w:rsidRPr="00191C99">
        <w:rPr>
          <w:rFonts w:ascii="Times New Roman" w:hAnsi="Times New Roman"/>
        </w:rPr>
        <w:t xml:space="preserve"> Mortimer J immediately thereafter said </w:t>
      </w:r>
      <w:r w:rsidR="008B317B" w:rsidRPr="00191C99">
        <w:rPr>
          <w:rFonts w:ascii="Times New Roman" w:hAnsi="Times New Roman"/>
        </w:rPr>
        <w:t>that the case before her</w:t>
      </w:r>
      <w:r w:rsidR="005433FF" w:rsidRPr="00191C99">
        <w:rPr>
          <w:rFonts w:ascii="Times New Roman" w:hAnsi="Times New Roman"/>
        </w:rPr>
        <w:t xml:space="preserve"> </w:t>
      </w:r>
      <w:r w:rsidR="008B317B" w:rsidRPr="00191C99">
        <w:rPr>
          <w:rFonts w:ascii="Times New Roman" w:hAnsi="Times New Roman"/>
        </w:rPr>
        <w:t xml:space="preserve">was </w:t>
      </w:r>
      <w:r w:rsidRPr="00191C99">
        <w:rPr>
          <w:rFonts w:ascii="Times New Roman" w:hAnsi="Times New Roman"/>
        </w:rPr>
        <w:t xml:space="preserve">"rather, a </w:t>
      </w:r>
      <w:r w:rsidRPr="00191C99">
        <w:rPr>
          <w:rFonts w:ascii="Times New Roman" w:hAnsi="Times New Roman"/>
          <w:i/>
          <w:iCs/>
        </w:rPr>
        <w:t>Tait</w:t>
      </w:r>
      <w:r w:rsidRPr="00191C99">
        <w:rPr>
          <w:rFonts w:ascii="Times New Roman" w:hAnsi="Times New Roman"/>
        </w:rPr>
        <w:t xml:space="preserve"> kind of application".</w:t>
      </w:r>
      <w:r w:rsidRPr="00191C99">
        <w:rPr>
          <w:rStyle w:val="FootnoteReference"/>
          <w:rFonts w:ascii="Times New Roman" w:hAnsi="Times New Roman"/>
          <w:sz w:val="24"/>
        </w:rPr>
        <w:footnoteReference w:id="52"/>
      </w:r>
      <w:r w:rsidRPr="00191C99">
        <w:rPr>
          <w:rFonts w:ascii="Times New Roman" w:hAnsi="Times New Roman"/>
        </w:rPr>
        <w:t xml:space="preserve"> </w:t>
      </w:r>
      <w:r w:rsidR="0075433E" w:rsidRPr="00191C99">
        <w:rPr>
          <w:rFonts w:ascii="Times New Roman" w:hAnsi="Times New Roman"/>
        </w:rPr>
        <w:t>In referring to a "</w:t>
      </w:r>
      <w:r w:rsidR="0075433E" w:rsidRPr="00191C99">
        <w:rPr>
          <w:rFonts w:ascii="Times New Roman" w:hAnsi="Times New Roman"/>
          <w:i/>
          <w:iCs/>
        </w:rPr>
        <w:t>Tait</w:t>
      </w:r>
      <w:r w:rsidR="0075433E" w:rsidRPr="00191C99">
        <w:rPr>
          <w:rFonts w:ascii="Times New Roman" w:hAnsi="Times New Roman"/>
        </w:rPr>
        <w:t xml:space="preserve"> kind of application"</w:t>
      </w:r>
      <w:r w:rsidR="008C3E89" w:rsidRPr="00191C99">
        <w:rPr>
          <w:rFonts w:ascii="Times New Roman" w:hAnsi="Times New Roman"/>
        </w:rPr>
        <w:t>,</w:t>
      </w:r>
      <w:r w:rsidR="0075433E" w:rsidRPr="00191C99">
        <w:rPr>
          <w:rFonts w:ascii="Times New Roman" w:hAnsi="Times New Roman"/>
        </w:rPr>
        <w:t xml:space="preserve"> Mortimer J was conveying the broad scope of a court's power to </w:t>
      </w:r>
      <w:r w:rsidR="00EB7F1A" w:rsidRPr="00191C99">
        <w:rPr>
          <w:rFonts w:ascii="Times New Roman" w:hAnsi="Times New Roman"/>
        </w:rPr>
        <w:t xml:space="preserve">protect the integrity of its own processes by ensuring its capacity to effectively exercise its jurisdiction in a proceeding pending before it </w:t>
      </w:r>
      <w:r w:rsidR="0075433E" w:rsidRPr="00191C99">
        <w:rPr>
          <w:rFonts w:ascii="Times New Roman" w:hAnsi="Times New Roman"/>
        </w:rPr>
        <w:t>by any order appropriately framed to that purpose</w:t>
      </w:r>
      <w:r w:rsidR="003128B7" w:rsidRPr="00191C99">
        <w:rPr>
          <w:rFonts w:ascii="Times New Roman" w:hAnsi="Times New Roman"/>
        </w:rPr>
        <w:t>,</w:t>
      </w:r>
      <w:r w:rsidR="0075433E" w:rsidRPr="00191C99">
        <w:rPr>
          <w:rFonts w:ascii="Times New Roman" w:hAnsi="Times New Roman"/>
        </w:rPr>
        <w:t xml:space="preserve"> as </w:t>
      </w:r>
      <w:r w:rsidR="00AA7762" w:rsidRPr="00191C99">
        <w:rPr>
          <w:rFonts w:ascii="Times New Roman" w:hAnsi="Times New Roman"/>
        </w:rPr>
        <w:t>demonstrated by</w:t>
      </w:r>
      <w:r w:rsidR="0075433E" w:rsidRPr="00191C99">
        <w:rPr>
          <w:rFonts w:ascii="Times New Roman" w:hAnsi="Times New Roman"/>
        </w:rPr>
        <w:t xml:space="preserve"> </w:t>
      </w:r>
      <w:r w:rsidR="0075433E" w:rsidRPr="00191C99">
        <w:rPr>
          <w:rFonts w:ascii="Times New Roman" w:hAnsi="Times New Roman"/>
          <w:i/>
          <w:iCs/>
        </w:rPr>
        <w:t>Tait</w:t>
      </w:r>
      <w:r w:rsidR="0075433E" w:rsidRPr="00191C99">
        <w:rPr>
          <w:rFonts w:ascii="Times New Roman" w:hAnsi="Times New Roman"/>
        </w:rPr>
        <w:t>.</w:t>
      </w:r>
      <w:r w:rsidR="0075433E" w:rsidRPr="00191C99">
        <w:rPr>
          <w:rStyle w:val="FootnoteReference"/>
          <w:rFonts w:ascii="Times New Roman" w:hAnsi="Times New Roman"/>
          <w:sz w:val="24"/>
        </w:rPr>
        <w:footnoteReference w:id="53"/>
      </w:r>
    </w:p>
    <w:p w14:paraId="246A1EBF" w14:textId="35DA95E5" w:rsidR="00D43384" w:rsidRPr="00191C99" w:rsidRDefault="0075433E"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D43384" w:rsidRPr="00191C99">
        <w:rPr>
          <w:rFonts w:ascii="Times New Roman" w:hAnsi="Times New Roman"/>
        </w:rPr>
        <w:t xml:space="preserve">While Beaumont J (with whom Black CJ agreed) said in </w:t>
      </w:r>
      <w:r w:rsidR="00CC2CC7" w:rsidRPr="00191C99">
        <w:rPr>
          <w:rFonts w:ascii="Times New Roman" w:hAnsi="Times New Roman"/>
          <w:i/>
          <w:iCs/>
        </w:rPr>
        <w:t xml:space="preserve">Minister </w:t>
      </w:r>
      <w:r w:rsidR="00C3266D" w:rsidRPr="00191C99">
        <w:rPr>
          <w:rFonts w:ascii="Times New Roman" w:hAnsi="Times New Roman"/>
          <w:i/>
          <w:iCs/>
        </w:rPr>
        <w:t xml:space="preserve">for </w:t>
      </w:r>
      <w:r w:rsidR="00CA0F84" w:rsidRPr="00191C99">
        <w:rPr>
          <w:rFonts w:ascii="Times New Roman" w:hAnsi="Times New Roman"/>
          <w:i/>
          <w:iCs/>
        </w:rPr>
        <w:t>I</w:t>
      </w:r>
      <w:r w:rsidR="00C3266D" w:rsidRPr="00191C99">
        <w:rPr>
          <w:rFonts w:ascii="Times New Roman" w:hAnsi="Times New Roman"/>
          <w:i/>
          <w:iCs/>
        </w:rPr>
        <w:t>mmigration, Local Government and Ethnic Affairs</w:t>
      </w:r>
      <w:r w:rsidR="00C3266D" w:rsidRPr="00191C99">
        <w:rPr>
          <w:rFonts w:ascii="Times New Roman" w:hAnsi="Times New Roman"/>
        </w:rPr>
        <w:t xml:space="preserve"> </w:t>
      </w:r>
      <w:r w:rsidR="00CB4CB0" w:rsidRPr="00191C99">
        <w:rPr>
          <w:rFonts w:ascii="Times New Roman" w:hAnsi="Times New Roman"/>
          <w:i/>
          <w:iCs/>
        </w:rPr>
        <w:t xml:space="preserve">v </w:t>
      </w:r>
      <w:proofErr w:type="spellStart"/>
      <w:r w:rsidR="00CB4CB0" w:rsidRPr="00191C99">
        <w:rPr>
          <w:rFonts w:ascii="Times New Roman" w:hAnsi="Times New Roman"/>
          <w:i/>
          <w:iCs/>
        </w:rPr>
        <w:t>Msilanga</w:t>
      </w:r>
      <w:proofErr w:type="spellEnd"/>
      <w:r w:rsidR="00CB4CB0" w:rsidRPr="00191C99">
        <w:rPr>
          <w:rFonts w:ascii="Times New Roman" w:hAnsi="Times New Roman"/>
          <w:i/>
          <w:iCs/>
        </w:rPr>
        <w:t xml:space="preserve"> </w:t>
      </w:r>
      <w:r w:rsidR="00D43384" w:rsidRPr="00191C99">
        <w:rPr>
          <w:rFonts w:ascii="Times New Roman" w:hAnsi="Times New Roman"/>
        </w:rPr>
        <w:t>that the "claim for interim relief is clearly related to the claim for final relief and thus the necessary relationship has been established"</w:t>
      </w:r>
      <w:r w:rsidR="00D43384" w:rsidRPr="00191C99">
        <w:rPr>
          <w:rStyle w:val="FootnoteReference"/>
          <w:rFonts w:ascii="Times New Roman" w:hAnsi="Times New Roman"/>
          <w:sz w:val="24"/>
        </w:rPr>
        <w:footnoteReference w:id="54"/>
      </w:r>
      <w:r w:rsidR="00D43384" w:rsidRPr="00191C99">
        <w:rPr>
          <w:rFonts w:ascii="Times New Roman" w:hAnsi="Times New Roman"/>
        </w:rPr>
        <w:t xml:space="preserve"> so that the reservations expressed in </w:t>
      </w:r>
      <w:r w:rsidR="00D43384" w:rsidRPr="00191C99">
        <w:rPr>
          <w:rFonts w:ascii="Times New Roman" w:hAnsi="Times New Roman"/>
          <w:i/>
          <w:iCs/>
        </w:rPr>
        <w:t>Elmi v Minister for Immigration and Ethnic Affairs</w:t>
      </w:r>
      <w:r w:rsidR="00D43384" w:rsidRPr="00191C99">
        <w:rPr>
          <w:rStyle w:val="FootnoteReference"/>
          <w:rFonts w:ascii="Times New Roman" w:hAnsi="Times New Roman"/>
          <w:sz w:val="24"/>
        </w:rPr>
        <w:footnoteReference w:id="55"/>
      </w:r>
      <w:r w:rsidR="00D43384" w:rsidRPr="00191C99">
        <w:rPr>
          <w:rFonts w:ascii="Times New Roman" w:hAnsi="Times New Roman"/>
        </w:rPr>
        <w:t xml:space="preserve"> </w:t>
      </w:r>
      <w:r w:rsidR="00CB4CB0" w:rsidRPr="00191C99">
        <w:rPr>
          <w:rFonts w:ascii="Times New Roman" w:hAnsi="Times New Roman"/>
        </w:rPr>
        <w:t xml:space="preserve">had </w:t>
      </w:r>
      <w:r w:rsidR="00D43384" w:rsidRPr="00191C99">
        <w:rPr>
          <w:rFonts w:ascii="Times New Roman" w:hAnsi="Times New Roman"/>
        </w:rPr>
        <w:t xml:space="preserve">no application, </w:t>
      </w:r>
      <w:r w:rsidR="00C3266D" w:rsidRPr="00191C99">
        <w:rPr>
          <w:rFonts w:ascii="Times New Roman" w:hAnsi="Times New Roman"/>
        </w:rPr>
        <w:t xml:space="preserve">both </w:t>
      </w:r>
      <w:r w:rsidR="00D43384" w:rsidRPr="00191C99">
        <w:rPr>
          <w:rFonts w:ascii="Times New Roman" w:hAnsi="Times New Roman"/>
        </w:rPr>
        <w:t xml:space="preserve">that statement and the reservations expressed in </w:t>
      </w:r>
      <w:r w:rsidR="00D43384" w:rsidRPr="00191C99">
        <w:rPr>
          <w:rFonts w:ascii="Times New Roman" w:hAnsi="Times New Roman"/>
          <w:i/>
          <w:iCs/>
        </w:rPr>
        <w:t xml:space="preserve">Elmi </w:t>
      </w:r>
      <w:r w:rsidR="00D43384" w:rsidRPr="00191C99">
        <w:rPr>
          <w:rFonts w:ascii="Times New Roman" w:hAnsi="Times New Roman"/>
        </w:rPr>
        <w:t>must be understood in context. Beaumont</w:t>
      </w:r>
      <w:r w:rsidR="00010561" w:rsidRPr="00191C99">
        <w:rPr>
          <w:rFonts w:ascii="Times New Roman" w:hAnsi="Times New Roman"/>
        </w:rPr>
        <w:t> </w:t>
      </w:r>
      <w:r w:rsidR="00D43384" w:rsidRPr="00191C99">
        <w:rPr>
          <w:rFonts w:ascii="Times New Roman" w:hAnsi="Times New Roman"/>
        </w:rPr>
        <w:t xml:space="preserve">J </w:t>
      </w:r>
      <w:r w:rsidR="00CB4CB0" w:rsidRPr="00191C99">
        <w:rPr>
          <w:rFonts w:ascii="Times New Roman" w:hAnsi="Times New Roman"/>
        </w:rPr>
        <w:t xml:space="preserve">in </w:t>
      </w:r>
      <w:proofErr w:type="spellStart"/>
      <w:r w:rsidR="00CB4CB0" w:rsidRPr="00191C99">
        <w:rPr>
          <w:rFonts w:ascii="Times New Roman" w:hAnsi="Times New Roman"/>
          <w:i/>
          <w:iCs/>
        </w:rPr>
        <w:t>Msilanga</w:t>
      </w:r>
      <w:proofErr w:type="spellEnd"/>
      <w:r w:rsidR="00CB4CB0" w:rsidRPr="00191C99">
        <w:rPr>
          <w:rFonts w:ascii="Times New Roman" w:hAnsi="Times New Roman"/>
        </w:rPr>
        <w:t xml:space="preserve"> </w:t>
      </w:r>
      <w:r w:rsidR="00D43384" w:rsidRPr="00191C99">
        <w:rPr>
          <w:rFonts w:ascii="Times New Roman" w:hAnsi="Times New Roman"/>
        </w:rPr>
        <w:t xml:space="preserve">was considering whether </w:t>
      </w:r>
      <w:r w:rsidR="008F2251" w:rsidRPr="00191C99">
        <w:rPr>
          <w:rFonts w:ascii="Times New Roman" w:hAnsi="Times New Roman"/>
        </w:rPr>
        <w:t xml:space="preserve">an </w:t>
      </w:r>
      <w:r w:rsidR="00D43384" w:rsidRPr="00191C99">
        <w:rPr>
          <w:rFonts w:ascii="Times New Roman" w:hAnsi="Times New Roman"/>
        </w:rPr>
        <w:t xml:space="preserve">interlocutory order </w:t>
      </w:r>
      <w:r w:rsidR="00CB4CB0" w:rsidRPr="00191C99">
        <w:rPr>
          <w:rFonts w:ascii="Times New Roman" w:hAnsi="Times New Roman"/>
        </w:rPr>
        <w:t>(</w:t>
      </w:r>
      <w:r w:rsidR="008F2251" w:rsidRPr="00191C99">
        <w:rPr>
          <w:rFonts w:ascii="Times New Roman" w:hAnsi="Times New Roman"/>
        </w:rPr>
        <w:t xml:space="preserve">for release of an unlawful non-citizen from detention) </w:t>
      </w:r>
      <w:r w:rsidR="00D43384" w:rsidRPr="00191C99">
        <w:rPr>
          <w:rFonts w:ascii="Times New Roman" w:hAnsi="Times New Roman"/>
        </w:rPr>
        <w:t>was "appropriate" to be made</w:t>
      </w:r>
      <w:r w:rsidR="00E916B4" w:rsidRPr="00191C99">
        <w:rPr>
          <w:rFonts w:ascii="Times New Roman" w:hAnsi="Times New Roman"/>
        </w:rPr>
        <w:t>,</w:t>
      </w:r>
      <w:r w:rsidR="00D43384" w:rsidRPr="00191C99">
        <w:rPr>
          <w:rFonts w:ascii="Times New Roman" w:hAnsi="Times New Roman"/>
        </w:rPr>
        <w:t xml:space="preserve"> as referred to in s 23 of the </w:t>
      </w:r>
      <w:r w:rsidR="00D43384" w:rsidRPr="00191C99">
        <w:rPr>
          <w:rFonts w:ascii="Times New Roman" w:hAnsi="Times New Roman"/>
          <w:i/>
          <w:iCs/>
        </w:rPr>
        <w:t>Federal Court of Australia Act</w:t>
      </w:r>
      <w:r w:rsidR="009457F4" w:rsidRPr="00191C99">
        <w:rPr>
          <w:rFonts w:ascii="Times New Roman" w:hAnsi="Times New Roman"/>
          <w:i/>
          <w:iCs/>
        </w:rPr>
        <w:t xml:space="preserve"> 1976</w:t>
      </w:r>
      <w:r w:rsidR="009B0346" w:rsidRPr="00191C99">
        <w:rPr>
          <w:rFonts w:ascii="Times New Roman" w:hAnsi="Times New Roman"/>
          <w:i/>
          <w:iCs/>
        </w:rPr>
        <w:t> </w:t>
      </w:r>
      <w:r w:rsidR="009457F4" w:rsidRPr="00191C99">
        <w:rPr>
          <w:rFonts w:ascii="Times New Roman" w:hAnsi="Times New Roman"/>
        </w:rPr>
        <w:t>(</w:t>
      </w:r>
      <w:proofErr w:type="spellStart"/>
      <w:r w:rsidR="009457F4" w:rsidRPr="00191C99">
        <w:rPr>
          <w:rFonts w:ascii="Times New Roman" w:hAnsi="Times New Roman"/>
        </w:rPr>
        <w:t>Cth</w:t>
      </w:r>
      <w:proofErr w:type="spellEnd"/>
      <w:r w:rsidR="009457F4" w:rsidRPr="00191C99">
        <w:rPr>
          <w:rFonts w:ascii="Times New Roman" w:hAnsi="Times New Roman"/>
        </w:rPr>
        <w:t>)</w:t>
      </w:r>
      <w:r w:rsidR="00D43384" w:rsidRPr="00191C99">
        <w:rPr>
          <w:rFonts w:ascii="Times New Roman" w:hAnsi="Times New Roman"/>
        </w:rPr>
        <w:t xml:space="preserve">. The </w:t>
      </w:r>
      <w:r w:rsidR="00CB4CB0" w:rsidRPr="00191C99">
        <w:rPr>
          <w:rFonts w:ascii="Times New Roman" w:hAnsi="Times New Roman"/>
        </w:rPr>
        <w:t xml:space="preserve">existence of the </w:t>
      </w:r>
      <w:r w:rsidR="00D43384" w:rsidRPr="00191C99">
        <w:rPr>
          <w:rFonts w:ascii="Times New Roman" w:hAnsi="Times New Roman"/>
        </w:rPr>
        <w:t xml:space="preserve">connection between the interlocutory order and the final order put </w:t>
      </w:r>
      <w:r w:rsidR="00D43384" w:rsidRPr="00191C99">
        <w:rPr>
          <w:rFonts w:ascii="Times New Roman" w:hAnsi="Times New Roman"/>
        </w:rPr>
        <w:lastRenderedPageBreak/>
        <w:t xml:space="preserve">that issue </w:t>
      </w:r>
      <w:r w:rsidR="00CB4CB0" w:rsidRPr="00191C99">
        <w:rPr>
          <w:rFonts w:ascii="Times New Roman" w:hAnsi="Times New Roman"/>
        </w:rPr>
        <w:t xml:space="preserve">of fact </w:t>
      </w:r>
      <w:r w:rsidR="00D43384" w:rsidRPr="00191C99">
        <w:rPr>
          <w:rFonts w:ascii="Times New Roman" w:hAnsi="Times New Roman"/>
        </w:rPr>
        <w:t xml:space="preserve">beyond question. In </w:t>
      </w:r>
      <w:r w:rsidR="00D43384" w:rsidRPr="00191C99">
        <w:rPr>
          <w:rFonts w:ascii="Times New Roman" w:hAnsi="Times New Roman"/>
          <w:i/>
          <w:iCs/>
        </w:rPr>
        <w:t>Elmi</w:t>
      </w:r>
      <w:r w:rsidR="00D43384" w:rsidRPr="00191C99">
        <w:rPr>
          <w:rFonts w:ascii="Times New Roman" w:hAnsi="Times New Roman"/>
        </w:rPr>
        <w:t xml:space="preserve"> </w:t>
      </w:r>
      <w:proofErr w:type="spellStart"/>
      <w:r w:rsidR="00D43384" w:rsidRPr="00191C99">
        <w:rPr>
          <w:rFonts w:ascii="Times New Roman" w:hAnsi="Times New Roman"/>
        </w:rPr>
        <w:t>Gummow</w:t>
      </w:r>
      <w:proofErr w:type="spellEnd"/>
      <w:r w:rsidR="00D43384" w:rsidRPr="00191C99">
        <w:rPr>
          <w:rFonts w:ascii="Times New Roman" w:hAnsi="Times New Roman"/>
        </w:rPr>
        <w:t xml:space="preserve"> J's concern, expressed in obiter dicta, was that the principle that s 23 of the </w:t>
      </w:r>
      <w:r w:rsidR="00D43384" w:rsidRPr="00191C99">
        <w:rPr>
          <w:rFonts w:ascii="Times New Roman" w:hAnsi="Times New Roman"/>
          <w:i/>
          <w:iCs/>
        </w:rPr>
        <w:t>Federal Court of Australia Act</w:t>
      </w:r>
      <w:r w:rsidR="00D43384" w:rsidRPr="00191C99">
        <w:rPr>
          <w:rFonts w:ascii="Times New Roman" w:hAnsi="Times New Roman"/>
        </w:rPr>
        <w:t xml:space="preserve"> "will not generally be read as giving power to grant additional remedies of a kind already specifically provided for in other legislation where that legislation is directed to a particular head of jurisdiction of the court and is to be seen as a comprehensive statement of the remedies there available"</w:t>
      </w:r>
      <w:r w:rsidR="00D43384" w:rsidRPr="00191C99">
        <w:rPr>
          <w:rStyle w:val="FootnoteReference"/>
          <w:rFonts w:ascii="Times New Roman" w:hAnsi="Times New Roman"/>
          <w:sz w:val="24"/>
        </w:rPr>
        <w:footnoteReference w:id="56"/>
      </w:r>
      <w:r w:rsidR="00D43384" w:rsidRPr="00191C99">
        <w:rPr>
          <w:rFonts w:ascii="Times New Roman" w:hAnsi="Times New Roman"/>
        </w:rPr>
        <w:t xml:space="preserve"> might be engaged given that the application </w:t>
      </w:r>
      <w:r w:rsidR="00885D7A" w:rsidRPr="00191C99">
        <w:rPr>
          <w:rFonts w:ascii="Times New Roman" w:hAnsi="Times New Roman"/>
        </w:rPr>
        <w:t xml:space="preserve">in that case </w:t>
      </w:r>
      <w:r w:rsidR="00D43384" w:rsidRPr="00191C99">
        <w:rPr>
          <w:rFonts w:ascii="Times New Roman" w:hAnsi="Times New Roman"/>
        </w:rPr>
        <w:t xml:space="preserve">was brought under the </w:t>
      </w:r>
      <w:r w:rsidR="00D43384" w:rsidRPr="00191C99">
        <w:rPr>
          <w:rFonts w:ascii="Times New Roman" w:hAnsi="Times New Roman"/>
          <w:i/>
          <w:iCs/>
        </w:rPr>
        <w:t xml:space="preserve">Administrative Decisions </w:t>
      </w:r>
      <w:r w:rsidR="006F1A60" w:rsidRPr="00191C99">
        <w:rPr>
          <w:rFonts w:ascii="Times New Roman" w:hAnsi="Times New Roman"/>
          <w:i/>
          <w:iCs/>
        </w:rPr>
        <w:t>(</w:t>
      </w:r>
      <w:r w:rsidR="00D43384" w:rsidRPr="00191C99">
        <w:rPr>
          <w:rFonts w:ascii="Times New Roman" w:hAnsi="Times New Roman"/>
          <w:i/>
          <w:iCs/>
        </w:rPr>
        <w:t>Judicial Review</w:t>
      </w:r>
      <w:r w:rsidR="006F1A60" w:rsidRPr="00191C99">
        <w:rPr>
          <w:rFonts w:ascii="Times New Roman" w:hAnsi="Times New Roman"/>
          <w:i/>
          <w:iCs/>
        </w:rPr>
        <w:t>)</w:t>
      </w:r>
      <w:r w:rsidR="00D43384" w:rsidRPr="00191C99">
        <w:rPr>
          <w:rFonts w:ascii="Times New Roman" w:hAnsi="Times New Roman"/>
          <w:i/>
          <w:iCs/>
        </w:rPr>
        <w:t xml:space="preserve"> Act 1977</w:t>
      </w:r>
      <w:r w:rsidR="00D43384" w:rsidRPr="00191C99">
        <w:rPr>
          <w:rFonts w:ascii="Times New Roman" w:hAnsi="Times New Roman"/>
        </w:rPr>
        <w:t xml:space="preserve"> (</w:t>
      </w:r>
      <w:proofErr w:type="spellStart"/>
      <w:r w:rsidR="00D43384" w:rsidRPr="00191C99">
        <w:rPr>
          <w:rFonts w:ascii="Times New Roman" w:hAnsi="Times New Roman"/>
        </w:rPr>
        <w:t>Cth</w:t>
      </w:r>
      <w:proofErr w:type="spellEnd"/>
      <w:r w:rsidR="00D43384" w:rsidRPr="00191C99">
        <w:rPr>
          <w:rFonts w:ascii="Times New Roman" w:hAnsi="Times New Roman"/>
        </w:rPr>
        <w:t>)</w:t>
      </w:r>
      <w:r w:rsidR="00885D7A" w:rsidRPr="00191C99">
        <w:rPr>
          <w:rFonts w:ascii="Times New Roman" w:hAnsi="Times New Roman"/>
        </w:rPr>
        <w:t xml:space="preserve"> which, in s 15, </w:t>
      </w:r>
      <w:r w:rsidR="00C948D1" w:rsidRPr="00191C99">
        <w:rPr>
          <w:rFonts w:ascii="Times New Roman" w:hAnsi="Times New Roman"/>
        </w:rPr>
        <w:t>g</w:t>
      </w:r>
      <w:r w:rsidR="00595457" w:rsidRPr="00191C99">
        <w:rPr>
          <w:rFonts w:ascii="Times New Roman" w:hAnsi="Times New Roman"/>
        </w:rPr>
        <w:t>ave</w:t>
      </w:r>
      <w:r w:rsidR="00C948D1" w:rsidRPr="00191C99">
        <w:rPr>
          <w:rFonts w:ascii="Times New Roman" w:hAnsi="Times New Roman"/>
        </w:rPr>
        <w:t xml:space="preserve"> </w:t>
      </w:r>
      <w:r w:rsidR="00B25C8D" w:rsidRPr="00191C99">
        <w:rPr>
          <w:rFonts w:ascii="Times New Roman" w:hAnsi="Times New Roman"/>
        </w:rPr>
        <w:t xml:space="preserve">the Federal Court </w:t>
      </w:r>
      <w:r w:rsidR="005C2A25" w:rsidRPr="00191C99">
        <w:rPr>
          <w:rFonts w:ascii="Times New Roman" w:hAnsi="Times New Roman"/>
        </w:rPr>
        <w:t xml:space="preserve">power to </w:t>
      </w:r>
      <w:r w:rsidR="004D79F6" w:rsidRPr="00191C99">
        <w:rPr>
          <w:rFonts w:ascii="Times New Roman" w:hAnsi="Times New Roman"/>
        </w:rPr>
        <w:t xml:space="preserve">suspend the operation of a decision </w:t>
      </w:r>
      <w:r w:rsidR="006B4CCA" w:rsidRPr="00191C99">
        <w:rPr>
          <w:rFonts w:ascii="Times New Roman" w:hAnsi="Times New Roman"/>
        </w:rPr>
        <w:t>and stay proceedings under a decision</w:t>
      </w:r>
      <w:r w:rsidR="00D43384" w:rsidRPr="00191C99">
        <w:rPr>
          <w:rFonts w:ascii="Times New Roman" w:hAnsi="Times New Roman"/>
        </w:rPr>
        <w:t>.</w:t>
      </w:r>
    </w:p>
    <w:p w14:paraId="3CBCCF41" w14:textId="12199CC0" w:rsidR="003034B6" w:rsidRPr="00191C99" w:rsidRDefault="00D43384"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None of the authorities to which the appellants </w:t>
      </w:r>
      <w:r w:rsidR="00FF7CAF" w:rsidRPr="00191C99">
        <w:rPr>
          <w:rFonts w:ascii="Times New Roman" w:hAnsi="Times New Roman"/>
        </w:rPr>
        <w:t xml:space="preserve">and Attorney-General </w:t>
      </w:r>
      <w:r w:rsidRPr="00191C99">
        <w:rPr>
          <w:rFonts w:ascii="Times New Roman" w:hAnsi="Times New Roman"/>
        </w:rPr>
        <w:t xml:space="preserve">referred cast any doubt on the breadth of the power of the Federal Court to make an interlocutory order </w:t>
      </w:r>
      <w:r w:rsidR="00A400DF" w:rsidRPr="00191C99">
        <w:rPr>
          <w:rFonts w:ascii="Times New Roman" w:hAnsi="Times New Roman"/>
        </w:rPr>
        <w:t xml:space="preserve">to </w:t>
      </w:r>
      <w:r w:rsidR="00922D02" w:rsidRPr="00191C99">
        <w:rPr>
          <w:rFonts w:ascii="Times New Roman" w:hAnsi="Times New Roman"/>
        </w:rPr>
        <w:t>protect the integrity of its own processes by ensuring its capacity to effectively exercise its jurisdiction in a proceeding pending before it</w:t>
      </w:r>
      <w:r w:rsidR="0046192E" w:rsidRPr="00191C99">
        <w:rPr>
          <w:rFonts w:ascii="Times New Roman" w:hAnsi="Times New Roman"/>
        </w:rPr>
        <w:t>,</w:t>
      </w:r>
      <w:r w:rsidRPr="00191C99">
        <w:rPr>
          <w:rFonts w:ascii="Times New Roman" w:hAnsi="Times New Roman"/>
        </w:rPr>
        <w:t xml:space="preserve"> including an order </w:t>
      </w:r>
      <w:r w:rsidR="00E46F7D" w:rsidRPr="00191C99">
        <w:rPr>
          <w:rFonts w:ascii="Times New Roman" w:hAnsi="Times New Roman"/>
        </w:rPr>
        <w:t xml:space="preserve">to </w:t>
      </w:r>
      <w:r w:rsidRPr="00191C99">
        <w:rPr>
          <w:rFonts w:ascii="Times New Roman" w:hAnsi="Times New Roman"/>
        </w:rPr>
        <w:t xml:space="preserve">preserve the subject-matter of the proceeding </w:t>
      </w:r>
      <w:r w:rsidR="009E3ACC" w:rsidRPr="00191C99">
        <w:rPr>
          <w:rFonts w:ascii="Times New Roman" w:hAnsi="Times New Roman"/>
        </w:rPr>
        <w:t xml:space="preserve">and </w:t>
      </w:r>
      <w:r w:rsidR="00B20031" w:rsidRPr="00191C99">
        <w:rPr>
          <w:rFonts w:ascii="Times New Roman" w:hAnsi="Times New Roman"/>
        </w:rPr>
        <w:t xml:space="preserve">an order </w:t>
      </w:r>
      <w:r w:rsidR="00E46F7D" w:rsidRPr="00191C99">
        <w:rPr>
          <w:rFonts w:ascii="Times New Roman" w:hAnsi="Times New Roman"/>
        </w:rPr>
        <w:t xml:space="preserve">to </w:t>
      </w:r>
      <w:r w:rsidRPr="00191C99">
        <w:rPr>
          <w:rFonts w:ascii="Times New Roman" w:hAnsi="Times New Roman"/>
        </w:rPr>
        <w:t>pre</w:t>
      </w:r>
      <w:r w:rsidR="003347DE" w:rsidRPr="00191C99">
        <w:rPr>
          <w:rFonts w:ascii="Times New Roman" w:hAnsi="Times New Roman"/>
        </w:rPr>
        <w:t>serve the utility of the final relief that is sought</w:t>
      </w:r>
      <w:r w:rsidRPr="00191C99">
        <w:rPr>
          <w:rFonts w:ascii="Times New Roman" w:hAnsi="Times New Roman"/>
        </w:rPr>
        <w:t xml:space="preserve">. </w:t>
      </w:r>
    </w:p>
    <w:p w14:paraId="7B67F40B" w14:textId="2FD913FD" w:rsidR="00E720F2" w:rsidRPr="00191C99" w:rsidRDefault="003034B6"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D43384" w:rsidRPr="00191C99">
        <w:rPr>
          <w:rFonts w:ascii="Times New Roman" w:hAnsi="Times New Roman"/>
        </w:rPr>
        <w:t>This power extend</w:t>
      </w:r>
      <w:r w:rsidR="00E35143" w:rsidRPr="00191C99">
        <w:rPr>
          <w:rFonts w:ascii="Times New Roman" w:hAnsi="Times New Roman"/>
        </w:rPr>
        <w:t>s</w:t>
      </w:r>
      <w:r w:rsidR="00D43384" w:rsidRPr="00191C99">
        <w:rPr>
          <w:rFonts w:ascii="Times New Roman" w:hAnsi="Times New Roman"/>
        </w:rPr>
        <w:t xml:space="preserve"> to the making of an interlocutory order to prevent the appellants from removing the respondent from Australia in purported compliance with s 198(6) of the </w:t>
      </w:r>
      <w:r w:rsidR="00D43384" w:rsidRPr="00191C99">
        <w:rPr>
          <w:rFonts w:ascii="Times New Roman" w:hAnsi="Times New Roman"/>
          <w:i/>
          <w:iCs/>
        </w:rPr>
        <w:t>Migration Act</w:t>
      </w:r>
      <w:r w:rsidR="00F528C6" w:rsidRPr="00191C99">
        <w:rPr>
          <w:rFonts w:ascii="Times New Roman" w:hAnsi="Times New Roman"/>
        </w:rPr>
        <w:t xml:space="preserve">. It </w:t>
      </w:r>
      <w:r w:rsidR="00DA3CE8" w:rsidRPr="00191C99">
        <w:rPr>
          <w:rFonts w:ascii="Times New Roman" w:hAnsi="Times New Roman"/>
        </w:rPr>
        <w:t>d</w:t>
      </w:r>
      <w:r w:rsidR="00E35143" w:rsidRPr="00191C99">
        <w:rPr>
          <w:rFonts w:ascii="Times New Roman" w:hAnsi="Times New Roman"/>
        </w:rPr>
        <w:t>oes</w:t>
      </w:r>
      <w:r w:rsidR="00DA3CE8" w:rsidRPr="00191C99">
        <w:rPr>
          <w:rFonts w:ascii="Times New Roman" w:hAnsi="Times New Roman"/>
        </w:rPr>
        <w:t xml:space="preserve"> </w:t>
      </w:r>
      <w:r w:rsidR="00F528C6" w:rsidRPr="00191C99">
        <w:rPr>
          <w:rFonts w:ascii="Times New Roman" w:hAnsi="Times New Roman"/>
        </w:rPr>
        <w:t>so</w:t>
      </w:r>
      <w:r w:rsidR="00D43384" w:rsidRPr="00191C99">
        <w:rPr>
          <w:rFonts w:ascii="Times New Roman" w:hAnsi="Times New Roman"/>
        </w:rPr>
        <w:t xml:space="preserve"> notwithstanding that the final relief sought by the respondent does not challenge the valid application to him of s 198(6) but, rather, challenges the validity of officers dealing with his request</w:t>
      </w:r>
      <w:r w:rsidR="009D2F77" w:rsidRPr="00191C99">
        <w:rPr>
          <w:rFonts w:ascii="Times New Roman" w:hAnsi="Times New Roman"/>
        </w:rPr>
        <w:t>(</w:t>
      </w:r>
      <w:r w:rsidR="00D43384" w:rsidRPr="00191C99">
        <w:rPr>
          <w:rFonts w:ascii="Times New Roman" w:hAnsi="Times New Roman"/>
        </w:rPr>
        <w:t>s</w:t>
      </w:r>
      <w:r w:rsidR="009D2F77" w:rsidRPr="00191C99">
        <w:rPr>
          <w:rFonts w:ascii="Times New Roman" w:hAnsi="Times New Roman"/>
        </w:rPr>
        <w:t>)</w:t>
      </w:r>
      <w:r w:rsidR="00D43384" w:rsidRPr="00191C99">
        <w:rPr>
          <w:rFonts w:ascii="Times New Roman" w:hAnsi="Times New Roman"/>
        </w:rPr>
        <w:t xml:space="preserve"> to the Minister to exercise the Minister's personal and non-compellable power to grant the respondent a visa. </w:t>
      </w:r>
    </w:p>
    <w:p w14:paraId="162A442E" w14:textId="2378DD42" w:rsidR="00D43384" w:rsidRPr="00191C99" w:rsidRDefault="00B00C66"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1138C1" w:rsidRPr="00191C99">
        <w:rPr>
          <w:rFonts w:ascii="Times New Roman" w:hAnsi="Times New Roman"/>
        </w:rPr>
        <w:t xml:space="preserve">Given that s 195A of the </w:t>
      </w:r>
      <w:r w:rsidR="00F2134D" w:rsidRPr="00191C99">
        <w:rPr>
          <w:rFonts w:ascii="Times New Roman" w:hAnsi="Times New Roman"/>
          <w:i/>
          <w:iCs/>
        </w:rPr>
        <w:t xml:space="preserve">Migration Act </w:t>
      </w:r>
      <w:r w:rsidR="00F2134D" w:rsidRPr="00191C99">
        <w:rPr>
          <w:rFonts w:ascii="Times New Roman" w:hAnsi="Times New Roman"/>
        </w:rPr>
        <w:t>"</w:t>
      </w:r>
      <w:r w:rsidR="008F439E" w:rsidRPr="00191C99">
        <w:rPr>
          <w:rFonts w:ascii="Times New Roman" w:hAnsi="Times New Roman"/>
        </w:rPr>
        <w:t>applies to a person who is in detention under section</w:t>
      </w:r>
      <w:r w:rsidR="00541705" w:rsidRPr="00191C99">
        <w:rPr>
          <w:rFonts w:ascii="Times New Roman" w:hAnsi="Times New Roman"/>
        </w:rPr>
        <w:t> </w:t>
      </w:r>
      <w:r w:rsidR="008F439E" w:rsidRPr="00191C99">
        <w:rPr>
          <w:rFonts w:ascii="Times New Roman" w:hAnsi="Times New Roman"/>
        </w:rPr>
        <w:t>189" and t</w:t>
      </w:r>
      <w:r w:rsidR="00085334" w:rsidRPr="00191C99">
        <w:rPr>
          <w:rFonts w:ascii="Times New Roman" w:hAnsi="Times New Roman"/>
        </w:rPr>
        <w:t xml:space="preserve">he primary judge </w:t>
      </w:r>
      <w:r w:rsidR="008F439E" w:rsidRPr="00191C99">
        <w:rPr>
          <w:rFonts w:ascii="Times New Roman" w:hAnsi="Times New Roman"/>
        </w:rPr>
        <w:t xml:space="preserve">found </w:t>
      </w:r>
      <w:r w:rsidR="00085334" w:rsidRPr="00191C99">
        <w:rPr>
          <w:rFonts w:ascii="Times New Roman" w:hAnsi="Times New Roman"/>
        </w:rPr>
        <w:t xml:space="preserve">that </w:t>
      </w:r>
      <w:r w:rsidR="00BF3237" w:rsidRPr="00191C99">
        <w:rPr>
          <w:rFonts w:ascii="Times New Roman" w:hAnsi="Times New Roman"/>
        </w:rPr>
        <w:t>there was a prima facie case established that</w:t>
      </w:r>
      <w:r w:rsidR="00A268D7" w:rsidRPr="00191C99">
        <w:rPr>
          <w:rFonts w:ascii="Times New Roman" w:hAnsi="Times New Roman"/>
        </w:rPr>
        <w:t xml:space="preserve">, in respect of the respondent's request(s), </w:t>
      </w:r>
      <w:r w:rsidR="009A2FA1" w:rsidRPr="00191C99">
        <w:rPr>
          <w:rFonts w:ascii="Times New Roman" w:hAnsi="Times New Roman"/>
        </w:rPr>
        <w:t>"the Minister has purported to entrust the dispositive evaluation of the public interest to departmental officers and thereby exceeded the statutory limit on executive power imposed by s</w:t>
      </w:r>
      <w:r w:rsidR="00F515DD" w:rsidRPr="00191C99">
        <w:rPr>
          <w:rFonts w:ascii="Times New Roman" w:hAnsi="Times New Roman"/>
        </w:rPr>
        <w:t> </w:t>
      </w:r>
      <w:r w:rsidR="009A2FA1" w:rsidRPr="00191C99">
        <w:rPr>
          <w:rFonts w:ascii="Times New Roman" w:hAnsi="Times New Roman"/>
        </w:rPr>
        <w:t>195A(1)"</w:t>
      </w:r>
      <w:r w:rsidR="001A5BEC" w:rsidRPr="00191C99">
        <w:rPr>
          <w:rFonts w:ascii="Times New Roman" w:hAnsi="Times New Roman"/>
        </w:rPr>
        <w:t>,</w:t>
      </w:r>
      <w:r w:rsidR="009A2FA1" w:rsidRPr="00191C99">
        <w:rPr>
          <w:rStyle w:val="FootnoteReference"/>
          <w:rFonts w:ascii="Times New Roman" w:hAnsi="Times New Roman"/>
          <w:sz w:val="24"/>
        </w:rPr>
        <w:footnoteReference w:id="57"/>
      </w:r>
      <w:r w:rsidR="009A2FA1" w:rsidRPr="00191C99">
        <w:rPr>
          <w:rFonts w:ascii="Times New Roman" w:hAnsi="Times New Roman"/>
        </w:rPr>
        <w:t xml:space="preserve"> </w:t>
      </w:r>
      <w:r w:rsidR="00F515DD" w:rsidRPr="00191C99">
        <w:rPr>
          <w:rFonts w:ascii="Times New Roman" w:hAnsi="Times New Roman"/>
        </w:rPr>
        <w:t xml:space="preserve">the </w:t>
      </w:r>
      <w:r w:rsidR="001A5BEC" w:rsidRPr="00191C99">
        <w:rPr>
          <w:rFonts w:ascii="Times New Roman" w:hAnsi="Times New Roman"/>
        </w:rPr>
        <w:t xml:space="preserve">Federal Court </w:t>
      </w:r>
      <w:r w:rsidR="00541420" w:rsidRPr="00191C99">
        <w:rPr>
          <w:rFonts w:ascii="Times New Roman" w:hAnsi="Times New Roman"/>
        </w:rPr>
        <w:t xml:space="preserve">was empowered </w:t>
      </w:r>
      <w:r w:rsidR="00F515DD" w:rsidRPr="00191C99">
        <w:rPr>
          <w:rFonts w:ascii="Times New Roman" w:hAnsi="Times New Roman"/>
        </w:rPr>
        <w:t xml:space="preserve">to grant an interlocutory injunction restraining the removal of the respondent from Australia </w:t>
      </w:r>
      <w:r w:rsidR="00541420" w:rsidRPr="00191C99">
        <w:rPr>
          <w:rFonts w:ascii="Times New Roman" w:hAnsi="Times New Roman"/>
        </w:rPr>
        <w:t>in order to</w:t>
      </w:r>
      <w:r w:rsidR="00AC6972" w:rsidRPr="00191C99">
        <w:rPr>
          <w:rFonts w:ascii="Times New Roman" w:hAnsi="Times New Roman"/>
        </w:rPr>
        <w:t xml:space="preserve"> </w:t>
      </w:r>
      <w:r w:rsidR="00922D02" w:rsidRPr="00191C99">
        <w:rPr>
          <w:rFonts w:ascii="Times New Roman" w:hAnsi="Times New Roman"/>
        </w:rPr>
        <w:t>protect the integrity of its own processes by ensuring its capacity to effectively exercise its jurisdiction in a proceeding pending before it</w:t>
      </w:r>
      <w:r w:rsidR="00541420" w:rsidRPr="00191C99">
        <w:rPr>
          <w:rFonts w:ascii="Times New Roman" w:hAnsi="Times New Roman"/>
        </w:rPr>
        <w:t>. T</w:t>
      </w:r>
      <w:r w:rsidR="001A5BEC" w:rsidRPr="00191C99">
        <w:rPr>
          <w:rFonts w:ascii="Times New Roman" w:hAnsi="Times New Roman"/>
        </w:rPr>
        <w:t>hat is, t</w:t>
      </w:r>
      <w:r w:rsidR="00541420" w:rsidRPr="00191C99">
        <w:rPr>
          <w:rFonts w:ascii="Times New Roman" w:hAnsi="Times New Roman"/>
        </w:rPr>
        <w:t xml:space="preserve">he respondent having instituted </w:t>
      </w:r>
      <w:r w:rsidR="00C83670" w:rsidRPr="00191C99">
        <w:rPr>
          <w:rFonts w:ascii="Times New Roman" w:hAnsi="Times New Roman"/>
        </w:rPr>
        <w:t xml:space="preserve">a </w:t>
      </w:r>
      <w:r w:rsidR="00541420" w:rsidRPr="00191C99">
        <w:rPr>
          <w:rFonts w:ascii="Times New Roman" w:hAnsi="Times New Roman"/>
        </w:rPr>
        <w:t xml:space="preserve">proceeding seeking the declaration as of right, </w:t>
      </w:r>
      <w:r w:rsidR="000A1799" w:rsidRPr="00191C99">
        <w:rPr>
          <w:rFonts w:ascii="Times New Roman" w:hAnsi="Times New Roman"/>
        </w:rPr>
        <w:t xml:space="preserve">the </w:t>
      </w:r>
      <w:r w:rsidR="000A1799" w:rsidRPr="00191C99">
        <w:rPr>
          <w:rFonts w:ascii="Times New Roman" w:hAnsi="Times New Roman"/>
        </w:rPr>
        <w:lastRenderedPageBreak/>
        <w:t xml:space="preserve">Federal Court </w:t>
      </w:r>
      <w:r w:rsidR="00C83670" w:rsidRPr="00191C99">
        <w:rPr>
          <w:rFonts w:ascii="Times New Roman" w:hAnsi="Times New Roman"/>
        </w:rPr>
        <w:t>was empowered to vindicate its authority by preserving the subject</w:t>
      </w:r>
      <w:r w:rsidR="00021F23">
        <w:rPr>
          <w:rFonts w:ascii="Times New Roman" w:hAnsi="Times New Roman"/>
        </w:rPr>
        <w:noBreakHyphen/>
      </w:r>
      <w:r w:rsidR="00C83670" w:rsidRPr="00191C99">
        <w:rPr>
          <w:rFonts w:ascii="Times New Roman" w:hAnsi="Times New Roman"/>
        </w:rPr>
        <w:t xml:space="preserve">matter and utility of the proceeding </w:t>
      </w:r>
      <w:r w:rsidR="00B16365" w:rsidRPr="00191C99">
        <w:rPr>
          <w:rFonts w:ascii="Times New Roman" w:hAnsi="Times New Roman"/>
        </w:rPr>
        <w:t>which, in this case</w:t>
      </w:r>
      <w:r w:rsidR="001A5BEC" w:rsidRPr="00191C99">
        <w:rPr>
          <w:rFonts w:ascii="Times New Roman" w:hAnsi="Times New Roman"/>
        </w:rPr>
        <w:t xml:space="preserve"> (given the terms of s 195A(1)</w:t>
      </w:r>
      <w:r w:rsidR="000F653C" w:rsidRPr="00191C99">
        <w:rPr>
          <w:rFonts w:ascii="Times New Roman" w:hAnsi="Times New Roman"/>
        </w:rPr>
        <w:t xml:space="preserve"> of the </w:t>
      </w:r>
      <w:r w:rsidR="000F653C" w:rsidRPr="00191C99">
        <w:rPr>
          <w:rFonts w:ascii="Times New Roman" w:hAnsi="Times New Roman"/>
          <w:i/>
          <w:iCs/>
        </w:rPr>
        <w:t>Migration Act</w:t>
      </w:r>
      <w:r w:rsidR="000F653C" w:rsidRPr="00191C99">
        <w:rPr>
          <w:rFonts w:ascii="Times New Roman" w:hAnsi="Times New Roman"/>
        </w:rPr>
        <w:t>)</w:t>
      </w:r>
      <w:r w:rsidR="00B16365" w:rsidRPr="00191C99">
        <w:rPr>
          <w:rFonts w:ascii="Times New Roman" w:hAnsi="Times New Roman"/>
        </w:rPr>
        <w:t xml:space="preserve">, depended on the respondent remaining in detention in Australia so that the Minister retained power to deal with the respondent's request(s) lawfully. </w:t>
      </w:r>
      <w:r w:rsidR="000F653C" w:rsidRPr="00191C99">
        <w:rPr>
          <w:rFonts w:ascii="Times New Roman" w:hAnsi="Times New Roman"/>
        </w:rPr>
        <w:t>Further, t</w:t>
      </w:r>
      <w:r w:rsidR="00D43384" w:rsidRPr="00191C99">
        <w:rPr>
          <w:rFonts w:ascii="Times New Roman" w:hAnsi="Times New Roman"/>
        </w:rPr>
        <w:t>he finding by the primary judge that if the respondent were removed from Australia there was a "very real prospect" of the respondent being unable to continue to prosecute the proceeding</w:t>
      </w:r>
      <w:r w:rsidR="00D43384" w:rsidRPr="00191C99">
        <w:rPr>
          <w:rStyle w:val="FootnoteReference"/>
          <w:rFonts w:ascii="Times New Roman" w:hAnsi="Times New Roman"/>
          <w:sz w:val="24"/>
        </w:rPr>
        <w:footnoteReference w:id="58"/>
      </w:r>
      <w:r w:rsidR="00D43384" w:rsidRPr="00191C99">
        <w:rPr>
          <w:rFonts w:ascii="Times New Roman" w:hAnsi="Times New Roman"/>
        </w:rPr>
        <w:t xml:space="preserve"> was </w:t>
      </w:r>
      <w:r w:rsidR="0011736F" w:rsidRPr="00191C99">
        <w:rPr>
          <w:rFonts w:ascii="Times New Roman" w:hAnsi="Times New Roman"/>
        </w:rPr>
        <w:t xml:space="preserve">also </w:t>
      </w:r>
      <w:r w:rsidR="00740F21" w:rsidRPr="00191C99">
        <w:rPr>
          <w:rFonts w:ascii="Times New Roman" w:hAnsi="Times New Roman"/>
        </w:rPr>
        <w:t>a</w:t>
      </w:r>
      <w:r w:rsidR="0011736F" w:rsidRPr="00191C99">
        <w:rPr>
          <w:rFonts w:ascii="Times New Roman" w:hAnsi="Times New Roman"/>
        </w:rPr>
        <w:t>n independent</w:t>
      </w:r>
      <w:r w:rsidR="00740F21" w:rsidRPr="00191C99">
        <w:rPr>
          <w:rFonts w:ascii="Times New Roman" w:hAnsi="Times New Roman"/>
        </w:rPr>
        <w:t xml:space="preserve"> factual foundation </w:t>
      </w:r>
      <w:r w:rsidR="0011736F" w:rsidRPr="00191C99">
        <w:rPr>
          <w:rFonts w:ascii="Times New Roman" w:hAnsi="Times New Roman"/>
        </w:rPr>
        <w:t xml:space="preserve">sufficient </w:t>
      </w:r>
      <w:r w:rsidR="00D43384" w:rsidRPr="00191C99">
        <w:rPr>
          <w:rFonts w:ascii="Times New Roman" w:hAnsi="Times New Roman"/>
        </w:rPr>
        <w:t xml:space="preserve">to enable the primary judge to grant the interlocutory injunction. </w:t>
      </w:r>
    </w:p>
    <w:p w14:paraId="3D733583" w14:textId="00D11740" w:rsidR="00B00C66" w:rsidRPr="00191C99" w:rsidRDefault="00B00C66"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To the extent the appellants and Attorney-General submitted that the interlocutory injunction must persist if the declaration is made or the interlocutory injunction will have had no utility, three responses may be given. First, the utility is that it will enable the respondent to continue to prosecute the proceeding in which the declaration is sought. Second, there is undoubted utility in the declaration being made if the respondent establishes an entitlement to it in the proceeding. The utility </w:t>
      </w:r>
      <w:r w:rsidR="002D5525" w:rsidRPr="00191C99">
        <w:rPr>
          <w:rFonts w:ascii="Times New Roman" w:hAnsi="Times New Roman"/>
        </w:rPr>
        <w:t>"</w:t>
      </w:r>
      <w:r w:rsidRPr="00191C99">
        <w:rPr>
          <w:rFonts w:ascii="Times New Roman" w:hAnsi="Times New Roman"/>
        </w:rPr>
        <w:t>would follow from the declaration of right that [the respondent's] request for an exercise of the power conferred by [s 195A] of the Act is yet lawfully to be finalised".</w:t>
      </w:r>
      <w:r w:rsidRPr="00191C99">
        <w:rPr>
          <w:rStyle w:val="FootnoteReference"/>
          <w:rFonts w:ascii="Times New Roman" w:hAnsi="Times New Roman"/>
          <w:sz w:val="24"/>
        </w:rPr>
        <w:footnoteReference w:id="59"/>
      </w:r>
      <w:r w:rsidRPr="00191C99">
        <w:rPr>
          <w:rFonts w:ascii="Times New Roman" w:hAnsi="Times New Roman"/>
        </w:rPr>
        <w:t xml:space="preserve"> Third, and as a result, the Minister </w:t>
      </w:r>
      <w:r w:rsidR="003C3680" w:rsidRPr="00191C99">
        <w:rPr>
          <w:rFonts w:ascii="Times New Roman" w:hAnsi="Times New Roman"/>
        </w:rPr>
        <w:t xml:space="preserve">will be able to </w:t>
      </w:r>
      <w:r w:rsidRPr="00191C99">
        <w:rPr>
          <w:rFonts w:ascii="Times New Roman" w:hAnsi="Times New Roman"/>
        </w:rPr>
        <w:t xml:space="preserve">consider </w:t>
      </w:r>
      <w:r w:rsidR="00D776A3" w:rsidRPr="00191C99">
        <w:rPr>
          <w:rFonts w:ascii="Times New Roman" w:hAnsi="Times New Roman"/>
        </w:rPr>
        <w:t xml:space="preserve">whether or not to </w:t>
      </w:r>
      <w:r w:rsidRPr="00191C99">
        <w:rPr>
          <w:rFonts w:ascii="Times New Roman" w:hAnsi="Times New Roman"/>
        </w:rPr>
        <w:t xml:space="preserve">exercise </w:t>
      </w:r>
      <w:r w:rsidR="00D776A3" w:rsidRPr="00191C99">
        <w:rPr>
          <w:rFonts w:ascii="Times New Roman" w:hAnsi="Times New Roman"/>
        </w:rPr>
        <w:t xml:space="preserve">the </w:t>
      </w:r>
      <w:r w:rsidRPr="00191C99">
        <w:rPr>
          <w:rFonts w:ascii="Times New Roman" w:hAnsi="Times New Roman"/>
        </w:rPr>
        <w:t>power under s 195A</w:t>
      </w:r>
      <w:r w:rsidR="003C3680" w:rsidRPr="00191C99">
        <w:rPr>
          <w:rFonts w:ascii="Times New Roman" w:hAnsi="Times New Roman"/>
        </w:rPr>
        <w:t xml:space="preserve"> at the conclusion of the proceeding</w:t>
      </w:r>
      <w:r w:rsidRPr="00191C99">
        <w:rPr>
          <w:rFonts w:ascii="Times New Roman" w:hAnsi="Times New Roman"/>
        </w:rPr>
        <w:t>.</w:t>
      </w:r>
    </w:p>
    <w:p w14:paraId="5695B97F" w14:textId="28780133" w:rsidR="001C2DCD" w:rsidRPr="00191C99" w:rsidRDefault="00D43384" w:rsidP="00191C99">
      <w:pPr>
        <w:pStyle w:val="HeadingL1"/>
        <w:spacing w:after="260" w:line="280" w:lineRule="exact"/>
        <w:ind w:right="0"/>
        <w:jc w:val="both"/>
        <w:rPr>
          <w:rFonts w:ascii="Times New Roman" w:hAnsi="Times New Roman"/>
        </w:rPr>
      </w:pPr>
      <w:r w:rsidRPr="00191C99">
        <w:rPr>
          <w:rFonts w:ascii="Times New Roman" w:hAnsi="Times New Roman"/>
        </w:rPr>
        <w:t>Section</w:t>
      </w:r>
      <w:r w:rsidR="00AD1561" w:rsidRPr="00191C99">
        <w:rPr>
          <w:rFonts w:ascii="Times New Roman" w:hAnsi="Times New Roman"/>
        </w:rPr>
        <w:t> </w:t>
      </w:r>
      <w:r w:rsidR="00023EE4" w:rsidRPr="00191C99">
        <w:rPr>
          <w:rFonts w:ascii="Times New Roman" w:hAnsi="Times New Roman"/>
        </w:rPr>
        <w:t xml:space="preserve">198(6) </w:t>
      </w:r>
      <w:r w:rsidRPr="00191C99">
        <w:rPr>
          <w:rFonts w:ascii="Times New Roman" w:hAnsi="Times New Roman"/>
        </w:rPr>
        <w:t xml:space="preserve">to be construed </w:t>
      </w:r>
      <w:r w:rsidR="00740F21" w:rsidRPr="00191C99">
        <w:rPr>
          <w:rFonts w:ascii="Times New Roman" w:hAnsi="Times New Roman"/>
        </w:rPr>
        <w:t xml:space="preserve">to </w:t>
      </w:r>
      <w:r w:rsidRPr="00191C99">
        <w:rPr>
          <w:rFonts w:ascii="Times New Roman" w:hAnsi="Times New Roman"/>
        </w:rPr>
        <w:t>accommodat</w:t>
      </w:r>
      <w:r w:rsidR="00740F21" w:rsidRPr="00191C99">
        <w:rPr>
          <w:rFonts w:ascii="Times New Roman" w:hAnsi="Times New Roman"/>
        </w:rPr>
        <w:t xml:space="preserve">e </w:t>
      </w:r>
      <w:r w:rsidRPr="00191C99">
        <w:rPr>
          <w:rFonts w:ascii="Times New Roman" w:hAnsi="Times New Roman"/>
        </w:rPr>
        <w:t xml:space="preserve">interlocutory injunction </w:t>
      </w:r>
    </w:p>
    <w:p w14:paraId="623A3D3D" w14:textId="1F03F230" w:rsidR="00510E7A" w:rsidRPr="00191C99" w:rsidRDefault="00023EE4"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5B4D18" w:rsidRPr="00191C99">
        <w:rPr>
          <w:rFonts w:ascii="Times New Roman" w:hAnsi="Times New Roman"/>
        </w:rPr>
        <w:t xml:space="preserve">Section 198(6) of the </w:t>
      </w:r>
      <w:r w:rsidR="005B4D18" w:rsidRPr="00191C99">
        <w:rPr>
          <w:rFonts w:ascii="Times New Roman" w:hAnsi="Times New Roman"/>
          <w:i/>
          <w:iCs/>
        </w:rPr>
        <w:t>Migration Act</w:t>
      </w:r>
      <w:r w:rsidR="005B4D18" w:rsidRPr="00191C99">
        <w:rPr>
          <w:rFonts w:ascii="Times New Roman" w:hAnsi="Times New Roman"/>
        </w:rPr>
        <w:t xml:space="preserve"> is to be construed </w:t>
      </w:r>
      <w:r w:rsidR="00E41DE7" w:rsidRPr="00191C99">
        <w:rPr>
          <w:rFonts w:ascii="Times New Roman" w:hAnsi="Times New Roman"/>
        </w:rPr>
        <w:t>"by reference to the language of the [Act] viewed as a whole"</w:t>
      </w:r>
      <w:r w:rsidR="00867AEF" w:rsidRPr="00191C99">
        <w:rPr>
          <w:rFonts w:ascii="Times New Roman" w:hAnsi="Times New Roman"/>
        </w:rPr>
        <w:t>,</w:t>
      </w:r>
      <w:r w:rsidR="00E41DE7" w:rsidRPr="00191C99">
        <w:rPr>
          <w:rStyle w:val="FootnoteReference"/>
          <w:rFonts w:ascii="Times New Roman" w:hAnsi="Times New Roman"/>
          <w:sz w:val="24"/>
        </w:rPr>
        <w:footnoteReference w:id="60"/>
      </w:r>
      <w:r w:rsidR="008707A9" w:rsidRPr="00191C99">
        <w:rPr>
          <w:rFonts w:ascii="Times New Roman" w:hAnsi="Times New Roman"/>
        </w:rPr>
        <w:t xml:space="preserve"> </w:t>
      </w:r>
      <w:r w:rsidR="006944EE" w:rsidRPr="00191C99">
        <w:rPr>
          <w:rFonts w:ascii="Times New Roman" w:hAnsi="Times New Roman"/>
        </w:rPr>
        <w:t>and "so that it is consistent with the language and purpose of all the provisions of the" Act.</w:t>
      </w:r>
      <w:r w:rsidR="006944EE" w:rsidRPr="00191C99">
        <w:rPr>
          <w:rStyle w:val="FootnoteReference"/>
          <w:rFonts w:ascii="Times New Roman" w:hAnsi="Times New Roman"/>
          <w:sz w:val="24"/>
        </w:rPr>
        <w:footnoteReference w:id="61"/>
      </w:r>
      <w:r w:rsidR="00DC2F32" w:rsidRPr="00191C99">
        <w:rPr>
          <w:rFonts w:ascii="Times New Roman" w:hAnsi="Times New Roman"/>
        </w:rPr>
        <w:t xml:space="preserve"> </w:t>
      </w:r>
      <w:r w:rsidR="00AD02A0" w:rsidRPr="00191C99">
        <w:rPr>
          <w:rFonts w:ascii="Times New Roman" w:hAnsi="Times New Roman"/>
        </w:rPr>
        <w:t xml:space="preserve">The </w:t>
      </w:r>
      <w:r w:rsidR="00AD02A0" w:rsidRPr="00191C99">
        <w:rPr>
          <w:rFonts w:ascii="Times New Roman" w:hAnsi="Times New Roman"/>
          <w:i/>
          <w:iCs/>
        </w:rPr>
        <w:t>Migration Act</w:t>
      </w:r>
      <w:r w:rsidR="00AD02A0" w:rsidRPr="00191C99">
        <w:rPr>
          <w:rFonts w:ascii="Times New Roman" w:hAnsi="Times New Roman"/>
        </w:rPr>
        <w:t xml:space="preserve"> is also to be construed "on the prima facie basis </w:t>
      </w:r>
      <w:r w:rsidR="003E2F2D" w:rsidRPr="00191C99">
        <w:rPr>
          <w:rFonts w:ascii="Times New Roman" w:hAnsi="Times New Roman"/>
        </w:rPr>
        <w:t>that its provisions are intended to give effect to harmonious goals"</w:t>
      </w:r>
      <w:r w:rsidR="003E0211" w:rsidRPr="00191C99">
        <w:rPr>
          <w:rFonts w:ascii="Times New Roman" w:hAnsi="Times New Roman"/>
        </w:rPr>
        <w:t xml:space="preserve">, </w:t>
      </w:r>
      <w:r w:rsidR="003E2F2D" w:rsidRPr="00191C99">
        <w:rPr>
          <w:rFonts w:ascii="Times New Roman" w:hAnsi="Times New Roman"/>
        </w:rPr>
        <w:t xml:space="preserve">so that "[w]here conflict appears to arise from the </w:t>
      </w:r>
      <w:r w:rsidR="003E2F2D" w:rsidRPr="00191C99">
        <w:rPr>
          <w:rFonts w:ascii="Times New Roman" w:hAnsi="Times New Roman"/>
        </w:rPr>
        <w:lastRenderedPageBreak/>
        <w:t>language of particular provisions, the conflict must be alleviated, so far as possible, by adjusting the meaning of the competing provisions to achieve that result which will best give effect to the purpose and language of those</w:t>
      </w:r>
      <w:r w:rsidR="00437EB3" w:rsidRPr="00191C99">
        <w:rPr>
          <w:rFonts w:ascii="Times New Roman" w:hAnsi="Times New Roman"/>
        </w:rPr>
        <w:t xml:space="preserve"> </w:t>
      </w:r>
      <w:r w:rsidR="003E2F2D" w:rsidRPr="00191C99">
        <w:rPr>
          <w:rFonts w:ascii="Times New Roman" w:hAnsi="Times New Roman"/>
        </w:rPr>
        <w:t>provisions while maintaining the unity of all the statutory pro</w:t>
      </w:r>
      <w:r w:rsidR="00437EB3" w:rsidRPr="00191C99">
        <w:rPr>
          <w:rFonts w:ascii="Times New Roman" w:hAnsi="Times New Roman"/>
        </w:rPr>
        <w:t>visions"</w:t>
      </w:r>
      <w:r w:rsidR="003E0211" w:rsidRPr="00191C99">
        <w:rPr>
          <w:rFonts w:ascii="Times New Roman" w:hAnsi="Times New Roman"/>
        </w:rPr>
        <w:t>,</w:t>
      </w:r>
      <w:r w:rsidR="00437EB3" w:rsidRPr="00191C99">
        <w:rPr>
          <w:rStyle w:val="FootnoteReference"/>
          <w:rFonts w:ascii="Times New Roman" w:hAnsi="Times New Roman"/>
          <w:sz w:val="24"/>
        </w:rPr>
        <w:footnoteReference w:id="62"/>
      </w:r>
      <w:r w:rsidR="004B6A0A" w:rsidRPr="00191C99">
        <w:rPr>
          <w:rFonts w:ascii="Times New Roman" w:hAnsi="Times New Roman"/>
        </w:rPr>
        <w:t xml:space="preserve"> </w:t>
      </w:r>
      <w:r w:rsidR="003E0211" w:rsidRPr="00191C99">
        <w:rPr>
          <w:rFonts w:ascii="Times New Roman" w:hAnsi="Times New Roman"/>
        </w:rPr>
        <w:t xml:space="preserve">and </w:t>
      </w:r>
      <w:r w:rsidR="00EC72CE" w:rsidRPr="00191C99">
        <w:rPr>
          <w:rFonts w:ascii="Times New Roman" w:hAnsi="Times New Roman"/>
        </w:rPr>
        <w:t>"</w:t>
      </w:r>
      <w:r w:rsidR="003E0211" w:rsidRPr="00191C99">
        <w:rPr>
          <w:rFonts w:ascii="Times New Roman" w:hAnsi="Times New Roman"/>
        </w:rPr>
        <w:t xml:space="preserve">so far </w:t>
      </w:r>
      <w:r w:rsidR="005A7D6C" w:rsidRPr="00191C99">
        <w:rPr>
          <w:rFonts w:ascii="Times New Roman" w:hAnsi="Times New Roman"/>
        </w:rPr>
        <w:t xml:space="preserve">as </w:t>
      </w:r>
      <w:r w:rsidR="00EC72CE" w:rsidRPr="00191C99">
        <w:rPr>
          <w:rFonts w:ascii="Times New Roman" w:hAnsi="Times New Roman"/>
        </w:rPr>
        <w:t>possible to operate in harmony and not in conflict" with other legislation enacted by the Commonwealth Parliament.</w:t>
      </w:r>
      <w:r w:rsidR="00EC72CE" w:rsidRPr="00191C99">
        <w:rPr>
          <w:rStyle w:val="FootnoteReference"/>
          <w:rFonts w:ascii="Times New Roman" w:hAnsi="Times New Roman"/>
          <w:sz w:val="24"/>
        </w:rPr>
        <w:footnoteReference w:id="63"/>
      </w:r>
    </w:p>
    <w:p w14:paraId="544A5322" w14:textId="5663370A" w:rsidR="008707A9" w:rsidRPr="00191C99" w:rsidRDefault="00510E7A"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A8041F" w:rsidRPr="00191C99">
        <w:rPr>
          <w:rFonts w:ascii="Times New Roman" w:hAnsi="Times New Roman"/>
        </w:rPr>
        <w:t xml:space="preserve">The provisions of the </w:t>
      </w:r>
      <w:r w:rsidR="00A8041F" w:rsidRPr="00191C99">
        <w:rPr>
          <w:rFonts w:ascii="Times New Roman" w:hAnsi="Times New Roman"/>
          <w:i/>
          <w:iCs/>
        </w:rPr>
        <w:t>Migration Act</w:t>
      </w:r>
      <w:r w:rsidR="00A8041F" w:rsidRPr="00191C99">
        <w:rPr>
          <w:rFonts w:ascii="Times New Roman" w:hAnsi="Times New Roman"/>
        </w:rPr>
        <w:t xml:space="preserve"> with which the power and the duty in s 198(6) must be harmonised</w:t>
      </w:r>
      <w:r w:rsidR="003D0E14" w:rsidRPr="00191C99">
        <w:rPr>
          <w:rFonts w:ascii="Times New Roman" w:hAnsi="Times New Roman"/>
        </w:rPr>
        <w:t xml:space="preserve"> </w:t>
      </w:r>
      <w:proofErr w:type="spellStart"/>
      <w:r w:rsidR="00A8041F" w:rsidRPr="00191C99">
        <w:rPr>
          <w:rFonts w:ascii="Times New Roman" w:hAnsi="Times New Roman"/>
        </w:rPr>
        <w:t>include s</w:t>
      </w:r>
      <w:proofErr w:type="spellEnd"/>
      <w:r w:rsidR="00A8041F" w:rsidRPr="00191C99">
        <w:rPr>
          <w:rFonts w:ascii="Times New Roman" w:hAnsi="Times New Roman"/>
        </w:rPr>
        <w:t> 195A</w:t>
      </w:r>
      <w:r w:rsidR="004C5D6E" w:rsidRPr="00191C99">
        <w:rPr>
          <w:rFonts w:ascii="Times New Roman" w:hAnsi="Times New Roman"/>
        </w:rPr>
        <w:t xml:space="preserve"> and the other personal and non-compellable powers of the Minister</w:t>
      </w:r>
      <w:r w:rsidR="003D3DE7" w:rsidRPr="00191C99">
        <w:rPr>
          <w:rFonts w:ascii="Times New Roman" w:hAnsi="Times New Roman"/>
        </w:rPr>
        <w:t xml:space="preserve"> enabling the Minister, </w:t>
      </w:r>
      <w:r w:rsidR="0018696C" w:rsidRPr="00191C99">
        <w:rPr>
          <w:rFonts w:ascii="Times New Roman" w:hAnsi="Times New Roman"/>
        </w:rPr>
        <w:t xml:space="preserve">if satisfied that it is </w:t>
      </w:r>
      <w:r w:rsidR="003D3DE7" w:rsidRPr="00191C99">
        <w:rPr>
          <w:rFonts w:ascii="Times New Roman" w:hAnsi="Times New Roman"/>
        </w:rPr>
        <w:t>in the public interest, to grant a visa</w:t>
      </w:r>
      <w:r w:rsidR="005F5815" w:rsidRPr="00191C99">
        <w:rPr>
          <w:rFonts w:ascii="Times New Roman" w:hAnsi="Times New Roman"/>
        </w:rPr>
        <w:t>, to</w:t>
      </w:r>
      <w:r w:rsidR="00B71F08" w:rsidRPr="00191C99">
        <w:rPr>
          <w:rFonts w:ascii="Times New Roman" w:hAnsi="Times New Roman"/>
        </w:rPr>
        <w:t xml:space="preserve"> otherwise</w:t>
      </w:r>
      <w:r w:rsidR="005F5815" w:rsidRPr="00191C99">
        <w:rPr>
          <w:rFonts w:ascii="Times New Roman" w:hAnsi="Times New Roman"/>
        </w:rPr>
        <w:t xml:space="preserve"> substitute for a decision of the relevant tribunal a decision that is more favourable to the applicant</w:t>
      </w:r>
      <w:r w:rsidR="00A72F13" w:rsidRPr="00191C99">
        <w:rPr>
          <w:rFonts w:ascii="Times New Roman" w:hAnsi="Times New Roman"/>
        </w:rPr>
        <w:t>,</w:t>
      </w:r>
      <w:r w:rsidR="003D3DE7" w:rsidRPr="00191C99">
        <w:rPr>
          <w:rFonts w:ascii="Times New Roman" w:hAnsi="Times New Roman"/>
        </w:rPr>
        <w:t xml:space="preserve"> or </w:t>
      </w:r>
      <w:r w:rsidR="0018696C" w:rsidRPr="00191C99">
        <w:rPr>
          <w:rFonts w:ascii="Times New Roman" w:hAnsi="Times New Roman"/>
        </w:rPr>
        <w:t xml:space="preserve">to enable an unlawful non-citizen to apply for the grant of </w:t>
      </w:r>
      <w:r w:rsidR="00195BD4" w:rsidRPr="00191C99">
        <w:rPr>
          <w:rFonts w:ascii="Times New Roman" w:hAnsi="Times New Roman"/>
        </w:rPr>
        <w:t xml:space="preserve">a </w:t>
      </w:r>
      <w:r w:rsidR="0018696C" w:rsidRPr="00191C99">
        <w:rPr>
          <w:rFonts w:ascii="Times New Roman" w:hAnsi="Times New Roman"/>
        </w:rPr>
        <w:t>visa</w:t>
      </w:r>
      <w:r w:rsidR="004C5D6E" w:rsidRPr="00191C99">
        <w:rPr>
          <w:rFonts w:ascii="Times New Roman" w:hAnsi="Times New Roman"/>
        </w:rPr>
        <w:t>.</w:t>
      </w:r>
    </w:p>
    <w:p w14:paraId="24759299" w14:textId="24B54940" w:rsidR="00A05FE2" w:rsidRPr="00191C99" w:rsidRDefault="004C5D6E"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A05FE2" w:rsidRPr="00191C99">
        <w:rPr>
          <w:rFonts w:ascii="Times New Roman" w:hAnsi="Times New Roman"/>
        </w:rPr>
        <w:t xml:space="preserve">It may be accepted that the core meaning of the qualification on the power and duty in s 198(6) ("as soon as reasonably practicable") is as </w:t>
      </w:r>
      <w:proofErr w:type="spellStart"/>
      <w:r w:rsidR="00A05FE2" w:rsidRPr="00191C99">
        <w:rPr>
          <w:rFonts w:ascii="Times New Roman" w:hAnsi="Times New Roman"/>
        </w:rPr>
        <w:t>Gummow</w:t>
      </w:r>
      <w:proofErr w:type="spellEnd"/>
      <w:r w:rsidR="00A05FE2" w:rsidRPr="00191C99">
        <w:rPr>
          <w:rFonts w:ascii="Times New Roman" w:hAnsi="Times New Roman"/>
        </w:rPr>
        <w:t xml:space="preserve"> J described in </w:t>
      </w:r>
      <w:r w:rsidR="00A05FE2" w:rsidRPr="00191C99">
        <w:rPr>
          <w:rFonts w:ascii="Times New Roman" w:hAnsi="Times New Roman"/>
          <w:i/>
          <w:iCs/>
        </w:rPr>
        <w:t>Al-</w:t>
      </w:r>
      <w:proofErr w:type="spellStart"/>
      <w:r w:rsidR="00A05FE2" w:rsidRPr="00191C99">
        <w:rPr>
          <w:rFonts w:ascii="Times New Roman" w:hAnsi="Times New Roman"/>
          <w:i/>
          <w:iCs/>
        </w:rPr>
        <w:t>Kateb</w:t>
      </w:r>
      <w:proofErr w:type="spellEnd"/>
      <w:r w:rsidR="00A05FE2" w:rsidRPr="00191C99">
        <w:rPr>
          <w:rFonts w:ascii="Times New Roman" w:hAnsi="Times New Roman"/>
          <w:i/>
          <w:iCs/>
        </w:rPr>
        <w:t xml:space="preserve"> v Godwin. </w:t>
      </w:r>
      <w:r w:rsidR="00A05FE2" w:rsidRPr="00191C99">
        <w:rPr>
          <w:rFonts w:ascii="Times New Roman" w:hAnsi="Times New Roman"/>
        </w:rPr>
        <w:t xml:space="preserve">That is, s 198(6) involves a </w:t>
      </w:r>
      <w:r w:rsidR="00B04DC1" w:rsidRPr="00191C99">
        <w:rPr>
          <w:rFonts w:ascii="Times New Roman" w:hAnsi="Times New Roman"/>
        </w:rPr>
        <w:t>"</w:t>
      </w:r>
      <w:r w:rsidR="00A05FE2" w:rsidRPr="00191C99">
        <w:rPr>
          <w:rFonts w:ascii="Times New Roman" w:hAnsi="Times New Roman"/>
        </w:rPr>
        <w:t>temporal element</w:t>
      </w:r>
      <w:r w:rsidR="00B04DC1" w:rsidRPr="00191C99">
        <w:rPr>
          <w:rFonts w:ascii="Times New Roman" w:hAnsi="Times New Roman"/>
        </w:rPr>
        <w:t>, supplied by the phrase '</w:t>
      </w:r>
      <w:r w:rsidR="00A05FE2" w:rsidRPr="00191C99">
        <w:rPr>
          <w:rFonts w:ascii="Times New Roman" w:hAnsi="Times New Roman"/>
        </w:rPr>
        <w:t>as soon as</w:t>
      </w:r>
      <w:r w:rsidR="00B04DC1" w:rsidRPr="00191C99">
        <w:rPr>
          <w:rFonts w:ascii="Times New Roman" w:hAnsi="Times New Roman"/>
        </w:rPr>
        <w:t>'</w:t>
      </w:r>
      <w:r w:rsidR="004E43EE" w:rsidRPr="00191C99">
        <w:rPr>
          <w:rFonts w:ascii="Times New Roman" w:hAnsi="Times New Roman"/>
        </w:rPr>
        <w:t>"</w:t>
      </w:r>
      <w:r w:rsidR="00A05FE2" w:rsidRPr="00191C99">
        <w:rPr>
          <w:rFonts w:ascii="Times New Roman" w:hAnsi="Times New Roman"/>
        </w:rPr>
        <w:t xml:space="preserve"> and a substantive element conveyed by the </w:t>
      </w:r>
      <w:r w:rsidR="00E85F07" w:rsidRPr="00191C99">
        <w:rPr>
          <w:rFonts w:ascii="Times New Roman" w:hAnsi="Times New Roman"/>
        </w:rPr>
        <w:t xml:space="preserve">term </w:t>
      </w:r>
      <w:r w:rsidR="00A05FE2" w:rsidRPr="00191C99">
        <w:rPr>
          <w:rFonts w:ascii="Times New Roman" w:hAnsi="Times New Roman"/>
        </w:rPr>
        <w:t>"practicable" meaning "that which is able to be put into practice and which can be effected or accomplished"</w:t>
      </w:r>
      <w:r w:rsidR="00B27BFB" w:rsidRPr="00191C99">
        <w:rPr>
          <w:rFonts w:ascii="Times New Roman" w:hAnsi="Times New Roman"/>
        </w:rPr>
        <w:t xml:space="preserve"> (which is qualified by "reasonably")</w:t>
      </w:r>
      <w:r w:rsidR="00F97C74" w:rsidRPr="00191C99">
        <w:rPr>
          <w:rFonts w:ascii="Times New Roman" w:hAnsi="Times New Roman"/>
        </w:rPr>
        <w:t>.</w:t>
      </w:r>
      <w:r w:rsidR="00A05FE2" w:rsidRPr="00191C99">
        <w:rPr>
          <w:rStyle w:val="FootnoteReference"/>
          <w:rFonts w:ascii="Times New Roman" w:hAnsi="Times New Roman"/>
          <w:sz w:val="24"/>
        </w:rPr>
        <w:footnoteReference w:id="64"/>
      </w:r>
      <w:r w:rsidR="00A05FE2" w:rsidRPr="00191C99">
        <w:rPr>
          <w:rFonts w:ascii="Times New Roman" w:hAnsi="Times New Roman"/>
        </w:rPr>
        <w:t xml:space="preserve"> </w:t>
      </w:r>
      <w:r w:rsidR="00A373CB" w:rsidRPr="00191C99">
        <w:rPr>
          <w:rFonts w:ascii="Times New Roman" w:hAnsi="Times New Roman"/>
        </w:rPr>
        <w:t xml:space="preserve">Another formulation which </w:t>
      </w:r>
      <w:r w:rsidR="00D725E1" w:rsidRPr="00191C99">
        <w:rPr>
          <w:rFonts w:ascii="Times New Roman" w:hAnsi="Times New Roman"/>
        </w:rPr>
        <w:t>has</w:t>
      </w:r>
      <w:r w:rsidR="00A373CB" w:rsidRPr="00191C99">
        <w:rPr>
          <w:rFonts w:ascii="Times New Roman" w:hAnsi="Times New Roman"/>
        </w:rPr>
        <w:t xml:space="preserve"> been adopted is </w:t>
      </w:r>
      <w:r w:rsidR="008C6884" w:rsidRPr="00191C99">
        <w:rPr>
          <w:rFonts w:ascii="Times New Roman" w:hAnsi="Times New Roman"/>
        </w:rPr>
        <w:t xml:space="preserve">that "reasonably practicable" involves the question </w:t>
      </w:r>
      <w:r w:rsidR="00A373CB" w:rsidRPr="00191C99">
        <w:rPr>
          <w:rFonts w:ascii="Times New Roman" w:hAnsi="Times New Roman"/>
        </w:rPr>
        <w:t>"</w:t>
      </w:r>
      <w:r w:rsidR="00D725E1" w:rsidRPr="00191C99">
        <w:rPr>
          <w:rFonts w:ascii="Times New Roman" w:hAnsi="Times New Roman"/>
        </w:rPr>
        <w:t>whether the removal is possible from the officer</w:t>
      </w:r>
      <w:r w:rsidR="004B29CE" w:rsidRPr="00191C99">
        <w:rPr>
          <w:rFonts w:ascii="Times New Roman" w:hAnsi="Times New Roman"/>
        </w:rPr>
        <w:t>'</w:t>
      </w:r>
      <w:r w:rsidR="00D725E1" w:rsidRPr="00191C99">
        <w:rPr>
          <w:rFonts w:ascii="Times New Roman" w:hAnsi="Times New Roman"/>
        </w:rPr>
        <w:t>s viewpoint"</w:t>
      </w:r>
      <w:r w:rsidR="00756A7B" w:rsidRPr="00191C99">
        <w:rPr>
          <w:rFonts w:ascii="Times New Roman" w:hAnsi="Times New Roman"/>
        </w:rPr>
        <w:t>.</w:t>
      </w:r>
      <w:r w:rsidR="00D725E1" w:rsidRPr="00191C99">
        <w:rPr>
          <w:rStyle w:val="FootnoteReference"/>
          <w:rFonts w:ascii="Times New Roman" w:hAnsi="Times New Roman"/>
          <w:sz w:val="24"/>
        </w:rPr>
        <w:footnoteReference w:id="65"/>
      </w:r>
      <w:r w:rsidR="00D725E1" w:rsidRPr="00191C99">
        <w:rPr>
          <w:rFonts w:ascii="Times New Roman" w:hAnsi="Times New Roman"/>
        </w:rPr>
        <w:t xml:space="preserve"> </w:t>
      </w:r>
      <w:r w:rsidR="00444A63" w:rsidRPr="00191C99">
        <w:rPr>
          <w:rFonts w:ascii="Times New Roman" w:hAnsi="Times New Roman"/>
        </w:rPr>
        <w:t>These observations do not suggest</w:t>
      </w:r>
      <w:r w:rsidR="008C6884" w:rsidRPr="00191C99">
        <w:rPr>
          <w:rFonts w:ascii="Times New Roman" w:hAnsi="Times New Roman"/>
        </w:rPr>
        <w:t>, however,</w:t>
      </w:r>
      <w:r w:rsidR="00444A63" w:rsidRPr="00191C99">
        <w:rPr>
          <w:rFonts w:ascii="Times New Roman" w:hAnsi="Times New Roman"/>
        </w:rPr>
        <w:t xml:space="preserve"> that the concept of "reasonable practicability" is </w:t>
      </w:r>
      <w:r w:rsidR="00825109" w:rsidRPr="00191C99">
        <w:rPr>
          <w:rFonts w:ascii="Times New Roman" w:hAnsi="Times New Roman"/>
        </w:rPr>
        <w:t>confined</w:t>
      </w:r>
      <w:r w:rsidR="00444A63" w:rsidRPr="00191C99">
        <w:rPr>
          <w:rFonts w:ascii="Times New Roman" w:hAnsi="Times New Roman"/>
        </w:rPr>
        <w:t xml:space="preserve"> to "physic</w:t>
      </w:r>
      <w:r w:rsidR="00825109" w:rsidRPr="00191C99">
        <w:rPr>
          <w:rFonts w:ascii="Times New Roman" w:hAnsi="Times New Roman"/>
        </w:rPr>
        <w:t>al possib</w:t>
      </w:r>
      <w:r w:rsidR="008C6884" w:rsidRPr="00191C99">
        <w:rPr>
          <w:rFonts w:ascii="Times New Roman" w:hAnsi="Times New Roman"/>
        </w:rPr>
        <w:t>ility</w:t>
      </w:r>
      <w:r w:rsidR="00825109" w:rsidRPr="00191C99">
        <w:rPr>
          <w:rFonts w:ascii="Times New Roman" w:hAnsi="Times New Roman"/>
        </w:rPr>
        <w:t>"</w:t>
      </w:r>
      <w:r w:rsidR="007A13D9" w:rsidRPr="00191C99">
        <w:rPr>
          <w:rFonts w:ascii="Times New Roman" w:hAnsi="Times New Roman"/>
        </w:rPr>
        <w:t>.</w:t>
      </w:r>
      <w:r w:rsidR="00825109" w:rsidRPr="00191C99">
        <w:rPr>
          <w:rFonts w:ascii="Times New Roman" w:hAnsi="Times New Roman"/>
        </w:rPr>
        <w:t xml:space="preserve"> I</w:t>
      </w:r>
      <w:r w:rsidR="00F7070D" w:rsidRPr="00191C99">
        <w:rPr>
          <w:rFonts w:ascii="Times New Roman" w:hAnsi="Times New Roman"/>
        </w:rPr>
        <w:t>ndeed, i</w:t>
      </w:r>
      <w:r w:rsidR="00825109" w:rsidRPr="00191C99">
        <w:rPr>
          <w:rFonts w:ascii="Times New Roman" w:hAnsi="Times New Roman"/>
        </w:rPr>
        <w:t xml:space="preserve">t would be </w:t>
      </w:r>
      <w:r w:rsidR="009B46E2" w:rsidRPr="00191C99">
        <w:rPr>
          <w:rFonts w:ascii="Times New Roman" w:hAnsi="Times New Roman"/>
        </w:rPr>
        <w:t xml:space="preserve">more than odd to construe </w:t>
      </w:r>
      <w:r w:rsidR="00B6561F" w:rsidRPr="00191C99">
        <w:rPr>
          <w:rFonts w:ascii="Times New Roman" w:hAnsi="Times New Roman"/>
        </w:rPr>
        <w:t xml:space="preserve">a statutory provision as contemplating that, from the perspective of an officer, it is </w:t>
      </w:r>
      <w:r w:rsidR="00BB0F99" w:rsidRPr="00191C99">
        <w:rPr>
          <w:rFonts w:ascii="Times New Roman" w:hAnsi="Times New Roman"/>
        </w:rPr>
        <w:t>"reasonabl</w:t>
      </w:r>
      <w:r w:rsidR="008F6A50" w:rsidRPr="00191C99">
        <w:rPr>
          <w:rFonts w:ascii="Times New Roman" w:hAnsi="Times New Roman"/>
        </w:rPr>
        <w:t>y</w:t>
      </w:r>
      <w:r w:rsidR="00BB0F99" w:rsidRPr="00191C99">
        <w:rPr>
          <w:rFonts w:ascii="Times New Roman" w:hAnsi="Times New Roman"/>
        </w:rPr>
        <w:t xml:space="preserve"> practicable" to remove a person from Australia if, by such removal, the officer would be </w:t>
      </w:r>
      <w:r w:rsidR="004A70EB" w:rsidRPr="00191C99">
        <w:rPr>
          <w:rFonts w:ascii="Times New Roman" w:hAnsi="Times New Roman"/>
        </w:rPr>
        <w:t>contravening an order of a court</w:t>
      </w:r>
      <w:r w:rsidR="00F7070D" w:rsidRPr="00191C99">
        <w:rPr>
          <w:rFonts w:ascii="Times New Roman" w:hAnsi="Times New Roman"/>
        </w:rPr>
        <w:t xml:space="preserve"> and exposing themselves to being found to be in contempt of court</w:t>
      </w:r>
      <w:r w:rsidR="004A70EB" w:rsidRPr="00191C99">
        <w:rPr>
          <w:rFonts w:ascii="Times New Roman" w:hAnsi="Times New Roman"/>
        </w:rPr>
        <w:t xml:space="preserve">. </w:t>
      </w:r>
      <w:r w:rsidR="00F7070D" w:rsidRPr="00191C99">
        <w:rPr>
          <w:rFonts w:ascii="Times New Roman" w:hAnsi="Times New Roman"/>
        </w:rPr>
        <w:t xml:space="preserve">Yet that </w:t>
      </w:r>
      <w:r w:rsidR="008F6A50" w:rsidRPr="00191C99">
        <w:rPr>
          <w:rFonts w:ascii="Times New Roman" w:hAnsi="Times New Roman"/>
        </w:rPr>
        <w:t xml:space="preserve">possible circumstance </w:t>
      </w:r>
      <w:r w:rsidR="00F7070D" w:rsidRPr="00191C99">
        <w:rPr>
          <w:rFonts w:ascii="Times New Roman" w:hAnsi="Times New Roman"/>
        </w:rPr>
        <w:t xml:space="preserve">is the </w:t>
      </w:r>
      <w:r w:rsidR="008F6A50" w:rsidRPr="00191C99">
        <w:rPr>
          <w:rFonts w:ascii="Times New Roman" w:hAnsi="Times New Roman"/>
        </w:rPr>
        <w:t xml:space="preserve">assumed foundation for the appellants </w:t>
      </w:r>
      <w:r w:rsidR="00CE1CC9" w:rsidRPr="00191C99">
        <w:rPr>
          <w:rFonts w:ascii="Times New Roman" w:hAnsi="Times New Roman"/>
        </w:rPr>
        <w:t xml:space="preserve">and the </w:t>
      </w:r>
      <w:r w:rsidR="00CE1CC9" w:rsidRPr="00191C99">
        <w:rPr>
          <w:rFonts w:ascii="Times New Roman" w:hAnsi="Times New Roman"/>
        </w:rPr>
        <w:lastRenderedPageBreak/>
        <w:t>Attorney</w:t>
      </w:r>
      <w:r w:rsidR="007F195A">
        <w:rPr>
          <w:rFonts w:ascii="Times New Roman" w:hAnsi="Times New Roman"/>
        </w:rPr>
        <w:noBreakHyphen/>
      </w:r>
      <w:r w:rsidR="00CE1CC9" w:rsidRPr="00191C99">
        <w:rPr>
          <w:rFonts w:ascii="Times New Roman" w:hAnsi="Times New Roman"/>
        </w:rPr>
        <w:t xml:space="preserve">General's </w:t>
      </w:r>
      <w:r w:rsidR="008F6A50" w:rsidRPr="00191C99">
        <w:rPr>
          <w:rFonts w:ascii="Times New Roman" w:hAnsi="Times New Roman"/>
        </w:rPr>
        <w:t xml:space="preserve">argument that the power of a court to make an interlocutory order to protect its own processes yields to the power and the duty of an officer to remove an unlawful non-citizen in s 198(6) of the </w:t>
      </w:r>
      <w:r w:rsidR="008F6A50" w:rsidRPr="00191C99">
        <w:rPr>
          <w:rFonts w:ascii="Times New Roman" w:hAnsi="Times New Roman"/>
          <w:i/>
          <w:iCs/>
        </w:rPr>
        <w:t>Migration Act</w:t>
      </w:r>
      <w:r w:rsidR="008F6A50" w:rsidRPr="00191C99">
        <w:rPr>
          <w:rFonts w:ascii="Times New Roman" w:hAnsi="Times New Roman"/>
        </w:rPr>
        <w:t xml:space="preserve">. </w:t>
      </w:r>
      <w:r w:rsidR="00A05FE2" w:rsidRPr="00191C99">
        <w:rPr>
          <w:rFonts w:ascii="Times New Roman" w:hAnsi="Times New Roman"/>
        </w:rPr>
        <w:t>T</w:t>
      </w:r>
      <w:r w:rsidR="009566E8" w:rsidRPr="00191C99">
        <w:rPr>
          <w:rFonts w:ascii="Times New Roman" w:hAnsi="Times New Roman"/>
        </w:rPr>
        <w:t>o the contrary, however, t</w:t>
      </w:r>
      <w:r w:rsidR="00A05FE2" w:rsidRPr="00191C99">
        <w:rPr>
          <w:rFonts w:ascii="Times New Roman" w:hAnsi="Times New Roman"/>
        </w:rPr>
        <w:t>h</w:t>
      </w:r>
      <w:r w:rsidR="00D43306" w:rsidRPr="00191C99">
        <w:rPr>
          <w:rFonts w:ascii="Times New Roman" w:hAnsi="Times New Roman"/>
        </w:rPr>
        <w:t>e very fact that</w:t>
      </w:r>
      <w:r w:rsidR="00A05FE2" w:rsidRPr="00191C99">
        <w:rPr>
          <w:rFonts w:ascii="Times New Roman" w:hAnsi="Times New Roman"/>
        </w:rPr>
        <w:t xml:space="preserve"> </w:t>
      </w:r>
      <w:r w:rsidR="00EC2245" w:rsidRPr="00191C99">
        <w:rPr>
          <w:rFonts w:ascii="Times New Roman" w:hAnsi="Times New Roman"/>
        </w:rPr>
        <w:t>such a</w:t>
      </w:r>
      <w:r w:rsidR="00A05FE2" w:rsidRPr="00191C99">
        <w:rPr>
          <w:rFonts w:ascii="Times New Roman" w:hAnsi="Times New Roman"/>
        </w:rPr>
        <w:t xml:space="preserve"> construction of s 198(6) would involve th</w:t>
      </w:r>
      <w:r w:rsidR="009566E8" w:rsidRPr="00191C99">
        <w:rPr>
          <w:rFonts w:ascii="Times New Roman" w:hAnsi="Times New Roman"/>
        </w:rPr>
        <w:t>is</w:t>
      </w:r>
      <w:r w:rsidR="00A05FE2" w:rsidRPr="00191C99">
        <w:rPr>
          <w:rFonts w:ascii="Times New Roman" w:hAnsi="Times New Roman"/>
        </w:rPr>
        <w:t xml:space="preserve"> conflict between</w:t>
      </w:r>
      <w:r w:rsidR="003D4797" w:rsidRPr="00191C99">
        <w:rPr>
          <w:rFonts w:ascii="Times New Roman" w:hAnsi="Times New Roman"/>
        </w:rPr>
        <w:t>, on the one hand,</w:t>
      </w:r>
      <w:r w:rsidR="00A05FE2" w:rsidRPr="00191C99">
        <w:rPr>
          <w:rFonts w:ascii="Times New Roman" w:hAnsi="Times New Roman"/>
        </w:rPr>
        <w:t xml:space="preserve"> the Federal Court exercising its power to </w:t>
      </w:r>
      <w:r w:rsidR="00DD6DC7" w:rsidRPr="00191C99">
        <w:rPr>
          <w:rFonts w:ascii="Times New Roman" w:hAnsi="Times New Roman"/>
        </w:rPr>
        <w:t xml:space="preserve">protect the integrity of its own processes by ensuring its capacity to effectively exercise its jurisdiction in a proceeding pending before it </w:t>
      </w:r>
      <w:r w:rsidR="00A05FE2" w:rsidRPr="00191C99">
        <w:rPr>
          <w:rFonts w:ascii="Times New Roman" w:hAnsi="Times New Roman"/>
        </w:rPr>
        <w:t>and</w:t>
      </w:r>
      <w:r w:rsidR="003D4797" w:rsidRPr="00191C99">
        <w:rPr>
          <w:rFonts w:ascii="Times New Roman" w:hAnsi="Times New Roman"/>
        </w:rPr>
        <w:t>, on the other hand,</w:t>
      </w:r>
      <w:r w:rsidR="00A05FE2" w:rsidRPr="00191C99">
        <w:rPr>
          <w:rFonts w:ascii="Times New Roman" w:hAnsi="Times New Roman"/>
        </w:rPr>
        <w:t xml:space="preserve"> an officer complying with the duty of removal in s 198(6) is itself a powerful indicator that the construction is wrong. </w:t>
      </w:r>
    </w:p>
    <w:p w14:paraId="7128B140" w14:textId="78352627" w:rsidR="00C72864" w:rsidRPr="00191C99" w:rsidRDefault="00A05FE2"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366BD6" w:rsidRPr="00191C99">
        <w:rPr>
          <w:rFonts w:ascii="Times New Roman" w:hAnsi="Times New Roman"/>
        </w:rPr>
        <w:t xml:space="preserve">The </w:t>
      </w:r>
      <w:r w:rsidRPr="00191C99">
        <w:rPr>
          <w:rFonts w:ascii="Times New Roman" w:hAnsi="Times New Roman"/>
        </w:rPr>
        <w:t xml:space="preserve">provisions of the </w:t>
      </w:r>
      <w:r w:rsidRPr="00191C99">
        <w:rPr>
          <w:rFonts w:ascii="Times New Roman" w:hAnsi="Times New Roman"/>
          <w:i/>
          <w:iCs/>
        </w:rPr>
        <w:t>Migration Act</w:t>
      </w:r>
      <w:r w:rsidRPr="00191C99">
        <w:rPr>
          <w:rFonts w:ascii="Times New Roman" w:hAnsi="Times New Roman"/>
        </w:rPr>
        <w:t xml:space="preserve"> recognise this Court, the Federal Court, and the Federal Circuit and Family Court of Australia (Division</w:t>
      </w:r>
      <w:r w:rsidR="008503B2" w:rsidRPr="00191C99">
        <w:rPr>
          <w:rFonts w:ascii="Times New Roman" w:hAnsi="Times New Roman"/>
        </w:rPr>
        <w:t> </w:t>
      </w:r>
      <w:r w:rsidRPr="00191C99">
        <w:rPr>
          <w:rFonts w:ascii="Times New Roman" w:hAnsi="Times New Roman"/>
        </w:rPr>
        <w:t xml:space="preserve">2) as </w:t>
      </w:r>
      <w:r w:rsidR="00812333" w:rsidRPr="00191C99">
        <w:rPr>
          <w:rFonts w:ascii="Times New Roman" w:hAnsi="Times New Roman"/>
        </w:rPr>
        <w:t xml:space="preserve">courts </w:t>
      </w:r>
      <w:r w:rsidRPr="00191C99">
        <w:rPr>
          <w:rFonts w:ascii="Times New Roman" w:hAnsi="Times New Roman"/>
        </w:rPr>
        <w:t>having jurisdiction as conferred by that Act and otherwise by s</w:t>
      </w:r>
      <w:r w:rsidR="00DD6DC7" w:rsidRPr="00191C99">
        <w:rPr>
          <w:rFonts w:ascii="Times New Roman" w:hAnsi="Times New Roman"/>
        </w:rPr>
        <w:t> </w:t>
      </w:r>
      <w:r w:rsidR="003A3971" w:rsidRPr="00191C99">
        <w:rPr>
          <w:rFonts w:ascii="Times New Roman" w:hAnsi="Times New Roman"/>
        </w:rPr>
        <w:t xml:space="preserve">75(v) of the </w:t>
      </w:r>
      <w:r w:rsidR="003A3971" w:rsidRPr="00191C99">
        <w:rPr>
          <w:rFonts w:ascii="Times New Roman" w:hAnsi="Times New Roman"/>
          <w:i/>
          <w:iCs/>
        </w:rPr>
        <w:t>Constitution</w:t>
      </w:r>
      <w:r w:rsidRPr="00191C99">
        <w:rPr>
          <w:rFonts w:ascii="Times New Roman" w:hAnsi="Times New Roman"/>
        </w:rPr>
        <w:t xml:space="preserve"> and </w:t>
      </w:r>
      <w:r w:rsidR="00264B8A" w:rsidRPr="00191C99">
        <w:rPr>
          <w:rFonts w:ascii="Times New Roman" w:hAnsi="Times New Roman"/>
        </w:rPr>
        <w:t>s</w:t>
      </w:r>
      <w:r w:rsidR="009A1A87" w:rsidRPr="00191C99">
        <w:rPr>
          <w:rFonts w:ascii="Times New Roman" w:hAnsi="Times New Roman"/>
        </w:rPr>
        <w:t> </w:t>
      </w:r>
      <w:r w:rsidRPr="00191C99">
        <w:rPr>
          <w:rFonts w:ascii="Times New Roman" w:hAnsi="Times New Roman"/>
        </w:rPr>
        <w:t xml:space="preserve">39B of the </w:t>
      </w:r>
      <w:r w:rsidRPr="00191C99">
        <w:rPr>
          <w:rFonts w:ascii="Times New Roman" w:hAnsi="Times New Roman"/>
          <w:i/>
          <w:iCs/>
        </w:rPr>
        <w:t>Judiciary Act 1903</w:t>
      </w:r>
      <w:r w:rsidRPr="00191C99">
        <w:rPr>
          <w:rFonts w:ascii="Times New Roman" w:hAnsi="Times New Roman"/>
        </w:rPr>
        <w:t xml:space="preserve"> (</w:t>
      </w:r>
      <w:proofErr w:type="spellStart"/>
      <w:r w:rsidRPr="00191C99">
        <w:rPr>
          <w:rFonts w:ascii="Times New Roman" w:hAnsi="Times New Roman"/>
        </w:rPr>
        <w:t>Cth</w:t>
      </w:r>
      <w:proofErr w:type="spellEnd"/>
      <w:r w:rsidRPr="00191C99">
        <w:rPr>
          <w:rFonts w:ascii="Times New Roman" w:hAnsi="Times New Roman"/>
        </w:rPr>
        <w:t>)</w:t>
      </w:r>
      <w:r w:rsidR="00AB59A6" w:rsidRPr="00191C99">
        <w:rPr>
          <w:rFonts w:ascii="Times New Roman" w:hAnsi="Times New Roman"/>
        </w:rPr>
        <w:t>.</w:t>
      </w:r>
      <w:r w:rsidRPr="00191C99">
        <w:rPr>
          <w:rStyle w:val="FootnoteReference"/>
          <w:rFonts w:ascii="Times New Roman" w:hAnsi="Times New Roman"/>
          <w:sz w:val="24"/>
        </w:rPr>
        <w:footnoteReference w:id="66"/>
      </w:r>
      <w:r w:rsidR="00F05E64" w:rsidRPr="00191C99">
        <w:rPr>
          <w:rFonts w:ascii="Times New Roman" w:hAnsi="Times New Roman"/>
        </w:rPr>
        <w:t xml:space="preserve"> </w:t>
      </w:r>
      <w:r w:rsidR="00CA10D4" w:rsidRPr="00191C99">
        <w:rPr>
          <w:rFonts w:ascii="Times New Roman" w:hAnsi="Times New Roman"/>
        </w:rPr>
        <w:t>T</w:t>
      </w:r>
      <w:r w:rsidRPr="00191C99">
        <w:rPr>
          <w:rFonts w:ascii="Times New Roman" w:hAnsi="Times New Roman"/>
        </w:rPr>
        <w:t>he High Court or a Justice "may at any time make such order as is necessary to effectuate the grant of original or appellate jurisdiction in the Court"</w:t>
      </w:r>
      <w:r w:rsidRPr="00191C99">
        <w:rPr>
          <w:rStyle w:val="FootnoteReference"/>
          <w:rFonts w:ascii="Times New Roman" w:hAnsi="Times New Roman"/>
          <w:sz w:val="24"/>
        </w:rPr>
        <w:footnoteReference w:id="67"/>
      </w:r>
      <w:r w:rsidRPr="00191C99">
        <w:rPr>
          <w:rFonts w:ascii="Times New Roman" w:hAnsi="Times New Roman"/>
        </w:rPr>
        <w:t xml:space="preserve"> and the Federal Court has power to make orders, including interlocutory orders, in relation to matters in which it has jurisdiction, as the Court thinks appropriate.</w:t>
      </w:r>
      <w:r w:rsidRPr="00191C99">
        <w:rPr>
          <w:rStyle w:val="FootnoteReference"/>
          <w:rFonts w:ascii="Times New Roman" w:hAnsi="Times New Roman"/>
          <w:sz w:val="24"/>
        </w:rPr>
        <w:footnoteReference w:id="68"/>
      </w:r>
      <w:r w:rsidRPr="00191C99">
        <w:rPr>
          <w:rFonts w:ascii="Times New Roman" w:hAnsi="Times New Roman"/>
        </w:rPr>
        <w:t xml:space="preserve"> By s 140 of the </w:t>
      </w:r>
      <w:r w:rsidRPr="00191C99">
        <w:rPr>
          <w:rFonts w:ascii="Times New Roman" w:hAnsi="Times New Roman"/>
          <w:i/>
          <w:iCs/>
        </w:rPr>
        <w:t>Federal Circuit and Family Court of Australia Act 2021</w:t>
      </w:r>
      <w:r w:rsidRPr="00191C99">
        <w:rPr>
          <w:rFonts w:ascii="Times New Roman" w:hAnsi="Times New Roman"/>
        </w:rPr>
        <w:t xml:space="preserve"> (</w:t>
      </w:r>
      <w:proofErr w:type="spellStart"/>
      <w:r w:rsidRPr="00191C99">
        <w:rPr>
          <w:rFonts w:ascii="Times New Roman" w:hAnsi="Times New Roman"/>
        </w:rPr>
        <w:t>Cth</w:t>
      </w:r>
      <w:proofErr w:type="spellEnd"/>
      <w:r w:rsidRPr="00191C99">
        <w:rPr>
          <w:rFonts w:ascii="Times New Roman" w:hAnsi="Times New Roman"/>
        </w:rPr>
        <w:t>) the Federal Circuit and Family Court of Australia (Division</w:t>
      </w:r>
      <w:r w:rsidR="00AD51FD" w:rsidRPr="00191C99">
        <w:rPr>
          <w:rFonts w:ascii="Times New Roman" w:hAnsi="Times New Roman"/>
        </w:rPr>
        <w:t> </w:t>
      </w:r>
      <w:r w:rsidRPr="00191C99">
        <w:rPr>
          <w:rFonts w:ascii="Times New Roman" w:hAnsi="Times New Roman"/>
        </w:rPr>
        <w:t>2) has power</w:t>
      </w:r>
      <w:r w:rsidR="00AD51FD" w:rsidRPr="00191C99">
        <w:rPr>
          <w:rFonts w:ascii="Times New Roman" w:hAnsi="Times New Roman"/>
        </w:rPr>
        <w:t>,</w:t>
      </w:r>
      <w:r w:rsidRPr="00191C99">
        <w:rPr>
          <w:rFonts w:ascii="Times New Roman" w:hAnsi="Times New Roman"/>
        </w:rPr>
        <w:t xml:space="preserve"> in relation to matters in which it has jurisdiction</w:t>
      </w:r>
      <w:r w:rsidR="00AD51FD" w:rsidRPr="00191C99">
        <w:rPr>
          <w:rFonts w:ascii="Times New Roman" w:hAnsi="Times New Roman"/>
        </w:rPr>
        <w:t>,</w:t>
      </w:r>
      <w:r w:rsidRPr="00191C99">
        <w:rPr>
          <w:rFonts w:ascii="Times New Roman" w:hAnsi="Times New Roman"/>
        </w:rPr>
        <w:t xml:space="preserve"> to "make orders of such kinds, including interlocutory orders, as the Court considers appropriate"</w:t>
      </w:r>
      <w:r w:rsidR="00121349" w:rsidRPr="00191C99">
        <w:rPr>
          <w:rFonts w:ascii="Times New Roman" w:hAnsi="Times New Roman"/>
        </w:rPr>
        <w:t>.</w:t>
      </w:r>
      <w:r w:rsidRPr="00191C99">
        <w:rPr>
          <w:rFonts w:ascii="Times New Roman" w:hAnsi="Times New Roman"/>
        </w:rPr>
        <w:t xml:space="preserve"> </w:t>
      </w:r>
      <w:r w:rsidR="003751B3" w:rsidRPr="00191C99">
        <w:rPr>
          <w:rFonts w:ascii="Times New Roman" w:hAnsi="Times New Roman"/>
        </w:rPr>
        <w:t>Therefore</w:t>
      </w:r>
      <w:r w:rsidRPr="00191C99">
        <w:rPr>
          <w:rFonts w:ascii="Times New Roman" w:hAnsi="Times New Roman"/>
        </w:rPr>
        <w:t>, the</w:t>
      </w:r>
      <w:r w:rsidR="00A82654" w:rsidRPr="00191C99">
        <w:rPr>
          <w:rFonts w:ascii="Times New Roman" w:hAnsi="Times New Roman"/>
        </w:rPr>
        <w:t xml:space="preserve">se </w:t>
      </w:r>
      <w:r w:rsidR="00972441" w:rsidRPr="00191C99">
        <w:rPr>
          <w:rFonts w:ascii="Times New Roman" w:hAnsi="Times New Roman"/>
        </w:rPr>
        <w:t>C</w:t>
      </w:r>
      <w:r w:rsidR="00A82654" w:rsidRPr="00191C99">
        <w:rPr>
          <w:rFonts w:ascii="Times New Roman" w:hAnsi="Times New Roman"/>
        </w:rPr>
        <w:t>ourts</w:t>
      </w:r>
      <w:r w:rsidRPr="00191C99">
        <w:rPr>
          <w:rFonts w:ascii="Times New Roman" w:hAnsi="Times New Roman"/>
        </w:rPr>
        <w:t xml:space="preserve"> </w:t>
      </w:r>
      <w:r w:rsidR="00A82654" w:rsidRPr="00191C99">
        <w:rPr>
          <w:rFonts w:ascii="Times New Roman" w:hAnsi="Times New Roman"/>
        </w:rPr>
        <w:t xml:space="preserve">each have </w:t>
      </w:r>
      <w:r w:rsidRPr="00191C99">
        <w:rPr>
          <w:rFonts w:ascii="Times New Roman" w:hAnsi="Times New Roman"/>
        </w:rPr>
        <w:t xml:space="preserve">power to grant an interlocutory injunction to </w:t>
      </w:r>
      <w:r w:rsidR="004502D8" w:rsidRPr="00191C99">
        <w:rPr>
          <w:rFonts w:ascii="Times New Roman" w:hAnsi="Times New Roman"/>
        </w:rPr>
        <w:t xml:space="preserve">make orders </w:t>
      </w:r>
      <w:r w:rsidR="00D810E7" w:rsidRPr="00191C99">
        <w:rPr>
          <w:rFonts w:ascii="Times New Roman" w:hAnsi="Times New Roman"/>
        </w:rPr>
        <w:t xml:space="preserve">to protect the integrity of their own processes by ensuring their capacity to effectively exercise their jurisdiction </w:t>
      </w:r>
      <w:r w:rsidR="00671163" w:rsidRPr="00191C99">
        <w:rPr>
          <w:rFonts w:ascii="Times New Roman" w:hAnsi="Times New Roman"/>
        </w:rPr>
        <w:t xml:space="preserve">in </w:t>
      </w:r>
      <w:r w:rsidR="00D810E7" w:rsidRPr="00191C99">
        <w:rPr>
          <w:rFonts w:ascii="Times New Roman" w:hAnsi="Times New Roman"/>
        </w:rPr>
        <w:t xml:space="preserve">a proceeding pending before </w:t>
      </w:r>
      <w:r w:rsidR="00D05718" w:rsidRPr="00191C99">
        <w:rPr>
          <w:rFonts w:ascii="Times New Roman" w:hAnsi="Times New Roman"/>
        </w:rPr>
        <w:t>them</w:t>
      </w:r>
      <w:r w:rsidR="004B524A" w:rsidRPr="00191C99">
        <w:rPr>
          <w:rFonts w:ascii="Times New Roman" w:hAnsi="Times New Roman"/>
        </w:rPr>
        <w:t>,</w:t>
      </w:r>
      <w:r w:rsidR="004502D8" w:rsidRPr="00191C99">
        <w:rPr>
          <w:rFonts w:ascii="Times New Roman" w:hAnsi="Times New Roman"/>
        </w:rPr>
        <w:t xml:space="preserve"> including orders to </w:t>
      </w:r>
      <w:r w:rsidRPr="00191C99">
        <w:rPr>
          <w:rFonts w:ascii="Times New Roman" w:hAnsi="Times New Roman"/>
        </w:rPr>
        <w:t xml:space="preserve">preserve the subject-matter of </w:t>
      </w:r>
      <w:r w:rsidR="004502D8" w:rsidRPr="00191C99">
        <w:rPr>
          <w:rFonts w:ascii="Times New Roman" w:hAnsi="Times New Roman"/>
        </w:rPr>
        <w:t xml:space="preserve">the </w:t>
      </w:r>
      <w:r w:rsidRPr="00191C99">
        <w:rPr>
          <w:rFonts w:ascii="Times New Roman" w:hAnsi="Times New Roman"/>
        </w:rPr>
        <w:t xml:space="preserve">proceeding </w:t>
      </w:r>
      <w:r w:rsidR="004502D8" w:rsidRPr="00191C99">
        <w:rPr>
          <w:rFonts w:ascii="Times New Roman" w:hAnsi="Times New Roman"/>
        </w:rPr>
        <w:t xml:space="preserve">and </w:t>
      </w:r>
      <w:r w:rsidRPr="00191C99">
        <w:rPr>
          <w:rFonts w:ascii="Times New Roman" w:hAnsi="Times New Roman"/>
        </w:rPr>
        <w:t>to prevent the determination of that proceeding being frustrated.</w:t>
      </w:r>
      <w:r w:rsidR="00F05E64" w:rsidRPr="00191C99">
        <w:rPr>
          <w:rFonts w:ascii="Times New Roman" w:hAnsi="Times New Roman"/>
        </w:rPr>
        <w:t xml:space="preserve"> </w:t>
      </w:r>
      <w:r w:rsidRPr="00191C99">
        <w:rPr>
          <w:rFonts w:ascii="Times New Roman" w:hAnsi="Times New Roman"/>
        </w:rPr>
        <w:t>Section 198(6)</w:t>
      </w:r>
      <w:r w:rsidR="004502D8" w:rsidRPr="00191C99">
        <w:rPr>
          <w:rFonts w:ascii="Times New Roman" w:hAnsi="Times New Roman"/>
        </w:rPr>
        <w:t xml:space="preserve"> of the </w:t>
      </w:r>
      <w:r w:rsidR="004502D8" w:rsidRPr="00191C99">
        <w:rPr>
          <w:rFonts w:ascii="Times New Roman" w:hAnsi="Times New Roman"/>
          <w:i/>
          <w:iCs/>
        </w:rPr>
        <w:t>Migration Act</w:t>
      </w:r>
      <w:r w:rsidRPr="00191C99">
        <w:rPr>
          <w:rFonts w:ascii="Times New Roman" w:hAnsi="Times New Roman"/>
        </w:rPr>
        <w:t xml:space="preserve">, accordingly, is to be construed in </w:t>
      </w:r>
      <w:r w:rsidR="00FB5DF6" w:rsidRPr="00191C99">
        <w:rPr>
          <w:rFonts w:ascii="Times New Roman" w:hAnsi="Times New Roman"/>
        </w:rPr>
        <w:t xml:space="preserve">this </w:t>
      </w:r>
      <w:r w:rsidRPr="00191C99">
        <w:rPr>
          <w:rFonts w:ascii="Times New Roman" w:hAnsi="Times New Roman"/>
        </w:rPr>
        <w:t>common law and statutory context</w:t>
      </w:r>
      <w:r w:rsidR="00FB5DF6" w:rsidRPr="00191C99">
        <w:rPr>
          <w:rFonts w:ascii="Times New Roman" w:hAnsi="Times New Roman"/>
        </w:rPr>
        <w:t>.</w:t>
      </w:r>
      <w:r w:rsidRPr="00191C99">
        <w:rPr>
          <w:rFonts w:ascii="Times New Roman" w:hAnsi="Times New Roman"/>
        </w:rPr>
        <w:t xml:space="preserve"> </w:t>
      </w:r>
      <w:r w:rsidR="00F05E64" w:rsidRPr="00191C99">
        <w:rPr>
          <w:rFonts w:ascii="Times New Roman" w:hAnsi="Times New Roman"/>
        </w:rPr>
        <w:t xml:space="preserve">The appellants </w:t>
      </w:r>
      <w:r w:rsidR="00162428" w:rsidRPr="00191C99">
        <w:rPr>
          <w:rFonts w:ascii="Times New Roman" w:hAnsi="Times New Roman"/>
        </w:rPr>
        <w:t xml:space="preserve">and Attorney-General's </w:t>
      </w:r>
      <w:r w:rsidR="00F05E64" w:rsidRPr="00191C99">
        <w:rPr>
          <w:rFonts w:ascii="Times New Roman" w:hAnsi="Times New Roman"/>
        </w:rPr>
        <w:t xml:space="preserve">construction of s 198(6) treats the provision as if it operates in a legal vacuum divorced from the reality of the jurisdiction and power of these Courts. </w:t>
      </w:r>
    </w:p>
    <w:p w14:paraId="3168CF34" w14:textId="61724C4E" w:rsidR="00A05FE2" w:rsidRPr="00191C99" w:rsidRDefault="00C72864"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A05FE2" w:rsidRPr="00191C99">
        <w:rPr>
          <w:rFonts w:ascii="Times New Roman" w:hAnsi="Times New Roman"/>
        </w:rPr>
        <w:t xml:space="preserve">Recognising that "judicial findings as to legislative intention are an expression of the constitutional relationship between the arms of government with </w:t>
      </w:r>
      <w:r w:rsidR="00A05FE2" w:rsidRPr="00191C99">
        <w:rPr>
          <w:rFonts w:ascii="Times New Roman" w:hAnsi="Times New Roman"/>
        </w:rPr>
        <w:lastRenderedPageBreak/>
        <w:t>respect to the making, interpretation and application of laws",</w:t>
      </w:r>
      <w:r w:rsidR="00A05FE2" w:rsidRPr="00191C99">
        <w:rPr>
          <w:rStyle w:val="FootnoteReference"/>
          <w:rFonts w:ascii="Times New Roman" w:hAnsi="Times New Roman"/>
          <w:sz w:val="24"/>
        </w:rPr>
        <w:footnoteReference w:id="69"/>
      </w:r>
      <w:r w:rsidR="00A05FE2" w:rsidRPr="00191C99">
        <w:rPr>
          <w:rFonts w:ascii="Times New Roman" w:hAnsi="Times New Roman"/>
        </w:rPr>
        <w:t xml:space="preserve"> it is unlikely in the extreme that the legislature intended to create an irremediable conflict between the duty of an officer to comply with an interlocutory injunction to prevent an unlawful non-citizen being removed from Australia and the duty of an officer to remove such a person from Australia in accordance with s 198(6). </w:t>
      </w:r>
      <w:r w:rsidR="001B3A0E" w:rsidRPr="00191C99">
        <w:rPr>
          <w:rFonts w:ascii="Times New Roman" w:hAnsi="Times New Roman"/>
        </w:rPr>
        <w:t xml:space="preserve">It is also unlikely in the extreme that the legislature intended </w:t>
      </w:r>
      <w:r w:rsidR="00C923EC" w:rsidRPr="00191C99">
        <w:rPr>
          <w:rFonts w:ascii="Times New Roman" w:hAnsi="Times New Roman"/>
        </w:rPr>
        <w:t xml:space="preserve">that the power of the High Court, the Federal Court and the Federal Circuit and Family Court of Australia (Division 2) to </w:t>
      </w:r>
      <w:r w:rsidR="00C021FC" w:rsidRPr="00191C99">
        <w:rPr>
          <w:rFonts w:ascii="Times New Roman" w:hAnsi="Times New Roman"/>
        </w:rPr>
        <w:t>ensure</w:t>
      </w:r>
      <w:r w:rsidR="00C923EC" w:rsidRPr="00191C99">
        <w:rPr>
          <w:rFonts w:ascii="Times New Roman" w:hAnsi="Times New Roman"/>
        </w:rPr>
        <w:t xml:space="preserve"> the </w:t>
      </w:r>
      <w:r w:rsidR="00C021FC" w:rsidRPr="00191C99">
        <w:rPr>
          <w:rFonts w:ascii="Times New Roman" w:hAnsi="Times New Roman"/>
        </w:rPr>
        <w:t>effective exercise</w:t>
      </w:r>
      <w:r w:rsidR="00C923EC" w:rsidRPr="00191C99">
        <w:rPr>
          <w:rFonts w:ascii="Times New Roman" w:hAnsi="Times New Roman"/>
        </w:rPr>
        <w:t xml:space="preserve"> of </w:t>
      </w:r>
      <w:r w:rsidR="00C021FC" w:rsidRPr="00191C99">
        <w:rPr>
          <w:rFonts w:ascii="Times New Roman" w:hAnsi="Times New Roman"/>
        </w:rPr>
        <w:t xml:space="preserve">jurisdiction in </w:t>
      </w:r>
      <w:r w:rsidR="00C923EC" w:rsidRPr="00191C99">
        <w:rPr>
          <w:rFonts w:ascii="Times New Roman" w:hAnsi="Times New Roman"/>
        </w:rPr>
        <w:t xml:space="preserve">a </w:t>
      </w:r>
      <w:r w:rsidR="00C021FC" w:rsidRPr="00191C99">
        <w:rPr>
          <w:rFonts w:ascii="Times New Roman" w:hAnsi="Times New Roman"/>
        </w:rPr>
        <w:t>proceeding</w:t>
      </w:r>
      <w:r w:rsidR="00C923EC" w:rsidRPr="00191C99">
        <w:rPr>
          <w:rFonts w:ascii="Times New Roman" w:hAnsi="Times New Roman"/>
        </w:rPr>
        <w:t xml:space="preserve"> before them should, by mere implication, yield to the power and the duty of an officer to remove an unlawful non-citizen from Australia when that power and duty is expressly qualified </w:t>
      </w:r>
      <w:r w:rsidR="009C35E2" w:rsidRPr="00191C99">
        <w:rPr>
          <w:rFonts w:ascii="Times New Roman" w:hAnsi="Times New Roman"/>
        </w:rPr>
        <w:t>by the expression "as soon as reasonably practicable"</w:t>
      </w:r>
      <w:r w:rsidR="00424FC5" w:rsidRPr="00191C99">
        <w:rPr>
          <w:rFonts w:ascii="Times New Roman" w:hAnsi="Times New Roman"/>
        </w:rPr>
        <w:t>.</w:t>
      </w:r>
      <w:r w:rsidR="009C35E2" w:rsidRPr="00191C99">
        <w:rPr>
          <w:rFonts w:ascii="Times New Roman" w:hAnsi="Times New Roman"/>
        </w:rPr>
        <w:t xml:space="preserve"> </w:t>
      </w:r>
      <w:r w:rsidR="00A05FE2" w:rsidRPr="00191C99">
        <w:rPr>
          <w:rFonts w:ascii="Times New Roman" w:hAnsi="Times New Roman"/>
        </w:rPr>
        <w:t xml:space="preserve">The qualification on the power and the duty in s 198(6) in the words "as soon as reasonably practicable" </w:t>
      </w:r>
      <w:r w:rsidR="00C67DC2" w:rsidRPr="00191C99">
        <w:rPr>
          <w:rFonts w:ascii="Times New Roman" w:hAnsi="Times New Roman"/>
        </w:rPr>
        <w:t xml:space="preserve">is </w:t>
      </w:r>
      <w:r w:rsidR="00A05FE2" w:rsidRPr="00191C99">
        <w:rPr>
          <w:rFonts w:ascii="Times New Roman" w:hAnsi="Times New Roman"/>
        </w:rPr>
        <w:t xml:space="preserve">ample to prevent any such irremediable conflict by ensuring that the power and the duty </w:t>
      </w:r>
      <w:r w:rsidR="001B3A0E" w:rsidRPr="00191C99">
        <w:rPr>
          <w:rFonts w:ascii="Times New Roman" w:hAnsi="Times New Roman"/>
        </w:rPr>
        <w:t xml:space="preserve">in s 198(6) </w:t>
      </w:r>
      <w:r w:rsidR="00A05FE2" w:rsidRPr="00191C99">
        <w:rPr>
          <w:rFonts w:ascii="Times New Roman" w:hAnsi="Times New Roman"/>
        </w:rPr>
        <w:t>accommodate to</w:t>
      </w:r>
      <w:r w:rsidR="00B24C66" w:rsidRPr="00191C99">
        <w:rPr>
          <w:rFonts w:ascii="Times New Roman" w:hAnsi="Times New Roman"/>
        </w:rPr>
        <w:t>,</w:t>
      </w:r>
      <w:r w:rsidR="00A05FE2" w:rsidRPr="00191C99">
        <w:rPr>
          <w:rFonts w:ascii="Times New Roman" w:hAnsi="Times New Roman"/>
        </w:rPr>
        <w:t xml:space="preserve"> and do not arise for so long as</w:t>
      </w:r>
      <w:r w:rsidR="00B24C66" w:rsidRPr="00191C99">
        <w:rPr>
          <w:rFonts w:ascii="Times New Roman" w:hAnsi="Times New Roman"/>
        </w:rPr>
        <w:t>,</w:t>
      </w:r>
      <w:r w:rsidR="00A05FE2" w:rsidRPr="00191C99">
        <w:rPr>
          <w:rFonts w:ascii="Times New Roman" w:hAnsi="Times New Roman"/>
        </w:rPr>
        <w:t xml:space="preserve"> the interlocutory injunction preventing removal remains in force. </w:t>
      </w:r>
    </w:p>
    <w:p w14:paraId="4444A8F6" w14:textId="7075AB7E" w:rsidR="00FC038C" w:rsidRPr="00191C99" w:rsidRDefault="00DC7707"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4C5D6E" w:rsidRPr="00191C99">
        <w:rPr>
          <w:rFonts w:ascii="Times New Roman" w:hAnsi="Times New Roman"/>
          <w:i/>
          <w:iCs/>
        </w:rPr>
        <w:t>Plaintiff M61</w:t>
      </w:r>
      <w:r w:rsidR="004037B3" w:rsidRPr="00191C99">
        <w:rPr>
          <w:rFonts w:ascii="Times New Roman" w:hAnsi="Times New Roman"/>
          <w:i/>
          <w:iCs/>
        </w:rPr>
        <w:t>/2010E</w:t>
      </w:r>
      <w:r w:rsidR="004C5D6E" w:rsidRPr="00191C99">
        <w:rPr>
          <w:rFonts w:ascii="Times New Roman" w:hAnsi="Times New Roman"/>
          <w:i/>
          <w:iCs/>
        </w:rPr>
        <w:t xml:space="preserve"> v The Commonwealth</w:t>
      </w:r>
      <w:r w:rsidR="004C5D6E" w:rsidRPr="00191C99">
        <w:rPr>
          <w:rStyle w:val="FootnoteReference"/>
          <w:rFonts w:ascii="Times New Roman" w:hAnsi="Times New Roman"/>
          <w:sz w:val="24"/>
        </w:rPr>
        <w:footnoteReference w:id="70"/>
      </w:r>
      <w:r w:rsidR="001768AF" w:rsidRPr="00191C99">
        <w:rPr>
          <w:rFonts w:ascii="Times New Roman" w:hAnsi="Times New Roman"/>
        </w:rPr>
        <w:t xml:space="preserve"> </w:t>
      </w:r>
      <w:r w:rsidR="0069032B" w:rsidRPr="00191C99">
        <w:rPr>
          <w:rFonts w:ascii="Times New Roman" w:hAnsi="Times New Roman"/>
        </w:rPr>
        <w:t xml:space="preserve">is not authority for the proposition that such an </w:t>
      </w:r>
      <w:r w:rsidR="00FF3972" w:rsidRPr="00191C99">
        <w:rPr>
          <w:rFonts w:ascii="Times New Roman" w:hAnsi="Times New Roman"/>
        </w:rPr>
        <w:t>interpretative accommodation</w:t>
      </w:r>
      <w:r w:rsidR="0069032B" w:rsidRPr="00191C99">
        <w:rPr>
          <w:rFonts w:ascii="Times New Roman" w:hAnsi="Times New Roman"/>
        </w:rPr>
        <w:t xml:space="preserve"> </w:t>
      </w:r>
      <w:r w:rsidR="00590771" w:rsidRPr="00191C99">
        <w:rPr>
          <w:rFonts w:ascii="Times New Roman" w:hAnsi="Times New Roman"/>
        </w:rPr>
        <w:t xml:space="preserve">may only be reached in </w:t>
      </w:r>
      <w:r w:rsidR="0069032B" w:rsidRPr="00191C99">
        <w:rPr>
          <w:rFonts w:ascii="Times New Roman" w:hAnsi="Times New Roman"/>
        </w:rPr>
        <w:t>a case where the Minister</w:t>
      </w:r>
      <w:r w:rsidR="00206A67" w:rsidRPr="00191C99">
        <w:rPr>
          <w:rFonts w:ascii="Times New Roman" w:hAnsi="Times New Roman"/>
        </w:rPr>
        <w:t xml:space="preserve"> has </w:t>
      </w:r>
      <w:r w:rsidR="00FC038C" w:rsidRPr="00191C99">
        <w:rPr>
          <w:rFonts w:ascii="Times New Roman" w:hAnsi="Times New Roman"/>
        </w:rPr>
        <w:t xml:space="preserve">made a "procedural decision" </w:t>
      </w:r>
      <w:r w:rsidR="00764834" w:rsidRPr="00191C99">
        <w:rPr>
          <w:rFonts w:ascii="Times New Roman" w:hAnsi="Times New Roman"/>
        </w:rPr>
        <w:t>to consider the exercise of the Minister's relevant personal and non-compellable powers</w:t>
      </w:r>
      <w:r w:rsidR="00176131" w:rsidRPr="00191C99">
        <w:rPr>
          <w:rFonts w:ascii="Times New Roman" w:hAnsi="Times New Roman"/>
        </w:rPr>
        <w:t xml:space="preserve">. </w:t>
      </w:r>
      <w:r w:rsidR="007D0D32" w:rsidRPr="00191C99">
        <w:rPr>
          <w:rFonts w:ascii="Times New Roman" w:hAnsi="Times New Roman"/>
        </w:rPr>
        <w:t>The appellants and Attorney-General</w:t>
      </w:r>
      <w:r w:rsidR="00DF47C6" w:rsidRPr="00191C99">
        <w:rPr>
          <w:rFonts w:ascii="Times New Roman" w:hAnsi="Times New Roman"/>
        </w:rPr>
        <w:t>'s</w:t>
      </w:r>
      <w:r w:rsidR="007D0D32" w:rsidRPr="00191C99">
        <w:rPr>
          <w:rFonts w:ascii="Times New Roman" w:hAnsi="Times New Roman"/>
        </w:rPr>
        <w:t xml:space="preserve"> </w:t>
      </w:r>
      <w:r w:rsidR="00DF47C6" w:rsidRPr="00191C99">
        <w:rPr>
          <w:rFonts w:ascii="Times New Roman" w:hAnsi="Times New Roman"/>
        </w:rPr>
        <w:t xml:space="preserve">submission to this effect </w:t>
      </w:r>
      <w:r w:rsidR="0066080A" w:rsidRPr="00191C99">
        <w:rPr>
          <w:rFonts w:ascii="Times New Roman" w:hAnsi="Times New Roman"/>
        </w:rPr>
        <w:t>depended</w:t>
      </w:r>
      <w:r w:rsidR="00DF47C6" w:rsidRPr="00191C99">
        <w:rPr>
          <w:rFonts w:ascii="Times New Roman" w:hAnsi="Times New Roman"/>
        </w:rPr>
        <w:t xml:space="preserve"> on an assumption that, but for the making of such a procedural decision</w:t>
      </w:r>
      <w:r w:rsidR="0066080A" w:rsidRPr="00191C99">
        <w:rPr>
          <w:rFonts w:ascii="Times New Roman" w:hAnsi="Times New Roman"/>
        </w:rPr>
        <w:t xml:space="preserve">, </w:t>
      </w:r>
      <w:r w:rsidR="00247890" w:rsidRPr="00191C99">
        <w:rPr>
          <w:rFonts w:ascii="Times New Roman" w:hAnsi="Times New Roman"/>
        </w:rPr>
        <w:t xml:space="preserve">the </w:t>
      </w:r>
      <w:r w:rsidR="0066080A" w:rsidRPr="00191C99">
        <w:rPr>
          <w:rFonts w:ascii="Times New Roman" w:hAnsi="Times New Roman"/>
        </w:rPr>
        <w:t xml:space="preserve">interpretative accommodation </w:t>
      </w:r>
      <w:r w:rsidR="00247890" w:rsidRPr="00191C99">
        <w:rPr>
          <w:rFonts w:ascii="Times New Roman" w:hAnsi="Times New Roman"/>
        </w:rPr>
        <w:t xml:space="preserve">would </w:t>
      </w:r>
      <w:r w:rsidR="0066080A" w:rsidRPr="00191C99">
        <w:rPr>
          <w:rFonts w:ascii="Times New Roman" w:hAnsi="Times New Roman"/>
        </w:rPr>
        <w:t xml:space="preserve">mean that the statutory provisions purport to </w:t>
      </w:r>
      <w:r w:rsidR="00247890" w:rsidRPr="00191C99">
        <w:rPr>
          <w:rFonts w:ascii="Times New Roman" w:hAnsi="Times New Roman"/>
        </w:rPr>
        <w:t xml:space="preserve">authorise detention by the </w:t>
      </w:r>
      <w:r w:rsidR="008F6D51" w:rsidRPr="00191C99">
        <w:rPr>
          <w:rFonts w:ascii="Times New Roman" w:hAnsi="Times New Roman"/>
        </w:rPr>
        <w:t>E</w:t>
      </w:r>
      <w:r w:rsidR="00247890" w:rsidRPr="00191C99">
        <w:rPr>
          <w:rFonts w:ascii="Times New Roman" w:hAnsi="Times New Roman"/>
        </w:rPr>
        <w:t>xecutive for an indeterminate period</w:t>
      </w:r>
      <w:r w:rsidR="00206A67" w:rsidRPr="00191C99">
        <w:rPr>
          <w:rFonts w:ascii="Times New Roman" w:hAnsi="Times New Roman"/>
        </w:rPr>
        <w:t xml:space="preserve">. </w:t>
      </w:r>
      <w:r w:rsidR="00EA1D3E" w:rsidRPr="00191C99">
        <w:rPr>
          <w:rFonts w:ascii="Times New Roman" w:hAnsi="Times New Roman"/>
        </w:rPr>
        <w:t>I</w:t>
      </w:r>
      <w:r w:rsidR="009A55DA" w:rsidRPr="00191C99">
        <w:rPr>
          <w:rFonts w:ascii="Times New Roman" w:hAnsi="Times New Roman"/>
        </w:rPr>
        <w:t xml:space="preserve">n </w:t>
      </w:r>
      <w:r w:rsidR="009A55DA" w:rsidRPr="00191C99">
        <w:rPr>
          <w:rFonts w:ascii="Times New Roman" w:hAnsi="Times New Roman"/>
          <w:i/>
          <w:iCs/>
        </w:rPr>
        <w:t>Plaintiff M61</w:t>
      </w:r>
      <w:r w:rsidR="00AE61F5" w:rsidRPr="00191C99">
        <w:rPr>
          <w:rFonts w:ascii="Times New Roman" w:hAnsi="Times New Roman"/>
          <w:i/>
          <w:iCs/>
        </w:rPr>
        <w:t>/2010E</w:t>
      </w:r>
      <w:r w:rsidR="009A55DA" w:rsidRPr="00191C99">
        <w:rPr>
          <w:rFonts w:ascii="Times New Roman" w:hAnsi="Times New Roman"/>
        </w:rPr>
        <w:t xml:space="preserve"> </w:t>
      </w:r>
      <w:r w:rsidR="00B80CE8" w:rsidRPr="00191C99">
        <w:rPr>
          <w:rFonts w:ascii="Times New Roman" w:hAnsi="Times New Roman"/>
        </w:rPr>
        <w:t xml:space="preserve">the </w:t>
      </w:r>
      <w:r w:rsidR="008E06A7" w:rsidRPr="00191C99">
        <w:rPr>
          <w:rFonts w:ascii="Times New Roman" w:hAnsi="Times New Roman"/>
        </w:rPr>
        <w:t xml:space="preserve">relevant </w:t>
      </w:r>
      <w:r w:rsidR="0071200E" w:rsidRPr="00191C99">
        <w:rPr>
          <w:rFonts w:ascii="Times New Roman" w:hAnsi="Times New Roman"/>
        </w:rPr>
        <w:t>power and duty of removal in s 198(2), in common with that in s 198(6), was qualified by the words "as soon as reasonably practicable"</w:t>
      </w:r>
      <w:r w:rsidR="00E70D6E" w:rsidRPr="00191C99">
        <w:rPr>
          <w:rFonts w:ascii="Times New Roman" w:hAnsi="Times New Roman"/>
        </w:rPr>
        <w:t>.</w:t>
      </w:r>
      <w:r w:rsidR="0071200E" w:rsidRPr="00191C99">
        <w:rPr>
          <w:rFonts w:ascii="Times New Roman" w:hAnsi="Times New Roman"/>
        </w:rPr>
        <w:t xml:space="preserve"> </w:t>
      </w:r>
      <w:r w:rsidR="00BF3E2E" w:rsidRPr="00191C99">
        <w:rPr>
          <w:rFonts w:ascii="Times New Roman" w:hAnsi="Times New Roman"/>
        </w:rPr>
        <w:t>T</w:t>
      </w:r>
      <w:r w:rsidR="0071200E" w:rsidRPr="00191C99">
        <w:rPr>
          <w:rFonts w:ascii="Times New Roman" w:hAnsi="Times New Roman"/>
        </w:rPr>
        <w:t xml:space="preserve">he Minister argued that the </w:t>
      </w:r>
      <w:r w:rsidR="00DC78A2" w:rsidRPr="00191C99">
        <w:rPr>
          <w:rFonts w:ascii="Times New Roman" w:hAnsi="Times New Roman"/>
        </w:rPr>
        <w:t xml:space="preserve">mere </w:t>
      </w:r>
      <w:r w:rsidR="0071200E" w:rsidRPr="00191C99">
        <w:rPr>
          <w:rFonts w:ascii="Times New Roman" w:hAnsi="Times New Roman"/>
        </w:rPr>
        <w:t xml:space="preserve">possibility </w:t>
      </w:r>
      <w:r w:rsidR="000E0795" w:rsidRPr="00191C99">
        <w:rPr>
          <w:rFonts w:ascii="Times New Roman" w:hAnsi="Times New Roman"/>
        </w:rPr>
        <w:t xml:space="preserve">of </w:t>
      </w:r>
      <w:r w:rsidR="0071200E" w:rsidRPr="00191C99">
        <w:rPr>
          <w:rFonts w:ascii="Times New Roman" w:hAnsi="Times New Roman"/>
        </w:rPr>
        <w:t>the Minister exercising the</w:t>
      </w:r>
      <w:r w:rsidR="00184FD5" w:rsidRPr="00191C99">
        <w:rPr>
          <w:rFonts w:ascii="Times New Roman" w:hAnsi="Times New Roman"/>
        </w:rPr>
        <w:t xml:space="preserve"> </w:t>
      </w:r>
      <w:r w:rsidR="007F0AC0" w:rsidRPr="00191C99">
        <w:rPr>
          <w:rFonts w:ascii="Times New Roman" w:hAnsi="Times New Roman"/>
        </w:rPr>
        <w:t xml:space="preserve">relevant personal and non-compellable powers </w:t>
      </w:r>
      <w:r w:rsidR="003B342D" w:rsidRPr="00191C99">
        <w:rPr>
          <w:rFonts w:ascii="Times New Roman" w:hAnsi="Times New Roman"/>
        </w:rPr>
        <w:t xml:space="preserve">suspended the obligation to bring to an end </w:t>
      </w:r>
      <w:r w:rsidR="00EC2050" w:rsidRPr="00191C99">
        <w:rPr>
          <w:rFonts w:ascii="Times New Roman" w:hAnsi="Times New Roman"/>
        </w:rPr>
        <w:t>the</w:t>
      </w:r>
      <w:r w:rsidR="003B342D" w:rsidRPr="00191C99">
        <w:rPr>
          <w:rFonts w:ascii="Times New Roman" w:hAnsi="Times New Roman"/>
        </w:rPr>
        <w:t xml:space="preserve"> </w:t>
      </w:r>
      <w:r w:rsidR="007F0AC0" w:rsidRPr="00191C99">
        <w:rPr>
          <w:rFonts w:ascii="Times New Roman" w:hAnsi="Times New Roman"/>
        </w:rPr>
        <w:t>detention of the unlawful non-citizens who might be the subject of any such exercise.</w:t>
      </w:r>
      <w:r w:rsidR="007F0AC0" w:rsidRPr="00191C99">
        <w:rPr>
          <w:rStyle w:val="FootnoteReference"/>
          <w:rFonts w:ascii="Times New Roman" w:hAnsi="Times New Roman"/>
          <w:sz w:val="24"/>
        </w:rPr>
        <w:footnoteReference w:id="71"/>
      </w:r>
      <w:r w:rsidR="00574C86" w:rsidRPr="00191C99">
        <w:rPr>
          <w:rFonts w:ascii="Times New Roman" w:hAnsi="Times New Roman"/>
        </w:rPr>
        <w:t xml:space="preserve"> In rejecting that argument, </w:t>
      </w:r>
      <w:r w:rsidR="005E6603" w:rsidRPr="00191C99">
        <w:rPr>
          <w:rFonts w:ascii="Times New Roman" w:hAnsi="Times New Roman"/>
        </w:rPr>
        <w:t xml:space="preserve">French CJ, </w:t>
      </w:r>
      <w:proofErr w:type="spellStart"/>
      <w:r w:rsidR="005E6603" w:rsidRPr="00191C99">
        <w:rPr>
          <w:rFonts w:ascii="Times New Roman" w:hAnsi="Times New Roman"/>
        </w:rPr>
        <w:t>Gummow</w:t>
      </w:r>
      <w:proofErr w:type="spellEnd"/>
      <w:r w:rsidR="005E6603" w:rsidRPr="00191C99">
        <w:rPr>
          <w:rFonts w:ascii="Times New Roman" w:hAnsi="Times New Roman"/>
        </w:rPr>
        <w:t xml:space="preserve">, Hayne, </w:t>
      </w:r>
      <w:proofErr w:type="spellStart"/>
      <w:r w:rsidR="005E6603" w:rsidRPr="00191C99">
        <w:rPr>
          <w:rFonts w:ascii="Times New Roman" w:hAnsi="Times New Roman"/>
        </w:rPr>
        <w:t>Heydon</w:t>
      </w:r>
      <w:proofErr w:type="spellEnd"/>
      <w:r w:rsidR="005E6603" w:rsidRPr="00191C99">
        <w:rPr>
          <w:rFonts w:ascii="Times New Roman" w:hAnsi="Times New Roman"/>
        </w:rPr>
        <w:t xml:space="preserve">, </w:t>
      </w:r>
      <w:proofErr w:type="spellStart"/>
      <w:r w:rsidR="005E6603" w:rsidRPr="00191C99">
        <w:rPr>
          <w:rFonts w:ascii="Times New Roman" w:hAnsi="Times New Roman"/>
        </w:rPr>
        <w:t>Crennan</w:t>
      </w:r>
      <w:proofErr w:type="spellEnd"/>
      <w:r w:rsidR="005E6603" w:rsidRPr="00191C99">
        <w:rPr>
          <w:rFonts w:ascii="Times New Roman" w:hAnsi="Times New Roman"/>
        </w:rPr>
        <w:t xml:space="preserve">, Kiefel and Bell JJ </w:t>
      </w:r>
      <w:r w:rsidR="00574C86" w:rsidRPr="00191C99">
        <w:rPr>
          <w:rFonts w:ascii="Times New Roman" w:hAnsi="Times New Roman"/>
        </w:rPr>
        <w:t xml:space="preserve">said that </w:t>
      </w:r>
      <w:r w:rsidR="00F63119" w:rsidRPr="00191C99">
        <w:rPr>
          <w:rFonts w:ascii="Times New Roman" w:hAnsi="Times New Roman"/>
        </w:rPr>
        <w:t xml:space="preserve">because </w:t>
      </w:r>
      <w:r w:rsidR="00FD0970" w:rsidRPr="00191C99">
        <w:rPr>
          <w:rFonts w:ascii="Times New Roman" w:hAnsi="Times New Roman"/>
        </w:rPr>
        <w:t xml:space="preserve">the result </w:t>
      </w:r>
      <w:r w:rsidR="00F63119" w:rsidRPr="00191C99">
        <w:rPr>
          <w:rFonts w:ascii="Times New Roman" w:hAnsi="Times New Roman"/>
        </w:rPr>
        <w:t xml:space="preserve">of </w:t>
      </w:r>
      <w:r w:rsidR="004458D2" w:rsidRPr="00191C99">
        <w:rPr>
          <w:rFonts w:ascii="Times New Roman" w:hAnsi="Times New Roman"/>
        </w:rPr>
        <w:t xml:space="preserve">the Minister's </w:t>
      </w:r>
      <w:r w:rsidR="00F63119" w:rsidRPr="00191C99">
        <w:rPr>
          <w:rFonts w:ascii="Times New Roman" w:hAnsi="Times New Roman"/>
        </w:rPr>
        <w:t xml:space="preserve">argument </w:t>
      </w:r>
      <w:r w:rsidR="00FD0970" w:rsidRPr="00191C99">
        <w:rPr>
          <w:rFonts w:ascii="Times New Roman" w:hAnsi="Times New Roman"/>
        </w:rPr>
        <w:t xml:space="preserve">would be </w:t>
      </w:r>
      <w:r w:rsidR="006F4D2F" w:rsidRPr="00191C99">
        <w:rPr>
          <w:rFonts w:ascii="Times New Roman" w:hAnsi="Times New Roman"/>
        </w:rPr>
        <w:t xml:space="preserve">impermissible indeterminate </w:t>
      </w:r>
      <w:r w:rsidR="00FD0970" w:rsidRPr="00191C99">
        <w:rPr>
          <w:rFonts w:ascii="Times New Roman" w:hAnsi="Times New Roman"/>
        </w:rPr>
        <w:t xml:space="preserve">detention </w:t>
      </w:r>
      <w:r w:rsidR="00F53380" w:rsidRPr="00191C99">
        <w:rPr>
          <w:rFonts w:ascii="Times New Roman" w:hAnsi="Times New Roman"/>
        </w:rPr>
        <w:t xml:space="preserve">of the unlawful non-citizens </w:t>
      </w:r>
      <w:r w:rsidR="00FD0970" w:rsidRPr="00191C99">
        <w:rPr>
          <w:rFonts w:ascii="Times New Roman" w:hAnsi="Times New Roman"/>
        </w:rPr>
        <w:t>at the will of the Executive</w:t>
      </w:r>
      <w:r w:rsidR="00F63119" w:rsidRPr="00191C99">
        <w:rPr>
          <w:rFonts w:ascii="Times New Roman" w:hAnsi="Times New Roman"/>
        </w:rPr>
        <w:t xml:space="preserve">, </w:t>
      </w:r>
      <w:r w:rsidR="004971BD" w:rsidRPr="00191C99">
        <w:rPr>
          <w:rFonts w:ascii="Times New Roman" w:hAnsi="Times New Roman"/>
        </w:rPr>
        <w:t xml:space="preserve">a "firmer statutory foundation" for the lawfulness of the continuing </w:t>
      </w:r>
      <w:r w:rsidR="004971BD" w:rsidRPr="00191C99">
        <w:rPr>
          <w:rFonts w:ascii="Times New Roman" w:hAnsi="Times New Roman"/>
        </w:rPr>
        <w:lastRenderedPageBreak/>
        <w:t>detention of the unlawful non-citizens had to be found.</w:t>
      </w:r>
      <w:r w:rsidR="004971BD" w:rsidRPr="00191C99">
        <w:rPr>
          <w:rStyle w:val="FootnoteReference"/>
          <w:rFonts w:ascii="Times New Roman" w:hAnsi="Times New Roman"/>
          <w:sz w:val="24"/>
        </w:rPr>
        <w:footnoteReference w:id="72"/>
      </w:r>
      <w:r w:rsidR="004971BD" w:rsidRPr="00191C99">
        <w:rPr>
          <w:rFonts w:ascii="Times New Roman" w:hAnsi="Times New Roman"/>
        </w:rPr>
        <w:t xml:space="preserve"> </w:t>
      </w:r>
      <w:r w:rsidR="00802D65" w:rsidRPr="00191C99">
        <w:rPr>
          <w:rFonts w:ascii="Times New Roman" w:hAnsi="Times New Roman"/>
        </w:rPr>
        <w:t>T</w:t>
      </w:r>
      <w:r w:rsidR="004971BD" w:rsidRPr="00191C99">
        <w:rPr>
          <w:rFonts w:ascii="Times New Roman" w:hAnsi="Times New Roman"/>
        </w:rPr>
        <w:t xml:space="preserve">hat firmer foundation existed in the </w:t>
      </w:r>
      <w:r w:rsidR="003F284D" w:rsidRPr="00191C99">
        <w:rPr>
          <w:rFonts w:ascii="Times New Roman" w:hAnsi="Times New Roman"/>
        </w:rPr>
        <w:t>Minister having made the "procedural decision"</w:t>
      </w:r>
      <w:r w:rsidR="00A25C40" w:rsidRPr="00191C99">
        <w:rPr>
          <w:rFonts w:ascii="Times New Roman" w:hAnsi="Times New Roman"/>
        </w:rPr>
        <w:t>,</w:t>
      </w:r>
      <w:r w:rsidR="003F284D" w:rsidRPr="00191C99">
        <w:rPr>
          <w:rFonts w:ascii="Times New Roman" w:hAnsi="Times New Roman"/>
        </w:rPr>
        <w:t xml:space="preserve"> applying to all the relevant unlawful non-citizens</w:t>
      </w:r>
      <w:r w:rsidR="00A25C40" w:rsidRPr="00191C99">
        <w:rPr>
          <w:rFonts w:ascii="Times New Roman" w:hAnsi="Times New Roman"/>
        </w:rPr>
        <w:t>, to consider the exercise of the relevant personal and non-compellable powers</w:t>
      </w:r>
      <w:r w:rsidR="003F284D" w:rsidRPr="00191C99">
        <w:rPr>
          <w:rFonts w:ascii="Times New Roman" w:hAnsi="Times New Roman"/>
        </w:rPr>
        <w:t>.</w:t>
      </w:r>
      <w:r w:rsidR="003F284D" w:rsidRPr="00191C99">
        <w:rPr>
          <w:rStyle w:val="FootnoteReference"/>
          <w:rFonts w:ascii="Times New Roman" w:hAnsi="Times New Roman"/>
          <w:sz w:val="24"/>
        </w:rPr>
        <w:footnoteReference w:id="73"/>
      </w:r>
    </w:p>
    <w:p w14:paraId="4829448B" w14:textId="6D40F848" w:rsidR="00141A82" w:rsidRPr="00191C99" w:rsidRDefault="00DB2B37"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0E1592" w:rsidRPr="00191C99">
        <w:rPr>
          <w:rFonts w:ascii="Times New Roman" w:hAnsi="Times New Roman"/>
        </w:rPr>
        <w:t>In t</w:t>
      </w:r>
      <w:r w:rsidR="00014D04" w:rsidRPr="00191C99">
        <w:rPr>
          <w:rFonts w:ascii="Times New Roman" w:hAnsi="Times New Roman"/>
        </w:rPr>
        <w:t xml:space="preserve">he present case </w:t>
      </w:r>
      <w:r w:rsidR="001A508D" w:rsidRPr="00191C99">
        <w:rPr>
          <w:rFonts w:ascii="Times New Roman" w:hAnsi="Times New Roman"/>
        </w:rPr>
        <w:t>the respondent invoked the jurisdiction of the Federal Court to obtain a declaration to the effect that his request</w:t>
      </w:r>
      <w:r w:rsidR="006B1B38" w:rsidRPr="00191C99">
        <w:rPr>
          <w:rFonts w:ascii="Times New Roman" w:hAnsi="Times New Roman"/>
        </w:rPr>
        <w:t>(</w:t>
      </w:r>
      <w:r w:rsidR="001A508D" w:rsidRPr="00191C99">
        <w:rPr>
          <w:rFonts w:ascii="Times New Roman" w:hAnsi="Times New Roman"/>
        </w:rPr>
        <w:t>s</w:t>
      </w:r>
      <w:r w:rsidR="006B1B38" w:rsidRPr="00191C99">
        <w:rPr>
          <w:rFonts w:ascii="Times New Roman" w:hAnsi="Times New Roman"/>
        </w:rPr>
        <w:t>)</w:t>
      </w:r>
      <w:r w:rsidR="001A508D" w:rsidRPr="00191C99">
        <w:rPr>
          <w:rFonts w:ascii="Times New Roman" w:hAnsi="Times New Roman"/>
        </w:rPr>
        <w:t xml:space="preserve"> ha</w:t>
      </w:r>
      <w:r w:rsidR="0078481B" w:rsidRPr="00191C99">
        <w:rPr>
          <w:rFonts w:ascii="Times New Roman" w:hAnsi="Times New Roman"/>
        </w:rPr>
        <w:t>d</w:t>
      </w:r>
      <w:r w:rsidR="001A508D" w:rsidRPr="00191C99">
        <w:rPr>
          <w:rFonts w:ascii="Times New Roman" w:hAnsi="Times New Roman"/>
        </w:rPr>
        <w:t xml:space="preserve"> not been dealt with according to law</w:t>
      </w:r>
      <w:r w:rsidR="0078481B" w:rsidRPr="00191C99">
        <w:rPr>
          <w:rFonts w:ascii="Times New Roman" w:hAnsi="Times New Roman"/>
        </w:rPr>
        <w:t>,</w:t>
      </w:r>
      <w:r w:rsidR="00B333E2" w:rsidRPr="00191C99">
        <w:rPr>
          <w:rFonts w:ascii="Times New Roman" w:hAnsi="Times New Roman"/>
        </w:rPr>
        <w:t xml:space="preserve"> and that Court granted the interlocutory injunction to prevent the frustration of that proceeding. </w:t>
      </w:r>
      <w:r w:rsidR="00714C61" w:rsidRPr="00191C99">
        <w:rPr>
          <w:rFonts w:ascii="Times New Roman" w:hAnsi="Times New Roman"/>
        </w:rPr>
        <w:t xml:space="preserve">In these circumstances, </w:t>
      </w:r>
      <w:r w:rsidR="00C30691" w:rsidRPr="00191C99">
        <w:rPr>
          <w:rFonts w:ascii="Times New Roman" w:hAnsi="Times New Roman"/>
        </w:rPr>
        <w:t xml:space="preserve">the </w:t>
      </w:r>
      <w:r w:rsidR="00136631" w:rsidRPr="00191C99">
        <w:rPr>
          <w:rFonts w:ascii="Times New Roman" w:hAnsi="Times New Roman"/>
        </w:rPr>
        <w:t>distinction between</w:t>
      </w:r>
      <w:r w:rsidR="00AF0DC5" w:rsidRPr="00191C99">
        <w:rPr>
          <w:rFonts w:ascii="Times New Roman" w:hAnsi="Times New Roman"/>
        </w:rPr>
        <w:t xml:space="preserve">, </w:t>
      </w:r>
      <w:r w:rsidR="00C03BA3" w:rsidRPr="00191C99">
        <w:rPr>
          <w:rFonts w:ascii="Times New Roman" w:hAnsi="Times New Roman"/>
        </w:rPr>
        <w:t>on the one hand</w:t>
      </w:r>
      <w:r w:rsidR="00AF0DC5" w:rsidRPr="00191C99">
        <w:rPr>
          <w:rFonts w:ascii="Times New Roman" w:hAnsi="Times New Roman"/>
        </w:rPr>
        <w:t>,</w:t>
      </w:r>
      <w:r w:rsidR="00C03BA3" w:rsidRPr="00191C99">
        <w:rPr>
          <w:rFonts w:ascii="Times New Roman" w:hAnsi="Times New Roman"/>
        </w:rPr>
        <w:t xml:space="preserve"> </w:t>
      </w:r>
      <w:r w:rsidR="00136631" w:rsidRPr="00191C99">
        <w:rPr>
          <w:rFonts w:ascii="Times New Roman" w:hAnsi="Times New Roman"/>
        </w:rPr>
        <w:t xml:space="preserve">the Minister making a </w:t>
      </w:r>
      <w:r w:rsidR="00DE4934" w:rsidRPr="00191C99">
        <w:rPr>
          <w:rFonts w:ascii="Times New Roman" w:hAnsi="Times New Roman"/>
        </w:rPr>
        <w:t>"</w:t>
      </w:r>
      <w:r w:rsidR="00136631" w:rsidRPr="00191C99">
        <w:rPr>
          <w:rFonts w:ascii="Times New Roman" w:hAnsi="Times New Roman"/>
        </w:rPr>
        <w:t>procedural decision</w:t>
      </w:r>
      <w:r w:rsidR="00DE4934" w:rsidRPr="00191C99">
        <w:rPr>
          <w:rFonts w:ascii="Times New Roman" w:hAnsi="Times New Roman"/>
        </w:rPr>
        <w:t>"</w:t>
      </w:r>
      <w:r w:rsidR="00136631" w:rsidRPr="00191C99">
        <w:rPr>
          <w:rFonts w:ascii="Times New Roman" w:hAnsi="Times New Roman"/>
        </w:rPr>
        <w:t xml:space="preserve"> engaging statutory rather than non-statutory power and</w:t>
      </w:r>
      <w:r w:rsidR="00AF0DC5" w:rsidRPr="00191C99">
        <w:rPr>
          <w:rFonts w:ascii="Times New Roman" w:hAnsi="Times New Roman"/>
        </w:rPr>
        <w:t xml:space="preserve">, </w:t>
      </w:r>
      <w:r w:rsidR="00C03BA3" w:rsidRPr="00191C99">
        <w:rPr>
          <w:rFonts w:ascii="Times New Roman" w:hAnsi="Times New Roman"/>
        </w:rPr>
        <w:t>on the other hand</w:t>
      </w:r>
      <w:r w:rsidR="00AF0DC5" w:rsidRPr="00191C99">
        <w:rPr>
          <w:rFonts w:ascii="Times New Roman" w:hAnsi="Times New Roman"/>
        </w:rPr>
        <w:t>,</w:t>
      </w:r>
      <w:r w:rsidR="00C03BA3" w:rsidRPr="00191C99">
        <w:rPr>
          <w:rFonts w:ascii="Times New Roman" w:hAnsi="Times New Roman"/>
        </w:rPr>
        <w:t xml:space="preserve"> </w:t>
      </w:r>
      <w:r w:rsidR="00136631" w:rsidRPr="00191C99">
        <w:rPr>
          <w:rFonts w:ascii="Times New Roman" w:hAnsi="Times New Roman"/>
        </w:rPr>
        <w:t>the respondent having made request</w:t>
      </w:r>
      <w:r w:rsidR="00816CEC" w:rsidRPr="00191C99">
        <w:rPr>
          <w:rFonts w:ascii="Times New Roman" w:hAnsi="Times New Roman"/>
        </w:rPr>
        <w:t>(</w:t>
      </w:r>
      <w:r w:rsidR="000558F6" w:rsidRPr="00191C99">
        <w:rPr>
          <w:rFonts w:ascii="Times New Roman" w:hAnsi="Times New Roman"/>
        </w:rPr>
        <w:t>s</w:t>
      </w:r>
      <w:r w:rsidR="00816CEC" w:rsidRPr="00191C99">
        <w:rPr>
          <w:rFonts w:ascii="Times New Roman" w:hAnsi="Times New Roman"/>
        </w:rPr>
        <w:t>)</w:t>
      </w:r>
      <w:r w:rsidR="00136631" w:rsidRPr="00191C99">
        <w:rPr>
          <w:rFonts w:ascii="Times New Roman" w:hAnsi="Times New Roman"/>
        </w:rPr>
        <w:t xml:space="preserve"> </w:t>
      </w:r>
      <w:r w:rsidR="00D8232A" w:rsidRPr="00191C99">
        <w:rPr>
          <w:rFonts w:ascii="Times New Roman" w:hAnsi="Times New Roman"/>
        </w:rPr>
        <w:t xml:space="preserve">not </w:t>
      </w:r>
      <w:r w:rsidR="00581CD5" w:rsidRPr="00191C99">
        <w:rPr>
          <w:rFonts w:ascii="Times New Roman" w:hAnsi="Times New Roman"/>
        </w:rPr>
        <w:t>engaging</w:t>
      </w:r>
      <w:r w:rsidR="00D8232A" w:rsidRPr="00191C99">
        <w:rPr>
          <w:rFonts w:ascii="Times New Roman" w:hAnsi="Times New Roman"/>
        </w:rPr>
        <w:t xml:space="preserve"> </w:t>
      </w:r>
      <w:r w:rsidR="000954C2" w:rsidRPr="00191C99">
        <w:rPr>
          <w:rFonts w:ascii="Times New Roman" w:hAnsi="Times New Roman"/>
        </w:rPr>
        <w:t xml:space="preserve">statutory power is not material. The </w:t>
      </w:r>
      <w:r w:rsidR="000A66DB" w:rsidRPr="00191C99">
        <w:rPr>
          <w:rFonts w:ascii="Times New Roman" w:hAnsi="Times New Roman"/>
        </w:rPr>
        <w:t>grant of the interlocutory injunction</w:t>
      </w:r>
      <w:r w:rsidR="00C60C32" w:rsidRPr="00191C99">
        <w:rPr>
          <w:rFonts w:ascii="Times New Roman" w:hAnsi="Times New Roman"/>
        </w:rPr>
        <w:t xml:space="preserve"> to prevent the removal of the respondent p</w:t>
      </w:r>
      <w:r w:rsidR="00A3466B" w:rsidRPr="00191C99">
        <w:rPr>
          <w:rFonts w:ascii="Times New Roman" w:hAnsi="Times New Roman"/>
        </w:rPr>
        <w:t>e</w:t>
      </w:r>
      <w:r w:rsidR="00C60C32" w:rsidRPr="00191C99">
        <w:rPr>
          <w:rFonts w:ascii="Times New Roman" w:hAnsi="Times New Roman"/>
        </w:rPr>
        <w:t xml:space="preserve">nding final </w:t>
      </w:r>
      <w:r w:rsidR="00A3466B" w:rsidRPr="00191C99">
        <w:rPr>
          <w:rFonts w:ascii="Times New Roman" w:hAnsi="Times New Roman"/>
        </w:rPr>
        <w:t>determination</w:t>
      </w:r>
      <w:r w:rsidR="00C60C32" w:rsidRPr="00191C99">
        <w:rPr>
          <w:rFonts w:ascii="Times New Roman" w:hAnsi="Times New Roman"/>
        </w:rPr>
        <w:t xml:space="preserve"> of the proceeding </w:t>
      </w:r>
      <w:r w:rsidR="00BB0DA2" w:rsidRPr="00191C99">
        <w:rPr>
          <w:rFonts w:ascii="Times New Roman" w:hAnsi="Times New Roman"/>
        </w:rPr>
        <w:t>ensure</w:t>
      </w:r>
      <w:r w:rsidR="00AE1AD6" w:rsidRPr="00191C99">
        <w:rPr>
          <w:rFonts w:ascii="Times New Roman" w:hAnsi="Times New Roman"/>
        </w:rPr>
        <w:t>s</w:t>
      </w:r>
      <w:r w:rsidR="00BB0DA2" w:rsidRPr="00191C99">
        <w:rPr>
          <w:rFonts w:ascii="Times New Roman" w:hAnsi="Times New Roman"/>
        </w:rPr>
        <w:t xml:space="preserve"> that the respondent's continuing detention </w:t>
      </w:r>
      <w:r w:rsidR="00EC73B1" w:rsidRPr="00191C99">
        <w:rPr>
          <w:rFonts w:ascii="Times New Roman" w:hAnsi="Times New Roman"/>
        </w:rPr>
        <w:t xml:space="preserve">for the purpose of enabling </w:t>
      </w:r>
      <w:r w:rsidR="00DB6EC3" w:rsidRPr="00191C99">
        <w:rPr>
          <w:rFonts w:ascii="Times New Roman" w:hAnsi="Times New Roman"/>
        </w:rPr>
        <w:t xml:space="preserve">the </w:t>
      </w:r>
      <w:r w:rsidR="003E5AC1" w:rsidRPr="00191C99">
        <w:rPr>
          <w:rFonts w:ascii="Times New Roman" w:hAnsi="Times New Roman"/>
        </w:rPr>
        <w:t xml:space="preserve">determination of the proceeding and, thereafter, </w:t>
      </w:r>
      <w:r w:rsidR="00060EBC" w:rsidRPr="00191C99">
        <w:rPr>
          <w:rFonts w:ascii="Times New Roman" w:hAnsi="Times New Roman"/>
        </w:rPr>
        <w:t xml:space="preserve">enabling </w:t>
      </w:r>
      <w:r w:rsidR="003E5AC1" w:rsidRPr="00191C99">
        <w:rPr>
          <w:rFonts w:ascii="Times New Roman" w:hAnsi="Times New Roman"/>
        </w:rPr>
        <w:t xml:space="preserve">the </w:t>
      </w:r>
      <w:r w:rsidR="00DB6EC3" w:rsidRPr="00191C99">
        <w:rPr>
          <w:rFonts w:ascii="Times New Roman" w:hAnsi="Times New Roman"/>
        </w:rPr>
        <w:t xml:space="preserve">Minister (if the Minister wishes) </w:t>
      </w:r>
      <w:r w:rsidR="00060EBC" w:rsidRPr="00191C99">
        <w:rPr>
          <w:rFonts w:ascii="Times New Roman" w:hAnsi="Times New Roman"/>
        </w:rPr>
        <w:t xml:space="preserve">to </w:t>
      </w:r>
      <w:r w:rsidR="00DB6EC3" w:rsidRPr="00191C99">
        <w:rPr>
          <w:rFonts w:ascii="Times New Roman" w:hAnsi="Times New Roman"/>
        </w:rPr>
        <w:t xml:space="preserve">consider </w:t>
      </w:r>
      <w:r w:rsidR="000558F6" w:rsidRPr="00191C99">
        <w:rPr>
          <w:rFonts w:ascii="Times New Roman" w:hAnsi="Times New Roman"/>
        </w:rPr>
        <w:t xml:space="preserve">the </w:t>
      </w:r>
      <w:r w:rsidR="00DB6EC3" w:rsidRPr="00191C99">
        <w:rPr>
          <w:rFonts w:ascii="Times New Roman" w:hAnsi="Times New Roman"/>
        </w:rPr>
        <w:t>request</w:t>
      </w:r>
      <w:r w:rsidR="00010155" w:rsidRPr="00191C99">
        <w:rPr>
          <w:rFonts w:ascii="Times New Roman" w:hAnsi="Times New Roman"/>
        </w:rPr>
        <w:t>(</w:t>
      </w:r>
      <w:r w:rsidR="000558F6" w:rsidRPr="00191C99">
        <w:rPr>
          <w:rFonts w:ascii="Times New Roman" w:hAnsi="Times New Roman"/>
        </w:rPr>
        <w:t>s</w:t>
      </w:r>
      <w:r w:rsidR="00010155" w:rsidRPr="00191C99">
        <w:rPr>
          <w:rFonts w:ascii="Times New Roman" w:hAnsi="Times New Roman"/>
        </w:rPr>
        <w:t>)</w:t>
      </w:r>
      <w:r w:rsidR="00DB6EC3" w:rsidRPr="00191C99">
        <w:rPr>
          <w:rFonts w:ascii="Times New Roman" w:hAnsi="Times New Roman"/>
        </w:rPr>
        <w:t xml:space="preserve"> </w:t>
      </w:r>
      <w:r w:rsidR="00D36826" w:rsidRPr="00191C99">
        <w:rPr>
          <w:rFonts w:ascii="Times New Roman" w:hAnsi="Times New Roman"/>
        </w:rPr>
        <w:t xml:space="preserve">within </w:t>
      </w:r>
      <w:r w:rsidR="009D0007" w:rsidRPr="00191C99">
        <w:rPr>
          <w:rFonts w:ascii="Times New Roman" w:hAnsi="Times New Roman"/>
        </w:rPr>
        <w:t xml:space="preserve">a reasonable time </w:t>
      </w:r>
      <w:r w:rsidR="000558F6" w:rsidRPr="00191C99">
        <w:rPr>
          <w:rFonts w:ascii="Times New Roman" w:hAnsi="Times New Roman"/>
        </w:rPr>
        <w:t xml:space="preserve">does not involve detention of the respondent </w:t>
      </w:r>
      <w:r w:rsidR="0055565B" w:rsidRPr="00191C99">
        <w:rPr>
          <w:rFonts w:ascii="Times New Roman" w:hAnsi="Times New Roman"/>
        </w:rPr>
        <w:t>within the sole control of the Executive</w:t>
      </w:r>
      <w:r w:rsidR="000558F6" w:rsidRPr="00191C99">
        <w:rPr>
          <w:rFonts w:ascii="Times New Roman" w:hAnsi="Times New Roman"/>
        </w:rPr>
        <w:t xml:space="preserve"> and of indeterminate duration</w:t>
      </w:r>
      <w:r w:rsidR="00CB4E03" w:rsidRPr="00191C99">
        <w:rPr>
          <w:rFonts w:ascii="Times New Roman" w:hAnsi="Times New Roman"/>
        </w:rPr>
        <w:t xml:space="preserve">. </w:t>
      </w:r>
      <w:r w:rsidR="006749DA" w:rsidRPr="00191C99">
        <w:rPr>
          <w:rFonts w:ascii="Times New Roman" w:hAnsi="Times New Roman"/>
        </w:rPr>
        <w:t>Section</w:t>
      </w:r>
      <w:r w:rsidR="0055565B" w:rsidRPr="00191C99">
        <w:rPr>
          <w:rFonts w:ascii="Times New Roman" w:hAnsi="Times New Roman"/>
        </w:rPr>
        <w:t> 198(6)</w:t>
      </w:r>
      <w:r w:rsidR="00E81F19" w:rsidRPr="00191C99">
        <w:rPr>
          <w:rFonts w:ascii="Times New Roman" w:hAnsi="Times New Roman"/>
        </w:rPr>
        <w:t xml:space="preserve">, by reason of the </w:t>
      </w:r>
      <w:r w:rsidR="009314A3" w:rsidRPr="00191C99">
        <w:rPr>
          <w:rFonts w:ascii="Times New Roman" w:hAnsi="Times New Roman"/>
        </w:rPr>
        <w:t xml:space="preserve">qualification of the power and the duty to remove conveyed by the words </w:t>
      </w:r>
      <w:r w:rsidR="00E81F19" w:rsidRPr="00191C99">
        <w:rPr>
          <w:rFonts w:ascii="Times New Roman" w:hAnsi="Times New Roman"/>
        </w:rPr>
        <w:t>"as soon as reasonably practicable"</w:t>
      </w:r>
      <w:r w:rsidR="009314A3" w:rsidRPr="00191C99">
        <w:rPr>
          <w:rFonts w:ascii="Times New Roman" w:hAnsi="Times New Roman"/>
        </w:rPr>
        <w:t xml:space="preserve">, </w:t>
      </w:r>
      <w:r w:rsidR="006F0C88" w:rsidRPr="00191C99">
        <w:rPr>
          <w:rFonts w:ascii="Times New Roman" w:hAnsi="Times New Roman"/>
        </w:rPr>
        <w:t>yield</w:t>
      </w:r>
      <w:r w:rsidR="009314A3" w:rsidRPr="00191C99">
        <w:rPr>
          <w:rFonts w:ascii="Times New Roman" w:hAnsi="Times New Roman"/>
        </w:rPr>
        <w:t>s</w:t>
      </w:r>
      <w:r w:rsidR="006F0C88" w:rsidRPr="00191C99">
        <w:rPr>
          <w:rFonts w:ascii="Times New Roman" w:hAnsi="Times New Roman"/>
        </w:rPr>
        <w:t xml:space="preserve"> </w:t>
      </w:r>
      <w:r w:rsidR="00255E76" w:rsidRPr="00191C99">
        <w:rPr>
          <w:rFonts w:ascii="Times New Roman" w:hAnsi="Times New Roman"/>
        </w:rPr>
        <w:t xml:space="preserve">to </w:t>
      </w:r>
      <w:r w:rsidR="0055565B" w:rsidRPr="00191C99">
        <w:rPr>
          <w:rFonts w:ascii="Times New Roman" w:hAnsi="Times New Roman"/>
        </w:rPr>
        <w:t xml:space="preserve">the </w:t>
      </w:r>
      <w:r w:rsidR="00255E76" w:rsidRPr="00191C99">
        <w:rPr>
          <w:rFonts w:ascii="Times New Roman" w:hAnsi="Times New Roman"/>
        </w:rPr>
        <w:t xml:space="preserve">fact </w:t>
      </w:r>
      <w:r w:rsidR="0045090B" w:rsidRPr="00191C99">
        <w:rPr>
          <w:rFonts w:ascii="Times New Roman" w:hAnsi="Times New Roman"/>
        </w:rPr>
        <w:t xml:space="preserve">of </w:t>
      </w:r>
      <w:r w:rsidR="00255E76" w:rsidRPr="00191C99">
        <w:rPr>
          <w:rFonts w:ascii="Times New Roman" w:hAnsi="Times New Roman"/>
        </w:rPr>
        <w:t>the grant of the interlocutory injunction to prevent frustration of the proceeding</w:t>
      </w:r>
      <w:r w:rsidR="0045090B" w:rsidRPr="00191C99">
        <w:rPr>
          <w:rFonts w:ascii="Times New Roman" w:hAnsi="Times New Roman"/>
        </w:rPr>
        <w:t xml:space="preserve">. </w:t>
      </w:r>
    </w:p>
    <w:p w14:paraId="4E8C3B49" w14:textId="46FCA9A2" w:rsidR="000703FA" w:rsidRPr="00191C99" w:rsidRDefault="000703FA"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FA1714" w:rsidRPr="00191C99">
        <w:rPr>
          <w:rFonts w:ascii="Times New Roman" w:hAnsi="Times New Roman"/>
        </w:rPr>
        <w:t xml:space="preserve">So construed, there is </w:t>
      </w:r>
      <w:r w:rsidR="002F3382" w:rsidRPr="00191C99">
        <w:rPr>
          <w:rFonts w:ascii="Times New Roman" w:hAnsi="Times New Roman"/>
        </w:rPr>
        <w:t xml:space="preserve">also no </w:t>
      </w:r>
      <w:r w:rsidR="00B47E5C" w:rsidRPr="00191C99">
        <w:rPr>
          <w:rFonts w:ascii="Times New Roman" w:hAnsi="Times New Roman"/>
        </w:rPr>
        <w:t>postponement, suspension or deferral of the power and duty in s 198(6)</w:t>
      </w:r>
      <w:r w:rsidR="00DD1E4A" w:rsidRPr="00191C99">
        <w:rPr>
          <w:rFonts w:ascii="Times New Roman" w:hAnsi="Times New Roman"/>
        </w:rPr>
        <w:t xml:space="preserve"> of the </w:t>
      </w:r>
      <w:r w:rsidR="00DD1E4A" w:rsidRPr="00191C99">
        <w:rPr>
          <w:rFonts w:ascii="Times New Roman" w:hAnsi="Times New Roman"/>
          <w:i/>
          <w:iCs/>
        </w:rPr>
        <w:t>Migration Act</w:t>
      </w:r>
      <w:r w:rsidR="00B47E5C" w:rsidRPr="00191C99">
        <w:rPr>
          <w:rFonts w:ascii="Times New Roman" w:hAnsi="Times New Roman"/>
        </w:rPr>
        <w:t>. Rather</w:t>
      </w:r>
      <w:r w:rsidR="00A22C66" w:rsidRPr="00191C99">
        <w:rPr>
          <w:rFonts w:ascii="Times New Roman" w:hAnsi="Times New Roman"/>
        </w:rPr>
        <w:t>,</w:t>
      </w:r>
      <w:r w:rsidR="00B47E5C" w:rsidRPr="00191C99">
        <w:rPr>
          <w:rFonts w:ascii="Times New Roman" w:hAnsi="Times New Roman"/>
        </w:rPr>
        <w:t xml:space="preserve"> </w:t>
      </w:r>
      <w:r w:rsidR="00A54782" w:rsidRPr="00191C99">
        <w:rPr>
          <w:rFonts w:ascii="Times New Roman" w:hAnsi="Times New Roman"/>
        </w:rPr>
        <w:t xml:space="preserve">on the grant of the interlocutory injunction and for so long as it remains in force, the </w:t>
      </w:r>
      <w:r w:rsidR="00B47E5C" w:rsidRPr="00191C99">
        <w:rPr>
          <w:rFonts w:ascii="Times New Roman" w:hAnsi="Times New Roman"/>
        </w:rPr>
        <w:t xml:space="preserve">occasion for the </w:t>
      </w:r>
      <w:r w:rsidR="00A22C66" w:rsidRPr="00191C99">
        <w:rPr>
          <w:rFonts w:ascii="Times New Roman" w:hAnsi="Times New Roman"/>
        </w:rPr>
        <w:t xml:space="preserve">exercise of </w:t>
      </w:r>
      <w:r w:rsidR="002F3382" w:rsidRPr="00191C99">
        <w:rPr>
          <w:rFonts w:ascii="Times New Roman" w:hAnsi="Times New Roman"/>
        </w:rPr>
        <w:t xml:space="preserve">the </w:t>
      </w:r>
      <w:r w:rsidR="00A22C66" w:rsidRPr="00191C99">
        <w:rPr>
          <w:rFonts w:ascii="Times New Roman" w:hAnsi="Times New Roman"/>
        </w:rPr>
        <w:t xml:space="preserve">power and the discharge of </w:t>
      </w:r>
      <w:r w:rsidR="002F3382" w:rsidRPr="00191C99">
        <w:rPr>
          <w:rFonts w:ascii="Times New Roman" w:hAnsi="Times New Roman"/>
        </w:rPr>
        <w:t xml:space="preserve">the </w:t>
      </w:r>
      <w:r w:rsidR="00A22C66" w:rsidRPr="00191C99">
        <w:rPr>
          <w:rFonts w:ascii="Times New Roman" w:hAnsi="Times New Roman"/>
        </w:rPr>
        <w:t>duty</w:t>
      </w:r>
      <w:r w:rsidR="00EE09C2" w:rsidRPr="00191C99">
        <w:rPr>
          <w:rFonts w:ascii="Times New Roman" w:hAnsi="Times New Roman"/>
        </w:rPr>
        <w:t xml:space="preserve"> </w:t>
      </w:r>
      <w:r w:rsidR="002F3382" w:rsidRPr="00191C99">
        <w:rPr>
          <w:rFonts w:ascii="Times New Roman" w:hAnsi="Times New Roman"/>
        </w:rPr>
        <w:t xml:space="preserve">in s 198(6) </w:t>
      </w:r>
      <w:r w:rsidR="00EE09C2" w:rsidRPr="00191C99">
        <w:rPr>
          <w:rFonts w:ascii="Times New Roman" w:hAnsi="Times New Roman"/>
        </w:rPr>
        <w:t>does not exist</w:t>
      </w:r>
      <w:r w:rsidR="00DD7FC0" w:rsidRPr="00191C99">
        <w:rPr>
          <w:rFonts w:ascii="Times New Roman" w:hAnsi="Times New Roman"/>
        </w:rPr>
        <w:t>.</w:t>
      </w:r>
      <w:r w:rsidR="00BB5E74" w:rsidRPr="00191C99">
        <w:rPr>
          <w:rFonts w:ascii="Times New Roman" w:hAnsi="Times New Roman"/>
        </w:rPr>
        <w:t xml:space="preserve"> </w:t>
      </w:r>
      <w:r w:rsidR="00FF129B" w:rsidRPr="00191C99">
        <w:rPr>
          <w:rFonts w:ascii="Times New Roman" w:hAnsi="Times New Roman"/>
        </w:rPr>
        <w:t xml:space="preserve">It follows that there can never be an inconsistency between, on the one hand, the duty of an officer to remove an unlawful non-citizen under s 198(6) and, on the other hand, the operation of an interlocutory injunction </w:t>
      </w:r>
      <w:r w:rsidR="00EE09C2" w:rsidRPr="00191C99">
        <w:rPr>
          <w:rFonts w:ascii="Times New Roman" w:hAnsi="Times New Roman"/>
        </w:rPr>
        <w:t xml:space="preserve">granted </w:t>
      </w:r>
      <w:r w:rsidR="00FF129B" w:rsidRPr="00191C99">
        <w:rPr>
          <w:rFonts w:ascii="Times New Roman" w:hAnsi="Times New Roman"/>
        </w:rPr>
        <w:t xml:space="preserve">by </w:t>
      </w:r>
      <w:r w:rsidR="00F77AA5" w:rsidRPr="00191C99">
        <w:rPr>
          <w:rFonts w:ascii="Times New Roman" w:hAnsi="Times New Roman"/>
        </w:rPr>
        <w:t xml:space="preserve">this </w:t>
      </w:r>
      <w:r w:rsidR="00FF129B" w:rsidRPr="00191C99">
        <w:rPr>
          <w:rFonts w:ascii="Times New Roman" w:hAnsi="Times New Roman"/>
        </w:rPr>
        <w:t>Court, the Federal Court, or the Federal Circuit and Family Court of Australia (Division</w:t>
      </w:r>
      <w:r w:rsidR="00986BF1" w:rsidRPr="00191C99">
        <w:rPr>
          <w:rFonts w:ascii="Times New Roman" w:hAnsi="Times New Roman"/>
        </w:rPr>
        <w:t> </w:t>
      </w:r>
      <w:r w:rsidR="00FF129B" w:rsidRPr="00191C99">
        <w:rPr>
          <w:rFonts w:ascii="Times New Roman" w:hAnsi="Times New Roman"/>
        </w:rPr>
        <w:t xml:space="preserve">2) (as relevant) </w:t>
      </w:r>
      <w:r w:rsidR="008F1AD1" w:rsidRPr="00191C99">
        <w:rPr>
          <w:rFonts w:ascii="Times New Roman" w:hAnsi="Times New Roman"/>
        </w:rPr>
        <w:t xml:space="preserve">restraining an officer from removing an unlawful non-citizen in purported compliance with the duty in </w:t>
      </w:r>
      <w:r w:rsidR="00E075D5" w:rsidRPr="00191C99">
        <w:rPr>
          <w:rFonts w:ascii="Times New Roman" w:hAnsi="Times New Roman"/>
        </w:rPr>
        <w:t xml:space="preserve">s 198(6). </w:t>
      </w:r>
      <w:r w:rsidR="00634F0A" w:rsidRPr="00191C99">
        <w:rPr>
          <w:rFonts w:ascii="Times New Roman" w:hAnsi="Times New Roman"/>
        </w:rPr>
        <w:t>The</w:t>
      </w:r>
      <w:r w:rsidR="00EC27DC" w:rsidRPr="00191C99">
        <w:rPr>
          <w:rFonts w:ascii="Times New Roman" w:hAnsi="Times New Roman"/>
        </w:rPr>
        <w:t>refore, the</w:t>
      </w:r>
      <w:r w:rsidR="00634F0A" w:rsidRPr="00191C99">
        <w:rPr>
          <w:rFonts w:ascii="Times New Roman" w:hAnsi="Times New Roman"/>
        </w:rPr>
        <w:t xml:space="preserve"> question whether the power to grant an interlocutory injunction permits non-compliance with a valid statute does not arise.</w:t>
      </w:r>
      <w:r w:rsidR="00846A8E" w:rsidRPr="00191C99">
        <w:rPr>
          <w:rStyle w:val="FootnoteReference"/>
          <w:rFonts w:ascii="Times New Roman" w:hAnsi="Times New Roman"/>
          <w:sz w:val="24"/>
        </w:rPr>
        <w:footnoteReference w:id="74"/>
      </w:r>
    </w:p>
    <w:p w14:paraId="35E6DC31" w14:textId="379A4E3F" w:rsidR="00E077CB" w:rsidRPr="00191C99" w:rsidRDefault="00E077CB" w:rsidP="00191C99">
      <w:pPr>
        <w:pStyle w:val="FixListStyle"/>
        <w:spacing w:after="260" w:line="280" w:lineRule="exact"/>
        <w:ind w:right="0"/>
        <w:jc w:val="both"/>
        <w:rPr>
          <w:rFonts w:ascii="Times New Roman" w:hAnsi="Times New Roman"/>
        </w:rPr>
      </w:pPr>
      <w:r w:rsidRPr="00191C99">
        <w:rPr>
          <w:rFonts w:ascii="Times New Roman" w:hAnsi="Times New Roman"/>
        </w:rPr>
        <w:lastRenderedPageBreak/>
        <w:tab/>
        <w:t xml:space="preserve">The reasoning in </w:t>
      </w:r>
      <w:r w:rsidRPr="00191C99">
        <w:rPr>
          <w:rFonts w:ascii="Times New Roman" w:hAnsi="Times New Roman"/>
          <w:i/>
          <w:iCs/>
        </w:rPr>
        <w:t>Plaintiff </w:t>
      </w:r>
      <w:r w:rsidR="008048DD" w:rsidRPr="00191C99">
        <w:rPr>
          <w:rFonts w:ascii="Times New Roman" w:hAnsi="Times New Roman"/>
          <w:i/>
          <w:iCs/>
        </w:rPr>
        <w:t>S4/2014 v Minister for Immigration and Border Protection</w:t>
      </w:r>
      <w:r w:rsidR="008048DD" w:rsidRPr="00191C99">
        <w:rPr>
          <w:rStyle w:val="FootnoteReference"/>
          <w:rFonts w:ascii="Times New Roman" w:hAnsi="Times New Roman"/>
          <w:sz w:val="24"/>
        </w:rPr>
        <w:footnoteReference w:id="75"/>
      </w:r>
      <w:r w:rsidR="00F4436C" w:rsidRPr="00191C99">
        <w:rPr>
          <w:rFonts w:ascii="Times New Roman" w:hAnsi="Times New Roman"/>
          <w:i/>
          <w:iCs/>
        </w:rPr>
        <w:t xml:space="preserve"> </w:t>
      </w:r>
      <w:r w:rsidR="00F4436C" w:rsidRPr="00191C99">
        <w:rPr>
          <w:rFonts w:ascii="Times New Roman" w:hAnsi="Times New Roman"/>
        </w:rPr>
        <w:t>is consistent with this conclusion.</w:t>
      </w:r>
      <w:r w:rsidR="00F4436C" w:rsidRPr="00191C99">
        <w:rPr>
          <w:rFonts w:ascii="Times New Roman" w:hAnsi="Times New Roman"/>
          <w:i/>
          <w:iCs/>
        </w:rPr>
        <w:t xml:space="preserve"> </w:t>
      </w:r>
      <w:r w:rsidR="007F1F02" w:rsidRPr="00191C99">
        <w:rPr>
          <w:rFonts w:ascii="Times New Roman" w:hAnsi="Times New Roman"/>
        </w:rPr>
        <w:t xml:space="preserve">The point which </w:t>
      </w:r>
      <w:r w:rsidR="007C560F" w:rsidRPr="00191C99">
        <w:rPr>
          <w:rFonts w:ascii="Times New Roman" w:hAnsi="Times New Roman"/>
        </w:rPr>
        <w:t>French</w:t>
      </w:r>
      <w:r w:rsidR="00E211EB" w:rsidRPr="00191C99">
        <w:rPr>
          <w:rFonts w:ascii="Times New Roman" w:hAnsi="Times New Roman"/>
        </w:rPr>
        <w:t> </w:t>
      </w:r>
      <w:r w:rsidR="007C560F" w:rsidRPr="00191C99">
        <w:rPr>
          <w:rFonts w:ascii="Times New Roman" w:hAnsi="Times New Roman"/>
        </w:rPr>
        <w:t xml:space="preserve">CJ, Hayne, </w:t>
      </w:r>
      <w:proofErr w:type="spellStart"/>
      <w:r w:rsidR="007C560F" w:rsidRPr="00191C99">
        <w:rPr>
          <w:rFonts w:ascii="Times New Roman" w:hAnsi="Times New Roman"/>
        </w:rPr>
        <w:t>Crennan</w:t>
      </w:r>
      <w:proofErr w:type="spellEnd"/>
      <w:r w:rsidR="007C560F" w:rsidRPr="00191C99">
        <w:rPr>
          <w:rFonts w:ascii="Times New Roman" w:hAnsi="Times New Roman"/>
        </w:rPr>
        <w:t>, Kiefel and Keane</w:t>
      </w:r>
      <w:r w:rsidR="00E211EB" w:rsidRPr="00191C99">
        <w:rPr>
          <w:rFonts w:ascii="Times New Roman" w:hAnsi="Times New Roman"/>
        </w:rPr>
        <w:t> </w:t>
      </w:r>
      <w:r w:rsidR="007C560F" w:rsidRPr="00191C99">
        <w:rPr>
          <w:rFonts w:ascii="Times New Roman" w:hAnsi="Times New Roman"/>
        </w:rPr>
        <w:t xml:space="preserve">JJ were making in </w:t>
      </w:r>
      <w:r w:rsidR="007C560F" w:rsidRPr="00191C99">
        <w:rPr>
          <w:rFonts w:ascii="Times New Roman" w:hAnsi="Times New Roman"/>
          <w:i/>
          <w:iCs/>
        </w:rPr>
        <w:t>Plaintiff S4/2014</w:t>
      </w:r>
      <w:r w:rsidR="007C560F" w:rsidRPr="00191C99">
        <w:rPr>
          <w:rFonts w:ascii="Times New Roman" w:hAnsi="Times New Roman"/>
        </w:rPr>
        <w:t xml:space="preserve">, </w:t>
      </w:r>
      <w:r w:rsidR="00980BEB" w:rsidRPr="00191C99">
        <w:rPr>
          <w:rFonts w:ascii="Times New Roman" w:hAnsi="Times New Roman"/>
        </w:rPr>
        <w:t xml:space="preserve">as </w:t>
      </w:r>
      <w:r w:rsidR="007C560F" w:rsidRPr="00191C99">
        <w:rPr>
          <w:rFonts w:ascii="Times New Roman" w:hAnsi="Times New Roman"/>
        </w:rPr>
        <w:t xml:space="preserve">relevant to the present case, is that </w:t>
      </w:r>
      <w:r w:rsidR="00334B88" w:rsidRPr="00191C99">
        <w:rPr>
          <w:rFonts w:ascii="Times New Roman" w:hAnsi="Times New Roman"/>
        </w:rPr>
        <w:t>t</w:t>
      </w:r>
      <w:r w:rsidR="007C560F" w:rsidRPr="00191C99">
        <w:rPr>
          <w:rFonts w:ascii="Times New Roman" w:hAnsi="Times New Roman"/>
        </w:rPr>
        <w:t>he qualification on</w:t>
      </w:r>
      <w:r w:rsidR="005364EF" w:rsidRPr="00191C99">
        <w:rPr>
          <w:rFonts w:ascii="Times New Roman" w:hAnsi="Times New Roman"/>
        </w:rPr>
        <w:t xml:space="preserve"> the</w:t>
      </w:r>
      <w:r w:rsidR="006661DB" w:rsidRPr="00191C99">
        <w:rPr>
          <w:rFonts w:ascii="Times New Roman" w:hAnsi="Times New Roman"/>
        </w:rPr>
        <w:t xml:space="preserve"> removal duty </w:t>
      </w:r>
      <w:r w:rsidR="007C560F" w:rsidRPr="00191C99">
        <w:rPr>
          <w:rFonts w:ascii="Times New Roman" w:hAnsi="Times New Roman"/>
        </w:rPr>
        <w:t>"as soon as reasonably practicable"</w:t>
      </w:r>
      <w:r w:rsidR="000B236E" w:rsidRPr="00191C99">
        <w:rPr>
          <w:rFonts w:ascii="Times New Roman" w:hAnsi="Times New Roman"/>
        </w:rPr>
        <w:t xml:space="preserve"> </w:t>
      </w:r>
      <w:r w:rsidR="006661DB" w:rsidRPr="00191C99">
        <w:rPr>
          <w:rFonts w:ascii="Times New Roman" w:hAnsi="Times New Roman"/>
        </w:rPr>
        <w:t xml:space="preserve">in s 198(2) </w:t>
      </w:r>
      <w:r w:rsidR="000B236E" w:rsidRPr="00191C99">
        <w:rPr>
          <w:rFonts w:ascii="Times New Roman" w:hAnsi="Times New Roman"/>
        </w:rPr>
        <w:t>(</w:t>
      </w:r>
      <w:r w:rsidR="00CE3D7F" w:rsidRPr="00191C99">
        <w:rPr>
          <w:rFonts w:ascii="Times New Roman" w:hAnsi="Times New Roman"/>
        </w:rPr>
        <w:t>being the same as the qualification in s 198(</w:t>
      </w:r>
      <w:r w:rsidR="00B3427A" w:rsidRPr="00191C99">
        <w:rPr>
          <w:rFonts w:ascii="Times New Roman" w:hAnsi="Times New Roman"/>
        </w:rPr>
        <w:t>6) and the other provisions for removal in s 198)</w:t>
      </w:r>
      <w:r w:rsidR="000B236E" w:rsidRPr="00191C99">
        <w:rPr>
          <w:rFonts w:ascii="Times New Roman" w:hAnsi="Times New Roman"/>
        </w:rPr>
        <w:t>, in its temporal dimension, fixes a</w:t>
      </w:r>
      <w:r w:rsidR="00B3427A" w:rsidRPr="00191C99">
        <w:rPr>
          <w:rFonts w:ascii="Times New Roman" w:hAnsi="Times New Roman"/>
        </w:rPr>
        <w:t>n</w:t>
      </w:r>
      <w:r w:rsidR="000B236E" w:rsidRPr="00191C99">
        <w:rPr>
          <w:rFonts w:ascii="Times New Roman" w:hAnsi="Times New Roman"/>
        </w:rPr>
        <w:t xml:space="preserve"> end point for detention. That is, once </w:t>
      </w:r>
      <w:r w:rsidR="00B3427A" w:rsidRPr="00191C99">
        <w:rPr>
          <w:rFonts w:ascii="Times New Roman" w:hAnsi="Times New Roman"/>
        </w:rPr>
        <w:t xml:space="preserve">it is reasonably practicable for removal to be effected, that removal is to be effected "as soon" as </w:t>
      </w:r>
      <w:r w:rsidR="00126CBC" w:rsidRPr="00191C99">
        <w:rPr>
          <w:rFonts w:ascii="Times New Roman" w:hAnsi="Times New Roman"/>
        </w:rPr>
        <w:t>such reasonabl</w:t>
      </w:r>
      <w:r w:rsidR="00E3517E" w:rsidRPr="00191C99">
        <w:rPr>
          <w:rFonts w:ascii="Times New Roman" w:hAnsi="Times New Roman"/>
        </w:rPr>
        <w:t>e</w:t>
      </w:r>
      <w:r w:rsidR="00126CBC" w:rsidRPr="00191C99">
        <w:rPr>
          <w:rFonts w:ascii="Times New Roman" w:hAnsi="Times New Roman"/>
        </w:rPr>
        <w:t xml:space="preserve"> practicability exists. </w:t>
      </w:r>
      <w:r w:rsidR="007A5ABC" w:rsidRPr="00191C99">
        <w:rPr>
          <w:rFonts w:ascii="Times New Roman" w:hAnsi="Times New Roman"/>
        </w:rPr>
        <w:t>As their Honours put it:</w:t>
      </w:r>
      <w:r w:rsidR="007A5ABC" w:rsidRPr="00191C99">
        <w:rPr>
          <w:rStyle w:val="FootnoteReference"/>
          <w:rFonts w:ascii="Times New Roman" w:hAnsi="Times New Roman"/>
          <w:sz w:val="24"/>
        </w:rPr>
        <w:footnoteReference w:id="76"/>
      </w:r>
    </w:p>
    <w:p w14:paraId="24CBD4B6" w14:textId="77777777" w:rsidR="00191C99" w:rsidRDefault="00995F01" w:rsidP="00191C99">
      <w:pPr>
        <w:pStyle w:val="leftright"/>
        <w:spacing w:before="0" w:after="260" w:line="280" w:lineRule="exact"/>
        <w:ind w:right="0"/>
        <w:jc w:val="both"/>
        <w:rPr>
          <w:rFonts w:ascii="Times New Roman" w:hAnsi="Times New Roman"/>
        </w:rPr>
      </w:pPr>
      <w:r w:rsidRPr="00191C99">
        <w:rPr>
          <w:rFonts w:ascii="Times New Roman" w:hAnsi="Times New Roman"/>
        </w:rPr>
        <w:tab/>
      </w:r>
      <w:r w:rsidR="007A5ABC" w:rsidRPr="00191C99">
        <w:rPr>
          <w:rFonts w:ascii="Times New Roman" w:hAnsi="Times New Roman"/>
        </w:rPr>
        <w:t>"The duration of the plaintiff</w:t>
      </w:r>
      <w:r w:rsidR="00CC168E" w:rsidRPr="00191C99">
        <w:rPr>
          <w:rFonts w:ascii="Times New Roman" w:hAnsi="Times New Roman"/>
        </w:rPr>
        <w:t>'</w:t>
      </w:r>
      <w:r w:rsidR="007A5ABC" w:rsidRPr="00191C99">
        <w:rPr>
          <w:rFonts w:ascii="Times New Roman" w:hAnsi="Times New Roman"/>
        </w:rPr>
        <w:t>s lawful detention under the Act was thus ultimately bounded by the Act</w:t>
      </w:r>
      <w:r w:rsidR="0083082E" w:rsidRPr="00191C99">
        <w:rPr>
          <w:rFonts w:ascii="Times New Roman" w:hAnsi="Times New Roman"/>
        </w:rPr>
        <w:t>'</w:t>
      </w:r>
      <w:r w:rsidR="007A5ABC" w:rsidRPr="00191C99">
        <w:rPr>
          <w:rFonts w:ascii="Times New Roman" w:hAnsi="Times New Roman"/>
        </w:rPr>
        <w:t>s requirement to effect his removal as soon as reasonably practicable. It was bounded in this way because the requirement to remove was the only event terminating immigration detention which, all else failing, must occur."</w:t>
      </w:r>
    </w:p>
    <w:p w14:paraId="33E23BC0" w14:textId="4690319B" w:rsidR="001F7439" w:rsidRPr="00191C99" w:rsidRDefault="00DD7FC0"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1F7439" w:rsidRPr="00191C99">
        <w:rPr>
          <w:rFonts w:ascii="Times New Roman" w:hAnsi="Times New Roman"/>
        </w:rPr>
        <w:t>By this means</w:t>
      </w:r>
      <w:r w:rsidR="00FE0B3D" w:rsidRPr="00191C99">
        <w:rPr>
          <w:rFonts w:ascii="Times New Roman" w:hAnsi="Times New Roman"/>
        </w:rPr>
        <w:t>,</w:t>
      </w:r>
      <w:r w:rsidR="001F7439" w:rsidRPr="00191C99">
        <w:rPr>
          <w:rFonts w:ascii="Times New Roman" w:hAnsi="Times New Roman"/>
        </w:rPr>
        <w:t xml:space="preserve"> detention by the Executive </w:t>
      </w:r>
      <w:r w:rsidR="00980BEB" w:rsidRPr="00191C99">
        <w:rPr>
          <w:rFonts w:ascii="Times New Roman" w:hAnsi="Times New Roman"/>
        </w:rPr>
        <w:t xml:space="preserve">in </w:t>
      </w:r>
      <w:r w:rsidR="00980BEB" w:rsidRPr="00191C99">
        <w:rPr>
          <w:rFonts w:ascii="Times New Roman" w:hAnsi="Times New Roman"/>
          <w:i/>
          <w:iCs/>
        </w:rPr>
        <w:t xml:space="preserve">Plaintiff S4/2014 </w:t>
      </w:r>
      <w:r w:rsidR="001F7439" w:rsidRPr="00191C99">
        <w:rPr>
          <w:rFonts w:ascii="Times New Roman" w:hAnsi="Times New Roman"/>
        </w:rPr>
        <w:t xml:space="preserve">was both for a legitimate and non-punitive purpose (described as </w:t>
      </w:r>
      <w:r w:rsidR="00FE0B3D" w:rsidRPr="00191C99">
        <w:rPr>
          <w:rFonts w:ascii="Times New Roman" w:hAnsi="Times New Roman"/>
        </w:rPr>
        <w:t>"the purpose of removal from Australia; the purpose of receiving, investigating and determining an application for a visa permitting the alien to enter and remain in Australia; or</w:t>
      </w:r>
      <w:r w:rsidR="00B05E25" w:rsidRPr="00191C99">
        <w:rPr>
          <w:rFonts w:ascii="Times New Roman" w:hAnsi="Times New Roman"/>
        </w:rPr>
        <w:t> ... </w:t>
      </w:r>
      <w:r w:rsidR="00FE0B3D" w:rsidRPr="00191C99">
        <w:rPr>
          <w:rFonts w:ascii="Times New Roman" w:hAnsi="Times New Roman"/>
        </w:rPr>
        <w:t>the purpose of determining whether to permit a valid application for a visa"</w:t>
      </w:r>
      <w:r w:rsidR="00FE0B3D" w:rsidRPr="00191C99">
        <w:rPr>
          <w:rStyle w:val="FootnoteReference"/>
          <w:rFonts w:ascii="Times New Roman" w:hAnsi="Times New Roman"/>
          <w:sz w:val="24"/>
        </w:rPr>
        <w:footnoteReference w:id="77"/>
      </w:r>
      <w:r w:rsidR="00FE0B3D" w:rsidRPr="00191C99">
        <w:rPr>
          <w:rFonts w:ascii="Times New Roman" w:hAnsi="Times New Roman"/>
        </w:rPr>
        <w:t xml:space="preserve">) and of a determinate and not indeterminate period. </w:t>
      </w:r>
    </w:p>
    <w:p w14:paraId="091AF74A" w14:textId="77777777" w:rsidR="004A71C3" w:rsidRPr="00191C99" w:rsidRDefault="001F7439"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4A71C3" w:rsidRPr="00191C99">
        <w:rPr>
          <w:rFonts w:ascii="Times New Roman" w:hAnsi="Times New Roman"/>
        </w:rPr>
        <w:t xml:space="preserve">In </w:t>
      </w:r>
      <w:r w:rsidR="004A71C3" w:rsidRPr="00191C99">
        <w:rPr>
          <w:rFonts w:ascii="Times New Roman" w:hAnsi="Times New Roman"/>
          <w:i/>
          <w:iCs/>
        </w:rPr>
        <w:t>Plaintiff S4/2014</w:t>
      </w:r>
      <w:r w:rsidR="004A71C3" w:rsidRPr="00191C99">
        <w:rPr>
          <w:rFonts w:ascii="Times New Roman" w:hAnsi="Times New Roman"/>
        </w:rPr>
        <w:t xml:space="preserve"> </w:t>
      </w:r>
      <w:r w:rsidR="00E211EB" w:rsidRPr="00191C99">
        <w:rPr>
          <w:rFonts w:ascii="Times New Roman" w:hAnsi="Times New Roman"/>
        </w:rPr>
        <w:t xml:space="preserve">French CJ, Hayne, </w:t>
      </w:r>
      <w:proofErr w:type="spellStart"/>
      <w:r w:rsidR="00E211EB" w:rsidRPr="00191C99">
        <w:rPr>
          <w:rFonts w:ascii="Times New Roman" w:hAnsi="Times New Roman"/>
        </w:rPr>
        <w:t>Crennan</w:t>
      </w:r>
      <w:proofErr w:type="spellEnd"/>
      <w:r w:rsidR="00E211EB" w:rsidRPr="00191C99">
        <w:rPr>
          <w:rFonts w:ascii="Times New Roman" w:hAnsi="Times New Roman"/>
        </w:rPr>
        <w:t>, Kiefel and Keane JJ then said:</w:t>
      </w:r>
      <w:r w:rsidR="002F20BB" w:rsidRPr="00191C99">
        <w:rPr>
          <w:rStyle w:val="FootnoteReference"/>
          <w:rFonts w:ascii="Times New Roman" w:hAnsi="Times New Roman"/>
          <w:sz w:val="24"/>
        </w:rPr>
        <w:footnoteReference w:id="78"/>
      </w:r>
    </w:p>
    <w:p w14:paraId="38811F19" w14:textId="77777777" w:rsidR="00191C99" w:rsidRDefault="009B4ABA" w:rsidP="00191C99">
      <w:pPr>
        <w:pStyle w:val="leftright"/>
        <w:spacing w:before="0" w:after="260" w:line="280" w:lineRule="exact"/>
        <w:ind w:right="0"/>
        <w:jc w:val="both"/>
        <w:rPr>
          <w:rFonts w:ascii="Times New Roman" w:hAnsi="Times New Roman"/>
        </w:rPr>
      </w:pPr>
      <w:r w:rsidRPr="00191C99">
        <w:rPr>
          <w:rFonts w:ascii="Times New Roman" w:hAnsi="Times New Roman"/>
        </w:rPr>
        <w:tab/>
      </w:r>
      <w:r w:rsidR="00E211EB" w:rsidRPr="00191C99">
        <w:rPr>
          <w:rFonts w:ascii="Times New Roman" w:hAnsi="Times New Roman"/>
        </w:rPr>
        <w:t>"</w:t>
      </w:r>
      <w:r w:rsidR="000A063D" w:rsidRPr="00191C99">
        <w:rPr>
          <w:rFonts w:ascii="Times New Roman" w:hAnsi="Times New Roman"/>
        </w:rPr>
        <w:t>In the Act</w:t>
      </w:r>
      <w:r w:rsidR="003B3D65" w:rsidRPr="00191C99">
        <w:rPr>
          <w:rFonts w:ascii="Times New Roman" w:hAnsi="Times New Roman"/>
        </w:rPr>
        <w:t>'</w:t>
      </w:r>
      <w:r w:rsidR="000A063D" w:rsidRPr="00191C99">
        <w:rPr>
          <w:rFonts w:ascii="Times New Roman" w:hAnsi="Times New Roman"/>
        </w:rPr>
        <w:t xml:space="preserve">s operation with respect to the plaintiff, the requirement to remove unlawful non-citizens as soon as reasonably practicable is to be treated as the leading provision, to which provisions allowing consideration of whether to permit the application for, or the grant of, a visa to an unlawful non-citizen who is being held in detention are to be understood as subordinate. The powers to consider whether to permit the application for, and the grant of, a visa had themselves to be pursued as soon as reasonably practicable. Unless those powers were to be exercised in a way that </w:t>
      </w:r>
      <w:r w:rsidR="000A063D" w:rsidRPr="00191C99">
        <w:rPr>
          <w:rFonts w:ascii="Times New Roman" w:hAnsi="Times New Roman"/>
        </w:rPr>
        <w:lastRenderedPageBreak/>
        <w:t>culminated in the plaintiff</w:t>
      </w:r>
      <w:r w:rsidR="000D5CFB" w:rsidRPr="00191C99">
        <w:rPr>
          <w:rFonts w:ascii="Times New Roman" w:hAnsi="Times New Roman"/>
        </w:rPr>
        <w:t>'</w:t>
      </w:r>
      <w:r w:rsidR="000A063D" w:rsidRPr="00191C99">
        <w:rPr>
          <w:rFonts w:ascii="Times New Roman" w:hAnsi="Times New Roman"/>
        </w:rPr>
        <w:t>s successfully applying for the grant of a visa, his detention had to be brought to an end by his removal from Australia as soon as reasonably practicable. That is, the decision to exercise the power under s 46A, any necessary inquiry, and the decision itself, must all be made as soon as reasonably practicable. Otherwise, the plaintiff</w:t>
      </w:r>
      <w:r w:rsidR="00EA26FB" w:rsidRPr="00191C99">
        <w:rPr>
          <w:rFonts w:ascii="Times New Roman" w:hAnsi="Times New Roman"/>
        </w:rPr>
        <w:t>'</w:t>
      </w:r>
      <w:r w:rsidR="000A063D" w:rsidRPr="00191C99">
        <w:rPr>
          <w:rFonts w:ascii="Times New Roman" w:hAnsi="Times New Roman"/>
        </w:rPr>
        <w:t>s detention would be unlawful."</w:t>
      </w:r>
    </w:p>
    <w:p w14:paraId="0226B636" w14:textId="5096AD7F" w:rsidR="000A063D" w:rsidRPr="00191C99" w:rsidRDefault="004A71C3"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6661DB" w:rsidRPr="00191C99">
        <w:rPr>
          <w:rFonts w:ascii="Times New Roman" w:hAnsi="Times New Roman"/>
        </w:rPr>
        <w:t xml:space="preserve">In characterising the removal power and duty in s 198(2) as the "leading provision" and the Minister's personal and non-compellable power in s 46A </w:t>
      </w:r>
      <w:r w:rsidR="0006579C" w:rsidRPr="00191C99">
        <w:rPr>
          <w:rFonts w:ascii="Times New Roman" w:hAnsi="Times New Roman"/>
        </w:rPr>
        <w:t xml:space="preserve">(to permit an application for a visa to be made) </w:t>
      </w:r>
      <w:r w:rsidR="006661DB" w:rsidRPr="00191C99">
        <w:rPr>
          <w:rFonts w:ascii="Times New Roman" w:hAnsi="Times New Roman"/>
        </w:rPr>
        <w:t>as "subordinate"</w:t>
      </w:r>
      <w:r w:rsidR="00277046" w:rsidRPr="00191C99">
        <w:rPr>
          <w:rFonts w:ascii="Times New Roman" w:hAnsi="Times New Roman"/>
        </w:rPr>
        <w:t>,</w:t>
      </w:r>
      <w:r w:rsidR="006661DB" w:rsidRPr="00191C99">
        <w:rPr>
          <w:rStyle w:val="FootnoteReference"/>
          <w:rFonts w:ascii="Times New Roman" w:hAnsi="Times New Roman"/>
          <w:sz w:val="24"/>
        </w:rPr>
        <w:footnoteReference w:id="79"/>
      </w:r>
      <w:r w:rsidR="00424882" w:rsidRPr="00191C99">
        <w:rPr>
          <w:rFonts w:ascii="Times New Roman" w:hAnsi="Times New Roman"/>
        </w:rPr>
        <w:t xml:space="preserve"> their Honours were saying that because the removal power and duty in s 198(2) was to be exercised "as soon as reasonably practicable", it followed that the Minister's consideration (and, therefore, </w:t>
      </w:r>
      <w:r w:rsidR="00B90FD1" w:rsidRPr="00191C99">
        <w:rPr>
          <w:rFonts w:ascii="Times New Roman" w:hAnsi="Times New Roman"/>
        </w:rPr>
        <w:t xml:space="preserve">also </w:t>
      </w:r>
      <w:r w:rsidR="00424882" w:rsidRPr="00191C99">
        <w:rPr>
          <w:rFonts w:ascii="Times New Roman" w:hAnsi="Times New Roman"/>
        </w:rPr>
        <w:t xml:space="preserve">non-consideration) of the </w:t>
      </w:r>
      <w:r w:rsidR="00FA39FB" w:rsidRPr="00191C99">
        <w:rPr>
          <w:rFonts w:ascii="Times New Roman" w:hAnsi="Times New Roman"/>
        </w:rPr>
        <w:t>Minister's personal and non</w:t>
      </w:r>
      <w:r w:rsidR="00B16877">
        <w:rPr>
          <w:rFonts w:ascii="Times New Roman" w:hAnsi="Times New Roman"/>
        </w:rPr>
        <w:noBreakHyphen/>
      </w:r>
      <w:r w:rsidR="00FA39FB" w:rsidRPr="00191C99">
        <w:rPr>
          <w:rFonts w:ascii="Times New Roman" w:hAnsi="Times New Roman"/>
        </w:rPr>
        <w:t xml:space="preserve">compellable power in s 46A also had to be completed "as soon as reasonably practicable". </w:t>
      </w:r>
      <w:r w:rsidR="00077FA9" w:rsidRPr="00191C99">
        <w:rPr>
          <w:rFonts w:ascii="Times New Roman" w:hAnsi="Times New Roman"/>
        </w:rPr>
        <w:t>It is</w:t>
      </w:r>
      <w:r w:rsidR="005B31FF" w:rsidRPr="00191C99">
        <w:rPr>
          <w:rFonts w:ascii="Times New Roman" w:hAnsi="Times New Roman"/>
        </w:rPr>
        <w:t xml:space="preserve"> in</w:t>
      </w:r>
      <w:r w:rsidR="00077FA9" w:rsidRPr="00191C99">
        <w:rPr>
          <w:rFonts w:ascii="Times New Roman" w:hAnsi="Times New Roman"/>
        </w:rPr>
        <w:t xml:space="preserve"> that sense that s 198(2) is the leading provision and s 46A the subordinate provision</w:t>
      </w:r>
      <w:r w:rsidR="00C519E2" w:rsidRPr="00191C99">
        <w:rPr>
          <w:rFonts w:ascii="Times New Roman" w:hAnsi="Times New Roman"/>
        </w:rPr>
        <w:t>.</w:t>
      </w:r>
    </w:p>
    <w:p w14:paraId="1F2553D4" w14:textId="6829B184" w:rsidR="007102C3" w:rsidRPr="00191C99" w:rsidRDefault="00EC1626" w:rsidP="00191C99">
      <w:pPr>
        <w:pStyle w:val="FixListStyle"/>
        <w:spacing w:after="260" w:line="280" w:lineRule="exact"/>
        <w:ind w:right="0"/>
        <w:jc w:val="both"/>
        <w:rPr>
          <w:rFonts w:ascii="Times New Roman" w:hAnsi="Times New Roman"/>
        </w:rPr>
      </w:pPr>
      <w:r w:rsidRPr="00191C99">
        <w:rPr>
          <w:rFonts w:ascii="Times New Roman" w:hAnsi="Times New Roman"/>
        </w:rPr>
        <w:tab/>
        <w:t>Similarly, in the present case</w:t>
      </w:r>
      <w:r w:rsidR="006D186D" w:rsidRPr="00191C99">
        <w:rPr>
          <w:rFonts w:ascii="Times New Roman" w:hAnsi="Times New Roman"/>
        </w:rPr>
        <w:t>, if the respondent obtains the declaration sought in respect of his request</w:t>
      </w:r>
      <w:r w:rsidR="00B64AC0" w:rsidRPr="00191C99">
        <w:rPr>
          <w:rFonts w:ascii="Times New Roman" w:hAnsi="Times New Roman"/>
        </w:rPr>
        <w:t>(</w:t>
      </w:r>
      <w:r w:rsidR="006D186D" w:rsidRPr="00191C99">
        <w:rPr>
          <w:rFonts w:ascii="Times New Roman" w:hAnsi="Times New Roman"/>
        </w:rPr>
        <w:t>s</w:t>
      </w:r>
      <w:r w:rsidR="00B64AC0" w:rsidRPr="00191C99">
        <w:rPr>
          <w:rFonts w:ascii="Times New Roman" w:hAnsi="Times New Roman"/>
        </w:rPr>
        <w:t>)</w:t>
      </w:r>
      <w:r w:rsidR="006D186D" w:rsidRPr="00191C99">
        <w:rPr>
          <w:rFonts w:ascii="Times New Roman" w:hAnsi="Times New Roman"/>
        </w:rPr>
        <w:t xml:space="preserve"> to the Minister that the Minister exercise the personal and non-compellable power in s 195A to </w:t>
      </w:r>
      <w:r w:rsidR="00C0670E" w:rsidRPr="00191C99">
        <w:rPr>
          <w:rFonts w:ascii="Times New Roman" w:hAnsi="Times New Roman"/>
        </w:rPr>
        <w:t xml:space="preserve">grant </w:t>
      </w:r>
      <w:r w:rsidR="00077FA9" w:rsidRPr="00191C99">
        <w:rPr>
          <w:rFonts w:ascii="Times New Roman" w:hAnsi="Times New Roman"/>
        </w:rPr>
        <w:t>t</w:t>
      </w:r>
      <w:r w:rsidR="00C0670E" w:rsidRPr="00191C99">
        <w:rPr>
          <w:rFonts w:ascii="Times New Roman" w:hAnsi="Times New Roman"/>
        </w:rPr>
        <w:t xml:space="preserve">he respondent a visa, the </w:t>
      </w:r>
      <w:r w:rsidR="008F37C9" w:rsidRPr="00191C99">
        <w:rPr>
          <w:rFonts w:ascii="Times New Roman" w:hAnsi="Times New Roman"/>
        </w:rPr>
        <w:t xml:space="preserve">words "as soon as reasonably practicable" in s 198(6) will apply also to </w:t>
      </w:r>
      <w:r w:rsidR="006E1E6F" w:rsidRPr="00191C99">
        <w:rPr>
          <w:rFonts w:ascii="Times New Roman" w:hAnsi="Times New Roman"/>
        </w:rPr>
        <w:t xml:space="preserve">any consideration by the Minister </w:t>
      </w:r>
      <w:r w:rsidR="00FE143D" w:rsidRPr="00191C99">
        <w:rPr>
          <w:rFonts w:ascii="Times New Roman" w:hAnsi="Times New Roman"/>
        </w:rPr>
        <w:t xml:space="preserve">of the </w:t>
      </w:r>
      <w:r w:rsidR="006E1E6F" w:rsidRPr="00191C99">
        <w:rPr>
          <w:rFonts w:ascii="Times New Roman" w:hAnsi="Times New Roman"/>
        </w:rPr>
        <w:t xml:space="preserve">exercise </w:t>
      </w:r>
      <w:r w:rsidR="00FE143D" w:rsidRPr="00191C99">
        <w:rPr>
          <w:rFonts w:ascii="Times New Roman" w:hAnsi="Times New Roman"/>
        </w:rPr>
        <w:t>of</w:t>
      </w:r>
      <w:r w:rsidR="00200A91" w:rsidRPr="00191C99">
        <w:rPr>
          <w:rFonts w:ascii="Times New Roman" w:hAnsi="Times New Roman"/>
        </w:rPr>
        <w:t xml:space="preserve"> </w:t>
      </w:r>
      <w:r w:rsidR="006E1E6F" w:rsidRPr="00191C99">
        <w:rPr>
          <w:rFonts w:ascii="Times New Roman" w:hAnsi="Times New Roman"/>
        </w:rPr>
        <w:t xml:space="preserve">the personal and non-compellable power in s 195A. </w:t>
      </w:r>
      <w:r w:rsidR="00DC1AC1" w:rsidRPr="00191C99">
        <w:rPr>
          <w:rFonts w:ascii="Times New Roman" w:hAnsi="Times New Roman"/>
        </w:rPr>
        <w:t xml:space="preserve">That is, </w:t>
      </w:r>
      <w:r w:rsidR="006E1E6F" w:rsidRPr="00191C99">
        <w:rPr>
          <w:rFonts w:ascii="Times New Roman" w:hAnsi="Times New Roman"/>
        </w:rPr>
        <w:t xml:space="preserve">the qualification in s 198(6) "as soon as reasonably practicable" performs multiple important functions in the statutory scheme. The qualification </w:t>
      </w:r>
      <w:r w:rsidR="00977DFE" w:rsidRPr="00191C99">
        <w:rPr>
          <w:rFonts w:ascii="Times New Roman" w:hAnsi="Times New Roman"/>
        </w:rPr>
        <w:t xml:space="preserve">functions as </w:t>
      </w:r>
      <w:r w:rsidR="006E1E6F" w:rsidRPr="00191C99">
        <w:rPr>
          <w:rFonts w:ascii="Times New Roman" w:hAnsi="Times New Roman"/>
        </w:rPr>
        <w:t xml:space="preserve">both constraint </w:t>
      </w:r>
      <w:r w:rsidR="006C065C" w:rsidRPr="00191C99">
        <w:rPr>
          <w:rFonts w:ascii="Times New Roman" w:hAnsi="Times New Roman"/>
        </w:rPr>
        <w:t xml:space="preserve">and compulsion. </w:t>
      </w:r>
      <w:r w:rsidR="00806C03" w:rsidRPr="00191C99">
        <w:rPr>
          <w:rFonts w:ascii="Times New Roman" w:hAnsi="Times New Roman"/>
        </w:rPr>
        <w:t xml:space="preserve">As constraint, it </w:t>
      </w:r>
      <w:r w:rsidR="006C065C" w:rsidRPr="00191C99">
        <w:rPr>
          <w:rFonts w:ascii="Times New Roman" w:hAnsi="Times New Roman"/>
        </w:rPr>
        <w:t xml:space="preserve">ensures that the power and duty to remove </w:t>
      </w:r>
      <w:proofErr w:type="spellStart"/>
      <w:r w:rsidR="006C065C" w:rsidRPr="00191C99">
        <w:rPr>
          <w:rFonts w:ascii="Times New Roman" w:hAnsi="Times New Roman"/>
        </w:rPr>
        <w:t>in s</w:t>
      </w:r>
      <w:proofErr w:type="spellEnd"/>
      <w:r w:rsidR="006C065C" w:rsidRPr="00191C99">
        <w:rPr>
          <w:rFonts w:ascii="Times New Roman" w:hAnsi="Times New Roman"/>
        </w:rPr>
        <w:t xml:space="preserve"> 198(6) does not </w:t>
      </w:r>
      <w:r w:rsidR="00806C03" w:rsidRPr="00191C99">
        <w:rPr>
          <w:rFonts w:ascii="Times New Roman" w:hAnsi="Times New Roman"/>
        </w:rPr>
        <w:t>operate if it is not reasonably practicable to remove an unlawful non-citizen (which, as explained, it is not if the High Court, Federal Court or Federal Circuit and Family Court of Australia (Division</w:t>
      </w:r>
      <w:r w:rsidR="00D12134" w:rsidRPr="00191C99">
        <w:rPr>
          <w:rFonts w:ascii="Times New Roman" w:hAnsi="Times New Roman"/>
        </w:rPr>
        <w:t> </w:t>
      </w:r>
      <w:r w:rsidR="00806C03" w:rsidRPr="00191C99">
        <w:rPr>
          <w:rFonts w:ascii="Times New Roman" w:hAnsi="Times New Roman"/>
        </w:rPr>
        <w:t xml:space="preserve">2) has granted an interlocutory injunction restraining removal pending the determination of a proceeding). As compulsion, it ensures that once it is reasonably practicable to remove an </w:t>
      </w:r>
      <w:r w:rsidR="0020047B" w:rsidRPr="00191C99">
        <w:rPr>
          <w:rFonts w:ascii="Times New Roman" w:hAnsi="Times New Roman"/>
        </w:rPr>
        <w:t>unlawful non-citizen</w:t>
      </w:r>
      <w:r w:rsidR="00113B30" w:rsidRPr="00191C99">
        <w:rPr>
          <w:rFonts w:ascii="Times New Roman" w:hAnsi="Times New Roman"/>
        </w:rPr>
        <w:t>,</w:t>
      </w:r>
      <w:r w:rsidR="0020047B" w:rsidRPr="00191C99">
        <w:rPr>
          <w:rFonts w:ascii="Times New Roman" w:hAnsi="Times New Roman"/>
        </w:rPr>
        <w:t xml:space="preserve"> that removal must occur as soon as </w:t>
      </w:r>
      <w:r w:rsidR="0088718C" w:rsidRPr="00191C99">
        <w:rPr>
          <w:rFonts w:ascii="Times New Roman" w:hAnsi="Times New Roman"/>
        </w:rPr>
        <w:t xml:space="preserve">reasonably </w:t>
      </w:r>
      <w:r w:rsidR="0020047B" w:rsidRPr="00191C99">
        <w:rPr>
          <w:rFonts w:ascii="Times New Roman" w:hAnsi="Times New Roman"/>
        </w:rPr>
        <w:t xml:space="preserve">practicable thereafter. By reason of its "leading" provision status, the temporal obligation </w:t>
      </w:r>
      <w:r w:rsidR="00FE6C24" w:rsidRPr="00191C99">
        <w:rPr>
          <w:rFonts w:ascii="Times New Roman" w:hAnsi="Times New Roman"/>
        </w:rPr>
        <w:t xml:space="preserve">s 198(6) </w:t>
      </w:r>
      <w:r w:rsidR="0020047B" w:rsidRPr="00191C99">
        <w:rPr>
          <w:rFonts w:ascii="Times New Roman" w:hAnsi="Times New Roman"/>
        </w:rPr>
        <w:t>imposes also applies, by implication, to the exercise or non-exercise of the Minister's personal and non</w:t>
      </w:r>
      <w:r w:rsidR="005235C8">
        <w:rPr>
          <w:rFonts w:ascii="Times New Roman" w:hAnsi="Times New Roman"/>
        </w:rPr>
        <w:noBreakHyphen/>
      </w:r>
      <w:r w:rsidR="0020047B" w:rsidRPr="00191C99">
        <w:rPr>
          <w:rFonts w:ascii="Times New Roman" w:hAnsi="Times New Roman"/>
        </w:rPr>
        <w:t>compellable power</w:t>
      </w:r>
      <w:r w:rsidR="00102021" w:rsidRPr="00191C99">
        <w:rPr>
          <w:rFonts w:ascii="Times New Roman" w:hAnsi="Times New Roman"/>
        </w:rPr>
        <w:t xml:space="preserve"> under s 195A</w:t>
      </w:r>
      <w:r w:rsidR="0020047B" w:rsidRPr="00191C99">
        <w:rPr>
          <w:rFonts w:ascii="Times New Roman" w:hAnsi="Times New Roman"/>
        </w:rPr>
        <w:t xml:space="preserve"> </w:t>
      </w:r>
      <w:r w:rsidR="00EE528B" w:rsidRPr="00191C99">
        <w:rPr>
          <w:rFonts w:ascii="Times New Roman" w:hAnsi="Times New Roman"/>
        </w:rPr>
        <w:t xml:space="preserve">to grant a visa so that the </w:t>
      </w:r>
      <w:r w:rsidR="00102021" w:rsidRPr="00191C99">
        <w:rPr>
          <w:rFonts w:ascii="Times New Roman" w:hAnsi="Times New Roman"/>
        </w:rPr>
        <w:t xml:space="preserve">mere </w:t>
      </w:r>
      <w:r w:rsidR="00EE528B" w:rsidRPr="00191C99">
        <w:rPr>
          <w:rFonts w:ascii="Times New Roman" w:hAnsi="Times New Roman"/>
        </w:rPr>
        <w:t xml:space="preserve">availability of </w:t>
      </w:r>
      <w:r w:rsidR="00102021" w:rsidRPr="00191C99">
        <w:rPr>
          <w:rFonts w:ascii="Times New Roman" w:hAnsi="Times New Roman"/>
        </w:rPr>
        <w:t xml:space="preserve">that </w:t>
      </w:r>
      <w:r w:rsidR="00EE528B" w:rsidRPr="00191C99">
        <w:rPr>
          <w:rFonts w:ascii="Times New Roman" w:hAnsi="Times New Roman"/>
        </w:rPr>
        <w:t xml:space="preserve">power cannot result in </w:t>
      </w:r>
      <w:r w:rsidR="00FB4374" w:rsidRPr="00191C99">
        <w:rPr>
          <w:rFonts w:ascii="Times New Roman" w:hAnsi="Times New Roman"/>
        </w:rPr>
        <w:t>detention of an unlawful non-citizen at the will of the Executive</w:t>
      </w:r>
      <w:r w:rsidR="001E0188" w:rsidRPr="00191C99">
        <w:rPr>
          <w:rFonts w:ascii="Times New Roman" w:hAnsi="Times New Roman"/>
        </w:rPr>
        <w:t xml:space="preserve"> and for an indeterminate duration</w:t>
      </w:r>
      <w:r w:rsidR="00FB4374" w:rsidRPr="00191C99">
        <w:rPr>
          <w:rFonts w:ascii="Times New Roman" w:hAnsi="Times New Roman"/>
        </w:rPr>
        <w:t xml:space="preserve">. </w:t>
      </w:r>
    </w:p>
    <w:p w14:paraId="2994755D" w14:textId="70EF69E7" w:rsidR="00C47CBF" w:rsidRPr="00191C99" w:rsidRDefault="007F554C" w:rsidP="00191C99">
      <w:pPr>
        <w:pStyle w:val="FixListStyle"/>
        <w:spacing w:after="260" w:line="280" w:lineRule="exact"/>
        <w:ind w:right="0"/>
        <w:jc w:val="both"/>
        <w:rPr>
          <w:rFonts w:ascii="Times New Roman" w:hAnsi="Times New Roman"/>
        </w:rPr>
      </w:pPr>
      <w:r w:rsidRPr="00191C99">
        <w:rPr>
          <w:rFonts w:ascii="Times New Roman" w:hAnsi="Times New Roman"/>
        </w:rPr>
        <w:lastRenderedPageBreak/>
        <w:tab/>
        <w:t xml:space="preserve">Nothing in </w:t>
      </w:r>
      <w:r w:rsidR="00E8491E" w:rsidRPr="00191C99">
        <w:rPr>
          <w:rFonts w:ascii="Times New Roman" w:hAnsi="Times New Roman"/>
          <w:i/>
          <w:iCs/>
        </w:rPr>
        <w:t>Minister for Immigration and Border Protection</w:t>
      </w:r>
      <w:r w:rsidR="00E53FB4" w:rsidRPr="00191C99">
        <w:rPr>
          <w:rFonts w:ascii="Times New Roman" w:hAnsi="Times New Roman"/>
          <w:i/>
          <w:iCs/>
        </w:rPr>
        <w:t xml:space="preserve"> v SZSSJ</w:t>
      </w:r>
      <w:r w:rsidR="00E8491E" w:rsidRPr="00191C99">
        <w:rPr>
          <w:rStyle w:val="FootnoteReference"/>
          <w:rFonts w:ascii="Times New Roman" w:hAnsi="Times New Roman"/>
          <w:sz w:val="24"/>
        </w:rPr>
        <w:footnoteReference w:id="80"/>
      </w:r>
      <w:r w:rsidR="00E8491E" w:rsidRPr="00191C99">
        <w:rPr>
          <w:rFonts w:ascii="Times New Roman" w:hAnsi="Times New Roman"/>
        </w:rPr>
        <w:t xml:space="preserve"> </w:t>
      </w:r>
      <w:r w:rsidR="00D92FBF" w:rsidRPr="00191C99">
        <w:rPr>
          <w:rFonts w:ascii="Times New Roman" w:hAnsi="Times New Roman"/>
        </w:rPr>
        <w:t>is to the contrary of these conclusions. Th</w:t>
      </w:r>
      <w:r w:rsidR="00CE046B" w:rsidRPr="00191C99">
        <w:rPr>
          <w:rFonts w:ascii="Times New Roman" w:hAnsi="Times New Roman"/>
        </w:rPr>
        <w:t>at "processes undertaken by the Department to assist in the Minister</w:t>
      </w:r>
      <w:r w:rsidR="00B334B5" w:rsidRPr="00191C99">
        <w:rPr>
          <w:rFonts w:ascii="Times New Roman" w:hAnsi="Times New Roman"/>
        </w:rPr>
        <w:t>'</w:t>
      </w:r>
      <w:r w:rsidR="00CE046B" w:rsidRPr="00191C99">
        <w:rPr>
          <w:rFonts w:ascii="Times New Roman" w:hAnsi="Times New Roman"/>
        </w:rPr>
        <w:t>s consideration of the possible exercise of a non</w:t>
      </w:r>
      <w:r w:rsidR="005235C8">
        <w:rPr>
          <w:rFonts w:ascii="Times New Roman" w:hAnsi="Times New Roman"/>
        </w:rPr>
        <w:noBreakHyphen/>
      </w:r>
      <w:r w:rsidR="00CE046B" w:rsidRPr="00191C99">
        <w:rPr>
          <w:rFonts w:ascii="Times New Roman" w:hAnsi="Times New Roman"/>
        </w:rPr>
        <w:t>compellable power derive their character from what the Minister personally has or has not done"</w:t>
      </w:r>
      <w:r w:rsidR="00CE046B" w:rsidRPr="00191C99">
        <w:rPr>
          <w:rStyle w:val="FootnoteReference"/>
          <w:rFonts w:ascii="Times New Roman" w:hAnsi="Times New Roman"/>
          <w:sz w:val="24"/>
        </w:rPr>
        <w:footnoteReference w:id="81"/>
      </w:r>
      <w:r w:rsidR="00D92FBF" w:rsidRPr="00191C99">
        <w:rPr>
          <w:rFonts w:ascii="Times New Roman" w:hAnsi="Times New Roman"/>
        </w:rPr>
        <w:t xml:space="preserve"> </w:t>
      </w:r>
      <w:r w:rsidR="00C845CB" w:rsidRPr="00191C99">
        <w:rPr>
          <w:rFonts w:ascii="Times New Roman" w:hAnsi="Times New Roman"/>
        </w:rPr>
        <w:t xml:space="preserve">remains so. </w:t>
      </w:r>
      <w:r w:rsidR="00BB00EC" w:rsidRPr="00191C99">
        <w:rPr>
          <w:rFonts w:ascii="Times New Roman" w:hAnsi="Times New Roman"/>
        </w:rPr>
        <w:t xml:space="preserve">But </w:t>
      </w:r>
      <w:r w:rsidR="001F576C" w:rsidRPr="00191C99">
        <w:rPr>
          <w:rFonts w:ascii="Times New Roman" w:hAnsi="Times New Roman"/>
        </w:rPr>
        <w:t xml:space="preserve">in all cases, procedural decision or not, </w:t>
      </w:r>
      <w:r w:rsidR="00BB00EC" w:rsidRPr="00191C99">
        <w:rPr>
          <w:rFonts w:ascii="Times New Roman" w:hAnsi="Times New Roman"/>
        </w:rPr>
        <w:t xml:space="preserve">content </w:t>
      </w:r>
      <w:r w:rsidR="001F576C" w:rsidRPr="00191C99">
        <w:rPr>
          <w:rFonts w:ascii="Times New Roman" w:hAnsi="Times New Roman"/>
        </w:rPr>
        <w:t xml:space="preserve">is </w:t>
      </w:r>
      <w:r w:rsidR="00BB00EC" w:rsidRPr="00191C99">
        <w:rPr>
          <w:rFonts w:ascii="Times New Roman" w:hAnsi="Times New Roman"/>
        </w:rPr>
        <w:t xml:space="preserve">given to the temporal </w:t>
      </w:r>
      <w:r w:rsidR="001F576C" w:rsidRPr="00191C99">
        <w:rPr>
          <w:rFonts w:ascii="Times New Roman" w:hAnsi="Times New Roman"/>
        </w:rPr>
        <w:t xml:space="preserve">and substantive components of s 198(6) by the </w:t>
      </w:r>
      <w:r w:rsidR="00173A5E" w:rsidRPr="00191C99">
        <w:rPr>
          <w:rFonts w:ascii="Times New Roman" w:hAnsi="Times New Roman"/>
        </w:rPr>
        <w:t>facts</w:t>
      </w:r>
      <w:r w:rsidR="00CD2163" w:rsidRPr="00191C99">
        <w:rPr>
          <w:rFonts w:ascii="Times New Roman" w:hAnsi="Times New Roman"/>
        </w:rPr>
        <w:t xml:space="preserve"> as they exist from time to time. </w:t>
      </w:r>
      <w:r w:rsidR="00080A29" w:rsidRPr="00191C99">
        <w:rPr>
          <w:rFonts w:ascii="Times New Roman" w:hAnsi="Times New Roman"/>
        </w:rPr>
        <w:t xml:space="preserve">Once the proceeding is finally determined, it is the actions or non-actions of the </w:t>
      </w:r>
      <w:r w:rsidR="00D94DA9" w:rsidRPr="00191C99">
        <w:rPr>
          <w:rFonts w:ascii="Times New Roman" w:hAnsi="Times New Roman"/>
        </w:rPr>
        <w:t xml:space="preserve">respondent and the </w:t>
      </w:r>
      <w:r w:rsidR="00080A29" w:rsidRPr="00191C99">
        <w:rPr>
          <w:rFonts w:ascii="Times New Roman" w:hAnsi="Times New Roman"/>
        </w:rPr>
        <w:t xml:space="preserve">Minister that will </w:t>
      </w:r>
      <w:r w:rsidR="00F419FF" w:rsidRPr="00191C99">
        <w:rPr>
          <w:rFonts w:ascii="Times New Roman" w:hAnsi="Times New Roman"/>
        </w:rPr>
        <w:t xml:space="preserve">shape the relevant facts. </w:t>
      </w:r>
      <w:r w:rsidR="00382B50" w:rsidRPr="00191C99">
        <w:rPr>
          <w:rFonts w:ascii="Times New Roman" w:hAnsi="Times New Roman"/>
        </w:rPr>
        <w:t>At this stage, n</w:t>
      </w:r>
      <w:r w:rsidR="00D94DA9" w:rsidRPr="00191C99">
        <w:rPr>
          <w:rFonts w:ascii="Times New Roman" w:hAnsi="Times New Roman"/>
        </w:rPr>
        <w:t>o speculation as to those facts, or their legal consequences, is helpful.</w:t>
      </w:r>
    </w:p>
    <w:p w14:paraId="6036B4D9" w14:textId="2759C21E" w:rsidR="00711512" w:rsidRPr="00191C99" w:rsidRDefault="00C851F3" w:rsidP="00191C99">
      <w:pPr>
        <w:pStyle w:val="FixListStyle"/>
        <w:spacing w:after="260" w:line="280" w:lineRule="exact"/>
        <w:ind w:right="0"/>
        <w:jc w:val="both"/>
        <w:rPr>
          <w:rFonts w:ascii="Times New Roman" w:hAnsi="Times New Roman"/>
        </w:rPr>
      </w:pPr>
      <w:r w:rsidRPr="00191C99">
        <w:rPr>
          <w:rFonts w:ascii="Times New Roman" w:hAnsi="Times New Roman"/>
        </w:rPr>
        <w:tab/>
        <w:t xml:space="preserve">These conclusions are sufficient to determine the appeal against the appellants. </w:t>
      </w:r>
      <w:r w:rsidR="00D578F3" w:rsidRPr="00191C99">
        <w:rPr>
          <w:rFonts w:ascii="Times New Roman" w:hAnsi="Times New Roman"/>
        </w:rPr>
        <w:t xml:space="preserve">The respondent obtained the interlocutory injunction and that </w:t>
      </w:r>
      <w:r w:rsidR="009C0259" w:rsidRPr="00191C99">
        <w:rPr>
          <w:rFonts w:ascii="Times New Roman" w:hAnsi="Times New Roman"/>
        </w:rPr>
        <w:t xml:space="preserve">event </w:t>
      </w:r>
      <w:r w:rsidR="00D578F3" w:rsidRPr="00191C99">
        <w:rPr>
          <w:rFonts w:ascii="Times New Roman" w:hAnsi="Times New Roman"/>
        </w:rPr>
        <w:t>disengage</w:t>
      </w:r>
      <w:r w:rsidR="009C0259" w:rsidRPr="00191C99">
        <w:rPr>
          <w:rFonts w:ascii="Times New Roman" w:hAnsi="Times New Roman"/>
        </w:rPr>
        <w:t>d</w:t>
      </w:r>
      <w:r w:rsidR="00D578F3" w:rsidRPr="00191C99">
        <w:rPr>
          <w:rFonts w:ascii="Times New Roman" w:hAnsi="Times New Roman"/>
        </w:rPr>
        <w:t xml:space="preserve"> the power and duty to remove </w:t>
      </w:r>
      <w:proofErr w:type="spellStart"/>
      <w:r w:rsidR="00D578F3" w:rsidRPr="00191C99">
        <w:rPr>
          <w:rFonts w:ascii="Times New Roman" w:hAnsi="Times New Roman"/>
        </w:rPr>
        <w:t>in s</w:t>
      </w:r>
      <w:proofErr w:type="spellEnd"/>
      <w:r w:rsidR="00D578F3" w:rsidRPr="00191C99">
        <w:rPr>
          <w:rFonts w:ascii="Times New Roman" w:hAnsi="Times New Roman"/>
        </w:rPr>
        <w:t> 198(6).</w:t>
      </w:r>
      <w:r w:rsidR="00D0160F" w:rsidRPr="00191C99">
        <w:rPr>
          <w:rFonts w:ascii="Times New Roman" w:hAnsi="Times New Roman"/>
        </w:rPr>
        <w:t xml:space="preserve"> Ground 1(c) of the further amended notice of contention </w:t>
      </w:r>
      <w:r w:rsidR="009C0259" w:rsidRPr="00191C99">
        <w:rPr>
          <w:rFonts w:ascii="Times New Roman" w:hAnsi="Times New Roman"/>
        </w:rPr>
        <w:t xml:space="preserve">must </w:t>
      </w:r>
      <w:r w:rsidR="00D0160F" w:rsidRPr="00191C99">
        <w:rPr>
          <w:rFonts w:ascii="Times New Roman" w:hAnsi="Times New Roman"/>
        </w:rPr>
        <w:t>be upheld.</w:t>
      </w:r>
    </w:p>
    <w:p w14:paraId="47099342" w14:textId="7081E31B" w:rsidR="00C851F3" w:rsidRPr="00191C99" w:rsidRDefault="0089633C"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C851F3" w:rsidRPr="00191C99">
        <w:rPr>
          <w:rFonts w:ascii="Times New Roman" w:hAnsi="Times New Roman"/>
        </w:rPr>
        <w:t>It is not necessary and not appropriate to consider the respondent's broader c</w:t>
      </w:r>
      <w:r w:rsidR="00D243D4" w:rsidRPr="00191C99">
        <w:rPr>
          <w:rFonts w:ascii="Times New Roman" w:hAnsi="Times New Roman"/>
        </w:rPr>
        <w:t xml:space="preserve">ontention </w:t>
      </w:r>
      <w:r w:rsidR="00635BF2" w:rsidRPr="00191C99">
        <w:rPr>
          <w:rFonts w:ascii="Times New Roman" w:hAnsi="Times New Roman"/>
        </w:rPr>
        <w:t xml:space="preserve">in ground 1(b) to the effect </w:t>
      </w:r>
      <w:r w:rsidR="00C851F3" w:rsidRPr="00191C99">
        <w:rPr>
          <w:rFonts w:ascii="Times New Roman" w:hAnsi="Times New Roman"/>
        </w:rPr>
        <w:t xml:space="preserve">that </w:t>
      </w:r>
      <w:r w:rsidR="004E6906" w:rsidRPr="00191C99">
        <w:rPr>
          <w:rFonts w:ascii="Times New Roman" w:hAnsi="Times New Roman"/>
        </w:rPr>
        <w:t xml:space="preserve">the mere making of the request that the Minister exercise the personal and non-compellable power in s 195A </w:t>
      </w:r>
      <w:r w:rsidR="007213D5" w:rsidRPr="00191C99">
        <w:rPr>
          <w:rFonts w:ascii="Times New Roman" w:hAnsi="Times New Roman"/>
        </w:rPr>
        <w:t xml:space="preserve">suffices to disengage the power and duty </w:t>
      </w:r>
      <w:r w:rsidR="008F6DBC" w:rsidRPr="00191C99">
        <w:rPr>
          <w:rFonts w:ascii="Times New Roman" w:hAnsi="Times New Roman"/>
        </w:rPr>
        <w:t xml:space="preserve">of </w:t>
      </w:r>
      <w:r w:rsidR="007213D5" w:rsidRPr="00191C99">
        <w:rPr>
          <w:rFonts w:ascii="Times New Roman" w:hAnsi="Times New Roman"/>
        </w:rPr>
        <w:t>remov</w:t>
      </w:r>
      <w:r w:rsidR="008F6DBC" w:rsidRPr="00191C99">
        <w:rPr>
          <w:rFonts w:ascii="Times New Roman" w:hAnsi="Times New Roman"/>
        </w:rPr>
        <w:t>al</w:t>
      </w:r>
      <w:r w:rsidR="007213D5" w:rsidRPr="00191C99">
        <w:rPr>
          <w:rFonts w:ascii="Times New Roman" w:hAnsi="Times New Roman"/>
        </w:rPr>
        <w:t xml:space="preserve"> in s 198(6)</w:t>
      </w:r>
      <w:r w:rsidR="0089589A" w:rsidRPr="00191C99">
        <w:rPr>
          <w:rFonts w:ascii="Times New Roman" w:hAnsi="Times New Roman"/>
        </w:rPr>
        <w:t>.</w:t>
      </w:r>
      <w:r w:rsidR="007213D5" w:rsidRPr="00191C99">
        <w:rPr>
          <w:rFonts w:ascii="Times New Roman" w:hAnsi="Times New Roman"/>
        </w:rPr>
        <w:t xml:space="preserve"> That is not</w:t>
      </w:r>
      <w:r w:rsidR="0073524D" w:rsidRPr="00191C99">
        <w:rPr>
          <w:rFonts w:ascii="Times New Roman" w:hAnsi="Times New Roman"/>
        </w:rPr>
        <w:t xml:space="preserve"> the </w:t>
      </w:r>
      <w:r w:rsidR="007213D5" w:rsidRPr="00191C99">
        <w:rPr>
          <w:rFonts w:ascii="Times New Roman" w:hAnsi="Times New Roman"/>
        </w:rPr>
        <w:t>present case</w:t>
      </w:r>
      <w:r w:rsidR="009C0259" w:rsidRPr="00191C99">
        <w:rPr>
          <w:rFonts w:ascii="Times New Roman" w:hAnsi="Times New Roman"/>
        </w:rPr>
        <w:t>.</w:t>
      </w:r>
      <w:r w:rsidR="007213D5" w:rsidRPr="00191C99">
        <w:rPr>
          <w:rFonts w:ascii="Times New Roman" w:hAnsi="Times New Roman"/>
        </w:rPr>
        <w:t xml:space="preserve"> </w:t>
      </w:r>
      <w:r w:rsidR="00175EA2" w:rsidRPr="00191C99">
        <w:rPr>
          <w:rFonts w:ascii="Times New Roman" w:hAnsi="Times New Roman"/>
        </w:rPr>
        <w:t>Nor does</w:t>
      </w:r>
      <w:r w:rsidR="0073524D" w:rsidRPr="00191C99">
        <w:rPr>
          <w:rFonts w:ascii="Times New Roman" w:hAnsi="Times New Roman"/>
        </w:rPr>
        <w:t xml:space="preserve"> the </w:t>
      </w:r>
      <w:r w:rsidR="00175EA2" w:rsidRPr="00191C99">
        <w:rPr>
          <w:rFonts w:ascii="Times New Roman" w:hAnsi="Times New Roman"/>
        </w:rPr>
        <w:t>respondent's</w:t>
      </w:r>
      <w:r w:rsidR="00D578F3" w:rsidRPr="00191C99">
        <w:rPr>
          <w:rFonts w:ascii="Times New Roman" w:hAnsi="Times New Roman"/>
        </w:rPr>
        <w:t xml:space="preserve"> c</w:t>
      </w:r>
      <w:r w:rsidR="00EB7A24" w:rsidRPr="00191C99">
        <w:rPr>
          <w:rFonts w:ascii="Times New Roman" w:hAnsi="Times New Roman"/>
        </w:rPr>
        <w:t xml:space="preserve">onstitutional </w:t>
      </w:r>
      <w:r w:rsidR="00D578F3" w:rsidRPr="00191C99">
        <w:rPr>
          <w:rFonts w:ascii="Times New Roman" w:hAnsi="Times New Roman"/>
        </w:rPr>
        <w:t xml:space="preserve">issue </w:t>
      </w:r>
      <w:r w:rsidR="00175EA2" w:rsidRPr="00191C99">
        <w:rPr>
          <w:rFonts w:ascii="Times New Roman" w:hAnsi="Times New Roman"/>
        </w:rPr>
        <w:t>in ground</w:t>
      </w:r>
      <w:r w:rsidR="00D0540F" w:rsidRPr="00191C99">
        <w:rPr>
          <w:rFonts w:ascii="Times New Roman" w:hAnsi="Times New Roman"/>
        </w:rPr>
        <w:t> </w:t>
      </w:r>
      <w:r w:rsidR="00175EA2" w:rsidRPr="00191C99">
        <w:rPr>
          <w:rFonts w:ascii="Times New Roman" w:hAnsi="Times New Roman"/>
        </w:rPr>
        <w:t>2 of the further amended notice of contention arise</w:t>
      </w:r>
      <w:r w:rsidR="00EB7A24" w:rsidRPr="00191C99">
        <w:rPr>
          <w:rFonts w:ascii="Times New Roman" w:hAnsi="Times New Roman"/>
        </w:rPr>
        <w:t xml:space="preserve"> because s 198(6) </w:t>
      </w:r>
      <w:r w:rsidR="00FE1530" w:rsidRPr="00191C99">
        <w:rPr>
          <w:rFonts w:ascii="Times New Roman" w:hAnsi="Times New Roman"/>
        </w:rPr>
        <w:t xml:space="preserve">of the </w:t>
      </w:r>
      <w:r w:rsidR="00FE1530" w:rsidRPr="00191C99">
        <w:rPr>
          <w:rFonts w:ascii="Times New Roman" w:hAnsi="Times New Roman"/>
          <w:i/>
          <w:iCs/>
        </w:rPr>
        <w:t>Migration Act</w:t>
      </w:r>
      <w:r w:rsidR="00FE1530" w:rsidRPr="00191C99">
        <w:rPr>
          <w:rFonts w:ascii="Times New Roman" w:hAnsi="Times New Roman"/>
        </w:rPr>
        <w:t xml:space="preserve"> </w:t>
      </w:r>
      <w:r w:rsidR="00EB7A24" w:rsidRPr="00191C99">
        <w:rPr>
          <w:rFonts w:ascii="Times New Roman" w:hAnsi="Times New Roman"/>
        </w:rPr>
        <w:t xml:space="preserve">does not prevent a court from exercising judicial power to </w:t>
      </w:r>
      <w:r w:rsidR="00D52F5C" w:rsidRPr="00191C99">
        <w:rPr>
          <w:rFonts w:ascii="Times New Roman" w:hAnsi="Times New Roman"/>
        </w:rPr>
        <w:t xml:space="preserve">protect the integrity of its own processes by ensuring its capacity to effectively exercise its jurisdiction </w:t>
      </w:r>
      <w:r w:rsidR="00606C14" w:rsidRPr="00191C99">
        <w:rPr>
          <w:rFonts w:ascii="Times New Roman" w:hAnsi="Times New Roman"/>
        </w:rPr>
        <w:t xml:space="preserve">in </w:t>
      </w:r>
      <w:r w:rsidR="00D52F5C" w:rsidRPr="00191C99">
        <w:rPr>
          <w:rFonts w:ascii="Times New Roman" w:hAnsi="Times New Roman"/>
        </w:rPr>
        <w:t xml:space="preserve">a proceeding pending before it. </w:t>
      </w:r>
    </w:p>
    <w:p w14:paraId="557F451C" w14:textId="0B621226" w:rsidR="00103D10" w:rsidRPr="00191C99" w:rsidRDefault="00103D10" w:rsidP="00191C99">
      <w:pPr>
        <w:pStyle w:val="HeadingL1"/>
        <w:spacing w:after="260" w:line="280" w:lineRule="exact"/>
        <w:ind w:right="0"/>
        <w:jc w:val="both"/>
        <w:rPr>
          <w:rFonts w:ascii="Times New Roman" w:hAnsi="Times New Roman"/>
        </w:rPr>
      </w:pPr>
      <w:r w:rsidRPr="00191C99">
        <w:rPr>
          <w:rFonts w:ascii="Times New Roman" w:hAnsi="Times New Roman"/>
        </w:rPr>
        <w:t>O</w:t>
      </w:r>
      <w:r w:rsidR="009C2102" w:rsidRPr="00191C99">
        <w:rPr>
          <w:rFonts w:ascii="Times New Roman" w:hAnsi="Times New Roman"/>
        </w:rPr>
        <w:t>rder</w:t>
      </w:r>
    </w:p>
    <w:p w14:paraId="23896BC5" w14:textId="77777777" w:rsidR="004C0687" w:rsidRDefault="00103D10" w:rsidP="00191C99">
      <w:pPr>
        <w:pStyle w:val="FixListStyle"/>
        <w:spacing w:after="260" w:line="280" w:lineRule="exact"/>
        <w:ind w:right="0"/>
        <w:jc w:val="both"/>
        <w:rPr>
          <w:rFonts w:ascii="Times New Roman" w:hAnsi="Times New Roman"/>
        </w:rPr>
      </w:pPr>
      <w:r w:rsidRPr="00191C99">
        <w:rPr>
          <w:rFonts w:ascii="Times New Roman" w:hAnsi="Times New Roman"/>
        </w:rPr>
        <w:tab/>
      </w:r>
      <w:r w:rsidR="00AA29BF" w:rsidRPr="00191C99">
        <w:rPr>
          <w:rFonts w:ascii="Times New Roman" w:hAnsi="Times New Roman"/>
        </w:rPr>
        <w:t>For these reasons, t</w:t>
      </w:r>
      <w:r w:rsidR="00A42F6D" w:rsidRPr="00191C99">
        <w:rPr>
          <w:rFonts w:ascii="Times New Roman" w:hAnsi="Times New Roman"/>
        </w:rPr>
        <w:t xml:space="preserve">he appeal </w:t>
      </w:r>
      <w:r w:rsidR="00E600D5" w:rsidRPr="00191C99">
        <w:rPr>
          <w:rFonts w:ascii="Times New Roman" w:hAnsi="Times New Roman"/>
        </w:rPr>
        <w:t>should be</w:t>
      </w:r>
      <w:r w:rsidR="005673B1" w:rsidRPr="00191C99">
        <w:rPr>
          <w:rFonts w:ascii="Times New Roman" w:hAnsi="Times New Roman"/>
        </w:rPr>
        <w:t xml:space="preserve"> </w:t>
      </w:r>
      <w:r w:rsidR="00A42F6D" w:rsidRPr="00191C99">
        <w:rPr>
          <w:rFonts w:ascii="Times New Roman" w:hAnsi="Times New Roman"/>
        </w:rPr>
        <w:t>dismissed</w:t>
      </w:r>
      <w:r w:rsidR="00E600D5" w:rsidRPr="00191C99">
        <w:rPr>
          <w:rFonts w:ascii="Times New Roman" w:hAnsi="Times New Roman"/>
        </w:rPr>
        <w:t xml:space="preserve"> with </w:t>
      </w:r>
      <w:r w:rsidR="005673B1" w:rsidRPr="00191C99">
        <w:rPr>
          <w:rFonts w:ascii="Times New Roman" w:hAnsi="Times New Roman"/>
        </w:rPr>
        <w:t>costs.</w:t>
      </w:r>
    </w:p>
    <w:p w14:paraId="6EA80531" w14:textId="77777777" w:rsidR="004C0687" w:rsidRDefault="004C0687" w:rsidP="00191C99">
      <w:pPr>
        <w:pStyle w:val="FixListStyle"/>
        <w:spacing w:after="260" w:line="280" w:lineRule="exact"/>
        <w:ind w:right="0"/>
        <w:jc w:val="both"/>
        <w:rPr>
          <w:rFonts w:ascii="Times New Roman" w:hAnsi="Times New Roman"/>
        </w:rPr>
        <w:sectPr w:rsidR="004C0687" w:rsidSect="001F479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FF02EB1" w14:textId="77777777" w:rsidR="004C0687" w:rsidRPr="00332BB4" w:rsidRDefault="004C0687" w:rsidP="00332BB4">
      <w:pPr>
        <w:pStyle w:val="NormalBody"/>
        <w:tabs>
          <w:tab w:val="clear" w:pos="720"/>
          <w:tab w:val="left" w:pos="0"/>
        </w:tabs>
        <w:spacing w:after="260" w:line="280" w:lineRule="exact"/>
        <w:ind w:right="0"/>
        <w:jc w:val="both"/>
        <w:rPr>
          <w:rFonts w:ascii="Times New Roman" w:hAnsi="Times New Roman"/>
        </w:rPr>
      </w:pPr>
      <w:r w:rsidRPr="00332BB4">
        <w:rPr>
          <w:rFonts w:ascii="Times New Roman" w:hAnsi="Times New Roman"/>
        </w:rPr>
        <w:lastRenderedPageBreak/>
        <w:t xml:space="preserve">EDELMAN J.   </w:t>
      </w:r>
    </w:p>
    <w:p w14:paraId="0C3BF3E7" w14:textId="77777777" w:rsidR="004C0687" w:rsidRPr="00332BB4" w:rsidRDefault="004C0687" w:rsidP="00332BB4">
      <w:pPr>
        <w:pStyle w:val="HeadingL1"/>
        <w:spacing w:after="260" w:line="280" w:lineRule="exact"/>
        <w:ind w:right="0"/>
        <w:jc w:val="both"/>
        <w:rPr>
          <w:rFonts w:ascii="Times New Roman" w:hAnsi="Times New Roman"/>
        </w:rPr>
      </w:pPr>
      <w:r w:rsidRPr="00332BB4">
        <w:rPr>
          <w:rFonts w:ascii="Times New Roman" w:hAnsi="Times New Roman"/>
        </w:rPr>
        <w:t>Introduction: the real question on this appeal</w:t>
      </w:r>
    </w:p>
    <w:p w14:paraId="73088FD9"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The Minister</w:t>
      </w:r>
      <w:r w:rsidRPr="00332BB4">
        <w:rPr>
          <w:rStyle w:val="FootnoteReference"/>
          <w:rFonts w:ascii="Times New Roman" w:hAnsi="Times New Roman"/>
          <w:sz w:val="24"/>
        </w:rPr>
        <w:footnoteReference w:id="82"/>
      </w:r>
      <w:r w:rsidRPr="00332BB4">
        <w:rPr>
          <w:rFonts w:ascii="Times New Roman" w:hAnsi="Times New Roman"/>
        </w:rPr>
        <w:t xml:space="preserve"> summarises a question raised by this appeal in very simple terms: "Does the Federal Court's power to grant an interlocutory injunction include the power to direct officers of the Commonwealth to disobey the [statutory] law?". In more detail: did the Federal Court of Australia have power to direct officers of the Commonwealth to disobey the statutory duty in s 198(6) of the </w:t>
      </w:r>
      <w:r w:rsidRPr="00332BB4">
        <w:rPr>
          <w:rFonts w:ascii="Times New Roman" w:hAnsi="Times New Roman"/>
          <w:i/>
          <w:iCs/>
        </w:rPr>
        <w:t>Migration Act 1958 </w:t>
      </w:r>
      <w:r w:rsidRPr="00332BB4">
        <w:rPr>
          <w:rFonts w:ascii="Times New Roman" w:hAnsi="Times New Roman"/>
        </w:rPr>
        <w:t>(</w:t>
      </w:r>
      <w:proofErr w:type="spellStart"/>
      <w:r w:rsidRPr="00332BB4">
        <w:rPr>
          <w:rFonts w:ascii="Times New Roman" w:hAnsi="Times New Roman"/>
        </w:rPr>
        <w:t>Cth</w:t>
      </w:r>
      <w:proofErr w:type="spellEnd"/>
      <w:r w:rsidRPr="00332BB4">
        <w:rPr>
          <w:rFonts w:ascii="Times New Roman" w:hAnsi="Times New Roman"/>
        </w:rPr>
        <w:t xml:space="preserve">) (the validity of which was unchallenged) which required MZAPC to be removed "as soon as reasonably practicable"?  </w:t>
      </w:r>
    </w:p>
    <w:p w14:paraId="2A837B1C"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Before the primary judge</w:t>
      </w:r>
      <w:r w:rsidRPr="00332BB4">
        <w:rPr>
          <w:rStyle w:val="FootnoteReference"/>
          <w:rFonts w:ascii="Times New Roman" w:hAnsi="Times New Roman"/>
          <w:sz w:val="24"/>
        </w:rPr>
        <w:footnoteReference w:id="83"/>
      </w:r>
      <w:r w:rsidRPr="00332BB4">
        <w:rPr>
          <w:rFonts w:ascii="Times New Roman" w:hAnsi="Times New Roman"/>
        </w:rPr>
        <w:t xml:space="preserve"> and before the Full Court of the Federal Court of Australia</w:t>
      </w:r>
      <w:r w:rsidRPr="00332BB4">
        <w:rPr>
          <w:rStyle w:val="FootnoteReference"/>
          <w:rFonts w:ascii="Times New Roman" w:hAnsi="Times New Roman"/>
          <w:sz w:val="24"/>
        </w:rPr>
        <w:footnoteReference w:id="84"/>
      </w:r>
      <w:r w:rsidRPr="00332BB4">
        <w:rPr>
          <w:rFonts w:ascii="Times New Roman" w:hAnsi="Times New Roman"/>
        </w:rPr>
        <w:t xml:space="preserve"> it was assumed that removal of MZAPC was validly required by s 198(6) of the </w:t>
      </w:r>
      <w:r w:rsidRPr="00332BB4">
        <w:rPr>
          <w:rFonts w:ascii="Times New Roman" w:hAnsi="Times New Roman"/>
          <w:i/>
          <w:iCs/>
        </w:rPr>
        <w:t>Migration Act</w:t>
      </w:r>
      <w:r w:rsidRPr="00332BB4">
        <w:rPr>
          <w:rFonts w:ascii="Times New Roman" w:hAnsi="Times New Roman"/>
        </w:rPr>
        <w:t>. The primary judge considered that the question was whether "the undoubted duty to remove [MZAPC] [under s 198(6)] will frustrate the Court's processes".</w:t>
      </w:r>
      <w:r w:rsidRPr="00332BB4">
        <w:rPr>
          <w:rStyle w:val="FootnoteReference"/>
          <w:rFonts w:ascii="Times New Roman" w:hAnsi="Times New Roman"/>
          <w:sz w:val="24"/>
        </w:rPr>
        <w:footnoteReference w:id="85"/>
      </w:r>
      <w:r w:rsidRPr="00332BB4">
        <w:rPr>
          <w:rFonts w:ascii="Times New Roman" w:hAnsi="Times New Roman"/>
        </w:rPr>
        <w:t xml:space="preserve"> The majority of the Full Court expressed the question as whether the Federal Court had power to order "restraint of the performance of a statutory duty".</w:t>
      </w:r>
      <w:r w:rsidRPr="00332BB4">
        <w:rPr>
          <w:rStyle w:val="FootnoteReference"/>
          <w:rFonts w:ascii="Times New Roman" w:hAnsi="Times New Roman"/>
          <w:sz w:val="24"/>
        </w:rPr>
        <w:footnoteReference w:id="86"/>
      </w:r>
      <w:r w:rsidRPr="00332BB4">
        <w:rPr>
          <w:rFonts w:ascii="Times New Roman" w:hAnsi="Times New Roman"/>
        </w:rPr>
        <w:t xml:space="preserve"> Both the primary judge and the majority of the Full Court held that the Federal Court had such a power,</w:t>
      </w:r>
      <w:r w:rsidRPr="00332BB4">
        <w:rPr>
          <w:rStyle w:val="FootnoteReference"/>
          <w:rFonts w:ascii="Times New Roman" w:hAnsi="Times New Roman"/>
          <w:sz w:val="24"/>
        </w:rPr>
        <w:footnoteReference w:id="87"/>
      </w:r>
      <w:r w:rsidRPr="00332BB4">
        <w:rPr>
          <w:rFonts w:ascii="Times New Roman" w:hAnsi="Times New Roman"/>
        </w:rPr>
        <w:t xml:space="preserve"> despite, as the majority of the Full Court recognised, "the seriousness of restraining the enforcement of a valid law".</w:t>
      </w:r>
      <w:r w:rsidRPr="00332BB4">
        <w:rPr>
          <w:rStyle w:val="FootnoteReference"/>
          <w:rFonts w:ascii="Times New Roman" w:hAnsi="Times New Roman"/>
          <w:sz w:val="24"/>
        </w:rPr>
        <w:footnoteReference w:id="88"/>
      </w:r>
      <w:r w:rsidRPr="00332BB4">
        <w:rPr>
          <w:rFonts w:ascii="Times New Roman" w:hAnsi="Times New Roman"/>
        </w:rPr>
        <w:t xml:space="preserve"> The primary judge and the majority of the Full Court relied upon the need for a court to protect its own processes as the basis for a power to make an order that directed officers of the Commonwealth to disobey the statutory duty in s 198(6) of the </w:t>
      </w:r>
      <w:r w:rsidRPr="00332BB4">
        <w:rPr>
          <w:rFonts w:ascii="Times New Roman" w:hAnsi="Times New Roman"/>
          <w:i/>
          <w:iCs/>
        </w:rPr>
        <w:lastRenderedPageBreak/>
        <w:t xml:space="preserve">Migration Act, </w:t>
      </w:r>
      <w:r w:rsidRPr="00332BB4">
        <w:rPr>
          <w:rFonts w:ascii="Times New Roman" w:hAnsi="Times New Roman"/>
        </w:rPr>
        <w:t>which was assumed by their Honours to require the removal of MZAPC.</w:t>
      </w:r>
      <w:r w:rsidRPr="00332BB4">
        <w:rPr>
          <w:rStyle w:val="FootnoteReference"/>
          <w:rFonts w:ascii="Times New Roman" w:hAnsi="Times New Roman"/>
          <w:sz w:val="24"/>
        </w:rPr>
        <w:footnoteReference w:id="89"/>
      </w:r>
    </w:p>
    <w:p w14:paraId="11169DA4"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In short, the primary judge and the majority of the Full Court answered the simple question as expressed by the Minister "yes". With great respect to the primary judge and to the majority of the Full Court, the correct answer to the simple question of the Minister should have been "no". Absent any issue concerning the application of the law or the validity of the law, no court has the power to direct any person to disobey a law of the Parliament.</w:t>
      </w:r>
      <w:r w:rsidRPr="00332BB4">
        <w:rPr>
          <w:rStyle w:val="FootnoteReference"/>
          <w:rFonts w:ascii="Times New Roman" w:hAnsi="Times New Roman"/>
          <w:sz w:val="24"/>
        </w:rPr>
        <w:footnoteReference w:id="90"/>
      </w:r>
      <w:r w:rsidRPr="00332BB4">
        <w:rPr>
          <w:rFonts w:ascii="Times New Roman" w:hAnsi="Times New Roman"/>
        </w:rPr>
        <w:t xml:space="preserve"> The process of the Federal Court is statutory. The statutory process of the Federal Court cannot be protected from abuse by ordering any person to disobey another statute. The reasoning on this point by Sarah C Derrington J, in dissent in the Full Court, is impeccable. As her Honour said:</w:t>
      </w:r>
      <w:r w:rsidRPr="00332BB4">
        <w:rPr>
          <w:rStyle w:val="FootnoteReference"/>
          <w:rFonts w:ascii="Times New Roman" w:hAnsi="Times New Roman"/>
          <w:sz w:val="24"/>
        </w:rPr>
        <w:footnoteReference w:id="91"/>
      </w:r>
      <w:r w:rsidRPr="00332BB4">
        <w:rPr>
          <w:rFonts w:ascii="Times New Roman" w:hAnsi="Times New Roman"/>
        </w:rPr>
        <w:t xml:space="preserve"> </w:t>
      </w:r>
    </w:p>
    <w:p w14:paraId="2BAA6676" w14:textId="77777777" w:rsidR="004C0687" w:rsidRDefault="004C0687" w:rsidP="00332BB4">
      <w:pPr>
        <w:pStyle w:val="LeftrightafterHC"/>
        <w:spacing w:before="0" w:after="260" w:line="280" w:lineRule="exact"/>
        <w:ind w:right="0"/>
        <w:jc w:val="both"/>
        <w:rPr>
          <w:rFonts w:ascii="Times New Roman" w:hAnsi="Times New Roman"/>
        </w:rPr>
      </w:pPr>
      <w:r w:rsidRPr="00332BB4">
        <w:rPr>
          <w:rFonts w:ascii="Times New Roman" w:hAnsi="Times New Roman"/>
        </w:rPr>
        <w:tab/>
        <w:t xml:space="preserve">"The preconditions specified in s 198(6) having been met, and there being no legal challenge to any of those preconditions which have engaged the Court’s processes, it cannot be correct that the interlocutory injunction sought by MZAPC is intended to prevent the abuse or frustration of the Court’s process". </w:t>
      </w:r>
    </w:p>
    <w:p w14:paraId="43297417"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However, the simple question as expressed by the Minister, and the approach taken in the courts below, concealed an anterior question which was agitated for the first time by a further amended notice of contention filed after questions from this Court on the first oral hearing of this appeal. The anterior question was: was removal required by s 198(6) of the </w:t>
      </w:r>
      <w:r w:rsidRPr="00332BB4">
        <w:rPr>
          <w:rFonts w:ascii="Times New Roman" w:hAnsi="Times New Roman"/>
          <w:i/>
          <w:iCs/>
        </w:rPr>
        <w:t xml:space="preserve">Migration Act </w:t>
      </w:r>
      <w:r w:rsidRPr="00332BB4">
        <w:rPr>
          <w:rFonts w:ascii="Times New Roman" w:hAnsi="Times New Roman"/>
        </w:rPr>
        <w:t xml:space="preserve">in this case? Section 198(6) did not permit an officer to take all steps, however unfeasible and however impracticable, to remove MZAPC immediately. Until it was reasonably practicable to remove MZAPC, there was no power to remove him under s 198(6). </w:t>
      </w:r>
    </w:p>
    <w:p w14:paraId="28576B2D"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If there was a prima facie case, in the sense of it being reasonably arguable or there being a "probability" that removal of MZAPC was not reasonably practicable, then subject to the balance of convenience the Federal Court had power to issue an interlocutory injunction.</w:t>
      </w:r>
      <w:r w:rsidRPr="00332BB4">
        <w:rPr>
          <w:rStyle w:val="FootnoteReference"/>
          <w:rFonts w:ascii="Times New Roman" w:hAnsi="Times New Roman"/>
          <w:sz w:val="24"/>
        </w:rPr>
        <w:footnoteReference w:id="92"/>
      </w:r>
      <w:r w:rsidRPr="00332BB4">
        <w:rPr>
          <w:rFonts w:ascii="Times New Roman" w:hAnsi="Times New Roman"/>
        </w:rPr>
        <w:t xml:space="preserve"> In light of the unchallenged reasoning of the Full Court that the balance of convenience (which includes the potential </w:t>
      </w:r>
      <w:r w:rsidRPr="00332BB4">
        <w:rPr>
          <w:rFonts w:ascii="Times New Roman" w:hAnsi="Times New Roman"/>
        </w:rPr>
        <w:lastRenderedPageBreak/>
        <w:t>injury to MZAPC's ability to vindicate his claim should the injunction be refused,</w:t>
      </w:r>
      <w:r w:rsidRPr="00332BB4">
        <w:rPr>
          <w:rStyle w:val="FootnoteReference"/>
          <w:rFonts w:ascii="Times New Roman" w:hAnsi="Times New Roman"/>
          <w:sz w:val="24"/>
        </w:rPr>
        <w:footnoteReference w:id="93"/>
      </w:r>
      <w:r w:rsidRPr="00332BB4">
        <w:rPr>
          <w:rFonts w:ascii="Times New Roman" w:hAnsi="Times New Roman"/>
        </w:rPr>
        <w:t xml:space="preserve"> in this case, by removal) strongly favoured an order restraining the removal of MZAPC,</w:t>
      </w:r>
      <w:r w:rsidRPr="00332BB4">
        <w:rPr>
          <w:rStyle w:val="FootnoteReference"/>
          <w:rFonts w:ascii="Times New Roman" w:hAnsi="Times New Roman"/>
          <w:sz w:val="24"/>
        </w:rPr>
        <w:footnoteReference w:id="94"/>
      </w:r>
      <w:r w:rsidRPr="00332BB4">
        <w:rPr>
          <w:rFonts w:ascii="Times New Roman" w:hAnsi="Times New Roman"/>
        </w:rPr>
        <w:t xml:space="preserve"> the prima facie case did not need to be particularly strong.</w:t>
      </w:r>
      <w:r w:rsidRPr="00332BB4">
        <w:rPr>
          <w:rStyle w:val="FootnoteReference"/>
          <w:rFonts w:ascii="Times New Roman" w:hAnsi="Times New Roman"/>
          <w:sz w:val="24"/>
        </w:rPr>
        <w:footnoteReference w:id="95"/>
      </w:r>
      <w:r w:rsidRPr="00332BB4">
        <w:rPr>
          <w:rFonts w:ascii="Times New Roman" w:hAnsi="Times New Roman"/>
        </w:rPr>
        <w:t xml:space="preserve"> In such circumstances, an interlocutory injunction could be issued because the Federal Court would be acting consistently with the statutory command of s 198(6) of the </w:t>
      </w:r>
      <w:r w:rsidRPr="00332BB4">
        <w:rPr>
          <w:rFonts w:ascii="Times New Roman" w:hAnsi="Times New Roman"/>
          <w:i/>
          <w:iCs/>
        </w:rPr>
        <w:t>Migration Act</w:t>
      </w:r>
      <w:r w:rsidRPr="00332BB4">
        <w:rPr>
          <w:rFonts w:ascii="Times New Roman" w:hAnsi="Times New Roman"/>
        </w:rPr>
        <w:t xml:space="preserve"> to preserve the status quo pending the determination of what the requirements of reasonable practicability demanded. </w:t>
      </w:r>
      <w:r w:rsidRPr="00332BB4">
        <w:rPr>
          <w:rFonts w:ascii="Times New Roman" w:hAnsi="Times New Roman"/>
          <w:i/>
          <w:iCs/>
        </w:rPr>
        <w:t xml:space="preserve"> </w:t>
      </w:r>
    </w:p>
    <w:p w14:paraId="3CB76880"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i/>
          <w:iCs/>
        </w:rPr>
        <w:tab/>
      </w:r>
      <w:r w:rsidRPr="00332BB4">
        <w:rPr>
          <w:rFonts w:ascii="Times New Roman" w:hAnsi="Times New Roman"/>
        </w:rPr>
        <w:t xml:space="preserve">Strictly, therefore, the central issue on this appeal should have been whether MZAPC's proposed application to this case of the words "reasonably practicable" in s 198(6) was sufficiently arguable to justify the grant of an interlocutory injunction. The narrowness of such a question in this Court might have been a good reason for special leave to have been refused. But, since special leave was granted, and since the further amended notice of contention filed by MZAPC expresses this issue as one concerned with the proper construction of s 198(6) of the </w:t>
      </w:r>
      <w:r w:rsidRPr="00332BB4">
        <w:rPr>
          <w:rFonts w:ascii="Times New Roman" w:hAnsi="Times New Roman"/>
          <w:i/>
          <w:iCs/>
        </w:rPr>
        <w:t>Migration Act</w:t>
      </w:r>
      <w:r w:rsidRPr="00332BB4">
        <w:rPr>
          <w:rFonts w:ascii="Times New Roman" w:hAnsi="Times New Roman"/>
        </w:rPr>
        <w:t xml:space="preserve">, rather than merely a reasonably arguable construction of s 198(6), it is appropriate on the appeal for this Court to go further and to express a view, in seriously considered obiter dicta, as to the application of the meaning of the words "reasonably practicable" in s 198(6) of the </w:t>
      </w:r>
      <w:r w:rsidRPr="00332BB4">
        <w:rPr>
          <w:rFonts w:ascii="Times New Roman" w:hAnsi="Times New Roman"/>
          <w:i/>
          <w:iCs/>
        </w:rPr>
        <w:t>Migration Act</w:t>
      </w:r>
      <w:r w:rsidRPr="00332BB4">
        <w:rPr>
          <w:rFonts w:ascii="Times New Roman" w:hAnsi="Times New Roman"/>
        </w:rPr>
        <w:t xml:space="preserve"> as properly interpreted. </w:t>
      </w:r>
    </w:p>
    <w:p w14:paraId="6330D775"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For the reasons below, the duty in s 198(6) did not apply to MZAPC because his removal was not reasonably practicable. The reason that the removal of MZAPC was not reasonably practicable was because MZAPC had a pending application for declaratory relief in proceedings that had not yet been finalised in the Federal Court of Australia and which was conceded on this appeal by the Minister to be reasonably arguable. The declaratory relief sought by MZAPC was formulated in this Court as follows:</w:t>
      </w:r>
    </w:p>
    <w:p w14:paraId="63C67EFD" w14:textId="77777777" w:rsidR="004C0687" w:rsidRDefault="004C0687" w:rsidP="00332BB4">
      <w:pPr>
        <w:pStyle w:val="leftright"/>
        <w:spacing w:before="0" w:after="260" w:line="280" w:lineRule="exact"/>
        <w:ind w:right="0"/>
        <w:jc w:val="both"/>
        <w:rPr>
          <w:rFonts w:ascii="Times New Roman" w:hAnsi="Times New Roman"/>
        </w:rPr>
      </w:pPr>
      <w:r w:rsidRPr="00332BB4">
        <w:rPr>
          <w:rFonts w:ascii="Times New Roman" w:hAnsi="Times New Roman"/>
        </w:rPr>
        <w:t xml:space="preserve">"Declare that the decisions made by officers of the Commonwealth in respect of the respondent from 2016 to 2022 in purported compliance with the 'Guidelines on Minister's detention intervention power (s 195A of the </w:t>
      </w:r>
      <w:r w:rsidRPr="00332BB4">
        <w:rPr>
          <w:rFonts w:ascii="Times New Roman" w:hAnsi="Times New Roman"/>
          <w:i/>
          <w:iCs/>
        </w:rPr>
        <w:t>Migration Act</w:t>
      </w:r>
      <w:r w:rsidRPr="00332BB4">
        <w:rPr>
          <w:rFonts w:ascii="Times New Roman" w:hAnsi="Times New Roman"/>
        </w:rPr>
        <w:t>)' (November 2016) exceeded the executive power of the Commonwealth."</w:t>
      </w:r>
    </w:p>
    <w:p w14:paraId="5102A7CB" w14:textId="77777777" w:rsidR="004C0687" w:rsidRPr="00332BB4" w:rsidRDefault="004C0687" w:rsidP="00332BB4">
      <w:pPr>
        <w:pStyle w:val="NormalBody"/>
        <w:spacing w:after="260" w:line="280" w:lineRule="exact"/>
        <w:ind w:right="0"/>
        <w:jc w:val="both"/>
        <w:rPr>
          <w:rFonts w:ascii="Times New Roman" w:hAnsi="Times New Roman"/>
        </w:rPr>
      </w:pPr>
      <w:r w:rsidRPr="00332BB4">
        <w:rPr>
          <w:rFonts w:ascii="Times New Roman" w:hAnsi="Times New Roman"/>
        </w:rPr>
        <w:t xml:space="preserve">In other words, it was not reasonably practicable to remove MZAPC while a court was considering a reasonable argument that the Minister had unlawfully been impeded by the actions of members of the executive from his liberty to consider </w:t>
      </w:r>
      <w:r w:rsidRPr="00332BB4">
        <w:rPr>
          <w:rFonts w:ascii="Times New Roman" w:hAnsi="Times New Roman"/>
        </w:rPr>
        <w:lastRenderedPageBreak/>
        <w:t xml:space="preserve">MZAPC's request for the Minister to exercise the personal non-compellable power in s 195A of the </w:t>
      </w:r>
      <w:r w:rsidRPr="00332BB4">
        <w:rPr>
          <w:rFonts w:ascii="Times New Roman" w:hAnsi="Times New Roman"/>
          <w:i/>
          <w:iCs/>
        </w:rPr>
        <w:t xml:space="preserve">Migration Act </w:t>
      </w:r>
      <w:r w:rsidRPr="00332BB4">
        <w:rPr>
          <w:rFonts w:ascii="Times New Roman" w:hAnsi="Times New Roman"/>
        </w:rPr>
        <w:t xml:space="preserve">to grant a visa. Ground one of MZAPC's further amended notice of contention should be upheld and the appeal should be dismissed. </w:t>
      </w:r>
    </w:p>
    <w:p w14:paraId="6DEC088F" w14:textId="77777777" w:rsidR="004C0687" w:rsidRPr="00332BB4" w:rsidRDefault="004C0687" w:rsidP="00332BB4">
      <w:pPr>
        <w:pStyle w:val="HeadingL1"/>
        <w:spacing w:after="260" w:line="280" w:lineRule="exact"/>
        <w:ind w:right="0"/>
        <w:jc w:val="both"/>
        <w:rPr>
          <w:rFonts w:ascii="Times New Roman" w:hAnsi="Times New Roman"/>
        </w:rPr>
      </w:pPr>
      <w:r w:rsidRPr="00332BB4">
        <w:rPr>
          <w:rFonts w:ascii="Times New Roman" w:hAnsi="Times New Roman"/>
        </w:rPr>
        <w:t>The power of the Federal Court to protect its own processes</w:t>
      </w:r>
    </w:p>
    <w:p w14:paraId="131152C8"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The power of the Federal Court is limited by the statute that creates that court. Sometimes it is said that the Federal Court has "inherent" power in addition to its "statutory" power but that "slippery"</w:t>
      </w:r>
      <w:r w:rsidRPr="00332BB4">
        <w:rPr>
          <w:rStyle w:val="FootnoteReference"/>
          <w:rFonts w:ascii="Times New Roman" w:hAnsi="Times New Roman"/>
          <w:sz w:val="24"/>
        </w:rPr>
        <w:footnoteReference w:id="96"/>
      </w:r>
      <w:r w:rsidRPr="00332BB4">
        <w:rPr>
          <w:rFonts w:ascii="Times New Roman" w:hAnsi="Times New Roman"/>
        </w:rPr>
        <w:t xml:space="preserve"> use of "inherent" should not be taken to suggest that the Federal Court has some non-statutory power that arises like a ghost in the machine of Parliament's creation. The reference to "inherent" jurisdiction and "inherent" power is also slippery in relation to State courts that are sometimes said to have "inherent" jurisdiction and "inherent" power by virtue of the broad terms of conferral of jurisdiction as courts of record in their constituent instruments.</w:t>
      </w:r>
      <w:r w:rsidRPr="00332BB4">
        <w:rPr>
          <w:rStyle w:val="FootnoteReference"/>
          <w:rFonts w:ascii="Times New Roman" w:hAnsi="Times New Roman"/>
          <w:sz w:val="24"/>
        </w:rPr>
        <w:footnoteReference w:id="97"/>
      </w:r>
      <w:r w:rsidRPr="00332BB4">
        <w:rPr>
          <w:rFonts w:ascii="Times New Roman" w:hAnsi="Times New Roman"/>
        </w:rPr>
        <w:t xml:space="preserve"> That conferral remains, ultimately, a statutory source, although the general terms of the conferral can require consideration of large questions concerning the evolution of that jurisdiction and power, including where it was created by reference to the jurisdiction of the courts at Westminster. None of those questions arise on this appeal.   </w:t>
      </w:r>
    </w:p>
    <w:p w14:paraId="1AA18DD0"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It is well established, and beyond question, that the power of the Federal Court is limited to power that is "expressly or impliedly conferred by the legislation governing the court and 'such powers as are incidental and necessary to the exercise of the jurisdiction or the powers so conferred'".</w:t>
      </w:r>
      <w:r w:rsidRPr="00332BB4">
        <w:rPr>
          <w:rStyle w:val="FootnoteReference"/>
          <w:rFonts w:ascii="Times New Roman" w:hAnsi="Times New Roman"/>
          <w:sz w:val="24"/>
        </w:rPr>
        <w:footnoteReference w:id="98"/>
      </w:r>
      <w:r w:rsidRPr="00332BB4">
        <w:rPr>
          <w:rFonts w:ascii="Times New Roman" w:hAnsi="Times New Roman"/>
        </w:rPr>
        <w:t xml:space="preserve"> The powers that are </w:t>
      </w:r>
      <w:r w:rsidRPr="00332BB4">
        <w:rPr>
          <w:rFonts w:ascii="Times New Roman" w:hAnsi="Times New Roman"/>
        </w:rPr>
        <w:lastRenderedPageBreak/>
        <w:t>"incidental and necessary" to the exercise of express or implied statutory powers are, of course, also an implication from the statute,</w:t>
      </w:r>
      <w:r w:rsidRPr="00332BB4">
        <w:rPr>
          <w:rStyle w:val="FootnoteReference"/>
          <w:rFonts w:ascii="Times New Roman" w:hAnsi="Times New Roman"/>
          <w:sz w:val="24"/>
        </w:rPr>
        <w:footnoteReference w:id="99"/>
      </w:r>
      <w:r w:rsidRPr="00332BB4">
        <w:rPr>
          <w:rFonts w:ascii="Times New Roman" w:hAnsi="Times New Roman"/>
        </w:rPr>
        <w:t xml:space="preserve"> although they are in the nature of an implicature which depends less upon the text and more upon the incidents of the power and the necessity for its exercise. There is nothing magically inherent in the powers of the Federal Court; all the power that inheres in it is conferred by statute.</w:t>
      </w:r>
    </w:p>
    <w:p w14:paraId="42CA1F28"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Section 23 of the </w:t>
      </w:r>
      <w:r w:rsidRPr="00332BB4">
        <w:rPr>
          <w:rFonts w:ascii="Times New Roman" w:hAnsi="Times New Roman"/>
          <w:i/>
          <w:iCs/>
        </w:rPr>
        <w:t>Federal Court of Australia Act 1976 </w:t>
      </w:r>
      <w:r w:rsidRPr="00332BB4">
        <w:rPr>
          <w:rFonts w:ascii="Times New Roman" w:hAnsi="Times New Roman"/>
        </w:rPr>
        <w:t>(</w:t>
      </w:r>
      <w:proofErr w:type="spellStart"/>
      <w:r w:rsidRPr="00332BB4">
        <w:rPr>
          <w:rFonts w:ascii="Times New Roman" w:hAnsi="Times New Roman"/>
        </w:rPr>
        <w:t>Cth</w:t>
      </w:r>
      <w:proofErr w:type="spellEnd"/>
      <w:r w:rsidRPr="00332BB4">
        <w:rPr>
          <w:rFonts w:ascii="Times New Roman" w:hAnsi="Times New Roman"/>
        </w:rPr>
        <w:t>) provides that the Federal Court "has power, in relation to matters in which it has jurisdiction, to make orders of such kinds ... as the Court thinks appropriate". It is well established that such a statutory power includes an implied power for the court to prevent its processes being abused and the "counterpart" power to protect the integrity of its processes.</w:t>
      </w:r>
      <w:r w:rsidRPr="00332BB4">
        <w:rPr>
          <w:rStyle w:val="FootnoteReference"/>
          <w:rFonts w:ascii="Times New Roman" w:hAnsi="Times New Roman"/>
          <w:sz w:val="24"/>
        </w:rPr>
        <w:footnoteReference w:id="100"/>
      </w:r>
      <w:r w:rsidRPr="00332BB4">
        <w:rPr>
          <w:rFonts w:ascii="Times New Roman" w:hAnsi="Times New Roman"/>
        </w:rPr>
        <w:t xml:space="preserve"> Indeed, the same implication would naturally be recognised in relation to the powers of any court created by statute.   </w:t>
      </w:r>
    </w:p>
    <w:p w14:paraId="5F1A1D04"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The implied power of any court to protect the integrity of its own processes is a statutory power. It is not a power to read down, sever, or disapply the valid and unchallenged provisions of other statutes. Nor is it a power to ignore the unchallenged orders of other courts. In </w:t>
      </w:r>
      <w:r w:rsidRPr="00332BB4">
        <w:rPr>
          <w:rFonts w:ascii="Times New Roman" w:hAnsi="Times New Roman"/>
          <w:i/>
          <w:iCs/>
        </w:rPr>
        <w:t>Reid v Howard</w:t>
      </w:r>
      <w:r w:rsidRPr="00332BB4">
        <w:rPr>
          <w:rFonts w:ascii="Times New Roman" w:hAnsi="Times New Roman"/>
        </w:rPr>
        <w:t>,</w:t>
      </w:r>
      <w:r w:rsidRPr="00332BB4">
        <w:rPr>
          <w:rStyle w:val="FootnoteReference"/>
          <w:rFonts w:ascii="Times New Roman" w:hAnsi="Times New Roman"/>
          <w:sz w:val="24"/>
        </w:rPr>
        <w:footnoteReference w:id="101"/>
      </w:r>
      <w:r w:rsidRPr="00332BB4">
        <w:rPr>
          <w:rFonts w:ascii="Times New Roman" w:hAnsi="Times New Roman"/>
          <w:i/>
          <w:iCs/>
        </w:rPr>
        <w:t xml:space="preserve"> </w:t>
      </w:r>
      <w:r w:rsidRPr="00332BB4">
        <w:rPr>
          <w:rFonts w:ascii="Times New Roman" w:hAnsi="Times New Roman"/>
        </w:rPr>
        <w:t>four members of this Court said that neither the implied ("inherent") powers of the Supreme Court of New South Wales, nor the "completely general terms" of the express statutory grant of "all jurisdiction which may be necessary for the administration of justice in New South Wales",</w:t>
      </w:r>
      <w:r w:rsidRPr="00332BB4">
        <w:rPr>
          <w:rStyle w:val="FootnoteReference"/>
          <w:rFonts w:ascii="Times New Roman" w:hAnsi="Times New Roman"/>
          <w:sz w:val="24"/>
        </w:rPr>
        <w:footnoteReference w:id="102"/>
      </w:r>
      <w:r w:rsidRPr="00332BB4">
        <w:rPr>
          <w:rFonts w:ascii="Times New Roman" w:hAnsi="Times New Roman"/>
        </w:rPr>
        <w:t xml:space="preserve"> could "authorise the making of orders excusing compliance with obligations or preventing the exercise of authority deriving from statute".</w:t>
      </w:r>
      <w:r w:rsidRPr="00332BB4">
        <w:rPr>
          <w:rStyle w:val="FootnoteReference"/>
          <w:rFonts w:ascii="Times New Roman" w:hAnsi="Times New Roman"/>
          <w:sz w:val="24"/>
        </w:rPr>
        <w:footnoteReference w:id="103"/>
      </w:r>
      <w:r w:rsidRPr="00332BB4">
        <w:rPr>
          <w:rFonts w:ascii="Times New Roman" w:hAnsi="Times New Roman"/>
        </w:rPr>
        <w:t xml:space="preserve"> </w:t>
      </w:r>
    </w:p>
    <w:p w14:paraId="07D81A58"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In this respect, I agree entirely with the analysis by Beech-Jones J of the treatment by this Court of the obligation to execute Mr Tait in </w:t>
      </w:r>
      <w:r w:rsidRPr="00332BB4">
        <w:rPr>
          <w:rFonts w:ascii="Times New Roman" w:hAnsi="Times New Roman"/>
          <w:i/>
          <w:iCs/>
        </w:rPr>
        <w:t>Tait v The Queen</w:t>
      </w:r>
      <w:r w:rsidRPr="00332BB4">
        <w:rPr>
          <w:rFonts w:ascii="Times New Roman" w:hAnsi="Times New Roman"/>
        </w:rPr>
        <w:t>.</w:t>
      </w:r>
      <w:r w:rsidRPr="00332BB4">
        <w:rPr>
          <w:rStyle w:val="FootnoteReference"/>
          <w:rFonts w:ascii="Times New Roman" w:hAnsi="Times New Roman"/>
          <w:sz w:val="24"/>
        </w:rPr>
        <w:footnoteReference w:id="104"/>
      </w:r>
      <w:r w:rsidRPr="00332BB4">
        <w:rPr>
          <w:rFonts w:ascii="Times New Roman" w:hAnsi="Times New Roman"/>
        </w:rPr>
        <w:t xml:space="preserve"> Neither the High Court of Australia, nor any other court, had the power to stay an unchallenged order for execution based only upon the existence of an administrative process that might establish gross unfairness in the execution of a person who might be found by that process to be suffering from a serious </w:t>
      </w:r>
      <w:r w:rsidRPr="00332BB4">
        <w:rPr>
          <w:rFonts w:ascii="Times New Roman" w:hAnsi="Times New Roman"/>
        </w:rPr>
        <w:lastRenderedPageBreak/>
        <w:t xml:space="preserve">psychiatric illness. A perception of gross unfairness is not a sufficient basis for a court to refuse to follow the law. The only alternative for a judge whose conscience does not permit them to refuse a stay due to their perception of gross unfairness is resignation. However, as Beech-Jones J explains, the stay ordered by this Court in both applications in </w:t>
      </w:r>
      <w:r w:rsidRPr="00332BB4">
        <w:rPr>
          <w:rFonts w:ascii="Times New Roman" w:hAnsi="Times New Roman"/>
          <w:i/>
          <w:iCs/>
        </w:rPr>
        <w:t xml:space="preserve">Tait v The Queen </w:t>
      </w:r>
      <w:r w:rsidRPr="00332BB4">
        <w:rPr>
          <w:rFonts w:ascii="Times New Roman" w:hAnsi="Times New Roman"/>
        </w:rPr>
        <w:t xml:space="preserve">was based upon concern that the execution of Mr Tait would be unlawful and therefore that the order for execution (and consequential warrant) might be set aside.    </w:t>
      </w:r>
    </w:p>
    <w:p w14:paraId="08774710" w14:textId="77777777" w:rsidR="004C0687" w:rsidRPr="00332BB4" w:rsidRDefault="004C0687" w:rsidP="00332BB4">
      <w:pPr>
        <w:pStyle w:val="HeadingL1"/>
        <w:spacing w:after="260" w:line="280" w:lineRule="exact"/>
        <w:ind w:right="0"/>
        <w:jc w:val="both"/>
        <w:rPr>
          <w:rFonts w:ascii="Times New Roman" w:hAnsi="Times New Roman"/>
          <w:i/>
          <w:iCs/>
        </w:rPr>
      </w:pPr>
      <w:r w:rsidRPr="00332BB4">
        <w:rPr>
          <w:rFonts w:ascii="Times New Roman" w:hAnsi="Times New Roman"/>
        </w:rPr>
        <w:t xml:space="preserve">The statutory duty in s 198(6) of the </w:t>
      </w:r>
      <w:r w:rsidRPr="00332BB4">
        <w:rPr>
          <w:rFonts w:ascii="Times New Roman" w:hAnsi="Times New Roman"/>
          <w:i/>
          <w:iCs/>
        </w:rPr>
        <w:t>Migration Act</w:t>
      </w:r>
    </w:p>
    <w:p w14:paraId="62EDE0EA"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Section 198(6) of the </w:t>
      </w:r>
      <w:r w:rsidRPr="00332BB4">
        <w:rPr>
          <w:rFonts w:ascii="Times New Roman" w:hAnsi="Times New Roman"/>
          <w:i/>
          <w:iCs/>
        </w:rPr>
        <w:t xml:space="preserve">Migration Act </w:t>
      </w:r>
      <w:r w:rsidRPr="00332BB4">
        <w:rPr>
          <w:rFonts w:ascii="Times New Roman" w:hAnsi="Times New Roman"/>
        </w:rPr>
        <w:t>relevantly provides:</w:t>
      </w:r>
    </w:p>
    <w:p w14:paraId="5ADA625F" w14:textId="77777777" w:rsidR="004C0687" w:rsidRPr="00332BB4" w:rsidRDefault="004C0687" w:rsidP="00332BB4">
      <w:pPr>
        <w:pStyle w:val="LeftrightafterHC"/>
        <w:spacing w:before="0" w:after="260" w:line="280" w:lineRule="exact"/>
        <w:ind w:right="0"/>
        <w:jc w:val="both"/>
        <w:rPr>
          <w:rFonts w:ascii="Times New Roman" w:hAnsi="Times New Roman"/>
        </w:rPr>
      </w:pPr>
      <w:r w:rsidRPr="00332BB4">
        <w:rPr>
          <w:rFonts w:ascii="Times New Roman" w:hAnsi="Times New Roman"/>
        </w:rPr>
        <w:t>"An officer must remove as soon as reasonably practicable an unlawful non-citizen if:</w:t>
      </w:r>
    </w:p>
    <w:p w14:paraId="06FCCFE6" w14:textId="77777777" w:rsidR="004C0687" w:rsidRPr="00332BB4" w:rsidRDefault="004C0687" w:rsidP="00332BB4">
      <w:pPr>
        <w:pStyle w:val="LeftrightafterHC"/>
        <w:spacing w:before="0" w:after="260" w:line="280" w:lineRule="exact"/>
        <w:ind w:right="0"/>
        <w:jc w:val="both"/>
        <w:rPr>
          <w:rFonts w:ascii="Times New Roman" w:hAnsi="Times New Roman"/>
        </w:rPr>
      </w:pPr>
      <w:r w:rsidRPr="00332BB4">
        <w:rPr>
          <w:rFonts w:ascii="Times New Roman" w:hAnsi="Times New Roman"/>
        </w:rPr>
        <w:tab/>
        <w:t>(a)</w:t>
      </w:r>
      <w:r w:rsidRPr="00332BB4">
        <w:rPr>
          <w:rFonts w:ascii="Times New Roman" w:hAnsi="Times New Roman"/>
        </w:rPr>
        <w:tab/>
        <w:t>the non-citizen is a detainee; and</w:t>
      </w:r>
    </w:p>
    <w:p w14:paraId="2BC067EC" w14:textId="77777777" w:rsidR="004C0687" w:rsidRPr="00332BB4" w:rsidRDefault="004C0687" w:rsidP="00332BB4">
      <w:pPr>
        <w:pStyle w:val="LeftrightafterHC"/>
        <w:spacing w:before="0" w:after="260" w:line="280" w:lineRule="exact"/>
        <w:ind w:left="2160" w:right="0" w:hanging="1440"/>
        <w:jc w:val="both"/>
        <w:rPr>
          <w:rFonts w:ascii="Times New Roman" w:hAnsi="Times New Roman"/>
        </w:rPr>
      </w:pPr>
      <w:r w:rsidRPr="00332BB4">
        <w:rPr>
          <w:rFonts w:ascii="Times New Roman" w:hAnsi="Times New Roman"/>
        </w:rPr>
        <w:tab/>
        <w:t>(b)</w:t>
      </w:r>
      <w:r w:rsidRPr="00332BB4">
        <w:rPr>
          <w:rFonts w:ascii="Times New Roman" w:hAnsi="Times New Roman"/>
        </w:rPr>
        <w:tab/>
        <w:t>the non-citizen made a valid application for a substantive visa that can be granted when the applicant is in the migration zone; and</w:t>
      </w:r>
    </w:p>
    <w:p w14:paraId="0F5F9983" w14:textId="77777777" w:rsidR="004C0687" w:rsidRPr="00332BB4" w:rsidRDefault="004C0687" w:rsidP="00332BB4">
      <w:pPr>
        <w:pStyle w:val="LeftrightafterHC"/>
        <w:spacing w:before="0" w:after="260" w:line="280" w:lineRule="exact"/>
        <w:ind w:right="0"/>
        <w:jc w:val="both"/>
        <w:rPr>
          <w:rFonts w:ascii="Times New Roman" w:hAnsi="Times New Roman"/>
        </w:rPr>
      </w:pPr>
      <w:r w:rsidRPr="00332BB4">
        <w:rPr>
          <w:rFonts w:ascii="Times New Roman" w:hAnsi="Times New Roman"/>
        </w:rPr>
        <w:tab/>
        <w:t>(c)</w:t>
      </w:r>
      <w:r w:rsidRPr="00332BB4">
        <w:rPr>
          <w:rFonts w:ascii="Times New Roman" w:hAnsi="Times New Roman"/>
        </w:rPr>
        <w:tab/>
        <w:t>one of the following applies:</w:t>
      </w:r>
    </w:p>
    <w:p w14:paraId="6190E2B9" w14:textId="77777777" w:rsidR="004C0687" w:rsidRPr="00332BB4" w:rsidRDefault="004C0687" w:rsidP="00332BB4">
      <w:pPr>
        <w:pStyle w:val="LeftrightafterHC"/>
        <w:spacing w:before="0" w:after="260" w:line="280" w:lineRule="exact"/>
        <w:ind w:left="2880" w:right="0" w:hanging="2160"/>
        <w:jc w:val="both"/>
        <w:rPr>
          <w:rFonts w:ascii="Times New Roman" w:hAnsi="Times New Roman"/>
        </w:rPr>
      </w:pPr>
      <w:r w:rsidRPr="00332BB4">
        <w:rPr>
          <w:rFonts w:ascii="Times New Roman" w:hAnsi="Times New Roman"/>
        </w:rPr>
        <w:tab/>
      </w:r>
      <w:r w:rsidRPr="00332BB4">
        <w:rPr>
          <w:rFonts w:ascii="Times New Roman" w:hAnsi="Times New Roman"/>
        </w:rPr>
        <w:tab/>
        <w:t>(</w:t>
      </w:r>
      <w:proofErr w:type="spellStart"/>
      <w:r w:rsidRPr="00332BB4">
        <w:rPr>
          <w:rFonts w:ascii="Times New Roman" w:hAnsi="Times New Roman"/>
        </w:rPr>
        <w:t>i</w:t>
      </w:r>
      <w:proofErr w:type="spellEnd"/>
      <w:r w:rsidRPr="00332BB4">
        <w:rPr>
          <w:rFonts w:ascii="Times New Roman" w:hAnsi="Times New Roman"/>
        </w:rPr>
        <w:t>)</w:t>
      </w:r>
      <w:r w:rsidRPr="00332BB4">
        <w:rPr>
          <w:rFonts w:ascii="Times New Roman" w:hAnsi="Times New Roman"/>
        </w:rPr>
        <w:tab/>
        <w:t>the grant of the visa has been refused and the application has been finally determined ... ; and</w:t>
      </w:r>
    </w:p>
    <w:p w14:paraId="0E56AC86" w14:textId="77777777" w:rsidR="004C0687" w:rsidRDefault="004C0687" w:rsidP="00AC3DC7">
      <w:pPr>
        <w:pStyle w:val="leftright"/>
        <w:spacing w:before="0" w:after="260" w:line="280" w:lineRule="exact"/>
        <w:ind w:left="2160" w:right="0" w:hanging="1440"/>
        <w:jc w:val="both"/>
        <w:rPr>
          <w:rFonts w:ascii="Times New Roman" w:hAnsi="Times New Roman"/>
        </w:rPr>
      </w:pPr>
      <w:r w:rsidRPr="00332BB4">
        <w:rPr>
          <w:rFonts w:ascii="Times New Roman" w:hAnsi="Times New Roman"/>
        </w:rPr>
        <w:tab/>
        <w:t>(d)</w:t>
      </w:r>
      <w:r w:rsidRPr="00332BB4">
        <w:rPr>
          <w:rFonts w:ascii="Times New Roman" w:hAnsi="Times New Roman"/>
        </w:rPr>
        <w:tab/>
        <w:t>the non-citizen has not made another valid</w:t>
      </w:r>
      <w:r>
        <w:rPr>
          <w:rFonts w:ascii="Times New Roman" w:hAnsi="Times New Roman"/>
        </w:rPr>
        <w:t xml:space="preserve"> </w:t>
      </w:r>
      <w:r w:rsidRPr="00332BB4">
        <w:rPr>
          <w:rFonts w:ascii="Times New Roman" w:hAnsi="Times New Roman"/>
        </w:rPr>
        <w:t>application for a substantive visa that can be granted when the applicant is in the migration zone."</w:t>
      </w:r>
    </w:p>
    <w:p w14:paraId="2E2557F0"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There was no dispute that the jurisdictional preconditions in (a), (b), (c), and (d) were satisfied. There was therefore a statutory obligation upon the relevant officer to remove MZAPC "as soon as reasonably practicable". That statutory obligation was not merely the conferral of a power but a duty to exercise that power to remove. There was no challenge to the validity of that provision in its application to MZAPC. No court had any power to restrain the statutory obligation imposed by s 198(6).  </w:t>
      </w:r>
    </w:p>
    <w:p w14:paraId="69AB620F"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 The relevant officer's statutory duty to remove MZAPC, once enlivened, cannot be stayed by circularly reasoning that even if the jurisdictional preconditions of s 198(6) of the </w:t>
      </w:r>
      <w:r w:rsidRPr="00332BB4">
        <w:rPr>
          <w:rFonts w:ascii="Times New Roman" w:hAnsi="Times New Roman"/>
          <w:i/>
          <w:iCs/>
        </w:rPr>
        <w:t xml:space="preserve">Migration Act </w:t>
      </w:r>
      <w:r w:rsidRPr="00332BB4">
        <w:rPr>
          <w:rFonts w:ascii="Times New Roman" w:hAnsi="Times New Roman"/>
        </w:rPr>
        <w:t>are satisfied, s 198(6) should not be interpreted in a manner that would require an officer to place themselves in jeopardy of contempt of court if a court granted an injunction to restrain removal. That reasoning is circular because it assumes the correctness of its premise: that s 198(6) empowers a court to grant an injunction to restrain its operation when all jurisdictional preconditions are satisfied.</w:t>
      </w:r>
    </w:p>
    <w:p w14:paraId="6EDDCB6A" w14:textId="77777777" w:rsidR="004C0687" w:rsidRPr="00332BB4" w:rsidRDefault="004C0687" w:rsidP="00332BB4">
      <w:pPr>
        <w:pStyle w:val="HeadingL1"/>
        <w:spacing w:after="260" w:line="280" w:lineRule="exact"/>
        <w:ind w:right="0"/>
        <w:jc w:val="both"/>
        <w:rPr>
          <w:rFonts w:ascii="Times New Roman" w:hAnsi="Times New Roman"/>
        </w:rPr>
      </w:pPr>
      <w:r w:rsidRPr="00332BB4">
        <w:rPr>
          <w:rFonts w:ascii="Times New Roman" w:hAnsi="Times New Roman"/>
        </w:rPr>
        <w:lastRenderedPageBreak/>
        <w:t xml:space="preserve">The meaning and application of "reasonably practicable"   </w:t>
      </w:r>
    </w:p>
    <w:p w14:paraId="4DD185E9"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This appeal therefore reduces to ground one of the further amended notice of contention raised by MZAPC concerning the meaning and application of "reasonably practicable". Even when the conditions in paras (a) to (d) of s 198(6) of the </w:t>
      </w:r>
      <w:r w:rsidRPr="00332BB4">
        <w:rPr>
          <w:rFonts w:ascii="Times New Roman" w:hAnsi="Times New Roman"/>
          <w:i/>
          <w:iCs/>
        </w:rPr>
        <w:t xml:space="preserve">Migration Act </w:t>
      </w:r>
      <w:r w:rsidRPr="00332BB4">
        <w:rPr>
          <w:rFonts w:ascii="Times New Roman" w:hAnsi="Times New Roman"/>
        </w:rPr>
        <w:t>are satisfied, the duty of an officer to remove a person is not absolute.</w:t>
      </w:r>
      <w:r w:rsidRPr="00332BB4">
        <w:rPr>
          <w:rStyle w:val="FootnoteReference"/>
          <w:rFonts w:ascii="Times New Roman" w:hAnsi="Times New Roman"/>
          <w:sz w:val="24"/>
        </w:rPr>
        <w:footnoteReference w:id="105"/>
      </w:r>
      <w:r w:rsidRPr="00332BB4">
        <w:rPr>
          <w:rFonts w:ascii="Times New Roman" w:hAnsi="Times New Roman"/>
        </w:rPr>
        <w:t xml:space="preserve"> Parliament's command in s 198(6) of the </w:t>
      </w:r>
      <w:r w:rsidRPr="00332BB4">
        <w:rPr>
          <w:rFonts w:ascii="Times New Roman" w:hAnsi="Times New Roman"/>
          <w:i/>
          <w:iCs/>
        </w:rPr>
        <w:t xml:space="preserve">Migration Act </w:t>
      </w:r>
      <w:r w:rsidRPr="00332BB4">
        <w:rPr>
          <w:rFonts w:ascii="Times New Roman" w:hAnsi="Times New Roman"/>
        </w:rPr>
        <w:t>does not require or permit removal if removal is not "reasonably practicable". If it was reasonably arguable, in the sense that there was a "prima facie case",</w:t>
      </w:r>
      <w:r w:rsidRPr="00332BB4">
        <w:rPr>
          <w:rStyle w:val="FootnoteReference"/>
          <w:rFonts w:ascii="Times New Roman" w:hAnsi="Times New Roman"/>
          <w:sz w:val="24"/>
        </w:rPr>
        <w:footnoteReference w:id="106"/>
      </w:r>
      <w:r w:rsidRPr="00332BB4">
        <w:rPr>
          <w:rFonts w:ascii="Times New Roman" w:hAnsi="Times New Roman"/>
        </w:rPr>
        <w:t xml:space="preserve"> that it was not reasonably practicable to remove MZAPC then, consistently with s 198(6), there was power for the Federal Court to restrain the removal of MZAPC.   </w:t>
      </w:r>
    </w:p>
    <w:p w14:paraId="7A0B24C4"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The usual meaning of practicable is "capable of being put into practice, done, or effected, especially with the available means or with reason or prudence; feasible".</w:t>
      </w:r>
      <w:r w:rsidRPr="00332BB4">
        <w:rPr>
          <w:rStyle w:val="FootnoteReference"/>
          <w:rFonts w:ascii="Times New Roman" w:hAnsi="Times New Roman"/>
          <w:sz w:val="24"/>
        </w:rPr>
        <w:footnoteReference w:id="107"/>
      </w:r>
      <w:r w:rsidRPr="00332BB4">
        <w:rPr>
          <w:rFonts w:ascii="Times New Roman" w:hAnsi="Times New Roman"/>
        </w:rPr>
        <w:t xml:space="preserve"> In the application of that meaning, there is considerable flexibility in the elastic notions of reason or prudence, as well as feasibility.</w:t>
      </w:r>
      <w:r w:rsidRPr="00332BB4">
        <w:rPr>
          <w:rStyle w:val="FootnoteReference"/>
          <w:rFonts w:ascii="Times New Roman" w:hAnsi="Times New Roman"/>
          <w:sz w:val="24"/>
        </w:rPr>
        <w:footnoteReference w:id="108"/>
      </w:r>
      <w:r w:rsidRPr="00332BB4">
        <w:rPr>
          <w:rFonts w:ascii="Times New Roman" w:hAnsi="Times New Roman"/>
        </w:rPr>
        <w:t xml:space="preserve"> That flexibility requires that regard be had to statutory and non-statutory executive powers related to the potential removal. Hence, in </w:t>
      </w:r>
      <w:r w:rsidRPr="00332BB4">
        <w:rPr>
          <w:rFonts w:ascii="Times New Roman" w:hAnsi="Times New Roman"/>
          <w:i/>
          <w:iCs/>
        </w:rPr>
        <w:t>WKMZ v Minister for Immigration, Citizenship, Migrant Services and Multicultural Affairs</w:t>
      </w:r>
      <w:r w:rsidRPr="00332BB4">
        <w:rPr>
          <w:rFonts w:ascii="Times New Roman" w:hAnsi="Times New Roman"/>
        </w:rPr>
        <w:t>,</w:t>
      </w:r>
      <w:r w:rsidRPr="00332BB4">
        <w:rPr>
          <w:rStyle w:val="FootnoteReference"/>
          <w:rFonts w:ascii="Times New Roman" w:hAnsi="Times New Roman"/>
          <w:sz w:val="24"/>
        </w:rPr>
        <w:footnoteReference w:id="109"/>
      </w:r>
      <w:r w:rsidRPr="00332BB4">
        <w:rPr>
          <w:rFonts w:ascii="Times New Roman" w:hAnsi="Times New Roman"/>
        </w:rPr>
        <w:t xml:space="preserve"> Kenny and Mortimer JJ rightly said that the concept of "reasonably practicable" in s 198 "is to be understood as allowing for the duties in s 198 to remove a person to be performed in a way which accommodates other aspects of the statutory scheme of the </w:t>
      </w:r>
      <w:r w:rsidRPr="00332BB4">
        <w:rPr>
          <w:rFonts w:ascii="Times New Roman" w:hAnsi="Times New Roman"/>
          <w:i/>
          <w:iCs/>
        </w:rPr>
        <w:t>Migration Act</w:t>
      </w:r>
      <w:r w:rsidRPr="00332BB4">
        <w:rPr>
          <w:rFonts w:ascii="Times New Roman" w:hAnsi="Times New Roman"/>
        </w:rPr>
        <w:t xml:space="preserve">, and—for that matter—other relevant and non-statutory exercises of executive power". </w:t>
      </w:r>
    </w:p>
    <w:p w14:paraId="188E6D57"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In </w:t>
      </w:r>
      <w:r w:rsidRPr="00332BB4">
        <w:rPr>
          <w:rFonts w:ascii="Times New Roman" w:hAnsi="Times New Roman"/>
          <w:i/>
          <w:iCs/>
        </w:rPr>
        <w:t>Plaintiff S4/2014 v Minister for Immigration and Border Protection</w:t>
      </w:r>
      <w:r w:rsidRPr="00332BB4">
        <w:rPr>
          <w:rFonts w:ascii="Times New Roman" w:hAnsi="Times New Roman"/>
        </w:rPr>
        <w:t>,</w:t>
      </w:r>
      <w:r w:rsidRPr="00332BB4">
        <w:rPr>
          <w:rStyle w:val="FootnoteReference"/>
          <w:rFonts w:ascii="Times New Roman" w:hAnsi="Times New Roman"/>
          <w:sz w:val="24"/>
        </w:rPr>
        <w:footnoteReference w:id="110"/>
      </w:r>
      <w:r w:rsidRPr="00332BB4">
        <w:rPr>
          <w:rFonts w:ascii="Times New Roman" w:hAnsi="Times New Roman"/>
        </w:rPr>
        <w:t xml:space="preserve"> this Court held that there was an implication in the conferral of personal, non-compellable powers upon the Minister requiring the Minister to pursue</w:t>
      </w:r>
      <w:r w:rsidRPr="00332BB4">
        <w:rPr>
          <w:rFonts w:ascii="Times New Roman" w:hAnsi="Times New Roman"/>
          <w:i/>
          <w:iCs/>
        </w:rPr>
        <w:t xml:space="preserve"> </w:t>
      </w:r>
      <w:r w:rsidRPr="00332BB4">
        <w:rPr>
          <w:rFonts w:ascii="Times New Roman" w:hAnsi="Times New Roman"/>
        </w:rPr>
        <w:t>the liberty to consider whether to exercise such powers as soon as reasonably practicable and, if the Minister exercises that liberty by considering whether "to exercise [a non-</w:t>
      </w:r>
      <w:r w:rsidRPr="00332BB4">
        <w:rPr>
          <w:rFonts w:ascii="Times New Roman" w:hAnsi="Times New Roman"/>
        </w:rPr>
        <w:lastRenderedPageBreak/>
        <w:t>compellable power]", then "any necessary inquiry, and the decision itself" should take place as soon as reasonably practicable.</w:t>
      </w:r>
      <w:r w:rsidRPr="00332BB4">
        <w:rPr>
          <w:rStyle w:val="FootnoteReference"/>
          <w:rFonts w:ascii="Times New Roman" w:hAnsi="Times New Roman"/>
          <w:sz w:val="24"/>
        </w:rPr>
        <w:footnoteReference w:id="111"/>
      </w:r>
      <w:r w:rsidRPr="00332BB4">
        <w:rPr>
          <w:rFonts w:ascii="Times New Roman" w:hAnsi="Times New Roman"/>
        </w:rPr>
        <w:t xml:space="preserve"> </w:t>
      </w:r>
    </w:p>
    <w:p w14:paraId="2B055914"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The reason for this implication is that provisions for removal as soon as reasonably practicable, such as s 198(6) of the </w:t>
      </w:r>
      <w:r w:rsidRPr="00332BB4">
        <w:rPr>
          <w:rFonts w:ascii="Times New Roman" w:hAnsi="Times New Roman"/>
          <w:i/>
          <w:iCs/>
        </w:rPr>
        <w:t>Migration Act</w:t>
      </w:r>
      <w:r w:rsidRPr="00332BB4">
        <w:rPr>
          <w:rFonts w:ascii="Times New Roman" w:hAnsi="Times New Roman"/>
        </w:rPr>
        <w:t>, are the "leading provision",</w:t>
      </w:r>
      <w:r w:rsidRPr="00332BB4">
        <w:rPr>
          <w:rStyle w:val="FootnoteReference"/>
          <w:rFonts w:ascii="Times New Roman" w:hAnsi="Times New Roman"/>
          <w:sz w:val="24"/>
        </w:rPr>
        <w:footnoteReference w:id="112"/>
      </w:r>
      <w:r w:rsidRPr="00332BB4">
        <w:rPr>
          <w:rFonts w:ascii="Times New Roman" w:hAnsi="Times New Roman"/>
        </w:rPr>
        <w:t xml:space="preserve"> which require an implication for any action to be taken as soon as reasonably practicable in subordinate provisions concerning non-compellable powers to prevent the leading provision from rendering the subordinate provisions inutile. In other words, although the Minister is under no obligation to consider the exercise of the non-compellable powers, there must be a period in which it is reasonably practicable for the Minister to engage in the liberty to consider whether to exercise the powers and for any exercise of the powers. </w:t>
      </w:r>
    </w:p>
    <w:p w14:paraId="07373022"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MZAPC's principal case for a declaration, conceded by the Minister to be reasonably arguable or a prima facie case, is not merely that there was a failure to permit a period in which it was reasonably practicable for the Minister to consider the exercise of, and (if the Minister decided to do so) to exercise, the non-compellable power to grant a visa. The declaration that MZAPC seeks is, in effect, that the Minister's Department had unlawfully frustrated or impeded the Minister's liberty to consider whether to exercise the non-compellable power.</w:t>
      </w:r>
      <w:r w:rsidRPr="00332BB4">
        <w:rPr>
          <w:rStyle w:val="FootnoteReference"/>
          <w:rFonts w:ascii="Times New Roman" w:hAnsi="Times New Roman"/>
          <w:sz w:val="24"/>
        </w:rPr>
        <w:footnoteReference w:id="113"/>
      </w:r>
      <w:r w:rsidRPr="00332BB4">
        <w:rPr>
          <w:rFonts w:ascii="Times New Roman" w:hAnsi="Times New Roman"/>
        </w:rPr>
        <w:t xml:space="preserve"> In other words, MZAPC does not merely assert that his removal would deprive the Minister of the time in which it would be reasonably practicable to pursue the liberty to consider exercising the non-compellable power. Rather, the effect of MZAPC's proposed declaration would be that the Minister's liberty itself was stultified by unlawful conduct of the Department. This is entirely different from the circumstance where the Minister remains at liberty to consider the exercise of the personal non-compellable power but simply has not pursued that liberty.</w:t>
      </w:r>
      <w:r w:rsidRPr="00332BB4">
        <w:rPr>
          <w:rStyle w:val="FootnoteReference"/>
          <w:rFonts w:ascii="Times New Roman" w:hAnsi="Times New Roman"/>
          <w:sz w:val="24"/>
        </w:rPr>
        <w:footnoteReference w:id="114"/>
      </w:r>
    </w:p>
    <w:p w14:paraId="6B3E2FFC"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This conclusion is further reinforced by the principle that is sometimes described as the "principle of legality". If s 198(6) of the </w:t>
      </w:r>
      <w:r w:rsidRPr="00332BB4">
        <w:rPr>
          <w:rFonts w:ascii="Times New Roman" w:hAnsi="Times New Roman"/>
          <w:i/>
          <w:iCs/>
        </w:rPr>
        <w:t>Migration Act</w:t>
      </w:r>
      <w:r w:rsidRPr="00332BB4">
        <w:rPr>
          <w:rFonts w:ascii="Times New Roman" w:hAnsi="Times New Roman"/>
        </w:rPr>
        <w:t xml:space="preserve"> required MZAPC to be removed from Australia while his application for a declaration about the legality of the treatment of his requests for ministerial intervention (conceded on this appeal to have reasonable grounds) was pending, then that application would, in effect, be stultified. The principle of legality is an umbrella term for a series of background assumptions, of variable force in the interpretation and </w:t>
      </w:r>
      <w:r w:rsidRPr="00332BB4">
        <w:rPr>
          <w:rFonts w:ascii="Times New Roman" w:hAnsi="Times New Roman"/>
        </w:rPr>
        <w:lastRenderedPageBreak/>
        <w:t>application of legislation,</w:t>
      </w:r>
      <w:r w:rsidRPr="00332BB4">
        <w:rPr>
          <w:rStyle w:val="FootnoteReference"/>
          <w:rFonts w:ascii="Times New Roman" w:hAnsi="Times New Roman"/>
          <w:sz w:val="24"/>
        </w:rPr>
        <w:footnoteReference w:id="115"/>
      </w:r>
      <w:r w:rsidRPr="00332BB4">
        <w:rPr>
          <w:rFonts w:ascii="Times New Roman" w:hAnsi="Times New Roman"/>
        </w:rPr>
        <w:t xml:space="preserve"> which include the assumption that "a person's right to a reasonable opportunity to present a case ... [cannot] usually be abolished by Parliament by a nudge and a wink".</w:t>
      </w:r>
      <w:r w:rsidRPr="00332BB4">
        <w:rPr>
          <w:rStyle w:val="FootnoteReference"/>
          <w:rFonts w:ascii="Times New Roman" w:hAnsi="Times New Roman"/>
          <w:sz w:val="24"/>
        </w:rPr>
        <w:footnoteReference w:id="116"/>
      </w:r>
      <w:r w:rsidRPr="00332BB4">
        <w:rPr>
          <w:rFonts w:ascii="Times New Roman" w:hAnsi="Times New Roman"/>
        </w:rPr>
        <w:t xml:space="preserve"> That assumption is a strong counterweight against the application of open-textured provisions (such as "reasonably practicable") in a way that would deny a person any ability to vindicate unlawful conduct which caused substantial detriment to their interests. </w:t>
      </w:r>
    </w:p>
    <w:p w14:paraId="4BC3DA1F" w14:textId="77777777" w:rsidR="004C0687" w:rsidRPr="00332BB4" w:rsidRDefault="004C0687" w:rsidP="00332BB4">
      <w:pPr>
        <w:pStyle w:val="HeadingL1"/>
        <w:spacing w:after="260" w:line="280" w:lineRule="exact"/>
        <w:ind w:right="0"/>
        <w:jc w:val="both"/>
        <w:rPr>
          <w:rFonts w:ascii="Times New Roman" w:hAnsi="Times New Roman"/>
        </w:rPr>
      </w:pPr>
      <w:r w:rsidRPr="00332BB4">
        <w:rPr>
          <w:rFonts w:ascii="Times New Roman" w:hAnsi="Times New Roman"/>
        </w:rPr>
        <w:t>Conclusion</w:t>
      </w:r>
    </w:p>
    <w:p w14:paraId="3393AF9A" w14:textId="77777777" w:rsidR="004C0687" w:rsidRPr="00332BB4" w:rsidRDefault="004C0687" w:rsidP="00332BB4">
      <w:pPr>
        <w:pStyle w:val="FixListStyle"/>
        <w:spacing w:after="260" w:line="280" w:lineRule="exact"/>
        <w:ind w:right="0"/>
        <w:jc w:val="both"/>
        <w:rPr>
          <w:rFonts w:ascii="Times New Roman" w:hAnsi="Times New Roman"/>
        </w:rPr>
      </w:pPr>
      <w:r w:rsidRPr="00332BB4">
        <w:rPr>
          <w:rFonts w:ascii="Times New Roman" w:hAnsi="Times New Roman"/>
        </w:rPr>
        <w:tab/>
        <w:t xml:space="preserve">The premise of MZAPC's claim for a declaration is that the Minister's Department had unlawfully frustrated or impeded the Minister's liberty to consider whether to exercise a non-compellable power. On that premise, the removal of MZAPC would buttress that unlawful conduct. It was not reasonably practicable to remove MZAPC while such a claim was before the courts. The Federal Court had power to issue an interlocutory injunction to restrain the removal of MZAPC until the requirements of s 198(6) of the </w:t>
      </w:r>
      <w:r w:rsidRPr="00332BB4">
        <w:rPr>
          <w:rFonts w:ascii="Times New Roman" w:hAnsi="Times New Roman"/>
          <w:i/>
          <w:iCs/>
        </w:rPr>
        <w:t>Migration Act</w:t>
      </w:r>
      <w:r w:rsidRPr="00332BB4">
        <w:rPr>
          <w:rFonts w:ascii="Times New Roman" w:hAnsi="Times New Roman"/>
        </w:rPr>
        <w:t xml:space="preserve"> were found to have been met.</w:t>
      </w:r>
    </w:p>
    <w:p w14:paraId="582AA5BD" w14:textId="646A6BE0" w:rsidR="004C0687" w:rsidRPr="004C0687" w:rsidRDefault="004C0687" w:rsidP="00556D24">
      <w:pPr>
        <w:pStyle w:val="FixListStyle"/>
        <w:spacing w:after="260" w:line="280" w:lineRule="exact"/>
        <w:ind w:right="0"/>
        <w:jc w:val="both"/>
        <w:rPr>
          <w:rFonts w:ascii="Times New Roman" w:hAnsi="Times New Roman"/>
        </w:rPr>
      </w:pPr>
      <w:r w:rsidRPr="004C0687">
        <w:rPr>
          <w:rFonts w:ascii="Times New Roman" w:hAnsi="Times New Roman"/>
        </w:rPr>
        <w:tab/>
        <w:t xml:space="preserve">The appeal should be dismissed with costs.   </w:t>
      </w:r>
    </w:p>
    <w:p w14:paraId="77252B35" w14:textId="77777777" w:rsidR="004C0687" w:rsidRDefault="004C0687" w:rsidP="00191C99">
      <w:pPr>
        <w:pStyle w:val="FixListStyle"/>
        <w:spacing w:after="260" w:line="280" w:lineRule="exact"/>
        <w:ind w:right="0"/>
        <w:jc w:val="both"/>
        <w:rPr>
          <w:rFonts w:ascii="Times New Roman" w:hAnsi="Times New Roman"/>
        </w:rPr>
        <w:sectPr w:rsidR="004C0687" w:rsidSect="004C0687">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2429B9E" w14:textId="77777777" w:rsidR="004C0687" w:rsidRPr="00AB38F2" w:rsidRDefault="004C0687" w:rsidP="00AB38F2">
      <w:pPr>
        <w:pStyle w:val="FixListStyle"/>
        <w:tabs>
          <w:tab w:val="clear" w:pos="720"/>
          <w:tab w:val="left" w:pos="0"/>
        </w:tabs>
        <w:spacing w:after="260" w:line="280" w:lineRule="exact"/>
        <w:ind w:right="0"/>
        <w:jc w:val="both"/>
        <w:rPr>
          <w:rFonts w:ascii="Times New Roman" w:hAnsi="Times New Roman"/>
        </w:rPr>
      </w:pPr>
      <w:r w:rsidRPr="00AB38F2">
        <w:rPr>
          <w:rFonts w:ascii="Times New Roman" w:hAnsi="Times New Roman"/>
        </w:rPr>
        <w:lastRenderedPageBreak/>
        <w:t xml:space="preserve">STEWARD J.   In this matter the respondent seeks to avoid his removal from Australia pursuant to s 198(6) of the </w:t>
      </w:r>
      <w:r w:rsidRPr="00AB38F2">
        <w:rPr>
          <w:rFonts w:ascii="Times New Roman" w:hAnsi="Times New Roman"/>
          <w:i/>
          <w:iCs/>
        </w:rPr>
        <w:t>Migration Act 1958</w:t>
      </w:r>
      <w:r w:rsidRPr="00AB38F2">
        <w:rPr>
          <w:rFonts w:ascii="Times New Roman" w:hAnsi="Times New Roman"/>
        </w:rPr>
        <w:t xml:space="preserve"> (</w:t>
      </w:r>
      <w:proofErr w:type="spellStart"/>
      <w:r w:rsidRPr="00AB38F2">
        <w:rPr>
          <w:rFonts w:ascii="Times New Roman" w:hAnsi="Times New Roman"/>
        </w:rPr>
        <w:t>Cth</w:t>
      </w:r>
      <w:proofErr w:type="spellEnd"/>
      <w:r w:rsidRPr="00AB38F2">
        <w:rPr>
          <w:rFonts w:ascii="Times New Roman" w:hAnsi="Times New Roman"/>
        </w:rPr>
        <w:t xml:space="preserve">) ("the Act") on the basis that he has made requests for the Minister to exercise the powers contained in ss 48B, 195A, 351 and 417 of the Act in his favour. His claim is inspired by this Court's decision in </w:t>
      </w:r>
      <w:r w:rsidRPr="00AB38F2">
        <w:rPr>
          <w:rFonts w:ascii="Times New Roman" w:hAnsi="Times New Roman"/>
          <w:i/>
          <w:iCs/>
        </w:rPr>
        <w:t>Davis v Minister for Immigration, Citizenship, Migrant Services and Multicultural Affairs</w:t>
      </w:r>
      <w:r w:rsidRPr="00AB38F2">
        <w:rPr>
          <w:rFonts w:ascii="Times New Roman" w:hAnsi="Times New Roman"/>
        </w:rPr>
        <w:t>.</w:t>
      </w:r>
      <w:r w:rsidRPr="00AB38F2">
        <w:rPr>
          <w:rStyle w:val="FootnoteReference"/>
          <w:rFonts w:ascii="Times New Roman" w:hAnsi="Times New Roman"/>
          <w:sz w:val="24"/>
        </w:rPr>
        <w:footnoteReference w:id="117"/>
      </w:r>
      <w:r w:rsidRPr="00AB38F2">
        <w:rPr>
          <w:rFonts w:ascii="Times New Roman" w:hAnsi="Times New Roman"/>
        </w:rPr>
        <w:t xml:space="preserve"> </w:t>
      </w:r>
      <w:r w:rsidRPr="00AB38F2">
        <w:rPr>
          <w:rFonts w:ascii="Times New Roman" w:hAnsi="Times New Roman"/>
          <w:i/>
          <w:iCs/>
        </w:rPr>
        <w:t>Davis</w:t>
      </w:r>
      <w:r w:rsidRPr="00AB38F2">
        <w:rPr>
          <w:rFonts w:ascii="Times New Roman" w:hAnsi="Times New Roman"/>
        </w:rPr>
        <w:t xml:space="preserve"> concerned s 351 of the Act. I dissented.</w:t>
      </w:r>
    </w:p>
    <w:p w14:paraId="3058E440" w14:textId="77777777" w:rsidR="004C0687" w:rsidRPr="00AB38F2" w:rsidRDefault="004C0687" w:rsidP="00AB38F2">
      <w:pPr>
        <w:pStyle w:val="FixListStyle"/>
        <w:spacing w:after="260" w:line="280" w:lineRule="exact"/>
        <w:ind w:right="0"/>
        <w:jc w:val="both"/>
        <w:rPr>
          <w:rFonts w:ascii="Times New Roman" w:hAnsi="Times New Roman"/>
        </w:rPr>
      </w:pPr>
      <w:r w:rsidRPr="00AB38F2">
        <w:rPr>
          <w:rFonts w:ascii="Times New Roman" w:hAnsi="Times New Roman"/>
        </w:rPr>
        <w:tab/>
        <w:t>Each of ss 48B, 195A, 351 and since repealed s 417 of the Act involve the conferral on the Minister of a non-compellable personal power. The Minister is under no legal duty whatsoever to consider whether he should or should not exercise each power. The Minister may lawfully never exercise any of these powers. That is because in each case the power is qualified by these words, or by words of the same effect:</w:t>
      </w:r>
      <w:r w:rsidRPr="00AB38F2">
        <w:rPr>
          <w:rStyle w:val="FootnoteReference"/>
          <w:rFonts w:ascii="Times New Roman" w:hAnsi="Times New Roman"/>
          <w:sz w:val="24"/>
        </w:rPr>
        <w:footnoteReference w:id="118"/>
      </w:r>
    </w:p>
    <w:p w14:paraId="5D393BA6" w14:textId="77777777" w:rsidR="004C0687" w:rsidRDefault="004C0687" w:rsidP="00AB38F2">
      <w:pPr>
        <w:pStyle w:val="LeftrightafterHC"/>
        <w:spacing w:before="0" w:after="260" w:line="280" w:lineRule="exact"/>
        <w:ind w:right="0"/>
        <w:jc w:val="both"/>
        <w:rPr>
          <w:rFonts w:ascii="Times New Roman" w:hAnsi="Times New Roman"/>
        </w:rPr>
      </w:pPr>
      <w:r w:rsidRPr="00AB38F2">
        <w:rPr>
          <w:rFonts w:ascii="Times New Roman" w:hAnsi="Times New Roman"/>
        </w:rPr>
        <w:t>"The Minister does not have a duty to consider whether to exercise the power ... in respect of any decision, whether he or she is requested to do so by the applicant or by any other person, or in any other circumstances."</w:t>
      </w:r>
    </w:p>
    <w:p w14:paraId="77B22552" w14:textId="77777777" w:rsidR="004C0687" w:rsidRPr="00AB38F2" w:rsidRDefault="004C0687" w:rsidP="00AB38F2">
      <w:pPr>
        <w:pStyle w:val="FixListStyle"/>
        <w:spacing w:after="260" w:line="280" w:lineRule="exact"/>
        <w:ind w:right="0"/>
        <w:jc w:val="both"/>
        <w:rPr>
          <w:rFonts w:ascii="Times New Roman" w:hAnsi="Times New Roman"/>
        </w:rPr>
      </w:pPr>
      <w:r w:rsidRPr="00AB38F2">
        <w:rPr>
          <w:rFonts w:ascii="Times New Roman" w:hAnsi="Times New Roman"/>
        </w:rPr>
        <w:tab/>
        <w:t xml:space="preserve">In this matter, the respondent contends that Departmental officials refused to refer his requests to exercise those powers to the Minister. Any such refusals, for the reasons I gave in </w:t>
      </w:r>
      <w:r w:rsidRPr="00AB38F2">
        <w:rPr>
          <w:rFonts w:ascii="Times New Roman" w:hAnsi="Times New Roman"/>
          <w:i/>
          <w:iCs/>
        </w:rPr>
        <w:t>Davis</w:t>
      </w:r>
      <w:r w:rsidRPr="00AB38F2">
        <w:rPr>
          <w:rFonts w:ascii="Times New Roman" w:hAnsi="Times New Roman"/>
        </w:rPr>
        <w:t>, have no legal effect.</w:t>
      </w:r>
      <w:r w:rsidRPr="00AB38F2">
        <w:rPr>
          <w:rStyle w:val="FootnoteReference"/>
          <w:rFonts w:ascii="Times New Roman" w:hAnsi="Times New Roman"/>
          <w:sz w:val="24"/>
        </w:rPr>
        <w:footnoteReference w:id="119"/>
      </w:r>
      <w:r w:rsidRPr="00AB38F2">
        <w:rPr>
          <w:rFonts w:ascii="Times New Roman" w:hAnsi="Times New Roman"/>
        </w:rPr>
        <w:t xml:space="preserve"> They are internal administrative steps. Nonetheless, the respondent pursues relief intended to convert, contrary to Parliament's express intention, the Minister's powers into compellable duties. That relief includes declarations that the steps taken by Departmental officers in purported compliance with Ministerial Guidelines exceed the executive power of the Commonwealth – even though no such power has yet been exercised – and mandamus to compel a relevant officer to cause the requests to be referred to the Minister for consideration and determination – even though no such legal duty to do so exists. In that respect, I remain concerned that this Court's decision in </w:t>
      </w:r>
      <w:r w:rsidRPr="00AB38F2">
        <w:rPr>
          <w:rFonts w:ascii="Times New Roman" w:hAnsi="Times New Roman"/>
          <w:i/>
          <w:iCs/>
        </w:rPr>
        <w:t>Davis</w:t>
      </w:r>
      <w:r w:rsidRPr="00AB38F2">
        <w:rPr>
          <w:rFonts w:ascii="Times New Roman" w:hAnsi="Times New Roman"/>
        </w:rPr>
        <w:t xml:space="preserve"> may lead to more challenges to the internal processes of the executive government which do not otherwise give rise to any legal consequences. </w:t>
      </w:r>
    </w:p>
    <w:p w14:paraId="084EA8B6" w14:textId="77777777" w:rsidR="004C0687" w:rsidRPr="00AB38F2" w:rsidRDefault="004C0687" w:rsidP="00AB38F2">
      <w:pPr>
        <w:pStyle w:val="FixListStyle"/>
        <w:spacing w:after="260" w:line="280" w:lineRule="exact"/>
        <w:ind w:right="0"/>
        <w:jc w:val="both"/>
        <w:rPr>
          <w:rFonts w:ascii="Times New Roman" w:hAnsi="Times New Roman"/>
        </w:rPr>
      </w:pPr>
      <w:r w:rsidRPr="00AB38F2">
        <w:rPr>
          <w:rFonts w:ascii="Times New Roman" w:hAnsi="Times New Roman"/>
        </w:rPr>
        <w:tab/>
        <w:t xml:space="preserve">Nonetheless, this case has presented itself to this Court on the basis of a concession, incorrectly proffered by the Minister for the reasons given above but nonetheless made, namely that the respondent has a prima facie case for </w:t>
      </w:r>
      <w:r w:rsidRPr="00AB38F2">
        <w:rPr>
          <w:rFonts w:ascii="Times New Roman" w:hAnsi="Times New Roman"/>
        </w:rPr>
        <w:lastRenderedPageBreak/>
        <w:t xml:space="preserve">declaratory relief. I consider myself bound by that concession. The sole question is whether an interlocutory injunction should have been granted restraining the Minister from removing the respondent to the Republic of India pending the hearing and determination of that prima facie case. In that respect, I gratefully adopt the description of the facts and procedural history which may be found in the reasons of </w:t>
      </w:r>
      <w:proofErr w:type="spellStart"/>
      <w:r w:rsidRPr="00AB38F2">
        <w:rPr>
          <w:rFonts w:ascii="Times New Roman" w:hAnsi="Times New Roman"/>
        </w:rPr>
        <w:t>Gageler</w:t>
      </w:r>
      <w:proofErr w:type="spellEnd"/>
      <w:r w:rsidRPr="00AB38F2">
        <w:rPr>
          <w:rFonts w:ascii="Times New Roman" w:hAnsi="Times New Roman"/>
        </w:rPr>
        <w:t> CJ, Gordon, Gleeson and Jagot JJ.</w:t>
      </w:r>
    </w:p>
    <w:p w14:paraId="4CAB1393" w14:textId="77777777" w:rsidR="004C0687" w:rsidRPr="00AB38F2" w:rsidRDefault="004C0687" w:rsidP="00AB38F2">
      <w:pPr>
        <w:pStyle w:val="FixListStyle"/>
        <w:spacing w:after="260" w:line="280" w:lineRule="exact"/>
        <w:ind w:right="0"/>
        <w:jc w:val="both"/>
        <w:rPr>
          <w:rFonts w:ascii="Times New Roman" w:hAnsi="Times New Roman"/>
        </w:rPr>
      </w:pPr>
      <w:r w:rsidRPr="00AB38F2">
        <w:rPr>
          <w:rFonts w:ascii="Times New Roman" w:hAnsi="Times New Roman"/>
        </w:rPr>
        <w:tab/>
        <w:t xml:space="preserve">As explained by </w:t>
      </w:r>
      <w:proofErr w:type="spellStart"/>
      <w:r w:rsidRPr="00AB38F2">
        <w:rPr>
          <w:rFonts w:ascii="Times New Roman" w:hAnsi="Times New Roman"/>
        </w:rPr>
        <w:t>Gageler</w:t>
      </w:r>
      <w:proofErr w:type="spellEnd"/>
      <w:r w:rsidRPr="00AB38F2">
        <w:rPr>
          <w:rFonts w:ascii="Times New Roman" w:hAnsi="Times New Roman"/>
        </w:rPr>
        <w:t xml:space="preserve"> CJ, Gordon, Gleeson and Jagot JJ, the dispositive answer to that question is found in the decision of this Court in </w:t>
      </w:r>
      <w:r w:rsidRPr="00AB38F2">
        <w:rPr>
          <w:rFonts w:ascii="Times New Roman" w:hAnsi="Times New Roman"/>
          <w:i/>
          <w:iCs/>
        </w:rPr>
        <w:t>Tait v The Queen</w:t>
      </w:r>
      <w:r w:rsidRPr="00AB38F2">
        <w:rPr>
          <w:rFonts w:ascii="Times New Roman" w:hAnsi="Times New Roman"/>
        </w:rPr>
        <w:t>.</w:t>
      </w:r>
      <w:r w:rsidRPr="00AB38F2">
        <w:rPr>
          <w:rStyle w:val="FootnoteReference"/>
          <w:rFonts w:ascii="Times New Roman" w:hAnsi="Times New Roman"/>
          <w:sz w:val="24"/>
        </w:rPr>
        <w:footnoteReference w:id="120"/>
      </w:r>
      <w:r w:rsidRPr="00AB38F2">
        <w:rPr>
          <w:rFonts w:ascii="Times New Roman" w:hAnsi="Times New Roman"/>
        </w:rPr>
        <w:t xml:space="preserve"> During oral argument in that case, recorded in the Commonwealth Law Reports, Dixon CJ said: "I have never had any doubt that the incidental powers of the Court can preserve any subject matter, human or not, pending a decision".</w:t>
      </w:r>
      <w:r w:rsidRPr="00AB38F2">
        <w:rPr>
          <w:rStyle w:val="FootnoteReference"/>
          <w:rFonts w:ascii="Times New Roman" w:hAnsi="Times New Roman"/>
          <w:sz w:val="24"/>
        </w:rPr>
        <w:footnoteReference w:id="121"/>
      </w:r>
      <w:r w:rsidRPr="00AB38F2">
        <w:rPr>
          <w:rFonts w:ascii="Times New Roman" w:hAnsi="Times New Roman"/>
        </w:rPr>
        <w:t xml:space="preserve"> The Federal Court of Australia has the same "incidental powers".</w:t>
      </w:r>
      <w:r w:rsidRPr="00AB38F2">
        <w:rPr>
          <w:rStyle w:val="FootnoteReference"/>
          <w:rFonts w:ascii="Times New Roman" w:hAnsi="Times New Roman"/>
          <w:sz w:val="24"/>
        </w:rPr>
        <w:footnoteReference w:id="122"/>
      </w:r>
      <w:r w:rsidRPr="00AB38F2">
        <w:rPr>
          <w:rFonts w:ascii="Times New Roman" w:hAnsi="Times New Roman"/>
        </w:rPr>
        <w:t xml:space="preserve"> It follows, for the reasons given by </w:t>
      </w:r>
      <w:proofErr w:type="spellStart"/>
      <w:r w:rsidRPr="00AB38F2">
        <w:rPr>
          <w:rFonts w:ascii="Times New Roman" w:hAnsi="Times New Roman"/>
        </w:rPr>
        <w:t>Gageler</w:t>
      </w:r>
      <w:proofErr w:type="spellEnd"/>
      <w:r w:rsidRPr="00AB38F2">
        <w:rPr>
          <w:rFonts w:ascii="Times New Roman" w:hAnsi="Times New Roman"/>
        </w:rPr>
        <w:t> CJ, Gordon, Gleeson and Jagot JJ,</w:t>
      </w:r>
      <w:r w:rsidRPr="00AB38F2">
        <w:rPr>
          <w:rStyle w:val="FootnoteReference"/>
          <w:rFonts w:ascii="Times New Roman" w:hAnsi="Times New Roman"/>
          <w:sz w:val="24"/>
        </w:rPr>
        <w:footnoteReference w:id="123"/>
      </w:r>
      <w:r w:rsidRPr="00AB38F2">
        <w:rPr>
          <w:rFonts w:ascii="Times New Roman" w:hAnsi="Times New Roman"/>
        </w:rPr>
        <w:t xml:space="preserve"> that an interlocutory injunction is here justified to preserve the subject matter of this proceeding, which, on the admission of the Minister only, enjoys the status of comprising a prima facie case.</w:t>
      </w:r>
    </w:p>
    <w:p w14:paraId="787FE632" w14:textId="01F1F6C5" w:rsidR="004C0687" w:rsidRPr="004C0687" w:rsidRDefault="004C0687" w:rsidP="00F20BE9">
      <w:pPr>
        <w:pStyle w:val="FixListStyle"/>
        <w:spacing w:after="260" w:line="280" w:lineRule="exact"/>
        <w:ind w:right="0"/>
        <w:jc w:val="both"/>
        <w:rPr>
          <w:rFonts w:ascii="Times New Roman" w:hAnsi="Times New Roman"/>
        </w:rPr>
      </w:pPr>
      <w:r w:rsidRPr="004C0687">
        <w:rPr>
          <w:rFonts w:ascii="Times New Roman" w:hAnsi="Times New Roman"/>
        </w:rPr>
        <w:tab/>
        <w:t>This appeal should be dismissed with costs.</w:t>
      </w:r>
    </w:p>
    <w:p w14:paraId="5DAF0CAA" w14:textId="77777777" w:rsidR="004C0687" w:rsidRDefault="004C0687" w:rsidP="00191C99">
      <w:pPr>
        <w:pStyle w:val="FixListStyle"/>
        <w:spacing w:after="260" w:line="280" w:lineRule="exact"/>
        <w:ind w:right="0"/>
        <w:jc w:val="both"/>
        <w:rPr>
          <w:rFonts w:ascii="Times New Roman" w:hAnsi="Times New Roman"/>
        </w:rPr>
        <w:sectPr w:rsidR="004C0687" w:rsidSect="004C0687">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BDC3455" w14:textId="77777777" w:rsidR="004C0687" w:rsidRPr="007E5957" w:rsidRDefault="004C0687" w:rsidP="007E5957">
      <w:pPr>
        <w:pStyle w:val="FixListStyle"/>
        <w:tabs>
          <w:tab w:val="clear" w:pos="720"/>
          <w:tab w:val="left" w:pos="0"/>
        </w:tabs>
        <w:spacing w:after="260" w:line="280" w:lineRule="exact"/>
        <w:ind w:right="0"/>
        <w:jc w:val="both"/>
        <w:rPr>
          <w:rFonts w:ascii="Times New Roman" w:hAnsi="Times New Roman"/>
        </w:rPr>
      </w:pPr>
      <w:r w:rsidRPr="007E5957">
        <w:rPr>
          <w:rFonts w:ascii="Times New Roman" w:hAnsi="Times New Roman"/>
        </w:rPr>
        <w:lastRenderedPageBreak/>
        <w:t>BEECH-JONES J.   The principal issue raised by this appeal is whether the Federal Court of Australia has the power to grant an interlocutory injunction to restrain officers from performing their obligation to remove an unlawful non</w:t>
      </w:r>
      <w:r w:rsidRPr="007E5957">
        <w:rPr>
          <w:rFonts w:ascii="Times New Roman" w:hAnsi="Times New Roman"/>
        </w:rPr>
        <w:noBreakHyphen/>
        <w:t>citizen from Australia as soon as reasonably practicable pending the determination of proceedings commenced by the non</w:t>
      </w:r>
      <w:r w:rsidRPr="007E5957">
        <w:rPr>
          <w:rFonts w:ascii="Times New Roman" w:hAnsi="Times New Roman"/>
        </w:rPr>
        <w:noBreakHyphen/>
        <w:t>citizen that did not challenge the existence of that obligation. Instead, the proceedings only challenged the validity of an exercise of non</w:t>
      </w:r>
      <w:r w:rsidRPr="007E5957">
        <w:rPr>
          <w:rFonts w:ascii="Times New Roman" w:hAnsi="Times New Roman"/>
        </w:rPr>
        <w:noBreakHyphen/>
        <w:t xml:space="preserve">statutory executive power by departmental officers to not refer to the Minister for Immigration Multicultural Affairs ("the Minister") a request for the exercise of the power conferred by, inter alia, s 195A of the </w:t>
      </w:r>
      <w:r w:rsidRPr="007E5957">
        <w:rPr>
          <w:rFonts w:ascii="Times New Roman" w:hAnsi="Times New Roman"/>
          <w:i/>
          <w:iCs/>
        </w:rPr>
        <w:t>Migration Act 1958</w:t>
      </w:r>
      <w:r w:rsidRPr="007E5957">
        <w:rPr>
          <w:rFonts w:ascii="Times New Roman" w:hAnsi="Times New Roman"/>
        </w:rPr>
        <w:t> (</w:t>
      </w:r>
      <w:proofErr w:type="spellStart"/>
      <w:r w:rsidRPr="007E5957">
        <w:rPr>
          <w:rFonts w:ascii="Times New Roman" w:hAnsi="Times New Roman"/>
        </w:rPr>
        <w:t>Cth</w:t>
      </w:r>
      <w:proofErr w:type="spellEnd"/>
      <w:r w:rsidRPr="007E5957">
        <w:rPr>
          <w:rFonts w:ascii="Times New Roman" w:hAnsi="Times New Roman"/>
        </w:rPr>
        <w:t>) to grant the non</w:t>
      </w:r>
      <w:r w:rsidRPr="007E5957">
        <w:rPr>
          <w:rFonts w:ascii="Times New Roman" w:hAnsi="Times New Roman"/>
        </w:rPr>
        <w:noBreakHyphen/>
        <w:t>citizen a visa, in circumstances where the Minister is not obliged to consider the exercise of that power.</w:t>
      </w:r>
      <w:r w:rsidRPr="007E5957">
        <w:rPr>
          <w:rStyle w:val="FootnoteReference"/>
          <w:rFonts w:ascii="Times New Roman" w:hAnsi="Times New Roman"/>
          <w:sz w:val="24"/>
        </w:rPr>
        <w:footnoteReference w:id="124"/>
      </w:r>
      <w:r w:rsidRPr="007E5957">
        <w:rPr>
          <w:rFonts w:ascii="Times New Roman" w:hAnsi="Times New Roman"/>
        </w:rPr>
        <w:t xml:space="preserve"> </w:t>
      </w:r>
    </w:p>
    <w:p w14:paraId="19D06524"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For the reasons that follow, the Federal Court does not have the power to grant such an interlocutory injunction. The effect of the interlocutory injunction granted by the Federal Court was to suspend the officers' obligation to remove the respondent from Australia prior to the Minister considering whether to exercise the power conferred by s 195A, and to render the purpose of the respondent's detention as being to await that possible consideration by the Minister. Both of those outcomes are inconsistent with the </w:t>
      </w:r>
      <w:r w:rsidRPr="007E5957">
        <w:rPr>
          <w:rFonts w:ascii="Times New Roman" w:hAnsi="Times New Roman"/>
          <w:i/>
          <w:iCs/>
        </w:rPr>
        <w:t>Migration Act</w:t>
      </w:r>
      <w:r w:rsidRPr="007E5957">
        <w:rPr>
          <w:rFonts w:ascii="Times New Roman" w:hAnsi="Times New Roman"/>
        </w:rPr>
        <w:t xml:space="preserve"> as construed by previous decisions of this Court.</w:t>
      </w:r>
      <w:r w:rsidRPr="007E5957">
        <w:rPr>
          <w:rStyle w:val="FootnoteReference"/>
          <w:rFonts w:ascii="Times New Roman" w:hAnsi="Times New Roman"/>
          <w:sz w:val="24"/>
        </w:rPr>
        <w:footnoteReference w:id="125"/>
      </w:r>
      <w:r w:rsidRPr="007E5957">
        <w:rPr>
          <w:rFonts w:ascii="Times New Roman" w:hAnsi="Times New Roman"/>
        </w:rPr>
        <w:t xml:space="preserve"> Although the Federal Court has ample power to make interlocutory orders to preserve the subject matter of proceedings and to protect the integrity of its own processes, the Court's power to grant an interlocutory injunction does not extend that far. Accordingly, the appeal should be allowed and the interlocutory injunction should be set aside.</w:t>
      </w:r>
    </w:p>
    <w:p w14:paraId="6AC4DBC2" w14:textId="77777777" w:rsidR="004C0687" w:rsidRPr="007E5957" w:rsidRDefault="004C0687" w:rsidP="007E5957">
      <w:pPr>
        <w:pStyle w:val="HeadingL1"/>
        <w:spacing w:after="260" w:line="280" w:lineRule="exact"/>
        <w:ind w:right="0"/>
        <w:jc w:val="both"/>
        <w:rPr>
          <w:rFonts w:ascii="Times New Roman" w:hAnsi="Times New Roman"/>
        </w:rPr>
      </w:pPr>
      <w:r w:rsidRPr="007E5957">
        <w:rPr>
          <w:rFonts w:ascii="Times New Roman" w:hAnsi="Times New Roman"/>
        </w:rPr>
        <w:t>Background</w:t>
      </w:r>
    </w:p>
    <w:p w14:paraId="1D2F9ED6"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respondent is an Indian national who arrived in Australia in January 2006 on a student visa. Thereafter he made a series of applications for other visas that were unsuccessful. After the expiry of the respondent's student visa, and pending a decision on one of his other visa applications, the respondent was convicted of criminal offences and his bridging visa was cancelled.</w:t>
      </w:r>
      <w:r w:rsidRPr="007E5957">
        <w:rPr>
          <w:rStyle w:val="FootnoteReference"/>
          <w:rFonts w:ascii="Times New Roman" w:hAnsi="Times New Roman"/>
          <w:sz w:val="24"/>
        </w:rPr>
        <w:footnoteReference w:id="126"/>
      </w:r>
      <w:r w:rsidRPr="007E5957">
        <w:rPr>
          <w:rFonts w:ascii="Times New Roman" w:hAnsi="Times New Roman"/>
        </w:rPr>
        <w:t xml:space="preserve">  </w:t>
      </w:r>
    </w:p>
    <w:p w14:paraId="46ED26DF"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Since 2016 the respondent has been detained in immigration detention pursuant to s 189(1) of the </w:t>
      </w:r>
      <w:r w:rsidRPr="007E5957">
        <w:rPr>
          <w:rFonts w:ascii="Times New Roman" w:hAnsi="Times New Roman"/>
          <w:i/>
          <w:iCs/>
        </w:rPr>
        <w:t>Migration Act</w:t>
      </w:r>
      <w:r w:rsidRPr="007E5957">
        <w:rPr>
          <w:rFonts w:ascii="Times New Roman" w:hAnsi="Times New Roman"/>
        </w:rPr>
        <w:t xml:space="preserve"> because he is an "unlawful non</w:t>
      </w:r>
      <w:r w:rsidRPr="007E5957">
        <w:rPr>
          <w:rFonts w:ascii="Times New Roman" w:hAnsi="Times New Roman"/>
        </w:rPr>
        <w:noBreakHyphen/>
        <w:t>citizen", that is, someone who does not hold a visa that is in effect and entitles them to remain in Australia.</w:t>
      </w:r>
      <w:r w:rsidRPr="007E5957">
        <w:rPr>
          <w:rStyle w:val="FootnoteReference"/>
          <w:rFonts w:ascii="Times New Roman" w:hAnsi="Times New Roman"/>
          <w:sz w:val="24"/>
        </w:rPr>
        <w:footnoteReference w:id="127"/>
      </w:r>
      <w:r w:rsidRPr="007E5957">
        <w:rPr>
          <w:rFonts w:ascii="Times New Roman" w:hAnsi="Times New Roman"/>
        </w:rPr>
        <w:t xml:space="preserve"> By the operation of s 196(1) of the </w:t>
      </w:r>
      <w:r w:rsidRPr="007E5957">
        <w:rPr>
          <w:rFonts w:ascii="Times New Roman" w:hAnsi="Times New Roman"/>
          <w:i/>
          <w:iCs/>
        </w:rPr>
        <w:t>Migration Act</w:t>
      </w:r>
      <w:r w:rsidRPr="007E5957">
        <w:rPr>
          <w:rFonts w:ascii="Times New Roman" w:hAnsi="Times New Roman"/>
        </w:rPr>
        <w:t xml:space="preserve">, the </w:t>
      </w:r>
      <w:r w:rsidRPr="007E5957">
        <w:rPr>
          <w:rFonts w:ascii="Times New Roman" w:hAnsi="Times New Roman"/>
        </w:rPr>
        <w:lastRenderedPageBreak/>
        <w:t>respondent's detention must continue until he is (relevantly) either removed from Australia under s 198</w:t>
      </w:r>
      <w:r w:rsidRPr="007E5957">
        <w:rPr>
          <w:rStyle w:val="FootnoteReference"/>
          <w:rFonts w:ascii="Times New Roman" w:hAnsi="Times New Roman"/>
          <w:sz w:val="24"/>
        </w:rPr>
        <w:footnoteReference w:id="128"/>
      </w:r>
      <w:r w:rsidRPr="007E5957">
        <w:rPr>
          <w:rFonts w:ascii="Times New Roman" w:hAnsi="Times New Roman"/>
        </w:rPr>
        <w:t xml:space="preserve"> or granted a visa.</w:t>
      </w:r>
      <w:r w:rsidRPr="007E5957">
        <w:rPr>
          <w:rStyle w:val="FootnoteReference"/>
          <w:rFonts w:ascii="Times New Roman" w:hAnsi="Times New Roman"/>
          <w:sz w:val="24"/>
        </w:rPr>
        <w:footnoteReference w:id="129"/>
      </w:r>
      <w:r w:rsidRPr="007E5957">
        <w:rPr>
          <w:rFonts w:ascii="Times New Roman" w:hAnsi="Times New Roman"/>
        </w:rPr>
        <w:t xml:space="preserve"> </w:t>
      </w:r>
    </w:p>
    <w:p w14:paraId="12F91C85"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The last of the respondent's applications for merits review of a decision to cancel his bridging visa was rejected by the Administrative Appeals Tribunal in July 2022. In February 2023 he discontinued an application for judicial review of that cancellation. In the Courts below, it was accepted that, from February 2023, the respondent had exhausted all possible avenues of review and appeal from the decision to cancel his bridging visa and the refusal to grant him another visa, and officers were obliged to remove him from Australia pursuant to s 198(6) of the </w:t>
      </w:r>
      <w:r w:rsidRPr="007E5957">
        <w:rPr>
          <w:rFonts w:ascii="Times New Roman" w:hAnsi="Times New Roman"/>
          <w:i/>
          <w:iCs/>
        </w:rPr>
        <w:t>Migration Act</w:t>
      </w:r>
      <w:r w:rsidRPr="007E5957">
        <w:rPr>
          <w:rFonts w:ascii="Times New Roman" w:hAnsi="Times New Roman"/>
        </w:rPr>
        <w:t xml:space="preserve">. </w:t>
      </w:r>
    </w:p>
    <w:p w14:paraId="79C7D62E"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respondent was notified that it was intended that he be removed from Australia on 6 July 2023. On the day prior to his removal, the respondent filed an application for judicial review of the decision to remove him from Australia. Those proceedings were dismissed, however his removal from Australia was avoided while the proceedings were determined.</w:t>
      </w:r>
      <w:r w:rsidRPr="007E5957">
        <w:rPr>
          <w:rStyle w:val="FootnoteReference"/>
          <w:rFonts w:ascii="Times New Roman" w:hAnsi="Times New Roman"/>
          <w:sz w:val="24"/>
        </w:rPr>
        <w:footnoteReference w:id="130"/>
      </w:r>
      <w:r w:rsidRPr="007E5957">
        <w:rPr>
          <w:rFonts w:ascii="Times New Roman" w:hAnsi="Times New Roman"/>
        </w:rPr>
        <w:t xml:space="preserve"> </w:t>
      </w:r>
    </w:p>
    <w:p w14:paraId="0270A7F0" w14:textId="77777777" w:rsidR="004C0687" w:rsidRPr="007E5957" w:rsidRDefault="004C0687" w:rsidP="007E5957">
      <w:pPr>
        <w:pStyle w:val="HeadingL1"/>
        <w:spacing w:after="260" w:line="280" w:lineRule="exact"/>
        <w:ind w:right="0"/>
        <w:jc w:val="both"/>
        <w:rPr>
          <w:rFonts w:ascii="Times New Roman" w:hAnsi="Times New Roman"/>
        </w:rPr>
      </w:pPr>
      <w:r w:rsidRPr="007E5957">
        <w:rPr>
          <w:rFonts w:ascii="Times New Roman" w:hAnsi="Times New Roman"/>
        </w:rPr>
        <w:t>The proceedings below</w:t>
      </w:r>
    </w:p>
    <w:p w14:paraId="36E7542A"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On 8 August 2023, the respondent commenced the subject proceedings. The respondent's initiating process sought, inter alia: final declaratory relief to the effect that "on approximately 7 to 9 occasions" from the end of 2016 it had been erroneously determined that his requests for the Minister to exercise one or more of the non</w:t>
      </w:r>
      <w:r w:rsidRPr="007E5957">
        <w:rPr>
          <w:rFonts w:ascii="Times New Roman" w:hAnsi="Times New Roman"/>
        </w:rPr>
        <w:noBreakHyphen/>
        <w:t xml:space="preserve">compellable powers in ss 195A, 197AB or 417 of the </w:t>
      </w:r>
      <w:r w:rsidRPr="007E5957">
        <w:rPr>
          <w:rFonts w:ascii="Times New Roman" w:hAnsi="Times New Roman"/>
          <w:i/>
          <w:iCs/>
        </w:rPr>
        <w:t>Migration Act</w:t>
      </w:r>
      <w:r w:rsidRPr="007E5957">
        <w:rPr>
          <w:rFonts w:ascii="Times New Roman" w:hAnsi="Times New Roman"/>
        </w:rPr>
        <w:t xml:space="preserve"> did not meet the Minister's or any other guidelines</w:t>
      </w:r>
      <w:r w:rsidRPr="007E5957">
        <w:rPr>
          <w:rStyle w:val="FootnoteReference"/>
          <w:rFonts w:ascii="Times New Roman" w:hAnsi="Times New Roman"/>
          <w:sz w:val="24"/>
        </w:rPr>
        <w:footnoteReference w:id="131"/>
      </w:r>
      <w:r w:rsidRPr="007E5957">
        <w:rPr>
          <w:rFonts w:ascii="Times New Roman" w:hAnsi="Times New Roman"/>
        </w:rPr>
        <w:t xml:space="preserve"> for the referral of such requests to the Minister personally; and a writ of mandamus requiring that his requests be referred to the Minister. The respondent's initiating process also sought a final injunction restraining his removal from Australia while his requests were pending, or, in the alternative, until the Minister had a reasonable time to consider the requests if the Minister wished to do so, and an interlocutory injunction restraining the respondent's removal from Australia pending the outcome of the proceedings. </w:t>
      </w:r>
    </w:p>
    <w:p w14:paraId="6394AF04" w14:textId="7D44F89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lastRenderedPageBreak/>
        <w:tab/>
        <w:t>On 21 August 2023, the primary judge granted the interlocutory injunction.</w:t>
      </w:r>
      <w:r w:rsidRPr="007E5957">
        <w:rPr>
          <w:rStyle w:val="FootnoteReference"/>
          <w:rFonts w:ascii="Times New Roman" w:hAnsi="Times New Roman"/>
          <w:sz w:val="24"/>
        </w:rPr>
        <w:footnoteReference w:id="132"/>
      </w:r>
      <w:r w:rsidRPr="007E5957">
        <w:rPr>
          <w:rFonts w:ascii="Times New Roman" w:hAnsi="Times New Roman"/>
        </w:rPr>
        <w:t xml:space="preserve"> The primary judge found that there was a serious question to be tried as to whether: (a) while in detention between 2016 and 2022 the respondent made informal requests to his case managers for the exercise by the Minister of the powers conferred by ss 195A and 417 of the </w:t>
      </w:r>
      <w:r w:rsidRPr="007E5957">
        <w:rPr>
          <w:rFonts w:ascii="Times New Roman" w:hAnsi="Times New Roman"/>
          <w:i/>
          <w:iCs/>
        </w:rPr>
        <w:t>Migration Act</w:t>
      </w:r>
      <w:r w:rsidRPr="007E5957">
        <w:rPr>
          <w:rFonts w:ascii="Times New Roman" w:hAnsi="Times New Roman"/>
        </w:rPr>
        <w:t>; (b) those requests had been assessed by departmental officers against the "Guidelines on Minister's detention intervention power (s 195A of the Migration Act)" issued in November 2016 concerning the power conferred by s 195A; and (c) those officers had (improperly) "decided", based on their assessments, not to refer the respondent's requests to the Minister for consideration of the exercise of the Minister's power under s 195A.</w:t>
      </w:r>
      <w:r w:rsidRPr="007E5957">
        <w:rPr>
          <w:rStyle w:val="FootnoteReference"/>
          <w:rFonts w:ascii="Times New Roman" w:hAnsi="Times New Roman"/>
          <w:sz w:val="24"/>
        </w:rPr>
        <w:footnoteReference w:id="133"/>
      </w:r>
      <w:r w:rsidRPr="007E5957">
        <w:rPr>
          <w:rFonts w:ascii="Times New Roman" w:hAnsi="Times New Roman"/>
        </w:rPr>
        <w:t xml:space="preserve"> The primary judge found that there was a "sound legal basis for</w:t>
      </w:r>
      <w:r w:rsidR="00AC0919">
        <w:rPr>
          <w:rFonts w:ascii="Times New Roman" w:hAnsi="Times New Roman"/>
        </w:rPr>
        <w:t> </w:t>
      </w:r>
      <w:r w:rsidRPr="007E5957">
        <w:rPr>
          <w:rFonts w:ascii="Times New Roman" w:hAnsi="Times New Roman"/>
        </w:rPr>
        <w:t xml:space="preserve">... the declaratory relief" sought by the respondent, although that observation only applied to the declaratory relief sought in relation to s 195A of the </w:t>
      </w:r>
      <w:r w:rsidRPr="007E5957">
        <w:rPr>
          <w:rFonts w:ascii="Times New Roman" w:hAnsi="Times New Roman"/>
          <w:i/>
          <w:iCs/>
        </w:rPr>
        <w:t>Migration Act</w:t>
      </w:r>
      <w:r w:rsidRPr="007E5957">
        <w:rPr>
          <w:rFonts w:ascii="Times New Roman" w:hAnsi="Times New Roman"/>
        </w:rPr>
        <w:t>.</w:t>
      </w:r>
      <w:r w:rsidRPr="007E5957">
        <w:rPr>
          <w:rStyle w:val="FootnoteReference"/>
          <w:rFonts w:ascii="Times New Roman" w:hAnsi="Times New Roman"/>
          <w:sz w:val="24"/>
        </w:rPr>
        <w:footnoteReference w:id="134"/>
      </w:r>
      <w:r w:rsidRPr="007E5957">
        <w:rPr>
          <w:rFonts w:ascii="Times New Roman" w:hAnsi="Times New Roman"/>
        </w:rPr>
        <w:t xml:space="preserve"> </w:t>
      </w:r>
    </w:p>
    <w:p w14:paraId="5A0B228A"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Even though the respondent did not contend that the duty to remove him from Australia under s 198(6) had not arisen, the primary judge held that the respondent's removal from Australia would "practically deprive the [respondent] of the subject matter of the proceeding (</w:t>
      </w:r>
      <w:r w:rsidRPr="007E5957">
        <w:rPr>
          <w:rFonts w:ascii="Times New Roman" w:hAnsi="Times New Roman"/>
          <w:i/>
          <w:iCs/>
        </w:rPr>
        <w:t>his interest in remaining in Australia</w:t>
      </w:r>
      <w:r w:rsidRPr="007E5957">
        <w:rPr>
          <w:rFonts w:ascii="Times New Roman" w:hAnsi="Times New Roman"/>
        </w:rPr>
        <w:t>)" (emphasis added).</w:t>
      </w:r>
      <w:r w:rsidRPr="007E5957">
        <w:rPr>
          <w:rStyle w:val="FootnoteReference"/>
          <w:rFonts w:ascii="Times New Roman" w:hAnsi="Times New Roman"/>
          <w:sz w:val="24"/>
        </w:rPr>
        <w:footnoteReference w:id="135"/>
      </w:r>
      <w:r w:rsidRPr="007E5957">
        <w:rPr>
          <w:rFonts w:ascii="Times New Roman" w:hAnsi="Times New Roman"/>
        </w:rPr>
        <w:t xml:space="preserve"> This was because "while remote, any possibility of the grant [to the respondent] of a visa under s 195A would be lost if the [respondent] were removed from Australia".</w:t>
      </w:r>
      <w:r w:rsidRPr="007E5957">
        <w:rPr>
          <w:rStyle w:val="FootnoteReference"/>
          <w:rFonts w:ascii="Times New Roman" w:hAnsi="Times New Roman"/>
          <w:sz w:val="24"/>
        </w:rPr>
        <w:footnoteReference w:id="136"/>
      </w:r>
      <w:r w:rsidRPr="007E5957">
        <w:rPr>
          <w:rFonts w:ascii="Times New Roman" w:hAnsi="Times New Roman"/>
        </w:rPr>
        <w:t xml:space="preserve"> </w:t>
      </w:r>
    </w:p>
    <w:p w14:paraId="7838EC29"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appellants were granted leave to appeal to the Full Court of the Federal Court of Australia from the orders of the primary judge granting the interlocutory injunction, but, by a majority, the appeal was dismissed (Colvin and Jackson JJ, Sarah C </w:t>
      </w:r>
      <w:proofErr w:type="spellStart"/>
      <w:r w:rsidRPr="007E5957">
        <w:rPr>
          <w:rFonts w:ascii="Times New Roman" w:hAnsi="Times New Roman"/>
        </w:rPr>
        <w:t>Derrington</w:t>
      </w:r>
      <w:proofErr w:type="spellEnd"/>
      <w:r w:rsidRPr="007E5957">
        <w:rPr>
          <w:rFonts w:ascii="Times New Roman" w:hAnsi="Times New Roman"/>
        </w:rPr>
        <w:t> J dissenting).</w:t>
      </w:r>
      <w:r w:rsidRPr="007E5957">
        <w:rPr>
          <w:rStyle w:val="FootnoteReference"/>
          <w:rFonts w:ascii="Times New Roman" w:hAnsi="Times New Roman"/>
          <w:sz w:val="24"/>
        </w:rPr>
        <w:footnoteReference w:id="137"/>
      </w:r>
      <w:r w:rsidRPr="007E5957">
        <w:rPr>
          <w:rFonts w:ascii="Times New Roman" w:hAnsi="Times New Roman"/>
        </w:rPr>
        <w:t xml:space="preserve"> Although the respondent accepted that the duty to remove him under s 198(6) of the </w:t>
      </w:r>
      <w:r w:rsidRPr="007E5957">
        <w:rPr>
          <w:rFonts w:ascii="Times New Roman" w:hAnsi="Times New Roman"/>
          <w:i/>
          <w:iCs/>
        </w:rPr>
        <w:t xml:space="preserve">Migration Act </w:t>
      </w:r>
      <w:r w:rsidRPr="007E5957">
        <w:rPr>
          <w:rFonts w:ascii="Times New Roman" w:hAnsi="Times New Roman"/>
        </w:rPr>
        <w:t xml:space="preserve">was engaged, Colvin and </w:t>
      </w:r>
      <w:r w:rsidRPr="007E5957">
        <w:rPr>
          <w:rFonts w:ascii="Times New Roman" w:hAnsi="Times New Roman"/>
        </w:rPr>
        <w:lastRenderedPageBreak/>
        <w:t>Jackson JJ found that an interlocutory injunction could be granted to restrain the performance of that duty in order to "preserve the subject matter of the proceedings and the integrity of [the Federal Court's] procedures"</w:t>
      </w:r>
      <w:r w:rsidRPr="007E5957">
        <w:rPr>
          <w:rStyle w:val="FootnoteReference"/>
          <w:rFonts w:ascii="Times New Roman" w:hAnsi="Times New Roman"/>
          <w:sz w:val="24"/>
        </w:rPr>
        <w:footnoteReference w:id="138"/>
      </w:r>
      <w:r w:rsidRPr="007E5957">
        <w:rPr>
          <w:rFonts w:ascii="Times New Roman" w:hAnsi="Times New Roman"/>
        </w:rPr>
        <w:t xml:space="preserve"> because of the "future possibility" that final declaratory relief "may be granted that requires steps to be taken to reinvigorate that request and, consequently, the possibility of the request being acceded to thereby, at that time, bringing the party making the request outside the operation of s 198(6)".</w:t>
      </w:r>
      <w:r w:rsidRPr="007E5957">
        <w:rPr>
          <w:rStyle w:val="FootnoteReference"/>
          <w:rFonts w:ascii="Times New Roman" w:hAnsi="Times New Roman"/>
          <w:sz w:val="24"/>
        </w:rPr>
        <w:footnoteReference w:id="139"/>
      </w:r>
      <w:r w:rsidRPr="007E5957">
        <w:rPr>
          <w:rFonts w:ascii="Times New Roman" w:hAnsi="Times New Roman"/>
        </w:rPr>
        <w:t xml:space="preserve"> Given the primary judge's findings, the reference to "that request" can only mean requests for the exercise of the power conferred on the Minister by s 195A that the primary judge accepted may have been made by or on behalf of the respondent during the period between 2016 and 2022. </w:t>
      </w:r>
    </w:p>
    <w:p w14:paraId="3AC8CD8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In dissent, Sarah C </w:t>
      </w:r>
      <w:proofErr w:type="spellStart"/>
      <w:r w:rsidRPr="007E5957">
        <w:rPr>
          <w:rFonts w:ascii="Times New Roman" w:hAnsi="Times New Roman"/>
        </w:rPr>
        <w:t>Derrington</w:t>
      </w:r>
      <w:proofErr w:type="spellEnd"/>
      <w:r w:rsidRPr="007E5957">
        <w:rPr>
          <w:rFonts w:ascii="Times New Roman" w:hAnsi="Times New Roman"/>
        </w:rPr>
        <w:t xml:space="preserve"> J found that, as there was no challenge to the existence of any preconditions to the engagement of the duty to remove the respondent under s 198(6), there could not be any (proper) frustration of the Federal Court's process which had (only) been engaged in relation to different provisions of the </w:t>
      </w:r>
      <w:r w:rsidRPr="007E5957">
        <w:rPr>
          <w:rFonts w:ascii="Times New Roman" w:hAnsi="Times New Roman"/>
          <w:i/>
          <w:iCs/>
        </w:rPr>
        <w:t>Migration Act</w:t>
      </w:r>
      <w:r w:rsidRPr="007E5957">
        <w:rPr>
          <w:rFonts w:ascii="Times New Roman" w:hAnsi="Times New Roman"/>
        </w:rPr>
        <w:t xml:space="preserve"> concerning the Minister's non-compellable powers.</w:t>
      </w:r>
      <w:r w:rsidRPr="007E5957">
        <w:rPr>
          <w:rStyle w:val="FootnoteReference"/>
          <w:rFonts w:ascii="Times New Roman" w:hAnsi="Times New Roman"/>
          <w:sz w:val="24"/>
        </w:rPr>
        <w:footnoteReference w:id="140"/>
      </w:r>
      <w:r w:rsidRPr="007E5957">
        <w:rPr>
          <w:rFonts w:ascii="Times New Roman" w:hAnsi="Times New Roman"/>
        </w:rPr>
        <w:t xml:space="preserve"> </w:t>
      </w:r>
    </w:p>
    <w:p w14:paraId="44820FA8"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appellants were granted special leave to appeal to this Court from the decision of the Full Court. The appellants and the Attorney-General of the Commonwealth (intervening) contended that Colvin and Jackson JJ erred in failing to find that the primary judge erred in concluding that the Federal Court had power to grant the interlocutory injunction. The respondent supported the reasoning of their Honours but also sought to support the granting of the interlocutory injunction on two grounds outlined in a further amended notice of contention. The first ground contended that the obligation to remove an unlawful non</w:t>
      </w:r>
      <w:r w:rsidRPr="007E5957">
        <w:rPr>
          <w:rFonts w:ascii="Times New Roman" w:hAnsi="Times New Roman"/>
        </w:rPr>
        <w:noBreakHyphen/>
        <w:t xml:space="preserve">citizen under s 198(6) of the </w:t>
      </w:r>
      <w:r w:rsidRPr="007E5957">
        <w:rPr>
          <w:rFonts w:ascii="Times New Roman" w:hAnsi="Times New Roman"/>
          <w:i/>
          <w:iCs/>
        </w:rPr>
        <w:t>Migration Act</w:t>
      </w:r>
      <w:r w:rsidRPr="007E5957">
        <w:rPr>
          <w:rFonts w:ascii="Times New Roman" w:hAnsi="Times New Roman"/>
        </w:rPr>
        <w:t xml:space="preserve"> was not engaged where that non</w:t>
      </w:r>
      <w:r w:rsidRPr="007E5957">
        <w:rPr>
          <w:rFonts w:ascii="Times New Roman" w:hAnsi="Times New Roman"/>
        </w:rPr>
        <w:noBreakHyphen/>
        <w:t>citizen has requested the Minister exercise a personal non</w:t>
      </w:r>
      <w:r w:rsidRPr="007E5957">
        <w:rPr>
          <w:rFonts w:ascii="Times New Roman" w:hAnsi="Times New Roman"/>
        </w:rPr>
        <w:noBreakHyphen/>
        <w:t xml:space="preserve">compellable power and that request has not been brought to the Minister's attention. The second ground contended that, if the effect of s 198(6) was to deny the Federal Court power to grant the interlocutory injunction, then it was invalid to that extent because it was inconsistent with Ch III of the </w:t>
      </w:r>
      <w:r w:rsidRPr="007E5957">
        <w:rPr>
          <w:rFonts w:ascii="Times New Roman" w:hAnsi="Times New Roman"/>
          <w:i/>
          <w:iCs/>
        </w:rPr>
        <w:t>Constitution</w:t>
      </w:r>
      <w:r w:rsidRPr="007E5957">
        <w:rPr>
          <w:rFonts w:ascii="Times New Roman" w:hAnsi="Times New Roman"/>
        </w:rPr>
        <w:t xml:space="preserve">. </w:t>
      </w:r>
    </w:p>
    <w:p w14:paraId="4C9F88C8" w14:textId="77777777" w:rsidR="004C0687" w:rsidRPr="007E5957" w:rsidRDefault="004C0687" w:rsidP="007E5957">
      <w:pPr>
        <w:pStyle w:val="HeadingL1"/>
        <w:spacing w:after="260" w:line="280" w:lineRule="exact"/>
        <w:ind w:right="0"/>
        <w:jc w:val="both"/>
        <w:rPr>
          <w:rFonts w:ascii="Times New Roman" w:hAnsi="Times New Roman"/>
        </w:rPr>
      </w:pPr>
      <w:r w:rsidRPr="007E5957">
        <w:rPr>
          <w:rFonts w:ascii="Times New Roman" w:hAnsi="Times New Roman"/>
        </w:rPr>
        <w:lastRenderedPageBreak/>
        <w:t>Section 195A and the obligation to remove an unlawful non</w:t>
      </w:r>
      <w:r w:rsidRPr="007E5957">
        <w:rPr>
          <w:rFonts w:ascii="Times New Roman" w:hAnsi="Times New Roman"/>
        </w:rPr>
        <w:noBreakHyphen/>
        <w:t xml:space="preserve">citizen </w:t>
      </w:r>
    </w:p>
    <w:p w14:paraId="1F4F37F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Given that the primary judge found that an arguable case was only established in relation to the respondent's requests for the exercise of the power conferred on the Minister by s 195A, it is only necessary to consider that provision. Section 195A relevantly provides:</w:t>
      </w:r>
    </w:p>
    <w:p w14:paraId="3D223035" w14:textId="77777777" w:rsidR="004C0687" w:rsidRPr="007E5957" w:rsidRDefault="004C0687" w:rsidP="007E5957">
      <w:pPr>
        <w:pStyle w:val="LeftrightafterHC"/>
        <w:spacing w:before="0" w:after="260" w:line="280" w:lineRule="exact"/>
        <w:ind w:right="0"/>
        <w:jc w:val="both"/>
        <w:rPr>
          <w:rFonts w:ascii="Times New Roman" w:hAnsi="Times New Roman"/>
        </w:rPr>
      </w:pPr>
      <w:r w:rsidRPr="007E5957">
        <w:rPr>
          <w:rFonts w:ascii="Times New Roman" w:hAnsi="Times New Roman"/>
        </w:rPr>
        <w:t>"</w:t>
      </w:r>
      <w:r w:rsidRPr="007E5957">
        <w:rPr>
          <w:rFonts w:ascii="Times New Roman" w:hAnsi="Times New Roman"/>
          <w:b/>
          <w:bCs/>
        </w:rPr>
        <w:t>Minister may grant detainee visa (whether or not on application)</w:t>
      </w:r>
    </w:p>
    <w:p w14:paraId="63A02D4E" w14:textId="77777777" w:rsidR="004C0687" w:rsidRPr="007E5957" w:rsidRDefault="004C0687" w:rsidP="007E5957">
      <w:pPr>
        <w:pStyle w:val="leftright"/>
        <w:spacing w:before="0" w:after="260" w:line="280" w:lineRule="exact"/>
        <w:ind w:left="1440" w:right="0"/>
        <w:jc w:val="both"/>
        <w:rPr>
          <w:rFonts w:ascii="Times New Roman" w:hAnsi="Times New Roman"/>
          <w:i/>
          <w:iCs/>
        </w:rPr>
      </w:pPr>
      <w:r w:rsidRPr="007E5957">
        <w:rPr>
          <w:rFonts w:ascii="Times New Roman" w:hAnsi="Times New Roman"/>
          <w:i/>
          <w:iCs/>
        </w:rPr>
        <w:t>Persons to whom section applies</w:t>
      </w:r>
    </w:p>
    <w:p w14:paraId="12F6F131" w14:textId="77777777" w:rsidR="004C0687" w:rsidRPr="007E5957" w:rsidRDefault="004C0687" w:rsidP="007E5957">
      <w:pPr>
        <w:pStyle w:val="leftright"/>
        <w:spacing w:before="0" w:after="260" w:line="280" w:lineRule="exact"/>
        <w:ind w:left="1440" w:right="0" w:hanging="720"/>
        <w:jc w:val="both"/>
        <w:rPr>
          <w:rFonts w:ascii="Times New Roman" w:hAnsi="Times New Roman"/>
        </w:rPr>
      </w:pPr>
      <w:r w:rsidRPr="007E5957">
        <w:rPr>
          <w:rFonts w:ascii="Times New Roman" w:hAnsi="Times New Roman"/>
        </w:rPr>
        <w:t>(1)</w:t>
      </w:r>
      <w:r w:rsidRPr="007E5957">
        <w:rPr>
          <w:rFonts w:ascii="Times New Roman" w:hAnsi="Times New Roman"/>
        </w:rPr>
        <w:tab/>
        <w:t>This section applies to a person who is in detention under section</w:t>
      </w:r>
      <w:r>
        <w:rPr>
          <w:rFonts w:ascii="Times New Roman" w:hAnsi="Times New Roman"/>
        </w:rPr>
        <w:t> </w:t>
      </w:r>
      <w:r w:rsidRPr="007E5957">
        <w:rPr>
          <w:rFonts w:ascii="Times New Roman" w:hAnsi="Times New Roman"/>
        </w:rPr>
        <w:t xml:space="preserve">189. </w:t>
      </w:r>
    </w:p>
    <w:p w14:paraId="268F8ED6" w14:textId="77777777" w:rsidR="004C0687" w:rsidRPr="007E5957" w:rsidRDefault="004C0687" w:rsidP="007E5957">
      <w:pPr>
        <w:pStyle w:val="leftright"/>
        <w:spacing w:before="0" w:after="260" w:line="280" w:lineRule="exact"/>
        <w:ind w:left="1440" w:right="0"/>
        <w:jc w:val="both"/>
        <w:rPr>
          <w:rFonts w:ascii="Times New Roman" w:hAnsi="Times New Roman"/>
          <w:i/>
          <w:iCs/>
        </w:rPr>
      </w:pPr>
      <w:r w:rsidRPr="007E5957">
        <w:rPr>
          <w:rFonts w:ascii="Times New Roman" w:hAnsi="Times New Roman"/>
          <w:i/>
          <w:iCs/>
        </w:rPr>
        <w:t>Minister may grant visa</w:t>
      </w:r>
    </w:p>
    <w:p w14:paraId="6C677DC2" w14:textId="77777777" w:rsidR="004C0687" w:rsidRPr="007E5957" w:rsidRDefault="004C0687" w:rsidP="007E5957">
      <w:pPr>
        <w:pStyle w:val="leftright"/>
        <w:spacing w:before="0" w:after="260" w:line="280" w:lineRule="exact"/>
        <w:ind w:left="1440" w:right="0" w:hanging="720"/>
        <w:jc w:val="both"/>
        <w:rPr>
          <w:rFonts w:ascii="Times New Roman" w:hAnsi="Times New Roman"/>
        </w:rPr>
      </w:pPr>
      <w:r w:rsidRPr="007E5957">
        <w:rPr>
          <w:rFonts w:ascii="Times New Roman" w:hAnsi="Times New Roman"/>
        </w:rPr>
        <w:t>(2)</w:t>
      </w:r>
      <w:r w:rsidRPr="007E5957">
        <w:rPr>
          <w:rFonts w:ascii="Times New Roman" w:hAnsi="Times New Roman"/>
        </w:rPr>
        <w:tab/>
        <w:t>If the Minister thinks that it is in the public interest to do so, the Minister may grant a person to whom this section applies a visa of a particular class (whether or not the person has applied for the visa).</w:t>
      </w:r>
    </w:p>
    <w:p w14:paraId="59506965" w14:textId="77777777" w:rsidR="004C0687" w:rsidRPr="007E5957" w:rsidRDefault="004C0687" w:rsidP="007E5957">
      <w:pPr>
        <w:pStyle w:val="leftright"/>
        <w:spacing w:before="0" w:after="260" w:line="280" w:lineRule="exact"/>
        <w:ind w:left="1440" w:right="0" w:hanging="720"/>
        <w:jc w:val="both"/>
        <w:rPr>
          <w:rFonts w:ascii="Times New Roman" w:hAnsi="Times New Roman"/>
        </w:rPr>
      </w:pPr>
      <w:r w:rsidRPr="007E5957">
        <w:rPr>
          <w:rFonts w:ascii="Times New Roman" w:hAnsi="Times New Roman"/>
        </w:rPr>
        <w:t>(3)</w:t>
      </w:r>
      <w:r w:rsidRPr="007E5957">
        <w:rPr>
          <w:rFonts w:ascii="Times New Roman" w:hAnsi="Times New Roman"/>
        </w:rPr>
        <w:tab/>
        <w:t>In exercising the power under subsection (2), the Minister is not bound by Subdivision AA, AC or AF of Division 3 of this Part or by the regulations, but is bound by all other provisions of this Act.</w:t>
      </w:r>
    </w:p>
    <w:p w14:paraId="7CE83383" w14:textId="77777777" w:rsidR="004C0687" w:rsidRPr="007E5957" w:rsidRDefault="004C0687" w:rsidP="007E5957">
      <w:pPr>
        <w:pStyle w:val="leftright"/>
        <w:spacing w:before="0" w:after="260" w:line="280" w:lineRule="exact"/>
        <w:ind w:left="1440" w:right="0"/>
        <w:jc w:val="both"/>
        <w:rPr>
          <w:rFonts w:ascii="Times New Roman" w:hAnsi="Times New Roman"/>
          <w:i/>
          <w:iCs/>
        </w:rPr>
      </w:pPr>
      <w:r w:rsidRPr="007E5957">
        <w:rPr>
          <w:rFonts w:ascii="Times New Roman" w:hAnsi="Times New Roman"/>
          <w:i/>
          <w:iCs/>
        </w:rPr>
        <w:t>Minister not under duty to consider whether to exercise power</w:t>
      </w:r>
    </w:p>
    <w:p w14:paraId="730D1109" w14:textId="77777777" w:rsidR="004C0687" w:rsidRPr="007E5957" w:rsidRDefault="004C0687" w:rsidP="007E5957">
      <w:pPr>
        <w:pStyle w:val="leftright"/>
        <w:spacing w:before="0" w:after="260" w:line="280" w:lineRule="exact"/>
        <w:ind w:left="1440" w:right="0" w:hanging="720"/>
        <w:jc w:val="both"/>
        <w:rPr>
          <w:rFonts w:ascii="Times New Roman" w:hAnsi="Times New Roman"/>
        </w:rPr>
      </w:pPr>
      <w:r w:rsidRPr="007E5957">
        <w:rPr>
          <w:rFonts w:ascii="Times New Roman" w:hAnsi="Times New Roman"/>
        </w:rPr>
        <w:t>(4)</w:t>
      </w:r>
      <w:r w:rsidRPr="007E5957">
        <w:rPr>
          <w:rFonts w:ascii="Times New Roman" w:hAnsi="Times New Roman"/>
        </w:rPr>
        <w:tab/>
        <w:t>The Minister does not have a duty to consider whether to exercise the power under subsection (2), whether he or she is requested to do so by any person, or in any other circumstances.</w:t>
      </w:r>
    </w:p>
    <w:p w14:paraId="57538E90" w14:textId="77777777" w:rsidR="004C0687" w:rsidRPr="007E5957" w:rsidRDefault="004C0687" w:rsidP="007E5957">
      <w:pPr>
        <w:pStyle w:val="leftright"/>
        <w:spacing w:before="0" w:after="260" w:line="280" w:lineRule="exact"/>
        <w:ind w:left="1440" w:right="0"/>
        <w:jc w:val="both"/>
        <w:rPr>
          <w:rFonts w:ascii="Times New Roman" w:hAnsi="Times New Roman"/>
          <w:i/>
          <w:iCs/>
        </w:rPr>
      </w:pPr>
      <w:r w:rsidRPr="007E5957">
        <w:rPr>
          <w:rFonts w:ascii="Times New Roman" w:hAnsi="Times New Roman"/>
          <w:i/>
          <w:iCs/>
        </w:rPr>
        <w:t>Minister to exercise power personally</w:t>
      </w:r>
    </w:p>
    <w:p w14:paraId="3B9113BD" w14:textId="77777777" w:rsidR="004C0687" w:rsidRDefault="004C0687" w:rsidP="007E5957">
      <w:pPr>
        <w:pStyle w:val="leftright"/>
        <w:spacing w:before="0" w:after="260" w:line="280" w:lineRule="exact"/>
        <w:ind w:left="1440" w:right="0" w:hanging="720"/>
        <w:jc w:val="both"/>
        <w:rPr>
          <w:rFonts w:ascii="Times New Roman" w:hAnsi="Times New Roman"/>
        </w:rPr>
      </w:pPr>
      <w:r w:rsidRPr="007E5957">
        <w:rPr>
          <w:rFonts w:ascii="Times New Roman" w:hAnsi="Times New Roman"/>
        </w:rPr>
        <w:t>(5)</w:t>
      </w:r>
      <w:r w:rsidRPr="007E5957">
        <w:rPr>
          <w:rFonts w:ascii="Times New Roman" w:hAnsi="Times New Roman"/>
        </w:rPr>
        <w:tab/>
        <w:t>The power under subsection (2) may only be exercised by the Minister personally."</w:t>
      </w:r>
    </w:p>
    <w:p w14:paraId="47AF02F1"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Similar provisions conferring a personal non</w:t>
      </w:r>
      <w:r w:rsidRPr="007E5957">
        <w:rPr>
          <w:rFonts w:ascii="Times New Roman" w:hAnsi="Times New Roman"/>
        </w:rPr>
        <w:noBreakHyphen/>
        <w:t>compellable power on the Minister to intervene in a non</w:t>
      </w:r>
      <w:r w:rsidRPr="007E5957">
        <w:rPr>
          <w:rFonts w:ascii="Times New Roman" w:hAnsi="Times New Roman"/>
        </w:rPr>
        <w:noBreakHyphen/>
        <w:t xml:space="preserve">citizen's favour are found elsewhere in the </w:t>
      </w:r>
      <w:r w:rsidRPr="007E5957">
        <w:rPr>
          <w:rFonts w:ascii="Times New Roman" w:hAnsi="Times New Roman"/>
          <w:i/>
          <w:iCs/>
        </w:rPr>
        <w:t>Migration Act</w:t>
      </w:r>
      <w:r w:rsidRPr="007E5957">
        <w:rPr>
          <w:rFonts w:ascii="Times New Roman" w:hAnsi="Times New Roman"/>
        </w:rPr>
        <w:t>.</w:t>
      </w:r>
      <w:r w:rsidRPr="007E5957">
        <w:rPr>
          <w:rStyle w:val="FootnoteReference"/>
          <w:rFonts w:ascii="Times New Roman" w:hAnsi="Times New Roman"/>
          <w:sz w:val="24"/>
        </w:rPr>
        <w:footnoteReference w:id="141"/>
      </w:r>
      <w:r w:rsidRPr="007E5957">
        <w:rPr>
          <w:rFonts w:ascii="Times New Roman" w:hAnsi="Times New Roman"/>
        </w:rPr>
        <w:t xml:space="preserve"> The structure and operation of those provisions has been addressed by this Court in a number of decisions,</w:t>
      </w:r>
      <w:r w:rsidRPr="007E5957">
        <w:rPr>
          <w:rStyle w:val="FootnoteReference"/>
          <w:rFonts w:ascii="Times New Roman" w:hAnsi="Times New Roman"/>
          <w:sz w:val="24"/>
        </w:rPr>
        <w:footnoteReference w:id="142"/>
      </w:r>
      <w:r w:rsidRPr="007E5957">
        <w:rPr>
          <w:rFonts w:ascii="Times New Roman" w:hAnsi="Times New Roman"/>
        </w:rPr>
        <w:t xml:space="preserve"> the most recent being </w:t>
      </w:r>
      <w:r w:rsidRPr="007E5957">
        <w:rPr>
          <w:rFonts w:ascii="Times New Roman" w:hAnsi="Times New Roman"/>
          <w:i/>
          <w:iCs/>
        </w:rPr>
        <w:t xml:space="preserve">Davis v Minister for </w:t>
      </w:r>
      <w:r w:rsidRPr="007E5957">
        <w:rPr>
          <w:rFonts w:ascii="Times New Roman" w:hAnsi="Times New Roman"/>
          <w:i/>
          <w:iCs/>
        </w:rPr>
        <w:lastRenderedPageBreak/>
        <w:t>Immigration, Citizenship, Migration Services and Multicultural Affairs</w:t>
      </w:r>
      <w:r w:rsidRPr="007E5957">
        <w:rPr>
          <w:rFonts w:ascii="Times New Roman" w:hAnsi="Times New Roman"/>
        </w:rPr>
        <w:t>.</w:t>
      </w:r>
      <w:r w:rsidRPr="007E5957">
        <w:rPr>
          <w:rStyle w:val="FootnoteReference"/>
          <w:rFonts w:ascii="Times New Roman" w:hAnsi="Times New Roman"/>
          <w:sz w:val="24"/>
        </w:rPr>
        <w:footnoteReference w:id="143"/>
      </w:r>
      <w:r w:rsidRPr="007E5957">
        <w:rPr>
          <w:rFonts w:ascii="Times New Roman" w:hAnsi="Times New Roman"/>
        </w:rPr>
        <w:t xml:space="preserve"> The analysis of provisions such as s 195A in those decisions was not challenged in this appeal. Those decisions confirm that the Minister exercises those powers, such as the power conferred by s 195A, by "personally making the first or both of two distinct sequential statutory decisions".</w:t>
      </w:r>
      <w:r w:rsidRPr="007E5957">
        <w:rPr>
          <w:rStyle w:val="FootnoteReference"/>
          <w:rFonts w:ascii="Times New Roman" w:hAnsi="Times New Roman"/>
          <w:sz w:val="24"/>
        </w:rPr>
        <w:footnoteReference w:id="144"/>
      </w:r>
      <w:r w:rsidRPr="007E5957">
        <w:rPr>
          <w:rFonts w:ascii="Times New Roman" w:hAnsi="Times New Roman"/>
        </w:rPr>
        <w:t xml:space="preserve"> The first is a procedural decision either to consider, or not to consider, whether it is in the public interest to grant a visa to a person in detention under s 189. The second is a substantive decision either to conclude that it is in the public interest to grant a visa and to do so, or not to conclude so and not to grant the visa.</w:t>
      </w:r>
      <w:r w:rsidRPr="007E5957">
        <w:rPr>
          <w:rStyle w:val="FootnoteReference"/>
          <w:rFonts w:ascii="Times New Roman" w:hAnsi="Times New Roman"/>
          <w:sz w:val="24"/>
        </w:rPr>
        <w:footnoteReference w:id="145"/>
      </w:r>
      <w:r w:rsidRPr="007E5957">
        <w:rPr>
          <w:rFonts w:ascii="Times New Roman" w:hAnsi="Times New Roman"/>
        </w:rPr>
        <w:t xml:space="preserve"> Both of these decisions can only be made by the Minister personally.</w:t>
      </w:r>
      <w:r w:rsidRPr="007E5957">
        <w:rPr>
          <w:rStyle w:val="FootnoteReference"/>
          <w:rFonts w:ascii="Times New Roman" w:hAnsi="Times New Roman"/>
          <w:sz w:val="24"/>
        </w:rPr>
        <w:footnoteReference w:id="146"/>
      </w:r>
      <w:r w:rsidRPr="007E5957">
        <w:rPr>
          <w:rFonts w:ascii="Times New Roman" w:hAnsi="Times New Roman"/>
        </w:rPr>
        <w:t xml:space="preserve"> The Minister is not obliged to make either decision and cannot be compelled to do so.</w:t>
      </w:r>
      <w:r w:rsidRPr="007E5957">
        <w:rPr>
          <w:rStyle w:val="FootnoteReference"/>
          <w:rFonts w:ascii="Times New Roman" w:hAnsi="Times New Roman"/>
          <w:sz w:val="24"/>
        </w:rPr>
        <w:footnoteReference w:id="147"/>
      </w:r>
      <w:r w:rsidRPr="007E5957">
        <w:rPr>
          <w:rFonts w:ascii="Times New Roman" w:hAnsi="Times New Roman"/>
        </w:rPr>
        <w:t xml:space="preserve"> </w:t>
      </w:r>
    </w:p>
    <w:p w14:paraId="2010A3C1"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In </w:t>
      </w:r>
      <w:r w:rsidRPr="007E5957">
        <w:rPr>
          <w:rFonts w:ascii="Times New Roman" w:hAnsi="Times New Roman"/>
          <w:i/>
          <w:iCs/>
        </w:rPr>
        <w:t>Davis</w:t>
      </w:r>
      <w:r w:rsidRPr="007E5957">
        <w:rPr>
          <w:rFonts w:ascii="Times New Roman" w:hAnsi="Times New Roman"/>
        </w:rPr>
        <w:t xml:space="preserve"> it was accepted that the Minister may make a procedural decision not to consider making a substantive decision in any case that did not meet specified objective criteria,</w:t>
      </w:r>
      <w:r w:rsidRPr="007E5957">
        <w:rPr>
          <w:rStyle w:val="FootnoteReference"/>
          <w:rFonts w:ascii="Times New Roman" w:hAnsi="Times New Roman"/>
          <w:sz w:val="24"/>
        </w:rPr>
        <w:footnoteReference w:id="148"/>
      </w:r>
      <w:r w:rsidRPr="007E5957">
        <w:rPr>
          <w:rFonts w:ascii="Times New Roman" w:hAnsi="Times New Roman"/>
        </w:rPr>
        <w:t xml:space="preserve"> and may issue non</w:t>
      </w:r>
      <w:r w:rsidRPr="007E5957">
        <w:rPr>
          <w:rFonts w:ascii="Times New Roman" w:hAnsi="Times New Roman"/>
        </w:rPr>
        <w:noBreakHyphen/>
        <w:t>statutory instructions to departmental officers to the effect that he or she only wished to be put in a position to consider making a procedural decision in cases that met such criteria.</w:t>
      </w:r>
      <w:r w:rsidRPr="007E5957">
        <w:rPr>
          <w:rStyle w:val="FootnoteReference"/>
          <w:rFonts w:ascii="Times New Roman" w:hAnsi="Times New Roman"/>
          <w:sz w:val="24"/>
        </w:rPr>
        <w:footnoteReference w:id="149"/>
      </w:r>
      <w:r w:rsidRPr="007E5957">
        <w:rPr>
          <w:rFonts w:ascii="Times New Roman" w:hAnsi="Times New Roman"/>
        </w:rPr>
        <w:t xml:space="preserve"> Implicit in that analysis is that there is no duty imposed on departmental officers to bring every request for the exercise of a non</w:t>
      </w:r>
      <w:r w:rsidRPr="007E5957">
        <w:rPr>
          <w:rFonts w:ascii="Times New Roman" w:hAnsi="Times New Roman"/>
        </w:rPr>
        <w:noBreakHyphen/>
        <w:t>compellable power to the Minister's personal attention. Where departmental officers exercise that function (</w:t>
      </w:r>
      <w:proofErr w:type="spellStart"/>
      <w:r w:rsidRPr="007E5957">
        <w:rPr>
          <w:rFonts w:ascii="Times New Roman" w:hAnsi="Times New Roman"/>
        </w:rPr>
        <w:t>ie</w:t>
      </w:r>
      <w:proofErr w:type="spellEnd"/>
      <w:r w:rsidRPr="007E5957">
        <w:rPr>
          <w:rFonts w:ascii="Times New Roman" w:hAnsi="Times New Roman"/>
        </w:rPr>
        <w:t xml:space="preserve">, determining whether to bring a request to the Minister's personal attention) they </w:t>
      </w:r>
      <w:r w:rsidRPr="007E5957">
        <w:rPr>
          <w:rFonts w:ascii="Times New Roman" w:hAnsi="Times New Roman"/>
        </w:rPr>
        <w:lastRenderedPageBreak/>
        <w:t>are exercising non</w:t>
      </w:r>
      <w:r w:rsidRPr="007E5957">
        <w:rPr>
          <w:rFonts w:ascii="Times New Roman" w:hAnsi="Times New Roman"/>
        </w:rPr>
        <w:noBreakHyphen/>
        <w:t>statutory executive power. The performance of that function does not attract any requirement to afford procedural fairness.</w:t>
      </w:r>
      <w:r w:rsidRPr="007E5957">
        <w:rPr>
          <w:rStyle w:val="FootnoteReference"/>
          <w:rFonts w:ascii="Times New Roman" w:hAnsi="Times New Roman"/>
          <w:sz w:val="24"/>
        </w:rPr>
        <w:footnoteReference w:id="150"/>
      </w:r>
      <w:r w:rsidRPr="007E5957">
        <w:rPr>
          <w:rFonts w:ascii="Times New Roman" w:hAnsi="Times New Roman"/>
        </w:rPr>
        <w:t xml:space="preserve"> </w:t>
      </w:r>
    </w:p>
    <w:p w14:paraId="3966F28A"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However, </w:t>
      </w:r>
      <w:r w:rsidRPr="007E5957">
        <w:rPr>
          <w:rFonts w:ascii="Times New Roman" w:hAnsi="Times New Roman"/>
          <w:i/>
          <w:iCs/>
        </w:rPr>
        <w:t>Davis</w:t>
      </w:r>
      <w:r w:rsidRPr="007E5957">
        <w:rPr>
          <w:rFonts w:ascii="Times New Roman" w:hAnsi="Times New Roman"/>
        </w:rPr>
        <w:t xml:space="preserve"> also established that the Minister may not entrust the substantive evaluation of whether it is in the public interest to grant a visa under s 195A of the </w:t>
      </w:r>
      <w:r w:rsidRPr="007E5957">
        <w:rPr>
          <w:rFonts w:ascii="Times New Roman" w:hAnsi="Times New Roman"/>
          <w:i/>
          <w:iCs/>
        </w:rPr>
        <w:t xml:space="preserve">Migration Act </w:t>
      </w:r>
      <w:r w:rsidRPr="007E5957">
        <w:rPr>
          <w:rFonts w:ascii="Times New Roman" w:hAnsi="Times New Roman"/>
        </w:rPr>
        <w:t>to a departmental officer.</w:t>
      </w:r>
      <w:r w:rsidRPr="007E5957">
        <w:rPr>
          <w:rStyle w:val="FootnoteReference"/>
          <w:rFonts w:ascii="Times New Roman" w:hAnsi="Times New Roman"/>
          <w:sz w:val="24"/>
        </w:rPr>
        <w:footnoteReference w:id="151"/>
      </w:r>
      <w:r w:rsidRPr="007E5957">
        <w:rPr>
          <w:rFonts w:ascii="Times New Roman" w:hAnsi="Times New Roman"/>
        </w:rPr>
        <w:t xml:space="preserve"> That substantive evaluation falls within the "zone of exclusive Ministerial personal decision</w:t>
      </w:r>
      <w:r w:rsidRPr="007E5957">
        <w:rPr>
          <w:rFonts w:ascii="Times New Roman" w:hAnsi="Times New Roman"/>
        </w:rPr>
        <w:noBreakHyphen/>
        <w:t>making power created" by s 195A.</w:t>
      </w:r>
      <w:r w:rsidRPr="007E5957">
        <w:rPr>
          <w:rStyle w:val="FootnoteReference"/>
          <w:rFonts w:ascii="Times New Roman" w:hAnsi="Times New Roman"/>
          <w:sz w:val="24"/>
        </w:rPr>
        <w:footnoteReference w:id="152"/>
      </w:r>
      <w:r w:rsidRPr="007E5957">
        <w:rPr>
          <w:rFonts w:ascii="Times New Roman" w:hAnsi="Times New Roman"/>
        </w:rPr>
        <w:t xml:space="preserve"> Thus, in </w:t>
      </w:r>
      <w:r w:rsidRPr="007E5957">
        <w:rPr>
          <w:rFonts w:ascii="Times New Roman" w:hAnsi="Times New Roman"/>
          <w:i/>
          <w:iCs/>
        </w:rPr>
        <w:t>Davis</w:t>
      </w:r>
      <w:r w:rsidRPr="007E5957">
        <w:rPr>
          <w:rFonts w:ascii="Times New Roman" w:hAnsi="Times New Roman"/>
        </w:rPr>
        <w:t xml:space="preserve"> the application of instructions issued by the then Minister for Immigration and Border Protection which relevantly instructed departmental officers not to refer to the Minister a request for the exercise of the non</w:t>
      </w:r>
      <w:r w:rsidRPr="007E5957">
        <w:rPr>
          <w:rFonts w:ascii="Times New Roman" w:hAnsi="Times New Roman"/>
        </w:rPr>
        <w:noBreakHyphen/>
        <w:t>compellable power conferred by s 351</w:t>
      </w:r>
      <w:r w:rsidRPr="007E5957">
        <w:rPr>
          <w:rStyle w:val="FootnoteReference"/>
          <w:rFonts w:ascii="Times New Roman" w:hAnsi="Times New Roman"/>
          <w:sz w:val="24"/>
        </w:rPr>
        <w:footnoteReference w:id="153"/>
      </w:r>
      <w:r w:rsidRPr="007E5957">
        <w:rPr>
          <w:rFonts w:ascii="Times New Roman" w:hAnsi="Times New Roman"/>
        </w:rPr>
        <w:t xml:space="preserve"> unless the request was assessed by departmental officers to "have unique or exceptional circumstances"</w:t>
      </w:r>
      <w:r w:rsidRPr="007E5957">
        <w:rPr>
          <w:rStyle w:val="FootnoteReference"/>
          <w:rFonts w:ascii="Times New Roman" w:hAnsi="Times New Roman"/>
          <w:sz w:val="24"/>
        </w:rPr>
        <w:footnoteReference w:id="154"/>
      </w:r>
      <w:r w:rsidRPr="007E5957">
        <w:rPr>
          <w:rFonts w:ascii="Times New Roman" w:hAnsi="Times New Roman"/>
        </w:rPr>
        <w:t xml:space="preserve"> was held, as a matter of substance, to have invalidly entrusted the dispositive evaluation of the public interest to departmental officers.</w:t>
      </w:r>
      <w:r w:rsidRPr="007E5957">
        <w:rPr>
          <w:rStyle w:val="FootnoteReference"/>
          <w:rFonts w:ascii="Times New Roman" w:hAnsi="Times New Roman"/>
          <w:sz w:val="24"/>
        </w:rPr>
        <w:footnoteReference w:id="155"/>
      </w:r>
      <w:r w:rsidRPr="007E5957">
        <w:rPr>
          <w:rFonts w:ascii="Times New Roman" w:hAnsi="Times New Roman"/>
        </w:rPr>
        <w:t xml:space="preserve"> This Court granted declaratory relief to the effect that a decision made in purported compliance with those instructions exceeded the executive power of the Commonwealth.</w:t>
      </w:r>
      <w:r w:rsidRPr="007E5957">
        <w:rPr>
          <w:rStyle w:val="FootnoteReference"/>
          <w:rFonts w:ascii="Times New Roman" w:hAnsi="Times New Roman"/>
          <w:sz w:val="24"/>
        </w:rPr>
        <w:footnoteReference w:id="156"/>
      </w:r>
      <w:r w:rsidRPr="007E5957">
        <w:rPr>
          <w:rFonts w:ascii="Times New Roman" w:hAnsi="Times New Roman"/>
        </w:rPr>
        <w:t xml:space="preserve"> The respondent seeks similar declaratory relief at the final hearing of these proceedings in relation to his alleged requests for the exercise of various non</w:t>
      </w:r>
      <w:r w:rsidRPr="007E5957">
        <w:rPr>
          <w:rFonts w:ascii="Times New Roman" w:hAnsi="Times New Roman"/>
        </w:rPr>
        <w:noBreakHyphen/>
        <w:t>compellable powers. The primary judge's finding that the respondent has an arguable (or at least prima facie) case for doing so in relation to s 195A was not disputed on this appeal.</w:t>
      </w:r>
    </w:p>
    <w:p w14:paraId="3D73604A" w14:textId="77777777" w:rsidR="004C0687" w:rsidRPr="007E5957" w:rsidRDefault="004C0687" w:rsidP="00D412C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Non-compellable powers, detention and removal</w:t>
      </w:r>
    </w:p>
    <w:p w14:paraId="0E41CDA7"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Of present significance is the interrelationship between the treatment of a request for the exercise of the power conferred by s 195A and the obligations imposed by ss 189 and 198(6) to detain and remove an unlawful non</w:t>
      </w:r>
      <w:r w:rsidRPr="007E5957">
        <w:rPr>
          <w:rFonts w:ascii="Times New Roman" w:hAnsi="Times New Roman"/>
        </w:rPr>
        <w:noBreakHyphen/>
        <w:t xml:space="preserve">citizen. In </w:t>
      </w:r>
      <w:r w:rsidRPr="007E5957">
        <w:rPr>
          <w:rFonts w:ascii="Times New Roman" w:hAnsi="Times New Roman"/>
          <w:i/>
          <w:iCs/>
        </w:rPr>
        <w:t>Plaintiff M61/2010E v The Commonwealth</w:t>
      </w:r>
      <w:r w:rsidRPr="007E5957">
        <w:rPr>
          <w:rFonts w:ascii="Times New Roman" w:hAnsi="Times New Roman"/>
        </w:rPr>
        <w:t xml:space="preserve"> this Court held that the making of a </w:t>
      </w:r>
      <w:r w:rsidRPr="007E5957">
        <w:rPr>
          <w:rFonts w:ascii="Times New Roman" w:hAnsi="Times New Roman"/>
        </w:rPr>
        <w:lastRenderedPageBreak/>
        <w:t>procedural decision under s 195A in that case meant that the obligation to remove an unlawful non</w:t>
      </w:r>
      <w:r w:rsidRPr="007E5957">
        <w:rPr>
          <w:rFonts w:ascii="Times New Roman" w:hAnsi="Times New Roman"/>
        </w:rPr>
        <w:noBreakHyphen/>
        <w:t>citizen</w:t>
      </w:r>
      <w:r w:rsidRPr="007E5957" w:rsidDel="00F6571D">
        <w:rPr>
          <w:rFonts w:ascii="Times New Roman" w:hAnsi="Times New Roman"/>
        </w:rPr>
        <w:t xml:space="preserve"> </w:t>
      </w:r>
      <w:r w:rsidRPr="007E5957">
        <w:rPr>
          <w:rFonts w:ascii="Times New Roman" w:hAnsi="Times New Roman"/>
        </w:rPr>
        <w:t xml:space="preserve">as soon as reasonably practicable under s 198(2) was not engaged because "[t]he express reference in s 198(2)(c) to the possibility of making a valid application for a visa </w:t>
      </w:r>
      <w:r w:rsidRPr="007E5957">
        <w:rPr>
          <w:rFonts w:ascii="Times New Roman" w:hAnsi="Times New Roman"/>
          <w:i/>
          <w:iCs/>
        </w:rPr>
        <w:t>accommodates</w:t>
      </w:r>
      <w:r w:rsidRPr="007E5957">
        <w:rPr>
          <w:rFonts w:ascii="Times New Roman" w:hAnsi="Times New Roman"/>
        </w:rPr>
        <w:t xml:space="preserve"> the consideration of whether to exercise the powers given by ss 46A and 195A" (emphasis added).</w:t>
      </w:r>
      <w:r w:rsidRPr="007E5957">
        <w:rPr>
          <w:rStyle w:val="FootnoteReference"/>
          <w:rFonts w:ascii="Times New Roman" w:hAnsi="Times New Roman"/>
          <w:sz w:val="24"/>
        </w:rPr>
        <w:footnoteReference w:id="157"/>
      </w:r>
      <w:r w:rsidRPr="007E5957">
        <w:rPr>
          <w:rFonts w:ascii="Times New Roman" w:hAnsi="Times New Roman"/>
        </w:rPr>
        <w:t xml:space="preserve"> This "accommodation" was said to be "founded upon the taking of the first step towards the exercise of those statutory powers: the decision to consider their exercise"; </w:t>
      </w:r>
      <w:proofErr w:type="spellStart"/>
      <w:r w:rsidRPr="007E5957">
        <w:rPr>
          <w:rFonts w:ascii="Times New Roman" w:hAnsi="Times New Roman"/>
        </w:rPr>
        <w:t>ie</w:t>
      </w:r>
      <w:proofErr w:type="spellEnd"/>
      <w:r w:rsidRPr="007E5957">
        <w:rPr>
          <w:rFonts w:ascii="Times New Roman" w:hAnsi="Times New Roman"/>
        </w:rPr>
        <w:t>, a procedural decision.</w:t>
      </w:r>
      <w:r w:rsidRPr="007E5957">
        <w:rPr>
          <w:rStyle w:val="FootnoteReference"/>
          <w:rFonts w:ascii="Times New Roman" w:hAnsi="Times New Roman"/>
          <w:sz w:val="24"/>
        </w:rPr>
        <w:footnoteReference w:id="158"/>
      </w:r>
      <w:r w:rsidRPr="007E5957">
        <w:rPr>
          <w:rFonts w:ascii="Times New Roman" w:hAnsi="Times New Roman"/>
        </w:rPr>
        <w:t xml:space="preserve"> For the purposes of this appeal, ss 198(2) and 198(6) are indistinguishable. Both sub</w:t>
      </w:r>
      <w:r w:rsidRPr="007E5957">
        <w:rPr>
          <w:rFonts w:ascii="Times New Roman" w:hAnsi="Times New Roman"/>
        </w:rPr>
        <w:noBreakHyphen/>
        <w:t>sections expressly refer to the possibility of making a valid application for a visa as an event that precludes the obligation to remove an unlawful non</w:t>
      </w:r>
      <w:r w:rsidRPr="007E5957">
        <w:rPr>
          <w:rFonts w:ascii="Times New Roman" w:hAnsi="Times New Roman"/>
        </w:rPr>
        <w:noBreakHyphen/>
        <w:t>citizen from being engaged.</w:t>
      </w:r>
      <w:r w:rsidRPr="007E5957">
        <w:rPr>
          <w:rStyle w:val="FootnoteReference"/>
          <w:rFonts w:ascii="Times New Roman" w:hAnsi="Times New Roman"/>
          <w:sz w:val="24"/>
        </w:rPr>
        <w:footnoteReference w:id="159"/>
      </w:r>
      <w:r w:rsidRPr="007E5957">
        <w:rPr>
          <w:rFonts w:ascii="Times New Roman" w:hAnsi="Times New Roman"/>
        </w:rPr>
        <w:t xml:space="preserve"> </w:t>
      </w:r>
    </w:p>
    <w:p w14:paraId="0D7B402F"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In </w:t>
      </w:r>
      <w:r w:rsidRPr="007E5957">
        <w:rPr>
          <w:rFonts w:ascii="Times New Roman" w:hAnsi="Times New Roman"/>
          <w:i/>
          <w:iCs/>
        </w:rPr>
        <w:t>Plaintiff M61/2010E</w:t>
      </w:r>
      <w:r w:rsidRPr="007E5957">
        <w:rPr>
          <w:rFonts w:ascii="Times New Roman" w:hAnsi="Times New Roman"/>
        </w:rPr>
        <w:t xml:space="preserve"> this Court rejected a submission by the Commonwealth that the continuation of a non</w:t>
      </w:r>
      <w:r w:rsidRPr="007E5957">
        <w:rPr>
          <w:rFonts w:ascii="Times New Roman" w:hAnsi="Times New Roman"/>
        </w:rPr>
        <w:noBreakHyphen/>
        <w:t xml:space="preserve">citizen's detention was permitted "while the officer detaining the person awaited the </w:t>
      </w:r>
      <w:r w:rsidRPr="007E5957">
        <w:rPr>
          <w:rFonts w:ascii="Times New Roman" w:hAnsi="Times New Roman"/>
          <w:i/>
          <w:iCs/>
        </w:rPr>
        <w:t>possibility</w:t>
      </w:r>
      <w:r w:rsidRPr="007E5957">
        <w:rPr>
          <w:rFonts w:ascii="Times New Roman" w:hAnsi="Times New Roman"/>
        </w:rPr>
        <w:t xml:space="preserve"> of the exercise of power under either s 46A or s 195A" (emphasis in original); </w:t>
      </w:r>
      <w:proofErr w:type="spellStart"/>
      <w:r w:rsidRPr="007E5957">
        <w:rPr>
          <w:rFonts w:ascii="Times New Roman" w:hAnsi="Times New Roman"/>
        </w:rPr>
        <w:t>ie</w:t>
      </w:r>
      <w:proofErr w:type="spellEnd"/>
      <w:r w:rsidRPr="007E5957">
        <w:rPr>
          <w:rFonts w:ascii="Times New Roman" w:hAnsi="Times New Roman"/>
        </w:rPr>
        <w:t>, prior to the making of a procedural decision.</w:t>
      </w:r>
      <w:r w:rsidRPr="007E5957">
        <w:rPr>
          <w:rStyle w:val="FootnoteReference"/>
          <w:rFonts w:ascii="Times New Roman" w:hAnsi="Times New Roman"/>
          <w:sz w:val="24"/>
        </w:rPr>
        <w:footnoteReference w:id="160"/>
      </w:r>
      <w:r w:rsidRPr="007E5957">
        <w:rPr>
          <w:rFonts w:ascii="Times New Roman" w:hAnsi="Times New Roman"/>
        </w:rPr>
        <w:t xml:space="preserve"> The Commonwealth's submission was rejected because its acceptance would have left the period of detention wholly within the control of the Executive and subject to the vagaries of predicting the likelihood of the exercise of a non-compellable power by the Minister.</w:t>
      </w:r>
      <w:r w:rsidRPr="007E5957">
        <w:rPr>
          <w:rStyle w:val="FootnoteReference"/>
          <w:rFonts w:ascii="Times New Roman" w:hAnsi="Times New Roman"/>
          <w:sz w:val="24"/>
        </w:rPr>
        <w:footnoteReference w:id="161"/>
      </w:r>
      <w:r w:rsidRPr="007E5957">
        <w:rPr>
          <w:rFonts w:ascii="Times New Roman" w:hAnsi="Times New Roman"/>
        </w:rPr>
        <w:t xml:space="preserve"> </w:t>
      </w:r>
    </w:p>
    <w:p w14:paraId="4C5A0D9C"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In contrast, </w:t>
      </w:r>
      <w:r w:rsidRPr="007E5957">
        <w:rPr>
          <w:rFonts w:ascii="Times New Roman" w:hAnsi="Times New Roman"/>
          <w:i/>
          <w:iCs/>
        </w:rPr>
        <w:t>Plaintiff S4/2014 v Minister for Immigration and Border Protection</w:t>
      </w:r>
      <w:r w:rsidRPr="007E5957">
        <w:rPr>
          <w:rFonts w:ascii="Times New Roman" w:hAnsi="Times New Roman"/>
        </w:rPr>
        <w:t xml:space="preserve"> held that, when a procedural decision is made to consider making a substantive decision under s 195A, the purpose of the detention moves from facilitating the removal of the non</w:t>
      </w:r>
      <w:r w:rsidRPr="007E5957">
        <w:rPr>
          <w:rFonts w:ascii="Times New Roman" w:hAnsi="Times New Roman"/>
        </w:rPr>
        <w:noBreakHyphen/>
        <w:t>citizen from Australia to determining whether to exercise the power to grant the visa (including making inquiries to that end) and thereafter, depending on the outcome of that decision, their removal from Australia.</w:t>
      </w:r>
      <w:r w:rsidRPr="007E5957">
        <w:rPr>
          <w:rStyle w:val="FootnoteReference"/>
          <w:rFonts w:ascii="Times New Roman" w:hAnsi="Times New Roman"/>
          <w:sz w:val="24"/>
        </w:rPr>
        <w:footnoteReference w:id="162"/>
      </w:r>
      <w:r w:rsidRPr="007E5957">
        <w:rPr>
          <w:rFonts w:ascii="Times New Roman" w:hAnsi="Times New Roman"/>
        </w:rPr>
        <w:t xml:space="preserve"> That statement is consistent with later decisions of this Court concerning the proper purpose of immigration detention.</w:t>
      </w:r>
      <w:r w:rsidRPr="007E5957">
        <w:rPr>
          <w:rStyle w:val="FootnoteReference"/>
          <w:rFonts w:ascii="Times New Roman" w:hAnsi="Times New Roman"/>
          <w:sz w:val="24"/>
        </w:rPr>
        <w:footnoteReference w:id="163"/>
      </w:r>
      <w:r w:rsidRPr="007E5957">
        <w:rPr>
          <w:rFonts w:ascii="Times New Roman" w:hAnsi="Times New Roman"/>
        </w:rPr>
        <w:t xml:space="preserve"> Further, even though </w:t>
      </w:r>
      <w:r w:rsidRPr="007E5957">
        <w:rPr>
          <w:rFonts w:ascii="Times New Roman" w:hAnsi="Times New Roman"/>
        </w:rPr>
        <w:lastRenderedPageBreak/>
        <w:t>the Minister cannot be compelled to make a decision under s 195A,</w:t>
      </w:r>
      <w:r w:rsidRPr="007E5957">
        <w:rPr>
          <w:rStyle w:val="FootnoteReference"/>
          <w:rFonts w:ascii="Times New Roman" w:hAnsi="Times New Roman"/>
          <w:sz w:val="24"/>
        </w:rPr>
        <w:footnoteReference w:id="164"/>
      </w:r>
      <w:r w:rsidRPr="007E5957">
        <w:rPr>
          <w:rFonts w:ascii="Times New Roman" w:hAnsi="Times New Roman"/>
        </w:rPr>
        <w:t xml:space="preserve"> the purpose must be pursued and carried into effect as soon as reasonably practicable,</w:t>
      </w:r>
      <w:r w:rsidRPr="007E5957">
        <w:rPr>
          <w:rStyle w:val="FootnoteReference"/>
          <w:rFonts w:ascii="Times New Roman" w:hAnsi="Times New Roman"/>
          <w:sz w:val="24"/>
        </w:rPr>
        <w:footnoteReference w:id="165"/>
      </w:r>
      <w:r w:rsidRPr="007E5957">
        <w:rPr>
          <w:rFonts w:ascii="Times New Roman" w:hAnsi="Times New Roman"/>
        </w:rPr>
        <w:t xml:space="preserve"> otherwise the detention will be unlawful.</w:t>
      </w:r>
      <w:r w:rsidRPr="007E5957">
        <w:rPr>
          <w:rStyle w:val="FootnoteReference"/>
          <w:rFonts w:ascii="Times New Roman" w:hAnsi="Times New Roman"/>
          <w:sz w:val="24"/>
        </w:rPr>
        <w:footnoteReference w:id="166"/>
      </w:r>
      <w:r w:rsidRPr="007E5957">
        <w:rPr>
          <w:rFonts w:ascii="Times New Roman" w:hAnsi="Times New Roman"/>
        </w:rPr>
        <w:t xml:space="preserve"> This reflects a construction of the </w:t>
      </w:r>
      <w:r w:rsidRPr="007E5957">
        <w:rPr>
          <w:rFonts w:ascii="Times New Roman" w:hAnsi="Times New Roman"/>
          <w:i/>
          <w:iCs/>
        </w:rPr>
        <w:t>Migration Act</w:t>
      </w:r>
      <w:r w:rsidRPr="007E5957">
        <w:rPr>
          <w:rFonts w:ascii="Times New Roman" w:hAnsi="Times New Roman"/>
        </w:rPr>
        <w:t xml:space="preserve"> whereby s 198(6) as the source of the obligation to remove the non</w:t>
      </w:r>
      <w:r w:rsidRPr="007E5957">
        <w:rPr>
          <w:rFonts w:ascii="Times New Roman" w:hAnsi="Times New Roman"/>
        </w:rPr>
        <w:noBreakHyphen/>
        <w:t>citizen as soon as reasonably practicable is the "leading provision" to which a provision such as s 195A, being only applicable to non</w:t>
      </w:r>
      <w:r w:rsidRPr="007E5957">
        <w:rPr>
          <w:rFonts w:ascii="Times New Roman" w:hAnsi="Times New Roman"/>
        </w:rPr>
        <w:noBreakHyphen/>
        <w:t>citizens who are in detention, is subordinated.</w:t>
      </w:r>
      <w:r w:rsidRPr="007E5957">
        <w:rPr>
          <w:rStyle w:val="FootnoteReference"/>
          <w:rFonts w:ascii="Times New Roman" w:hAnsi="Times New Roman"/>
          <w:sz w:val="24"/>
        </w:rPr>
        <w:footnoteReference w:id="167"/>
      </w:r>
      <w:r w:rsidRPr="007E5957">
        <w:rPr>
          <w:rFonts w:ascii="Times New Roman" w:hAnsi="Times New Roman"/>
        </w:rPr>
        <w:t xml:space="preserve"> </w:t>
      </w:r>
    </w:p>
    <w:p w14:paraId="35C8FEE7" w14:textId="77777777" w:rsidR="004C0687" w:rsidRPr="007E5957" w:rsidRDefault="004C0687" w:rsidP="00D412C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Removal is not a decision not to consider</w:t>
      </w:r>
    </w:p>
    <w:p w14:paraId="7AE7A69A"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respondent contended that, if an officer removed an unlawful non</w:t>
      </w:r>
      <w:r w:rsidRPr="007E5957">
        <w:rPr>
          <w:rFonts w:ascii="Times New Roman" w:hAnsi="Times New Roman"/>
        </w:rPr>
        <w:noBreakHyphen/>
        <w:t>citizen when the Department had not completed its consideration of whether to bring a request for the exercise of a non</w:t>
      </w:r>
      <w:r w:rsidRPr="007E5957">
        <w:rPr>
          <w:rFonts w:ascii="Times New Roman" w:hAnsi="Times New Roman"/>
        </w:rPr>
        <w:noBreakHyphen/>
        <w:t xml:space="preserve">compellable power to the Minister's attention in a lawful manner, that would involve the officer (improperly) "making the procedural decision not to consider the person's case", similar to what occurred in </w:t>
      </w:r>
      <w:r w:rsidRPr="007E5957">
        <w:rPr>
          <w:rFonts w:ascii="Times New Roman" w:hAnsi="Times New Roman"/>
          <w:i/>
          <w:iCs/>
        </w:rPr>
        <w:t>Davis</w:t>
      </w:r>
      <w:r w:rsidRPr="007E5957">
        <w:rPr>
          <w:rFonts w:ascii="Times New Roman" w:hAnsi="Times New Roman"/>
        </w:rPr>
        <w:t>. However, in removing an unlawful non</w:t>
      </w:r>
      <w:r w:rsidRPr="007E5957">
        <w:rPr>
          <w:rFonts w:ascii="Times New Roman" w:hAnsi="Times New Roman"/>
        </w:rPr>
        <w:noBreakHyphen/>
        <w:t xml:space="preserve">citizen pursuant to s 198(6), officers do not make or purport to make any of the types of "decisions" of the kind referred to in </w:t>
      </w:r>
      <w:r w:rsidRPr="007E5957">
        <w:rPr>
          <w:rFonts w:ascii="Times New Roman" w:hAnsi="Times New Roman"/>
          <w:i/>
          <w:iCs/>
        </w:rPr>
        <w:t>Davis</w:t>
      </w:r>
      <w:r w:rsidRPr="007E5957">
        <w:rPr>
          <w:rFonts w:ascii="Times New Roman" w:hAnsi="Times New Roman"/>
        </w:rPr>
        <w:t xml:space="preserve"> (even if they might constitute a "privative clause decision" within the meaning of s 474(2)).</w:t>
      </w:r>
      <w:r w:rsidRPr="007E5957">
        <w:rPr>
          <w:rStyle w:val="FootnoteReference"/>
          <w:rFonts w:ascii="Times New Roman" w:hAnsi="Times New Roman"/>
          <w:sz w:val="24"/>
        </w:rPr>
        <w:footnoteReference w:id="168"/>
      </w:r>
      <w:r w:rsidRPr="007E5957">
        <w:rPr>
          <w:rFonts w:ascii="Times New Roman" w:hAnsi="Times New Roman"/>
        </w:rPr>
        <w:t xml:space="preserve"> Instead, officers perform a lawful obligation imposed on them by the </w:t>
      </w:r>
      <w:r w:rsidRPr="007E5957">
        <w:rPr>
          <w:rFonts w:ascii="Times New Roman" w:hAnsi="Times New Roman"/>
          <w:i/>
          <w:iCs/>
        </w:rPr>
        <w:t>Migration Act</w:t>
      </w:r>
      <w:r w:rsidRPr="007E5957">
        <w:rPr>
          <w:rFonts w:ascii="Times New Roman" w:hAnsi="Times New Roman"/>
        </w:rPr>
        <w:t xml:space="preserve">. Giving effect to the obligation imposed by the "leading provision" in s 198(6) does not constitute making or purporting to make any form of decision under a subordinate provision such as s 195A. </w:t>
      </w:r>
    </w:p>
    <w:p w14:paraId="23EF551D" w14:textId="77777777" w:rsidR="004C0687" w:rsidRPr="007E5957" w:rsidRDefault="004C0687" w:rsidP="00D412C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A request does not postpone removal</w:t>
      </w:r>
    </w:p>
    <w:p w14:paraId="2FA0F40E"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balance of the submissions in support of the first ground of the respondent's further amended notice of contention did not depend on whether a request for the Minister's intervention had been lawfully dealt with by the Department. Instead, the respondent contended that the words "as soon as reasonably practicable" in s 198(6) "do not permit or require an officer to remove an unlawful non</w:t>
      </w:r>
      <w:r w:rsidRPr="007E5957">
        <w:rPr>
          <w:rFonts w:ascii="Times New Roman" w:hAnsi="Times New Roman"/>
        </w:rPr>
        <w:noBreakHyphen/>
        <w:t>citizen where they have requested the Minister to exercise a personal non</w:t>
      </w:r>
      <w:r w:rsidRPr="007E5957">
        <w:rPr>
          <w:rFonts w:ascii="Times New Roman" w:hAnsi="Times New Roman"/>
        </w:rPr>
        <w:noBreakHyphen/>
        <w:t xml:space="preserve">compellable power in their favour and the request has not been brought to the Minister's attention". Even though there has been no finding that a procedural decision (either favourable or adverse) has been made in respect of the respondent's requests, the respondent submitted that his case was on a </w:t>
      </w:r>
      <w:r w:rsidRPr="007E5957">
        <w:rPr>
          <w:rFonts w:ascii="Times New Roman" w:hAnsi="Times New Roman"/>
        </w:rPr>
        <w:lastRenderedPageBreak/>
        <w:t xml:space="preserve">"conceptually similar footing" to </w:t>
      </w:r>
      <w:r w:rsidRPr="007E5957">
        <w:rPr>
          <w:rFonts w:ascii="Times New Roman" w:hAnsi="Times New Roman"/>
          <w:i/>
          <w:iCs/>
        </w:rPr>
        <w:t>Plaintiff M61/2010E</w:t>
      </w:r>
      <w:r w:rsidRPr="007E5957">
        <w:rPr>
          <w:rFonts w:ascii="Times New Roman" w:hAnsi="Times New Roman"/>
        </w:rPr>
        <w:t xml:space="preserve"> and </w:t>
      </w:r>
      <w:r w:rsidRPr="007E5957">
        <w:rPr>
          <w:rFonts w:ascii="Times New Roman" w:hAnsi="Times New Roman"/>
          <w:i/>
          <w:iCs/>
        </w:rPr>
        <w:t>Minister for Immigration and Border Protection v SZSSJ</w:t>
      </w:r>
      <w:r w:rsidRPr="007E5957">
        <w:rPr>
          <w:rFonts w:ascii="Times New Roman" w:hAnsi="Times New Roman"/>
        </w:rPr>
        <w:t>.</w:t>
      </w:r>
      <w:r w:rsidRPr="007E5957">
        <w:rPr>
          <w:rStyle w:val="FootnoteReference"/>
          <w:rFonts w:ascii="Times New Roman" w:hAnsi="Times New Roman"/>
          <w:sz w:val="24"/>
        </w:rPr>
        <w:footnoteReference w:id="169"/>
      </w:r>
      <w:r w:rsidRPr="007E5957">
        <w:rPr>
          <w:rFonts w:ascii="Times New Roman" w:hAnsi="Times New Roman"/>
        </w:rPr>
        <w:t xml:space="preserve"> </w:t>
      </w:r>
    </w:p>
    <w:p w14:paraId="4CBF919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There was debate as to whether the "accommodation" referred to in </w:t>
      </w:r>
      <w:r w:rsidRPr="007E5957">
        <w:rPr>
          <w:rFonts w:ascii="Times New Roman" w:hAnsi="Times New Roman"/>
          <w:i/>
          <w:iCs/>
        </w:rPr>
        <w:t>Plaintiff M61/2010E</w:t>
      </w:r>
      <w:r w:rsidRPr="007E5957">
        <w:rPr>
          <w:rStyle w:val="FootnoteReference"/>
          <w:rFonts w:ascii="Times New Roman" w:hAnsi="Times New Roman"/>
          <w:sz w:val="24"/>
        </w:rPr>
        <w:footnoteReference w:id="170"/>
      </w:r>
      <w:r w:rsidRPr="007E5957">
        <w:rPr>
          <w:rFonts w:ascii="Times New Roman" w:hAnsi="Times New Roman"/>
        </w:rPr>
        <w:t xml:space="preserve"> was sourced in the words "as soon as reasonably practicable" or whether there was an implied exception to ss 198(2) and 198(6) such that the duty to remove is suspended, postponed or deferred once a procedural decision is made to consider the exercise of the relevant non</w:t>
      </w:r>
      <w:r w:rsidRPr="007E5957">
        <w:rPr>
          <w:rFonts w:ascii="Times New Roman" w:hAnsi="Times New Roman"/>
        </w:rPr>
        <w:noBreakHyphen/>
        <w:t>compellable power. The respondent submitted that it was the former. The appellants and the Attorney-General contended that the better view was the latter.</w:t>
      </w:r>
      <w:r w:rsidRPr="007E5957">
        <w:rPr>
          <w:rFonts w:ascii="Times New Roman" w:hAnsi="Times New Roman"/>
          <w:b/>
          <w:bCs/>
        </w:rPr>
        <w:t xml:space="preserve"> </w:t>
      </w:r>
    </w:p>
    <w:p w14:paraId="6C41BCF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It is not necessary to determine the basis for the "accommodation" referred to in </w:t>
      </w:r>
      <w:r w:rsidRPr="007E5957">
        <w:rPr>
          <w:rFonts w:ascii="Times New Roman" w:hAnsi="Times New Roman"/>
          <w:i/>
          <w:iCs/>
        </w:rPr>
        <w:t>Plaintiff M61/2010E</w:t>
      </w:r>
      <w:r w:rsidRPr="007E5957">
        <w:rPr>
          <w:rFonts w:ascii="Times New Roman" w:hAnsi="Times New Roman"/>
        </w:rPr>
        <w:t>. Irrespective of the precise basis for that accommodation, so far as removal and detention are concerned there are important differences between unlawful non-citizens who have the benefit of a procedural decision to exercise a non-compellable power such as s 195A and those who do not. Those who have the benefit of such a decision cannot be removed under s 198(6) unless or until the Minister has made a substantive decision that they will not be granted a visa</w:t>
      </w:r>
      <w:r w:rsidRPr="007E5957">
        <w:rPr>
          <w:rStyle w:val="FootnoteReference"/>
          <w:rFonts w:ascii="Times New Roman" w:hAnsi="Times New Roman"/>
          <w:sz w:val="24"/>
        </w:rPr>
        <w:footnoteReference w:id="171"/>
      </w:r>
      <w:r w:rsidRPr="007E5957">
        <w:rPr>
          <w:rFonts w:ascii="Times New Roman" w:hAnsi="Times New Roman"/>
        </w:rPr>
        <w:t xml:space="preserve"> and the processing necessary to make such a decision must be undertaken as soon as reasonably practicable because otherwise their detention will be unlawful.</w:t>
      </w:r>
      <w:r w:rsidRPr="007E5957">
        <w:rPr>
          <w:rStyle w:val="FootnoteReference"/>
          <w:rFonts w:ascii="Times New Roman" w:hAnsi="Times New Roman"/>
          <w:sz w:val="24"/>
        </w:rPr>
        <w:footnoteReference w:id="172"/>
      </w:r>
      <w:r w:rsidRPr="007E5957">
        <w:rPr>
          <w:rFonts w:ascii="Times New Roman" w:hAnsi="Times New Roman"/>
        </w:rPr>
        <w:t xml:space="preserve"> Accordingly, those non</w:t>
      </w:r>
      <w:r w:rsidRPr="007E5957">
        <w:rPr>
          <w:rFonts w:ascii="Times New Roman" w:hAnsi="Times New Roman"/>
        </w:rPr>
        <w:noBreakHyphen/>
        <w:t>citizens do not face the prospect of a period of detention within the exclusive control of the Executive which is subject to uncertain prognostications about when and whether a power will be exercised in their favour.</w:t>
      </w:r>
      <w:r w:rsidRPr="007E5957">
        <w:rPr>
          <w:rStyle w:val="FootnoteReference"/>
          <w:rFonts w:ascii="Times New Roman" w:hAnsi="Times New Roman"/>
          <w:sz w:val="24"/>
        </w:rPr>
        <w:footnoteReference w:id="173"/>
      </w:r>
      <w:r w:rsidRPr="007E5957">
        <w:rPr>
          <w:rFonts w:ascii="Times New Roman" w:hAnsi="Times New Roman"/>
        </w:rPr>
        <w:t xml:space="preserve"> </w:t>
      </w:r>
    </w:p>
    <w:p w14:paraId="30FAA7B8"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position is different for those unlawful non</w:t>
      </w:r>
      <w:r w:rsidRPr="007E5957">
        <w:rPr>
          <w:rFonts w:ascii="Times New Roman" w:hAnsi="Times New Roman"/>
        </w:rPr>
        <w:noBreakHyphen/>
        <w:t>citizens who do not have the benefit of a procedural decision to exercise a non</w:t>
      </w:r>
      <w:r w:rsidRPr="007E5957">
        <w:rPr>
          <w:rFonts w:ascii="Times New Roman" w:hAnsi="Times New Roman"/>
        </w:rPr>
        <w:noBreakHyphen/>
        <w:t>compellable power such as the power in s 195A. Given that there is no obligation on the Minister to consider any request for the exercise of the power under s 195A, to make the obligation to remove such an unlawful non</w:t>
      </w:r>
      <w:r w:rsidRPr="007E5957">
        <w:rPr>
          <w:rFonts w:ascii="Times New Roman" w:hAnsi="Times New Roman"/>
        </w:rPr>
        <w:noBreakHyphen/>
        <w:t xml:space="preserve">citizen under s 198(6) contingent on there being no "outstanding" request would result in the duration of the suspension of their removal, and hence the duration of their detention, being within the exclusive control of the Executive and dependent on prognostications about the possibility that the power might be exercised in their favour. Such a construction was rejected </w:t>
      </w:r>
      <w:r w:rsidRPr="007E5957">
        <w:rPr>
          <w:rFonts w:ascii="Times New Roman" w:hAnsi="Times New Roman"/>
        </w:rPr>
        <w:lastRenderedPageBreak/>
        <w:t xml:space="preserve">in </w:t>
      </w:r>
      <w:r w:rsidRPr="007E5957">
        <w:rPr>
          <w:rFonts w:ascii="Times New Roman" w:hAnsi="Times New Roman"/>
          <w:i/>
          <w:iCs/>
        </w:rPr>
        <w:t>Plaintiff M61/2010E.</w:t>
      </w:r>
      <w:r w:rsidRPr="007E5957">
        <w:rPr>
          <w:rStyle w:val="FootnoteReference"/>
          <w:rFonts w:ascii="Times New Roman" w:hAnsi="Times New Roman"/>
          <w:sz w:val="24"/>
        </w:rPr>
        <w:footnoteReference w:id="174"/>
      </w:r>
      <w:r w:rsidRPr="007E5957" w:rsidDel="00517AAE">
        <w:rPr>
          <w:rFonts w:ascii="Times New Roman" w:hAnsi="Times New Roman"/>
        </w:rPr>
        <w:t xml:space="preserve"> </w:t>
      </w:r>
      <w:r w:rsidRPr="007E5957">
        <w:rPr>
          <w:rFonts w:ascii="Times New Roman" w:hAnsi="Times New Roman"/>
        </w:rPr>
        <w:t>It would subordinate s 198(6) to s 195A</w:t>
      </w:r>
      <w:r w:rsidRPr="007E5957">
        <w:rPr>
          <w:rStyle w:val="FootnoteReference"/>
          <w:rFonts w:ascii="Times New Roman" w:hAnsi="Times New Roman"/>
          <w:sz w:val="24"/>
        </w:rPr>
        <w:footnoteReference w:id="175"/>
      </w:r>
      <w:r w:rsidRPr="007E5957">
        <w:rPr>
          <w:rFonts w:ascii="Times New Roman" w:hAnsi="Times New Roman"/>
        </w:rPr>
        <w:t xml:space="preserve"> and mean that the period of detention for those unlawful non</w:t>
      </w:r>
      <w:r w:rsidRPr="007E5957">
        <w:rPr>
          <w:rFonts w:ascii="Times New Roman" w:hAnsi="Times New Roman"/>
        </w:rPr>
        <w:noBreakHyphen/>
        <w:t>citizens is no longer hedged by any obligation to remove the non</w:t>
      </w:r>
      <w:r w:rsidRPr="007E5957">
        <w:rPr>
          <w:rFonts w:ascii="Times New Roman" w:hAnsi="Times New Roman"/>
        </w:rPr>
        <w:noBreakHyphen/>
        <w:t>citizen or permit their entry.</w:t>
      </w:r>
      <w:r w:rsidRPr="007E5957">
        <w:rPr>
          <w:rStyle w:val="FootnoteReference"/>
          <w:rFonts w:ascii="Times New Roman" w:hAnsi="Times New Roman"/>
          <w:sz w:val="24"/>
        </w:rPr>
        <w:footnoteReference w:id="176"/>
      </w:r>
      <w:r w:rsidRPr="007E5957">
        <w:rPr>
          <w:rFonts w:ascii="Times New Roman" w:hAnsi="Times New Roman"/>
        </w:rPr>
        <w:t xml:space="preserve"> </w:t>
      </w:r>
    </w:p>
    <w:p w14:paraId="1B0117FC"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A request for the exercise of s 195A need not be made by, or even on behalf of, the unlawful non</w:t>
      </w:r>
      <w:r w:rsidRPr="007E5957">
        <w:rPr>
          <w:rFonts w:ascii="Times New Roman" w:hAnsi="Times New Roman"/>
        </w:rPr>
        <w:noBreakHyphen/>
        <w:t>citizen concerned and could be made in relation to all unlawful non</w:t>
      </w:r>
      <w:r w:rsidRPr="007E5957">
        <w:rPr>
          <w:rFonts w:ascii="Times New Roman" w:hAnsi="Times New Roman"/>
        </w:rPr>
        <w:noBreakHyphen/>
        <w:t>citizens in immigration detention. According to the respondent, the mere making of any such request would suspend the obligation to remove and prolong the detention of the unlawful non</w:t>
      </w:r>
      <w:r w:rsidRPr="007E5957">
        <w:rPr>
          <w:rFonts w:ascii="Times New Roman" w:hAnsi="Times New Roman"/>
        </w:rPr>
        <w:noBreakHyphen/>
        <w:t xml:space="preserve">citizen no matter when, or by whom, the request was made. Such an outcome would cause chaos in the administration of the </w:t>
      </w:r>
      <w:r w:rsidRPr="007E5957">
        <w:rPr>
          <w:rFonts w:ascii="Times New Roman" w:hAnsi="Times New Roman"/>
          <w:i/>
          <w:iCs/>
        </w:rPr>
        <w:t>Migration Act</w:t>
      </w:r>
      <w:r w:rsidRPr="007E5957">
        <w:rPr>
          <w:rFonts w:ascii="Times New Roman" w:hAnsi="Times New Roman"/>
        </w:rPr>
        <w:t xml:space="preserve">. </w:t>
      </w:r>
    </w:p>
    <w:p w14:paraId="1401E5B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This ground of the respondent's further amended notice of contention must be rejected. The obligation to remove an unlawful non</w:t>
      </w:r>
      <w:r w:rsidRPr="007E5957">
        <w:rPr>
          <w:rFonts w:ascii="Times New Roman" w:hAnsi="Times New Roman"/>
        </w:rPr>
        <w:noBreakHyphen/>
        <w:t>citizen is not suspended by the mere making of a request for the exercise of a non</w:t>
      </w:r>
      <w:r w:rsidRPr="007E5957">
        <w:rPr>
          <w:rFonts w:ascii="Times New Roman" w:hAnsi="Times New Roman"/>
        </w:rPr>
        <w:noBreakHyphen/>
        <w:t>compellable power.</w:t>
      </w:r>
      <w:r w:rsidRPr="007E5957">
        <w:rPr>
          <w:rStyle w:val="FootnoteReference"/>
          <w:rFonts w:ascii="Times New Roman" w:hAnsi="Times New Roman"/>
          <w:sz w:val="24"/>
        </w:rPr>
        <w:footnoteReference w:id="177"/>
      </w:r>
      <w:r w:rsidRPr="007E5957">
        <w:rPr>
          <w:rFonts w:ascii="Times New Roman" w:hAnsi="Times New Roman"/>
        </w:rPr>
        <w:t xml:space="preserve"> The balance of the appeal must be addressed on the basis that was litigated before the primary judge and the Full Court, namely that there was no challenge to the existence of the obligation to remove the respondent and any final declaratory relief granted in the proceedings would not remove or suspend that obligation either. </w:t>
      </w:r>
    </w:p>
    <w:p w14:paraId="27D6FFD7" w14:textId="77777777" w:rsidR="004C0687" w:rsidRPr="007E5957" w:rsidRDefault="004C0687" w:rsidP="007E5957">
      <w:pPr>
        <w:pStyle w:val="HeadingL1"/>
        <w:spacing w:after="260" w:line="280" w:lineRule="exact"/>
        <w:ind w:right="0"/>
        <w:jc w:val="both"/>
        <w:rPr>
          <w:rFonts w:ascii="Times New Roman" w:hAnsi="Times New Roman"/>
        </w:rPr>
      </w:pPr>
      <w:r w:rsidRPr="007E5957">
        <w:rPr>
          <w:rFonts w:ascii="Times New Roman" w:hAnsi="Times New Roman"/>
        </w:rPr>
        <w:t>Scope of the power to grant an interlocutory injunction</w:t>
      </w:r>
    </w:p>
    <w:p w14:paraId="7E21AAD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The jurisdiction of the Federal Court to hear the respondent's proceedings was said to derive from s 39B(1) of the </w:t>
      </w:r>
      <w:r w:rsidRPr="007E5957">
        <w:rPr>
          <w:rFonts w:ascii="Times New Roman" w:hAnsi="Times New Roman"/>
          <w:i/>
          <w:iCs/>
        </w:rPr>
        <w:t>Judiciary Act 1903</w:t>
      </w:r>
      <w:r w:rsidRPr="007E5957">
        <w:rPr>
          <w:rFonts w:ascii="Times New Roman" w:hAnsi="Times New Roman"/>
        </w:rPr>
        <w:t xml:space="preserve"> (</w:t>
      </w:r>
      <w:proofErr w:type="spellStart"/>
      <w:r w:rsidRPr="007E5957">
        <w:rPr>
          <w:rFonts w:ascii="Times New Roman" w:hAnsi="Times New Roman"/>
        </w:rPr>
        <w:t>Cth</w:t>
      </w:r>
      <w:proofErr w:type="spellEnd"/>
      <w:r w:rsidRPr="007E5957">
        <w:rPr>
          <w:rFonts w:ascii="Times New Roman" w:hAnsi="Times New Roman"/>
        </w:rPr>
        <w:t>) in that the respondent's initiating process sought a writ of mandamus and an injunction against officers of the Commonwealth.</w:t>
      </w:r>
      <w:r w:rsidRPr="007E5957">
        <w:rPr>
          <w:rStyle w:val="FootnoteReference"/>
          <w:rFonts w:ascii="Times New Roman" w:hAnsi="Times New Roman"/>
          <w:sz w:val="24"/>
        </w:rPr>
        <w:footnoteReference w:id="178"/>
      </w:r>
      <w:r w:rsidRPr="007E5957">
        <w:rPr>
          <w:rFonts w:ascii="Times New Roman" w:hAnsi="Times New Roman"/>
        </w:rPr>
        <w:t xml:space="preserve"> </w:t>
      </w:r>
    </w:p>
    <w:p w14:paraId="6CA36B0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Section 22 of the </w:t>
      </w:r>
      <w:r w:rsidRPr="007E5957">
        <w:rPr>
          <w:rFonts w:ascii="Times New Roman" w:hAnsi="Times New Roman"/>
          <w:i/>
          <w:iCs/>
        </w:rPr>
        <w:t>Federal Court of Australia Act 1976</w:t>
      </w:r>
      <w:r w:rsidRPr="007E5957">
        <w:rPr>
          <w:rFonts w:ascii="Times New Roman" w:hAnsi="Times New Roman"/>
        </w:rPr>
        <w:t> (</w:t>
      </w:r>
      <w:proofErr w:type="spellStart"/>
      <w:r w:rsidRPr="007E5957">
        <w:rPr>
          <w:rFonts w:ascii="Times New Roman" w:hAnsi="Times New Roman"/>
        </w:rPr>
        <w:t>Cth</w:t>
      </w:r>
      <w:proofErr w:type="spellEnd"/>
      <w:r w:rsidRPr="007E5957">
        <w:rPr>
          <w:rFonts w:ascii="Times New Roman" w:hAnsi="Times New Roman"/>
        </w:rPr>
        <w:t xml:space="preserve">) confers on the Federal Court power to grant all remedies to which any of the parties before it appears to be entitled in respect of a legal or equitable claim they properly bring </w:t>
      </w:r>
      <w:r w:rsidRPr="007E5957">
        <w:rPr>
          <w:rFonts w:ascii="Times New Roman" w:hAnsi="Times New Roman"/>
        </w:rPr>
        <w:lastRenderedPageBreak/>
        <w:t>forward. Section 23 confers on the Federal Court power in matters in which it has jurisdiction to make such orders as the Court thinks appropriate, including interlocutory orders such as interlocutory injunctions. As a superior court of record and a court of law and equity,</w:t>
      </w:r>
      <w:r w:rsidRPr="007E5957">
        <w:rPr>
          <w:rStyle w:val="FootnoteReference"/>
          <w:rFonts w:ascii="Times New Roman" w:hAnsi="Times New Roman"/>
          <w:sz w:val="24"/>
        </w:rPr>
        <w:footnoteReference w:id="179"/>
      </w:r>
      <w:r w:rsidRPr="007E5957">
        <w:rPr>
          <w:rFonts w:ascii="Times New Roman" w:hAnsi="Times New Roman"/>
        </w:rPr>
        <w:t xml:space="preserve"> the Federal Court also possesses implied powers to make interlocutory orders enabling it to perform its functions as a court, including granting an interlocutory injunction to preserve the subject matter of proceedings and protect the integrity of its own processes.</w:t>
      </w:r>
      <w:r w:rsidRPr="007E5957">
        <w:rPr>
          <w:rStyle w:val="FootnoteReference"/>
          <w:rFonts w:ascii="Times New Roman" w:hAnsi="Times New Roman"/>
          <w:sz w:val="24"/>
        </w:rPr>
        <w:footnoteReference w:id="180"/>
      </w:r>
      <w:r w:rsidRPr="007E5957">
        <w:rPr>
          <w:rFonts w:ascii="Times New Roman" w:hAnsi="Times New Roman"/>
        </w:rPr>
        <w:t xml:space="preserve"> </w:t>
      </w:r>
    </w:p>
    <w:p w14:paraId="544E71B7" w14:textId="77777777" w:rsidR="004C0687" w:rsidRPr="007E5957" w:rsidRDefault="004C0687" w:rsidP="00D412C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Interlocutory injunctions in aid of final relief</w:t>
      </w:r>
    </w:p>
    <w:p w14:paraId="606D68E6"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Traditionally, an interlocutory injunction – that is, an interlocutory order commanding a person to do or refrain from doing a particular act</w:t>
      </w:r>
      <w:r w:rsidRPr="007E5957">
        <w:rPr>
          <w:rStyle w:val="FootnoteReference"/>
          <w:rFonts w:ascii="Times New Roman" w:hAnsi="Times New Roman"/>
          <w:sz w:val="24"/>
        </w:rPr>
        <w:footnoteReference w:id="181"/>
      </w:r>
      <w:r w:rsidRPr="007E5957">
        <w:rPr>
          <w:rFonts w:ascii="Times New Roman" w:hAnsi="Times New Roman"/>
        </w:rPr>
        <w:t xml:space="preserve"> – has been considered a creature of equity</w:t>
      </w:r>
      <w:r w:rsidRPr="007E5957">
        <w:rPr>
          <w:rStyle w:val="FootnoteReference"/>
          <w:rFonts w:ascii="Times New Roman" w:hAnsi="Times New Roman"/>
          <w:sz w:val="24"/>
        </w:rPr>
        <w:footnoteReference w:id="182"/>
      </w:r>
      <w:r w:rsidRPr="007E5957">
        <w:rPr>
          <w:rFonts w:ascii="Times New Roman" w:hAnsi="Times New Roman"/>
        </w:rPr>
        <w:t xml:space="preserve"> which preserves the "status quo" or "subject matter" of a dispute, including a dispute about rights under statute,</w:t>
      </w:r>
      <w:r w:rsidRPr="007E5957">
        <w:rPr>
          <w:rStyle w:val="FootnoteReference"/>
          <w:rFonts w:ascii="Times New Roman" w:hAnsi="Times New Roman"/>
          <w:sz w:val="24"/>
        </w:rPr>
        <w:footnoteReference w:id="183"/>
      </w:r>
      <w:r w:rsidRPr="007E5957">
        <w:rPr>
          <w:rFonts w:ascii="Times New Roman" w:hAnsi="Times New Roman"/>
        </w:rPr>
        <w:t xml:space="preserve"> pending a final hearing of the proceedings.</w:t>
      </w:r>
      <w:r w:rsidRPr="007E5957">
        <w:rPr>
          <w:rStyle w:val="FootnoteReference"/>
          <w:rFonts w:ascii="Times New Roman" w:hAnsi="Times New Roman"/>
          <w:sz w:val="24"/>
        </w:rPr>
        <w:footnoteReference w:id="184"/>
      </w:r>
      <w:r w:rsidRPr="007E5957">
        <w:rPr>
          <w:rFonts w:ascii="Times New Roman" w:hAnsi="Times New Roman"/>
        </w:rPr>
        <w:t xml:space="preserve"> As Gleeson CJ explained in </w:t>
      </w:r>
      <w:r w:rsidRPr="007E5957">
        <w:rPr>
          <w:rFonts w:ascii="Times New Roman" w:hAnsi="Times New Roman"/>
          <w:i/>
          <w:iCs/>
        </w:rPr>
        <w:t xml:space="preserve">Australian Broadcasting Corporation v Lenah Game Meats Pty Ltd </w:t>
      </w:r>
      <w:r w:rsidRPr="007E5957">
        <w:rPr>
          <w:rFonts w:ascii="Times New Roman" w:hAnsi="Times New Roman"/>
        </w:rPr>
        <w:t>("</w:t>
      </w:r>
      <w:r w:rsidRPr="007E5957">
        <w:rPr>
          <w:rFonts w:ascii="Times New Roman" w:hAnsi="Times New Roman"/>
          <w:i/>
          <w:iCs/>
        </w:rPr>
        <w:t>ABC v Lenah Game</w:t>
      </w:r>
      <w:r w:rsidRPr="007E5957">
        <w:rPr>
          <w:rFonts w:ascii="Times New Roman" w:hAnsi="Times New Roman"/>
        </w:rPr>
        <w:t xml:space="preserve">"), such an order can usually only be granted if the party seeking the order can "show sufficient colour of right to the final relief, </w:t>
      </w:r>
      <w:r w:rsidRPr="007E5957">
        <w:rPr>
          <w:rFonts w:ascii="Times New Roman" w:hAnsi="Times New Roman"/>
          <w:i/>
          <w:iCs/>
        </w:rPr>
        <w:t xml:space="preserve">in aid of </w:t>
      </w:r>
      <w:r w:rsidRPr="007E5957">
        <w:rPr>
          <w:rFonts w:ascii="Times New Roman" w:hAnsi="Times New Roman"/>
        </w:rPr>
        <w:t>which the interlocutory relief is sought"</w:t>
      </w:r>
      <w:r w:rsidRPr="007E5957">
        <w:rPr>
          <w:rStyle w:val="FootnoteReference"/>
          <w:rFonts w:ascii="Times New Roman" w:hAnsi="Times New Roman"/>
          <w:sz w:val="24"/>
        </w:rPr>
        <w:footnoteReference w:id="185"/>
      </w:r>
      <w:r w:rsidRPr="007E5957">
        <w:rPr>
          <w:rFonts w:ascii="Times New Roman" w:hAnsi="Times New Roman"/>
        </w:rPr>
        <w:t xml:space="preserve"> (emphasis added).</w:t>
      </w:r>
    </w:p>
    <w:p w14:paraId="605E1D37"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For example, in </w:t>
      </w:r>
      <w:r w:rsidRPr="007E5957">
        <w:rPr>
          <w:rFonts w:ascii="Times New Roman" w:hAnsi="Times New Roman"/>
          <w:i/>
          <w:iCs/>
        </w:rPr>
        <w:t>ABC v Lenah Game</w:t>
      </w:r>
      <w:r w:rsidRPr="007E5957">
        <w:rPr>
          <w:rFonts w:ascii="Times New Roman" w:hAnsi="Times New Roman"/>
        </w:rPr>
        <w:t xml:space="preserve"> an interlocutory injunction restraining the broadcast of video footage obtained as a consequence of a trespass was refused in circumstances where the legal or equitable rights sought to be vindicated at the final hearing could not justify final injunctive relief for the delivery up and return of that material or similar relief which the grant of such an interlocutory injunction </w:t>
      </w:r>
      <w:r w:rsidRPr="007E5957">
        <w:rPr>
          <w:rFonts w:ascii="Times New Roman" w:hAnsi="Times New Roman"/>
        </w:rPr>
        <w:lastRenderedPageBreak/>
        <w:t>would have been "in aid of".</w:t>
      </w:r>
      <w:r w:rsidRPr="007E5957">
        <w:rPr>
          <w:rStyle w:val="FootnoteReference"/>
          <w:rFonts w:ascii="Times New Roman" w:hAnsi="Times New Roman"/>
          <w:sz w:val="24"/>
        </w:rPr>
        <w:footnoteReference w:id="186"/>
      </w:r>
      <w:r w:rsidRPr="007E5957">
        <w:rPr>
          <w:rFonts w:ascii="Times New Roman" w:hAnsi="Times New Roman"/>
        </w:rPr>
        <w:t xml:space="preserve"> Similarly, in </w:t>
      </w:r>
      <w:proofErr w:type="spellStart"/>
      <w:r w:rsidRPr="007E5957">
        <w:rPr>
          <w:rFonts w:ascii="Times New Roman" w:hAnsi="Times New Roman"/>
          <w:i/>
          <w:iCs/>
        </w:rPr>
        <w:t>Simsek</w:t>
      </w:r>
      <w:proofErr w:type="spellEnd"/>
      <w:r w:rsidRPr="007E5957">
        <w:rPr>
          <w:rFonts w:ascii="Times New Roman" w:hAnsi="Times New Roman"/>
          <w:i/>
          <w:iCs/>
        </w:rPr>
        <w:t xml:space="preserve"> v </w:t>
      </w:r>
      <w:proofErr w:type="spellStart"/>
      <w:r w:rsidRPr="007E5957">
        <w:rPr>
          <w:rFonts w:ascii="Times New Roman" w:hAnsi="Times New Roman"/>
          <w:i/>
          <w:iCs/>
        </w:rPr>
        <w:t>Macphee</w:t>
      </w:r>
      <w:proofErr w:type="spellEnd"/>
      <w:r w:rsidRPr="007E5957">
        <w:rPr>
          <w:rStyle w:val="FootnoteReference"/>
          <w:rFonts w:ascii="Times New Roman" w:hAnsi="Times New Roman"/>
          <w:sz w:val="24"/>
        </w:rPr>
        <w:footnoteReference w:id="187"/>
      </w:r>
      <w:r w:rsidRPr="007E5957">
        <w:rPr>
          <w:rFonts w:ascii="Times New Roman" w:hAnsi="Times New Roman"/>
        </w:rPr>
        <w:t xml:space="preserve"> Stephen J refused to grant an application for an interlocutory injunction preventing the removal of the applicant from Australia pending a hearing of proceedings contending that there were errors in the treatment of his application for protection under the 1951 Geneva Convention relating to the Status of Refugees and the 1967 Protocol relating to the same. Those instruments were not then enacted into statute. The applicant was a prohibited immigrant and did not challenge the validity of the deportation order made against him. Stephen J concluded that the interlocutory injunction could not be granted on the basis that it was necessary to preserve the subject matter of the proceedings without first making out a prima facie case for final injunctive relief.</w:t>
      </w:r>
      <w:r w:rsidRPr="007E5957">
        <w:rPr>
          <w:rStyle w:val="FootnoteReference"/>
          <w:rFonts w:ascii="Times New Roman" w:hAnsi="Times New Roman"/>
          <w:sz w:val="24"/>
        </w:rPr>
        <w:footnoteReference w:id="188"/>
      </w:r>
      <w:r w:rsidRPr="007E5957">
        <w:rPr>
          <w:rFonts w:ascii="Times New Roman" w:hAnsi="Times New Roman"/>
        </w:rPr>
        <w:t xml:space="preserve"> </w:t>
      </w:r>
    </w:p>
    <w:p w14:paraId="1593A2C5" w14:textId="77777777" w:rsidR="004C0687" w:rsidRPr="007E5957" w:rsidRDefault="004C0687" w:rsidP="00D412C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Interlocutory injunctions that ensure the effective exercise of jurisdiction</w:t>
      </w:r>
    </w:p>
    <w:p w14:paraId="5BD82699"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In this case the primary judge justified the grant of the interlocutory injunction on the basis that it was necessary to preserve the "subject matter" of the proceedings. In upholding the primary judge, Colvin and Jackson JJ referred to the "jurisdiction", meaning power, of the Federal Court "to preserve the subject matter and the integrity of its own processes".</w:t>
      </w:r>
      <w:r w:rsidRPr="007E5957">
        <w:rPr>
          <w:rStyle w:val="FootnoteReference"/>
          <w:rFonts w:ascii="Times New Roman" w:hAnsi="Times New Roman"/>
          <w:sz w:val="24"/>
        </w:rPr>
        <w:footnoteReference w:id="189"/>
      </w:r>
      <w:r w:rsidRPr="007E5957">
        <w:rPr>
          <w:rFonts w:ascii="Times New Roman" w:hAnsi="Times New Roman"/>
        </w:rPr>
        <w:t xml:space="preserve"> Despite these references to preserving the "subject matter" of the proceedings, and although that is the traditional basis for granting an interlocutory injunction as addressed in </w:t>
      </w:r>
      <w:r w:rsidRPr="007E5957">
        <w:rPr>
          <w:rFonts w:ascii="Times New Roman" w:hAnsi="Times New Roman"/>
          <w:i/>
          <w:iCs/>
        </w:rPr>
        <w:t>ABC v Lenah Game</w:t>
      </w:r>
      <w:r w:rsidRPr="007E5957">
        <w:rPr>
          <w:rFonts w:ascii="Times New Roman" w:hAnsi="Times New Roman"/>
        </w:rPr>
        <w:t xml:space="preserve">, their Honours did not find that that the interlocutory injunction granted by the primary judge could be justified as being "in aid of" the final relief sought. To the contrary, notwithstanding the claim for final injunctive relief included in the respondent's initiating process, it was accepted that the obligation to remove the respondent from Australia subsisted at the time the interlocutory injunction was granted and would continue to subsist even if there was a grant of final declaratory relief of the kind granted in </w:t>
      </w:r>
      <w:r w:rsidRPr="007E5957">
        <w:rPr>
          <w:rFonts w:ascii="Times New Roman" w:hAnsi="Times New Roman"/>
          <w:i/>
          <w:iCs/>
        </w:rPr>
        <w:t>Davis</w:t>
      </w:r>
      <w:r w:rsidRPr="007E5957">
        <w:rPr>
          <w:rFonts w:ascii="Times New Roman" w:hAnsi="Times New Roman"/>
        </w:rPr>
        <w:t xml:space="preserve">. It was only in this Court, through the first ground of the respondent's further amended notice of contention which has been addressed above, that he sought to justify the grant of the interlocutory injunction as being "in aid of" the final relief sought. </w:t>
      </w:r>
    </w:p>
    <w:p w14:paraId="0E4D9CE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Ordinarily, the inability of the respondent to demonstrate that an interlocutory injunction sought was granted in aid of final relief would be fatal as it was in </w:t>
      </w:r>
      <w:r w:rsidRPr="007E5957">
        <w:rPr>
          <w:rFonts w:ascii="Times New Roman" w:hAnsi="Times New Roman"/>
          <w:i/>
          <w:iCs/>
        </w:rPr>
        <w:t>ABC v Lenah Game</w:t>
      </w:r>
      <w:r w:rsidRPr="007E5957">
        <w:rPr>
          <w:rFonts w:ascii="Times New Roman" w:hAnsi="Times New Roman"/>
        </w:rPr>
        <w:t xml:space="preserve"> and </w:t>
      </w:r>
      <w:proofErr w:type="spellStart"/>
      <w:r w:rsidRPr="007E5957">
        <w:rPr>
          <w:rFonts w:ascii="Times New Roman" w:hAnsi="Times New Roman"/>
          <w:i/>
          <w:iCs/>
        </w:rPr>
        <w:t>Simsek</w:t>
      </w:r>
      <w:proofErr w:type="spellEnd"/>
      <w:r w:rsidRPr="007E5957">
        <w:rPr>
          <w:rFonts w:ascii="Times New Roman" w:hAnsi="Times New Roman"/>
        </w:rPr>
        <w:t xml:space="preserve">. However, in both the Courts below and </w:t>
      </w:r>
      <w:r w:rsidRPr="007E5957">
        <w:rPr>
          <w:rFonts w:ascii="Times New Roman" w:hAnsi="Times New Roman"/>
        </w:rPr>
        <w:lastRenderedPageBreak/>
        <w:t>in this Court, the interlocutory injunction was sought to be justified on a different basis, namely the Court's power to make such interlocutory orders, at least against the parties to the proceedings against whom final relief is sought, "as are needed to ensure the effective exercise of the jurisdiction invoked".</w:t>
      </w:r>
      <w:r w:rsidRPr="007E5957">
        <w:rPr>
          <w:rStyle w:val="FootnoteReference"/>
          <w:rFonts w:ascii="Times New Roman" w:hAnsi="Times New Roman"/>
          <w:sz w:val="24"/>
        </w:rPr>
        <w:footnoteReference w:id="190"/>
      </w:r>
      <w:r w:rsidRPr="007E5957">
        <w:rPr>
          <w:rFonts w:ascii="Times New Roman" w:hAnsi="Times New Roman"/>
        </w:rPr>
        <w:t xml:space="preserve"> This principle has also been expressed as enabling the Court to make orders preventing the abuse or frustration of the Court's process</w:t>
      </w:r>
      <w:r w:rsidRPr="007E5957">
        <w:rPr>
          <w:rStyle w:val="FootnoteReference"/>
          <w:rFonts w:ascii="Times New Roman" w:hAnsi="Times New Roman"/>
          <w:sz w:val="24"/>
        </w:rPr>
        <w:footnoteReference w:id="191"/>
      </w:r>
      <w:r w:rsidRPr="007E5957">
        <w:rPr>
          <w:rFonts w:ascii="Times New Roman" w:hAnsi="Times New Roman"/>
        </w:rPr>
        <w:t xml:space="preserve"> or protecting the integrity of the Court's processes "once set in motion".</w:t>
      </w:r>
      <w:r w:rsidRPr="007E5957">
        <w:rPr>
          <w:rStyle w:val="FootnoteReference"/>
          <w:rFonts w:ascii="Times New Roman" w:hAnsi="Times New Roman"/>
          <w:sz w:val="24"/>
        </w:rPr>
        <w:footnoteReference w:id="192"/>
      </w:r>
      <w:r w:rsidRPr="007E5957">
        <w:rPr>
          <w:rFonts w:ascii="Times New Roman" w:hAnsi="Times New Roman"/>
        </w:rPr>
        <w:t xml:space="preserve"> </w:t>
      </w:r>
    </w:p>
    <w:p w14:paraId="528994F9"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most common examples of interlocutory orders granted on this basis include some (but not all) anti-suit injunctions preventing a party litigating the subject claim in a different court</w:t>
      </w:r>
      <w:r w:rsidRPr="007E5957">
        <w:rPr>
          <w:rStyle w:val="FootnoteReference"/>
          <w:rFonts w:ascii="Times New Roman" w:hAnsi="Times New Roman"/>
          <w:sz w:val="24"/>
        </w:rPr>
        <w:footnoteReference w:id="193"/>
      </w:r>
      <w:r w:rsidRPr="007E5957">
        <w:rPr>
          <w:rFonts w:ascii="Times New Roman" w:hAnsi="Times New Roman"/>
        </w:rPr>
        <w:t xml:space="preserve"> and "Mareva" orders</w:t>
      </w:r>
      <w:r w:rsidRPr="007E5957">
        <w:rPr>
          <w:rStyle w:val="FootnoteReference"/>
          <w:rFonts w:ascii="Times New Roman" w:hAnsi="Times New Roman"/>
          <w:sz w:val="24"/>
        </w:rPr>
        <w:footnoteReference w:id="194"/>
      </w:r>
      <w:r w:rsidRPr="007E5957">
        <w:rPr>
          <w:rFonts w:ascii="Times New Roman" w:hAnsi="Times New Roman"/>
        </w:rPr>
        <w:t xml:space="preserve"> limiting a party's ability to dissipate their assets.</w:t>
      </w:r>
      <w:r w:rsidRPr="007E5957">
        <w:rPr>
          <w:rStyle w:val="FootnoteReference"/>
          <w:rFonts w:ascii="Times New Roman" w:hAnsi="Times New Roman"/>
          <w:sz w:val="24"/>
        </w:rPr>
        <w:footnoteReference w:id="195"/>
      </w:r>
      <w:r w:rsidRPr="007E5957">
        <w:rPr>
          <w:rFonts w:ascii="Times New Roman" w:hAnsi="Times New Roman"/>
        </w:rPr>
        <w:t xml:space="preserve"> Such orders are not justified as being granted in aid of the final relief sought. For example, a Mareva order may be granted even though the final relief sought in the proceedings is only damages and the moving party does not claim any proprietary interest in the assets the subject of the order.</w:t>
      </w:r>
      <w:r w:rsidRPr="007E5957">
        <w:rPr>
          <w:rStyle w:val="FootnoteReference"/>
          <w:rFonts w:ascii="Times New Roman" w:hAnsi="Times New Roman"/>
          <w:sz w:val="24"/>
        </w:rPr>
        <w:footnoteReference w:id="196"/>
      </w:r>
      <w:r w:rsidRPr="007E5957">
        <w:rPr>
          <w:rFonts w:ascii="Times New Roman" w:hAnsi="Times New Roman"/>
        </w:rPr>
        <w:t xml:space="preserve"> Instead of being granted in aid of the final relief sought, Mareva orders protect the integrity of a court's processes in that they extend "to preserving the efficacy of the execution which would lie against the actual or prospective ... debtor".</w:t>
      </w:r>
      <w:r w:rsidRPr="007E5957">
        <w:rPr>
          <w:rStyle w:val="FootnoteReference"/>
          <w:rFonts w:ascii="Times New Roman" w:hAnsi="Times New Roman"/>
          <w:sz w:val="24"/>
        </w:rPr>
        <w:footnoteReference w:id="197"/>
      </w:r>
      <w:r w:rsidRPr="007E5957">
        <w:rPr>
          <w:rFonts w:ascii="Times New Roman" w:hAnsi="Times New Roman"/>
        </w:rPr>
        <w:t xml:space="preserve"> Leaving aside the circumstance where a third party holds another party's assets, the making of Mareva orders against a third party is justified as being for the proper administration of justice when there is some process, enforceable by the "courts", </w:t>
      </w:r>
      <w:r w:rsidRPr="007E5957">
        <w:rPr>
          <w:rFonts w:ascii="Times New Roman" w:hAnsi="Times New Roman"/>
        </w:rPr>
        <w:lastRenderedPageBreak/>
        <w:t>that enables assets to be disgorged or that is capable of forcing the third party to contribute to the funds of the debtor.</w:t>
      </w:r>
      <w:r w:rsidRPr="007E5957">
        <w:rPr>
          <w:rStyle w:val="FootnoteReference"/>
          <w:rFonts w:ascii="Times New Roman" w:hAnsi="Times New Roman"/>
          <w:sz w:val="24"/>
        </w:rPr>
        <w:footnoteReference w:id="198"/>
      </w:r>
      <w:r w:rsidRPr="007E5957">
        <w:rPr>
          <w:rFonts w:ascii="Times New Roman" w:hAnsi="Times New Roman"/>
        </w:rPr>
        <w:t xml:space="preserve"> </w:t>
      </w:r>
    </w:p>
    <w:p w14:paraId="0324F7BE"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In this case, the absence of any enforceable duty on the part of the Minister to take any action if a </w:t>
      </w:r>
      <w:r w:rsidRPr="007E5957">
        <w:rPr>
          <w:rFonts w:ascii="Times New Roman" w:hAnsi="Times New Roman"/>
          <w:i/>
          <w:iCs/>
        </w:rPr>
        <w:t>Davis</w:t>
      </w:r>
      <w:r w:rsidRPr="007E5957">
        <w:rPr>
          <w:rFonts w:ascii="Times New Roman" w:hAnsi="Times New Roman"/>
        </w:rPr>
        <w:t xml:space="preserve"> style declaration were made in the respondent's favour means that there is no functional equivalent to the process of execution of a final award of damages enforceable by the Federal Court (or any court) as exists with Mareva orders. In particular, there is no process enforceable by any court which would allow any such declaration to be effective against the officer's obligation to remove the respondent under s 198(6) of the </w:t>
      </w:r>
      <w:r w:rsidRPr="007E5957">
        <w:rPr>
          <w:rFonts w:ascii="Times New Roman" w:hAnsi="Times New Roman"/>
          <w:i/>
          <w:iCs/>
        </w:rPr>
        <w:t>Migration Act.</w:t>
      </w:r>
      <w:r w:rsidRPr="007E5957">
        <w:rPr>
          <w:rFonts w:ascii="Times New Roman" w:hAnsi="Times New Roman"/>
        </w:rPr>
        <w:t xml:space="preserve"> Accordingly, it is doubtful whether the grant of the interlocutory injunction could properly be justified as necessary to protect the integrity of the Federal Court's processes or the administration of justice by the courts more generally. </w:t>
      </w:r>
    </w:p>
    <w:p w14:paraId="3C40DAFD" w14:textId="77777777" w:rsidR="004C0687" w:rsidRPr="007E5957" w:rsidRDefault="004C0687" w:rsidP="00AF1F2E">
      <w:pPr>
        <w:pStyle w:val="FixListStyle"/>
        <w:numPr>
          <w:ilvl w:val="0"/>
          <w:numId w:val="0"/>
        </w:numPr>
        <w:spacing w:after="260" w:line="280" w:lineRule="exact"/>
        <w:ind w:right="0"/>
        <w:jc w:val="both"/>
        <w:rPr>
          <w:rFonts w:ascii="Times New Roman" w:hAnsi="Times New Roman"/>
          <w:i/>
          <w:iCs/>
        </w:rPr>
      </w:pPr>
      <w:r w:rsidRPr="007E5957">
        <w:rPr>
          <w:rFonts w:ascii="Times New Roman" w:hAnsi="Times New Roman"/>
          <w:i/>
          <w:iCs/>
        </w:rPr>
        <w:t>Interlocutory injunctions and statutory rights and obligations</w:t>
      </w:r>
    </w:p>
    <w:p w14:paraId="1F1DE0C6"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It is unnecessary to consider the difficulty just noted further because, regardless of the source of the Federal Court's power to grant the interlocutory injunction and regardless of the basis upon which the interlocutory injunction was granted, the Court's injunctive powers are not at large. The Federal Court's powers cannot be exercised to make orders excusing compliance with statutory obligations or preventing the exercise of authority derived from statute, the existence of which is not disputed in the proceedings.</w:t>
      </w:r>
      <w:r w:rsidRPr="007E5957">
        <w:rPr>
          <w:rStyle w:val="FootnoteReference"/>
          <w:rFonts w:ascii="Times New Roman" w:hAnsi="Times New Roman"/>
          <w:sz w:val="24"/>
        </w:rPr>
        <w:footnoteReference w:id="199"/>
      </w:r>
      <w:r w:rsidRPr="007E5957">
        <w:rPr>
          <w:rFonts w:ascii="Times New Roman" w:hAnsi="Times New Roman"/>
        </w:rPr>
        <w:t xml:space="preserve"> Further, the Federal Court's injunctive powers cannot be exercised to rewrite or alter a statutory scheme. Although an interlocutory injunction may impair or prevent the exercise of rights, it cannot create additional rights or obligations,</w:t>
      </w:r>
      <w:r w:rsidRPr="007E5957">
        <w:rPr>
          <w:rStyle w:val="FootnoteReference"/>
          <w:rFonts w:ascii="Times New Roman" w:hAnsi="Times New Roman"/>
          <w:sz w:val="24"/>
        </w:rPr>
        <w:footnoteReference w:id="200"/>
      </w:r>
      <w:r w:rsidRPr="007E5957">
        <w:rPr>
          <w:rFonts w:ascii="Times New Roman" w:hAnsi="Times New Roman"/>
        </w:rPr>
        <w:t xml:space="preserve"> such as creating a security interest for a plaintiff via the making of a Mareva order.</w:t>
      </w:r>
      <w:r w:rsidRPr="007E5957">
        <w:rPr>
          <w:rStyle w:val="FootnoteReference"/>
          <w:rFonts w:ascii="Times New Roman" w:hAnsi="Times New Roman"/>
          <w:sz w:val="24"/>
        </w:rPr>
        <w:footnoteReference w:id="201"/>
      </w:r>
      <w:r w:rsidRPr="007E5957">
        <w:rPr>
          <w:rFonts w:ascii="Times New Roman" w:hAnsi="Times New Roman"/>
        </w:rPr>
        <w:t xml:space="preserve"> </w:t>
      </w:r>
    </w:p>
    <w:p w14:paraId="5844D3A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significance of these limits on the Federal Court's injunctive powers to this case becomes apparent once the true "subject matter" of the respondent's proceedings is identified and the effect of the interlocutory injunction on that subject matter is ascertained. As noted, the primary judge identified the subject matter of the respondent's proceedings as "his interest in remaining in Australia".</w:t>
      </w:r>
      <w:r w:rsidRPr="007E5957">
        <w:rPr>
          <w:rStyle w:val="FootnoteReference"/>
          <w:rFonts w:ascii="Times New Roman" w:hAnsi="Times New Roman"/>
          <w:sz w:val="24"/>
        </w:rPr>
        <w:footnoteReference w:id="202"/>
      </w:r>
      <w:r w:rsidRPr="007E5957">
        <w:rPr>
          <w:rFonts w:ascii="Times New Roman" w:hAnsi="Times New Roman"/>
        </w:rPr>
        <w:t xml:space="preserve"> </w:t>
      </w:r>
      <w:r w:rsidRPr="007E5957">
        <w:rPr>
          <w:rFonts w:ascii="Times New Roman" w:hAnsi="Times New Roman"/>
        </w:rPr>
        <w:lastRenderedPageBreak/>
        <w:t xml:space="preserve">One of the appellants' grounds of appeal to the Full Court contended that the primary judge's description of the subject matter of the proceedings was erroneous. Nevertheless, Colvin and Jackson JJ appeared to accept that finding. </w:t>
      </w:r>
    </w:p>
    <w:p w14:paraId="6377E789"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subject matter of a proceeding is the rights that are sought to be vindicated in the proceeding; that is, the rights which the court must declare and enforce. For example, in an application for a stay of an order committing an accused to prison pending his application for special leave to appeal from that order, the subject matter of the litigation is not the accused's right to liberty but the accused's right to pursue that application for special leave.</w:t>
      </w:r>
      <w:r w:rsidRPr="007E5957">
        <w:rPr>
          <w:rStyle w:val="FootnoteReference"/>
          <w:rFonts w:ascii="Times New Roman" w:hAnsi="Times New Roman"/>
          <w:sz w:val="24"/>
        </w:rPr>
        <w:footnoteReference w:id="203"/>
      </w:r>
      <w:r w:rsidRPr="007E5957">
        <w:rPr>
          <w:rFonts w:ascii="Times New Roman" w:hAnsi="Times New Roman"/>
        </w:rPr>
        <w:t xml:space="preserve"> With such an application, the question for the court is whether that right (and if leave is granted, the right to appeal) will be rendered futile if the stay is not granted.</w:t>
      </w:r>
      <w:r w:rsidRPr="007E5957">
        <w:rPr>
          <w:rStyle w:val="FootnoteReference"/>
          <w:rFonts w:ascii="Times New Roman" w:hAnsi="Times New Roman"/>
          <w:sz w:val="24"/>
        </w:rPr>
        <w:footnoteReference w:id="204"/>
      </w:r>
      <w:r w:rsidRPr="007E5957">
        <w:rPr>
          <w:rFonts w:ascii="Times New Roman" w:hAnsi="Times New Roman"/>
        </w:rPr>
        <w:t xml:space="preserve"> Likewise, in circumstances where judicial review is sought of a decision made to refuse a visa under the </w:t>
      </w:r>
      <w:r w:rsidRPr="007E5957">
        <w:rPr>
          <w:rFonts w:ascii="Times New Roman" w:hAnsi="Times New Roman"/>
          <w:i/>
          <w:iCs/>
        </w:rPr>
        <w:t>Migration Act</w:t>
      </w:r>
      <w:r w:rsidRPr="007E5957">
        <w:rPr>
          <w:rFonts w:ascii="Times New Roman" w:hAnsi="Times New Roman"/>
        </w:rPr>
        <w:t>, the subject matter of the proceedings is not any "right" or interest that the applicant has to remain in the country but their right to have their visa application determined according to law.</w:t>
      </w:r>
      <w:r w:rsidRPr="007E5957">
        <w:rPr>
          <w:rStyle w:val="FootnoteReference"/>
          <w:rFonts w:ascii="Times New Roman" w:hAnsi="Times New Roman"/>
          <w:sz w:val="24"/>
        </w:rPr>
        <w:footnoteReference w:id="205"/>
      </w:r>
      <w:r w:rsidRPr="007E5957">
        <w:rPr>
          <w:rFonts w:ascii="Times New Roman" w:hAnsi="Times New Roman"/>
        </w:rPr>
        <w:t xml:space="preserve"> In this case the respondent did not have any "right" to remain in Australia. Instead, the subject matter of the respondent's proceedings was his "right" to have his requests for the exercise of the power conferred by s 195A dealt with lawfully (although there was no obligation to deal with his requests).</w:t>
      </w:r>
      <w:r w:rsidRPr="007E5957">
        <w:rPr>
          <w:rStyle w:val="FootnoteReference"/>
          <w:rFonts w:ascii="Times New Roman" w:hAnsi="Times New Roman"/>
          <w:sz w:val="24"/>
        </w:rPr>
        <w:footnoteReference w:id="206"/>
      </w:r>
      <w:r w:rsidRPr="007E5957">
        <w:rPr>
          <w:rFonts w:ascii="Times New Roman" w:hAnsi="Times New Roman"/>
        </w:rPr>
        <w:t xml:space="preserve"> </w:t>
      </w:r>
    </w:p>
    <w:p w14:paraId="09FA4C0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There is no doubt that if the respondent were removed from Australia, then this "right" would be rendered worthless as the power conferred by s 195A cannot be exercised if he is no longer detained under s 189 of the </w:t>
      </w:r>
      <w:r w:rsidRPr="007E5957">
        <w:rPr>
          <w:rFonts w:ascii="Times New Roman" w:hAnsi="Times New Roman"/>
          <w:i/>
          <w:iCs/>
        </w:rPr>
        <w:t>Migration Act</w:t>
      </w:r>
      <w:r w:rsidRPr="007E5957">
        <w:rPr>
          <w:rFonts w:ascii="Times New Roman" w:hAnsi="Times New Roman"/>
        </w:rPr>
        <w:t xml:space="preserve">. However, this only invites inquiry into the nature of the respondent's "right" and whether the interlocutory injunction properly preserved that right so the respondent could vindicate it in the proceedings he commenced, or whether the interlocutory injunction fundamentally changed the character of his right such that it became inconsistent with the statutory scheme to which it relates. </w:t>
      </w:r>
    </w:p>
    <w:p w14:paraId="6242CF60"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It follows from </w:t>
      </w:r>
      <w:r w:rsidRPr="007E5957">
        <w:rPr>
          <w:rFonts w:ascii="Times New Roman" w:hAnsi="Times New Roman"/>
          <w:i/>
          <w:iCs/>
        </w:rPr>
        <w:t>Plaintiff M61/2010E</w:t>
      </w:r>
      <w:r w:rsidRPr="007E5957">
        <w:rPr>
          <w:rFonts w:ascii="Times New Roman" w:hAnsi="Times New Roman"/>
        </w:rPr>
        <w:t xml:space="preserve">, </w:t>
      </w:r>
      <w:r w:rsidRPr="007E5957">
        <w:rPr>
          <w:rFonts w:ascii="Times New Roman" w:hAnsi="Times New Roman"/>
          <w:i/>
          <w:iCs/>
        </w:rPr>
        <w:t>Plaintiff S4/2014</w:t>
      </w:r>
      <w:r w:rsidRPr="007E5957">
        <w:rPr>
          <w:rFonts w:ascii="Times New Roman" w:hAnsi="Times New Roman"/>
        </w:rPr>
        <w:t xml:space="preserve"> and </w:t>
      </w:r>
      <w:r w:rsidRPr="007E5957">
        <w:rPr>
          <w:rFonts w:ascii="Times New Roman" w:hAnsi="Times New Roman"/>
          <w:i/>
          <w:iCs/>
        </w:rPr>
        <w:t>Davis</w:t>
      </w:r>
      <w:r w:rsidRPr="007E5957">
        <w:rPr>
          <w:rFonts w:ascii="Times New Roman" w:hAnsi="Times New Roman"/>
        </w:rPr>
        <w:t xml:space="preserve"> that, in circumstances where there is no challenge to the existence of the obligation to remove the respondent, his "right" to have his request for the exercise of the power conferred by s 195A lawfully determined only exists within, or adjacent to, a statutory context in which: (a) there is no obligation on the Minister to do anything </w:t>
      </w:r>
      <w:r w:rsidRPr="007E5957">
        <w:rPr>
          <w:rFonts w:ascii="Times New Roman" w:hAnsi="Times New Roman"/>
        </w:rPr>
        <w:lastRenderedPageBreak/>
        <w:t xml:space="preserve">with the request; (b) there are hedging duties, including s 198(6), that limit the period during which the respondent can be detained while his request is outstanding; (c) there are limits to the purposes for which the respondent can be detained while that request is outstanding; and (d) s 198(6) requires his removal. Despite this, the effect of the interlocutory injunction granted by the primary judge is to suspend the respondent's removal and prolong his detention so as to preserve the possibility that, if a </w:t>
      </w:r>
      <w:r w:rsidRPr="007E5957">
        <w:rPr>
          <w:rFonts w:ascii="Times New Roman" w:hAnsi="Times New Roman"/>
          <w:i/>
          <w:iCs/>
        </w:rPr>
        <w:t>Davis</w:t>
      </w:r>
      <w:r w:rsidRPr="007E5957">
        <w:rPr>
          <w:rFonts w:ascii="Times New Roman" w:hAnsi="Times New Roman"/>
        </w:rPr>
        <w:t xml:space="preserve"> style declaration is made, the Minister might then make a procedural decision in the respondent's favour; </w:t>
      </w:r>
      <w:proofErr w:type="spellStart"/>
      <w:r w:rsidRPr="007E5957">
        <w:rPr>
          <w:rFonts w:ascii="Times New Roman" w:hAnsi="Times New Roman"/>
        </w:rPr>
        <w:t>ie</w:t>
      </w:r>
      <w:proofErr w:type="spellEnd"/>
      <w:r w:rsidRPr="007E5957">
        <w:rPr>
          <w:rFonts w:ascii="Times New Roman" w:hAnsi="Times New Roman"/>
        </w:rPr>
        <w:t xml:space="preserve">, a decision to consider the exercise of the power under s 195A. </w:t>
      </w:r>
    </w:p>
    <w:p w14:paraId="381A903C"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To grant an interlocutory injunction in these circumstances rewrites the statutory scheme of the </w:t>
      </w:r>
      <w:r w:rsidRPr="007E5957">
        <w:rPr>
          <w:rFonts w:ascii="Times New Roman" w:hAnsi="Times New Roman"/>
          <w:i/>
          <w:iCs/>
        </w:rPr>
        <w:t>Migration Act</w:t>
      </w:r>
      <w:r w:rsidRPr="007E5957">
        <w:rPr>
          <w:rFonts w:ascii="Times New Roman" w:hAnsi="Times New Roman"/>
        </w:rPr>
        <w:t xml:space="preserve"> by suspending the obligation to remove the respondent prior to the making of any procedural decision to exercise the power conferred by s 195A, contrary to </w:t>
      </w:r>
      <w:r w:rsidRPr="007E5957">
        <w:rPr>
          <w:rFonts w:ascii="Times New Roman" w:hAnsi="Times New Roman"/>
          <w:i/>
          <w:iCs/>
        </w:rPr>
        <w:t>Plaintiff M61/2010E</w:t>
      </w:r>
      <w:r w:rsidRPr="007E5957">
        <w:rPr>
          <w:rFonts w:ascii="Times New Roman" w:hAnsi="Times New Roman"/>
        </w:rPr>
        <w:t>.</w:t>
      </w:r>
      <w:r w:rsidRPr="007E5957">
        <w:rPr>
          <w:rStyle w:val="FootnoteReference"/>
          <w:rFonts w:ascii="Times New Roman" w:hAnsi="Times New Roman"/>
          <w:sz w:val="24"/>
        </w:rPr>
        <w:footnoteReference w:id="207"/>
      </w:r>
      <w:r w:rsidRPr="007E5957">
        <w:rPr>
          <w:rFonts w:ascii="Times New Roman" w:hAnsi="Times New Roman"/>
        </w:rPr>
        <w:t xml:space="preserve"> The grant of the interlocutory injunction alters the purpose of the respondent's detention so that, instead of being detained for the purpose of his removal, he is detained for the (ultimate) purpose of the Minister considering the "possibility of the exercise of power under ... s 195A", which is also contrary to </w:t>
      </w:r>
      <w:r w:rsidRPr="007E5957">
        <w:rPr>
          <w:rFonts w:ascii="Times New Roman" w:hAnsi="Times New Roman"/>
          <w:i/>
          <w:iCs/>
        </w:rPr>
        <w:t>Plaintiff M61/2010E</w:t>
      </w:r>
      <w:r w:rsidRPr="007E5957">
        <w:rPr>
          <w:rFonts w:ascii="Times New Roman" w:hAnsi="Times New Roman"/>
        </w:rPr>
        <w:t>.</w:t>
      </w:r>
      <w:r w:rsidRPr="007E5957">
        <w:rPr>
          <w:rStyle w:val="FootnoteReference"/>
          <w:rFonts w:ascii="Times New Roman" w:hAnsi="Times New Roman"/>
          <w:sz w:val="24"/>
        </w:rPr>
        <w:footnoteReference w:id="208"/>
      </w:r>
      <w:r w:rsidRPr="007E5957">
        <w:rPr>
          <w:rFonts w:ascii="Times New Roman" w:hAnsi="Times New Roman"/>
        </w:rPr>
        <w:t xml:space="preserve"> Further, contrary to what this Court said in </w:t>
      </w:r>
      <w:r w:rsidRPr="007E5957">
        <w:rPr>
          <w:rFonts w:ascii="Times New Roman" w:hAnsi="Times New Roman"/>
          <w:i/>
          <w:iCs/>
        </w:rPr>
        <w:t>Plaintiff S4/2014</w:t>
      </w:r>
      <w:r w:rsidRPr="007E5957">
        <w:rPr>
          <w:rFonts w:ascii="Times New Roman" w:hAnsi="Times New Roman"/>
        </w:rPr>
        <w:t>, the grant of an interlocutory injunction in these circumstances subordinates the removal power in s 198(6) to s 195A.</w:t>
      </w:r>
      <w:r w:rsidRPr="007E5957">
        <w:rPr>
          <w:rStyle w:val="FootnoteReference"/>
          <w:rFonts w:ascii="Times New Roman" w:hAnsi="Times New Roman"/>
          <w:sz w:val="24"/>
        </w:rPr>
        <w:footnoteReference w:id="209"/>
      </w:r>
      <w:r w:rsidRPr="007E5957">
        <w:rPr>
          <w:rFonts w:ascii="Times New Roman" w:hAnsi="Times New Roman"/>
        </w:rPr>
        <w:t xml:space="preserve"> Thus, the effect of granting the interlocutory injunction is that: the unchallenged statutory obligation to remove the respondent is suspended without any lawful basis; the statutory scheme of the </w:t>
      </w:r>
      <w:r w:rsidRPr="007E5957">
        <w:rPr>
          <w:rFonts w:ascii="Times New Roman" w:hAnsi="Times New Roman"/>
          <w:i/>
          <w:iCs/>
        </w:rPr>
        <w:t>Migration Act</w:t>
      </w:r>
      <w:r w:rsidRPr="007E5957">
        <w:rPr>
          <w:rFonts w:ascii="Times New Roman" w:hAnsi="Times New Roman"/>
        </w:rPr>
        <w:t xml:space="preserve"> is rewritten; and the purpose of the respondent's detention is altered to yield a purpose that was rejected in </w:t>
      </w:r>
      <w:r w:rsidRPr="007E5957">
        <w:rPr>
          <w:rFonts w:ascii="Times New Roman" w:hAnsi="Times New Roman"/>
          <w:i/>
          <w:iCs/>
        </w:rPr>
        <w:t>Plaintiff M61/2010E</w:t>
      </w:r>
      <w:r w:rsidRPr="007E5957">
        <w:rPr>
          <w:rFonts w:ascii="Times New Roman" w:hAnsi="Times New Roman"/>
        </w:rPr>
        <w:t>.</w:t>
      </w:r>
      <w:r w:rsidRPr="007E5957">
        <w:rPr>
          <w:rStyle w:val="FootnoteReference"/>
          <w:rFonts w:ascii="Times New Roman" w:hAnsi="Times New Roman"/>
          <w:sz w:val="24"/>
        </w:rPr>
        <w:footnoteReference w:id="210"/>
      </w:r>
      <w:r w:rsidRPr="007E5957">
        <w:rPr>
          <w:rFonts w:ascii="Times New Roman" w:hAnsi="Times New Roman"/>
        </w:rPr>
        <w:t xml:space="preserve"> The Federal Court's powers do not extend that far.</w:t>
      </w:r>
    </w:p>
    <w:p w14:paraId="6E1C1906" w14:textId="77777777" w:rsidR="004C0687" w:rsidRPr="007E5957" w:rsidRDefault="004C0687" w:rsidP="007E5957">
      <w:pPr>
        <w:pStyle w:val="HeadingL2"/>
        <w:spacing w:after="260" w:line="280" w:lineRule="exact"/>
        <w:ind w:right="0"/>
        <w:jc w:val="both"/>
        <w:rPr>
          <w:rFonts w:ascii="Times New Roman" w:hAnsi="Times New Roman"/>
        </w:rPr>
      </w:pPr>
      <w:r w:rsidRPr="007E5957">
        <w:rPr>
          <w:rFonts w:ascii="Times New Roman" w:hAnsi="Times New Roman"/>
        </w:rPr>
        <w:t>Tait v The Queen</w:t>
      </w:r>
    </w:p>
    <w:p w14:paraId="46F8E31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During argument on this appeal, reliance was placed on Dixon CJ's statement during the course of argument in </w:t>
      </w:r>
      <w:r w:rsidRPr="007E5957">
        <w:rPr>
          <w:rFonts w:ascii="Times New Roman" w:hAnsi="Times New Roman"/>
          <w:i/>
          <w:iCs/>
        </w:rPr>
        <w:t>Tait v The Queen</w:t>
      </w:r>
      <w:r w:rsidRPr="007E5957">
        <w:rPr>
          <w:rStyle w:val="FootnoteReference"/>
          <w:rFonts w:ascii="Times New Roman" w:hAnsi="Times New Roman"/>
          <w:sz w:val="24"/>
        </w:rPr>
        <w:footnoteReference w:id="211"/>
      </w:r>
      <w:r w:rsidRPr="007E5957">
        <w:rPr>
          <w:rFonts w:ascii="Times New Roman" w:hAnsi="Times New Roman"/>
        </w:rPr>
        <w:t xml:space="preserve"> that the "incidental powers of the Court can preserve any subject matter, human or not, pending a decision".</w:t>
      </w:r>
      <w:r w:rsidRPr="007E5957">
        <w:rPr>
          <w:rStyle w:val="FootnoteReference"/>
          <w:rFonts w:ascii="Times New Roman" w:hAnsi="Times New Roman"/>
          <w:sz w:val="24"/>
        </w:rPr>
        <w:footnoteReference w:id="212"/>
      </w:r>
      <w:r w:rsidRPr="007E5957">
        <w:rPr>
          <w:rFonts w:ascii="Times New Roman" w:hAnsi="Times New Roman"/>
        </w:rPr>
        <w:t xml:space="preserve"> In </w:t>
      </w:r>
      <w:r w:rsidRPr="007E5957">
        <w:rPr>
          <w:rFonts w:ascii="Times New Roman" w:hAnsi="Times New Roman"/>
          <w:i/>
          <w:iCs/>
        </w:rPr>
        <w:t>Tait</w:t>
      </w:r>
      <w:r w:rsidRPr="007E5957">
        <w:rPr>
          <w:rFonts w:ascii="Times New Roman" w:hAnsi="Times New Roman"/>
        </w:rPr>
        <w:t xml:space="preserve"> this Court adjourned the hearing of two applications for special leave to appeal and stayed the execution of the offender, Mr Tait, pending the disposal of the applications. In doing so, this Court briefly noted that the </w:t>
      </w:r>
      <w:r w:rsidRPr="007E5957">
        <w:rPr>
          <w:rFonts w:ascii="Times New Roman" w:hAnsi="Times New Roman"/>
        </w:rPr>
        <w:lastRenderedPageBreak/>
        <w:t>applications were adjourned "without giving any consideration to or expressing any opinion as to the grounds" of the applications "but entirely so that the authority of this Court may be maintained and [the Court] may have another opportunity of considering it".</w:t>
      </w:r>
      <w:r w:rsidRPr="007E5957">
        <w:rPr>
          <w:rStyle w:val="FootnoteReference"/>
          <w:rFonts w:ascii="Times New Roman" w:hAnsi="Times New Roman"/>
          <w:sz w:val="24"/>
        </w:rPr>
        <w:footnoteReference w:id="213"/>
      </w:r>
      <w:r w:rsidRPr="007E5957">
        <w:rPr>
          <w:rFonts w:ascii="Times New Roman" w:hAnsi="Times New Roman"/>
        </w:rPr>
        <w:t xml:space="preserve"> </w:t>
      </w:r>
    </w:p>
    <w:p w14:paraId="552D5A40"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The first application for special leave to appeal was made by D H F Scott, a concerned citizen whose petition to the Supreme Court of Victoria seeking an inquiry into Mr Tait's mental competency pursuant to s 111 of the </w:t>
      </w:r>
      <w:r w:rsidRPr="007E5957">
        <w:rPr>
          <w:rFonts w:ascii="Times New Roman" w:hAnsi="Times New Roman"/>
          <w:i/>
          <w:iCs/>
        </w:rPr>
        <w:t>Mental Hygiene Act 1958</w:t>
      </w:r>
      <w:r w:rsidRPr="007E5957">
        <w:rPr>
          <w:rFonts w:ascii="Times New Roman" w:hAnsi="Times New Roman"/>
        </w:rPr>
        <w:t> (Vic) was refused at first instance and on appeal.</w:t>
      </w:r>
      <w:r w:rsidRPr="007E5957">
        <w:rPr>
          <w:rStyle w:val="FootnoteReference"/>
          <w:rFonts w:ascii="Times New Roman" w:hAnsi="Times New Roman"/>
          <w:sz w:val="24"/>
        </w:rPr>
        <w:footnoteReference w:id="214"/>
      </w:r>
      <w:r w:rsidRPr="007E5957">
        <w:rPr>
          <w:rFonts w:ascii="Times New Roman" w:hAnsi="Times New Roman"/>
        </w:rPr>
        <w:t xml:space="preserve"> The second application was made by Mr Tait, who sought to appeal a decision of the trial judge who ruled that he had no power to order any respite of the death sentence on the grounds that Mr Tait was or appeared to be of unsound mind when he stood trial.</w:t>
      </w:r>
      <w:r w:rsidRPr="007E5957">
        <w:rPr>
          <w:rStyle w:val="FootnoteReference"/>
          <w:rFonts w:ascii="Times New Roman" w:hAnsi="Times New Roman"/>
          <w:sz w:val="24"/>
        </w:rPr>
        <w:footnoteReference w:id="215"/>
      </w:r>
      <w:r w:rsidRPr="007E5957">
        <w:rPr>
          <w:rFonts w:ascii="Times New Roman" w:hAnsi="Times New Roman"/>
        </w:rPr>
        <w:t xml:space="preserve"> </w:t>
      </w:r>
    </w:p>
    <w:p w14:paraId="47EC221D"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In this Court, the appellants and the Attorney-General submitted that the stay of execution ordered in </w:t>
      </w:r>
      <w:r w:rsidRPr="007E5957">
        <w:rPr>
          <w:rFonts w:ascii="Times New Roman" w:hAnsi="Times New Roman"/>
          <w:i/>
          <w:iCs/>
        </w:rPr>
        <w:t>Tait</w:t>
      </w:r>
      <w:r w:rsidRPr="007E5957">
        <w:rPr>
          <w:rFonts w:ascii="Times New Roman" w:hAnsi="Times New Roman"/>
        </w:rPr>
        <w:t xml:space="preserve"> could be justified by reference to Mr Tait's application alone because, if the application had been granted and the appeal had been successful, that would have warranted the grant of final relief staying the execution pending the trial judge's consideration of the application to respite the sentence. This submission can be rejected for two reasons. First, the observation of Dixon CJ noted above was made during argument in relation to Mr Scott's application for special leave to appeal, not Mr Tait's application.</w:t>
      </w:r>
      <w:r w:rsidRPr="007E5957">
        <w:rPr>
          <w:rStyle w:val="FootnoteReference"/>
          <w:rFonts w:ascii="Times New Roman" w:hAnsi="Times New Roman"/>
          <w:sz w:val="24"/>
        </w:rPr>
        <w:footnoteReference w:id="216"/>
      </w:r>
      <w:r w:rsidRPr="007E5957">
        <w:rPr>
          <w:rFonts w:ascii="Times New Roman" w:hAnsi="Times New Roman"/>
        </w:rPr>
        <w:t xml:space="preserve"> Second, as Gageler CJ, Gordon, Gleeson and Jagot JJ note,</w:t>
      </w:r>
      <w:r w:rsidRPr="007E5957">
        <w:rPr>
          <w:rStyle w:val="FootnoteReference"/>
          <w:rFonts w:ascii="Times New Roman" w:hAnsi="Times New Roman"/>
          <w:sz w:val="24"/>
        </w:rPr>
        <w:footnoteReference w:id="217"/>
      </w:r>
      <w:r w:rsidRPr="007E5957">
        <w:rPr>
          <w:rFonts w:ascii="Times New Roman" w:hAnsi="Times New Roman"/>
        </w:rPr>
        <w:t xml:space="preserve"> the stay order made by the Court was entered in both applications.</w:t>
      </w:r>
    </w:p>
    <w:p w14:paraId="48E59CB5"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Even so, Dixon CJ's observation provides no support for the grant of an interlocutory injunction in a case such as this where the existence of the obligation to remove the respondent is not challenged. Both at first instance and on appeal to the Full Court of the Supreme Court of Victoria, Mr Scott contended that an offender condemned to death and suggested to be insane had a right to obtain a suspension of execution by a judicial process and, "assuming there is such a right", a stranger can invoke that jurisdiction.</w:t>
      </w:r>
      <w:r w:rsidRPr="007E5957">
        <w:rPr>
          <w:rStyle w:val="FootnoteReference"/>
          <w:rFonts w:ascii="Times New Roman" w:hAnsi="Times New Roman"/>
          <w:sz w:val="24"/>
        </w:rPr>
        <w:footnoteReference w:id="218"/>
      </w:r>
      <w:r w:rsidRPr="007E5957">
        <w:rPr>
          <w:rFonts w:ascii="Times New Roman" w:hAnsi="Times New Roman"/>
        </w:rPr>
        <w:t xml:space="preserve"> Similarly, when asked in argument in this </w:t>
      </w:r>
      <w:r w:rsidRPr="007E5957">
        <w:rPr>
          <w:rFonts w:ascii="Times New Roman" w:hAnsi="Times New Roman"/>
        </w:rPr>
        <w:lastRenderedPageBreak/>
        <w:t xml:space="preserve">Court how an order under the </w:t>
      </w:r>
      <w:r w:rsidRPr="007E5957">
        <w:rPr>
          <w:rFonts w:ascii="Times New Roman" w:hAnsi="Times New Roman"/>
          <w:i/>
          <w:iCs/>
        </w:rPr>
        <w:t>Mental Hygiene Act</w:t>
      </w:r>
      <w:r w:rsidRPr="007E5957">
        <w:rPr>
          <w:rFonts w:ascii="Times New Roman" w:hAnsi="Times New Roman"/>
        </w:rPr>
        <w:t xml:space="preserve"> would affect Mr Tait's execution, Mr Scott's counsel submitted that, if Mr Tait were found to be insane, then "it is not to be presumed, or assumed, that the State would do something that was </w:t>
      </w:r>
      <w:r w:rsidRPr="007E5957">
        <w:rPr>
          <w:rFonts w:ascii="Times New Roman" w:hAnsi="Times New Roman"/>
          <w:i/>
          <w:iCs/>
        </w:rPr>
        <w:t>unlawful</w:t>
      </w:r>
      <w:r w:rsidRPr="007E5957">
        <w:rPr>
          <w:rFonts w:ascii="Times New Roman" w:hAnsi="Times New Roman"/>
        </w:rPr>
        <w:t>, namely, execute him" (emphasis added).</w:t>
      </w:r>
      <w:r w:rsidRPr="007E5957">
        <w:rPr>
          <w:rStyle w:val="FootnoteReference"/>
          <w:rFonts w:ascii="Times New Roman" w:hAnsi="Times New Roman"/>
          <w:sz w:val="24"/>
        </w:rPr>
        <w:footnoteReference w:id="219"/>
      </w:r>
      <w:r w:rsidRPr="007E5957">
        <w:rPr>
          <w:rFonts w:ascii="Times New Roman" w:hAnsi="Times New Roman"/>
        </w:rPr>
        <w:t xml:space="preserve"> </w:t>
      </w:r>
    </w:p>
    <w:p w14:paraId="2BB9B45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It was following this submission that Dixon CJ made his famous observation.</w:t>
      </w:r>
      <w:r w:rsidRPr="007E5957">
        <w:rPr>
          <w:rStyle w:val="FootnoteReference"/>
          <w:rFonts w:ascii="Times New Roman" w:hAnsi="Times New Roman"/>
          <w:sz w:val="24"/>
        </w:rPr>
        <w:footnoteReference w:id="220"/>
      </w:r>
      <w:r w:rsidRPr="007E5957">
        <w:rPr>
          <w:rFonts w:ascii="Times New Roman" w:hAnsi="Times New Roman"/>
        </w:rPr>
        <w:t xml:space="preserve"> Dixon CJ's observation was enunciated in a context where it was contended that the courts below had wrongly declined to order a judicial inquiry that, if granted, would, or at least could, have yielded a finding that Mr Tait's execution was unlawful. The timing of the hearing in </w:t>
      </w:r>
      <w:r w:rsidRPr="007E5957">
        <w:rPr>
          <w:rFonts w:ascii="Times New Roman" w:hAnsi="Times New Roman"/>
          <w:i/>
          <w:iCs/>
        </w:rPr>
        <w:t xml:space="preserve">Tait </w:t>
      </w:r>
      <w:r w:rsidRPr="007E5957">
        <w:rPr>
          <w:rFonts w:ascii="Times New Roman" w:hAnsi="Times New Roman"/>
        </w:rPr>
        <w:t>meant that there was no opportunity for this Court to consider the strength of that contention.</w:t>
      </w:r>
      <w:r w:rsidRPr="007E5957">
        <w:rPr>
          <w:rStyle w:val="FootnoteReference"/>
          <w:rFonts w:ascii="Times New Roman" w:hAnsi="Times New Roman"/>
          <w:sz w:val="24"/>
        </w:rPr>
        <w:footnoteReference w:id="221"/>
      </w:r>
      <w:r w:rsidRPr="007E5957">
        <w:rPr>
          <w:rFonts w:ascii="Times New Roman" w:hAnsi="Times New Roman"/>
        </w:rPr>
        <w:t xml:space="preserve"> Nevertheless, in both a legal and practical sense, the preservation of the subject matter of the appeal sought to be brought by Mr Scott required that the execution be stayed, otherwise Mr Scott's contention that Mr Tait's execution would be unlawful would be rendered futile. Put another way, in </w:t>
      </w:r>
      <w:r w:rsidRPr="007E5957">
        <w:rPr>
          <w:rFonts w:ascii="Times New Roman" w:hAnsi="Times New Roman"/>
          <w:i/>
          <w:iCs/>
        </w:rPr>
        <w:t>Tait</w:t>
      </w:r>
      <w:r w:rsidRPr="007E5957">
        <w:rPr>
          <w:rFonts w:ascii="Times New Roman" w:hAnsi="Times New Roman"/>
        </w:rPr>
        <w:t xml:space="preserve"> the lawfulness of the execution was in issue.</w:t>
      </w:r>
      <w:r w:rsidRPr="007E5957">
        <w:rPr>
          <w:rStyle w:val="FootnoteReference"/>
          <w:rFonts w:ascii="Times New Roman" w:hAnsi="Times New Roman"/>
          <w:sz w:val="24"/>
        </w:rPr>
        <w:footnoteReference w:id="222"/>
      </w:r>
      <w:r w:rsidRPr="007E5957">
        <w:rPr>
          <w:rFonts w:ascii="Times New Roman" w:hAnsi="Times New Roman"/>
        </w:rPr>
        <w:t xml:space="preserve"> In this case the lawfulness of the respondent's removal from Australia is not in issue and will still not be in issue even if the respondent is successful following a final hearing. </w:t>
      </w:r>
    </w:p>
    <w:p w14:paraId="0E48D06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Consistent with the approach in </w:t>
      </w:r>
      <w:r w:rsidRPr="007E5957">
        <w:rPr>
          <w:rFonts w:ascii="Times New Roman" w:hAnsi="Times New Roman"/>
          <w:i/>
          <w:iCs/>
        </w:rPr>
        <w:t>Tait</w:t>
      </w:r>
      <w:r w:rsidRPr="007E5957">
        <w:rPr>
          <w:rFonts w:ascii="Times New Roman" w:hAnsi="Times New Roman"/>
        </w:rPr>
        <w:t xml:space="preserve"> and the statement of general principle in </w:t>
      </w:r>
      <w:r w:rsidRPr="007E5957">
        <w:rPr>
          <w:rFonts w:ascii="Times New Roman" w:hAnsi="Times New Roman"/>
          <w:i/>
          <w:iCs/>
        </w:rPr>
        <w:t>Patrick Stevedores</w:t>
      </w:r>
      <w:r w:rsidRPr="007E5957">
        <w:rPr>
          <w:rFonts w:ascii="Times New Roman" w:hAnsi="Times New Roman"/>
        </w:rPr>
        <w:t xml:space="preserve"> </w:t>
      </w:r>
      <w:r w:rsidRPr="007E5957">
        <w:rPr>
          <w:rFonts w:ascii="Times New Roman" w:hAnsi="Times New Roman"/>
          <w:i/>
          <w:iCs/>
        </w:rPr>
        <w:t>Operations No 2 Pty Ltd v Maritime Union of Australia</w:t>
      </w:r>
      <w:r w:rsidRPr="007E5957">
        <w:rPr>
          <w:rFonts w:ascii="Times New Roman" w:hAnsi="Times New Roman"/>
        </w:rPr>
        <w:t>,</w:t>
      </w:r>
      <w:r w:rsidRPr="007E5957">
        <w:rPr>
          <w:rStyle w:val="FootnoteReference"/>
          <w:rFonts w:ascii="Times New Roman" w:hAnsi="Times New Roman"/>
          <w:sz w:val="24"/>
        </w:rPr>
        <w:footnoteReference w:id="223"/>
      </w:r>
      <w:r w:rsidRPr="007E5957">
        <w:rPr>
          <w:rFonts w:ascii="Times New Roman" w:hAnsi="Times New Roman"/>
        </w:rPr>
        <w:t xml:space="preserve"> a narrow view should not be taken of what interlocutory orders a court can make to protect the subject matter of proceedings, including proceedings seeking to vindicate rights that relate to or arise under a statutory scheme. However, interlocutory orders protecting such rights cannot be divorced from the statutory scheme which those rights arise under or relate to. In this case, where the only issue in the proceedings was whether a request for the exercise of the power conferred by s 195A was lawfully dealt with, and there is no issue that the statutory obligation to remove the respondent is engaged, then, like in </w:t>
      </w:r>
      <w:proofErr w:type="spellStart"/>
      <w:r w:rsidRPr="007E5957">
        <w:rPr>
          <w:rFonts w:ascii="Times New Roman" w:hAnsi="Times New Roman"/>
          <w:i/>
          <w:iCs/>
        </w:rPr>
        <w:t>Simsek</w:t>
      </w:r>
      <w:proofErr w:type="spellEnd"/>
      <w:r w:rsidRPr="007E5957">
        <w:rPr>
          <w:rFonts w:ascii="Times New Roman" w:hAnsi="Times New Roman"/>
        </w:rPr>
        <w:t xml:space="preserve">, the power to </w:t>
      </w:r>
      <w:r w:rsidRPr="007E5957">
        <w:rPr>
          <w:rFonts w:ascii="Times New Roman" w:hAnsi="Times New Roman"/>
        </w:rPr>
        <w:lastRenderedPageBreak/>
        <w:t>preserve the subject matter of proceedings cannot be used to "circumvent the safeguard which the requirement that a prima facie case be made out provides".</w:t>
      </w:r>
      <w:r w:rsidRPr="007E5957">
        <w:rPr>
          <w:rStyle w:val="FootnoteReference"/>
          <w:rFonts w:ascii="Times New Roman" w:hAnsi="Times New Roman"/>
          <w:sz w:val="24"/>
        </w:rPr>
        <w:footnoteReference w:id="224"/>
      </w:r>
      <w:r w:rsidRPr="007E5957">
        <w:rPr>
          <w:rFonts w:ascii="Times New Roman" w:hAnsi="Times New Roman"/>
        </w:rPr>
        <w:t xml:space="preserve"> </w:t>
      </w:r>
    </w:p>
    <w:p w14:paraId="1A7045AE" w14:textId="77777777" w:rsidR="004C0687" w:rsidRPr="007E5957" w:rsidRDefault="004C0687" w:rsidP="007E5957">
      <w:pPr>
        <w:pStyle w:val="HeadingL2"/>
        <w:spacing w:after="260" w:line="280" w:lineRule="exact"/>
        <w:ind w:right="0"/>
        <w:jc w:val="both"/>
        <w:rPr>
          <w:rFonts w:ascii="Times New Roman" w:hAnsi="Times New Roman"/>
        </w:rPr>
      </w:pPr>
      <w:r w:rsidRPr="007E5957">
        <w:rPr>
          <w:rFonts w:ascii="Times New Roman" w:hAnsi="Times New Roman"/>
        </w:rPr>
        <w:t>Section 198(6) "accommodates" the injunction</w:t>
      </w:r>
    </w:p>
    <w:p w14:paraId="602DEF83"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A further basis for the grant of the interlocutory injunction is said to be that the obligation to remove an unlawful non</w:t>
      </w:r>
      <w:r w:rsidRPr="007E5957">
        <w:rPr>
          <w:rFonts w:ascii="Times New Roman" w:hAnsi="Times New Roman"/>
        </w:rPr>
        <w:noBreakHyphen/>
        <w:t>citizen in s 198(6) should be construed so that it "accommodates" the grant of an interlocutory injunction restraining the removal of a non</w:t>
      </w:r>
      <w:r w:rsidRPr="007E5957">
        <w:rPr>
          <w:rFonts w:ascii="Times New Roman" w:hAnsi="Times New Roman"/>
        </w:rPr>
        <w:noBreakHyphen/>
        <w:t>citizen. It was contended that if there is such an injunction in place then it is not "reasonably practicable" to remove the non</w:t>
      </w:r>
      <w:r w:rsidRPr="007E5957">
        <w:rPr>
          <w:rFonts w:ascii="Times New Roman" w:hAnsi="Times New Roman"/>
        </w:rPr>
        <w:noBreakHyphen/>
        <w:t xml:space="preserve">citizen. </w:t>
      </w:r>
    </w:p>
    <w:p w14:paraId="5D4A637B"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If the effect of this contention is that, where an interlocutory injunction restraining the removal of a non-citizen has been made, then officers will not be in breach of any legal duty, including that imposed by s 198(6), by observing the injunction, then it may be accepted. However, if the contention is meant to have any significance beyond that, then it should be rejected. The issue in this appeal is whether the interlocutory injunction should have been granted in the first place. Such an injunction could only be granted if it were apprehended that an unlawful non</w:t>
      </w:r>
      <w:r w:rsidRPr="007E5957">
        <w:rPr>
          <w:rFonts w:ascii="Times New Roman" w:hAnsi="Times New Roman"/>
        </w:rPr>
        <w:noBreakHyphen/>
        <w:t>citizen such as the respondent would be removed from Australia. The only persons who could be injuncted were the officers threatening to remove the respondent and the only source of their obligation and power to do so is s 198(6). For the reasons already stated, unless the respondent's case for the grant of the injunction engaged, at least at a prima facie level, with the existence of that obligation, then the injunction should not have been granted. If it had not been granted, then the duty imposed by s 198(6) would have been required to be performed. Since the injunction was granted, then it had to be observed.</w:t>
      </w:r>
    </w:p>
    <w:p w14:paraId="09D75F4C" w14:textId="77777777" w:rsidR="004C0687" w:rsidRPr="007E5957" w:rsidRDefault="004C0687" w:rsidP="007E5957">
      <w:pPr>
        <w:pStyle w:val="HeadingL2"/>
        <w:spacing w:after="260" w:line="280" w:lineRule="exact"/>
        <w:ind w:right="0"/>
        <w:jc w:val="both"/>
        <w:rPr>
          <w:rFonts w:ascii="Times New Roman" w:hAnsi="Times New Roman"/>
        </w:rPr>
      </w:pPr>
      <w:r w:rsidRPr="007E5957">
        <w:rPr>
          <w:rFonts w:ascii="Times New Roman" w:hAnsi="Times New Roman"/>
        </w:rPr>
        <w:t xml:space="preserve">Chapter III of the Constitution </w:t>
      </w:r>
    </w:p>
    <w:p w14:paraId="266F9285" w14:textId="77777777" w:rsidR="004C0687" w:rsidRPr="007E595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 xml:space="preserve">Lastly, the respondent contended that, if the effect of s 198(6) of the </w:t>
      </w:r>
      <w:r w:rsidRPr="007E5957">
        <w:rPr>
          <w:rFonts w:ascii="Times New Roman" w:hAnsi="Times New Roman"/>
          <w:i/>
          <w:iCs/>
        </w:rPr>
        <w:t>Migration Act</w:t>
      </w:r>
      <w:r w:rsidRPr="007E5957">
        <w:rPr>
          <w:rFonts w:ascii="Times New Roman" w:hAnsi="Times New Roman"/>
        </w:rPr>
        <w:t xml:space="preserve"> is that the Federal Court did not have the power to grant the interlocutory injunction, then the provision was invalid to that extent because it deprived the Federal Court of an essential characteristic of a court, namely the capacity to protect its own processes by granting interlocutory relief to preserve the subject matter of proceedings of the kind commenced by the respondent. However, the above conclusion does not rest upon the contention that the Federal Court does not have the power to grant an interlocutory injunction to protect the subject matter of its own proceedings. Instead, the conclusion follows from the fact that the interlocutory injunction granted by the Federal Court went beyond what was necessary to protect the subject matter of the proceedings and created different rights and obligations to the statutory scheme to which that subject matter related. In those circumstances no question regarding Ch III of the </w:t>
      </w:r>
      <w:r w:rsidRPr="007E5957">
        <w:rPr>
          <w:rFonts w:ascii="Times New Roman" w:hAnsi="Times New Roman"/>
          <w:i/>
          <w:iCs/>
        </w:rPr>
        <w:t>Constitution</w:t>
      </w:r>
      <w:r w:rsidRPr="007E5957">
        <w:rPr>
          <w:rFonts w:ascii="Times New Roman" w:hAnsi="Times New Roman"/>
        </w:rPr>
        <w:t xml:space="preserve"> arises.</w:t>
      </w:r>
    </w:p>
    <w:p w14:paraId="2154BCBA" w14:textId="77777777" w:rsidR="004C0687" w:rsidRPr="007E5957" w:rsidRDefault="004C0687" w:rsidP="007E5957">
      <w:pPr>
        <w:pStyle w:val="HeadingL1"/>
        <w:spacing w:after="260" w:line="280" w:lineRule="exact"/>
        <w:ind w:right="0"/>
        <w:jc w:val="both"/>
        <w:rPr>
          <w:rFonts w:ascii="Times New Roman" w:hAnsi="Times New Roman"/>
        </w:rPr>
      </w:pPr>
      <w:r w:rsidRPr="007E5957">
        <w:rPr>
          <w:rFonts w:ascii="Times New Roman" w:hAnsi="Times New Roman"/>
        </w:rPr>
        <w:lastRenderedPageBreak/>
        <w:t>Outcome of the appeal</w:t>
      </w:r>
    </w:p>
    <w:p w14:paraId="4AD8FF31" w14:textId="77777777" w:rsidR="004C0687" w:rsidRDefault="004C0687" w:rsidP="007E5957">
      <w:pPr>
        <w:pStyle w:val="FixListStyle"/>
        <w:spacing w:after="260" w:line="280" w:lineRule="exact"/>
        <w:ind w:right="0"/>
        <w:jc w:val="both"/>
        <w:rPr>
          <w:rFonts w:ascii="Times New Roman" w:hAnsi="Times New Roman"/>
        </w:rPr>
      </w:pPr>
      <w:r w:rsidRPr="007E5957">
        <w:rPr>
          <w:rFonts w:ascii="Times New Roman" w:hAnsi="Times New Roman"/>
        </w:rPr>
        <w:tab/>
        <w:t>The appeal should be allowed, the order of the Full Court dismissing the appeal should be set aside and, in lieu thereof, the appeal to that Court should be allowed, the interlocutory injunction granted by the primary judge should be set aside and the respondent's application for interlocutory relief should be dismissed.</w:t>
      </w:r>
    </w:p>
    <w:p w14:paraId="3A94976B" w14:textId="77777777" w:rsidR="004C0687" w:rsidRDefault="004C0687" w:rsidP="0008583C">
      <w:pPr>
        <w:pStyle w:val="FixListStyle"/>
        <w:numPr>
          <w:ilvl w:val="0"/>
          <w:numId w:val="0"/>
        </w:numPr>
        <w:spacing w:after="260" w:line="280" w:lineRule="exact"/>
        <w:ind w:right="0"/>
        <w:jc w:val="both"/>
        <w:rPr>
          <w:rFonts w:ascii="Times New Roman" w:hAnsi="Times New Roman"/>
        </w:rPr>
        <w:sectPr w:rsidR="004C0687" w:rsidSect="004C0687">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50A8A49D" w14:textId="77259988" w:rsidR="00A42F6D" w:rsidRPr="00191C99" w:rsidRDefault="00A42F6D" w:rsidP="004C0687">
      <w:pPr>
        <w:pStyle w:val="NormalBody"/>
      </w:pPr>
    </w:p>
    <w:sectPr w:rsidR="00A42F6D" w:rsidRPr="00191C99" w:rsidSect="004C0687">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EDB1" w14:textId="77777777" w:rsidR="00483893" w:rsidRDefault="00483893">
      <w:pPr>
        <w:spacing w:line="240" w:lineRule="auto"/>
      </w:pPr>
      <w:r>
        <w:separator/>
      </w:r>
    </w:p>
  </w:endnote>
  <w:endnote w:type="continuationSeparator" w:id="0">
    <w:p w14:paraId="50F20578" w14:textId="77777777" w:rsidR="00483893" w:rsidRDefault="00483893">
      <w:pPr>
        <w:spacing w:line="240" w:lineRule="auto"/>
      </w:pPr>
      <w:r>
        <w:continuationSeparator/>
      </w:r>
    </w:p>
  </w:endnote>
  <w:endnote w:type="continuationNotice" w:id="1">
    <w:p w14:paraId="00BF7554" w14:textId="77777777" w:rsidR="00483893" w:rsidRDefault="004838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21C" w14:textId="77777777" w:rsidR="001F4795" w:rsidRDefault="001F4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C737" w14:textId="77777777" w:rsidR="001F4795" w:rsidRDefault="001F4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7D40" w14:textId="77777777" w:rsidR="001F4795" w:rsidRDefault="001F47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65A0" w14:textId="77777777" w:rsidR="001F4795" w:rsidRDefault="001F47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2528" w14:textId="77777777" w:rsidR="001F4795" w:rsidRDefault="001F47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BB36" w14:textId="77777777" w:rsidR="001F4795" w:rsidRDefault="001F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8ECD" w14:textId="77777777" w:rsidR="00483893" w:rsidRPr="00191C99" w:rsidRDefault="00483893" w:rsidP="00191C99">
      <w:pPr>
        <w:pStyle w:val="Footer"/>
        <w:spacing w:before="120" w:after="20"/>
        <w:ind w:right="0"/>
        <w:rPr>
          <w:rFonts w:ascii="Times New Roman" w:hAnsi="Times New Roman"/>
        </w:rPr>
      </w:pPr>
      <w:r>
        <w:continuationSeparator/>
      </w:r>
    </w:p>
  </w:footnote>
  <w:footnote w:type="continuationSeparator" w:id="0">
    <w:p w14:paraId="4CF26A64" w14:textId="77777777" w:rsidR="00483893" w:rsidRPr="00191C99" w:rsidRDefault="00483893" w:rsidP="00191C99">
      <w:pPr>
        <w:pStyle w:val="Footer"/>
        <w:spacing w:before="120" w:after="20"/>
        <w:ind w:right="0"/>
        <w:rPr>
          <w:rFonts w:ascii="Times New Roman" w:hAnsi="Times New Roman"/>
        </w:rPr>
      </w:pPr>
      <w:r w:rsidRPr="00191C99">
        <w:rPr>
          <w:rFonts w:ascii="Times New Roman" w:hAnsi="Times New Roman"/>
        </w:rPr>
        <w:continuationSeparator/>
      </w:r>
    </w:p>
  </w:footnote>
  <w:footnote w:type="continuationNotice" w:id="1">
    <w:p w14:paraId="1062A616" w14:textId="77777777" w:rsidR="00483893" w:rsidRPr="004C0687" w:rsidRDefault="00483893">
      <w:pPr>
        <w:jc w:val="right"/>
        <w:rPr>
          <w:rFonts w:ascii="Times New Roman" w:hAnsi="Times New Roman"/>
          <w:sz w:val="24"/>
        </w:rPr>
      </w:pPr>
    </w:p>
  </w:footnote>
  <w:footnote w:id="2">
    <w:p w14:paraId="5030F561" w14:textId="3B150D86" w:rsidR="00FB560B" w:rsidRPr="00191C99" w:rsidRDefault="00FB560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(2023) 97 ALJR 214 at 263-264 [251]-[254], 270 [292], 271 [302], 272 [310], 273 [313], 273 [315], 274 [319]; 408 ALR 381 at 443-444, 452, 454, 456</w:t>
      </w:r>
      <w:r w:rsidR="00D36322" w:rsidRPr="00191C99">
        <w:rPr>
          <w:rFonts w:ascii="Times New Roman" w:hAnsi="Times New Roman"/>
          <w:sz w:val="24"/>
        </w:rPr>
        <w:t>-</w:t>
      </w:r>
      <w:r w:rsidRPr="00191C99">
        <w:rPr>
          <w:rFonts w:ascii="Times New Roman" w:hAnsi="Times New Roman"/>
          <w:sz w:val="24"/>
        </w:rPr>
        <w:t>457.</w:t>
      </w:r>
    </w:p>
  </w:footnote>
  <w:footnote w:id="3">
    <w:p w14:paraId="3EF3C72C" w14:textId="77777777" w:rsidR="008527BD" w:rsidRPr="00191C99" w:rsidRDefault="008527B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Tait v The Queen</w:t>
      </w:r>
      <w:r w:rsidRPr="00191C99">
        <w:rPr>
          <w:rFonts w:ascii="Times New Roman" w:hAnsi="Times New Roman"/>
          <w:sz w:val="24"/>
        </w:rPr>
        <w:t xml:space="preserve"> (1962) 108 CLR 620 at 623.</w:t>
      </w:r>
    </w:p>
  </w:footnote>
  <w:footnote w:id="4">
    <w:p w14:paraId="66DA1A6E" w14:textId="0D0FB36D" w:rsidR="007D4DFE" w:rsidRPr="00191C99" w:rsidRDefault="007D4DF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00C544C4" w:rsidRPr="00191C99">
        <w:rPr>
          <w:rFonts w:ascii="Times New Roman" w:hAnsi="Times New Roman"/>
          <w:sz w:val="24"/>
        </w:rPr>
        <w:tab/>
      </w:r>
      <w:r w:rsidR="00C544C4" w:rsidRPr="00191C99">
        <w:rPr>
          <w:rFonts w:ascii="Times New Roman" w:hAnsi="Times New Roman"/>
          <w:i/>
          <w:iCs/>
          <w:sz w:val="24"/>
        </w:rPr>
        <w:t xml:space="preserve">Patrick Stevedores </w:t>
      </w:r>
      <w:r w:rsidR="00F336B1" w:rsidRPr="00191C99">
        <w:rPr>
          <w:rFonts w:ascii="Times New Roman" w:hAnsi="Times New Roman"/>
          <w:i/>
          <w:iCs/>
          <w:sz w:val="24"/>
        </w:rPr>
        <w:t>Operations No 2 Pty Ltd v Maritime Union of Australia</w:t>
      </w:r>
      <w:r w:rsidR="00F336B1" w:rsidRPr="00191C99">
        <w:rPr>
          <w:rFonts w:ascii="Times New Roman" w:hAnsi="Times New Roman"/>
          <w:sz w:val="24"/>
        </w:rPr>
        <w:t xml:space="preserve"> </w:t>
      </w:r>
      <w:r w:rsidR="00AF5497" w:rsidRPr="00191C99">
        <w:rPr>
          <w:rFonts w:ascii="Times New Roman" w:hAnsi="Times New Roman"/>
          <w:sz w:val="24"/>
        </w:rPr>
        <w:t>(1998) 195 CLR 1 at 33 [35]</w:t>
      </w:r>
      <w:r w:rsidR="00D12387" w:rsidRPr="00191C99">
        <w:rPr>
          <w:rFonts w:ascii="Times New Roman" w:hAnsi="Times New Roman"/>
          <w:sz w:val="24"/>
        </w:rPr>
        <w:t xml:space="preserve">, citing </w:t>
      </w:r>
      <w:r w:rsidR="00BB7D5D" w:rsidRPr="00191C99">
        <w:rPr>
          <w:rFonts w:ascii="Times New Roman" w:hAnsi="Times New Roman"/>
          <w:i/>
          <w:iCs/>
          <w:sz w:val="24"/>
        </w:rPr>
        <w:t>Tait v The Queen</w:t>
      </w:r>
      <w:r w:rsidR="00BB7D5D" w:rsidRPr="00191C99">
        <w:rPr>
          <w:rFonts w:ascii="Times New Roman" w:hAnsi="Times New Roman"/>
          <w:sz w:val="24"/>
        </w:rPr>
        <w:t xml:space="preserve"> (1962) 108 CLR 620.</w:t>
      </w:r>
    </w:p>
  </w:footnote>
  <w:footnote w:id="5">
    <w:p w14:paraId="0CE91EB4" w14:textId="4F18C5BA" w:rsidR="007D4DFE" w:rsidRPr="00191C99" w:rsidRDefault="007D4DF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And, where applicable, the other courts having such jurisdiction in respect of a proceeding of a kind brought by the respondent, being this Court and the Federal Circuit and Family Court of Australia (Division 2).</w:t>
      </w:r>
    </w:p>
  </w:footnote>
  <w:footnote w:id="6">
    <w:p w14:paraId="5E726C48" w14:textId="10AAB540" w:rsidR="000E155B" w:rsidRPr="00191C99" w:rsidRDefault="000E155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989 at [</w:t>
      </w:r>
      <w:r w:rsidR="00957429" w:rsidRPr="00191C99">
        <w:rPr>
          <w:rFonts w:ascii="Times New Roman" w:hAnsi="Times New Roman"/>
          <w:sz w:val="24"/>
        </w:rPr>
        <w:t>2</w:t>
      </w:r>
      <w:r w:rsidRPr="00191C99">
        <w:rPr>
          <w:rFonts w:ascii="Times New Roman" w:hAnsi="Times New Roman"/>
          <w:sz w:val="24"/>
        </w:rPr>
        <w:t>].</w:t>
      </w:r>
    </w:p>
  </w:footnote>
  <w:footnote w:id="7">
    <w:p w14:paraId="5A9BDA1C" w14:textId="03DF585C" w:rsidR="00286049" w:rsidRPr="00191C99" w:rsidRDefault="00286049"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BF08AC" w:rsidRPr="00191C99">
        <w:rPr>
          <w:rFonts w:ascii="Times New Roman" w:hAnsi="Times New Roman"/>
          <w:i/>
          <w:iCs/>
          <w:sz w:val="24"/>
        </w:rPr>
        <w:t>MZAPC v Minister for Immigration, Citizenship and Multicultural Affairs</w:t>
      </w:r>
      <w:r w:rsidR="00BF08AC" w:rsidRPr="00191C99">
        <w:rPr>
          <w:rFonts w:ascii="Times New Roman" w:hAnsi="Times New Roman"/>
          <w:sz w:val="24"/>
        </w:rPr>
        <w:t xml:space="preserve"> [2023] FCA 989 at [13].</w:t>
      </w:r>
    </w:p>
  </w:footnote>
  <w:footnote w:id="8">
    <w:p w14:paraId="1B3C0C09" w14:textId="78DD1514" w:rsidR="00BF08AC" w:rsidRPr="00191C99" w:rsidRDefault="00BF08AC"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653D25" w:rsidRPr="00191C99">
        <w:rPr>
          <w:rFonts w:ascii="Times New Roman" w:hAnsi="Times New Roman"/>
          <w:i/>
          <w:iCs/>
          <w:sz w:val="24"/>
        </w:rPr>
        <w:t>MZAPC v Minister for Immigration, Citizenship and Multicultural Affairs</w:t>
      </w:r>
      <w:r w:rsidR="00653D25" w:rsidRPr="00191C99">
        <w:rPr>
          <w:rFonts w:ascii="Times New Roman" w:hAnsi="Times New Roman"/>
          <w:sz w:val="24"/>
        </w:rPr>
        <w:t xml:space="preserve"> [2023] FCA 989 at [14].</w:t>
      </w:r>
    </w:p>
  </w:footnote>
  <w:footnote w:id="9">
    <w:p w14:paraId="745BEB4A" w14:textId="1437AEF7" w:rsidR="00030416" w:rsidRPr="00191C99" w:rsidRDefault="00030416"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044233" w:rsidRPr="00191C99">
        <w:rPr>
          <w:rFonts w:ascii="Times New Roman" w:hAnsi="Times New Roman"/>
          <w:i/>
          <w:iCs/>
          <w:sz w:val="24"/>
        </w:rPr>
        <w:t>MZAPC v Minister for Immigration, Citizenship and Multicultural Affairs</w:t>
      </w:r>
      <w:r w:rsidR="00044233" w:rsidRPr="00191C99">
        <w:rPr>
          <w:rFonts w:ascii="Times New Roman" w:hAnsi="Times New Roman"/>
          <w:sz w:val="24"/>
        </w:rPr>
        <w:t xml:space="preserve"> [2023] FCA 989 at [49].</w:t>
      </w:r>
    </w:p>
  </w:footnote>
  <w:footnote w:id="10">
    <w:p w14:paraId="380C7614" w14:textId="24E06442" w:rsidR="006A6AC4" w:rsidRPr="00191C99" w:rsidRDefault="006A6AC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989 at </w:t>
      </w:r>
      <w:r w:rsidR="00BE7701" w:rsidRPr="00191C99">
        <w:rPr>
          <w:rFonts w:ascii="Times New Roman" w:hAnsi="Times New Roman"/>
          <w:sz w:val="24"/>
        </w:rPr>
        <w:t>[73].</w:t>
      </w:r>
    </w:p>
  </w:footnote>
  <w:footnote w:id="11">
    <w:p w14:paraId="792F7F37" w14:textId="20FE61C5" w:rsidR="00922F98" w:rsidRPr="00191C99" w:rsidRDefault="00922F98"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989 at [52].</w:t>
      </w:r>
    </w:p>
  </w:footnote>
  <w:footnote w:id="12">
    <w:p w14:paraId="5D556F5F" w14:textId="16A660A1" w:rsidR="00E7036F" w:rsidRPr="00191C99" w:rsidRDefault="00E7036F"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989 at [67].</w:t>
      </w:r>
    </w:p>
  </w:footnote>
  <w:footnote w:id="13">
    <w:p w14:paraId="7BD1A05C" w14:textId="23864C8E" w:rsidR="009D63E0" w:rsidRPr="00191C99" w:rsidRDefault="009D63E0"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7E0365" w:rsidRPr="00191C99">
        <w:rPr>
          <w:rFonts w:ascii="Times New Roman" w:hAnsi="Times New Roman"/>
          <w:i/>
          <w:iCs/>
          <w:sz w:val="24"/>
        </w:rPr>
        <w:t>MZAPC v Minister for Immigration, Citizenship and Multicultural Affairs</w:t>
      </w:r>
      <w:r w:rsidR="007E0365" w:rsidRPr="00191C99">
        <w:rPr>
          <w:rFonts w:ascii="Times New Roman" w:hAnsi="Times New Roman"/>
          <w:sz w:val="24"/>
        </w:rPr>
        <w:t xml:space="preserve"> [2023] FCA 989 at [57].</w:t>
      </w:r>
    </w:p>
  </w:footnote>
  <w:footnote w:id="14">
    <w:p w14:paraId="47D579E0" w14:textId="3573B1E5" w:rsidR="000502B1" w:rsidRPr="00191C99" w:rsidRDefault="000502B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3448DD" w:rsidRPr="00191C99">
        <w:rPr>
          <w:rFonts w:ascii="Times New Roman" w:hAnsi="Times New Roman"/>
          <w:i/>
          <w:iCs/>
          <w:sz w:val="24"/>
        </w:rPr>
        <w:t>MZAPC v Minister for Immigration, Citizenship and Multicultural Affairs</w:t>
      </w:r>
      <w:r w:rsidR="003448DD" w:rsidRPr="00191C99">
        <w:rPr>
          <w:rFonts w:ascii="Times New Roman" w:hAnsi="Times New Roman"/>
          <w:sz w:val="24"/>
        </w:rPr>
        <w:t xml:space="preserve"> [2023] FCA 989 at [75].</w:t>
      </w:r>
    </w:p>
  </w:footnote>
  <w:footnote w:id="15">
    <w:p w14:paraId="7E27AF16" w14:textId="4DF5A147" w:rsidR="00EE4DFD" w:rsidRPr="00191C99" w:rsidRDefault="00EE4DF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8865C3" w:rsidRPr="00191C99">
        <w:rPr>
          <w:rFonts w:ascii="Times New Roman" w:hAnsi="Times New Roman"/>
          <w:i/>
          <w:iCs/>
          <w:sz w:val="24"/>
        </w:rPr>
        <w:t>Minister for Immigration, Citizenship and Multicultural Affairs v MZAPC</w:t>
      </w:r>
      <w:r w:rsidR="008865C3" w:rsidRPr="00191C99">
        <w:rPr>
          <w:rFonts w:ascii="Times New Roman" w:hAnsi="Times New Roman"/>
          <w:sz w:val="24"/>
        </w:rPr>
        <w:t xml:space="preserve"> (2024) 302 FCR </w:t>
      </w:r>
      <w:r w:rsidR="00AB267D" w:rsidRPr="00191C99">
        <w:rPr>
          <w:rFonts w:ascii="Times New Roman" w:hAnsi="Times New Roman"/>
          <w:sz w:val="24"/>
        </w:rPr>
        <w:t>159.</w:t>
      </w:r>
    </w:p>
  </w:footnote>
  <w:footnote w:id="16">
    <w:p w14:paraId="5C61A2B3" w14:textId="50881A30" w:rsidR="00AE3D57" w:rsidRPr="00191C99" w:rsidRDefault="00AE3D5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D033E0" w:rsidRPr="00191C99">
        <w:rPr>
          <w:rFonts w:ascii="Times New Roman" w:hAnsi="Times New Roman"/>
          <w:i/>
          <w:iCs/>
          <w:sz w:val="24"/>
        </w:rPr>
        <w:t>Minister for Immigration, Citizenship and Multicultural Affairs v MZAPC</w:t>
      </w:r>
      <w:r w:rsidR="00D033E0" w:rsidRPr="00191C99">
        <w:rPr>
          <w:rFonts w:ascii="Times New Roman" w:hAnsi="Times New Roman"/>
          <w:sz w:val="24"/>
        </w:rPr>
        <w:t xml:space="preserve"> (2024) 302 FCR 159 at 174 [54].</w:t>
      </w:r>
    </w:p>
  </w:footnote>
  <w:footnote w:id="17">
    <w:p w14:paraId="2E6D2A5D" w14:textId="10DEDD39" w:rsidR="00213F11" w:rsidRPr="00191C99" w:rsidRDefault="00213F1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Minister for Immigration, Citizenship and Multicultural Affairs v MZAPC</w:t>
      </w:r>
      <w:r w:rsidRPr="00191C99">
        <w:rPr>
          <w:rFonts w:ascii="Times New Roman" w:hAnsi="Times New Roman"/>
          <w:sz w:val="24"/>
        </w:rPr>
        <w:t xml:space="preserve"> (2024) 302 FCR 159 at </w:t>
      </w:r>
      <w:r w:rsidR="007116BE" w:rsidRPr="00191C99">
        <w:rPr>
          <w:rFonts w:ascii="Times New Roman" w:hAnsi="Times New Roman"/>
          <w:sz w:val="24"/>
        </w:rPr>
        <w:t xml:space="preserve">183 </w:t>
      </w:r>
      <w:r w:rsidRPr="00191C99">
        <w:rPr>
          <w:rFonts w:ascii="Times New Roman" w:hAnsi="Times New Roman"/>
          <w:sz w:val="24"/>
        </w:rPr>
        <w:t>[97].</w:t>
      </w:r>
    </w:p>
  </w:footnote>
  <w:footnote w:id="18">
    <w:p w14:paraId="14038D88" w14:textId="50D99DE3" w:rsidR="00635F2E" w:rsidRPr="00191C99" w:rsidRDefault="00635F2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Minister for Immigration, Citizenship and Multicultural Affairs v MZAPC</w:t>
      </w:r>
      <w:r w:rsidRPr="00191C99">
        <w:rPr>
          <w:rFonts w:ascii="Times New Roman" w:hAnsi="Times New Roman"/>
          <w:sz w:val="24"/>
        </w:rPr>
        <w:t xml:space="preserve"> (2024) 302 FCR 159 at </w:t>
      </w:r>
      <w:r w:rsidR="00AE48FD" w:rsidRPr="00191C99">
        <w:rPr>
          <w:rFonts w:ascii="Times New Roman" w:hAnsi="Times New Roman"/>
          <w:sz w:val="24"/>
        </w:rPr>
        <w:t xml:space="preserve">188 </w:t>
      </w:r>
      <w:r w:rsidRPr="00191C99">
        <w:rPr>
          <w:rFonts w:ascii="Times New Roman" w:hAnsi="Times New Roman"/>
          <w:sz w:val="24"/>
        </w:rPr>
        <w:t>[130].</w:t>
      </w:r>
    </w:p>
  </w:footnote>
  <w:footnote w:id="19">
    <w:p w14:paraId="6367435D" w14:textId="7928A148" w:rsidR="00A40245" w:rsidRPr="00191C99" w:rsidRDefault="00A40245"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Minister for Immigration, Citizenship and Multicultural Affairs v MZAPC</w:t>
      </w:r>
      <w:r w:rsidRPr="00191C99">
        <w:rPr>
          <w:rFonts w:ascii="Times New Roman" w:hAnsi="Times New Roman"/>
          <w:sz w:val="24"/>
        </w:rPr>
        <w:t xml:space="preserve"> (2024) 302 FCR 159 at 189 [133].</w:t>
      </w:r>
    </w:p>
  </w:footnote>
  <w:footnote w:id="20">
    <w:p w14:paraId="59D8862A" w14:textId="45B454E0" w:rsidR="00DF4F43" w:rsidRPr="00191C99" w:rsidRDefault="00DF4F43"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[2023] FCA 877.</w:t>
      </w:r>
    </w:p>
  </w:footnote>
  <w:footnote w:id="21">
    <w:p w14:paraId="5E76DD39" w14:textId="650E7DDF" w:rsidR="00B73E77" w:rsidRPr="00191C99" w:rsidRDefault="00B73E7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EE1927" w:rsidRPr="00191C99">
        <w:rPr>
          <w:rFonts w:ascii="Times New Roman" w:hAnsi="Times New Roman"/>
          <w:sz w:val="24"/>
        </w:rPr>
        <w:t>(</w:t>
      </w:r>
      <w:r w:rsidR="00470153" w:rsidRPr="00191C99">
        <w:rPr>
          <w:rFonts w:ascii="Times New Roman" w:hAnsi="Times New Roman"/>
          <w:sz w:val="24"/>
        </w:rPr>
        <w:t>2023</w:t>
      </w:r>
      <w:r w:rsidR="00EE1927" w:rsidRPr="00191C99">
        <w:rPr>
          <w:rFonts w:ascii="Times New Roman" w:hAnsi="Times New Roman"/>
          <w:sz w:val="24"/>
        </w:rPr>
        <w:t>)</w:t>
      </w:r>
      <w:r w:rsidR="00470153" w:rsidRPr="00191C99">
        <w:rPr>
          <w:rFonts w:ascii="Times New Roman" w:hAnsi="Times New Roman"/>
          <w:sz w:val="24"/>
        </w:rPr>
        <w:t xml:space="preserve"> </w:t>
      </w:r>
      <w:r w:rsidR="00EE1927" w:rsidRPr="00191C99">
        <w:rPr>
          <w:rFonts w:ascii="Times New Roman" w:hAnsi="Times New Roman"/>
          <w:sz w:val="24"/>
        </w:rPr>
        <w:t xml:space="preserve">300 </w:t>
      </w:r>
      <w:r w:rsidR="00470153" w:rsidRPr="00191C99">
        <w:rPr>
          <w:rFonts w:ascii="Times New Roman" w:hAnsi="Times New Roman"/>
          <w:sz w:val="24"/>
        </w:rPr>
        <w:t>FC</w:t>
      </w:r>
      <w:r w:rsidR="00EE1927" w:rsidRPr="00191C99">
        <w:rPr>
          <w:rFonts w:ascii="Times New Roman" w:hAnsi="Times New Roman"/>
          <w:sz w:val="24"/>
        </w:rPr>
        <w:t>R</w:t>
      </w:r>
      <w:r w:rsidR="00470153" w:rsidRPr="00191C99">
        <w:rPr>
          <w:rFonts w:ascii="Times New Roman" w:hAnsi="Times New Roman"/>
          <w:sz w:val="24"/>
        </w:rPr>
        <w:t xml:space="preserve"> </w:t>
      </w:r>
      <w:r w:rsidR="00EE1927" w:rsidRPr="00191C99">
        <w:rPr>
          <w:rFonts w:ascii="Times New Roman" w:hAnsi="Times New Roman"/>
          <w:sz w:val="24"/>
        </w:rPr>
        <w:t>143</w:t>
      </w:r>
      <w:r w:rsidR="00470153" w:rsidRPr="00191C99">
        <w:rPr>
          <w:rFonts w:ascii="Times New Roman" w:hAnsi="Times New Roman"/>
          <w:sz w:val="24"/>
        </w:rPr>
        <w:t>.</w:t>
      </w:r>
    </w:p>
  </w:footnote>
  <w:footnote w:id="22">
    <w:p w14:paraId="2A0E3DEF" w14:textId="4947C447" w:rsidR="00470153" w:rsidRPr="00191C99" w:rsidRDefault="00470153"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BC6B31" w:rsidRPr="00191C99">
        <w:rPr>
          <w:rFonts w:ascii="Times New Roman" w:hAnsi="Times New Roman"/>
          <w:sz w:val="24"/>
        </w:rPr>
        <w:t>[2023] FCA 1326.</w:t>
      </w:r>
    </w:p>
  </w:footnote>
  <w:footnote w:id="23">
    <w:p w14:paraId="68B8755F" w14:textId="3E1CFCCF" w:rsidR="00867E06" w:rsidRPr="00191C99" w:rsidRDefault="00867E06"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82698A" w:rsidRPr="00191C99">
        <w:rPr>
          <w:rFonts w:ascii="Times New Roman" w:hAnsi="Times New Roman"/>
          <w:i/>
          <w:iCs/>
          <w:sz w:val="24"/>
        </w:rPr>
        <w:t>MZAPC v Minister for Immigration, Citizenship and Multicultural Affairs</w:t>
      </w:r>
      <w:r w:rsidR="0082698A" w:rsidRPr="00191C99">
        <w:rPr>
          <w:rFonts w:ascii="Times New Roman" w:hAnsi="Times New Roman"/>
          <w:sz w:val="24"/>
        </w:rPr>
        <w:t xml:space="preserve"> [2023] FCA 877 </w:t>
      </w:r>
      <w:r w:rsidRPr="00191C99">
        <w:rPr>
          <w:rFonts w:ascii="Times New Roman" w:hAnsi="Times New Roman"/>
          <w:sz w:val="24"/>
        </w:rPr>
        <w:t>at [1].</w:t>
      </w:r>
    </w:p>
  </w:footnote>
  <w:footnote w:id="24">
    <w:p w14:paraId="1261D120" w14:textId="2BE1DAA3" w:rsidR="0050510D" w:rsidRPr="00191C99" w:rsidRDefault="0050510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Section 3A</w:t>
      </w:r>
      <w:r w:rsidR="006748B8" w:rsidRPr="00191C99">
        <w:rPr>
          <w:rFonts w:ascii="Times New Roman" w:hAnsi="Times New Roman"/>
          <w:sz w:val="24"/>
        </w:rPr>
        <w:t>(1)</w:t>
      </w:r>
      <w:r w:rsidRPr="00191C99">
        <w:rPr>
          <w:rFonts w:ascii="Times New Roman" w:hAnsi="Times New Roman"/>
          <w:sz w:val="24"/>
        </w:rPr>
        <w:t xml:space="preserve"> provides, in part, that </w:t>
      </w:r>
      <w:r w:rsidR="00D40159" w:rsidRPr="00191C99">
        <w:rPr>
          <w:rFonts w:ascii="Times New Roman" w:hAnsi="Times New Roman"/>
          <w:sz w:val="24"/>
        </w:rPr>
        <w:t xml:space="preserve">if a provision of the </w:t>
      </w:r>
      <w:r w:rsidR="00D40159" w:rsidRPr="00191C99">
        <w:rPr>
          <w:rFonts w:ascii="Times New Roman" w:hAnsi="Times New Roman"/>
          <w:i/>
          <w:iCs/>
          <w:sz w:val="24"/>
        </w:rPr>
        <w:t>Migration Act</w:t>
      </w:r>
      <w:r w:rsidR="00D40159" w:rsidRPr="00191C99">
        <w:rPr>
          <w:rFonts w:ascii="Times New Roman" w:hAnsi="Times New Roman"/>
          <w:sz w:val="24"/>
        </w:rPr>
        <w:t xml:space="preserve"> would have an invalid application and </w:t>
      </w:r>
      <w:r w:rsidR="001F450C" w:rsidRPr="00191C99">
        <w:rPr>
          <w:rFonts w:ascii="Times New Roman" w:hAnsi="Times New Roman"/>
          <w:sz w:val="24"/>
        </w:rPr>
        <w:t>at least one valid application "it is the Parliament</w:t>
      </w:r>
      <w:r w:rsidR="00936CE4" w:rsidRPr="00191C99">
        <w:rPr>
          <w:rFonts w:ascii="Times New Roman" w:hAnsi="Times New Roman"/>
          <w:sz w:val="24"/>
        </w:rPr>
        <w:t>'</w:t>
      </w:r>
      <w:r w:rsidR="001F450C" w:rsidRPr="00191C99">
        <w:rPr>
          <w:rFonts w:ascii="Times New Roman" w:hAnsi="Times New Roman"/>
          <w:sz w:val="24"/>
        </w:rPr>
        <w:t>s intention that the provision is not to have the invalid application, but is to have every valid application"</w:t>
      </w:r>
      <w:r w:rsidR="001F0C55" w:rsidRPr="00191C99">
        <w:rPr>
          <w:rFonts w:ascii="Times New Roman" w:hAnsi="Times New Roman"/>
          <w:sz w:val="24"/>
        </w:rPr>
        <w:t>.</w:t>
      </w:r>
    </w:p>
  </w:footnote>
  <w:footnote w:id="25">
    <w:p w14:paraId="40589173" w14:textId="77777777" w:rsidR="00CB3F45" w:rsidRPr="00191C99" w:rsidRDefault="00CB3F45"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 xml:space="preserve">In accordance with </w:t>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877. </w:t>
      </w:r>
    </w:p>
  </w:footnote>
  <w:footnote w:id="26">
    <w:p w14:paraId="72EAEC24" w14:textId="43A9365D" w:rsidR="00871FBB" w:rsidRPr="00191C99" w:rsidRDefault="00871FB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 xml:space="preserve">See, in respect of a "procedural decision" in this context, </w:t>
      </w:r>
      <w:r w:rsidRPr="00191C99">
        <w:rPr>
          <w:rFonts w:ascii="Times New Roman" w:hAnsi="Times New Roman"/>
          <w:i/>
          <w:iCs/>
          <w:sz w:val="24"/>
        </w:rPr>
        <w:t>Davis v Minister for Immigration, Citizenship, Migrant Services and Multicultural Affairs</w:t>
      </w:r>
      <w:r w:rsidRPr="00191C99">
        <w:rPr>
          <w:rFonts w:ascii="Times New Roman" w:hAnsi="Times New Roman"/>
          <w:sz w:val="24"/>
        </w:rPr>
        <w:t xml:space="preserve"> </w:t>
      </w:r>
      <w:r w:rsidR="001A6785" w:rsidRPr="00191C99">
        <w:rPr>
          <w:rFonts w:ascii="Times New Roman" w:hAnsi="Times New Roman"/>
          <w:sz w:val="24"/>
        </w:rPr>
        <w:t xml:space="preserve">(2023) 97 ALJR 214 </w:t>
      </w:r>
      <w:r w:rsidRPr="00191C99">
        <w:rPr>
          <w:rFonts w:ascii="Times New Roman" w:hAnsi="Times New Roman"/>
          <w:sz w:val="24"/>
        </w:rPr>
        <w:t xml:space="preserve">at </w:t>
      </w:r>
      <w:r w:rsidR="003461DD" w:rsidRPr="00191C99">
        <w:rPr>
          <w:rFonts w:ascii="Times New Roman" w:hAnsi="Times New Roman"/>
          <w:sz w:val="24"/>
        </w:rPr>
        <w:t xml:space="preserve">224 </w:t>
      </w:r>
      <w:r w:rsidR="004A1CA8" w:rsidRPr="00191C99">
        <w:rPr>
          <w:rFonts w:ascii="Times New Roman" w:hAnsi="Times New Roman"/>
          <w:sz w:val="24"/>
        </w:rPr>
        <w:t>[14],</w:t>
      </w:r>
      <w:r w:rsidR="00A349C3" w:rsidRPr="00191C99">
        <w:rPr>
          <w:rFonts w:ascii="Times New Roman" w:hAnsi="Times New Roman"/>
          <w:sz w:val="24"/>
        </w:rPr>
        <w:t xml:space="preserve"> 238</w:t>
      </w:r>
      <w:r w:rsidR="004A1CA8" w:rsidRPr="00191C99">
        <w:rPr>
          <w:rFonts w:ascii="Times New Roman" w:hAnsi="Times New Roman"/>
          <w:sz w:val="24"/>
        </w:rPr>
        <w:t xml:space="preserve"> </w:t>
      </w:r>
      <w:r w:rsidR="00151153" w:rsidRPr="00191C99">
        <w:rPr>
          <w:rFonts w:ascii="Times New Roman" w:hAnsi="Times New Roman"/>
          <w:sz w:val="24"/>
        </w:rPr>
        <w:t xml:space="preserve">[99], </w:t>
      </w:r>
      <w:r w:rsidR="00F21551" w:rsidRPr="00191C99">
        <w:rPr>
          <w:rFonts w:ascii="Times New Roman" w:hAnsi="Times New Roman"/>
          <w:sz w:val="24"/>
        </w:rPr>
        <w:t xml:space="preserve">254-255 </w:t>
      </w:r>
      <w:r w:rsidR="0027743C" w:rsidRPr="00191C99">
        <w:rPr>
          <w:rFonts w:ascii="Times New Roman" w:hAnsi="Times New Roman"/>
          <w:sz w:val="24"/>
        </w:rPr>
        <w:t xml:space="preserve">[198], </w:t>
      </w:r>
      <w:r w:rsidR="00861A3C" w:rsidRPr="00191C99">
        <w:rPr>
          <w:rFonts w:ascii="Times New Roman" w:hAnsi="Times New Roman"/>
          <w:sz w:val="24"/>
        </w:rPr>
        <w:t xml:space="preserve">270 </w:t>
      </w:r>
      <w:r w:rsidR="00134D4E" w:rsidRPr="00191C99">
        <w:rPr>
          <w:rFonts w:ascii="Times New Roman" w:hAnsi="Times New Roman"/>
          <w:sz w:val="24"/>
        </w:rPr>
        <w:t>[296]</w:t>
      </w:r>
      <w:r w:rsidR="00861A3C" w:rsidRPr="00191C99">
        <w:rPr>
          <w:rFonts w:ascii="Times New Roman" w:hAnsi="Times New Roman"/>
          <w:sz w:val="24"/>
        </w:rPr>
        <w:t xml:space="preserve">; </w:t>
      </w:r>
      <w:r w:rsidR="0069682A" w:rsidRPr="00191C99">
        <w:rPr>
          <w:rFonts w:ascii="Times New Roman" w:hAnsi="Times New Roman"/>
          <w:sz w:val="24"/>
        </w:rPr>
        <w:t>4</w:t>
      </w:r>
      <w:r w:rsidR="00861A3C" w:rsidRPr="00191C99">
        <w:rPr>
          <w:rFonts w:ascii="Times New Roman" w:hAnsi="Times New Roman"/>
          <w:sz w:val="24"/>
        </w:rPr>
        <w:t>08 ALR 381</w:t>
      </w:r>
      <w:r w:rsidR="005046CE" w:rsidRPr="00191C99">
        <w:rPr>
          <w:rFonts w:ascii="Times New Roman" w:hAnsi="Times New Roman"/>
          <w:sz w:val="24"/>
        </w:rPr>
        <w:t xml:space="preserve"> at</w:t>
      </w:r>
      <w:r w:rsidR="00CA0358" w:rsidRPr="00191C99">
        <w:rPr>
          <w:rFonts w:ascii="Times New Roman" w:hAnsi="Times New Roman"/>
          <w:sz w:val="24"/>
        </w:rPr>
        <w:t xml:space="preserve"> 389</w:t>
      </w:r>
      <w:r w:rsidR="0069682A" w:rsidRPr="00191C99">
        <w:rPr>
          <w:rFonts w:ascii="Times New Roman" w:hAnsi="Times New Roman"/>
          <w:sz w:val="24"/>
        </w:rPr>
        <w:t xml:space="preserve">, </w:t>
      </w:r>
      <w:r w:rsidR="00430BA4" w:rsidRPr="00191C99">
        <w:rPr>
          <w:rFonts w:ascii="Times New Roman" w:hAnsi="Times New Roman"/>
          <w:sz w:val="24"/>
        </w:rPr>
        <w:t>407-408</w:t>
      </w:r>
      <w:r w:rsidR="0069682A" w:rsidRPr="00191C99">
        <w:rPr>
          <w:rFonts w:ascii="Times New Roman" w:hAnsi="Times New Roman"/>
          <w:sz w:val="24"/>
        </w:rPr>
        <w:t xml:space="preserve">, </w:t>
      </w:r>
      <w:r w:rsidR="003B1307" w:rsidRPr="00191C99">
        <w:rPr>
          <w:rFonts w:ascii="Times New Roman" w:hAnsi="Times New Roman"/>
          <w:sz w:val="24"/>
        </w:rPr>
        <w:t>431</w:t>
      </w:r>
      <w:r w:rsidR="0069682A" w:rsidRPr="00191C99">
        <w:rPr>
          <w:rFonts w:ascii="Times New Roman" w:hAnsi="Times New Roman"/>
          <w:sz w:val="24"/>
        </w:rPr>
        <w:t>,</w:t>
      </w:r>
      <w:r w:rsidR="003B1307" w:rsidRPr="00191C99">
        <w:rPr>
          <w:rFonts w:ascii="Times New Roman" w:hAnsi="Times New Roman"/>
          <w:sz w:val="24"/>
        </w:rPr>
        <w:t xml:space="preserve"> 453</w:t>
      </w:r>
      <w:r w:rsidR="00134D4E" w:rsidRPr="00191C99">
        <w:rPr>
          <w:rFonts w:ascii="Times New Roman" w:hAnsi="Times New Roman"/>
          <w:sz w:val="24"/>
        </w:rPr>
        <w:t>.</w:t>
      </w:r>
    </w:p>
  </w:footnote>
  <w:footnote w:id="27">
    <w:p w14:paraId="6E86546D" w14:textId="57336DB9"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Patrick Stevedores Operations No 2 Pty Ltd v Maritime Union of Australia</w:t>
      </w:r>
      <w:r w:rsidRPr="00191C99">
        <w:rPr>
          <w:rFonts w:ascii="Times New Roman" w:hAnsi="Times New Roman"/>
          <w:sz w:val="24"/>
        </w:rPr>
        <w:t xml:space="preserve"> (1998) 195 CLR 1 at 29</w:t>
      </w:r>
      <w:r w:rsidR="00911F24" w:rsidRPr="00191C99">
        <w:rPr>
          <w:rFonts w:ascii="Times New Roman" w:hAnsi="Times New Roman"/>
          <w:sz w:val="24"/>
        </w:rPr>
        <w:t xml:space="preserve"> [27]-[28]</w:t>
      </w:r>
      <w:r w:rsidRPr="00191C99">
        <w:rPr>
          <w:rFonts w:ascii="Times New Roman" w:hAnsi="Times New Roman"/>
          <w:sz w:val="24"/>
        </w:rPr>
        <w:t>, 32-33 [35].</w:t>
      </w:r>
    </w:p>
  </w:footnote>
  <w:footnote w:id="28">
    <w:p w14:paraId="3261D0E2"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Jackson v Sterling Industries Ltd</w:t>
      </w:r>
      <w:r w:rsidRPr="00191C99">
        <w:rPr>
          <w:rFonts w:ascii="Times New Roman" w:hAnsi="Times New Roman"/>
          <w:sz w:val="24"/>
        </w:rPr>
        <w:t xml:space="preserve"> (1987) 162 CLR 612 at 625.</w:t>
      </w:r>
    </w:p>
  </w:footnote>
  <w:footnote w:id="29">
    <w:p w14:paraId="08D62688" w14:textId="74A478BE" w:rsidR="000D1E5E" w:rsidRPr="00191C99" w:rsidRDefault="000D1E5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Australian Broadcasting Corporation v Lenah Game Meats Pty Ltd</w:t>
      </w:r>
      <w:r w:rsidRPr="00191C99">
        <w:rPr>
          <w:rFonts w:ascii="Times New Roman" w:hAnsi="Times New Roman"/>
          <w:sz w:val="24"/>
        </w:rPr>
        <w:t xml:space="preserve"> (2001) 208 CLR 199 at 216 [9]</w:t>
      </w:r>
      <w:r w:rsidR="00605749" w:rsidRPr="00191C99">
        <w:rPr>
          <w:rFonts w:ascii="Times New Roman" w:hAnsi="Times New Roman"/>
          <w:sz w:val="24"/>
        </w:rPr>
        <w:t>,</w:t>
      </w:r>
      <w:r w:rsidRPr="00191C99">
        <w:rPr>
          <w:rFonts w:ascii="Times New Roman" w:hAnsi="Times New Roman"/>
          <w:sz w:val="24"/>
        </w:rPr>
        <w:t xml:space="preserve"> quoting </w:t>
      </w:r>
      <w:r w:rsidR="00CD7C05" w:rsidRPr="00191C99">
        <w:rPr>
          <w:rFonts w:ascii="Times New Roman" w:hAnsi="Times New Roman"/>
          <w:sz w:val="24"/>
        </w:rPr>
        <w:t xml:space="preserve">Jordan, </w:t>
      </w:r>
      <w:r w:rsidR="00CD7C05" w:rsidRPr="00191C99">
        <w:rPr>
          <w:rFonts w:ascii="Times New Roman" w:hAnsi="Times New Roman"/>
          <w:i/>
          <w:iCs/>
          <w:sz w:val="24"/>
        </w:rPr>
        <w:t>Chapters on Equity</w:t>
      </w:r>
      <w:r w:rsidR="009B2C6C" w:rsidRPr="00191C99">
        <w:rPr>
          <w:rFonts w:ascii="Times New Roman" w:hAnsi="Times New Roman"/>
          <w:i/>
          <w:iCs/>
          <w:sz w:val="24"/>
        </w:rPr>
        <w:t xml:space="preserve"> in New South Wales</w:t>
      </w:r>
      <w:r w:rsidR="00CD7C05" w:rsidRPr="00191C99">
        <w:rPr>
          <w:rFonts w:ascii="Times New Roman" w:hAnsi="Times New Roman"/>
          <w:sz w:val="24"/>
        </w:rPr>
        <w:t>, 6th ed (194</w:t>
      </w:r>
      <w:r w:rsidR="001B070E" w:rsidRPr="00191C99">
        <w:rPr>
          <w:rFonts w:ascii="Times New Roman" w:hAnsi="Times New Roman"/>
          <w:sz w:val="24"/>
        </w:rPr>
        <w:t>5</w:t>
      </w:r>
      <w:r w:rsidR="00CD7C05" w:rsidRPr="00191C99">
        <w:rPr>
          <w:rFonts w:ascii="Times New Roman" w:hAnsi="Times New Roman"/>
          <w:sz w:val="24"/>
        </w:rPr>
        <w:t>)</w:t>
      </w:r>
      <w:r w:rsidR="007115FB" w:rsidRPr="00191C99">
        <w:rPr>
          <w:rFonts w:ascii="Times New Roman" w:hAnsi="Times New Roman"/>
          <w:sz w:val="24"/>
        </w:rPr>
        <w:t xml:space="preserve"> at</w:t>
      </w:r>
      <w:r w:rsidR="00CD7C05" w:rsidRPr="00191C99">
        <w:rPr>
          <w:rFonts w:ascii="Times New Roman" w:hAnsi="Times New Roman"/>
          <w:sz w:val="24"/>
        </w:rPr>
        <w:t xml:space="preserve"> 146.</w:t>
      </w:r>
    </w:p>
  </w:footnote>
  <w:footnote w:id="30">
    <w:p w14:paraId="2F2BEF3A" w14:textId="29027798" w:rsidR="00804725" w:rsidRPr="00191C99" w:rsidRDefault="00804725"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Australian Broadcasting Corporation v Lenah Game Meats Pty Ltd</w:t>
      </w:r>
      <w:r w:rsidRPr="00191C99">
        <w:rPr>
          <w:rFonts w:ascii="Times New Roman" w:hAnsi="Times New Roman"/>
          <w:sz w:val="24"/>
        </w:rPr>
        <w:t xml:space="preserve"> (2001) 208 CLR 199 at 217 [11].</w:t>
      </w:r>
    </w:p>
  </w:footnote>
  <w:footnote w:id="31">
    <w:p w14:paraId="2B05DA05" w14:textId="0D51DE05" w:rsidR="00161E91" w:rsidRPr="00191C99" w:rsidRDefault="00161E9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Australian Broadcasting Corporation v Lenah Game Meats Pty Ltd</w:t>
      </w:r>
      <w:r w:rsidRPr="00191C99">
        <w:rPr>
          <w:rFonts w:ascii="Times New Roman" w:hAnsi="Times New Roman"/>
          <w:sz w:val="24"/>
        </w:rPr>
        <w:t xml:space="preserve"> (2001) 208 CLR 199 at </w:t>
      </w:r>
      <w:r w:rsidR="00475233" w:rsidRPr="00191C99">
        <w:rPr>
          <w:rFonts w:ascii="Times New Roman" w:hAnsi="Times New Roman"/>
          <w:sz w:val="24"/>
        </w:rPr>
        <w:t>217-218 [13]</w:t>
      </w:r>
      <w:r w:rsidR="00F63A2A" w:rsidRPr="00191C99">
        <w:rPr>
          <w:rFonts w:ascii="Times New Roman" w:hAnsi="Times New Roman"/>
          <w:sz w:val="24"/>
        </w:rPr>
        <w:t>,</w:t>
      </w:r>
      <w:r w:rsidR="00475233" w:rsidRPr="00191C99">
        <w:rPr>
          <w:rFonts w:ascii="Times New Roman" w:hAnsi="Times New Roman"/>
          <w:sz w:val="24"/>
        </w:rPr>
        <w:t xml:space="preserve"> referring to </w:t>
      </w:r>
      <w:r w:rsidR="00475233" w:rsidRPr="00191C99">
        <w:rPr>
          <w:rFonts w:ascii="Times New Roman" w:hAnsi="Times New Roman"/>
          <w:i/>
          <w:iCs/>
          <w:sz w:val="24"/>
        </w:rPr>
        <w:t>Castlemaine Tooheys Ltd v South Australia</w:t>
      </w:r>
      <w:r w:rsidR="00475233" w:rsidRPr="00191C99">
        <w:rPr>
          <w:rFonts w:ascii="Times New Roman" w:hAnsi="Times New Roman"/>
          <w:sz w:val="24"/>
        </w:rPr>
        <w:t xml:space="preserve"> </w:t>
      </w:r>
      <w:r w:rsidR="00C05B70" w:rsidRPr="00191C99">
        <w:rPr>
          <w:rFonts w:ascii="Times New Roman" w:hAnsi="Times New Roman"/>
          <w:sz w:val="24"/>
        </w:rPr>
        <w:t>(1986) 161 CLR 148 at 153.</w:t>
      </w:r>
    </w:p>
  </w:footnote>
  <w:footnote w:id="32">
    <w:p w14:paraId="37C79187" w14:textId="77777777" w:rsidR="006C4401" w:rsidRPr="00191C99" w:rsidRDefault="006C440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(2001) 208 CLR 199 at 241 [91].</w:t>
      </w:r>
    </w:p>
  </w:footnote>
  <w:footnote w:id="33">
    <w:p w14:paraId="0683D7B9" w14:textId="3473D35A" w:rsidR="009D6556" w:rsidRPr="00191C99" w:rsidRDefault="009D6556"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(2001) 208 CLR 199 at 218 [15].</w:t>
      </w:r>
    </w:p>
  </w:footnote>
  <w:footnote w:id="34">
    <w:p w14:paraId="74AA422D" w14:textId="4F0F5FAD" w:rsidR="006453EB" w:rsidRPr="00191C99" w:rsidRDefault="006453E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(2001) 208 CLR 199 at 21</w:t>
      </w:r>
      <w:r w:rsidR="00C11AAD" w:rsidRPr="00191C99">
        <w:rPr>
          <w:rFonts w:ascii="Times New Roman" w:hAnsi="Times New Roman"/>
          <w:sz w:val="24"/>
        </w:rPr>
        <w:t>8</w:t>
      </w:r>
      <w:r w:rsidRPr="00191C99">
        <w:rPr>
          <w:rFonts w:ascii="Times New Roman" w:hAnsi="Times New Roman"/>
          <w:sz w:val="24"/>
        </w:rPr>
        <w:t xml:space="preserve"> [1</w:t>
      </w:r>
      <w:r w:rsidR="00C11AAD" w:rsidRPr="00191C99">
        <w:rPr>
          <w:rFonts w:ascii="Times New Roman" w:hAnsi="Times New Roman"/>
          <w:sz w:val="24"/>
        </w:rPr>
        <w:t>6</w:t>
      </w:r>
      <w:r w:rsidRPr="00191C99">
        <w:rPr>
          <w:rFonts w:ascii="Times New Roman" w:hAnsi="Times New Roman"/>
          <w:sz w:val="24"/>
        </w:rPr>
        <w:t>].</w:t>
      </w:r>
    </w:p>
  </w:footnote>
  <w:footnote w:id="35">
    <w:p w14:paraId="1CEF1D63" w14:textId="21DB199A" w:rsidR="00CB125D" w:rsidRPr="00191C99" w:rsidRDefault="00CB125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0619E5" w:rsidRPr="00191C99">
        <w:rPr>
          <w:rFonts w:ascii="Times New Roman" w:hAnsi="Times New Roman"/>
          <w:i/>
          <w:iCs/>
          <w:sz w:val="24"/>
        </w:rPr>
        <w:t>Australian Broadcasting Corporation v Lenah Game Meats Pty Ltd</w:t>
      </w:r>
      <w:r w:rsidR="000619E5" w:rsidRPr="00191C99">
        <w:rPr>
          <w:rFonts w:ascii="Times New Roman" w:hAnsi="Times New Roman"/>
          <w:sz w:val="24"/>
        </w:rPr>
        <w:t xml:space="preserve"> (2001) 208 CLR 199 at 241 [91]</w:t>
      </w:r>
      <w:r w:rsidR="000E542E" w:rsidRPr="00191C99">
        <w:rPr>
          <w:rFonts w:ascii="Times New Roman" w:hAnsi="Times New Roman"/>
          <w:sz w:val="24"/>
        </w:rPr>
        <w:t>,</w:t>
      </w:r>
      <w:r w:rsidR="000619E5" w:rsidRPr="00191C99">
        <w:rPr>
          <w:rFonts w:ascii="Times New Roman" w:hAnsi="Times New Roman"/>
          <w:sz w:val="24"/>
        </w:rPr>
        <w:t xml:space="preserve"> quoting </w:t>
      </w:r>
      <w:r w:rsidR="000619E5" w:rsidRPr="00191C99">
        <w:rPr>
          <w:rFonts w:ascii="Times New Roman" w:hAnsi="Times New Roman"/>
          <w:i/>
          <w:iCs/>
          <w:sz w:val="24"/>
        </w:rPr>
        <w:t>Muschinski v Dodds</w:t>
      </w:r>
      <w:r w:rsidR="000619E5" w:rsidRPr="00191C99">
        <w:rPr>
          <w:rFonts w:ascii="Times New Roman" w:hAnsi="Times New Roman"/>
          <w:sz w:val="24"/>
        </w:rPr>
        <w:t xml:space="preserve"> </w:t>
      </w:r>
      <w:r w:rsidR="001C4A03" w:rsidRPr="00191C99">
        <w:rPr>
          <w:rFonts w:ascii="Times New Roman" w:hAnsi="Times New Roman"/>
          <w:sz w:val="24"/>
        </w:rPr>
        <w:t>(1985) 160 CLR 583 at 615.</w:t>
      </w:r>
    </w:p>
  </w:footnote>
  <w:footnote w:id="36">
    <w:p w14:paraId="4B29EDF4" w14:textId="31B49623" w:rsidR="000F181B" w:rsidRPr="00191C99" w:rsidRDefault="000F181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Federal Court of Australia Act 1976</w:t>
      </w:r>
      <w:r w:rsidRPr="00191C99">
        <w:rPr>
          <w:rFonts w:ascii="Times New Roman" w:hAnsi="Times New Roman"/>
          <w:sz w:val="24"/>
        </w:rPr>
        <w:t xml:space="preserve"> (</w:t>
      </w:r>
      <w:r w:rsidR="00482EC9" w:rsidRPr="00191C99">
        <w:rPr>
          <w:rFonts w:ascii="Times New Roman" w:hAnsi="Times New Roman"/>
          <w:sz w:val="24"/>
        </w:rPr>
        <w:t>C</w:t>
      </w:r>
      <w:r w:rsidRPr="00191C99">
        <w:rPr>
          <w:rFonts w:ascii="Times New Roman" w:hAnsi="Times New Roman"/>
          <w:sz w:val="24"/>
        </w:rPr>
        <w:t>th), s 23</w:t>
      </w:r>
      <w:r w:rsidR="00482EC9" w:rsidRPr="00191C99">
        <w:rPr>
          <w:rFonts w:ascii="Times New Roman" w:hAnsi="Times New Roman"/>
          <w:sz w:val="24"/>
        </w:rPr>
        <w:t>.</w:t>
      </w:r>
    </w:p>
  </w:footnote>
  <w:footnote w:id="37">
    <w:p w14:paraId="669E9869" w14:textId="77777777" w:rsidR="0032375A" w:rsidRPr="00191C99" w:rsidRDefault="0032375A"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CSR Ltd v Cigna Insurance Australia Ltd</w:t>
      </w:r>
      <w:r w:rsidRPr="00191C99">
        <w:rPr>
          <w:rFonts w:ascii="Times New Roman" w:hAnsi="Times New Roman"/>
          <w:sz w:val="24"/>
        </w:rPr>
        <w:t xml:space="preserve"> (1997) 189 CLR 345 at 391.</w:t>
      </w:r>
    </w:p>
  </w:footnote>
  <w:footnote w:id="38">
    <w:p w14:paraId="7586D95B" w14:textId="1178C383" w:rsidR="000C33B0" w:rsidRPr="00191C99" w:rsidRDefault="000C33B0"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Tait v The Queen</w:t>
      </w:r>
      <w:r w:rsidRPr="00191C99">
        <w:rPr>
          <w:rFonts w:ascii="Times New Roman" w:hAnsi="Times New Roman"/>
          <w:sz w:val="24"/>
        </w:rPr>
        <w:t xml:space="preserve"> (1962) 108 CLR 620 at 623-624.</w:t>
      </w:r>
    </w:p>
  </w:footnote>
  <w:footnote w:id="39">
    <w:p w14:paraId="57546CE7" w14:textId="70EA6033" w:rsidR="00397087" w:rsidRPr="00191C99" w:rsidRDefault="0039708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(1962) 108 CLR 620.</w:t>
      </w:r>
      <w:r w:rsidR="006A658D" w:rsidRPr="00191C99">
        <w:rPr>
          <w:rFonts w:ascii="Times New Roman" w:hAnsi="Times New Roman"/>
          <w:sz w:val="24"/>
        </w:rPr>
        <w:t xml:space="preserve"> </w:t>
      </w:r>
      <w:r w:rsidR="00EB0D34" w:rsidRPr="00191C99">
        <w:rPr>
          <w:rFonts w:ascii="Times New Roman" w:hAnsi="Times New Roman"/>
          <w:sz w:val="24"/>
        </w:rPr>
        <w:t xml:space="preserve">Also reported as </w:t>
      </w:r>
      <w:r w:rsidR="00EB0D34" w:rsidRPr="00191C99">
        <w:rPr>
          <w:rFonts w:ascii="Times New Roman" w:hAnsi="Times New Roman"/>
          <w:i/>
          <w:iCs/>
          <w:sz w:val="24"/>
        </w:rPr>
        <w:t xml:space="preserve">Scott </w:t>
      </w:r>
      <w:r w:rsidR="00F35352" w:rsidRPr="00191C99">
        <w:rPr>
          <w:rFonts w:ascii="Times New Roman" w:hAnsi="Times New Roman"/>
          <w:i/>
          <w:iCs/>
          <w:sz w:val="24"/>
        </w:rPr>
        <w:t>v Chief Secretary of Victoria</w:t>
      </w:r>
      <w:r w:rsidR="00F35352" w:rsidRPr="00191C99">
        <w:rPr>
          <w:rFonts w:ascii="Times New Roman" w:hAnsi="Times New Roman"/>
          <w:sz w:val="24"/>
        </w:rPr>
        <w:t xml:space="preserve"> (1962)</w:t>
      </w:r>
      <w:r w:rsidR="006209B5" w:rsidRPr="00191C99">
        <w:rPr>
          <w:rFonts w:ascii="Times New Roman" w:hAnsi="Times New Roman"/>
          <w:sz w:val="24"/>
        </w:rPr>
        <w:t xml:space="preserve"> 36 ALJR 330. </w:t>
      </w:r>
      <w:r w:rsidR="006A658D" w:rsidRPr="00191C99">
        <w:rPr>
          <w:rFonts w:ascii="Times New Roman" w:hAnsi="Times New Roman"/>
          <w:sz w:val="24"/>
        </w:rPr>
        <w:t xml:space="preserve">See </w:t>
      </w:r>
      <w:r w:rsidR="00555C18" w:rsidRPr="00191C99">
        <w:rPr>
          <w:rFonts w:ascii="Times New Roman" w:hAnsi="Times New Roman"/>
          <w:sz w:val="24"/>
        </w:rPr>
        <w:t xml:space="preserve">Feltham, "The Common Law and the Execution of Insane Criminals" </w:t>
      </w:r>
      <w:r w:rsidR="004943BE" w:rsidRPr="00191C99">
        <w:rPr>
          <w:rFonts w:ascii="Times New Roman" w:hAnsi="Times New Roman"/>
          <w:sz w:val="24"/>
        </w:rPr>
        <w:t xml:space="preserve">(1964) 4 </w:t>
      </w:r>
      <w:r w:rsidR="004943BE" w:rsidRPr="00191C99">
        <w:rPr>
          <w:rFonts w:ascii="Times New Roman" w:hAnsi="Times New Roman"/>
          <w:i/>
          <w:iCs/>
          <w:sz w:val="24"/>
        </w:rPr>
        <w:t xml:space="preserve">Melbourne University Law Review </w:t>
      </w:r>
      <w:r w:rsidR="00D773A5" w:rsidRPr="00191C99">
        <w:rPr>
          <w:rFonts w:ascii="Times New Roman" w:hAnsi="Times New Roman"/>
          <w:sz w:val="24"/>
        </w:rPr>
        <w:t xml:space="preserve">434 at 447-448, </w:t>
      </w:r>
      <w:r w:rsidR="00A47773" w:rsidRPr="00191C99">
        <w:rPr>
          <w:rFonts w:ascii="Times New Roman" w:hAnsi="Times New Roman"/>
          <w:sz w:val="24"/>
        </w:rPr>
        <w:t>471-473.</w:t>
      </w:r>
    </w:p>
  </w:footnote>
  <w:footnote w:id="40">
    <w:p w14:paraId="769EC96D" w14:textId="4D975903" w:rsidR="000A03C7" w:rsidRPr="00191C99" w:rsidRDefault="000A03C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(1962) 108 CLR 620 at 62</w:t>
      </w:r>
      <w:r w:rsidR="00A71C67" w:rsidRPr="00191C99">
        <w:rPr>
          <w:rFonts w:ascii="Times New Roman" w:hAnsi="Times New Roman"/>
          <w:sz w:val="24"/>
        </w:rPr>
        <w:t>3</w:t>
      </w:r>
      <w:r w:rsidRPr="00191C99">
        <w:rPr>
          <w:rFonts w:ascii="Times New Roman" w:hAnsi="Times New Roman"/>
          <w:sz w:val="24"/>
        </w:rPr>
        <w:t>.</w:t>
      </w:r>
    </w:p>
  </w:footnote>
  <w:footnote w:id="41">
    <w:p w14:paraId="6A8C263C" w14:textId="77F09474" w:rsidR="00397087" w:rsidRPr="00191C99" w:rsidRDefault="0039708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 xml:space="preserve">Tait v </w:t>
      </w:r>
      <w:r w:rsidR="00D13D10" w:rsidRPr="00191C99">
        <w:rPr>
          <w:rFonts w:ascii="Times New Roman" w:hAnsi="Times New Roman"/>
          <w:i/>
          <w:iCs/>
          <w:sz w:val="24"/>
        </w:rPr>
        <w:t>T</w:t>
      </w:r>
      <w:r w:rsidRPr="00191C99">
        <w:rPr>
          <w:rFonts w:ascii="Times New Roman" w:hAnsi="Times New Roman"/>
          <w:i/>
          <w:iCs/>
          <w:sz w:val="24"/>
        </w:rPr>
        <w:t>he Queen</w:t>
      </w:r>
      <w:r w:rsidRPr="00191C99">
        <w:rPr>
          <w:rFonts w:ascii="Times New Roman" w:hAnsi="Times New Roman"/>
          <w:sz w:val="24"/>
        </w:rPr>
        <w:t xml:space="preserve"> (1962) 108 CLR 620 at 623.</w:t>
      </w:r>
    </w:p>
  </w:footnote>
  <w:footnote w:id="42">
    <w:p w14:paraId="1DA3BEAA" w14:textId="637C1AE1" w:rsidR="00397087" w:rsidRPr="00191C99" w:rsidRDefault="0039708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 xml:space="preserve">Tait v </w:t>
      </w:r>
      <w:r w:rsidR="00D13D10" w:rsidRPr="00191C99">
        <w:rPr>
          <w:rFonts w:ascii="Times New Roman" w:hAnsi="Times New Roman"/>
          <w:i/>
          <w:iCs/>
          <w:sz w:val="24"/>
        </w:rPr>
        <w:t>T</w:t>
      </w:r>
      <w:r w:rsidRPr="00191C99">
        <w:rPr>
          <w:rFonts w:ascii="Times New Roman" w:hAnsi="Times New Roman"/>
          <w:i/>
          <w:iCs/>
          <w:sz w:val="24"/>
        </w:rPr>
        <w:t>he Queen</w:t>
      </w:r>
      <w:r w:rsidRPr="00191C99">
        <w:rPr>
          <w:rFonts w:ascii="Times New Roman" w:hAnsi="Times New Roman"/>
          <w:sz w:val="24"/>
        </w:rPr>
        <w:t xml:space="preserve"> (1962) 108 CLR 620 at 624.</w:t>
      </w:r>
    </w:p>
  </w:footnote>
  <w:footnote w:id="43">
    <w:p w14:paraId="7734D701" w14:textId="77777777" w:rsidR="00E561DB" w:rsidRPr="00191C99" w:rsidRDefault="00E561D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Tait v The Queen</w:t>
      </w:r>
      <w:r w:rsidRPr="00191C99">
        <w:rPr>
          <w:rFonts w:ascii="Times New Roman" w:hAnsi="Times New Roman"/>
          <w:sz w:val="24"/>
        </w:rPr>
        <w:t xml:space="preserve"> (1962) 108 CLR 620 at 624.</w:t>
      </w:r>
    </w:p>
  </w:footnote>
  <w:footnote w:id="44">
    <w:p w14:paraId="5BBC5CA0"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(1982) 148 CLR 636.</w:t>
      </w:r>
    </w:p>
  </w:footnote>
  <w:footnote w:id="45">
    <w:p w14:paraId="643A3CE4"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(1982) 148 CLR 636 at 641.</w:t>
      </w:r>
    </w:p>
  </w:footnote>
  <w:footnote w:id="46">
    <w:p w14:paraId="293EDDB5"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(1982) 148 CLR 636 at 645.</w:t>
      </w:r>
    </w:p>
  </w:footnote>
  <w:footnote w:id="47">
    <w:p w14:paraId="6BCC2B4A" w14:textId="3519791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(2000) 74 ALJR 830 at 832 [8]</w:t>
      </w:r>
      <w:r w:rsidR="00C8287D" w:rsidRPr="00191C99">
        <w:rPr>
          <w:rFonts w:ascii="Times New Roman" w:hAnsi="Times New Roman"/>
          <w:sz w:val="24"/>
        </w:rPr>
        <w:t xml:space="preserve">; </w:t>
      </w:r>
      <w:r w:rsidR="00DA6C87" w:rsidRPr="00191C99">
        <w:rPr>
          <w:rFonts w:ascii="Times New Roman" w:hAnsi="Times New Roman"/>
          <w:sz w:val="24"/>
        </w:rPr>
        <w:t xml:space="preserve">171 ALR 341 at </w:t>
      </w:r>
      <w:r w:rsidR="00E74D71" w:rsidRPr="00191C99">
        <w:rPr>
          <w:rFonts w:ascii="Times New Roman" w:hAnsi="Times New Roman"/>
          <w:sz w:val="24"/>
        </w:rPr>
        <w:t xml:space="preserve">343. </w:t>
      </w:r>
    </w:p>
  </w:footnote>
  <w:footnote w:id="48">
    <w:p w14:paraId="12A59B1D"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[2003] FCA 1029 at [52].</w:t>
      </w:r>
    </w:p>
  </w:footnote>
  <w:footnote w:id="49">
    <w:p w14:paraId="763C6A4B"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[2003] FCA 1029 at [46].</w:t>
      </w:r>
    </w:p>
  </w:footnote>
  <w:footnote w:id="50">
    <w:p w14:paraId="06C6B962" w14:textId="06F5B90C"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3F4B5E" w:rsidRPr="00191C99">
        <w:rPr>
          <w:rFonts w:ascii="Times New Roman" w:hAnsi="Times New Roman"/>
          <w:sz w:val="24"/>
        </w:rPr>
        <w:t xml:space="preserve">[2020] FCA 825 </w:t>
      </w:r>
      <w:r w:rsidRPr="00191C99">
        <w:rPr>
          <w:rFonts w:ascii="Times New Roman" w:hAnsi="Times New Roman"/>
          <w:sz w:val="24"/>
        </w:rPr>
        <w:t>at [63].</w:t>
      </w:r>
    </w:p>
  </w:footnote>
  <w:footnote w:id="51">
    <w:p w14:paraId="10C29B14" w14:textId="317ABE5C"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3F4B5E" w:rsidRPr="00191C99">
        <w:rPr>
          <w:rFonts w:ascii="Times New Roman" w:hAnsi="Times New Roman"/>
          <w:sz w:val="24"/>
        </w:rPr>
        <w:t xml:space="preserve">[2020] FCA 825 </w:t>
      </w:r>
      <w:r w:rsidRPr="00191C99">
        <w:rPr>
          <w:rFonts w:ascii="Times New Roman" w:hAnsi="Times New Roman"/>
          <w:sz w:val="24"/>
        </w:rPr>
        <w:t>at [80].</w:t>
      </w:r>
    </w:p>
  </w:footnote>
  <w:footnote w:id="52">
    <w:p w14:paraId="14C403C4" w14:textId="2D472686"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A7409E" w:rsidRPr="00191C99">
        <w:rPr>
          <w:rFonts w:ascii="Times New Roman" w:hAnsi="Times New Roman"/>
          <w:sz w:val="24"/>
        </w:rPr>
        <w:t xml:space="preserve">[2020] FCA 825 </w:t>
      </w:r>
      <w:r w:rsidRPr="00191C99">
        <w:rPr>
          <w:rFonts w:ascii="Times New Roman" w:hAnsi="Times New Roman"/>
          <w:sz w:val="24"/>
        </w:rPr>
        <w:t>at [80]</w:t>
      </w:r>
      <w:r w:rsidR="00D75549" w:rsidRPr="00191C99">
        <w:rPr>
          <w:rFonts w:ascii="Times New Roman" w:hAnsi="Times New Roman"/>
          <w:sz w:val="24"/>
        </w:rPr>
        <w:t>,</w:t>
      </w:r>
      <w:r w:rsidRPr="00191C99">
        <w:rPr>
          <w:rFonts w:ascii="Times New Roman" w:hAnsi="Times New Roman"/>
          <w:sz w:val="24"/>
        </w:rPr>
        <w:t xml:space="preserve"> referring to </w:t>
      </w:r>
      <w:r w:rsidRPr="00191C99">
        <w:rPr>
          <w:rFonts w:ascii="Times New Roman" w:hAnsi="Times New Roman"/>
          <w:i/>
          <w:iCs/>
          <w:sz w:val="24"/>
        </w:rPr>
        <w:t>Tait v The Queen</w:t>
      </w:r>
      <w:r w:rsidRPr="00191C99">
        <w:rPr>
          <w:rFonts w:ascii="Times New Roman" w:hAnsi="Times New Roman"/>
          <w:sz w:val="24"/>
        </w:rPr>
        <w:t xml:space="preserve"> (1962) 108 CLR 620.</w:t>
      </w:r>
    </w:p>
  </w:footnote>
  <w:footnote w:id="53">
    <w:p w14:paraId="1CB9B04F" w14:textId="77777777" w:rsidR="0075433E" w:rsidRPr="00191C99" w:rsidRDefault="0075433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Tait v The Queen</w:t>
      </w:r>
      <w:r w:rsidRPr="00191C99">
        <w:rPr>
          <w:rFonts w:ascii="Times New Roman" w:hAnsi="Times New Roman"/>
          <w:sz w:val="24"/>
        </w:rPr>
        <w:t xml:space="preserve"> (1962) 108 CLR 620 at 623-624.</w:t>
      </w:r>
    </w:p>
  </w:footnote>
  <w:footnote w:id="54">
    <w:p w14:paraId="3ED14434"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(1992) 34 FCR 169 at 181.</w:t>
      </w:r>
    </w:p>
  </w:footnote>
  <w:footnote w:id="55">
    <w:p w14:paraId="7D325C19" w14:textId="77777777"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(1988) 17 ALD 471.</w:t>
      </w:r>
    </w:p>
  </w:footnote>
  <w:footnote w:id="56">
    <w:p w14:paraId="100429CA" w14:textId="2B200394"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(1988) 17 ALD 471 at 472</w:t>
      </w:r>
      <w:r w:rsidR="001E1BCC" w:rsidRPr="00191C99">
        <w:rPr>
          <w:rFonts w:ascii="Times New Roman" w:hAnsi="Times New Roman"/>
          <w:sz w:val="24"/>
        </w:rPr>
        <w:t>,</w:t>
      </w:r>
      <w:r w:rsidRPr="00191C99">
        <w:rPr>
          <w:rFonts w:ascii="Times New Roman" w:hAnsi="Times New Roman"/>
          <w:sz w:val="24"/>
        </w:rPr>
        <w:t xml:space="preserve"> referring to </w:t>
      </w:r>
      <w:r w:rsidRPr="00191C99">
        <w:rPr>
          <w:rFonts w:ascii="Times New Roman" w:hAnsi="Times New Roman"/>
          <w:i/>
          <w:iCs/>
          <w:sz w:val="24"/>
        </w:rPr>
        <w:t>Thomson Australian Holdings Pty Ltd v Trade Practices Commission</w:t>
      </w:r>
      <w:r w:rsidRPr="00191C99">
        <w:rPr>
          <w:rFonts w:ascii="Times New Roman" w:hAnsi="Times New Roman"/>
          <w:sz w:val="24"/>
        </w:rPr>
        <w:t xml:space="preserve"> (198</w:t>
      </w:r>
      <w:r w:rsidR="00B40938" w:rsidRPr="00191C99">
        <w:rPr>
          <w:rFonts w:ascii="Times New Roman" w:hAnsi="Times New Roman"/>
          <w:sz w:val="24"/>
        </w:rPr>
        <w:t>1</w:t>
      </w:r>
      <w:r w:rsidRPr="00191C99">
        <w:rPr>
          <w:rFonts w:ascii="Times New Roman" w:hAnsi="Times New Roman"/>
          <w:sz w:val="24"/>
        </w:rPr>
        <w:t>) 148 CLR 150 at 162-163.</w:t>
      </w:r>
    </w:p>
  </w:footnote>
  <w:footnote w:id="57">
    <w:p w14:paraId="3FE27B6D" w14:textId="77777777" w:rsidR="009A2FA1" w:rsidRPr="00191C99" w:rsidRDefault="009A2FA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989 at [13].</w:t>
      </w:r>
    </w:p>
  </w:footnote>
  <w:footnote w:id="58">
    <w:p w14:paraId="0AC3E3DB" w14:textId="399B1512" w:rsidR="00D43384" w:rsidRPr="00191C99" w:rsidRDefault="00D43384"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MZAPC v Minister for Immigration, Citizenship and Multicultural Affairs</w:t>
      </w:r>
      <w:r w:rsidRPr="00191C99">
        <w:rPr>
          <w:rFonts w:ascii="Times New Roman" w:hAnsi="Times New Roman"/>
          <w:sz w:val="24"/>
        </w:rPr>
        <w:t xml:space="preserve"> [2023] FCA </w:t>
      </w:r>
      <w:r w:rsidR="004A2F3C" w:rsidRPr="00191C99">
        <w:rPr>
          <w:rFonts w:ascii="Times New Roman" w:hAnsi="Times New Roman"/>
          <w:sz w:val="24"/>
        </w:rPr>
        <w:t xml:space="preserve">989 </w:t>
      </w:r>
      <w:r w:rsidRPr="00191C99">
        <w:rPr>
          <w:rFonts w:ascii="Times New Roman" w:hAnsi="Times New Roman"/>
          <w:sz w:val="24"/>
        </w:rPr>
        <w:t>at [67].</w:t>
      </w:r>
    </w:p>
  </w:footnote>
  <w:footnote w:id="59">
    <w:p w14:paraId="1086C190" w14:textId="423EB004" w:rsidR="00B00C66" w:rsidRPr="00191C99" w:rsidRDefault="00B00C66"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Davis v Minister for Immigration, Citizenship, Migrant Services and Multicultural Affairs</w:t>
      </w:r>
      <w:r w:rsidRPr="00191C99">
        <w:rPr>
          <w:rFonts w:ascii="Times New Roman" w:hAnsi="Times New Roman"/>
          <w:sz w:val="24"/>
        </w:rPr>
        <w:t xml:space="preserve"> (2023) 97 ALJR 214 at 230 [62]; 408 ALR 381 at 398.</w:t>
      </w:r>
    </w:p>
  </w:footnote>
  <w:footnote w:id="60">
    <w:p w14:paraId="45BE0B5F" w14:textId="2E12DFCB" w:rsidR="00E41DE7" w:rsidRPr="00191C99" w:rsidRDefault="00E41DE7"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194FD1" w:rsidRPr="00191C99">
        <w:rPr>
          <w:rFonts w:ascii="Times New Roman" w:hAnsi="Times New Roman"/>
          <w:i/>
          <w:iCs/>
          <w:sz w:val="24"/>
        </w:rPr>
        <w:t>Project Blue Sky Inc v Australian Broadcasting Authority</w:t>
      </w:r>
      <w:r w:rsidR="00194FD1" w:rsidRPr="00191C99">
        <w:rPr>
          <w:rFonts w:ascii="Times New Roman" w:hAnsi="Times New Roman"/>
          <w:sz w:val="24"/>
        </w:rPr>
        <w:t xml:space="preserve"> (1998) 194 CLR 355 at 3</w:t>
      </w:r>
      <w:r w:rsidR="004B6A0A" w:rsidRPr="00191C99">
        <w:rPr>
          <w:rFonts w:ascii="Times New Roman" w:hAnsi="Times New Roman"/>
          <w:sz w:val="24"/>
        </w:rPr>
        <w:t>8</w:t>
      </w:r>
      <w:r w:rsidR="00194FD1" w:rsidRPr="00191C99">
        <w:rPr>
          <w:rFonts w:ascii="Times New Roman" w:hAnsi="Times New Roman"/>
          <w:sz w:val="24"/>
        </w:rPr>
        <w:t>1 [69]</w:t>
      </w:r>
      <w:r w:rsidR="006A70E4" w:rsidRPr="00191C99">
        <w:rPr>
          <w:rFonts w:ascii="Times New Roman" w:hAnsi="Times New Roman"/>
          <w:sz w:val="24"/>
        </w:rPr>
        <w:t>,</w:t>
      </w:r>
      <w:r w:rsidR="006944EE" w:rsidRPr="00191C99">
        <w:rPr>
          <w:rFonts w:ascii="Times New Roman" w:hAnsi="Times New Roman"/>
          <w:sz w:val="24"/>
        </w:rPr>
        <w:t xml:space="preserve"> quoting </w:t>
      </w:r>
      <w:r w:rsidR="00DC2F32" w:rsidRPr="00191C99">
        <w:rPr>
          <w:rFonts w:ascii="Times New Roman" w:hAnsi="Times New Roman"/>
          <w:i/>
          <w:iCs/>
          <w:sz w:val="24"/>
        </w:rPr>
        <w:t>Cooper Brookes (Wollongong) Pty Ltd v Federal Commissioner of Taxation</w:t>
      </w:r>
      <w:r w:rsidR="00DC2F32" w:rsidRPr="00191C99">
        <w:rPr>
          <w:rFonts w:ascii="Times New Roman" w:hAnsi="Times New Roman"/>
          <w:sz w:val="24"/>
        </w:rPr>
        <w:t xml:space="preserve"> (1981) 147 CLR 297 at 320.</w:t>
      </w:r>
    </w:p>
  </w:footnote>
  <w:footnote w:id="61">
    <w:p w14:paraId="2F4174D5" w14:textId="16D69DA6" w:rsidR="006944EE" w:rsidRPr="00191C99" w:rsidRDefault="006944E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DC2F32" w:rsidRPr="00191C99">
        <w:rPr>
          <w:rFonts w:ascii="Times New Roman" w:hAnsi="Times New Roman"/>
          <w:i/>
          <w:iCs/>
          <w:sz w:val="24"/>
        </w:rPr>
        <w:t>Project Blue Sky Inc v Australian Broadcasting Authority</w:t>
      </w:r>
      <w:r w:rsidR="00DC2F32" w:rsidRPr="00191C99">
        <w:rPr>
          <w:rFonts w:ascii="Times New Roman" w:hAnsi="Times New Roman"/>
          <w:sz w:val="24"/>
        </w:rPr>
        <w:t xml:space="preserve"> (1998) 194 CLR 355 at 3</w:t>
      </w:r>
      <w:r w:rsidR="004B6A0A" w:rsidRPr="00191C99">
        <w:rPr>
          <w:rFonts w:ascii="Times New Roman" w:hAnsi="Times New Roman"/>
          <w:sz w:val="24"/>
        </w:rPr>
        <w:t>8</w:t>
      </w:r>
      <w:r w:rsidR="00DC2F32" w:rsidRPr="00191C99">
        <w:rPr>
          <w:rFonts w:ascii="Times New Roman" w:hAnsi="Times New Roman"/>
          <w:sz w:val="24"/>
        </w:rPr>
        <w:t>1 [69]</w:t>
      </w:r>
      <w:r w:rsidR="00437EB3" w:rsidRPr="00191C99">
        <w:rPr>
          <w:rFonts w:ascii="Times New Roman" w:hAnsi="Times New Roman"/>
          <w:sz w:val="24"/>
        </w:rPr>
        <w:t>.</w:t>
      </w:r>
    </w:p>
  </w:footnote>
  <w:footnote w:id="62">
    <w:p w14:paraId="6923293D" w14:textId="472C602D" w:rsidR="00437EB3" w:rsidRPr="00191C99" w:rsidRDefault="00437EB3"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Project Blue Sky Inc v Australian Broadcasting Authority</w:t>
      </w:r>
      <w:r w:rsidRPr="00191C99">
        <w:rPr>
          <w:rFonts w:ascii="Times New Roman" w:hAnsi="Times New Roman"/>
          <w:sz w:val="24"/>
        </w:rPr>
        <w:t xml:space="preserve"> (1998) 194 CLR 355 at 3</w:t>
      </w:r>
      <w:r w:rsidR="004B6A0A" w:rsidRPr="00191C99">
        <w:rPr>
          <w:rFonts w:ascii="Times New Roman" w:hAnsi="Times New Roman"/>
          <w:sz w:val="24"/>
        </w:rPr>
        <w:t>8</w:t>
      </w:r>
      <w:r w:rsidRPr="00191C99">
        <w:rPr>
          <w:rFonts w:ascii="Times New Roman" w:hAnsi="Times New Roman"/>
          <w:sz w:val="24"/>
        </w:rPr>
        <w:t>1</w:t>
      </w:r>
      <w:r w:rsidR="004B6A0A" w:rsidRPr="00191C99">
        <w:rPr>
          <w:rFonts w:ascii="Times New Roman" w:hAnsi="Times New Roman"/>
          <w:sz w:val="24"/>
        </w:rPr>
        <w:t>-382</w:t>
      </w:r>
      <w:r w:rsidRPr="00191C99">
        <w:rPr>
          <w:rFonts w:ascii="Times New Roman" w:hAnsi="Times New Roman"/>
          <w:sz w:val="24"/>
        </w:rPr>
        <w:t xml:space="preserve"> [70].</w:t>
      </w:r>
    </w:p>
  </w:footnote>
  <w:footnote w:id="63">
    <w:p w14:paraId="60E772BF" w14:textId="4AA0559F" w:rsidR="00EC72CE" w:rsidRPr="00191C99" w:rsidRDefault="00EC72C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 xml:space="preserve">Commissioner of Police </w:t>
      </w:r>
      <w:r w:rsidR="00EE32DC" w:rsidRPr="00191C99">
        <w:rPr>
          <w:rFonts w:ascii="Times New Roman" w:hAnsi="Times New Roman"/>
          <w:i/>
          <w:iCs/>
          <w:sz w:val="24"/>
        </w:rPr>
        <w:t xml:space="preserve">(NSW) </w:t>
      </w:r>
      <w:r w:rsidRPr="00191C99">
        <w:rPr>
          <w:rFonts w:ascii="Times New Roman" w:hAnsi="Times New Roman"/>
          <w:i/>
          <w:iCs/>
          <w:sz w:val="24"/>
        </w:rPr>
        <w:t>v Eaton</w:t>
      </w:r>
      <w:r w:rsidR="003D0E14" w:rsidRPr="00191C99">
        <w:rPr>
          <w:rFonts w:ascii="Times New Roman" w:hAnsi="Times New Roman"/>
          <w:sz w:val="24"/>
        </w:rPr>
        <w:t xml:space="preserve"> (2013) 252 CLR 1 at 33 [98].</w:t>
      </w:r>
    </w:p>
  </w:footnote>
  <w:footnote w:id="64">
    <w:p w14:paraId="17B98C89" w14:textId="01167FE8" w:rsidR="00A05FE2" w:rsidRPr="00191C99" w:rsidRDefault="00A05FE2"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 xml:space="preserve">(2004) 219 CLR 562 at 608 [121]. See also, eg, </w:t>
      </w:r>
      <w:r w:rsidRPr="00191C99">
        <w:rPr>
          <w:rFonts w:ascii="Times New Roman" w:hAnsi="Times New Roman"/>
          <w:i/>
          <w:iCs/>
          <w:sz w:val="24"/>
        </w:rPr>
        <w:t>M38/2002 v Minister for Immigration and Multicultural and Indigenous Affairs</w:t>
      </w:r>
      <w:r w:rsidRPr="00191C99">
        <w:rPr>
          <w:rFonts w:ascii="Times New Roman" w:hAnsi="Times New Roman"/>
          <w:sz w:val="24"/>
        </w:rPr>
        <w:t xml:space="preserve"> (2003) 131 FCR 146 at 165</w:t>
      </w:r>
      <w:r w:rsidR="00AF7524">
        <w:rPr>
          <w:rFonts w:ascii="Times New Roman" w:hAnsi="Times New Roman"/>
          <w:sz w:val="24"/>
        </w:rPr>
        <w:noBreakHyphen/>
      </w:r>
      <w:r w:rsidRPr="00191C99">
        <w:rPr>
          <w:rFonts w:ascii="Times New Roman" w:hAnsi="Times New Roman"/>
          <w:sz w:val="24"/>
        </w:rPr>
        <w:t xml:space="preserve">166 [65]-[69]; </w:t>
      </w:r>
      <w:r w:rsidRPr="00191C99">
        <w:rPr>
          <w:rFonts w:ascii="Times New Roman" w:hAnsi="Times New Roman"/>
          <w:i/>
          <w:iCs/>
          <w:sz w:val="24"/>
        </w:rPr>
        <w:t>NATB v Minister for Immigration and Multicultural and Indigenous Affairs</w:t>
      </w:r>
      <w:r w:rsidRPr="00191C99">
        <w:rPr>
          <w:rFonts w:ascii="Times New Roman" w:hAnsi="Times New Roman"/>
          <w:sz w:val="24"/>
        </w:rPr>
        <w:t xml:space="preserve"> (2003) 133 FCR 506 at 516-517 [47]-[55]</w:t>
      </w:r>
      <w:r w:rsidR="00B3228C">
        <w:rPr>
          <w:rFonts w:ascii="Times New Roman" w:hAnsi="Times New Roman"/>
          <w:sz w:val="24"/>
        </w:rPr>
        <w:t>.</w:t>
      </w:r>
    </w:p>
  </w:footnote>
  <w:footnote w:id="65">
    <w:p w14:paraId="1A6519A5" w14:textId="6CFE8D5B" w:rsidR="00D725E1" w:rsidRPr="00191C99" w:rsidRDefault="00D725E1"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957A32" w:rsidRPr="00191C99">
        <w:rPr>
          <w:rFonts w:ascii="Times New Roman" w:hAnsi="Times New Roman"/>
          <w:i/>
          <w:iCs/>
          <w:sz w:val="24"/>
        </w:rPr>
        <w:t xml:space="preserve">M38/2002 v </w:t>
      </w:r>
      <w:r w:rsidRPr="00191C99">
        <w:rPr>
          <w:rFonts w:ascii="Times New Roman" w:hAnsi="Times New Roman"/>
          <w:i/>
          <w:iCs/>
          <w:sz w:val="24"/>
        </w:rPr>
        <w:t xml:space="preserve">Minister for </w:t>
      </w:r>
      <w:r w:rsidR="00957A32" w:rsidRPr="00191C99">
        <w:rPr>
          <w:rFonts w:ascii="Times New Roman" w:hAnsi="Times New Roman"/>
          <w:i/>
          <w:iCs/>
          <w:sz w:val="24"/>
        </w:rPr>
        <w:t>Immigration and Multicultural and Indigenous Affairs</w:t>
      </w:r>
      <w:r w:rsidR="00957A32" w:rsidRPr="00191C99">
        <w:rPr>
          <w:rFonts w:ascii="Times New Roman" w:hAnsi="Times New Roman"/>
          <w:sz w:val="24"/>
        </w:rPr>
        <w:t xml:space="preserve"> (2003) 131 FCR 146 </w:t>
      </w:r>
      <w:r w:rsidRPr="00191C99">
        <w:rPr>
          <w:rFonts w:ascii="Times New Roman" w:hAnsi="Times New Roman"/>
          <w:sz w:val="24"/>
        </w:rPr>
        <w:t>at 165 [65].</w:t>
      </w:r>
    </w:p>
  </w:footnote>
  <w:footnote w:id="66">
    <w:p w14:paraId="4451300C" w14:textId="1394ED7E" w:rsidR="00A05FE2" w:rsidRPr="00191C99" w:rsidRDefault="00A05FE2"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1F7011" w:rsidRPr="00191C99">
        <w:rPr>
          <w:rFonts w:ascii="Times New Roman" w:hAnsi="Times New Roman"/>
          <w:sz w:val="24"/>
        </w:rPr>
        <w:t>See, e</w:t>
      </w:r>
      <w:r w:rsidRPr="00191C99">
        <w:rPr>
          <w:rFonts w:ascii="Times New Roman" w:hAnsi="Times New Roman"/>
          <w:sz w:val="24"/>
        </w:rPr>
        <w:t xml:space="preserve">g, </w:t>
      </w:r>
      <w:r w:rsidRPr="00191C99">
        <w:rPr>
          <w:rFonts w:ascii="Times New Roman" w:hAnsi="Times New Roman"/>
          <w:i/>
          <w:iCs/>
          <w:sz w:val="24"/>
        </w:rPr>
        <w:t>Migration Act</w:t>
      </w:r>
      <w:r w:rsidRPr="00191C99">
        <w:rPr>
          <w:rFonts w:ascii="Times New Roman" w:hAnsi="Times New Roman"/>
          <w:sz w:val="24"/>
        </w:rPr>
        <w:t>, Div 2 of Pt 8, Pt 8A, Pt 8B, s 494.</w:t>
      </w:r>
    </w:p>
  </w:footnote>
  <w:footnote w:id="67">
    <w:p w14:paraId="79AD12C0" w14:textId="77777777" w:rsidR="00A05FE2" w:rsidRPr="00191C99" w:rsidRDefault="00A05FE2"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High Court Rules 2004</w:t>
      </w:r>
      <w:r w:rsidRPr="00191C99">
        <w:rPr>
          <w:rFonts w:ascii="Times New Roman" w:hAnsi="Times New Roman"/>
          <w:sz w:val="24"/>
        </w:rPr>
        <w:t xml:space="preserve"> (Cth), r 8.07.1.</w:t>
      </w:r>
    </w:p>
  </w:footnote>
  <w:footnote w:id="68">
    <w:p w14:paraId="7FB53A25" w14:textId="77777777" w:rsidR="00A05FE2" w:rsidRPr="00191C99" w:rsidRDefault="00A05FE2"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Federal Court of Australia Act 1976</w:t>
      </w:r>
      <w:r w:rsidRPr="00191C99">
        <w:rPr>
          <w:rFonts w:ascii="Times New Roman" w:hAnsi="Times New Roman"/>
          <w:sz w:val="24"/>
        </w:rPr>
        <w:t xml:space="preserve"> (Cth), s 23.</w:t>
      </w:r>
    </w:p>
  </w:footnote>
  <w:footnote w:id="69">
    <w:p w14:paraId="66849AF2" w14:textId="5367C686" w:rsidR="00A05FE2" w:rsidRPr="00191C99" w:rsidRDefault="00A05FE2"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Pr="00191C99">
        <w:rPr>
          <w:rFonts w:ascii="Times New Roman" w:hAnsi="Times New Roman"/>
          <w:i/>
          <w:iCs/>
          <w:sz w:val="24"/>
        </w:rPr>
        <w:t>Zheng v Cai</w:t>
      </w:r>
      <w:r w:rsidRPr="00191C99">
        <w:rPr>
          <w:rFonts w:ascii="Times New Roman" w:hAnsi="Times New Roman"/>
          <w:sz w:val="24"/>
        </w:rPr>
        <w:t xml:space="preserve"> (2009) 239 CLR 446 at 455 [28]. See also </w:t>
      </w:r>
      <w:r w:rsidRPr="00191C99">
        <w:rPr>
          <w:rFonts w:ascii="Times New Roman" w:hAnsi="Times New Roman"/>
          <w:i/>
          <w:iCs/>
          <w:sz w:val="24"/>
        </w:rPr>
        <w:t>Project Blue Sky Inc v Australian Broadcasting Authority</w:t>
      </w:r>
      <w:r w:rsidRPr="00191C99">
        <w:rPr>
          <w:rFonts w:ascii="Times New Roman" w:hAnsi="Times New Roman"/>
          <w:sz w:val="24"/>
        </w:rPr>
        <w:t xml:space="preserve"> (1998) 194 CLR 355 at 384 [78]; </w:t>
      </w:r>
      <w:r w:rsidRPr="00191C99">
        <w:rPr>
          <w:rFonts w:ascii="Times New Roman" w:hAnsi="Times New Roman"/>
          <w:i/>
          <w:iCs/>
          <w:sz w:val="24"/>
        </w:rPr>
        <w:t xml:space="preserve">Lacey v Attorney-General </w:t>
      </w:r>
      <w:r w:rsidR="00DC02BC" w:rsidRPr="00191C99">
        <w:rPr>
          <w:rFonts w:ascii="Times New Roman" w:hAnsi="Times New Roman"/>
          <w:i/>
          <w:iCs/>
          <w:sz w:val="24"/>
        </w:rPr>
        <w:t>(Qld)</w:t>
      </w:r>
      <w:r w:rsidRPr="00191C99">
        <w:rPr>
          <w:rFonts w:ascii="Times New Roman" w:hAnsi="Times New Roman"/>
          <w:sz w:val="24"/>
        </w:rPr>
        <w:t xml:space="preserve"> (2011) 242 CLR 573 at 591-592 [43].</w:t>
      </w:r>
    </w:p>
  </w:footnote>
  <w:footnote w:id="70">
    <w:p w14:paraId="453657C6" w14:textId="77777777" w:rsidR="004C5D6E" w:rsidRPr="00191C99" w:rsidRDefault="004C5D6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(2010) 243 CLR 319.</w:t>
      </w:r>
    </w:p>
  </w:footnote>
  <w:footnote w:id="71">
    <w:p w14:paraId="26433C84" w14:textId="77777777" w:rsidR="007F0AC0" w:rsidRPr="00191C99" w:rsidRDefault="007F0AC0"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 xml:space="preserve">(2010) 243 CLR 319 at </w:t>
      </w:r>
      <w:r w:rsidR="00574C86" w:rsidRPr="00191C99">
        <w:rPr>
          <w:rFonts w:ascii="Times New Roman" w:hAnsi="Times New Roman"/>
          <w:sz w:val="24"/>
        </w:rPr>
        <w:t xml:space="preserve">348-349 [64]. </w:t>
      </w:r>
    </w:p>
  </w:footnote>
  <w:footnote w:id="72">
    <w:p w14:paraId="7C756911" w14:textId="77777777" w:rsidR="004971BD" w:rsidRPr="00191C99" w:rsidRDefault="004971B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3F284D" w:rsidRPr="00191C99">
        <w:rPr>
          <w:rFonts w:ascii="Times New Roman" w:hAnsi="Times New Roman"/>
          <w:sz w:val="24"/>
        </w:rPr>
        <w:t>(</w:t>
      </w:r>
      <w:r w:rsidRPr="00191C99">
        <w:rPr>
          <w:rFonts w:ascii="Times New Roman" w:hAnsi="Times New Roman"/>
          <w:sz w:val="24"/>
        </w:rPr>
        <w:t>2010) 243 CLR 319 at 349 [65].</w:t>
      </w:r>
    </w:p>
  </w:footnote>
  <w:footnote w:id="73">
    <w:p w14:paraId="3F4CBE91" w14:textId="77777777" w:rsidR="003F284D" w:rsidRPr="00191C99" w:rsidRDefault="003F284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 xml:space="preserve">(2010) 243 CLR 319 at </w:t>
      </w:r>
      <w:r w:rsidR="00DB2B37" w:rsidRPr="00191C99">
        <w:rPr>
          <w:rFonts w:ascii="Times New Roman" w:hAnsi="Times New Roman"/>
          <w:sz w:val="24"/>
        </w:rPr>
        <w:t>351 [71].</w:t>
      </w:r>
    </w:p>
  </w:footnote>
  <w:footnote w:id="74">
    <w:p w14:paraId="1F710FA0" w14:textId="4F37F505" w:rsidR="00846A8E" w:rsidRPr="00191C99" w:rsidRDefault="00846A8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881EA4" w:rsidRPr="00191C99">
        <w:rPr>
          <w:rFonts w:ascii="Times New Roman" w:hAnsi="Times New Roman"/>
          <w:sz w:val="24"/>
        </w:rPr>
        <w:t>c</w:t>
      </w:r>
      <w:r w:rsidRPr="00191C99">
        <w:rPr>
          <w:rFonts w:ascii="Times New Roman" w:hAnsi="Times New Roman"/>
          <w:sz w:val="24"/>
        </w:rPr>
        <w:t xml:space="preserve">f </w:t>
      </w:r>
      <w:r w:rsidRPr="00191C99">
        <w:rPr>
          <w:rFonts w:ascii="Times New Roman" w:hAnsi="Times New Roman"/>
          <w:i/>
          <w:iCs/>
          <w:sz w:val="24"/>
        </w:rPr>
        <w:t xml:space="preserve">Reid v </w:t>
      </w:r>
      <w:r w:rsidR="00344A30" w:rsidRPr="00191C99">
        <w:rPr>
          <w:rFonts w:ascii="Times New Roman" w:hAnsi="Times New Roman"/>
          <w:i/>
          <w:iCs/>
          <w:sz w:val="24"/>
        </w:rPr>
        <w:t>Howard</w:t>
      </w:r>
      <w:r w:rsidRPr="00191C99">
        <w:rPr>
          <w:rFonts w:ascii="Times New Roman" w:hAnsi="Times New Roman"/>
          <w:sz w:val="24"/>
        </w:rPr>
        <w:t xml:space="preserve"> </w:t>
      </w:r>
      <w:r w:rsidR="00344A30" w:rsidRPr="00191C99">
        <w:rPr>
          <w:rFonts w:ascii="Times New Roman" w:hAnsi="Times New Roman"/>
          <w:sz w:val="24"/>
        </w:rPr>
        <w:t>(1995) 184 CLR 1 at 16.</w:t>
      </w:r>
    </w:p>
  </w:footnote>
  <w:footnote w:id="75">
    <w:p w14:paraId="29BE1D0A" w14:textId="4BC60918" w:rsidR="008048DD" w:rsidRPr="00191C99" w:rsidRDefault="008048D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F4436C" w:rsidRPr="00191C99">
        <w:rPr>
          <w:rFonts w:ascii="Times New Roman" w:hAnsi="Times New Roman"/>
          <w:sz w:val="24"/>
        </w:rPr>
        <w:t>(2014) 253 CLR 219.</w:t>
      </w:r>
    </w:p>
  </w:footnote>
  <w:footnote w:id="76">
    <w:p w14:paraId="2B445538" w14:textId="77777777" w:rsidR="007A5ABC" w:rsidRPr="00191C99" w:rsidRDefault="007A5ABC"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1F7439" w:rsidRPr="00191C99">
        <w:rPr>
          <w:rFonts w:ascii="Times New Roman" w:hAnsi="Times New Roman"/>
          <w:sz w:val="24"/>
        </w:rPr>
        <w:t>(2014) 253 CLR 219 at 233 [33].</w:t>
      </w:r>
    </w:p>
  </w:footnote>
  <w:footnote w:id="77">
    <w:p w14:paraId="778612E4" w14:textId="77777777" w:rsidR="00FE0B3D" w:rsidRPr="00191C99" w:rsidRDefault="00FE0B3D"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(2014) 253 CLR 219 at 231 [26].</w:t>
      </w:r>
    </w:p>
  </w:footnote>
  <w:footnote w:id="78">
    <w:p w14:paraId="6D8FB4F4" w14:textId="30BFA1B3" w:rsidR="002F20BB" w:rsidRPr="00191C99" w:rsidRDefault="002F20B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t>(2014) 253 CLR 219 at 23</w:t>
      </w:r>
      <w:r w:rsidR="000D5CFB" w:rsidRPr="00191C99">
        <w:rPr>
          <w:rFonts w:ascii="Times New Roman" w:hAnsi="Times New Roman"/>
          <w:sz w:val="24"/>
        </w:rPr>
        <w:t xml:space="preserve">3-234 [35] (citation omitted). </w:t>
      </w:r>
    </w:p>
  </w:footnote>
  <w:footnote w:id="79">
    <w:p w14:paraId="478BEE8F" w14:textId="77777777" w:rsidR="006661DB" w:rsidRPr="00191C99" w:rsidRDefault="006661D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424882" w:rsidRPr="00191C99">
        <w:rPr>
          <w:rFonts w:ascii="Times New Roman" w:hAnsi="Times New Roman"/>
          <w:sz w:val="24"/>
        </w:rPr>
        <w:t xml:space="preserve">See </w:t>
      </w:r>
      <w:r w:rsidR="00424882" w:rsidRPr="00191C99">
        <w:rPr>
          <w:rFonts w:ascii="Times New Roman" w:hAnsi="Times New Roman"/>
          <w:i/>
          <w:iCs/>
          <w:sz w:val="24"/>
        </w:rPr>
        <w:t>Project Blue Sky Inc v Australian Broadcasting Authority</w:t>
      </w:r>
      <w:r w:rsidR="00424882" w:rsidRPr="00191C99">
        <w:rPr>
          <w:rFonts w:ascii="Times New Roman" w:hAnsi="Times New Roman"/>
          <w:sz w:val="24"/>
        </w:rPr>
        <w:t xml:space="preserve"> (1998) 194 CLR 355 at 382 [70].</w:t>
      </w:r>
    </w:p>
  </w:footnote>
  <w:footnote w:id="80">
    <w:p w14:paraId="51A96F30" w14:textId="7A4C5D9D" w:rsidR="00E8491E" w:rsidRPr="00191C99" w:rsidRDefault="00E8491E"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C845CB" w:rsidRPr="00191C99">
        <w:rPr>
          <w:rFonts w:ascii="Times New Roman" w:hAnsi="Times New Roman"/>
          <w:sz w:val="24"/>
        </w:rPr>
        <w:t>(2016) 259 CLR 180.</w:t>
      </w:r>
    </w:p>
  </w:footnote>
  <w:footnote w:id="81">
    <w:p w14:paraId="04F7E859" w14:textId="17213475" w:rsidR="00CE046B" w:rsidRPr="00191C99" w:rsidRDefault="00CE046B" w:rsidP="00191C99">
      <w:pPr>
        <w:pStyle w:val="FootnoteText"/>
        <w:spacing w:line="280" w:lineRule="exact"/>
        <w:ind w:right="0"/>
        <w:jc w:val="both"/>
        <w:rPr>
          <w:rFonts w:ascii="Times New Roman" w:hAnsi="Times New Roman"/>
          <w:sz w:val="24"/>
        </w:rPr>
      </w:pPr>
      <w:r w:rsidRPr="00191C99">
        <w:rPr>
          <w:rStyle w:val="FootnoteReference"/>
          <w:rFonts w:ascii="Times New Roman" w:hAnsi="Times New Roman"/>
          <w:sz w:val="22"/>
          <w:vertAlign w:val="baseline"/>
        </w:rPr>
        <w:footnoteRef/>
      </w:r>
      <w:r w:rsidRPr="00191C99">
        <w:rPr>
          <w:rFonts w:ascii="Times New Roman" w:hAnsi="Times New Roman"/>
          <w:sz w:val="24"/>
        </w:rPr>
        <w:t xml:space="preserve"> </w:t>
      </w:r>
      <w:r w:rsidRPr="00191C99">
        <w:rPr>
          <w:rFonts w:ascii="Times New Roman" w:hAnsi="Times New Roman"/>
          <w:sz w:val="24"/>
        </w:rPr>
        <w:tab/>
      </w:r>
      <w:r w:rsidR="00C845CB" w:rsidRPr="00191C99">
        <w:rPr>
          <w:rFonts w:ascii="Times New Roman" w:hAnsi="Times New Roman"/>
          <w:sz w:val="24"/>
        </w:rPr>
        <w:t xml:space="preserve">(2016) 259 CLR 180 </w:t>
      </w:r>
      <w:r w:rsidRPr="00191C99">
        <w:rPr>
          <w:rFonts w:ascii="Times New Roman" w:hAnsi="Times New Roman"/>
          <w:sz w:val="24"/>
        </w:rPr>
        <w:t xml:space="preserve">at </w:t>
      </w:r>
      <w:r w:rsidR="00C845CB" w:rsidRPr="00191C99">
        <w:rPr>
          <w:rFonts w:ascii="Times New Roman" w:hAnsi="Times New Roman"/>
          <w:sz w:val="24"/>
        </w:rPr>
        <w:t>200 [54].</w:t>
      </w:r>
    </w:p>
  </w:footnote>
  <w:footnote w:id="82">
    <w:p w14:paraId="65708679"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The appellants and the Attorney-General of the Commonwealth (intervening) put their case collectively and will be referred to as "the Minister". </w:t>
      </w:r>
    </w:p>
  </w:footnote>
  <w:footnote w:id="83">
    <w:p w14:paraId="28E3BD0E"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MZAPC v Minister for Immigration, Citizenship and Multicultural Affairs</w:t>
      </w:r>
      <w:r w:rsidRPr="00332BB4">
        <w:rPr>
          <w:rFonts w:ascii="Times New Roman" w:hAnsi="Times New Roman"/>
          <w:sz w:val="24"/>
        </w:rPr>
        <w:t xml:space="preserve"> [2023] FCA 989 at [68].</w:t>
      </w:r>
    </w:p>
  </w:footnote>
  <w:footnote w:id="84">
    <w:p w14:paraId="43D8878B"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178 [74], 183 [97].</w:t>
      </w:r>
    </w:p>
  </w:footnote>
  <w:footnote w:id="85">
    <w:p w14:paraId="64D4C7F2"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MZAPC v Minister for Immigration, Citizenship and Multicultural Affairs</w:t>
      </w:r>
      <w:r w:rsidRPr="00332BB4">
        <w:rPr>
          <w:rFonts w:ascii="Times New Roman" w:hAnsi="Times New Roman"/>
          <w:sz w:val="24"/>
        </w:rPr>
        <w:t xml:space="preserve"> [2023] FCA 989 at [52].</w:t>
      </w:r>
    </w:p>
  </w:footnote>
  <w:footnote w:id="86">
    <w:p w14:paraId="520770B2"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187 [123]. </w:t>
      </w:r>
    </w:p>
  </w:footnote>
  <w:footnote w:id="87">
    <w:p w14:paraId="027B3815"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MZAPC v Minister for Immigration, Citizenship and Multicultural Affairs</w:t>
      </w:r>
      <w:r w:rsidRPr="00332BB4">
        <w:rPr>
          <w:rFonts w:ascii="Times New Roman" w:hAnsi="Times New Roman"/>
          <w:sz w:val="24"/>
        </w:rPr>
        <w:t xml:space="preserve"> [2023] FCA 989 at [15]; </w:t>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187 [123], 188-189 [129]-[131].</w:t>
      </w:r>
    </w:p>
  </w:footnote>
  <w:footnote w:id="88">
    <w:p w14:paraId="4C2321D2"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188 [126]-[127]. </w:t>
      </w:r>
    </w:p>
  </w:footnote>
  <w:footnote w:id="89">
    <w:p w14:paraId="7AD544DD"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MZAPC v Minister for Immigration, Citizenship and Multicultural Affairs</w:t>
      </w:r>
      <w:r w:rsidRPr="00332BB4">
        <w:rPr>
          <w:rFonts w:ascii="Times New Roman" w:hAnsi="Times New Roman"/>
          <w:sz w:val="24"/>
        </w:rPr>
        <w:t xml:space="preserve"> [2023] FCA 989 at [52]; </w:t>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186 [116].</w:t>
      </w:r>
    </w:p>
  </w:footnote>
  <w:footnote w:id="90">
    <w:p w14:paraId="62BFBF61"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See </w:t>
      </w:r>
      <w:r w:rsidRPr="00332BB4">
        <w:rPr>
          <w:rFonts w:ascii="Times New Roman" w:hAnsi="Times New Roman"/>
          <w:i/>
          <w:iCs/>
          <w:sz w:val="24"/>
        </w:rPr>
        <w:t xml:space="preserve">Reid v Howard </w:t>
      </w:r>
      <w:r w:rsidRPr="00332BB4">
        <w:rPr>
          <w:rFonts w:ascii="Times New Roman" w:hAnsi="Times New Roman"/>
          <w:sz w:val="24"/>
        </w:rPr>
        <w:t>(1995) 184 CLR 1 at 16.</w:t>
      </w:r>
    </w:p>
  </w:footnote>
  <w:footnote w:id="91">
    <w:p w14:paraId="711DD80F"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174 [54].</w:t>
      </w:r>
    </w:p>
  </w:footnote>
  <w:footnote w:id="92">
    <w:p w14:paraId="20F69FE7" w14:textId="77777777" w:rsidR="004C0687" w:rsidRPr="00332BB4" w:rsidRDefault="004C0687" w:rsidP="00332BB4">
      <w:pPr>
        <w:pStyle w:val="FootnoteText"/>
        <w:spacing w:line="280" w:lineRule="exact"/>
        <w:ind w:right="0"/>
        <w:jc w:val="both"/>
        <w:rPr>
          <w:rFonts w:ascii="Times New Roman" w:hAnsi="Times New Roman"/>
          <w:i/>
          <w:iCs/>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Beecham Group Ltd v Bristol Laboratories Pty Ltd </w:t>
      </w:r>
      <w:r w:rsidRPr="00332BB4">
        <w:rPr>
          <w:rFonts w:ascii="Times New Roman" w:hAnsi="Times New Roman"/>
          <w:sz w:val="24"/>
        </w:rPr>
        <w:t>(1968) 118 CLR 618 at 622-623.</w:t>
      </w:r>
    </w:p>
  </w:footnote>
  <w:footnote w:id="93">
    <w:p w14:paraId="30611C7D"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Beecham Group Ltd v Bristol Laboratories Pty Ltd </w:t>
      </w:r>
      <w:r w:rsidRPr="00332BB4">
        <w:rPr>
          <w:rFonts w:ascii="Times New Roman" w:hAnsi="Times New Roman"/>
          <w:sz w:val="24"/>
        </w:rPr>
        <w:t xml:space="preserve">(1968) 118 CLR 618 at 623; </w:t>
      </w:r>
      <w:r w:rsidRPr="00332BB4">
        <w:rPr>
          <w:rFonts w:ascii="Times New Roman" w:hAnsi="Times New Roman"/>
          <w:i/>
          <w:iCs/>
          <w:sz w:val="24"/>
        </w:rPr>
        <w:t>Castlemaine Tooheys Ltd v South Australia</w:t>
      </w:r>
      <w:r w:rsidRPr="00332BB4">
        <w:rPr>
          <w:rFonts w:ascii="Times New Roman" w:hAnsi="Times New Roman"/>
          <w:sz w:val="24"/>
        </w:rPr>
        <w:t xml:space="preserve"> (1986) 161 CLR 148 at 153.</w:t>
      </w:r>
    </w:p>
  </w:footnote>
  <w:footnote w:id="94">
    <w:p w14:paraId="188EAA66" w14:textId="77777777" w:rsidR="004C0687" w:rsidRPr="00332BB4" w:rsidRDefault="004C0687" w:rsidP="00332BB4">
      <w:pPr>
        <w:pStyle w:val="FootnoteText"/>
        <w:spacing w:line="280" w:lineRule="exact"/>
        <w:ind w:right="0"/>
        <w:jc w:val="both"/>
        <w:rPr>
          <w:rFonts w:ascii="Times New Roman" w:hAnsi="Times New Roman"/>
          <w:b/>
          <w:bCs/>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Minister for Immigration, Citizenship and Multicultural Affairs v MZAPC</w:t>
      </w:r>
      <w:r w:rsidRPr="00332BB4">
        <w:rPr>
          <w:rFonts w:ascii="Times New Roman" w:hAnsi="Times New Roman"/>
          <w:sz w:val="24"/>
        </w:rPr>
        <w:t xml:space="preserve"> (2024) 302 FCR 159 at 188 [127], 188-189 [130].</w:t>
      </w:r>
    </w:p>
  </w:footnote>
  <w:footnote w:id="95">
    <w:p w14:paraId="342BCD5E"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Beecham Group Ltd v Bristol Laboratories Pty Ltd </w:t>
      </w:r>
      <w:r w:rsidRPr="00332BB4">
        <w:rPr>
          <w:rFonts w:ascii="Times New Roman" w:hAnsi="Times New Roman"/>
          <w:sz w:val="24"/>
        </w:rPr>
        <w:t>(1968) 118 CLR 618 at 622.</w:t>
      </w:r>
    </w:p>
  </w:footnote>
  <w:footnote w:id="96">
    <w:p w14:paraId="0F725F7A"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Batistatos v Roads and Traffic Authority (NSW)</w:t>
      </w:r>
      <w:r w:rsidRPr="00332BB4">
        <w:rPr>
          <w:rFonts w:ascii="Times New Roman" w:hAnsi="Times New Roman"/>
          <w:sz w:val="24"/>
        </w:rPr>
        <w:t xml:space="preserve"> (2006) 226 CLR 256 at 263-264 [5].</w:t>
      </w:r>
    </w:p>
  </w:footnote>
  <w:footnote w:id="97">
    <w:p w14:paraId="31C57402"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See, eg, </w:t>
      </w:r>
      <w:r w:rsidRPr="00332BB4">
        <w:rPr>
          <w:rFonts w:ascii="Times New Roman" w:hAnsi="Times New Roman"/>
          <w:i/>
          <w:iCs/>
          <w:sz w:val="24"/>
        </w:rPr>
        <w:t>Justice, New South Wales Act 1823</w:t>
      </w:r>
      <w:r w:rsidRPr="00332BB4">
        <w:rPr>
          <w:rFonts w:ascii="Times New Roman" w:hAnsi="Times New Roman"/>
          <w:sz w:val="24"/>
        </w:rPr>
        <w:t xml:space="preserve"> (Imp) (4 Geo IV c 96), s 2 with respect to the Supreme Court of New South Wales and the Supreme Court of Tasmania and </w:t>
      </w:r>
      <w:r w:rsidRPr="00332BB4">
        <w:rPr>
          <w:rFonts w:ascii="Times New Roman" w:hAnsi="Times New Roman"/>
          <w:i/>
          <w:iCs/>
          <w:sz w:val="24"/>
        </w:rPr>
        <w:t xml:space="preserve">Supreme Court Act 1970 </w:t>
      </w:r>
      <w:r w:rsidRPr="00332BB4">
        <w:rPr>
          <w:rFonts w:ascii="Times New Roman" w:hAnsi="Times New Roman"/>
          <w:sz w:val="24"/>
        </w:rPr>
        <w:t xml:space="preserve">(NSW), s 22; </w:t>
      </w:r>
      <w:r w:rsidRPr="00332BB4">
        <w:rPr>
          <w:rFonts w:ascii="Times New Roman" w:hAnsi="Times New Roman"/>
          <w:i/>
          <w:iCs/>
          <w:sz w:val="24"/>
        </w:rPr>
        <w:t xml:space="preserve">Govt of Western Australia Act 1829 </w:t>
      </w:r>
      <w:r w:rsidRPr="00332BB4">
        <w:rPr>
          <w:rFonts w:ascii="Times New Roman" w:hAnsi="Times New Roman"/>
          <w:sz w:val="24"/>
        </w:rPr>
        <w:t xml:space="preserve">(Imp) (10 Geo IV c 22), s 1, </w:t>
      </w:r>
      <w:r w:rsidRPr="00332BB4">
        <w:rPr>
          <w:rFonts w:ascii="Times New Roman" w:hAnsi="Times New Roman"/>
          <w:i/>
          <w:iCs/>
          <w:sz w:val="24"/>
        </w:rPr>
        <w:t>Supreme Court Ordinance 1861</w:t>
      </w:r>
      <w:r w:rsidRPr="00332BB4">
        <w:rPr>
          <w:rFonts w:ascii="Times New Roman" w:hAnsi="Times New Roman"/>
          <w:sz w:val="24"/>
        </w:rPr>
        <w:t xml:space="preserve"> (WA), s 4 and </w:t>
      </w:r>
      <w:r w:rsidRPr="00332BB4">
        <w:rPr>
          <w:rFonts w:ascii="Times New Roman" w:hAnsi="Times New Roman"/>
          <w:i/>
          <w:iCs/>
          <w:sz w:val="24"/>
        </w:rPr>
        <w:t xml:space="preserve">Supreme Court Act 1935 </w:t>
      </w:r>
      <w:r w:rsidRPr="00332BB4">
        <w:rPr>
          <w:rFonts w:ascii="Times New Roman" w:hAnsi="Times New Roman"/>
          <w:sz w:val="24"/>
        </w:rPr>
        <w:t xml:space="preserve">(WA), s 16; </w:t>
      </w:r>
      <w:r w:rsidRPr="00332BB4">
        <w:rPr>
          <w:rFonts w:ascii="Times New Roman" w:hAnsi="Times New Roman"/>
          <w:i/>
          <w:iCs/>
          <w:sz w:val="24"/>
        </w:rPr>
        <w:t xml:space="preserve">South Australia Act 1834 </w:t>
      </w:r>
      <w:r w:rsidRPr="00332BB4">
        <w:rPr>
          <w:rFonts w:ascii="Times New Roman" w:hAnsi="Times New Roman"/>
          <w:sz w:val="24"/>
        </w:rPr>
        <w:t xml:space="preserve">(Imp) (4 &amp; 5 Will IV c 95), </w:t>
      </w:r>
      <w:r w:rsidRPr="00332BB4">
        <w:rPr>
          <w:rFonts w:ascii="Times New Roman" w:hAnsi="Times New Roman"/>
          <w:i/>
          <w:iCs/>
          <w:sz w:val="24"/>
        </w:rPr>
        <w:t>Supreme Court Act 1855-56</w:t>
      </w:r>
      <w:r w:rsidRPr="00332BB4">
        <w:rPr>
          <w:rFonts w:ascii="Times New Roman" w:hAnsi="Times New Roman"/>
          <w:sz w:val="24"/>
        </w:rPr>
        <w:t xml:space="preserve"> (SA), s 7 and </w:t>
      </w:r>
      <w:r w:rsidRPr="00332BB4">
        <w:rPr>
          <w:rFonts w:ascii="Times New Roman" w:hAnsi="Times New Roman"/>
          <w:i/>
          <w:iCs/>
          <w:sz w:val="24"/>
        </w:rPr>
        <w:t xml:space="preserve">Supreme Court Act 1935 </w:t>
      </w:r>
      <w:r w:rsidRPr="00332BB4">
        <w:rPr>
          <w:rFonts w:ascii="Times New Roman" w:hAnsi="Times New Roman"/>
          <w:sz w:val="24"/>
        </w:rPr>
        <w:t>(SA) ss 6, 17</w:t>
      </w:r>
      <w:r w:rsidRPr="00332BB4">
        <w:rPr>
          <w:rFonts w:ascii="Times New Roman" w:hAnsi="Times New Roman"/>
          <w:i/>
          <w:iCs/>
          <w:sz w:val="24"/>
        </w:rPr>
        <w:t xml:space="preserve">; Australian Constitutions Act 1850 </w:t>
      </w:r>
      <w:r w:rsidRPr="00332BB4">
        <w:rPr>
          <w:rFonts w:ascii="Times New Roman" w:hAnsi="Times New Roman"/>
          <w:sz w:val="24"/>
        </w:rPr>
        <w:t xml:space="preserve">(Imp) (13 &amp; 14 Vict c 59), s 28 and </w:t>
      </w:r>
      <w:r w:rsidRPr="00332BB4">
        <w:rPr>
          <w:rFonts w:ascii="Times New Roman" w:hAnsi="Times New Roman"/>
          <w:i/>
          <w:iCs/>
          <w:sz w:val="24"/>
        </w:rPr>
        <w:t xml:space="preserve">Supreme Court Act 1986 </w:t>
      </w:r>
      <w:r w:rsidRPr="00332BB4">
        <w:rPr>
          <w:rFonts w:ascii="Times New Roman" w:hAnsi="Times New Roman"/>
          <w:sz w:val="24"/>
        </w:rPr>
        <w:t xml:space="preserve">(Vic), ss 10, 17; </w:t>
      </w:r>
      <w:r w:rsidRPr="00332BB4">
        <w:rPr>
          <w:rFonts w:ascii="Times New Roman" w:hAnsi="Times New Roman"/>
          <w:i/>
          <w:iCs/>
          <w:sz w:val="24"/>
        </w:rPr>
        <w:t xml:space="preserve">Supreme Court Constitution Amendment Act 1861 </w:t>
      </w:r>
      <w:r w:rsidRPr="00332BB4">
        <w:rPr>
          <w:rFonts w:ascii="Times New Roman" w:hAnsi="Times New Roman"/>
          <w:sz w:val="24"/>
        </w:rPr>
        <w:t xml:space="preserve">(Qld), s 2, </w:t>
      </w:r>
      <w:r w:rsidRPr="00332BB4">
        <w:rPr>
          <w:rFonts w:ascii="Times New Roman" w:hAnsi="Times New Roman"/>
          <w:i/>
          <w:iCs/>
          <w:sz w:val="24"/>
        </w:rPr>
        <w:t>Supreme Court Act 1863</w:t>
      </w:r>
      <w:r w:rsidRPr="00332BB4">
        <w:rPr>
          <w:rFonts w:ascii="Times New Roman" w:hAnsi="Times New Roman"/>
          <w:sz w:val="24"/>
        </w:rPr>
        <w:t xml:space="preserve"> (Qld), s 2 and </w:t>
      </w:r>
      <w:r w:rsidRPr="00332BB4">
        <w:rPr>
          <w:rFonts w:ascii="Times New Roman" w:hAnsi="Times New Roman"/>
          <w:i/>
          <w:iCs/>
          <w:sz w:val="24"/>
        </w:rPr>
        <w:t xml:space="preserve">Supreme Court of Queensland Act 1991 </w:t>
      </w:r>
      <w:r w:rsidRPr="00332BB4">
        <w:rPr>
          <w:rFonts w:ascii="Times New Roman" w:hAnsi="Times New Roman"/>
          <w:sz w:val="24"/>
        </w:rPr>
        <w:t>(Qld), ss 29, 45.</w:t>
      </w:r>
    </w:p>
  </w:footnote>
  <w:footnote w:id="98">
    <w:p w14:paraId="7F003C67"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Batistatos v Roads and Traffic Authority (NSW)</w:t>
      </w:r>
      <w:r w:rsidRPr="00332BB4">
        <w:rPr>
          <w:rFonts w:ascii="Times New Roman" w:hAnsi="Times New Roman"/>
          <w:sz w:val="24"/>
        </w:rPr>
        <w:t xml:space="preserve"> (2006) 226 CLR 256 at 263 [5], quoting </w:t>
      </w:r>
      <w:r w:rsidRPr="00332BB4">
        <w:rPr>
          <w:rFonts w:ascii="Times New Roman" w:hAnsi="Times New Roman"/>
          <w:i/>
          <w:iCs/>
          <w:sz w:val="24"/>
        </w:rPr>
        <w:t xml:space="preserve">Australian Securities and Investments Commission v Edensor Nominees Pty Ltd </w:t>
      </w:r>
      <w:r w:rsidRPr="00332BB4">
        <w:rPr>
          <w:rFonts w:ascii="Times New Roman" w:hAnsi="Times New Roman"/>
          <w:sz w:val="24"/>
        </w:rPr>
        <w:t xml:space="preserve">(2001) 204 CLR 559 at 590 [64], which in turn quotes </w:t>
      </w:r>
      <w:r w:rsidRPr="00332BB4">
        <w:rPr>
          <w:rFonts w:ascii="Times New Roman" w:hAnsi="Times New Roman"/>
          <w:i/>
          <w:iCs/>
          <w:sz w:val="24"/>
        </w:rPr>
        <w:t xml:space="preserve">Harris v Caladine </w:t>
      </w:r>
      <w:r w:rsidRPr="00332BB4">
        <w:rPr>
          <w:rFonts w:ascii="Times New Roman" w:hAnsi="Times New Roman"/>
          <w:sz w:val="24"/>
        </w:rPr>
        <w:t xml:space="preserve">(1991) 172 CLR 84 at 136, which in turn quotes </w:t>
      </w:r>
      <w:r w:rsidRPr="00332BB4">
        <w:rPr>
          <w:rFonts w:ascii="Times New Roman" w:hAnsi="Times New Roman"/>
          <w:i/>
          <w:iCs/>
          <w:sz w:val="24"/>
        </w:rPr>
        <w:t xml:space="preserve">Parsons v Martin </w:t>
      </w:r>
      <w:r w:rsidRPr="00332BB4">
        <w:rPr>
          <w:rFonts w:ascii="Times New Roman" w:hAnsi="Times New Roman"/>
          <w:sz w:val="24"/>
        </w:rPr>
        <w:t xml:space="preserve">(1984) 5 FCR 235 at 241. See also </w:t>
      </w:r>
      <w:r w:rsidRPr="00332BB4">
        <w:rPr>
          <w:rFonts w:ascii="Times New Roman" w:hAnsi="Times New Roman"/>
          <w:i/>
          <w:iCs/>
          <w:sz w:val="24"/>
        </w:rPr>
        <w:t xml:space="preserve">Jackson v Sterling Industries Ltd </w:t>
      </w:r>
      <w:r w:rsidRPr="00332BB4">
        <w:rPr>
          <w:rFonts w:ascii="Times New Roman" w:hAnsi="Times New Roman"/>
          <w:sz w:val="24"/>
        </w:rPr>
        <w:t xml:space="preserve">(1987) 162 CLR 612 at 630-631. </w:t>
      </w:r>
    </w:p>
  </w:footnote>
  <w:footnote w:id="99">
    <w:p w14:paraId="471A26CA"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Jackson v Sterling Industries Ltd </w:t>
      </w:r>
      <w:r w:rsidRPr="00332BB4">
        <w:rPr>
          <w:rFonts w:ascii="Times New Roman" w:hAnsi="Times New Roman"/>
          <w:sz w:val="24"/>
        </w:rPr>
        <w:t xml:space="preserve">(1987) 162 CLR 612 at 623-624, quoting </w:t>
      </w:r>
      <w:r w:rsidRPr="00332BB4">
        <w:rPr>
          <w:rFonts w:ascii="Times New Roman" w:hAnsi="Times New Roman"/>
          <w:i/>
          <w:iCs/>
          <w:sz w:val="24"/>
        </w:rPr>
        <w:t xml:space="preserve">Jackson v Sterling Industries Ltd </w:t>
      </w:r>
      <w:r w:rsidRPr="00332BB4">
        <w:rPr>
          <w:rFonts w:ascii="Times New Roman" w:hAnsi="Times New Roman"/>
          <w:sz w:val="24"/>
        </w:rPr>
        <w:t>(1986) 69 ALR 92 at 97.</w:t>
      </w:r>
    </w:p>
  </w:footnote>
  <w:footnote w:id="100">
    <w:p w14:paraId="514EF876" w14:textId="77777777" w:rsidR="004C0687" w:rsidRPr="00332BB4" w:rsidRDefault="004C0687" w:rsidP="00332BB4">
      <w:pPr>
        <w:pStyle w:val="FootnoteText"/>
        <w:spacing w:line="280" w:lineRule="exact"/>
        <w:ind w:right="0"/>
        <w:jc w:val="both"/>
        <w:rPr>
          <w:rFonts w:ascii="Times New Roman" w:hAnsi="Times New Roman"/>
          <w:i/>
          <w:iCs/>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CSR Ltd v Cigna Insurance Australia Ltd</w:t>
      </w:r>
      <w:r w:rsidRPr="00332BB4">
        <w:rPr>
          <w:rFonts w:ascii="Times New Roman" w:hAnsi="Times New Roman"/>
          <w:sz w:val="24"/>
        </w:rPr>
        <w:t xml:space="preserve"> (1997) 189 CLR 345 at 391, referring to </w:t>
      </w:r>
      <w:r w:rsidRPr="00332BB4">
        <w:rPr>
          <w:rFonts w:ascii="Times New Roman" w:hAnsi="Times New Roman"/>
          <w:i/>
          <w:iCs/>
          <w:sz w:val="24"/>
        </w:rPr>
        <w:t xml:space="preserve">Jackson v Sterling Industries Ltd </w:t>
      </w:r>
      <w:r w:rsidRPr="00332BB4">
        <w:rPr>
          <w:rFonts w:ascii="Times New Roman" w:hAnsi="Times New Roman"/>
          <w:sz w:val="24"/>
        </w:rPr>
        <w:t>(1987) 162 CLR 612 at 619, 621, 639.</w:t>
      </w:r>
    </w:p>
  </w:footnote>
  <w:footnote w:id="101">
    <w:p w14:paraId="5D9EA1FA"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(1995) 184 CLR 1.</w:t>
      </w:r>
    </w:p>
  </w:footnote>
  <w:footnote w:id="102">
    <w:p w14:paraId="29B8EF3B"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Supreme Court Act 1970 </w:t>
      </w:r>
      <w:r w:rsidRPr="00332BB4">
        <w:rPr>
          <w:rFonts w:ascii="Times New Roman" w:hAnsi="Times New Roman"/>
          <w:sz w:val="24"/>
        </w:rPr>
        <w:t xml:space="preserve">(NSW), s 23. </w:t>
      </w:r>
    </w:p>
  </w:footnote>
  <w:footnote w:id="103">
    <w:p w14:paraId="36BE6421"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(1995) 184 CLR 1 at 16.</w:t>
      </w:r>
    </w:p>
  </w:footnote>
  <w:footnote w:id="104">
    <w:p w14:paraId="41141A95"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(1962) 108 CLR 620. </w:t>
      </w:r>
    </w:p>
  </w:footnote>
  <w:footnote w:id="105">
    <w:p w14:paraId="3B4CA2BE"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M38/2002 v Minister for Immigration and Multicultural and Indigenous Affairs </w:t>
      </w:r>
      <w:r w:rsidRPr="00332BB4">
        <w:rPr>
          <w:rFonts w:ascii="Times New Roman" w:hAnsi="Times New Roman"/>
          <w:sz w:val="24"/>
        </w:rPr>
        <w:t>(2003) 131 FCR 146 at 165-166 [64]-[69].</w:t>
      </w:r>
    </w:p>
  </w:footnote>
  <w:footnote w:id="106">
    <w:p w14:paraId="060C19FC"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Simsek v Macphee </w:t>
      </w:r>
      <w:r w:rsidRPr="00332BB4">
        <w:rPr>
          <w:rFonts w:ascii="Times New Roman" w:hAnsi="Times New Roman"/>
          <w:sz w:val="24"/>
        </w:rPr>
        <w:t>(1982) 148 CLR 636 at 641.</w:t>
      </w:r>
    </w:p>
  </w:footnote>
  <w:footnote w:id="107">
    <w:p w14:paraId="194D8C8D"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Macquarie Dictionary</w:t>
      </w:r>
      <w:r w:rsidRPr="00332BB4">
        <w:rPr>
          <w:rFonts w:ascii="Times New Roman" w:hAnsi="Times New Roman"/>
          <w:sz w:val="24"/>
        </w:rPr>
        <w:t>, 9th ed (2023), vol 2 at 1210, "practicable", sense 1.</w:t>
      </w:r>
    </w:p>
  </w:footnote>
  <w:footnote w:id="108">
    <w:p w14:paraId="4F15B2F2"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See </w:t>
      </w:r>
      <w:r w:rsidRPr="00332BB4">
        <w:rPr>
          <w:rFonts w:ascii="Times New Roman" w:hAnsi="Times New Roman"/>
          <w:i/>
          <w:iCs/>
          <w:sz w:val="24"/>
        </w:rPr>
        <w:t xml:space="preserve">Uebergang v Australian Wheat Board </w:t>
      </w:r>
      <w:r w:rsidRPr="00332BB4">
        <w:rPr>
          <w:rFonts w:ascii="Times New Roman" w:hAnsi="Times New Roman"/>
          <w:sz w:val="24"/>
        </w:rPr>
        <w:t>(1980) 145 CLR 266 at 305-306.</w:t>
      </w:r>
    </w:p>
  </w:footnote>
  <w:footnote w:id="109">
    <w:p w14:paraId="0E7ED0D3"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(2021) 285 FCR 463 at 492-493 [115]. </w:t>
      </w:r>
    </w:p>
  </w:footnote>
  <w:footnote w:id="110">
    <w:p w14:paraId="321DD923"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(2014) 253 CLR 219.</w:t>
      </w:r>
    </w:p>
  </w:footnote>
  <w:footnote w:id="111">
    <w:p w14:paraId="3E1FED2E"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(2014) 253 CLR 219 at 234 [35]. </w:t>
      </w:r>
    </w:p>
  </w:footnote>
  <w:footnote w:id="112">
    <w:p w14:paraId="69DAD2E7"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(2014) 253 CLR 219 at 233-234 [35].</w:t>
      </w:r>
    </w:p>
  </w:footnote>
  <w:footnote w:id="113">
    <w:p w14:paraId="0AD9D5EB" w14:textId="77777777" w:rsidR="004C0687" w:rsidRPr="00332BB4" w:rsidRDefault="004C0687" w:rsidP="00332BB4">
      <w:pPr>
        <w:pStyle w:val="FootnoteText"/>
        <w:spacing w:line="280" w:lineRule="exact"/>
        <w:ind w:right="0"/>
        <w:jc w:val="both"/>
        <w:rPr>
          <w:rFonts w:ascii="Times New Roman" w:hAnsi="Times New Roman"/>
          <w:i/>
          <w:iCs/>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See </w:t>
      </w:r>
      <w:r w:rsidRPr="00332BB4">
        <w:rPr>
          <w:rFonts w:ascii="Times New Roman" w:hAnsi="Times New Roman"/>
          <w:i/>
          <w:iCs/>
          <w:sz w:val="24"/>
        </w:rPr>
        <w:t xml:space="preserve">Davis v Minister for Immigration, Citizenship, Migrant Services and Multicultural Affairs </w:t>
      </w:r>
      <w:r w:rsidRPr="00332BB4">
        <w:rPr>
          <w:rFonts w:ascii="Times New Roman" w:hAnsi="Times New Roman"/>
          <w:sz w:val="24"/>
        </w:rPr>
        <w:t>(2023) 97 ALJR 214 at 246 [147], 254 [194]; 408 ALR 381 at 419, 430.</w:t>
      </w:r>
    </w:p>
  </w:footnote>
  <w:footnote w:id="114">
    <w:p w14:paraId="61F03E5C"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t xml:space="preserve">See </w:t>
      </w:r>
      <w:r w:rsidRPr="00332BB4">
        <w:rPr>
          <w:rFonts w:ascii="Times New Roman" w:hAnsi="Times New Roman"/>
          <w:i/>
          <w:iCs/>
          <w:sz w:val="24"/>
        </w:rPr>
        <w:t xml:space="preserve">Plaintiff M61/2010E v The Commonwealth </w:t>
      </w:r>
      <w:r w:rsidRPr="00332BB4">
        <w:rPr>
          <w:rFonts w:ascii="Times New Roman" w:hAnsi="Times New Roman"/>
          <w:sz w:val="24"/>
        </w:rPr>
        <w:t xml:space="preserve">(2010) 243 CLR 319 at 349 [65]. </w:t>
      </w:r>
    </w:p>
  </w:footnote>
  <w:footnote w:id="115">
    <w:p w14:paraId="58952CC8"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 xml:space="preserve">Hurt v The King </w:t>
      </w:r>
      <w:r w:rsidRPr="00332BB4">
        <w:rPr>
          <w:rFonts w:ascii="Times New Roman" w:hAnsi="Times New Roman"/>
          <w:sz w:val="24"/>
        </w:rPr>
        <w:t>(2024) 98 ALJR 485</w:t>
      </w:r>
      <w:r w:rsidRPr="00332BB4">
        <w:rPr>
          <w:rFonts w:ascii="Times New Roman" w:hAnsi="Times New Roman"/>
          <w:i/>
          <w:iCs/>
          <w:sz w:val="24"/>
        </w:rPr>
        <w:t xml:space="preserve"> </w:t>
      </w:r>
      <w:r w:rsidRPr="00332BB4">
        <w:rPr>
          <w:rFonts w:ascii="Times New Roman" w:hAnsi="Times New Roman"/>
          <w:sz w:val="24"/>
        </w:rPr>
        <w:t xml:space="preserve">at 506 [106]; 418 ALR 63 at 89-90, citing </w:t>
      </w:r>
      <w:r w:rsidRPr="00332BB4">
        <w:rPr>
          <w:rFonts w:ascii="Times New Roman" w:hAnsi="Times New Roman"/>
          <w:i/>
          <w:iCs/>
          <w:sz w:val="24"/>
        </w:rPr>
        <w:t>Stephens v The Queen</w:t>
      </w:r>
      <w:r w:rsidRPr="00332BB4">
        <w:rPr>
          <w:rFonts w:ascii="Times New Roman" w:hAnsi="Times New Roman"/>
          <w:sz w:val="24"/>
        </w:rPr>
        <w:t xml:space="preserve"> (2022) 273 CLR 635 at 653 [34]. See also </w:t>
      </w:r>
      <w:r w:rsidRPr="00332BB4">
        <w:rPr>
          <w:rFonts w:ascii="Times New Roman" w:hAnsi="Times New Roman"/>
          <w:i/>
          <w:iCs/>
          <w:sz w:val="24"/>
        </w:rPr>
        <w:t>Mann v Paterson Constructions Pty Ltd</w:t>
      </w:r>
      <w:r w:rsidRPr="00332BB4">
        <w:rPr>
          <w:rFonts w:ascii="Times New Roman" w:hAnsi="Times New Roman"/>
          <w:sz w:val="24"/>
        </w:rPr>
        <w:t xml:space="preserve"> (2019) 267 CLR 560 at 623 [159].</w:t>
      </w:r>
    </w:p>
  </w:footnote>
  <w:footnote w:id="116">
    <w:p w14:paraId="6DE3DAEE" w14:textId="77777777" w:rsidR="004C0687" w:rsidRPr="00332BB4" w:rsidRDefault="004C0687" w:rsidP="00332BB4">
      <w:pPr>
        <w:pStyle w:val="FootnoteText"/>
        <w:spacing w:line="280" w:lineRule="exact"/>
        <w:ind w:right="0"/>
        <w:jc w:val="both"/>
        <w:rPr>
          <w:rFonts w:ascii="Times New Roman" w:hAnsi="Times New Roman"/>
          <w:sz w:val="24"/>
        </w:rPr>
      </w:pPr>
      <w:r w:rsidRPr="00332BB4">
        <w:rPr>
          <w:rStyle w:val="FootnoteReference"/>
          <w:rFonts w:ascii="Times New Roman" w:hAnsi="Times New Roman"/>
          <w:sz w:val="22"/>
          <w:vertAlign w:val="baseline"/>
        </w:rPr>
        <w:footnoteRef/>
      </w:r>
      <w:r w:rsidRPr="00332BB4">
        <w:rPr>
          <w:rFonts w:ascii="Times New Roman" w:hAnsi="Times New Roman"/>
          <w:sz w:val="24"/>
        </w:rPr>
        <w:t xml:space="preserve"> </w:t>
      </w:r>
      <w:r w:rsidRPr="00332BB4">
        <w:rPr>
          <w:rFonts w:ascii="Times New Roman" w:hAnsi="Times New Roman"/>
          <w:sz w:val="24"/>
        </w:rPr>
        <w:tab/>
      </w:r>
      <w:r w:rsidRPr="00332BB4">
        <w:rPr>
          <w:rFonts w:ascii="Times New Roman" w:hAnsi="Times New Roman"/>
          <w:i/>
          <w:iCs/>
          <w:sz w:val="24"/>
        </w:rPr>
        <w:t>BVD17 v Minister for Immigration and Border Protection</w:t>
      </w:r>
      <w:r w:rsidRPr="00332BB4">
        <w:rPr>
          <w:rFonts w:ascii="Times New Roman" w:hAnsi="Times New Roman"/>
          <w:sz w:val="24"/>
        </w:rPr>
        <w:t xml:space="preserve"> (2019) 268 CLR 29 at 52 [56].</w:t>
      </w:r>
    </w:p>
  </w:footnote>
  <w:footnote w:id="117">
    <w:p w14:paraId="52B14AFA"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 xml:space="preserve"> </w:t>
      </w:r>
      <w:r w:rsidRPr="00AB38F2">
        <w:rPr>
          <w:rFonts w:ascii="Times New Roman" w:hAnsi="Times New Roman"/>
          <w:sz w:val="24"/>
        </w:rPr>
        <w:tab/>
        <w:t>(2023) 97 ALJR 214; 408 ALR 381.</w:t>
      </w:r>
    </w:p>
  </w:footnote>
  <w:footnote w:id="118">
    <w:p w14:paraId="7696343B"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 xml:space="preserve"> </w:t>
      </w:r>
      <w:r w:rsidRPr="00AB38F2">
        <w:rPr>
          <w:rFonts w:ascii="Times New Roman" w:hAnsi="Times New Roman"/>
          <w:sz w:val="24"/>
        </w:rPr>
        <w:tab/>
      </w:r>
      <w:r w:rsidRPr="00AB38F2">
        <w:rPr>
          <w:rFonts w:ascii="Times New Roman" w:hAnsi="Times New Roman"/>
          <w:i/>
          <w:iCs/>
          <w:sz w:val="24"/>
        </w:rPr>
        <w:t xml:space="preserve">Migration Act 1958 </w:t>
      </w:r>
      <w:r w:rsidRPr="00AB38F2">
        <w:rPr>
          <w:rFonts w:ascii="Times New Roman" w:hAnsi="Times New Roman"/>
          <w:sz w:val="24"/>
        </w:rPr>
        <w:t>(Cth), s 351(7); see also s 48B(6), s 195A(4) and s 417(7).</w:t>
      </w:r>
    </w:p>
  </w:footnote>
  <w:footnote w:id="119">
    <w:p w14:paraId="7B5EAC59"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ab/>
      </w:r>
      <w:r w:rsidRPr="00AB38F2">
        <w:rPr>
          <w:rFonts w:ascii="Times New Roman" w:hAnsi="Times New Roman"/>
          <w:i/>
          <w:iCs/>
          <w:sz w:val="24"/>
        </w:rPr>
        <w:t xml:space="preserve">Davis v Minister for Immigration, Citizenship, Migrant Services and Multicultural Affairs </w:t>
      </w:r>
      <w:r w:rsidRPr="00AB38F2">
        <w:rPr>
          <w:rFonts w:ascii="Times New Roman" w:hAnsi="Times New Roman"/>
          <w:sz w:val="24"/>
        </w:rPr>
        <w:t>(2023) 97 ALJR 214 at 254-263 [196]-[250]; 408 ALR 381 at 430-443 [196]-[250].</w:t>
      </w:r>
    </w:p>
  </w:footnote>
  <w:footnote w:id="120">
    <w:p w14:paraId="7A06C857"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 xml:space="preserve"> </w:t>
      </w:r>
      <w:r w:rsidRPr="00AB38F2">
        <w:rPr>
          <w:rFonts w:ascii="Times New Roman" w:hAnsi="Times New Roman"/>
          <w:sz w:val="24"/>
        </w:rPr>
        <w:tab/>
        <w:t>(1962) 108 CLR 620.</w:t>
      </w:r>
    </w:p>
  </w:footnote>
  <w:footnote w:id="121">
    <w:p w14:paraId="7140B51A"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 xml:space="preserve"> </w:t>
      </w:r>
      <w:r w:rsidRPr="00AB38F2">
        <w:rPr>
          <w:rFonts w:ascii="Times New Roman" w:hAnsi="Times New Roman"/>
          <w:sz w:val="24"/>
        </w:rPr>
        <w:tab/>
      </w:r>
      <w:r w:rsidRPr="00AB38F2">
        <w:rPr>
          <w:rFonts w:ascii="Times New Roman" w:hAnsi="Times New Roman"/>
          <w:i/>
          <w:iCs/>
          <w:sz w:val="24"/>
        </w:rPr>
        <w:t xml:space="preserve">Tait v The Queen </w:t>
      </w:r>
      <w:r w:rsidRPr="00AB38F2">
        <w:rPr>
          <w:rFonts w:ascii="Times New Roman" w:hAnsi="Times New Roman"/>
          <w:sz w:val="24"/>
        </w:rPr>
        <w:t>(1962) 108 CLR 620 at 623.</w:t>
      </w:r>
    </w:p>
  </w:footnote>
  <w:footnote w:id="122">
    <w:p w14:paraId="5A709E41"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 xml:space="preserve"> </w:t>
      </w:r>
      <w:r w:rsidRPr="00AB38F2">
        <w:rPr>
          <w:rFonts w:ascii="Times New Roman" w:hAnsi="Times New Roman"/>
          <w:sz w:val="24"/>
        </w:rPr>
        <w:tab/>
      </w:r>
      <w:r w:rsidRPr="00AB38F2">
        <w:rPr>
          <w:rFonts w:ascii="Times New Roman" w:hAnsi="Times New Roman"/>
          <w:i/>
          <w:iCs/>
          <w:sz w:val="24"/>
        </w:rPr>
        <w:t xml:space="preserve">Williams v Minister for the Environment and Heritage </w:t>
      </w:r>
      <w:r w:rsidRPr="00AB38F2">
        <w:rPr>
          <w:rFonts w:ascii="Times New Roman" w:hAnsi="Times New Roman"/>
          <w:sz w:val="24"/>
        </w:rPr>
        <w:t xml:space="preserve">(2003) 199 ALR 352 at 356-357 [16]-[19]; </w:t>
      </w:r>
      <w:r w:rsidRPr="00AB38F2">
        <w:rPr>
          <w:rFonts w:ascii="Times New Roman" w:hAnsi="Times New Roman"/>
          <w:i/>
          <w:iCs/>
          <w:sz w:val="24"/>
        </w:rPr>
        <w:t xml:space="preserve">Patrick Stevedores Operations No 2 Pty Ltd v Maritime Union of Australia </w:t>
      </w:r>
      <w:r w:rsidRPr="00AB38F2">
        <w:rPr>
          <w:rFonts w:ascii="Times New Roman" w:hAnsi="Times New Roman"/>
          <w:sz w:val="24"/>
        </w:rPr>
        <w:t>(1998) 195 CLR 1 at 32 [35].</w:t>
      </w:r>
    </w:p>
  </w:footnote>
  <w:footnote w:id="123">
    <w:p w14:paraId="2D740E8A" w14:textId="77777777" w:rsidR="004C0687" w:rsidRPr="00AB38F2" w:rsidRDefault="004C0687" w:rsidP="00AB38F2">
      <w:pPr>
        <w:pStyle w:val="FootnoteText"/>
        <w:spacing w:line="280" w:lineRule="exact"/>
        <w:ind w:right="0"/>
        <w:jc w:val="both"/>
        <w:rPr>
          <w:rFonts w:ascii="Times New Roman" w:hAnsi="Times New Roman"/>
          <w:sz w:val="24"/>
        </w:rPr>
      </w:pPr>
      <w:r w:rsidRPr="00AB38F2">
        <w:rPr>
          <w:rStyle w:val="FootnoteReference"/>
          <w:rFonts w:ascii="Times New Roman" w:hAnsi="Times New Roman"/>
          <w:sz w:val="22"/>
          <w:vertAlign w:val="baseline"/>
        </w:rPr>
        <w:footnoteRef/>
      </w:r>
      <w:r w:rsidRPr="00AB38F2">
        <w:rPr>
          <w:rFonts w:ascii="Times New Roman" w:hAnsi="Times New Roman"/>
          <w:sz w:val="24"/>
        </w:rPr>
        <w:tab/>
        <w:t>See at [12]-[14], [31]-[32].</w:t>
      </w:r>
    </w:p>
  </w:footnote>
  <w:footnote w:id="124">
    <w:p w14:paraId="28BAFC6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 xml:space="preserve">Migration Act 1958 </w:t>
      </w:r>
      <w:r w:rsidRPr="007E5957">
        <w:rPr>
          <w:rFonts w:ascii="Times New Roman" w:hAnsi="Times New Roman"/>
          <w:sz w:val="24"/>
        </w:rPr>
        <w:t>(Cth), s 195A(4).</w:t>
      </w:r>
    </w:p>
  </w:footnote>
  <w:footnote w:id="125">
    <w:p w14:paraId="28715DD3"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See below a</w:t>
      </w:r>
      <w:r w:rsidRPr="00E01BC8">
        <w:rPr>
          <w:rFonts w:ascii="Times New Roman" w:hAnsi="Times New Roman"/>
          <w:sz w:val="24"/>
        </w:rPr>
        <w:t>t [92].</w:t>
      </w:r>
    </w:p>
  </w:footnote>
  <w:footnote w:id="126">
    <w:p w14:paraId="20293BC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Migration Act</w:t>
      </w:r>
      <w:r w:rsidRPr="007E5957">
        <w:rPr>
          <w:rFonts w:ascii="Times New Roman" w:hAnsi="Times New Roman"/>
          <w:sz w:val="24"/>
        </w:rPr>
        <w:t xml:space="preserve">, s 116(1)(g); </w:t>
      </w:r>
      <w:r w:rsidRPr="007E5957">
        <w:rPr>
          <w:rFonts w:ascii="Times New Roman" w:hAnsi="Times New Roman"/>
          <w:i/>
          <w:iCs/>
          <w:sz w:val="24"/>
        </w:rPr>
        <w:t>Migration Regulations 1994</w:t>
      </w:r>
      <w:r w:rsidRPr="007E5957">
        <w:rPr>
          <w:rFonts w:ascii="Times New Roman" w:hAnsi="Times New Roman"/>
          <w:sz w:val="24"/>
        </w:rPr>
        <w:t xml:space="preserve"> (Cth), r 2.43(1)(p)(ii).</w:t>
      </w:r>
    </w:p>
  </w:footnote>
  <w:footnote w:id="127">
    <w:p w14:paraId="68E7DA4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Migration Act</w:t>
      </w:r>
      <w:r w:rsidRPr="007E5957">
        <w:rPr>
          <w:rFonts w:ascii="Times New Roman" w:hAnsi="Times New Roman"/>
          <w:sz w:val="24"/>
        </w:rPr>
        <w:t>, ss 13, 14.</w:t>
      </w:r>
    </w:p>
  </w:footnote>
  <w:footnote w:id="128">
    <w:p w14:paraId="21AD8F1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Migration Act</w:t>
      </w:r>
      <w:r w:rsidRPr="007E5957">
        <w:rPr>
          <w:rFonts w:ascii="Times New Roman" w:hAnsi="Times New Roman"/>
          <w:sz w:val="24"/>
        </w:rPr>
        <w:t>, s 196(1)(a).</w:t>
      </w:r>
    </w:p>
  </w:footnote>
  <w:footnote w:id="129">
    <w:p w14:paraId="1A5823A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Migration Act</w:t>
      </w:r>
      <w:r w:rsidRPr="007E5957">
        <w:rPr>
          <w:rFonts w:ascii="Times New Roman" w:hAnsi="Times New Roman"/>
          <w:sz w:val="24"/>
        </w:rPr>
        <w:t>, s 196(1)(c).</w:t>
      </w:r>
    </w:p>
  </w:footnote>
  <w:footnote w:id="130">
    <w:p w14:paraId="425C888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FedCFamC2G 594; </w:t>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877.</w:t>
      </w:r>
    </w:p>
  </w:footnote>
  <w:footnote w:id="131">
    <w:p w14:paraId="72EE41C3"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Before this Court, the form of declaratory relief sought by the respondent was refined to "purported compliance with the 'Guidelines on Minister's detention intervention power (s 195A of the </w:t>
      </w:r>
      <w:r w:rsidRPr="007E5957">
        <w:rPr>
          <w:rFonts w:ascii="Times New Roman" w:hAnsi="Times New Roman"/>
          <w:i/>
          <w:iCs/>
          <w:sz w:val="24"/>
        </w:rPr>
        <w:t>Migration Act</w:t>
      </w:r>
      <w:r w:rsidRPr="007E5957">
        <w:rPr>
          <w:rFonts w:ascii="Times New Roman" w:hAnsi="Times New Roman"/>
          <w:sz w:val="24"/>
        </w:rPr>
        <w:t xml:space="preserve">)' (November 2016)". See reasons of Gageler CJ, Gordon, Gleeson and Jagot JJ </w:t>
      </w:r>
      <w:r w:rsidRPr="00E36175">
        <w:rPr>
          <w:rFonts w:ascii="Times New Roman" w:hAnsi="Times New Roman"/>
          <w:sz w:val="24"/>
        </w:rPr>
        <w:t>at [6].</w:t>
      </w:r>
      <w:r w:rsidRPr="007E5957">
        <w:rPr>
          <w:rFonts w:ascii="Times New Roman" w:hAnsi="Times New Roman"/>
          <w:sz w:val="24"/>
        </w:rPr>
        <w:t xml:space="preserve"> </w:t>
      </w:r>
    </w:p>
  </w:footnote>
  <w:footnote w:id="132">
    <w:p w14:paraId="395DC1D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w:t>
      </w:r>
    </w:p>
  </w:footnote>
  <w:footnote w:id="133">
    <w:p w14:paraId="5CE118A9"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 at [48]-[49].</w:t>
      </w:r>
    </w:p>
  </w:footnote>
  <w:footnote w:id="134">
    <w:p w14:paraId="427BEBE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 at [14].</w:t>
      </w:r>
    </w:p>
  </w:footnote>
  <w:footnote w:id="135">
    <w:p w14:paraId="2715D4F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 at [57].</w:t>
      </w:r>
    </w:p>
  </w:footnote>
  <w:footnote w:id="136">
    <w:p w14:paraId="0B97A54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 at [57].</w:t>
      </w:r>
    </w:p>
  </w:footnote>
  <w:footnote w:id="137">
    <w:p w14:paraId="53AB77D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 xml:space="preserve">(2024) 302 FCR 159. </w:t>
      </w:r>
    </w:p>
  </w:footnote>
  <w:footnote w:id="138">
    <w:p w14:paraId="74207885"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188-189 [130].</w:t>
      </w:r>
    </w:p>
  </w:footnote>
  <w:footnote w:id="139">
    <w:p w14:paraId="1CBC803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189 [133].</w:t>
      </w:r>
    </w:p>
  </w:footnote>
  <w:footnote w:id="140">
    <w:p w14:paraId="068FF8E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174 [54].</w:t>
      </w:r>
    </w:p>
  </w:footnote>
  <w:footnote w:id="141">
    <w:p w14:paraId="5C4D7D5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eg, </w:t>
      </w:r>
      <w:r w:rsidRPr="007E5957">
        <w:rPr>
          <w:rFonts w:ascii="Times New Roman" w:hAnsi="Times New Roman"/>
          <w:i/>
          <w:iCs/>
          <w:sz w:val="24"/>
        </w:rPr>
        <w:t>Migration Act</w:t>
      </w:r>
      <w:r w:rsidRPr="007E5957">
        <w:rPr>
          <w:rFonts w:ascii="Times New Roman" w:hAnsi="Times New Roman"/>
          <w:sz w:val="24"/>
        </w:rPr>
        <w:t>, ss 48B, 91L, 197AB</w:t>
      </w:r>
      <w:r w:rsidRPr="007E5957">
        <w:rPr>
          <w:rFonts w:ascii="Times New Roman" w:hAnsi="Times New Roman"/>
          <w:sz w:val="24"/>
        </w:rPr>
        <w:noBreakHyphen/>
        <w:t>197AF, 351, 417.</w:t>
      </w:r>
    </w:p>
  </w:footnote>
  <w:footnote w:id="142">
    <w:p w14:paraId="23CEDD0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eg, </w:t>
      </w:r>
      <w:r w:rsidRPr="007E5957">
        <w:rPr>
          <w:rFonts w:ascii="Times New Roman" w:hAnsi="Times New Roman"/>
          <w:i/>
          <w:iCs/>
          <w:sz w:val="24"/>
        </w:rPr>
        <w:t xml:space="preserve">Plaintiff M61/2010E v The Commonwealth </w:t>
      </w:r>
      <w:r w:rsidRPr="007E5957">
        <w:rPr>
          <w:rFonts w:ascii="Times New Roman" w:hAnsi="Times New Roman"/>
          <w:sz w:val="24"/>
        </w:rPr>
        <w:t xml:space="preserve">(2010) 243 CLR 319; </w:t>
      </w:r>
      <w:r w:rsidRPr="007E5957">
        <w:rPr>
          <w:rFonts w:ascii="Times New Roman" w:hAnsi="Times New Roman"/>
          <w:i/>
          <w:iCs/>
          <w:sz w:val="24"/>
        </w:rPr>
        <w:t>Plaintiff M79/2012 v Minister for Immigration and Citizenship</w:t>
      </w:r>
      <w:r w:rsidRPr="007E5957">
        <w:rPr>
          <w:rFonts w:ascii="Times New Roman" w:hAnsi="Times New Roman"/>
          <w:sz w:val="24"/>
        </w:rPr>
        <w:t xml:space="preserve"> (2013) 252 CLR 336; </w:t>
      </w:r>
      <w:r w:rsidRPr="007E5957">
        <w:rPr>
          <w:rFonts w:ascii="Times New Roman" w:hAnsi="Times New Roman"/>
          <w:i/>
          <w:iCs/>
          <w:sz w:val="24"/>
        </w:rPr>
        <w:t>Plaintiff S4/2014 v Minister for Immigration and Border Protection</w:t>
      </w:r>
      <w:r w:rsidRPr="007E5957">
        <w:rPr>
          <w:rFonts w:ascii="Times New Roman" w:hAnsi="Times New Roman"/>
          <w:sz w:val="24"/>
        </w:rPr>
        <w:t xml:space="preserve"> (2014) 253 CLR 219; </w:t>
      </w:r>
      <w:r w:rsidRPr="007E5957">
        <w:rPr>
          <w:rFonts w:ascii="Times New Roman" w:hAnsi="Times New Roman"/>
          <w:i/>
          <w:iCs/>
          <w:sz w:val="24"/>
        </w:rPr>
        <w:t>Minister for Immigration and Border Protection v SZSSJ</w:t>
      </w:r>
      <w:r w:rsidRPr="007E5957">
        <w:rPr>
          <w:rFonts w:ascii="Times New Roman" w:hAnsi="Times New Roman"/>
          <w:sz w:val="24"/>
        </w:rPr>
        <w:t xml:space="preserve"> (2016) 259 CLR 180; </w:t>
      </w:r>
      <w:r w:rsidRPr="007E5957">
        <w:rPr>
          <w:rFonts w:ascii="Times New Roman" w:hAnsi="Times New Roman"/>
          <w:i/>
          <w:iCs/>
          <w:sz w:val="24"/>
        </w:rPr>
        <w:t>Davis v Minister for Immigration, Citizenship, Migration Services and Multicultural Affairs</w:t>
      </w:r>
      <w:r w:rsidRPr="007E5957">
        <w:rPr>
          <w:rFonts w:ascii="Times New Roman" w:hAnsi="Times New Roman"/>
          <w:sz w:val="24"/>
        </w:rPr>
        <w:t xml:space="preserve"> (2023) 97 ALJR 214; 408 ALR 381.</w:t>
      </w:r>
    </w:p>
  </w:footnote>
  <w:footnote w:id="143">
    <w:p w14:paraId="5203497C"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(2023) 97 ALJR 214; 408 ALR 381.</w:t>
      </w:r>
    </w:p>
  </w:footnote>
  <w:footnote w:id="144">
    <w:p w14:paraId="63270D5C"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 [14]; 408 ALR 381 at 389.</w:t>
      </w:r>
    </w:p>
  </w:footnote>
  <w:footnote w:id="145">
    <w:p w14:paraId="6C38712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 [14]; 408 ALR 381 at 389. See also </w:t>
      </w:r>
      <w:r w:rsidRPr="007E5957">
        <w:rPr>
          <w:rFonts w:ascii="Times New Roman" w:hAnsi="Times New Roman"/>
          <w:i/>
          <w:iCs/>
          <w:sz w:val="24"/>
        </w:rPr>
        <w:t>Plaintiff M61/2010E</w:t>
      </w:r>
      <w:r w:rsidRPr="007E5957">
        <w:rPr>
          <w:rFonts w:ascii="Times New Roman" w:hAnsi="Times New Roman"/>
          <w:sz w:val="24"/>
        </w:rPr>
        <w:t xml:space="preserve"> (2010) 243 CLR 319 at 350</w:t>
      </w:r>
      <w:r w:rsidRPr="007E5957">
        <w:rPr>
          <w:rFonts w:ascii="Times New Roman" w:hAnsi="Times New Roman"/>
          <w:sz w:val="24"/>
        </w:rPr>
        <w:noBreakHyphen/>
        <w:t>351 [70].</w:t>
      </w:r>
    </w:p>
  </w:footnote>
  <w:footnote w:id="146">
    <w:p w14:paraId="4C5A43E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Migration Act</w:t>
      </w:r>
      <w:r w:rsidRPr="007E5957">
        <w:rPr>
          <w:rFonts w:ascii="Times New Roman" w:hAnsi="Times New Roman"/>
          <w:sz w:val="24"/>
        </w:rPr>
        <w:t xml:space="preserve">, s 195A(5); </w:t>
      </w:r>
      <w:r w:rsidRPr="007E5957">
        <w:rPr>
          <w:rFonts w:ascii="Times New Roman" w:hAnsi="Times New Roman"/>
          <w:i/>
          <w:iCs/>
          <w:sz w:val="24"/>
        </w:rPr>
        <w:t>Davis</w:t>
      </w:r>
      <w:r w:rsidRPr="007E5957">
        <w:rPr>
          <w:rFonts w:ascii="Times New Roman" w:hAnsi="Times New Roman"/>
          <w:sz w:val="24"/>
        </w:rPr>
        <w:t xml:space="preserve"> (2023) 97 ALJR 214 at 223 [12], 237 [97]; 408 ALR 381 at 388, 407.</w:t>
      </w:r>
    </w:p>
  </w:footnote>
  <w:footnote w:id="147">
    <w:p w14:paraId="3DECDC0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 [14]; 408 ALR 381 at 389. See also </w:t>
      </w:r>
      <w:r w:rsidRPr="007E5957">
        <w:rPr>
          <w:rFonts w:ascii="Times New Roman" w:hAnsi="Times New Roman"/>
          <w:i/>
          <w:iCs/>
          <w:sz w:val="24"/>
        </w:rPr>
        <w:t xml:space="preserve">Plaintiff S10/2011 v Minister for Immigration and Citizenship </w:t>
      </w:r>
      <w:r w:rsidRPr="007E5957">
        <w:rPr>
          <w:rFonts w:ascii="Times New Roman" w:hAnsi="Times New Roman"/>
          <w:sz w:val="24"/>
        </w:rPr>
        <w:t>(2012) 246 CLR 636 at 667 [99(iii)].</w:t>
      </w:r>
    </w:p>
  </w:footnote>
  <w:footnote w:id="148">
    <w:p w14:paraId="42C2A95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 [17]; 408 ALR 381 at 390.</w:t>
      </w:r>
    </w:p>
  </w:footnote>
  <w:footnote w:id="149">
    <w:p w14:paraId="40E7B83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225 [19]; 408 ALR 381 at 390. See also </w:t>
      </w:r>
      <w:r w:rsidRPr="007E5957">
        <w:rPr>
          <w:rFonts w:ascii="Times New Roman" w:hAnsi="Times New Roman"/>
          <w:i/>
          <w:iCs/>
          <w:sz w:val="24"/>
        </w:rPr>
        <w:t>Plaintiff S10/2011</w:t>
      </w:r>
      <w:r w:rsidRPr="007E5957">
        <w:rPr>
          <w:rFonts w:ascii="Times New Roman" w:hAnsi="Times New Roman"/>
          <w:sz w:val="24"/>
        </w:rPr>
        <w:t xml:space="preserve"> (2012) 246 CLR 636 at 665 [91].</w:t>
      </w:r>
    </w:p>
  </w:footnote>
  <w:footnote w:id="150">
    <w:p w14:paraId="1493CE22"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SZSSJ</w:t>
      </w:r>
      <w:r w:rsidRPr="007E5957">
        <w:rPr>
          <w:rFonts w:ascii="Times New Roman" w:hAnsi="Times New Roman"/>
          <w:sz w:val="24"/>
        </w:rPr>
        <w:t xml:space="preserve"> (2016) 259 CLR 180 at 200 [54].</w:t>
      </w:r>
    </w:p>
  </w:footnote>
  <w:footnote w:id="151">
    <w:p w14:paraId="0557BD4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224-225 [18], 226-227 [30], 238 [99], 274 [322]; 408 ALR 381 at 390, 393, 407</w:t>
      </w:r>
      <w:r w:rsidRPr="007E5957">
        <w:rPr>
          <w:rFonts w:ascii="Times New Roman" w:hAnsi="Times New Roman"/>
          <w:sz w:val="24"/>
        </w:rPr>
        <w:noBreakHyphen/>
        <w:t xml:space="preserve">408, 458. </w:t>
      </w:r>
    </w:p>
  </w:footnote>
  <w:footnote w:id="152">
    <w:p w14:paraId="1204245B"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263 [251]; 408 ALR 381 at 443.</w:t>
      </w:r>
    </w:p>
  </w:footnote>
  <w:footnote w:id="153">
    <w:p w14:paraId="43F3844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Relevantly, s 351 of the </w:t>
      </w:r>
      <w:r w:rsidRPr="007E5957">
        <w:rPr>
          <w:rFonts w:ascii="Times New Roman" w:hAnsi="Times New Roman"/>
          <w:i/>
          <w:iCs/>
          <w:sz w:val="24"/>
        </w:rPr>
        <w:t>Migration Act</w:t>
      </w:r>
      <w:r w:rsidRPr="007E5957">
        <w:rPr>
          <w:rFonts w:ascii="Times New Roman" w:hAnsi="Times New Roman"/>
          <w:sz w:val="24"/>
        </w:rPr>
        <w:t xml:space="preserve"> empowered the Minister to substitute a more favourable decision for the decision of the Administrative Appeals Tribunal if the Minister thought it was in the public interest to do so.</w:t>
      </w:r>
    </w:p>
  </w:footnote>
  <w:footnote w:id="154">
    <w:p w14:paraId="7027AEF3"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222 [2]; 408 ALR 381 at 387.</w:t>
      </w:r>
    </w:p>
  </w:footnote>
  <w:footnote w:id="155">
    <w:p w14:paraId="3D6FA1D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227-228 [38]; 408 ALR 381 at 394</w:t>
      </w:r>
      <w:r>
        <w:rPr>
          <w:rFonts w:ascii="Times New Roman" w:hAnsi="Times New Roman"/>
          <w:sz w:val="24"/>
        </w:rPr>
        <w:t>.</w:t>
      </w:r>
      <w:r w:rsidRPr="007E5957">
        <w:rPr>
          <w:rFonts w:ascii="Times New Roman" w:hAnsi="Times New Roman"/>
          <w:sz w:val="24"/>
        </w:rPr>
        <w:t xml:space="preserve"> cf </w:t>
      </w:r>
      <w:r w:rsidRPr="007E5957">
        <w:rPr>
          <w:rFonts w:ascii="Times New Roman" w:hAnsi="Times New Roman"/>
          <w:i/>
          <w:iCs/>
          <w:sz w:val="24"/>
        </w:rPr>
        <w:t>Plaintiff S10/2011</w:t>
      </w:r>
      <w:r w:rsidRPr="007E5957">
        <w:rPr>
          <w:rFonts w:ascii="Times New Roman" w:hAnsi="Times New Roman"/>
          <w:sz w:val="24"/>
        </w:rPr>
        <w:t xml:space="preserve"> (2012) 246 CLR 636 at 653 [45]</w:t>
      </w:r>
      <w:r w:rsidRPr="007E5957">
        <w:rPr>
          <w:rFonts w:ascii="Times New Roman" w:hAnsi="Times New Roman"/>
          <w:sz w:val="24"/>
        </w:rPr>
        <w:noBreakHyphen/>
        <w:t>[46].</w:t>
      </w:r>
    </w:p>
  </w:footnote>
  <w:footnote w:id="156">
    <w:p w14:paraId="7EA01E19"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230</w:t>
      </w:r>
      <w:r w:rsidRPr="007E5957">
        <w:rPr>
          <w:rFonts w:ascii="Times New Roman" w:hAnsi="Times New Roman"/>
          <w:sz w:val="24"/>
        </w:rPr>
        <w:noBreakHyphen/>
        <w:t>231 [63]; 408 ALR 381 at 398.</w:t>
      </w:r>
    </w:p>
  </w:footnote>
  <w:footnote w:id="157">
    <w:p w14:paraId="5FAFAE59"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w:t>
      </w:r>
      <w:r w:rsidRPr="007E5957">
        <w:rPr>
          <w:rFonts w:ascii="Times New Roman" w:hAnsi="Times New Roman"/>
          <w:sz w:val="24"/>
        </w:rPr>
        <w:t xml:space="preserve"> </w:t>
      </w:r>
      <w:r w:rsidRPr="007E5957">
        <w:rPr>
          <w:rFonts w:ascii="Times New Roman" w:hAnsi="Times New Roman"/>
          <w:i/>
          <w:iCs/>
          <w:sz w:val="24"/>
        </w:rPr>
        <w:t>M61/2010E</w:t>
      </w:r>
      <w:r w:rsidRPr="007E5957">
        <w:rPr>
          <w:rFonts w:ascii="Times New Roman" w:hAnsi="Times New Roman"/>
          <w:sz w:val="24"/>
        </w:rPr>
        <w:t xml:space="preserve"> (2010) 243 CLR 319 at 351 [71].</w:t>
      </w:r>
    </w:p>
  </w:footnote>
  <w:footnote w:id="158">
    <w:p w14:paraId="71C0838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w:t>
      </w:r>
      <w:r w:rsidRPr="007E5957">
        <w:rPr>
          <w:rFonts w:ascii="Times New Roman" w:hAnsi="Times New Roman"/>
          <w:sz w:val="24"/>
        </w:rPr>
        <w:t xml:space="preserve"> </w:t>
      </w:r>
      <w:r w:rsidRPr="007E5957">
        <w:rPr>
          <w:rFonts w:ascii="Times New Roman" w:hAnsi="Times New Roman"/>
          <w:i/>
          <w:iCs/>
          <w:sz w:val="24"/>
        </w:rPr>
        <w:t>M61/2010E</w:t>
      </w:r>
      <w:r w:rsidRPr="007E5957">
        <w:rPr>
          <w:rFonts w:ascii="Times New Roman" w:hAnsi="Times New Roman"/>
          <w:sz w:val="24"/>
        </w:rPr>
        <w:t xml:space="preserve"> (2010) 243 CLR 319 at 351 [71].</w:t>
      </w:r>
    </w:p>
  </w:footnote>
  <w:footnote w:id="159">
    <w:p w14:paraId="018344F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 xml:space="preserve">Migration Act, </w:t>
      </w:r>
      <w:r w:rsidRPr="007E5957">
        <w:rPr>
          <w:rFonts w:ascii="Times New Roman" w:hAnsi="Times New Roman"/>
          <w:sz w:val="24"/>
        </w:rPr>
        <w:t>s 198(2)(c), (6)(c)</w:t>
      </w:r>
      <w:r w:rsidRPr="007E5957">
        <w:rPr>
          <w:rFonts w:ascii="Times New Roman" w:hAnsi="Times New Roman"/>
          <w:sz w:val="24"/>
        </w:rPr>
        <w:noBreakHyphen/>
        <w:t>(d).</w:t>
      </w:r>
    </w:p>
  </w:footnote>
  <w:footnote w:id="160">
    <w:p w14:paraId="23F966B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M61/2010E</w:t>
      </w:r>
      <w:r w:rsidRPr="007E5957">
        <w:rPr>
          <w:rFonts w:ascii="Times New Roman" w:hAnsi="Times New Roman"/>
          <w:sz w:val="24"/>
        </w:rPr>
        <w:t xml:space="preserve"> (2010) 243 CLR 319 at 348 [64].</w:t>
      </w:r>
    </w:p>
  </w:footnote>
  <w:footnote w:id="161">
    <w:p w14:paraId="31E629B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M61/2010E</w:t>
      </w:r>
      <w:r w:rsidRPr="007E5957">
        <w:rPr>
          <w:rFonts w:ascii="Times New Roman" w:hAnsi="Times New Roman"/>
          <w:sz w:val="24"/>
        </w:rPr>
        <w:t xml:space="preserve"> (2010) 243 CLR 319 at 349 [65].</w:t>
      </w:r>
    </w:p>
  </w:footnote>
  <w:footnote w:id="162">
    <w:p w14:paraId="65DA148C"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232 [27].</w:t>
      </w:r>
    </w:p>
  </w:footnote>
  <w:footnote w:id="163">
    <w:p w14:paraId="7A532B9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eg, </w:t>
      </w:r>
      <w:r w:rsidRPr="007E5957">
        <w:rPr>
          <w:rFonts w:ascii="Times New Roman" w:hAnsi="Times New Roman"/>
          <w:i/>
          <w:iCs/>
          <w:sz w:val="24"/>
        </w:rPr>
        <w:t>NZYQ v Minister for Immigration, Citizenship and Multicultural Affairs</w:t>
      </w:r>
      <w:r w:rsidRPr="007E5957">
        <w:rPr>
          <w:rFonts w:ascii="Times New Roman" w:hAnsi="Times New Roman"/>
          <w:sz w:val="24"/>
        </w:rPr>
        <w:t xml:space="preserve"> (2023) 97 ALJR 1005 at 1014 [31], [33]; 415 ALR 254 at 262-263.</w:t>
      </w:r>
    </w:p>
  </w:footnote>
  <w:footnote w:id="164">
    <w:p w14:paraId="63BD2C0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224 [14]; 408 ALR 381 at 389.</w:t>
      </w:r>
    </w:p>
  </w:footnote>
  <w:footnote w:id="165">
    <w:p w14:paraId="6B4E19D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232 [28].</w:t>
      </w:r>
    </w:p>
  </w:footnote>
  <w:footnote w:id="166">
    <w:p w14:paraId="2E43755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234 [35].</w:t>
      </w:r>
    </w:p>
  </w:footnote>
  <w:footnote w:id="167">
    <w:p w14:paraId="6CF9C28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233-234 [35].</w:t>
      </w:r>
    </w:p>
  </w:footnote>
  <w:footnote w:id="168">
    <w:p w14:paraId="44A998A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Migration Act</w:t>
      </w:r>
      <w:r w:rsidRPr="007E5957">
        <w:rPr>
          <w:rFonts w:ascii="Times New Roman" w:hAnsi="Times New Roman"/>
          <w:sz w:val="24"/>
        </w:rPr>
        <w:t xml:space="preserve">, s 474(3)(g); see also </w:t>
      </w:r>
      <w:r w:rsidRPr="007E5957">
        <w:rPr>
          <w:rFonts w:ascii="Times New Roman" w:hAnsi="Times New Roman"/>
          <w:i/>
          <w:iCs/>
          <w:sz w:val="24"/>
        </w:rPr>
        <w:t>Minister for Immigration, Citizenship and Multicultural Affairs v MZAPC</w:t>
      </w:r>
      <w:r w:rsidRPr="007E5957">
        <w:rPr>
          <w:rFonts w:ascii="Times New Roman" w:hAnsi="Times New Roman"/>
          <w:sz w:val="24"/>
        </w:rPr>
        <w:t xml:space="preserve"> (2024) 302 FCR 159 at 190 [139]-[140].</w:t>
      </w:r>
    </w:p>
  </w:footnote>
  <w:footnote w:id="169">
    <w:p w14:paraId="39521B35"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(2016) 259 CLR 180.</w:t>
      </w:r>
    </w:p>
  </w:footnote>
  <w:footnote w:id="170">
    <w:p w14:paraId="1DEA803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(2010) 243 CLR 319 at 351 [71].</w:t>
      </w:r>
    </w:p>
  </w:footnote>
  <w:footnote w:id="171">
    <w:p w14:paraId="4846A902"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239-240 [58].</w:t>
      </w:r>
    </w:p>
  </w:footnote>
  <w:footnote w:id="172">
    <w:p w14:paraId="59CE8D7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234 [35].</w:t>
      </w:r>
    </w:p>
  </w:footnote>
  <w:footnote w:id="173">
    <w:p w14:paraId="6414E81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cf </w:t>
      </w:r>
      <w:r w:rsidRPr="007E5957">
        <w:rPr>
          <w:rFonts w:ascii="Times New Roman" w:hAnsi="Times New Roman"/>
          <w:i/>
          <w:iCs/>
          <w:sz w:val="24"/>
        </w:rPr>
        <w:t>Plaintiff M61/2010E</w:t>
      </w:r>
      <w:r w:rsidRPr="007E5957">
        <w:rPr>
          <w:rFonts w:ascii="Times New Roman" w:hAnsi="Times New Roman"/>
          <w:sz w:val="24"/>
        </w:rPr>
        <w:t xml:space="preserve"> (2010) 243 CLR 319 at 349 [65].</w:t>
      </w:r>
    </w:p>
  </w:footnote>
  <w:footnote w:id="174">
    <w:p w14:paraId="111985F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M61/2010E</w:t>
      </w:r>
      <w:r w:rsidRPr="007E5957">
        <w:rPr>
          <w:rFonts w:ascii="Times New Roman" w:hAnsi="Times New Roman"/>
          <w:sz w:val="24"/>
        </w:rPr>
        <w:t xml:space="preserve"> (2010) 243 CLR 319 at 349 [65].</w:t>
      </w:r>
    </w:p>
  </w:footnote>
  <w:footnote w:id="175">
    <w:p w14:paraId="1B36128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cf </w:t>
      </w:r>
      <w:r w:rsidRPr="007E5957">
        <w:rPr>
          <w:rFonts w:ascii="Times New Roman" w:hAnsi="Times New Roman"/>
          <w:i/>
          <w:iCs/>
          <w:sz w:val="24"/>
        </w:rPr>
        <w:t>Plaintiff S4/2014</w:t>
      </w:r>
      <w:r w:rsidRPr="007E5957">
        <w:rPr>
          <w:rFonts w:ascii="Times New Roman" w:hAnsi="Times New Roman"/>
          <w:sz w:val="24"/>
        </w:rPr>
        <w:t xml:space="preserve"> (2014) 253 CLR 219 at 233-234 [35].</w:t>
      </w:r>
    </w:p>
  </w:footnote>
  <w:footnote w:id="176">
    <w:p w14:paraId="04709F4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cf </w:t>
      </w:r>
      <w:r w:rsidRPr="007E5957">
        <w:rPr>
          <w:rFonts w:ascii="Times New Roman" w:hAnsi="Times New Roman"/>
          <w:i/>
          <w:iCs/>
          <w:sz w:val="24"/>
        </w:rPr>
        <w:t>The Commonwealth v AJL20</w:t>
      </w:r>
      <w:r w:rsidRPr="007E5957">
        <w:rPr>
          <w:rFonts w:ascii="Times New Roman" w:hAnsi="Times New Roman"/>
          <w:sz w:val="24"/>
        </w:rPr>
        <w:t xml:space="preserve"> (2021) 273 CLR 43 at 70 [44].</w:t>
      </w:r>
    </w:p>
  </w:footnote>
  <w:footnote w:id="177">
    <w:p w14:paraId="6F9C2EE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BJM16 v Minister for Immigration, Citizenship and Multicultural Affairs</w:t>
      </w:r>
      <w:r w:rsidRPr="007E5957">
        <w:rPr>
          <w:rFonts w:ascii="Times New Roman" w:hAnsi="Times New Roman"/>
          <w:sz w:val="24"/>
        </w:rPr>
        <w:t xml:space="preserve"> (2023) 300 FCR 143 at 157 [50]; </w:t>
      </w:r>
      <w:r w:rsidRPr="007E5957">
        <w:rPr>
          <w:rFonts w:ascii="Times New Roman" w:hAnsi="Times New Roman"/>
          <w:i/>
          <w:iCs/>
          <w:sz w:val="24"/>
        </w:rPr>
        <w:t>ASU22 v Minister for Immigration, Citizenship and Multicultural Affairs</w:t>
      </w:r>
      <w:r w:rsidRPr="007E5957">
        <w:rPr>
          <w:rFonts w:ascii="Times New Roman" w:hAnsi="Times New Roman"/>
          <w:sz w:val="24"/>
        </w:rPr>
        <w:t xml:space="preserve"> [2023] FCA 1326 at [27].</w:t>
      </w:r>
    </w:p>
  </w:footnote>
  <w:footnote w:id="178">
    <w:p w14:paraId="55C03D4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Davis</w:t>
      </w:r>
      <w:r w:rsidRPr="007E5957">
        <w:rPr>
          <w:rFonts w:ascii="Times New Roman" w:hAnsi="Times New Roman"/>
          <w:sz w:val="24"/>
        </w:rPr>
        <w:t xml:space="preserve"> (2023) 97 ALJR 214 at 229 [57]; 408 ALR 381 at 397. In this case, it appears to have been assumed that the proceedings did not relate to a "migration decision" as defined in s 5 of the </w:t>
      </w:r>
      <w:r w:rsidRPr="007E5957">
        <w:rPr>
          <w:rFonts w:ascii="Times New Roman" w:hAnsi="Times New Roman"/>
          <w:i/>
          <w:iCs/>
          <w:sz w:val="24"/>
        </w:rPr>
        <w:t>Migration Act</w:t>
      </w:r>
      <w:r w:rsidRPr="007E5957">
        <w:rPr>
          <w:rFonts w:ascii="Times New Roman" w:hAnsi="Times New Roman"/>
          <w:sz w:val="24"/>
        </w:rPr>
        <w:t xml:space="preserve"> and thus the jurisdiction conferred by s 39B(1) of the </w:t>
      </w:r>
      <w:r w:rsidRPr="007E5957">
        <w:rPr>
          <w:rFonts w:ascii="Times New Roman" w:hAnsi="Times New Roman"/>
          <w:i/>
          <w:iCs/>
          <w:sz w:val="24"/>
        </w:rPr>
        <w:t>Judiciary Act 1903</w:t>
      </w:r>
      <w:r w:rsidRPr="007E5957">
        <w:rPr>
          <w:rFonts w:ascii="Times New Roman" w:hAnsi="Times New Roman"/>
          <w:sz w:val="24"/>
        </w:rPr>
        <w:t xml:space="preserve"> (Cth) was not ousted or limited by s 476A. </w:t>
      </w:r>
    </w:p>
  </w:footnote>
  <w:footnote w:id="179">
    <w:p w14:paraId="4AFB428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Federal Court of Australia Act 1976</w:t>
      </w:r>
      <w:r w:rsidRPr="007E5957">
        <w:rPr>
          <w:rFonts w:ascii="Times New Roman" w:hAnsi="Times New Roman"/>
          <w:sz w:val="24"/>
        </w:rPr>
        <w:t xml:space="preserve"> (Cth), s 5(2).</w:t>
      </w:r>
    </w:p>
  </w:footnote>
  <w:footnote w:id="180">
    <w:p w14:paraId="2434134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 xml:space="preserve">Jackson v Sterling Industries Ltd </w:t>
      </w:r>
      <w:r w:rsidRPr="007E5957">
        <w:rPr>
          <w:rFonts w:ascii="Times New Roman" w:hAnsi="Times New Roman"/>
          <w:sz w:val="24"/>
        </w:rPr>
        <w:t>(1987) 162 CLR 612 at 640.</w:t>
      </w:r>
    </w:p>
  </w:footnote>
  <w:footnote w:id="181">
    <w:p w14:paraId="7CD55E2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Australian Broadcasting Corporation v Lenah Game Meats Pty Ltd</w:t>
      </w:r>
      <w:r w:rsidRPr="007E5957">
        <w:rPr>
          <w:rFonts w:ascii="Times New Roman" w:hAnsi="Times New Roman"/>
          <w:sz w:val="24"/>
        </w:rPr>
        <w:t xml:space="preserve"> ("</w:t>
      </w:r>
      <w:r w:rsidRPr="007E5957">
        <w:rPr>
          <w:rFonts w:ascii="Times New Roman" w:hAnsi="Times New Roman"/>
          <w:i/>
          <w:iCs/>
          <w:sz w:val="24"/>
        </w:rPr>
        <w:t>ABC v Lenah Game</w:t>
      </w:r>
      <w:r w:rsidRPr="007E5957">
        <w:rPr>
          <w:rFonts w:ascii="Times New Roman" w:hAnsi="Times New Roman"/>
          <w:sz w:val="24"/>
        </w:rPr>
        <w:t>") (2001) 208 CLR 199 at 231 [60].</w:t>
      </w:r>
    </w:p>
  </w:footnote>
  <w:footnote w:id="182">
    <w:p w14:paraId="20897DD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ABC v Lenah Game</w:t>
      </w:r>
      <w:r w:rsidRPr="007E5957">
        <w:rPr>
          <w:rFonts w:ascii="Times New Roman" w:hAnsi="Times New Roman"/>
          <w:sz w:val="24"/>
        </w:rPr>
        <w:t xml:space="preserve"> (2001) 208 CLR 199 at 232 [62].</w:t>
      </w:r>
    </w:p>
  </w:footnote>
  <w:footnote w:id="183">
    <w:p w14:paraId="55AE91F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Re Minister for Immigration and Multicultural Affairs; Ex parte Fejzullahu</w:t>
      </w:r>
      <w:r w:rsidRPr="007E5957">
        <w:rPr>
          <w:rFonts w:ascii="Times New Roman" w:hAnsi="Times New Roman"/>
          <w:sz w:val="24"/>
        </w:rPr>
        <w:t xml:space="preserve"> (2000) 74 ALJR 830 at 832 [7]; 171 ALR 341 at 343. </w:t>
      </w:r>
    </w:p>
  </w:footnote>
  <w:footnote w:id="184">
    <w:p w14:paraId="252305F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ABC v Lenah Game</w:t>
      </w:r>
      <w:r w:rsidRPr="007E5957">
        <w:rPr>
          <w:rFonts w:ascii="Times New Roman" w:hAnsi="Times New Roman"/>
          <w:sz w:val="24"/>
        </w:rPr>
        <w:t xml:space="preserve"> (2001) 208 CLR 199 at 216-217 [9]-[10].</w:t>
      </w:r>
    </w:p>
  </w:footnote>
  <w:footnote w:id="185">
    <w:p w14:paraId="4BA91FB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ABC v Lenah</w:t>
      </w:r>
      <w:r w:rsidRPr="007E5957">
        <w:rPr>
          <w:rFonts w:ascii="Times New Roman" w:hAnsi="Times New Roman"/>
          <w:sz w:val="24"/>
        </w:rPr>
        <w:t xml:space="preserve"> </w:t>
      </w:r>
      <w:r w:rsidRPr="007E5957">
        <w:rPr>
          <w:rFonts w:ascii="Times New Roman" w:hAnsi="Times New Roman"/>
          <w:i/>
          <w:iCs/>
          <w:sz w:val="24"/>
        </w:rPr>
        <w:t>Game</w:t>
      </w:r>
      <w:r w:rsidRPr="007E5957">
        <w:rPr>
          <w:rFonts w:ascii="Times New Roman" w:hAnsi="Times New Roman"/>
          <w:sz w:val="24"/>
        </w:rPr>
        <w:t xml:space="preserve"> (2001) 208 CLR 199 at 217 [11]; see also 232-233 [61]-[62] per Gaudron J, 241 [91], 248 [105] per Gummow and Hayne JJ. See also </w:t>
      </w:r>
      <w:r w:rsidRPr="007E5957">
        <w:rPr>
          <w:rFonts w:ascii="Times New Roman" w:hAnsi="Times New Roman"/>
          <w:i/>
          <w:iCs/>
          <w:sz w:val="24"/>
        </w:rPr>
        <w:t>Cardile v LED Builders Pty Ltd</w:t>
      </w:r>
      <w:r w:rsidRPr="007E5957">
        <w:rPr>
          <w:rFonts w:ascii="Times New Roman" w:hAnsi="Times New Roman"/>
          <w:sz w:val="24"/>
        </w:rPr>
        <w:t xml:space="preserve"> (1999) 198 CLR 380 at 396 [31].</w:t>
      </w:r>
    </w:p>
  </w:footnote>
  <w:footnote w:id="186">
    <w:p w14:paraId="3232656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ABC v Lenah</w:t>
      </w:r>
      <w:r w:rsidRPr="007E5957">
        <w:rPr>
          <w:rFonts w:ascii="Times New Roman" w:hAnsi="Times New Roman"/>
          <w:sz w:val="24"/>
        </w:rPr>
        <w:t xml:space="preserve"> </w:t>
      </w:r>
      <w:r w:rsidRPr="007E5957">
        <w:rPr>
          <w:rFonts w:ascii="Times New Roman" w:hAnsi="Times New Roman"/>
          <w:i/>
          <w:iCs/>
          <w:sz w:val="24"/>
        </w:rPr>
        <w:t xml:space="preserve">Game </w:t>
      </w:r>
      <w:r w:rsidRPr="007E5957">
        <w:rPr>
          <w:rFonts w:ascii="Times New Roman" w:hAnsi="Times New Roman"/>
          <w:sz w:val="24"/>
        </w:rPr>
        <w:t>(2001) 208 CLR 199 at 215 [3], 216 [8],</w:t>
      </w:r>
      <w:r>
        <w:rPr>
          <w:rFonts w:ascii="Times New Roman" w:hAnsi="Times New Roman"/>
          <w:sz w:val="24"/>
        </w:rPr>
        <w:t xml:space="preserve"> </w:t>
      </w:r>
      <w:r w:rsidRPr="007E5957">
        <w:rPr>
          <w:rFonts w:ascii="Times New Roman" w:hAnsi="Times New Roman"/>
          <w:sz w:val="24"/>
        </w:rPr>
        <w:t>233 [62], 248 [105], 259 [139].</w:t>
      </w:r>
    </w:p>
  </w:footnote>
  <w:footnote w:id="187">
    <w:p w14:paraId="5269FE68"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(1982) 148 CLR 636.</w:t>
      </w:r>
    </w:p>
  </w:footnote>
  <w:footnote w:id="188">
    <w:p w14:paraId="4751C6A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Simsek</w:t>
      </w:r>
      <w:r w:rsidRPr="007E5957">
        <w:rPr>
          <w:rFonts w:ascii="Times New Roman" w:hAnsi="Times New Roman"/>
          <w:sz w:val="24"/>
        </w:rPr>
        <w:t xml:space="preserve"> </w:t>
      </w:r>
      <w:r w:rsidRPr="007E5957">
        <w:rPr>
          <w:rFonts w:ascii="Times New Roman" w:hAnsi="Times New Roman"/>
          <w:i/>
          <w:iCs/>
          <w:sz w:val="24"/>
        </w:rPr>
        <w:t>v Macphee</w:t>
      </w:r>
      <w:r w:rsidRPr="007E5957">
        <w:rPr>
          <w:rFonts w:ascii="Times New Roman" w:hAnsi="Times New Roman"/>
          <w:sz w:val="24"/>
        </w:rPr>
        <w:t xml:space="preserve"> (1982) 148 CLR 636 at 641.</w:t>
      </w:r>
    </w:p>
  </w:footnote>
  <w:footnote w:id="189">
    <w:p w14:paraId="273DE91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186 [116].</w:t>
      </w:r>
    </w:p>
  </w:footnote>
  <w:footnote w:id="190">
    <w:p w14:paraId="0D236EE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Patrick Stevedores</w:t>
      </w:r>
      <w:r w:rsidRPr="007E5957">
        <w:rPr>
          <w:rFonts w:ascii="Times New Roman" w:hAnsi="Times New Roman"/>
          <w:sz w:val="24"/>
        </w:rPr>
        <w:t xml:space="preserve"> </w:t>
      </w:r>
      <w:r w:rsidRPr="007E5957">
        <w:rPr>
          <w:rFonts w:ascii="Times New Roman" w:hAnsi="Times New Roman"/>
          <w:i/>
          <w:iCs/>
          <w:sz w:val="24"/>
        </w:rPr>
        <w:t>Operations No 2 Pty Ltd v Maritime Union of Australia</w:t>
      </w:r>
      <w:r w:rsidRPr="007E5957">
        <w:rPr>
          <w:rFonts w:ascii="Times New Roman" w:hAnsi="Times New Roman"/>
          <w:sz w:val="24"/>
        </w:rPr>
        <w:t xml:space="preserve"> (1998) 195 CLR 1 at 33 [35], citing </w:t>
      </w:r>
      <w:r w:rsidRPr="007E5957">
        <w:rPr>
          <w:rFonts w:ascii="Times New Roman" w:hAnsi="Times New Roman"/>
          <w:i/>
          <w:iCs/>
          <w:sz w:val="24"/>
        </w:rPr>
        <w:t>Tait v The Queen</w:t>
      </w:r>
      <w:r w:rsidRPr="007E5957">
        <w:rPr>
          <w:rFonts w:ascii="Times New Roman" w:hAnsi="Times New Roman"/>
          <w:sz w:val="24"/>
        </w:rPr>
        <w:t xml:space="preserve"> (1962) 108 CLR 620.</w:t>
      </w:r>
    </w:p>
  </w:footnote>
  <w:footnote w:id="191">
    <w:p w14:paraId="23621DBC"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Jackson v Sterling Industries </w:t>
      </w:r>
      <w:r w:rsidRPr="007E5957">
        <w:rPr>
          <w:rFonts w:ascii="Times New Roman" w:hAnsi="Times New Roman"/>
          <w:sz w:val="24"/>
        </w:rPr>
        <w:t xml:space="preserve">(1987) 162 CLR 612 at 623; </w:t>
      </w:r>
      <w:r w:rsidRPr="007E5957">
        <w:rPr>
          <w:rFonts w:ascii="Times New Roman" w:hAnsi="Times New Roman"/>
          <w:i/>
          <w:iCs/>
          <w:sz w:val="24"/>
        </w:rPr>
        <w:t>Patrick Stevedores</w:t>
      </w:r>
      <w:r w:rsidRPr="007E5957">
        <w:rPr>
          <w:rFonts w:ascii="Times New Roman" w:hAnsi="Times New Roman"/>
          <w:sz w:val="24"/>
        </w:rPr>
        <w:t xml:space="preserve"> (1998) 195 CLR 1 at 33 [35].</w:t>
      </w:r>
    </w:p>
  </w:footnote>
  <w:footnote w:id="192">
    <w:p w14:paraId="061B874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CSR Ltd v Cigna Insurance Australia Ltd</w:t>
      </w:r>
      <w:r w:rsidRPr="007E5957">
        <w:rPr>
          <w:rFonts w:ascii="Times New Roman" w:hAnsi="Times New Roman"/>
          <w:sz w:val="24"/>
        </w:rPr>
        <w:t xml:space="preserve"> (1997) 189 CLR 345 at 391; </w:t>
      </w:r>
      <w:r w:rsidRPr="007E5957">
        <w:rPr>
          <w:rFonts w:ascii="Times New Roman" w:hAnsi="Times New Roman"/>
          <w:i/>
          <w:iCs/>
          <w:sz w:val="24"/>
        </w:rPr>
        <w:t>Cardile</w:t>
      </w:r>
      <w:r w:rsidRPr="007E5957">
        <w:rPr>
          <w:rFonts w:ascii="Times New Roman" w:hAnsi="Times New Roman"/>
          <w:sz w:val="24"/>
        </w:rPr>
        <w:t xml:space="preserve"> (1999) 198 CLR 380 at 399 [40].</w:t>
      </w:r>
    </w:p>
  </w:footnote>
  <w:footnote w:id="193">
    <w:p w14:paraId="692130F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 xml:space="preserve">ABC v Lenah Game </w:t>
      </w:r>
      <w:r w:rsidRPr="007E5957">
        <w:rPr>
          <w:rFonts w:ascii="Times New Roman" w:hAnsi="Times New Roman"/>
          <w:sz w:val="24"/>
        </w:rPr>
        <w:t xml:space="preserve">(2001) 208 CLR 199 at 243 [94], citing </w:t>
      </w:r>
      <w:r w:rsidRPr="007E5957">
        <w:rPr>
          <w:rFonts w:ascii="Times New Roman" w:hAnsi="Times New Roman"/>
          <w:i/>
          <w:iCs/>
          <w:sz w:val="24"/>
        </w:rPr>
        <w:t xml:space="preserve">CSR </w:t>
      </w:r>
      <w:r w:rsidRPr="007E5957">
        <w:rPr>
          <w:rFonts w:ascii="Times New Roman" w:hAnsi="Times New Roman"/>
          <w:sz w:val="24"/>
        </w:rPr>
        <w:t>(1997) 189 CLR 345 at 391</w:t>
      </w:r>
      <w:r w:rsidRPr="007E5957">
        <w:rPr>
          <w:rFonts w:ascii="Times New Roman" w:hAnsi="Times New Roman"/>
          <w:sz w:val="24"/>
        </w:rPr>
        <w:noBreakHyphen/>
        <w:t>392.</w:t>
      </w:r>
    </w:p>
  </w:footnote>
  <w:footnote w:id="194">
    <w:p w14:paraId="396057D6"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Mareva Compania Naviera SA v International Bulkcarriers SA</w:t>
      </w:r>
      <w:r w:rsidRPr="007E5957">
        <w:rPr>
          <w:rFonts w:ascii="Times New Roman" w:hAnsi="Times New Roman"/>
          <w:sz w:val="24"/>
        </w:rPr>
        <w:t xml:space="preserve"> [1975] 2 Lloyd's Rep 509. </w:t>
      </w:r>
    </w:p>
  </w:footnote>
  <w:footnote w:id="195">
    <w:p w14:paraId="401679F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Patrick Stevedores</w:t>
      </w:r>
      <w:r w:rsidRPr="007E5957">
        <w:rPr>
          <w:rFonts w:ascii="Times New Roman" w:hAnsi="Times New Roman"/>
          <w:sz w:val="24"/>
        </w:rPr>
        <w:t xml:space="preserve"> (1998) 195 CLR 1 at 33 [35]; </w:t>
      </w:r>
      <w:r w:rsidRPr="007E5957">
        <w:rPr>
          <w:rFonts w:ascii="Times New Roman" w:hAnsi="Times New Roman"/>
          <w:i/>
          <w:iCs/>
          <w:sz w:val="24"/>
        </w:rPr>
        <w:t>Cardile</w:t>
      </w:r>
      <w:r w:rsidRPr="007E5957">
        <w:rPr>
          <w:rFonts w:ascii="Times New Roman" w:hAnsi="Times New Roman"/>
          <w:sz w:val="24"/>
        </w:rPr>
        <w:t xml:space="preserve"> (1999) 198 CLR 380 at 393</w:t>
      </w:r>
      <w:r w:rsidRPr="007E5957">
        <w:rPr>
          <w:rFonts w:ascii="Times New Roman" w:hAnsi="Times New Roman"/>
          <w:sz w:val="24"/>
        </w:rPr>
        <w:noBreakHyphen/>
        <w:t>394 [26].</w:t>
      </w:r>
    </w:p>
  </w:footnote>
  <w:footnote w:id="196">
    <w:p w14:paraId="3952E98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Meagher, Heydon, and Leeming, </w:t>
      </w:r>
      <w:r w:rsidRPr="007E5957">
        <w:rPr>
          <w:rFonts w:ascii="Times New Roman" w:hAnsi="Times New Roman"/>
          <w:i/>
          <w:iCs/>
          <w:sz w:val="24"/>
        </w:rPr>
        <w:t>Meagher, Gummow and Lehane's Equity: Doctrines and Remedies</w:t>
      </w:r>
      <w:r w:rsidRPr="007E5957">
        <w:rPr>
          <w:rFonts w:ascii="Times New Roman" w:hAnsi="Times New Roman"/>
          <w:sz w:val="24"/>
        </w:rPr>
        <w:t>, 4th ed (2002) at 798.</w:t>
      </w:r>
    </w:p>
  </w:footnote>
  <w:footnote w:id="197">
    <w:p w14:paraId="3CD5BB3B"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Cardile</w:t>
      </w:r>
      <w:r w:rsidRPr="007E5957">
        <w:rPr>
          <w:rFonts w:ascii="Times New Roman" w:hAnsi="Times New Roman"/>
          <w:sz w:val="24"/>
        </w:rPr>
        <w:t xml:space="preserve"> (1999) 198 CLR 380 at 393 [25]; see also 401 [42], 403 [50]. See also </w:t>
      </w:r>
      <w:r w:rsidRPr="007E5957">
        <w:rPr>
          <w:rFonts w:ascii="Times New Roman" w:hAnsi="Times New Roman"/>
          <w:i/>
          <w:iCs/>
          <w:sz w:val="24"/>
        </w:rPr>
        <w:t xml:space="preserve">Jackson v Sterling Industries </w:t>
      </w:r>
      <w:r w:rsidRPr="007E5957">
        <w:rPr>
          <w:rFonts w:ascii="Times New Roman" w:hAnsi="Times New Roman"/>
          <w:sz w:val="24"/>
        </w:rPr>
        <w:t>(1987) 162 CLR 612 at 618-619 and 621.</w:t>
      </w:r>
    </w:p>
  </w:footnote>
  <w:footnote w:id="198">
    <w:p w14:paraId="6E7CA271"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Cardile</w:t>
      </w:r>
      <w:r w:rsidRPr="007E5957">
        <w:rPr>
          <w:rFonts w:ascii="Times New Roman" w:hAnsi="Times New Roman"/>
          <w:sz w:val="24"/>
        </w:rPr>
        <w:t xml:space="preserve"> (1999) 198 CLR 380 at 401 [42], 405</w:t>
      </w:r>
      <w:r w:rsidRPr="007E5957">
        <w:rPr>
          <w:rFonts w:ascii="Times New Roman" w:hAnsi="Times New Roman"/>
          <w:sz w:val="24"/>
        </w:rPr>
        <w:noBreakHyphen/>
        <w:t>406 [57].</w:t>
      </w:r>
    </w:p>
  </w:footnote>
  <w:footnote w:id="199">
    <w:p w14:paraId="3E70CB5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Reid v Howard</w:t>
      </w:r>
      <w:r w:rsidRPr="007E5957">
        <w:rPr>
          <w:rFonts w:ascii="Times New Roman" w:hAnsi="Times New Roman"/>
          <w:sz w:val="24"/>
        </w:rPr>
        <w:t xml:space="preserve"> (1995) 184 CLR 1 at 16. See also </w:t>
      </w:r>
      <w:r w:rsidRPr="007E5957">
        <w:rPr>
          <w:rFonts w:ascii="Times New Roman" w:hAnsi="Times New Roman"/>
          <w:i/>
          <w:iCs/>
          <w:sz w:val="24"/>
        </w:rPr>
        <w:t>P v P</w:t>
      </w:r>
      <w:r w:rsidRPr="007E5957">
        <w:rPr>
          <w:rFonts w:ascii="Times New Roman" w:hAnsi="Times New Roman"/>
          <w:sz w:val="24"/>
        </w:rPr>
        <w:t xml:space="preserve"> (1994) 181 CLR 583 at 620, citing </w:t>
      </w:r>
      <w:r w:rsidRPr="007E5957">
        <w:rPr>
          <w:rFonts w:ascii="Times New Roman" w:hAnsi="Times New Roman"/>
          <w:i/>
          <w:iCs/>
          <w:sz w:val="24"/>
        </w:rPr>
        <w:t>Attorney-General v Birmingham, Tame, and Rea District Drainage Board</w:t>
      </w:r>
      <w:r w:rsidRPr="007E5957">
        <w:rPr>
          <w:rFonts w:ascii="Times New Roman" w:hAnsi="Times New Roman"/>
          <w:sz w:val="24"/>
        </w:rPr>
        <w:t xml:space="preserve"> [1912] AC 788 at 795.</w:t>
      </w:r>
    </w:p>
  </w:footnote>
  <w:footnote w:id="200">
    <w:p w14:paraId="083610B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Jackson v Sterling Industries </w:t>
      </w:r>
      <w:r w:rsidRPr="007E5957">
        <w:rPr>
          <w:rFonts w:ascii="Times New Roman" w:hAnsi="Times New Roman"/>
          <w:sz w:val="24"/>
        </w:rPr>
        <w:t>(1987) 162 CLR 612 at 619, 621.</w:t>
      </w:r>
    </w:p>
  </w:footnote>
  <w:footnote w:id="201">
    <w:p w14:paraId="1D2D02B8"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Jackson</w:t>
      </w:r>
      <w:r w:rsidRPr="007E5957">
        <w:rPr>
          <w:rFonts w:ascii="Times New Roman" w:hAnsi="Times New Roman"/>
          <w:sz w:val="24"/>
        </w:rPr>
        <w:t xml:space="preserve"> </w:t>
      </w:r>
      <w:r w:rsidRPr="007E5957">
        <w:rPr>
          <w:rFonts w:ascii="Times New Roman" w:hAnsi="Times New Roman"/>
          <w:i/>
          <w:iCs/>
          <w:sz w:val="24"/>
        </w:rPr>
        <w:t xml:space="preserve">v Sterling Industries </w:t>
      </w:r>
      <w:r w:rsidRPr="007E5957">
        <w:rPr>
          <w:rFonts w:ascii="Times New Roman" w:hAnsi="Times New Roman"/>
          <w:sz w:val="24"/>
        </w:rPr>
        <w:t>(1987) 162 CLR 612 at 625</w:t>
      </w:r>
      <w:r w:rsidRPr="007E5957">
        <w:rPr>
          <w:rFonts w:ascii="Times New Roman" w:hAnsi="Times New Roman"/>
          <w:sz w:val="24"/>
        </w:rPr>
        <w:noBreakHyphen/>
        <w:t>626, 642.</w:t>
      </w:r>
    </w:p>
  </w:footnote>
  <w:footnote w:id="202">
    <w:p w14:paraId="62CE217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MZAPC v Minister for Immigration, Citizenship and Multicultural Affairs</w:t>
      </w:r>
      <w:r w:rsidRPr="007E5957">
        <w:rPr>
          <w:rFonts w:ascii="Times New Roman" w:hAnsi="Times New Roman"/>
          <w:sz w:val="24"/>
        </w:rPr>
        <w:t xml:space="preserve"> [2023] FCA 989 at [57].</w:t>
      </w:r>
    </w:p>
  </w:footnote>
  <w:footnote w:id="203">
    <w:p w14:paraId="18E5A24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Beljajev v Director of Public Prosecutions </w:t>
      </w:r>
      <w:r w:rsidRPr="007E5957">
        <w:rPr>
          <w:rFonts w:ascii="Times New Roman" w:hAnsi="Times New Roman"/>
          <w:sz w:val="24"/>
        </w:rPr>
        <w:t>(1991) 173 CLR 28 at 31.</w:t>
      </w:r>
    </w:p>
  </w:footnote>
  <w:footnote w:id="204">
    <w:p w14:paraId="3C902AE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Beljajev </w:t>
      </w:r>
      <w:r w:rsidRPr="007E5957">
        <w:rPr>
          <w:rFonts w:ascii="Times New Roman" w:hAnsi="Times New Roman"/>
          <w:sz w:val="24"/>
        </w:rPr>
        <w:t xml:space="preserve">(1991) 173 CLR 28 at 31. See also </w:t>
      </w:r>
      <w:r w:rsidRPr="007E5957">
        <w:rPr>
          <w:rFonts w:ascii="Times New Roman" w:hAnsi="Times New Roman"/>
          <w:i/>
          <w:iCs/>
          <w:sz w:val="24"/>
        </w:rPr>
        <w:t>Obeid v The Queen</w:t>
      </w:r>
      <w:r w:rsidRPr="007E5957">
        <w:rPr>
          <w:rFonts w:ascii="Times New Roman" w:hAnsi="Times New Roman"/>
          <w:sz w:val="24"/>
        </w:rPr>
        <w:t xml:space="preserve"> (2016) 90 ALJR 447; 329 ALR 372. </w:t>
      </w:r>
    </w:p>
  </w:footnote>
  <w:footnote w:id="205">
    <w:p w14:paraId="01CBC6D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Abebe v The Commonwealth</w:t>
      </w:r>
      <w:r w:rsidRPr="007E5957">
        <w:rPr>
          <w:rFonts w:ascii="Times New Roman" w:hAnsi="Times New Roman"/>
          <w:sz w:val="24"/>
        </w:rPr>
        <w:t xml:space="preserve"> (1999) 197 CLR 510 at 571 [167].</w:t>
      </w:r>
    </w:p>
  </w:footnote>
  <w:footnote w:id="206">
    <w:p w14:paraId="019768B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173-174 [51].</w:t>
      </w:r>
    </w:p>
  </w:footnote>
  <w:footnote w:id="207">
    <w:p w14:paraId="2899FD92"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(2010) 243 CLR 319 at 348</w:t>
      </w:r>
      <w:r w:rsidRPr="007E5957">
        <w:rPr>
          <w:rFonts w:ascii="Times New Roman" w:hAnsi="Times New Roman"/>
          <w:sz w:val="24"/>
        </w:rPr>
        <w:noBreakHyphen/>
        <w:t>349 [63]</w:t>
      </w:r>
      <w:r w:rsidRPr="007E5957">
        <w:rPr>
          <w:rFonts w:ascii="Times New Roman" w:hAnsi="Times New Roman"/>
          <w:sz w:val="24"/>
        </w:rPr>
        <w:noBreakHyphen/>
        <w:t>[65], 351 [71].</w:t>
      </w:r>
    </w:p>
  </w:footnote>
  <w:footnote w:id="208">
    <w:p w14:paraId="36A18B85"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(2010) 243 CLR 319 at 348</w:t>
      </w:r>
      <w:r w:rsidRPr="007E5957">
        <w:rPr>
          <w:rFonts w:ascii="Times New Roman" w:hAnsi="Times New Roman"/>
          <w:sz w:val="24"/>
        </w:rPr>
        <w:noBreakHyphen/>
        <w:t>349 [63]</w:t>
      </w:r>
      <w:r w:rsidRPr="007E5957">
        <w:rPr>
          <w:rFonts w:ascii="Times New Roman" w:hAnsi="Times New Roman"/>
          <w:sz w:val="24"/>
        </w:rPr>
        <w:noBreakHyphen/>
        <w:t>[65] (emphasis omitted).</w:t>
      </w:r>
    </w:p>
  </w:footnote>
  <w:footnote w:id="209">
    <w:p w14:paraId="6E7250EE"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S4/2014</w:t>
      </w:r>
      <w:r w:rsidRPr="007E5957">
        <w:rPr>
          <w:rFonts w:ascii="Times New Roman" w:hAnsi="Times New Roman"/>
          <w:sz w:val="24"/>
        </w:rPr>
        <w:t xml:space="preserve"> (2014) 253 CLR 219 at 233-234 [35].</w:t>
      </w:r>
    </w:p>
  </w:footnote>
  <w:footnote w:id="210">
    <w:p w14:paraId="3297BA4A"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Plaintiff M61/2010E</w:t>
      </w:r>
      <w:r w:rsidRPr="007E5957">
        <w:rPr>
          <w:rFonts w:ascii="Times New Roman" w:hAnsi="Times New Roman"/>
          <w:sz w:val="24"/>
        </w:rPr>
        <w:t xml:space="preserve"> (2010) 243 CLR 319 at 348 [64].</w:t>
      </w:r>
    </w:p>
  </w:footnote>
  <w:footnote w:id="211">
    <w:p w14:paraId="01D27E3B"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(1962) 108 CLR 620.</w:t>
      </w:r>
    </w:p>
  </w:footnote>
  <w:footnote w:id="212">
    <w:p w14:paraId="03414CA4"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Tait </w:t>
      </w:r>
      <w:r w:rsidRPr="007E5957">
        <w:rPr>
          <w:rFonts w:ascii="Times New Roman" w:hAnsi="Times New Roman"/>
          <w:sz w:val="24"/>
        </w:rPr>
        <w:t>(1962) 108 CLR 620 at 623.</w:t>
      </w:r>
    </w:p>
  </w:footnote>
  <w:footnote w:id="213">
    <w:p w14:paraId="7B25F3B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Tait</w:t>
      </w:r>
      <w:r w:rsidRPr="007E5957">
        <w:rPr>
          <w:rFonts w:ascii="Times New Roman" w:hAnsi="Times New Roman"/>
          <w:sz w:val="24"/>
        </w:rPr>
        <w:t xml:space="preserve"> (1962) 108 CLR 620 at 624. Subsequently the </w:t>
      </w:r>
      <w:r w:rsidRPr="007E5957">
        <w:rPr>
          <w:rFonts w:ascii="Times New Roman" w:hAnsi="Times New Roman"/>
          <w:i/>
          <w:iCs/>
          <w:sz w:val="24"/>
        </w:rPr>
        <w:t>Mental Health Act 1959</w:t>
      </w:r>
      <w:r w:rsidRPr="007E5957">
        <w:rPr>
          <w:rFonts w:ascii="Times New Roman" w:hAnsi="Times New Roman"/>
          <w:sz w:val="24"/>
        </w:rPr>
        <w:t xml:space="preserve"> (Vic) came into operation, Mr Tait was determined to be mentally ill, and his sentence was commuted: see </w:t>
      </w:r>
      <w:r w:rsidRPr="007E5957">
        <w:rPr>
          <w:rFonts w:ascii="Times New Roman" w:hAnsi="Times New Roman"/>
          <w:i/>
          <w:iCs/>
          <w:sz w:val="24"/>
        </w:rPr>
        <w:t>Tait</w:t>
      </w:r>
      <w:r w:rsidRPr="007E5957">
        <w:rPr>
          <w:rFonts w:ascii="Times New Roman" w:hAnsi="Times New Roman"/>
          <w:sz w:val="24"/>
        </w:rPr>
        <w:t xml:space="preserve"> (1962) 108 CLR 620 at 625</w:t>
      </w:r>
      <w:r w:rsidRPr="007E5957">
        <w:rPr>
          <w:rFonts w:ascii="Times New Roman" w:hAnsi="Times New Roman"/>
          <w:sz w:val="24"/>
        </w:rPr>
        <w:noBreakHyphen/>
        <w:t>627.</w:t>
      </w:r>
    </w:p>
  </w:footnote>
  <w:footnote w:id="214">
    <w:p w14:paraId="7A029C0B"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Re Tait</w:t>
      </w:r>
      <w:r w:rsidRPr="007E5957">
        <w:rPr>
          <w:rFonts w:ascii="Times New Roman" w:hAnsi="Times New Roman"/>
          <w:sz w:val="24"/>
        </w:rPr>
        <w:t xml:space="preserve"> [1963] VR 532.</w:t>
      </w:r>
    </w:p>
  </w:footnote>
  <w:footnote w:id="215">
    <w:p w14:paraId="512946F5"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Tait v The Queen</w:t>
      </w:r>
      <w:r w:rsidRPr="007E5957">
        <w:rPr>
          <w:rFonts w:ascii="Times New Roman" w:hAnsi="Times New Roman"/>
          <w:sz w:val="24"/>
        </w:rPr>
        <w:t xml:space="preserve"> [1963] VR 547 at 561.</w:t>
      </w:r>
    </w:p>
  </w:footnote>
  <w:footnote w:id="216">
    <w:p w14:paraId="379413AD"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 xml:space="preserve">Tait v The Queen </w:t>
      </w:r>
      <w:r w:rsidRPr="007E5957">
        <w:rPr>
          <w:rFonts w:ascii="Times New Roman" w:hAnsi="Times New Roman"/>
          <w:sz w:val="24"/>
        </w:rPr>
        <w:t>(unreported transcript, High Court of Australia, 31 October 1962) at 9</w:t>
      </w:r>
      <w:r w:rsidRPr="007E5957">
        <w:rPr>
          <w:rFonts w:ascii="Times New Roman" w:hAnsi="Times New Roman"/>
          <w:sz w:val="24"/>
        </w:rPr>
        <w:noBreakHyphen/>
        <w:t xml:space="preserve">11. </w:t>
      </w:r>
    </w:p>
  </w:footnote>
  <w:footnote w:id="217">
    <w:p w14:paraId="46C3923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reasons of Gageler CJ, Gordon, Gleeson </w:t>
      </w:r>
      <w:r w:rsidRPr="000947D4">
        <w:rPr>
          <w:rFonts w:ascii="Times New Roman" w:hAnsi="Times New Roman"/>
          <w:sz w:val="24"/>
        </w:rPr>
        <w:t>and Jagot JJ at [26].</w:t>
      </w:r>
    </w:p>
  </w:footnote>
  <w:footnote w:id="218">
    <w:p w14:paraId="57CC1A12"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Re Tait</w:t>
      </w:r>
      <w:r w:rsidRPr="007E5957">
        <w:rPr>
          <w:rFonts w:ascii="Times New Roman" w:hAnsi="Times New Roman"/>
          <w:sz w:val="24"/>
        </w:rPr>
        <w:t xml:space="preserve"> [1963] VR 532 at 533, 538.</w:t>
      </w:r>
    </w:p>
  </w:footnote>
  <w:footnote w:id="219">
    <w:p w14:paraId="4C110E3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b/>
          <w:bCs/>
          <w:sz w:val="24"/>
        </w:rPr>
        <w:tab/>
      </w:r>
      <w:r w:rsidRPr="007E5957">
        <w:rPr>
          <w:rFonts w:ascii="Times New Roman" w:hAnsi="Times New Roman"/>
          <w:i/>
          <w:iCs/>
          <w:sz w:val="24"/>
        </w:rPr>
        <w:t xml:space="preserve">Tait v The Queen </w:t>
      </w:r>
      <w:r w:rsidRPr="007E5957">
        <w:rPr>
          <w:rFonts w:ascii="Times New Roman" w:hAnsi="Times New Roman"/>
          <w:sz w:val="24"/>
        </w:rPr>
        <w:t xml:space="preserve">(unreported transcript, High Court of Australia, 31 October 1962) at 9. </w:t>
      </w:r>
    </w:p>
  </w:footnote>
  <w:footnote w:id="220">
    <w:p w14:paraId="455A259F"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Tait</w:t>
      </w:r>
      <w:r w:rsidRPr="007E5957">
        <w:rPr>
          <w:rFonts w:ascii="Times New Roman" w:hAnsi="Times New Roman"/>
          <w:sz w:val="24"/>
        </w:rPr>
        <w:t xml:space="preserve"> (1962) 108 CLR 620 at 623; </w:t>
      </w:r>
      <w:r w:rsidRPr="007E5957">
        <w:rPr>
          <w:rFonts w:ascii="Times New Roman" w:hAnsi="Times New Roman"/>
          <w:i/>
          <w:iCs/>
          <w:sz w:val="24"/>
        </w:rPr>
        <w:t xml:space="preserve">Tait v The Queen </w:t>
      </w:r>
      <w:r w:rsidRPr="007E5957">
        <w:rPr>
          <w:rFonts w:ascii="Times New Roman" w:hAnsi="Times New Roman"/>
          <w:sz w:val="24"/>
        </w:rPr>
        <w:t xml:space="preserve">(unreported transcript, High Court of Australia, 31 October 1962) at 11. </w:t>
      </w:r>
    </w:p>
  </w:footnote>
  <w:footnote w:id="221">
    <w:p w14:paraId="2E622AF7"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The hearing before this Court in </w:t>
      </w:r>
      <w:r w:rsidRPr="007E5957">
        <w:rPr>
          <w:rFonts w:ascii="Times New Roman" w:hAnsi="Times New Roman"/>
          <w:i/>
          <w:iCs/>
          <w:sz w:val="24"/>
        </w:rPr>
        <w:t>Tait</w:t>
      </w:r>
      <w:r w:rsidRPr="007E5957">
        <w:rPr>
          <w:rFonts w:ascii="Times New Roman" w:hAnsi="Times New Roman"/>
          <w:sz w:val="24"/>
        </w:rPr>
        <w:t xml:space="preserve"> took place the day before the scheduled execution date.</w:t>
      </w:r>
    </w:p>
  </w:footnote>
  <w:footnote w:id="222">
    <w:p w14:paraId="07171648"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See </w:t>
      </w:r>
      <w:r w:rsidRPr="007E5957">
        <w:rPr>
          <w:rFonts w:ascii="Times New Roman" w:hAnsi="Times New Roman"/>
          <w:i/>
          <w:iCs/>
          <w:sz w:val="24"/>
        </w:rPr>
        <w:t>Minister for Immigration, Citizenship and Multicultural Affairs</w:t>
      </w:r>
      <w:r w:rsidRPr="007E5957">
        <w:rPr>
          <w:rFonts w:ascii="Times New Roman" w:hAnsi="Times New Roman"/>
          <w:sz w:val="24"/>
        </w:rPr>
        <w:t xml:space="preserve"> </w:t>
      </w:r>
      <w:r w:rsidRPr="007E5957">
        <w:rPr>
          <w:rFonts w:ascii="Times New Roman" w:hAnsi="Times New Roman"/>
          <w:i/>
          <w:iCs/>
          <w:sz w:val="24"/>
        </w:rPr>
        <w:t xml:space="preserve">v MZAPC </w:t>
      </w:r>
      <w:r w:rsidRPr="007E5957">
        <w:rPr>
          <w:rFonts w:ascii="Times New Roman" w:hAnsi="Times New Roman"/>
          <w:sz w:val="24"/>
        </w:rPr>
        <w:t>(2024) 302 FCR 159 at 170 [36] per Sarah C Derrington J.</w:t>
      </w:r>
    </w:p>
  </w:footnote>
  <w:footnote w:id="223">
    <w:p w14:paraId="1BBE85C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t xml:space="preserve">(1998) 195 CLR 1 at 33 [35], citing </w:t>
      </w:r>
      <w:r w:rsidRPr="007E5957">
        <w:rPr>
          <w:rFonts w:ascii="Times New Roman" w:hAnsi="Times New Roman"/>
          <w:i/>
          <w:iCs/>
          <w:sz w:val="24"/>
        </w:rPr>
        <w:t>Tait v The Queen</w:t>
      </w:r>
      <w:r w:rsidRPr="007E5957">
        <w:rPr>
          <w:rFonts w:ascii="Times New Roman" w:hAnsi="Times New Roman"/>
          <w:sz w:val="24"/>
        </w:rPr>
        <w:t xml:space="preserve"> (1962) 108 CLR 620.</w:t>
      </w:r>
    </w:p>
  </w:footnote>
  <w:footnote w:id="224">
    <w:p w14:paraId="771DD610" w14:textId="77777777" w:rsidR="004C0687" w:rsidRPr="007E5957" w:rsidRDefault="004C0687" w:rsidP="007E5957">
      <w:pPr>
        <w:pStyle w:val="FootnoteText"/>
        <w:spacing w:line="280" w:lineRule="exact"/>
        <w:ind w:right="0"/>
        <w:jc w:val="both"/>
        <w:rPr>
          <w:rFonts w:ascii="Times New Roman" w:hAnsi="Times New Roman"/>
          <w:sz w:val="24"/>
        </w:rPr>
      </w:pPr>
      <w:r w:rsidRPr="007E5957">
        <w:rPr>
          <w:rStyle w:val="FootnoteReference"/>
          <w:rFonts w:ascii="Times New Roman" w:hAnsi="Times New Roman"/>
          <w:sz w:val="22"/>
          <w:vertAlign w:val="baseline"/>
        </w:rPr>
        <w:footnoteRef/>
      </w:r>
      <w:r w:rsidRPr="007E5957">
        <w:rPr>
          <w:rFonts w:ascii="Times New Roman" w:hAnsi="Times New Roman"/>
          <w:sz w:val="24"/>
        </w:rPr>
        <w:t xml:space="preserve"> </w:t>
      </w:r>
      <w:r w:rsidRPr="007E5957">
        <w:rPr>
          <w:rFonts w:ascii="Times New Roman" w:hAnsi="Times New Roman"/>
          <w:sz w:val="24"/>
        </w:rPr>
        <w:tab/>
      </w:r>
      <w:r w:rsidRPr="007E5957">
        <w:rPr>
          <w:rFonts w:ascii="Times New Roman" w:hAnsi="Times New Roman"/>
          <w:i/>
          <w:iCs/>
          <w:sz w:val="24"/>
        </w:rPr>
        <w:t>Simsek</w:t>
      </w:r>
      <w:r w:rsidRPr="007E5957">
        <w:rPr>
          <w:rFonts w:ascii="Times New Roman" w:hAnsi="Times New Roman"/>
          <w:sz w:val="24"/>
        </w:rPr>
        <w:t xml:space="preserve"> </w:t>
      </w:r>
      <w:r w:rsidRPr="007E5957">
        <w:rPr>
          <w:rFonts w:ascii="Times New Roman" w:hAnsi="Times New Roman"/>
          <w:i/>
          <w:iCs/>
          <w:sz w:val="24"/>
        </w:rPr>
        <w:t>v Macphee</w:t>
      </w:r>
      <w:r w:rsidRPr="007E5957">
        <w:rPr>
          <w:rFonts w:ascii="Times New Roman" w:hAnsi="Times New Roman"/>
          <w:sz w:val="24"/>
        </w:rPr>
        <w:t xml:space="preserve"> (1982) 148 CLR 636 at 641.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1B8F" w14:textId="77777777" w:rsidR="00191C99" w:rsidRPr="001F4795" w:rsidRDefault="00191C99" w:rsidP="001F47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7F53" w14:textId="77777777" w:rsidR="004C0687" w:rsidRDefault="004C0687" w:rsidP="00AB38F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C478006" w14:textId="77777777" w:rsidR="004C0687" w:rsidRDefault="004C0687" w:rsidP="00AB38F2">
    <w:pPr>
      <w:pStyle w:val="Header"/>
      <w:tabs>
        <w:tab w:val="clear" w:pos="4153"/>
        <w:tab w:val="clear" w:pos="8306"/>
        <w:tab w:val="right" w:pos="1304"/>
      </w:tabs>
      <w:spacing w:line="280" w:lineRule="exact"/>
      <w:ind w:firstLine="0"/>
      <w:rPr>
        <w:rFonts w:ascii="Times New Roman" w:hAnsi="Times New Roman"/>
        <w:i/>
        <w:sz w:val="22"/>
      </w:rPr>
    </w:pPr>
  </w:p>
  <w:p w14:paraId="1E073D19" w14:textId="77777777" w:rsidR="004C0687" w:rsidRDefault="004C0687" w:rsidP="00AB38F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6BFB689" w14:textId="77777777" w:rsidR="004C0687" w:rsidRPr="00AB38F2" w:rsidRDefault="004C0687" w:rsidP="00AB38F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2BCB" w14:textId="77777777" w:rsidR="004C0687" w:rsidRDefault="004C0687" w:rsidP="00AB38F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7A0C665" w14:textId="77777777" w:rsidR="004C0687" w:rsidRDefault="004C0687" w:rsidP="00AB38F2">
    <w:pPr>
      <w:pStyle w:val="Header"/>
      <w:tabs>
        <w:tab w:val="clear" w:pos="4153"/>
        <w:tab w:val="clear" w:pos="8306"/>
        <w:tab w:val="left" w:pos="7200"/>
        <w:tab w:val="right" w:pos="8504"/>
      </w:tabs>
      <w:spacing w:line="280" w:lineRule="exact"/>
      <w:jc w:val="right"/>
      <w:rPr>
        <w:rFonts w:ascii="Times New Roman" w:hAnsi="Times New Roman"/>
        <w:i/>
        <w:sz w:val="22"/>
      </w:rPr>
    </w:pPr>
  </w:p>
  <w:p w14:paraId="3DE7B448" w14:textId="77777777" w:rsidR="004C0687" w:rsidRDefault="004C0687" w:rsidP="00AB38F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FC12B5" w14:textId="77777777" w:rsidR="004C0687" w:rsidRPr="00AB38F2" w:rsidRDefault="004C0687" w:rsidP="00AB38F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D88" w14:textId="77777777" w:rsidR="004C0687" w:rsidRDefault="004C0687" w:rsidP="00AB38F2">
    <w:pPr>
      <w:pStyle w:val="Header"/>
      <w:tabs>
        <w:tab w:val="clear" w:pos="4153"/>
        <w:tab w:val="clear" w:pos="8306"/>
        <w:tab w:val="center" w:pos="1134"/>
      </w:tabs>
      <w:spacing w:line="280" w:lineRule="exact"/>
      <w:ind w:firstLine="0"/>
      <w:rPr>
        <w:rFonts w:ascii="Times New Roman" w:hAnsi="Times New Roman"/>
        <w:i/>
        <w:sz w:val="22"/>
      </w:rPr>
    </w:pPr>
  </w:p>
  <w:p w14:paraId="10294886" w14:textId="77777777" w:rsidR="004C0687" w:rsidRDefault="004C0687" w:rsidP="00AB38F2">
    <w:pPr>
      <w:pStyle w:val="Header"/>
      <w:tabs>
        <w:tab w:val="clear" w:pos="4153"/>
        <w:tab w:val="clear" w:pos="8306"/>
        <w:tab w:val="center" w:pos="1134"/>
      </w:tabs>
      <w:spacing w:line="280" w:lineRule="exact"/>
      <w:ind w:firstLine="0"/>
      <w:rPr>
        <w:rFonts w:ascii="Times New Roman" w:hAnsi="Times New Roman"/>
        <w:i/>
        <w:sz w:val="22"/>
      </w:rPr>
    </w:pPr>
  </w:p>
  <w:p w14:paraId="1AD00669" w14:textId="77777777" w:rsidR="004C0687" w:rsidRDefault="004C0687" w:rsidP="00AB38F2">
    <w:pPr>
      <w:pStyle w:val="Header"/>
      <w:tabs>
        <w:tab w:val="clear" w:pos="4153"/>
        <w:tab w:val="clear" w:pos="8306"/>
        <w:tab w:val="center" w:pos="1134"/>
      </w:tabs>
      <w:spacing w:line="280" w:lineRule="exact"/>
      <w:ind w:firstLine="0"/>
      <w:rPr>
        <w:rFonts w:ascii="Times New Roman" w:hAnsi="Times New Roman"/>
        <w:i/>
        <w:sz w:val="22"/>
      </w:rPr>
    </w:pPr>
  </w:p>
  <w:p w14:paraId="3992B9CB" w14:textId="77777777" w:rsidR="004C0687" w:rsidRPr="00AB38F2" w:rsidRDefault="004C0687" w:rsidP="00AB38F2">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104F" w14:textId="77777777" w:rsidR="004C0687" w:rsidRDefault="004C0687" w:rsidP="007E595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D408123" w14:textId="77777777" w:rsidR="004C0687" w:rsidRDefault="004C0687" w:rsidP="007E5957">
    <w:pPr>
      <w:pStyle w:val="Header"/>
      <w:tabs>
        <w:tab w:val="clear" w:pos="4153"/>
        <w:tab w:val="clear" w:pos="8306"/>
        <w:tab w:val="right" w:pos="1304"/>
      </w:tabs>
      <w:spacing w:line="280" w:lineRule="exact"/>
      <w:ind w:firstLine="0"/>
      <w:rPr>
        <w:rFonts w:ascii="Times New Roman" w:hAnsi="Times New Roman"/>
        <w:i/>
        <w:sz w:val="22"/>
      </w:rPr>
    </w:pPr>
  </w:p>
  <w:p w14:paraId="5EA6FEC5" w14:textId="77777777" w:rsidR="004C0687" w:rsidRDefault="004C0687" w:rsidP="007E595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788AA80" w14:textId="77777777" w:rsidR="004C0687" w:rsidRPr="007E5957" w:rsidRDefault="004C0687" w:rsidP="007E595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5419" w14:textId="77777777" w:rsidR="004C0687" w:rsidRDefault="004C0687" w:rsidP="007E595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20F046C" w14:textId="77777777" w:rsidR="004C0687" w:rsidRDefault="004C0687" w:rsidP="007E5957">
    <w:pPr>
      <w:pStyle w:val="Header"/>
      <w:tabs>
        <w:tab w:val="clear" w:pos="4153"/>
        <w:tab w:val="clear" w:pos="8306"/>
        <w:tab w:val="left" w:pos="7200"/>
        <w:tab w:val="right" w:pos="8504"/>
      </w:tabs>
      <w:spacing w:line="280" w:lineRule="exact"/>
      <w:jc w:val="right"/>
      <w:rPr>
        <w:rFonts w:ascii="Times New Roman" w:hAnsi="Times New Roman"/>
        <w:i/>
        <w:sz w:val="22"/>
      </w:rPr>
    </w:pPr>
  </w:p>
  <w:p w14:paraId="652965B2" w14:textId="77777777" w:rsidR="004C0687" w:rsidRDefault="004C0687" w:rsidP="007E595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02F3BEE" w14:textId="77777777" w:rsidR="004C0687" w:rsidRPr="007E5957" w:rsidRDefault="004C0687" w:rsidP="007E595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C5B6" w14:textId="77777777" w:rsidR="004C0687" w:rsidRDefault="004C0687" w:rsidP="007E5957">
    <w:pPr>
      <w:pStyle w:val="Header"/>
      <w:tabs>
        <w:tab w:val="clear" w:pos="4153"/>
        <w:tab w:val="clear" w:pos="8306"/>
        <w:tab w:val="center" w:pos="1134"/>
      </w:tabs>
      <w:spacing w:line="280" w:lineRule="exact"/>
      <w:ind w:firstLine="0"/>
      <w:rPr>
        <w:rFonts w:ascii="Times New Roman" w:hAnsi="Times New Roman"/>
        <w:i/>
        <w:sz w:val="22"/>
      </w:rPr>
    </w:pPr>
  </w:p>
  <w:p w14:paraId="485FA378" w14:textId="77777777" w:rsidR="004C0687" w:rsidRDefault="004C0687" w:rsidP="007E5957">
    <w:pPr>
      <w:pStyle w:val="Header"/>
      <w:tabs>
        <w:tab w:val="clear" w:pos="4153"/>
        <w:tab w:val="clear" w:pos="8306"/>
        <w:tab w:val="center" w:pos="1134"/>
      </w:tabs>
      <w:spacing w:line="280" w:lineRule="exact"/>
      <w:ind w:firstLine="0"/>
      <w:rPr>
        <w:rFonts w:ascii="Times New Roman" w:hAnsi="Times New Roman"/>
        <w:i/>
        <w:sz w:val="22"/>
      </w:rPr>
    </w:pPr>
  </w:p>
  <w:p w14:paraId="180F0FF5" w14:textId="77777777" w:rsidR="004C0687" w:rsidRDefault="004C0687" w:rsidP="007E5957">
    <w:pPr>
      <w:pStyle w:val="Header"/>
      <w:tabs>
        <w:tab w:val="clear" w:pos="4153"/>
        <w:tab w:val="clear" w:pos="8306"/>
        <w:tab w:val="center" w:pos="1134"/>
      </w:tabs>
      <w:spacing w:line="280" w:lineRule="exact"/>
      <w:ind w:firstLine="0"/>
      <w:rPr>
        <w:rFonts w:ascii="Times New Roman" w:hAnsi="Times New Roman"/>
        <w:i/>
        <w:sz w:val="22"/>
      </w:rPr>
    </w:pPr>
  </w:p>
  <w:p w14:paraId="14E3E9EC" w14:textId="77777777" w:rsidR="004C0687" w:rsidRPr="007E5957" w:rsidRDefault="004C0687" w:rsidP="007E5957">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AEDA" w14:textId="77777777" w:rsidR="004C0687" w:rsidRPr="004C0687" w:rsidRDefault="004C0687" w:rsidP="004C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71AF" w14:textId="3423FF71" w:rsidR="00191C99" w:rsidRPr="001F4795" w:rsidRDefault="001F4795" w:rsidP="001F479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E5C2" w14:textId="5B2A1C80" w:rsidR="00535AD6" w:rsidRPr="001F4795" w:rsidRDefault="00535AD6" w:rsidP="001F4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F3A8" w14:textId="77777777" w:rsidR="001F4795" w:rsidRPr="00191C99" w:rsidRDefault="001F4795" w:rsidP="00191C99">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91C99">
      <w:rPr>
        <w:rFonts w:ascii="Times New Roman" w:hAnsi="Times New Roman"/>
        <w:i/>
        <w:sz w:val="22"/>
      </w:rPr>
      <w:t>Gageler</w:t>
    </w:r>
    <w:proofErr w:type="spellEnd"/>
    <w:r w:rsidRPr="00191C99">
      <w:rPr>
        <w:rFonts w:ascii="Times New Roman" w:hAnsi="Times New Roman"/>
        <w:i/>
        <w:sz w:val="22"/>
      </w:rPr>
      <w:tab/>
      <w:t>CJ</w:t>
    </w:r>
  </w:p>
  <w:p w14:paraId="71984CAB" w14:textId="77777777" w:rsidR="001F4795" w:rsidRPr="00191C99" w:rsidRDefault="001F4795" w:rsidP="00191C99">
    <w:pPr>
      <w:pStyle w:val="Header"/>
      <w:tabs>
        <w:tab w:val="clear" w:pos="4153"/>
        <w:tab w:val="clear" w:pos="8306"/>
        <w:tab w:val="right" w:pos="1304"/>
      </w:tabs>
      <w:spacing w:line="280" w:lineRule="exact"/>
      <w:ind w:firstLine="0"/>
      <w:rPr>
        <w:rFonts w:ascii="Times New Roman" w:hAnsi="Times New Roman"/>
        <w:i/>
        <w:sz w:val="22"/>
      </w:rPr>
    </w:pPr>
    <w:r w:rsidRPr="00191C99">
      <w:rPr>
        <w:rFonts w:ascii="Times New Roman" w:hAnsi="Times New Roman"/>
        <w:i/>
        <w:sz w:val="22"/>
      </w:rPr>
      <w:t>Gordon</w:t>
    </w:r>
    <w:r w:rsidRPr="00191C99">
      <w:rPr>
        <w:rFonts w:ascii="Times New Roman" w:hAnsi="Times New Roman"/>
        <w:i/>
        <w:sz w:val="22"/>
      </w:rPr>
      <w:tab/>
      <w:t>J</w:t>
    </w:r>
  </w:p>
  <w:p w14:paraId="7AC237C0" w14:textId="77777777" w:rsidR="001F4795" w:rsidRPr="00191C99" w:rsidRDefault="001F4795" w:rsidP="00191C99">
    <w:pPr>
      <w:pStyle w:val="Header"/>
      <w:tabs>
        <w:tab w:val="clear" w:pos="4153"/>
        <w:tab w:val="clear" w:pos="8306"/>
        <w:tab w:val="right" w:pos="1304"/>
      </w:tabs>
      <w:spacing w:line="280" w:lineRule="exact"/>
      <w:ind w:firstLine="0"/>
      <w:rPr>
        <w:rFonts w:ascii="Times New Roman" w:hAnsi="Times New Roman"/>
        <w:i/>
        <w:sz w:val="22"/>
      </w:rPr>
    </w:pPr>
    <w:r w:rsidRPr="00191C99">
      <w:rPr>
        <w:rFonts w:ascii="Times New Roman" w:hAnsi="Times New Roman"/>
        <w:i/>
        <w:sz w:val="22"/>
      </w:rPr>
      <w:t>Gleeson</w:t>
    </w:r>
    <w:r w:rsidRPr="00191C99">
      <w:rPr>
        <w:rFonts w:ascii="Times New Roman" w:hAnsi="Times New Roman"/>
        <w:i/>
        <w:sz w:val="22"/>
      </w:rPr>
      <w:tab/>
      <w:t>J</w:t>
    </w:r>
  </w:p>
  <w:p w14:paraId="07E1B5DE" w14:textId="77777777" w:rsidR="001F4795" w:rsidRDefault="001F4795" w:rsidP="00191C9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90AB586" w14:textId="77777777" w:rsidR="001F4795" w:rsidRDefault="001F4795" w:rsidP="00191C99">
    <w:pPr>
      <w:pStyle w:val="Header"/>
      <w:tabs>
        <w:tab w:val="clear" w:pos="4153"/>
        <w:tab w:val="clear" w:pos="8306"/>
        <w:tab w:val="right" w:pos="1304"/>
      </w:tabs>
      <w:spacing w:line="280" w:lineRule="exact"/>
      <w:ind w:firstLine="0"/>
      <w:rPr>
        <w:rFonts w:ascii="Times New Roman" w:hAnsi="Times New Roman"/>
        <w:i/>
        <w:sz w:val="22"/>
      </w:rPr>
    </w:pPr>
  </w:p>
  <w:p w14:paraId="2AE2D882" w14:textId="77777777" w:rsidR="001F4795" w:rsidRDefault="001F4795" w:rsidP="00191C9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98AC65" w14:textId="77777777" w:rsidR="001F4795" w:rsidRPr="00191C99" w:rsidRDefault="001F4795" w:rsidP="00191C9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4EC5" w14:textId="77777777" w:rsidR="001F4795" w:rsidRPr="00191C99" w:rsidRDefault="001F4795" w:rsidP="00191C99">
    <w:pPr>
      <w:pStyle w:val="Header"/>
      <w:tabs>
        <w:tab w:val="clear" w:pos="4153"/>
        <w:tab w:val="clear" w:pos="8306"/>
        <w:tab w:val="left" w:pos="7200"/>
        <w:tab w:val="right" w:pos="8504"/>
      </w:tabs>
      <w:spacing w:line="280" w:lineRule="exact"/>
      <w:jc w:val="right"/>
      <w:rPr>
        <w:rFonts w:ascii="Times New Roman" w:hAnsi="Times New Roman"/>
        <w:i/>
        <w:sz w:val="22"/>
      </w:rPr>
    </w:pPr>
    <w:r w:rsidRPr="00191C99">
      <w:rPr>
        <w:rFonts w:ascii="Times New Roman" w:hAnsi="Times New Roman"/>
        <w:i/>
        <w:sz w:val="22"/>
      </w:rPr>
      <w:tab/>
    </w:r>
    <w:proofErr w:type="spellStart"/>
    <w:r w:rsidRPr="00191C99">
      <w:rPr>
        <w:rFonts w:ascii="Times New Roman" w:hAnsi="Times New Roman"/>
        <w:i/>
        <w:sz w:val="22"/>
      </w:rPr>
      <w:t>Gageler</w:t>
    </w:r>
    <w:proofErr w:type="spellEnd"/>
    <w:r w:rsidRPr="00191C99">
      <w:rPr>
        <w:rFonts w:ascii="Times New Roman" w:hAnsi="Times New Roman"/>
        <w:i/>
        <w:sz w:val="22"/>
      </w:rPr>
      <w:tab/>
      <w:t>CJ</w:t>
    </w:r>
  </w:p>
  <w:p w14:paraId="1E9DD301" w14:textId="77777777" w:rsidR="001F4795" w:rsidRPr="00191C99" w:rsidRDefault="001F4795" w:rsidP="00191C99">
    <w:pPr>
      <w:pStyle w:val="Header"/>
      <w:tabs>
        <w:tab w:val="clear" w:pos="4153"/>
        <w:tab w:val="clear" w:pos="8306"/>
        <w:tab w:val="left" w:pos="7200"/>
        <w:tab w:val="right" w:pos="8504"/>
      </w:tabs>
      <w:spacing w:line="280" w:lineRule="exact"/>
      <w:jc w:val="right"/>
      <w:rPr>
        <w:rFonts w:ascii="Times New Roman" w:hAnsi="Times New Roman"/>
        <w:i/>
        <w:sz w:val="22"/>
      </w:rPr>
    </w:pPr>
    <w:r w:rsidRPr="00191C99">
      <w:rPr>
        <w:rFonts w:ascii="Times New Roman" w:hAnsi="Times New Roman"/>
        <w:i/>
        <w:sz w:val="22"/>
      </w:rPr>
      <w:tab/>
      <w:t>Gordon</w:t>
    </w:r>
    <w:r w:rsidRPr="00191C99">
      <w:rPr>
        <w:rFonts w:ascii="Times New Roman" w:hAnsi="Times New Roman"/>
        <w:i/>
        <w:sz w:val="22"/>
      </w:rPr>
      <w:tab/>
      <w:t>J</w:t>
    </w:r>
  </w:p>
  <w:p w14:paraId="27B49585" w14:textId="77777777" w:rsidR="001F4795" w:rsidRPr="00191C99" w:rsidRDefault="001F4795" w:rsidP="00191C99">
    <w:pPr>
      <w:pStyle w:val="Header"/>
      <w:tabs>
        <w:tab w:val="clear" w:pos="4153"/>
        <w:tab w:val="clear" w:pos="8306"/>
        <w:tab w:val="left" w:pos="7200"/>
        <w:tab w:val="right" w:pos="8504"/>
      </w:tabs>
      <w:spacing w:line="280" w:lineRule="exact"/>
      <w:jc w:val="right"/>
      <w:rPr>
        <w:rFonts w:ascii="Times New Roman" w:hAnsi="Times New Roman"/>
        <w:i/>
        <w:sz w:val="22"/>
      </w:rPr>
    </w:pPr>
    <w:r w:rsidRPr="00191C99">
      <w:rPr>
        <w:rFonts w:ascii="Times New Roman" w:hAnsi="Times New Roman"/>
        <w:i/>
        <w:sz w:val="22"/>
      </w:rPr>
      <w:tab/>
      <w:t>Gleeson</w:t>
    </w:r>
    <w:r w:rsidRPr="00191C99">
      <w:rPr>
        <w:rFonts w:ascii="Times New Roman" w:hAnsi="Times New Roman"/>
        <w:i/>
        <w:sz w:val="22"/>
      </w:rPr>
      <w:tab/>
      <w:t>J</w:t>
    </w:r>
  </w:p>
  <w:p w14:paraId="55D8E615" w14:textId="77777777" w:rsidR="001F4795" w:rsidRDefault="001F4795" w:rsidP="00191C9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CFF9A81" w14:textId="77777777" w:rsidR="001F4795" w:rsidRDefault="001F4795" w:rsidP="00191C99">
    <w:pPr>
      <w:pStyle w:val="Header"/>
      <w:tabs>
        <w:tab w:val="clear" w:pos="4153"/>
        <w:tab w:val="clear" w:pos="8306"/>
        <w:tab w:val="left" w:pos="7200"/>
        <w:tab w:val="right" w:pos="8504"/>
      </w:tabs>
      <w:spacing w:line="280" w:lineRule="exact"/>
      <w:jc w:val="right"/>
      <w:rPr>
        <w:rFonts w:ascii="Times New Roman" w:hAnsi="Times New Roman"/>
        <w:i/>
        <w:sz w:val="22"/>
      </w:rPr>
    </w:pPr>
  </w:p>
  <w:p w14:paraId="74D72FC3" w14:textId="77777777" w:rsidR="001F4795" w:rsidRDefault="001F4795" w:rsidP="00191C9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503111" w14:textId="77777777" w:rsidR="001F4795" w:rsidRPr="00191C99" w:rsidRDefault="001F4795" w:rsidP="00191C9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FA9"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069E845C"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0A48685C"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16D847F9"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024DD7EE"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7F6168F9" w14:textId="77777777" w:rsidR="001F4795"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p w14:paraId="57051C68" w14:textId="77777777" w:rsidR="001F4795" w:rsidRPr="00191C99" w:rsidRDefault="001F4795" w:rsidP="00191C9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DA57" w14:textId="77777777" w:rsidR="004C0687" w:rsidRDefault="004C0687" w:rsidP="00332BB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A8F1B70" w14:textId="77777777" w:rsidR="004C0687" w:rsidRDefault="004C0687" w:rsidP="00332BB4">
    <w:pPr>
      <w:pStyle w:val="Header"/>
      <w:tabs>
        <w:tab w:val="clear" w:pos="4153"/>
        <w:tab w:val="clear" w:pos="8306"/>
        <w:tab w:val="right" w:pos="1304"/>
      </w:tabs>
      <w:spacing w:line="280" w:lineRule="exact"/>
      <w:ind w:firstLine="0"/>
      <w:rPr>
        <w:rFonts w:ascii="Times New Roman" w:hAnsi="Times New Roman"/>
        <w:i/>
        <w:sz w:val="22"/>
      </w:rPr>
    </w:pPr>
  </w:p>
  <w:p w14:paraId="3F1C7DBD" w14:textId="77777777" w:rsidR="004C0687" w:rsidRDefault="004C0687" w:rsidP="00332BB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310A4A3" w14:textId="77777777" w:rsidR="004C0687" w:rsidRPr="00332BB4" w:rsidRDefault="004C0687" w:rsidP="00332BB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FC4A" w14:textId="77777777" w:rsidR="004C0687" w:rsidRDefault="004C0687" w:rsidP="00332BB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D037022" w14:textId="77777777" w:rsidR="004C0687" w:rsidRDefault="004C0687" w:rsidP="00332BB4">
    <w:pPr>
      <w:pStyle w:val="Header"/>
      <w:tabs>
        <w:tab w:val="clear" w:pos="4153"/>
        <w:tab w:val="clear" w:pos="8306"/>
        <w:tab w:val="left" w:pos="7200"/>
        <w:tab w:val="right" w:pos="8504"/>
      </w:tabs>
      <w:spacing w:line="280" w:lineRule="exact"/>
      <w:jc w:val="right"/>
      <w:rPr>
        <w:rFonts w:ascii="Times New Roman" w:hAnsi="Times New Roman"/>
        <w:i/>
        <w:sz w:val="22"/>
      </w:rPr>
    </w:pPr>
  </w:p>
  <w:p w14:paraId="37F1AC9B" w14:textId="77777777" w:rsidR="004C0687" w:rsidRDefault="004C0687" w:rsidP="00332BB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D7791A5" w14:textId="77777777" w:rsidR="004C0687" w:rsidRPr="00332BB4" w:rsidRDefault="004C0687" w:rsidP="00332BB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0E86" w14:textId="77777777" w:rsidR="004C0687" w:rsidRDefault="004C0687" w:rsidP="00332BB4">
    <w:pPr>
      <w:pStyle w:val="Header"/>
      <w:tabs>
        <w:tab w:val="clear" w:pos="4153"/>
        <w:tab w:val="clear" w:pos="8306"/>
        <w:tab w:val="center" w:pos="1134"/>
      </w:tabs>
      <w:spacing w:line="280" w:lineRule="exact"/>
      <w:ind w:firstLine="0"/>
      <w:rPr>
        <w:rFonts w:ascii="Times New Roman" w:hAnsi="Times New Roman"/>
        <w:i/>
        <w:sz w:val="22"/>
      </w:rPr>
    </w:pPr>
  </w:p>
  <w:p w14:paraId="1B69007A" w14:textId="77777777" w:rsidR="004C0687" w:rsidRDefault="004C0687" w:rsidP="00332BB4">
    <w:pPr>
      <w:pStyle w:val="Header"/>
      <w:tabs>
        <w:tab w:val="clear" w:pos="4153"/>
        <w:tab w:val="clear" w:pos="8306"/>
        <w:tab w:val="center" w:pos="1134"/>
      </w:tabs>
      <w:spacing w:line="280" w:lineRule="exact"/>
      <w:ind w:firstLine="0"/>
      <w:rPr>
        <w:rFonts w:ascii="Times New Roman" w:hAnsi="Times New Roman"/>
        <w:i/>
        <w:sz w:val="22"/>
      </w:rPr>
    </w:pPr>
  </w:p>
  <w:p w14:paraId="2643FAF9" w14:textId="77777777" w:rsidR="004C0687" w:rsidRDefault="004C0687" w:rsidP="00332BB4">
    <w:pPr>
      <w:pStyle w:val="Header"/>
      <w:tabs>
        <w:tab w:val="clear" w:pos="4153"/>
        <w:tab w:val="clear" w:pos="8306"/>
        <w:tab w:val="center" w:pos="1134"/>
      </w:tabs>
      <w:spacing w:line="280" w:lineRule="exact"/>
      <w:ind w:firstLine="0"/>
      <w:rPr>
        <w:rFonts w:ascii="Times New Roman" w:hAnsi="Times New Roman"/>
        <w:i/>
        <w:sz w:val="22"/>
      </w:rPr>
    </w:pPr>
  </w:p>
  <w:p w14:paraId="18FFF435" w14:textId="77777777" w:rsidR="004C0687" w:rsidRPr="00332BB4" w:rsidRDefault="004C0687" w:rsidP="00332BB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6"/>
    <w:rsid w:val="00001A3B"/>
    <w:rsid w:val="00001EDF"/>
    <w:rsid w:val="00002069"/>
    <w:rsid w:val="00002CE6"/>
    <w:rsid w:val="0000316A"/>
    <w:rsid w:val="000038D6"/>
    <w:rsid w:val="00003C43"/>
    <w:rsid w:val="000049B7"/>
    <w:rsid w:val="0000541D"/>
    <w:rsid w:val="00005DD2"/>
    <w:rsid w:val="0000756A"/>
    <w:rsid w:val="00007B2D"/>
    <w:rsid w:val="00010143"/>
    <w:rsid w:val="00010155"/>
    <w:rsid w:val="000104E5"/>
    <w:rsid w:val="00010561"/>
    <w:rsid w:val="00010F9C"/>
    <w:rsid w:val="00012CC0"/>
    <w:rsid w:val="0001382A"/>
    <w:rsid w:val="0001391D"/>
    <w:rsid w:val="000141CA"/>
    <w:rsid w:val="00014B34"/>
    <w:rsid w:val="00014D04"/>
    <w:rsid w:val="00016847"/>
    <w:rsid w:val="000168C9"/>
    <w:rsid w:val="00016C20"/>
    <w:rsid w:val="00016DBB"/>
    <w:rsid w:val="00017144"/>
    <w:rsid w:val="00020020"/>
    <w:rsid w:val="00021202"/>
    <w:rsid w:val="00021313"/>
    <w:rsid w:val="00021735"/>
    <w:rsid w:val="00021F23"/>
    <w:rsid w:val="00022A53"/>
    <w:rsid w:val="00022B7E"/>
    <w:rsid w:val="00023CF6"/>
    <w:rsid w:val="00023EE4"/>
    <w:rsid w:val="000250AF"/>
    <w:rsid w:val="00025490"/>
    <w:rsid w:val="0002561E"/>
    <w:rsid w:val="00025980"/>
    <w:rsid w:val="0002598C"/>
    <w:rsid w:val="00025D7D"/>
    <w:rsid w:val="00026866"/>
    <w:rsid w:val="000268E1"/>
    <w:rsid w:val="00026BB3"/>
    <w:rsid w:val="000275DA"/>
    <w:rsid w:val="00030416"/>
    <w:rsid w:val="000315FE"/>
    <w:rsid w:val="00031EAA"/>
    <w:rsid w:val="000326DB"/>
    <w:rsid w:val="0003397F"/>
    <w:rsid w:val="00034BAF"/>
    <w:rsid w:val="0003575A"/>
    <w:rsid w:val="000360EB"/>
    <w:rsid w:val="00037A5F"/>
    <w:rsid w:val="00037D6F"/>
    <w:rsid w:val="00037D87"/>
    <w:rsid w:val="00040B78"/>
    <w:rsid w:val="00041081"/>
    <w:rsid w:val="00041CE3"/>
    <w:rsid w:val="00042114"/>
    <w:rsid w:val="00042C67"/>
    <w:rsid w:val="00042D63"/>
    <w:rsid w:val="00042EF3"/>
    <w:rsid w:val="00043D2C"/>
    <w:rsid w:val="00044233"/>
    <w:rsid w:val="000452DD"/>
    <w:rsid w:val="0004639E"/>
    <w:rsid w:val="00046812"/>
    <w:rsid w:val="000502B1"/>
    <w:rsid w:val="00050CC0"/>
    <w:rsid w:val="00050DA0"/>
    <w:rsid w:val="000512AC"/>
    <w:rsid w:val="00054EF8"/>
    <w:rsid w:val="000558F6"/>
    <w:rsid w:val="00055AB8"/>
    <w:rsid w:val="00055ACD"/>
    <w:rsid w:val="00055C30"/>
    <w:rsid w:val="00056EFA"/>
    <w:rsid w:val="00056F27"/>
    <w:rsid w:val="000573AF"/>
    <w:rsid w:val="00060EBC"/>
    <w:rsid w:val="00061339"/>
    <w:rsid w:val="0006169E"/>
    <w:rsid w:val="000618EB"/>
    <w:rsid w:val="000619E5"/>
    <w:rsid w:val="00061C9A"/>
    <w:rsid w:val="00061CE2"/>
    <w:rsid w:val="00061DAF"/>
    <w:rsid w:val="000626FD"/>
    <w:rsid w:val="0006432B"/>
    <w:rsid w:val="000653D4"/>
    <w:rsid w:val="0006579C"/>
    <w:rsid w:val="00066B66"/>
    <w:rsid w:val="00067817"/>
    <w:rsid w:val="00067B7F"/>
    <w:rsid w:val="000703FA"/>
    <w:rsid w:val="000705FE"/>
    <w:rsid w:val="0007133E"/>
    <w:rsid w:val="00071C35"/>
    <w:rsid w:val="00072027"/>
    <w:rsid w:val="000723EC"/>
    <w:rsid w:val="000745EF"/>
    <w:rsid w:val="0007596C"/>
    <w:rsid w:val="00075F50"/>
    <w:rsid w:val="0007639B"/>
    <w:rsid w:val="0007745C"/>
    <w:rsid w:val="00077D15"/>
    <w:rsid w:val="00077FA9"/>
    <w:rsid w:val="00080A29"/>
    <w:rsid w:val="00080D77"/>
    <w:rsid w:val="000833E2"/>
    <w:rsid w:val="0008435D"/>
    <w:rsid w:val="00085334"/>
    <w:rsid w:val="0008558C"/>
    <w:rsid w:val="00085F13"/>
    <w:rsid w:val="00086B03"/>
    <w:rsid w:val="00086DDB"/>
    <w:rsid w:val="0008736B"/>
    <w:rsid w:val="00087CCA"/>
    <w:rsid w:val="0009041D"/>
    <w:rsid w:val="00090B3B"/>
    <w:rsid w:val="00092E49"/>
    <w:rsid w:val="000940B0"/>
    <w:rsid w:val="000954C2"/>
    <w:rsid w:val="000A03C7"/>
    <w:rsid w:val="000A063D"/>
    <w:rsid w:val="000A0E58"/>
    <w:rsid w:val="000A16F1"/>
    <w:rsid w:val="000A1799"/>
    <w:rsid w:val="000A1C14"/>
    <w:rsid w:val="000A21EB"/>
    <w:rsid w:val="000A28D4"/>
    <w:rsid w:val="000A2EB4"/>
    <w:rsid w:val="000A3DA3"/>
    <w:rsid w:val="000A42DC"/>
    <w:rsid w:val="000A63C6"/>
    <w:rsid w:val="000A66DB"/>
    <w:rsid w:val="000A6E01"/>
    <w:rsid w:val="000A7633"/>
    <w:rsid w:val="000B1C27"/>
    <w:rsid w:val="000B1E83"/>
    <w:rsid w:val="000B236E"/>
    <w:rsid w:val="000B24AA"/>
    <w:rsid w:val="000B33C7"/>
    <w:rsid w:val="000B4630"/>
    <w:rsid w:val="000B497F"/>
    <w:rsid w:val="000B710D"/>
    <w:rsid w:val="000B7558"/>
    <w:rsid w:val="000C04DC"/>
    <w:rsid w:val="000C0D98"/>
    <w:rsid w:val="000C2D79"/>
    <w:rsid w:val="000C33B0"/>
    <w:rsid w:val="000C5B27"/>
    <w:rsid w:val="000C71C2"/>
    <w:rsid w:val="000D1E5E"/>
    <w:rsid w:val="000D23A1"/>
    <w:rsid w:val="000D254C"/>
    <w:rsid w:val="000D25E6"/>
    <w:rsid w:val="000D2ED3"/>
    <w:rsid w:val="000D33AA"/>
    <w:rsid w:val="000D3450"/>
    <w:rsid w:val="000D35AE"/>
    <w:rsid w:val="000D5105"/>
    <w:rsid w:val="000D53C8"/>
    <w:rsid w:val="000D5CFB"/>
    <w:rsid w:val="000D79D8"/>
    <w:rsid w:val="000E0795"/>
    <w:rsid w:val="000E0F9D"/>
    <w:rsid w:val="000E155B"/>
    <w:rsid w:val="000E1592"/>
    <w:rsid w:val="000E23D4"/>
    <w:rsid w:val="000E3AF6"/>
    <w:rsid w:val="000E4801"/>
    <w:rsid w:val="000E4D29"/>
    <w:rsid w:val="000E542E"/>
    <w:rsid w:val="000E65F7"/>
    <w:rsid w:val="000E75F3"/>
    <w:rsid w:val="000F11F2"/>
    <w:rsid w:val="000F1345"/>
    <w:rsid w:val="000F181B"/>
    <w:rsid w:val="000F259B"/>
    <w:rsid w:val="000F2D6E"/>
    <w:rsid w:val="000F3BB3"/>
    <w:rsid w:val="000F653C"/>
    <w:rsid w:val="000F7E8F"/>
    <w:rsid w:val="0010016C"/>
    <w:rsid w:val="001001B9"/>
    <w:rsid w:val="00100833"/>
    <w:rsid w:val="00102021"/>
    <w:rsid w:val="00102254"/>
    <w:rsid w:val="00102C60"/>
    <w:rsid w:val="00103D10"/>
    <w:rsid w:val="00105504"/>
    <w:rsid w:val="001059F4"/>
    <w:rsid w:val="00105D66"/>
    <w:rsid w:val="00105E2E"/>
    <w:rsid w:val="001064EA"/>
    <w:rsid w:val="001065FC"/>
    <w:rsid w:val="001067BA"/>
    <w:rsid w:val="0010702C"/>
    <w:rsid w:val="00110970"/>
    <w:rsid w:val="00111568"/>
    <w:rsid w:val="001120C0"/>
    <w:rsid w:val="00112D37"/>
    <w:rsid w:val="001130BD"/>
    <w:rsid w:val="001138C1"/>
    <w:rsid w:val="001139C9"/>
    <w:rsid w:val="00113B30"/>
    <w:rsid w:val="00114152"/>
    <w:rsid w:val="00114430"/>
    <w:rsid w:val="001150BF"/>
    <w:rsid w:val="00115EB0"/>
    <w:rsid w:val="001168F2"/>
    <w:rsid w:val="00117274"/>
    <w:rsid w:val="0011736F"/>
    <w:rsid w:val="0011772F"/>
    <w:rsid w:val="00120207"/>
    <w:rsid w:val="00120378"/>
    <w:rsid w:val="001211B1"/>
    <w:rsid w:val="00121349"/>
    <w:rsid w:val="0012184B"/>
    <w:rsid w:val="0012185E"/>
    <w:rsid w:val="00123002"/>
    <w:rsid w:val="00123C1B"/>
    <w:rsid w:val="0012410F"/>
    <w:rsid w:val="001246EC"/>
    <w:rsid w:val="00125E3C"/>
    <w:rsid w:val="0012656B"/>
    <w:rsid w:val="00126CBC"/>
    <w:rsid w:val="0012704A"/>
    <w:rsid w:val="00127210"/>
    <w:rsid w:val="0013131A"/>
    <w:rsid w:val="00131462"/>
    <w:rsid w:val="0013236D"/>
    <w:rsid w:val="001325F3"/>
    <w:rsid w:val="00132C03"/>
    <w:rsid w:val="00133E7E"/>
    <w:rsid w:val="0013415B"/>
    <w:rsid w:val="00134513"/>
    <w:rsid w:val="0013456F"/>
    <w:rsid w:val="00134623"/>
    <w:rsid w:val="00134D4E"/>
    <w:rsid w:val="001358B9"/>
    <w:rsid w:val="00136631"/>
    <w:rsid w:val="001373A7"/>
    <w:rsid w:val="00137968"/>
    <w:rsid w:val="00137E68"/>
    <w:rsid w:val="00140217"/>
    <w:rsid w:val="0014052B"/>
    <w:rsid w:val="00141136"/>
    <w:rsid w:val="00141A82"/>
    <w:rsid w:val="00142072"/>
    <w:rsid w:val="00142730"/>
    <w:rsid w:val="00143FCB"/>
    <w:rsid w:val="00144348"/>
    <w:rsid w:val="001444CD"/>
    <w:rsid w:val="00144AF3"/>
    <w:rsid w:val="00144FEF"/>
    <w:rsid w:val="00145627"/>
    <w:rsid w:val="001461EE"/>
    <w:rsid w:val="00146A41"/>
    <w:rsid w:val="0015031C"/>
    <w:rsid w:val="00150E93"/>
    <w:rsid w:val="00151153"/>
    <w:rsid w:val="00151679"/>
    <w:rsid w:val="001516FB"/>
    <w:rsid w:val="00151C9D"/>
    <w:rsid w:val="00151F91"/>
    <w:rsid w:val="0015215A"/>
    <w:rsid w:val="0015318E"/>
    <w:rsid w:val="0015467B"/>
    <w:rsid w:val="00155FCD"/>
    <w:rsid w:val="00155FE9"/>
    <w:rsid w:val="00156E6D"/>
    <w:rsid w:val="001571AC"/>
    <w:rsid w:val="001610A0"/>
    <w:rsid w:val="00161E91"/>
    <w:rsid w:val="00162428"/>
    <w:rsid w:val="001624C6"/>
    <w:rsid w:val="001639B3"/>
    <w:rsid w:val="00163B91"/>
    <w:rsid w:val="00163D92"/>
    <w:rsid w:val="00164144"/>
    <w:rsid w:val="00165F17"/>
    <w:rsid w:val="00165FD4"/>
    <w:rsid w:val="00166A28"/>
    <w:rsid w:val="001706F7"/>
    <w:rsid w:val="001708DE"/>
    <w:rsid w:val="00170902"/>
    <w:rsid w:val="00171EB4"/>
    <w:rsid w:val="00172ADE"/>
    <w:rsid w:val="00173780"/>
    <w:rsid w:val="00173A5E"/>
    <w:rsid w:val="001753C4"/>
    <w:rsid w:val="00175703"/>
    <w:rsid w:val="001758DE"/>
    <w:rsid w:val="00175EA2"/>
    <w:rsid w:val="001760BF"/>
    <w:rsid w:val="00176131"/>
    <w:rsid w:val="00176327"/>
    <w:rsid w:val="001764D3"/>
    <w:rsid w:val="001765BB"/>
    <w:rsid w:val="001768AF"/>
    <w:rsid w:val="00176D25"/>
    <w:rsid w:val="00177601"/>
    <w:rsid w:val="00177EBB"/>
    <w:rsid w:val="00177FB2"/>
    <w:rsid w:val="00180115"/>
    <w:rsid w:val="0018264B"/>
    <w:rsid w:val="00182B8B"/>
    <w:rsid w:val="00183419"/>
    <w:rsid w:val="0018342E"/>
    <w:rsid w:val="001836E3"/>
    <w:rsid w:val="001840C2"/>
    <w:rsid w:val="00184383"/>
    <w:rsid w:val="00184B46"/>
    <w:rsid w:val="00184FD5"/>
    <w:rsid w:val="00184FEA"/>
    <w:rsid w:val="00185939"/>
    <w:rsid w:val="0018696C"/>
    <w:rsid w:val="001876F6"/>
    <w:rsid w:val="0018775C"/>
    <w:rsid w:val="00187CDB"/>
    <w:rsid w:val="00191C99"/>
    <w:rsid w:val="00191E23"/>
    <w:rsid w:val="00192945"/>
    <w:rsid w:val="00194A7E"/>
    <w:rsid w:val="00194FD1"/>
    <w:rsid w:val="001953B1"/>
    <w:rsid w:val="00195BD4"/>
    <w:rsid w:val="00195E17"/>
    <w:rsid w:val="001963C0"/>
    <w:rsid w:val="00196CA1"/>
    <w:rsid w:val="00197768"/>
    <w:rsid w:val="00197956"/>
    <w:rsid w:val="001A01BC"/>
    <w:rsid w:val="001A0254"/>
    <w:rsid w:val="001A118C"/>
    <w:rsid w:val="001A1214"/>
    <w:rsid w:val="001A1C2A"/>
    <w:rsid w:val="001A314D"/>
    <w:rsid w:val="001A3C54"/>
    <w:rsid w:val="001A408C"/>
    <w:rsid w:val="001A409D"/>
    <w:rsid w:val="001A40B3"/>
    <w:rsid w:val="001A446E"/>
    <w:rsid w:val="001A493A"/>
    <w:rsid w:val="001A508D"/>
    <w:rsid w:val="001A5BEC"/>
    <w:rsid w:val="001A6785"/>
    <w:rsid w:val="001A6843"/>
    <w:rsid w:val="001A6CFC"/>
    <w:rsid w:val="001A7070"/>
    <w:rsid w:val="001A7915"/>
    <w:rsid w:val="001B070E"/>
    <w:rsid w:val="001B1676"/>
    <w:rsid w:val="001B17A8"/>
    <w:rsid w:val="001B1EF4"/>
    <w:rsid w:val="001B1FC6"/>
    <w:rsid w:val="001B3374"/>
    <w:rsid w:val="001B3A0E"/>
    <w:rsid w:val="001B55C8"/>
    <w:rsid w:val="001B5D49"/>
    <w:rsid w:val="001B63C6"/>
    <w:rsid w:val="001C05BC"/>
    <w:rsid w:val="001C0BEA"/>
    <w:rsid w:val="001C2A32"/>
    <w:rsid w:val="001C2DCD"/>
    <w:rsid w:val="001C3224"/>
    <w:rsid w:val="001C48D4"/>
    <w:rsid w:val="001C4A03"/>
    <w:rsid w:val="001C67D9"/>
    <w:rsid w:val="001C6807"/>
    <w:rsid w:val="001C7A9F"/>
    <w:rsid w:val="001C7C93"/>
    <w:rsid w:val="001D03D4"/>
    <w:rsid w:val="001D131B"/>
    <w:rsid w:val="001D1C94"/>
    <w:rsid w:val="001D1E8D"/>
    <w:rsid w:val="001D36CD"/>
    <w:rsid w:val="001D386F"/>
    <w:rsid w:val="001D4F49"/>
    <w:rsid w:val="001D5435"/>
    <w:rsid w:val="001D5678"/>
    <w:rsid w:val="001D56B2"/>
    <w:rsid w:val="001D5BEA"/>
    <w:rsid w:val="001D5BF1"/>
    <w:rsid w:val="001D60BE"/>
    <w:rsid w:val="001D6E6E"/>
    <w:rsid w:val="001D7982"/>
    <w:rsid w:val="001D7AEE"/>
    <w:rsid w:val="001E0188"/>
    <w:rsid w:val="001E061D"/>
    <w:rsid w:val="001E0B27"/>
    <w:rsid w:val="001E139F"/>
    <w:rsid w:val="001E1BCC"/>
    <w:rsid w:val="001E1D3D"/>
    <w:rsid w:val="001E292C"/>
    <w:rsid w:val="001E356F"/>
    <w:rsid w:val="001E3ABA"/>
    <w:rsid w:val="001E47D1"/>
    <w:rsid w:val="001E5E41"/>
    <w:rsid w:val="001E68D2"/>
    <w:rsid w:val="001E69A3"/>
    <w:rsid w:val="001E6A64"/>
    <w:rsid w:val="001E75C5"/>
    <w:rsid w:val="001E798E"/>
    <w:rsid w:val="001F026D"/>
    <w:rsid w:val="001F0A8C"/>
    <w:rsid w:val="001F0C55"/>
    <w:rsid w:val="001F112C"/>
    <w:rsid w:val="001F1435"/>
    <w:rsid w:val="001F1B5F"/>
    <w:rsid w:val="001F2471"/>
    <w:rsid w:val="001F3314"/>
    <w:rsid w:val="001F3F2A"/>
    <w:rsid w:val="001F450C"/>
    <w:rsid w:val="001F4795"/>
    <w:rsid w:val="001F4D06"/>
    <w:rsid w:val="001F53BE"/>
    <w:rsid w:val="001F576C"/>
    <w:rsid w:val="001F5C2F"/>
    <w:rsid w:val="001F6018"/>
    <w:rsid w:val="001F69C2"/>
    <w:rsid w:val="001F7011"/>
    <w:rsid w:val="001F7111"/>
    <w:rsid w:val="001F7439"/>
    <w:rsid w:val="0020047B"/>
    <w:rsid w:val="00200A91"/>
    <w:rsid w:val="00201F53"/>
    <w:rsid w:val="00202D91"/>
    <w:rsid w:val="002047B3"/>
    <w:rsid w:val="0020485D"/>
    <w:rsid w:val="002048D1"/>
    <w:rsid w:val="00206A67"/>
    <w:rsid w:val="002079CB"/>
    <w:rsid w:val="002101B5"/>
    <w:rsid w:val="0021096E"/>
    <w:rsid w:val="00210DE8"/>
    <w:rsid w:val="002114D0"/>
    <w:rsid w:val="00211D73"/>
    <w:rsid w:val="00211F92"/>
    <w:rsid w:val="002122F1"/>
    <w:rsid w:val="002127F9"/>
    <w:rsid w:val="00212971"/>
    <w:rsid w:val="00212A3E"/>
    <w:rsid w:val="00213F11"/>
    <w:rsid w:val="0021405E"/>
    <w:rsid w:val="0021444A"/>
    <w:rsid w:val="00214B5D"/>
    <w:rsid w:val="00214BF2"/>
    <w:rsid w:val="002154F4"/>
    <w:rsid w:val="00215A7F"/>
    <w:rsid w:val="00215BCD"/>
    <w:rsid w:val="00216403"/>
    <w:rsid w:val="00216522"/>
    <w:rsid w:val="00217786"/>
    <w:rsid w:val="00217A6C"/>
    <w:rsid w:val="00220BB6"/>
    <w:rsid w:val="00220CBC"/>
    <w:rsid w:val="00221D19"/>
    <w:rsid w:val="00222AC6"/>
    <w:rsid w:val="002243B2"/>
    <w:rsid w:val="00224A49"/>
    <w:rsid w:val="00225524"/>
    <w:rsid w:val="00225552"/>
    <w:rsid w:val="00225FA7"/>
    <w:rsid w:val="0022666B"/>
    <w:rsid w:val="00226EA7"/>
    <w:rsid w:val="00226FE9"/>
    <w:rsid w:val="0022734D"/>
    <w:rsid w:val="00227697"/>
    <w:rsid w:val="00227781"/>
    <w:rsid w:val="0023447F"/>
    <w:rsid w:val="002350B3"/>
    <w:rsid w:val="00235C2F"/>
    <w:rsid w:val="00236E91"/>
    <w:rsid w:val="00236F7E"/>
    <w:rsid w:val="0023798E"/>
    <w:rsid w:val="00237E1A"/>
    <w:rsid w:val="00241062"/>
    <w:rsid w:val="002418A7"/>
    <w:rsid w:val="00241D13"/>
    <w:rsid w:val="00242EE4"/>
    <w:rsid w:val="002442A3"/>
    <w:rsid w:val="0024462E"/>
    <w:rsid w:val="0024491B"/>
    <w:rsid w:val="0024527C"/>
    <w:rsid w:val="00245653"/>
    <w:rsid w:val="00245AFD"/>
    <w:rsid w:val="00246766"/>
    <w:rsid w:val="00246F99"/>
    <w:rsid w:val="002474FA"/>
    <w:rsid w:val="00247890"/>
    <w:rsid w:val="00252D6B"/>
    <w:rsid w:val="00253493"/>
    <w:rsid w:val="00253DE9"/>
    <w:rsid w:val="00254B92"/>
    <w:rsid w:val="00254EE6"/>
    <w:rsid w:val="00254FD7"/>
    <w:rsid w:val="00255E76"/>
    <w:rsid w:val="00256EC2"/>
    <w:rsid w:val="00257AFB"/>
    <w:rsid w:val="00260BA2"/>
    <w:rsid w:val="0026187B"/>
    <w:rsid w:val="0026262B"/>
    <w:rsid w:val="0026293D"/>
    <w:rsid w:val="002633E6"/>
    <w:rsid w:val="00264B8A"/>
    <w:rsid w:val="00265982"/>
    <w:rsid w:val="00266C37"/>
    <w:rsid w:val="00266C73"/>
    <w:rsid w:val="00266F12"/>
    <w:rsid w:val="00267DE6"/>
    <w:rsid w:val="00270154"/>
    <w:rsid w:val="00270F2B"/>
    <w:rsid w:val="00271F70"/>
    <w:rsid w:val="002726B8"/>
    <w:rsid w:val="00272817"/>
    <w:rsid w:val="00273406"/>
    <w:rsid w:val="0027408B"/>
    <w:rsid w:val="00274289"/>
    <w:rsid w:val="0027541C"/>
    <w:rsid w:val="00276B56"/>
    <w:rsid w:val="00277046"/>
    <w:rsid w:val="0027743C"/>
    <w:rsid w:val="00280F46"/>
    <w:rsid w:val="00281461"/>
    <w:rsid w:val="002819FD"/>
    <w:rsid w:val="00281CE8"/>
    <w:rsid w:val="00283569"/>
    <w:rsid w:val="0028491C"/>
    <w:rsid w:val="00284CAE"/>
    <w:rsid w:val="00285037"/>
    <w:rsid w:val="002857F8"/>
    <w:rsid w:val="0028583A"/>
    <w:rsid w:val="0028587F"/>
    <w:rsid w:val="00285B37"/>
    <w:rsid w:val="00286049"/>
    <w:rsid w:val="002867AC"/>
    <w:rsid w:val="00286EFC"/>
    <w:rsid w:val="00287368"/>
    <w:rsid w:val="00287873"/>
    <w:rsid w:val="00290011"/>
    <w:rsid w:val="00291481"/>
    <w:rsid w:val="002916CC"/>
    <w:rsid w:val="00291DB8"/>
    <w:rsid w:val="002920B6"/>
    <w:rsid w:val="0029278C"/>
    <w:rsid w:val="00292CA7"/>
    <w:rsid w:val="00292E65"/>
    <w:rsid w:val="00292F99"/>
    <w:rsid w:val="00293565"/>
    <w:rsid w:val="00294E71"/>
    <w:rsid w:val="00295034"/>
    <w:rsid w:val="00295B51"/>
    <w:rsid w:val="0029697C"/>
    <w:rsid w:val="00296ADE"/>
    <w:rsid w:val="0029705B"/>
    <w:rsid w:val="002979F1"/>
    <w:rsid w:val="00297BF9"/>
    <w:rsid w:val="002A03C2"/>
    <w:rsid w:val="002A047F"/>
    <w:rsid w:val="002A0FE4"/>
    <w:rsid w:val="002A13E1"/>
    <w:rsid w:val="002A17D0"/>
    <w:rsid w:val="002A2C0C"/>
    <w:rsid w:val="002A3248"/>
    <w:rsid w:val="002A3491"/>
    <w:rsid w:val="002A3935"/>
    <w:rsid w:val="002A48BC"/>
    <w:rsid w:val="002A6732"/>
    <w:rsid w:val="002B0846"/>
    <w:rsid w:val="002B1304"/>
    <w:rsid w:val="002B29D8"/>
    <w:rsid w:val="002B32B9"/>
    <w:rsid w:val="002B405E"/>
    <w:rsid w:val="002B409F"/>
    <w:rsid w:val="002B4949"/>
    <w:rsid w:val="002B51BF"/>
    <w:rsid w:val="002B787B"/>
    <w:rsid w:val="002C03D8"/>
    <w:rsid w:val="002C0FDD"/>
    <w:rsid w:val="002C1EDE"/>
    <w:rsid w:val="002C209B"/>
    <w:rsid w:val="002C2C37"/>
    <w:rsid w:val="002C351E"/>
    <w:rsid w:val="002C4D4B"/>
    <w:rsid w:val="002C4F5A"/>
    <w:rsid w:val="002C4FB8"/>
    <w:rsid w:val="002C517B"/>
    <w:rsid w:val="002C5981"/>
    <w:rsid w:val="002C6633"/>
    <w:rsid w:val="002C7307"/>
    <w:rsid w:val="002C764C"/>
    <w:rsid w:val="002C7A60"/>
    <w:rsid w:val="002D0410"/>
    <w:rsid w:val="002D0610"/>
    <w:rsid w:val="002D0833"/>
    <w:rsid w:val="002D0899"/>
    <w:rsid w:val="002D1177"/>
    <w:rsid w:val="002D1707"/>
    <w:rsid w:val="002D17E2"/>
    <w:rsid w:val="002D3C90"/>
    <w:rsid w:val="002D3F5B"/>
    <w:rsid w:val="002D5525"/>
    <w:rsid w:val="002D6BED"/>
    <w:rsid w:val="002E00A2"/>
    <w:rsid w:val="002E06F5"/>
    <w:rsid w:val="002E0D62"/>
    <w:rsid w:val="002E0EC8"/>
    <w:rsid w:val="002E1191"/>
    <w:rsid w:val="002E15D9"/>
    <w:rsid w:val="002E278F"/>
    <w:rsid w:val="002E2F56"/>
    <w:rsid w:val="002E3B4D"/>
    <w:rsid w:val="002E3E4A"/>
    <w:rsid w:val="002E7142"/>
    <w:rsid w:val="002E78EF"/>
    <w:rsid w:val="002F0522"/>
    <w:rsid w:val="002F0734"/>
    <w:rsid w:val="002F20BB"/>
    <w:rsid w:val="002F2BE6"/>
    <w:rsid w:val="002F3382"/>
    <w:rsid w:val="002F3976"/>
    <w:rsid w:val="002F4480"/>
    <w:rsid w:val="002F4A5E"/>
    <w:rsid w:val="002F719F"/>
    <w:rsid w:val="0030026A"/>
    <w:rsid w:val="00301975"/>
    <w:rsid w:val="0030208A"/>
    <w:rsid w:val="00302AB4"/>
    <w:rsid w:val="003034B6"/>
    <w:rsid w:val="0030542C"/>
    <w:rsid w:val="0030568B"/>
    <w:rsid w:val="00305AEF"/>
    <w:rsid w:val="003101D1"/>
    <w:rsid w:val="00310418"/>
    <w:rsid w:val="0031136E"/>
    <w:rsid w:val="003118B0"/>
    <w:rsid w:val="003119AD"/>
    <w:rsid w:val="003128B7"/>
    <w:rsid w:val="00312FFC"/>
    <w:rsid w:val="003143FB"/>
    <w:rsid w:val="003150BF"/>
    <w:rsid w:val="003150CE"/>
    <w:rsid w:val="0031544E"/>
    <w:rsid w:val="00315E92"/>
    <w:rsid w:val="00316399"/>
    <w:rsid w:val="003165A8"/>
    <w:rsid w:val="00316E4C"/>
    <w:rsid w:val="00320141"/>
    <w:rsid w:val="00322288"/>
    <w:rsid w:val="00322C3E"/>
    <w:rsid w:val="0032375A"/>
    <w:rsid w:val="00323B89"/>
    <w:rsid w:val="00323B9E"/>
    <w:rsid w:val="00323FCF"/>
    <w:rsid w:val="00325644"/>
    <w:rsid w:val="00325BF8"/>
    <w:rsid w:val="00326A56"/>
    <w:rsid w:val="003274F3"/>
    <w:rsid w:val="00330804"/>
    <w:rsid w:val="00331B8C"/>
    <w:rsid w:val="00331DE4"/>
    <w:rsid w:val="0033347F"/>
    <w:rsid w:val="0033473A"/>
    <w:rsid w:val="003347DE"/>
    <w:rsid w:val="00334A6B"/>
    <w:rsid w:val="00334B88"/>
    <w:rsid w:val="003366B2"/>
    <w:rsid w:val="00336C2F"/>
    <w:rsid w:val="003372A5"/>
    <w:rsid w:val="003377B4"/>
    <w:rsid w:val="0033780F"/>
    <w:rsid w:val="00340066"/>
    <w:rsid w:val="003408BC"/>
    <w:rsid w:val="0034122D"/>
    <w:rsid w:val="00341824"/>
    <w:rsid w:val="00341F4C"/>
    <w:rsid w:val="0034288B"/>
    <w:rsid w:val="003430A5"/>
    <w:rsid w:val="0034332B"/>
    <w:rsid w:val="003439C7"/>
    <w:rsid w:val="00343CB2"/>
    <w:rsid w:val="003448DD"/>
    <w:rsid w:val="00344A30"/>
    <w:rsid w:val="003455E5"/>
    <w:rsid w:val="00345BA0"/>
    <w:rsid w:val="003461DD"/>
    <w:rsid w:val="0034681C"/>
    <w:rsid w:val="003472CA"/>
    <w:rsid w:val="0034749A"/>
    <w:rsid w:val="003479F5"/>
    <w:rsid w:val="003526E1"/>
    <w:rsid w:val="00354590"/>
    <w:rsid w:val="00356811"/>
    <w:rsid w:val="00356AF4"/>
    <w:rsid w:val="00356C0F"/>
    <w:rsid w:val="003600A8"/>
    <w:rsid w:val="00361060"/>
    <w:rsid w:val="00361F6D"/>
    <w:rsid w:val="0036273A"/>
    <w:rsid w:val="0036284D"/>
    <w:rsid w:val="003636A3"/>
    <w:rsid w:val="00363ADC"/>
    <w:rsid w:val="00364998"/>
    <w:rsid w:val="003653CF"/>
    <w:rsid w:val="00366524"/>
    <w:rsid w:val="00366BD6"/>
    <w:rsid w:val="0037031E"/>
    <w:rsid w:val="0037375D"/>
    <w:rsid w:val="00373E58"/>
    <w:rsid w:val="003751B3"/>
    <w:rsid w:val="003755F6"/>
    <w:rsid w:val="0037584C"/>
    <w:rsid w:val="00375FF8"/>
    <w:rsid w:val="00376073"/>
    <w:rsid w:val="003769B0"/>
    <w:rsid w:val="00377452"/>
    <w:rsid w:val="003775EB"/>
    <w:rsid w:val="003806B1"/>
    <w:rsid w:val="00381223"/>
    <w:rsid w:val="00381849"/>
    <w:rsid w:val="003823A0"/>
    <w:rsid w:val="00382B50"/>
    <w:rsid w:val="00384F36"/>
    <w:rsid w:val="0038507D"/>
    <w:rsid w:val="00385271"/>
    <w:rsid w:val="003859F4"/>
    <w:rsid w:val="00385CE6"/>
    <w:rsid w:val="00386872"/>
    <w:rsid w:val="003912C3"/>
    <w:rsid w:val="0039226E"/>
    <w:rsid w:val="00392812"/>
    <w:rsid w:val="00392CC8"/>
    <w:rsid w:val="003931BA"/>
    <w:rsid w:val="003932A1"/>
    <w:rsid w:val="00397087"/>
    <w:rsid w:val="003970DF"/>
    <w:rsid w:val="003975A3"/>
    <w:rsid w:val="00397708"/>
    <w:rsid w:val="003A0632"/>
    <w:rsid w:val="003A2017"/>
    <w:rsid w:val="003A2E51"/>
    <w:rsid w:val="003A3153"/>
    <w:rsid w:val="003A3898"/>
    <w:rsid w:val="003A3971"/>
    <w:rsid w:val="003A48CC"/>
    <w:rsid w:val="003A58D9"/>
    <w:rsid w:val="003A5F81"/>
    <w:rsid w:val="003A66B4"/>
    <w:rsid w:val="003A6E34"/>
    <w:rsid w:val="003A72EF"/>
    <w:rsid w:val="003A76F7"/>
    <w:rsid w:val="003A7800"/>
    <w:rsid w:val="003A7E21"/>
    <w:rsid w:val="003B1307"/>
    <w:rsid w:val="003B15D4"/>
    <w:rsid w:val="003B1CDD"/>
    <w:rsid w:val="003B1EC1"/>
    <w:rsid w:val="003B342D"/>
    <w:rsid w:val="003B3D65"/>
    <w:rsid w:val="003B4EED"/>
    <w:rsid w:val="003B5F94"/>
    <w:rsid w:val="003B6B2C"/>
    <w:rsid w:val="003C0578"/>
    <w:rsid w:val="003C1022"/>
    <w:rsid w:val="003C2255"/>
    <w:rsid w:val="003C266A"/>
    <w:rsid w:val="003C3680"/>
    <w:rsid w:val="003C4061"/>
    <w:rsid w:val="003C41EB"/>
    <w:rsid w:val="003C4C36"/>
    <w:rsid w:val="003C5FD8"/>
    <w:rsid w:val="003C602A"/>
    <w:rsid w:val="003C6170"/>
    <w:rsid w:val="003C73AE"/>
    <w:rsid w:val="003C7BFF"/>
    <w:rsid w:val="003D0E14"/>
    <w:rsid w:val="003D1759"/>
    <w:rsid w:val="003D1896"/>
    <w:rsid w:val="003D1B20"/>
    <w:rsid w:val="003D1F64"/>
    <w:rsid w:val="003D2E7A"/>
    <w:rsid w:val="003D3B14"/>
    <w:rsid w:val="003D3DE7"/>
    <w:rsid w:val="003D4797"/>
    <w:rsid w:val="003D5B99"/>
    <w:rsid w:val="003D62F7"/>
    <w:rsid w:val="003D6402"/>
    <w:rsid w:val="003D6728"/>
    <w:rsid w:val="003D68E2"/>
    <w:rsid w:val="003D6C47"/>
    <w:rsid w:val="003D7BF7"/>
    <w:rsid w:val="003D7E18"/>
    <w:rsid w:val="003E0211"/>
    <w:rsid w:val="003E1035"/>
    <w:rsid w:val="003E17F2"/>
    <w:rsid w:val="003E19F7"/>
    <w:rsid w:val="003E1EB2"/>
    <w:rsid w:val="003E2A34"/>
    <w:rsid w:val="003E2E58"/>
    <w:rsid w:val="003E2F2D"/>
    <w:rsid w:val="003E43EB"/>
    <w:rsid w:val="003E492C"/>
    <w:rsid w:val="003E5004"/>
    <w:rsid w:val="003E5AC1"/>
    <w:rsid w:val="003E684B"/>
    <w:rsid w:val="003E710D"/>
    <w:rsid w:val="003E79A9"/>
    <w:rsid w:val="003E7A9C"/>
    <w:rsid w:val="003F1163"/>
    <w:rsid w:val="003F176D"/>
    <w:rsid w:val="003F20AE"/>
    <w:rsid w:val="003F22EB"/>
    <w:rsid w:val="003F284D"/>
    <w:rsid w:val="003F2B86"/>
    <w:rsid w:val="003F328F"/>
    <w:rsid w:val="003F3808"/>
    <w:rsid w:val="003F456E"/>
    <w:rsid w:val="003F461B"/>
    <w:rsid w:val="003F4B5E"/>
    <w:rsid w:val="003F531A"/>
    <w:rsid w:val="003F6CE1"/>
    <w:rsid w:val="003F7C9E"/>
    <w:rsid w:val="00400FDE"/>
    <w:rsid w:val="004012FB"/>
    <w:rsid w:val="00401BD2"/>
    <w:rsid w:val="004025E8"/>
    <w:rsid w:val="00402768"/>
    <w:rsid w:val="004037B3"/>
    <w:rsid w:val="00403A23"/>
    <w:rsid w:val="00404C36"/>
    <w:rsid w:val="004058C0"/>
    <w:rsid w:val="00406F38"/>
    <w:rsid w:val="004107CA"/>
    <w:rsid w:val="00411016"/>
    <w:rsid w:val="004111BC"/>
    <w:rsid w:val="004114CB"/>
    <w:rsid w:val="004125F4"/>
    <w:rsid w:val="004126D4"/>
    <w:rsid w:val="00414703"/>
    <w:rsid w:val="00414E1E"/>
    <w:rsid w:val="004155A5"/>
    <w:rsid w:val="00415D21"/>
    <w:rsid w:val="00415D2B"/>
    <w:rsid w:val="00416C0A"/>
    <w:rsid w:val="004176C3"/>
    <w:rsid w:val="00417EB2"/>
    <w:rsid w:val="00420124"/>
    <w:rsid w:val="00420C6C"/>
    <w:rsid w:val="00421941"/>
    <w:rsid w:val="004237D6"/>
    <w:rsid w:val="00424882"/>
    <w:rsid w:val="004248F8"/>
    <w:rsid w:val="00424DE2"/>
    <w:rsid w:val="00424FC5"/>
    <w:rsid w:val="00425677"/>
    <w:rsid w:val="00425F8E"/>
    <w:rsid w:val="00425FBA"/>
    <w:rsid w:val="004262D3"/>
    <w:rsid w:val="004271B1"/>
    <w:rsid w:val="004274B4"/>
    <w:rsid w:val="00430BA4"/>
    <w:rsid w:val="00430DDC"/>
    <w:rsid w:val="00431B4C"/>
    <w:rsid w:val="00432528"/>
    <w:rsid w:val="00432836"/>
    <w:rsid w:val="0043426F"/>
    <w:rsid w:val="004358EE"/>
    <w:rsid w:val="004372C0"/>
    <w:rsid w:val="004373D1"/>
    <w:rsid w:val="0043778D"/>
    <w:rsid w:val="00437EB3"/>
    <w:rsid w:val="00440A7B"/>
    <w:rsid w:val="004421D7"/>
    <w:rsid w:val="00444A63"/>
    <w:rsid w:val="004454C2"/>
    <w:rsid w:val="004457A4"/>
    <w:rsid w:val="004458D2"/>
    <w:rsid w:val="00445BC3"/>
    <w:rsid w:val="00445E15"/>
    <w:rsid w:val="00446811"/>
    <w:rsid w:val="00447347"/>
    <w:rsid w:val="00447F33"/>
    <w:rsid w:val="004502D8"/>
    <w:rsid w:val="0045090B"/>
    <w:rsid w:val="00450A27"/>
    <w:rsid w:val="00451EC2"/>
    <w:rsid w:val="00452687"/>
    <w:rsid w:val="00453593"/>
    <w:rsid w:val="00453CD1"/>
    <w:rsid w:val="00454AC0"/>
    <w:rsid w:val="00455035"/>
    <w:rsid w:val="004559C1"/>
    <w:rsid w:val="00455A24"/>
    <w:rsid w:val="00455D89"/>
    <w:rsid w:val="0045605A"/>
    <w:rsid w:val="0045618B"/>
    <w:rsid w:val="004570D1"/>
    <w:rsid w:val="0046192E"/>
    <w:rsid w:val="004630A7"/>
    <w:rsid w:val="00463357"/>
    <w:rsid w:val="00463A04"/>
    <w:rsid w:val="00465255"/>
    <w:rsid w:val="004653C9"/>
    <w:rsid w:val="00465672"/>
    <w:rsid w:val="0046605C"/>
    <w:rsid w:val="00466194"/>
    <w:rsid w:val="00470153"/>
    <w:rsid w:val="00471753"/>
    <w:rsid w:val="0047364E"/>
    <w:rsid w:val="00473718"/>
    <w:rsid w:val="00473869"/>
    <w:rsid w:val="0047410E"/>
    <w:rsid w:val="004742BB"/>
    <w:rsid w:val="00474E5F"/>
    <w:rsid w:val="00475233"/>
    <w:rsid w:val="0047571F"/>
    <w:rsid w:val="0048054A"/>
    <w:rsid w:val="00480CE6"/>
    <w:rsid w:val="00480DC2"/>
    <w:rsid w:val="004818E8"/>
    <w:rsid w:val="00482126"/>
    <w:rsid w:val="004824D6"/>
    <w:rsid w:val="00482EC9"/>
    <w:rsid w:val="00482F44"/>
    <w:rsid w:val="00482F67"/>
    <w:rsid w:val="00483006"/>
    <w:rsid w:val="004832A0"/>
    <w:rsid w:val="00483893"/>
    <w:rsid w:val="00483EC1"/>
    <w:rsid w:val="00484915"/>
    <w:rsid w:val="00485961"/>
    <w:rsid w:val="00485D90"/>
    <w:rsid w:val="00487387"/>
    <w:rsid w:val="00490E50"/>
    <w:rsid w:val="004911C3"/>
    <w:rsid w:val="004919FD"/>
    <w:rsid w:val="00492139"/>
    <w:rsid w:val="00493F05"/>
    <w:rsid w:val="004943BE"/>
    <w:rsid w:val="00494B0D"/>
    <w:rsid w:val="00494E36"/>
    <w:rsid w:val="00495E10"/>
    <w:rsid w:val="00496B14"/>
    <w:rsid w:val="00496D19"/>
    <w:rsid w:val="004971BD"/>
    <w:rsid w:val="00497CD6"/>
    <w:rsid w:val="00497CD7"/>
    <w:rsid w:val="004A06FC"/>
    <w:rsid w:val="004A132C"/>
    <w:rsid w:val="004A1CA8"/>
    <w:rsid w:val="004A1DD8"/>
    <w:rsid w:val="004A2F3C"/>
    <w:rsid w:val="004A307B"/>
    <w:rsid w:val="004A33CC"/>
    <w:rsid w:val="004A35B5"/>
    <w:rsid w:val="004A35C8"/>
    <w:rsid w:val="004A381E"/>
    <w:rsid w:val="004A4656"/>
    <w:rsid w:val="004A504D"/>
    <w:rsid w:val="004A70EB"/>
    <w:rsid w:val="004A71C3"/>
    <w:rsid w:val="004B035A"/>
    <w:rsid w:val="004B12A9"/>
    <w:rsid w:val="004B17E9"/>
    <w:rsid w:val="004B18C1"/>
    <w:rsid w:val="004B26D9"/>
    <w:rsid w:val="004B29CE"/>
    <w:rsid w:val="004B2C5E"/>
    <w:rsid w:val="004B34F5"/>
    <w:rsid w:val="004B36C6"/>
    <w:rsid w:val="004B524A"/>
    <w:rsid w:val="004B6A0A"/>
    <w:rsid w:val="004B774B"/>
    <w:rsid w:val="004B7EA5"/>
    <w:rsid w:val="004C0687"/>
    <w:rsid w:val="004C0E78"/>
    <w:rsid w:val="004C177F"/>
    <w:rsid w:val="004C2752"/>
    <w:rsid w:val="004C3195"/>
    <w:rsid w:val="004C387F"/>
    <w:rsid w:val="004C426B"/>
    <w:rsid w:val="004C4629"/>
    <w:rsid w:val="004C4631"/>
    <w:rsid w:val="004C4B71"/>
    <w:rsid w:val="004C5D6E"/>
    <w:rsid w:val="004D087E"/>
    <w:rsid w:val="004D16F9"/>
    <w:rsid w:val="004D19DB"/>
    <w:rsid w:val="004D1E88"/>
    <w:rsid w:val="004D3CD7"/>
    <w:rsid w:val="004D4A79"/>
    <w:rsid w:val="004D57DD"/>
    <w:rsid w:val="004D58DE"/>
    <w:rsid w:val="004D63E2"/>
    <w:rsid w:val="004D79F6"/>
    <w:rsid w:val="004E098C"/>
    <w:rsid w:val="004E11CC"/>
    <w:rsid w:val="004E2910"/>
    <w:rsid w:val="004E301D"/>
    <w:rsid w:val="004E32C4"/>
    <w:rsid w:val="004E3F30"/>
    <w:rsid w:val="004E43EE"/>
    <w:rsid w:val="004E46F8"/>
    <w:rsid w:val="004E50C8"/>
    <w:rsid w:val="004E5120"/>
    <w:rsid w:val="004E5A9D"/>
    <w:rsid w:val="004E653E"/>
    <w:rsid w:val="004E65F5"/>
    <w:rsid w:val="004E67A1"/>
    <w:rsid w:val="004E6906"/>
    <w:rsid w:val="004E69DE"/>
    <w:rsid w:val="004E7EA0"/>
    <w:rsid w:val="004F07B4"/>
    <w:rsid w:val="004F111C"/>
    <w:rsid w:val="004F14F0"/>
    <w:rsid w:val="004F2D77"/>
    <w:rsid w:val="004F3C00"/>
    <w:rsid w:val="004F3E28"/>
    <w:rsid w:val="004F4288"/>
    <w:rsid w:val="004F454E"/>
    <w:rsid w:val="004F499F"/>
    <w:rsid w:val="004F49B9"/>
    <w:rsid w:val="004F501E"/>
    <w:rsid w:val="004F621F"/>
    <w:rsid w:val="004F66E2"/>
    <w:rsid w:val="004F6EC8"/>
    <w:rsid w:val="004F7056"/>
    <w:rsid w:val="004F7150"/>
    <w:rsid w:val="0050084B"/>
    <w:rsid w:val="00500947"/>
    <w:rsid w:val="005018DA"/>
    <w:rsid w:val="00502092"/>
    <w:rsid w:val="00502EAE"/>
    <w:rsid w:val="00502F6A"/>
    <w:rsid w:val="00503895"/>
    <w:rsid w:val="00503A1B"/>
    <w:rsid w:val="005046CE"/>
    <w:rsid w:val="0050500F"/>
    <w:rsid w:val="0050510D"/>
    <w:rsid w:val="00505279"/>
    <w:rsid w:val="005056B6"/>
    <w:rsid w:val="00505727"/>
    <w:rsid w:val="005063E1"/>
    <w:rsid w:val="005069DE"/>
    <w:rsid w:val="00507C6F"/>
    <w:rsid w:val="00507CC5"/>
    <w:rsid w:val="00510E7A"/>
    <w:rsid w:val="00511811"/>
    <w:rsid w:val="00511970"/>
    <w:rsid w:val="0051239B"/>
    <w:rsid w:val="00515779"/>
    <w:rsid w:val="00515B40"/>
    <w:rsid w:val="00516659"/>
    <w:rsid w:val="00516BBB"/>
    <w:rsid w:val="00516BE8"/>
    <w:rsid w:val="00517967"/>
    <w:rsid w:val="005205FE"/>
    <w:rsid w:val="00520B84"/>
    <w:rsid w:val="0052293E"/>
    <w:rsid w:val="00522A06"/>
    <w:rsid w:val="00523022"/>
    <w:rsid w:val="005235C8"/>
    <w:rsid w:val="005239F6"/>
    <w:rsid w:val="00523E83"/>
    <w:rsid w:val="005248BB"/>
    <w:rsid w:val="00525672"/>
    <w:rsid w:val="00526339"/>
    <w:rsid w:val="0052650F"/>
    <w:rsid w:val="00527353"/>
    <w:rsid w:val="005308A5"/>
    <w:rsid w:val="005314E9"/>
    <w:rsid w:val="00531723"/>
    <w:rsid w:val="005325E3"/>
    <w:rsid w:val="0053275E"/>
    <w:rsid w:val="00532B80"/>
    <w:rsid w:val="0053324F"/>
    <w:rsid w:val="005338A4"/>
    <w:rsid w:val="00534509"/>
    <w:rsid w:val="005348BF"/>
    <w:rsid w:val="00534C57"/>
    <w:rsid w:val="00535073"/>
    <w:rsid w:val="005352D4"/>
    <w:rsid w:val="00535384"/>
    <w:rsid w:val="00535AD6"/>
    <w:rsid w:val="00535D6D"/>
    <w:rsid w:val="00535DD3"/>
    <w:rsid w:val="005364EF"/>
    <w:rsid w:val="00536810"/>
    <w:rsid w:val="00536DD9"/>
    <w:rsid w:val="00541420"/>
    <w:rsid w:val="00541705"/>
    <w:rsid w:val="00541D51"/>
    <w:rsid w:val="00541E10"/>
    <w:rsid w:val="00541EF9"/>
    <w:rsid w:val="005430AE"/>
    <w:rsid w:val="005431CF"/>
    <w:rsid w:val="005433FF"/>
    <w:rsid w:val="00543D0A"/>
    <w:rsid w:val="00544583"/>
    <w:rsid w:val="00544A7D"/>
    <w:rsid w:val="00544B02"/>
    <w:rsid w:val="00544EFB"/>
    <w:rsid w:val="005454F3"/>
    <w:rsid w:val="005455E5"/>
    <w:rsid w:val="00545B80"/>
    <w:rsid w:val="00545FFD"/>
    <w:rsid w:val="005465BD"/>
    <w:rsid w:val="00546648"/>
    <w:rsid w:val="00546710"/>
    <w:rsid w:val="0054681B"/>
    <w:rsid w:val="0054779A"/>
    <w:rsid w:val="00547BA1"/>
    <w:rsid w:val="00550319"/>
    <w:rsid w:val="00550446"/>
    <w:rsid w:val="005504AB"/>
    <w:rsid w:val="00550A96"/>
    <w:rsid w:val="00551B38"/>
    <w:rsid w:val="0055318D"/>
    <w:rsid w:val="005538F6"/>
    <w:rsid w:val="00553B4B"/>
    <w:rsid w:val="0055452C"/>
    <w:rsid w:val="00554A9B"/>
    <w:rsid w:val="005554D7"/>
    <w:rsid w:val="0055565B"/>
    <w:rsid w:val="00555C18"/>
    <w:rsid w:val="00556031"/>
    <w:rsid w:val="00556101"/>
    <w:rsid w:val="00557314"/>
    <w:rsid w:val="00557CB1"/>
    <w:rsid w:val="0056072C"/>
    <w:rsid w:val="005608A0"/>
    <w:rsid w:val="0056091E"/>
    <w:rsid w:val="00561371"/>
    <w:rsid w:val="0056172D"/>
    <w:rsid w:val="005635F3"/>
    <w:rsid w:val="00563F1B"/>
    <w:rsid w:val="0056411C"/>
    <w:rsid w:val="00565B4C"/>
    <w:rsid w:val="005663FF"/>
    <w:rsid w:val="005673B1"/>
    <w:rsid w:val="005677E5"/>
    <w:rsid w:val="00570D24"/>
    <w:rsid w:val="005719E7"/>
    <w:rsid w:val="00571BDD"/>
    <w:rsid w:val="00571C7D"/>
    <w:rsid w:val="00571FC9"/>
    <w:rsid w:val="00572188"/>
    <w:rsid w:val="0057437F"/>
    <w:rsid w:val="00574C1A"/>
    <w:rsid w:val="00574C86"/>
    <w:rsid w:val="00574EDA"/>
    <w:rsid w:val="0057607A"/>
    <w:rsid w:val="00576959"/>
    <w:rsid w:val="0057741A"/>
    <w:rsid w:val="00577E4E"/>
    <w:rsid w:val="00580EEB"/>
    <w:rsid w:val="00580FCF"/>
    <w:rsid w:val="00581049"/>
    <w:rsid w:val="00581977"/>
    <w:rsid w:val="00581CD5"/>
    <w:rsid w:val="005826C9"/>
    <w:rsid w:val="00582862"/>
    <w:rsid w:val="005828B9"/>
    <w:rsid w:val="00582D0B"/>
    <w:rsid w:val="00583673"/>
    <w:rsid w:val="00583D08"/>
    <w:rsid w:val="00584C1A"/>
    <w:rsid w:val="00584EF3"/>
    <w:rsid w:val="00585A86"/>
    <w:rsid w:val="00587BE7"/>
    <w:rsid w:val="00587CBC"/>
    <w:rsid w:val="00587CCF"/>
    <w:rsid w:val="00590771"/>
    <w:rsid w:val="00590B31"/>
    <w:rsid w:val="00592981"/>
    <w:rsid w:val="00592A36"/>
    <w:rsid w:val="005948C7"/>
    <w:rsid w:val="00595035"/>
    <w:rsid w:val="00595457"/>
    <w:rsid w:val="00595646"/>
    <w:rsid w:val="00595DF1"/>
    <w:rsid w:val="0059606F"/>
    <w:rsid w:val="005962DD"/>
    <w:rsid w:val="00596524"/>
    <w:rsid w:val="005974C3"/>
    <w:rsid w:val="00597C4C"/>
    <w:rsid w:val="00597CFF"/>
    <w:rsid w:val="00597D35"/>
    <w:rsid w:val="00597DCC"/>
    <w:rsid w:val="005A0A90"/>
    <w:rsid w:val="005A0D21"/>
    <w:rsid w:val="005A1165"/>
    <w:rsid w:val="005A183A"/>
    <w:rsid w:val="005A218C"/>
    <w:rsid w:val="005A397E"/>
    <w:rsid w:val="005A3ED3"/>
    <w:rsid w:val="005A4A36"/>
    <w:rsid w:val="005A6D6D"/>
    <w:rsid w:val="005A7264"/>
    <w:rsid w:val="005A7D6C"/>
    <w:rsid w:val="005B05CC"/>
    <w:rsid w:val="005B1513"/>
    <w:rsid w:val="005B1601"/>
    <w:rsid w:val="005B1A78"/>
    <w:rsid w:val="005B1ABA"/>
    <w:rsid w:val="005B2A0B"/>
    <w:rsid w:val="005B31FF"/>
    <w:rsid w:val="005B40B9"/>
    <w:rsid w:val="005B4CFC"/>
    <w:rsid w:val="005B4D18"/>
    <w:rsid w:val="005B5010"/>
    <w:rsid w:val="005B58B0"/>
    <w:rsid w:val="005B6E0D"/>
    <w:rsid w:val="005B6E50"/>
    <w:rsid w:val="005C0298"/>
    <w:rsid w:val="005C0769"/>
    <w:rsid w:val="005C144E"/>
    <w:rsid w:val="005C1C1D"/>
    <w:rsid w:val="005C1C86"/>
    <w:rsid w:val="005C1EB5"/>
    <w:rsid w:val="005C1F0D"/>
    <w:rsid w:val="005C211C"/>
    <w:rsid w:val="005C2A25"/>
    <w:rsid w:val="005C3604"/>
    <w:rsid w:val="005C360A"/>
    <w:rsid w:val="005C5C63"/>
    <w:rsid w:val="005C5D30"/>
    <w:rsid w:val="005C5E79"/>
    <w:rsid w:val="005C6391"/>
    <w:rsid w:val="005C6953"/>
    <w:rsid w:val="005C6F89"/>
    <w:rsid w:val="005C7346"/>
    <w:rsid w:val="005C7BE9"/>
    <w:rsid w:val="005C7DEA"/>
    <w:rsid w:val="005C7EE9"/>
    <w:rsid w:val="005C7F98"/>
    <w:rsid w:val="005D0034"/>
    <w:rsid w:val="005D0A12"/>
    <w:rsid w:val="005D0B36"/>
    <w:rsid w:val="005D0CA1"/>
    <w:rsid w:val="005D221C"/>
    <w:rsid w:val="005D2A43"/>
    <w:rsid w:val="005D2BF0"/>
    <w:rsid w:val="005D4793"/>
    <w:rsid w:val="005D512D"/>
    <w:rsid w:val="005D5D25"/>
    <w:rsid w:val="005D5E6C"/>
    <w:rsid w:val="005D609E"/>
    <w:rsid w:val="005D6703"/>
    <w:rsid w:val="005D6EA0"/>
    <w:rsid w:val="005D76DE"/>
    <w:rsid w:val="005D78DF"/>
    <w:rsid w:val="005E0AD6"/>
    <w:rsid w:val="005E0D03"/>
    <w:rsid w:val="005E276C"/>
    <w:rsid w:val="005E299C"/>
    <w:rsid w:val="005E3188"/>
    <w:rsid w:val="005E40B5"/>
    <w:rsid w:val="005E44F4"/>
    <w:rsid w:val="005E49C3"/>
    <w:rsid w:val="005E4BD7"/>
    <w:rsid w:val="005E55F1"/>
    <w:rsid w:val="005E5FB3"/>
    <w:rsid w:val="005E6603"/>
    <w:rsid w:val="005E76E2"/>
    <w:rsid w:val="005E7AB3"/>
    <w:rsid w:val="005E7B36"/>
    <w:rsid w:val="005E7C9F"/>
    <w:rsid w:val="005F02E6"/>
    <w:rsid w:val="005F0E82"/>
    <w:rsid w:val="005F10F1"/>
    <w:rsid w:val="005F16EE"/>
    <w:rsid w:val="005F1911"/>
    <w:rsid w:val="005F1EB7"/>
    <w:rsid w:val="005F2CBA"/>
    <w:rsid w:val="005F3216"/>
    <w:rsid w:val="005F3BE4"/>
    <w:rsid w:val="005F4DFE"/>
    <w:rsid w:val="005F4EF9"/>
    <w:rsid w:val="005F5815"/>
    <w:rsid w:val="005F5E22"/>
    <w:rsid w:val="00600309"/>
    <w:rsid w:val="00600AB1"/>
    <w:rsid w:val="00600C56"/>
    <w:rsid w:val="006015AE"/>
    <w:rsid w:val="006017B1"/>
    <w:rsid w:val="00603424"/>
    <w:rsid w:val="00604601"/>
    <w:rsid w:val="00604BA9"/>
    <w:rsid w:val="00605749"/>
    <w:rsid w:val="0060582D"/>
    <w:rsid w:val="0060685F"/>
    <w:rsid w:val="00606C14"/>
    <w:rsid w:val="00607066"/>
    <w:rsid w:val="00607197"/>
    <w:rsid w:val="00607A16"/>
    <w:rsid w:val="006109F8"/>
    <w:rsid w:val="00611350"/>
    <w:rsid w:val="00614674"/>
    <w:rsid w:val="006147EA"/>
    <w:rsid w:val="00615124"/>
    <w:rsid w:val="00615417"/>
    <w:rsid w:val="0061642C"/>
    <w:rsid w:val="0061683B"/>
    <w:rsid w:val="006168DF"/>
    <w:rsid w:val="0061764F"/>
    <w:rsid w:val="00617BCF"/>
    <w:rsid w:val="0062001A"/>
    <w:rsid w:val="0062022C"/>
    <w:rsid w:val="006209B5"/>
    <w:rsid w:val="006211F4"/>
    <w:rsid w:val="006216D6"/>
    <w:rsid w:val="00623075"/>
    <w:rsid w:val="006235B8"/>
    <w:rsid w:val="00623784"/>
    <w:rsid w:val="00623910"/>
    <w:rsid w:val="00624A27"/>
    <w:rsid w:val="00624D74"/>
    <w:rsid w:val="0062632D"/>
    <w:rsid w:val="00626673"/>
    <w:rsid w:val="0062716D"/>
    <w:rsid w:val="00627AF2"/>
    <w:rsid w:val="0063049F"/>
    <w:rsid w:val="006316AB"/>
    <w:rsid w:val="0063248E"/>
    <w:rsid w:val="00632DBF"/>
    <w:rsid w:val="00632F94"/>
    <w:rsid w:val="0063332B"/>
    <w:rsid w:val="0063468D"/>
    <w:rsid w:val="00634F0A"/>
    <w:rsid w:val="00635BF2"/>
    <w:rsid w:val="00635F2E"/>
    <w:rsid w:val="0063632F"/>
    <w:rsid w:val="006364F2"/>
    <w:rsid w:val="00636568"/>
    <w:rsid w:val="00637F3D"/>
    <w:rsid w:val="00640E38"/>
    <w:rsid w:val="00641F0E"/>
    <w:rsid w:val="00642C94"/>
    <w:rsid w:val="00643B20"/>
    <w:rsid w:val="00643CBB"/>
    <w:rsid w:val="00643D3D"/>
    <w:rsid w:val="00644564"/>
    <w:rsid w:val="00645280"/>
    <w:rsid w:val="006453EB"/>
    <w:rsid w:val="006455B1"/>
    <w:rsid w:val="00646C4D"/>
    <w:rsid w:val="006472C9"/>
    <w:rsid w:val="00650C56"/>
    <w:rsid w:val="00650EEE"/>
    <w:rsid w:val="006519C8"/>
    <w:rsid w:val="00652858"/>
    <w:rsid w:val="00653956"/>
    <w:rsid w:val="00653A54"/>
    <w:rsid w:val="00653D25"/>
    <w:rsid w:val="00654BED"/>
    <w:rsid w:val="00654C73"/>
    <w:rsid w:val="0065535B"/>
    <w:rsid w:val="006558DC"/>
    <w:rsid w:val="00656B27"/>
    <w:rsid w:val="00656E29"/>
    <w:rsid w:val="00657F8B"/>
    <w:rsid w:val="00660401"/>
    <w:rsid w:val="0066080A"/>
    <w:rsid w:val="00660C62"/>
    <w:rsid w:val="00660E9C"/>
    <w:rsid w:val="0066181D"/>
    <w:rsid w:val="006618FC"/>
    <w:rsid w:val="00663D00"/>
    <w:rsid w:val="00663E86"/>
    <w:rsid w:val="00665020"/>
    <w:rsid w:val="0066554A"/>
    <w:rsid w:val="006661DB"/>
    <w:rsid w:val="00667BF7"/>
    <w:rsid w:val="00671163"/>
    <w:rsid w:val="00671B7E"/>
    <w:rsid w:val="00671E5B"/>
    <w:rsid w:val="006721D5"/>
    <w:rsid w:val="00673FA5"/>
    <w:rsid w:val="00674433"/>
    <w:rsid w:val="006748B8"/>
    <w:rsid w:val="006749DA"/>
    <w:rsid w:val="00674FF4"/>
    <w:rsid w:val="00675A56"/>
    <w:rsid w:val="00675E5E"/>
    <w:rsid w:val="006767BC"/>
    <w:rsid w:val="00676AB2"/>
    <w:rsid w:val="00677E52"/>
    <w:rsid w:val="0068160A"/>
    <w:rsid w:val="00681A9F"/>
    <w:rsid w:val="00681D75"/>
    <w:rsid w:val="0068221D"/>
    <w:rsid w:val="0068242E"/>
    <w:rsid w:val="006832FF"/>
    <w:rsid w:val="00683C18"/>
    <w:rsid w:val="00684BAF"/>
    <w:rsid w:val="006858CC"/>
    <w:rsid w:val="0069032B"/>
    <w:rsid w:val="00690BCA"/>
    <w:rsid w:val="006924F7"/>
    <w:rsid w:val="00692778"/>
    <w:rsid w:val="00692AEF"/>
    <w:rsid w:val="00694413"/>
    <w:rsid w:val="006944EE"/>
    <w:rsid w:val="00694DD1"/>
    <w:rsid w:val="006950B1"/>
    <w:rsid w:val="00696359"/>
    <w:rsid w:val="006965FF"/>
    <w:rsid w:val="0069682A"/>
    <w:rsid w:val="00696EBB"/>
    <w:rsid w:val="006A135A"/>
    <w:rsid w:val="006A198D"/>
    <w:rsid w:val="006A1F10"/>
    <w:rsid w:val="006A4A71"/>
    <w:rsid w:val="006A4D4E"/>
    <w:rsid w:val="006A5343"/>
    <w:rsid w:val="006A6561"/>
    <w:rsid w:val="006A658D"/>
    <w:rsid w:val="006A6AC4"/>
    <w:rsid w:val="006A6AE3"/>
    <w:rsid w:val="006A6E11"/>
    <w:rsid w:val="006A70E4"/>
    <w:rsid w:val="006A7B93"/>
    <w:rsid w:val="006B0693"/>
    <w:rsid w:val="006B1324"/>
    <w:rsid w:val="006B1A9D"/>
    <w:rsid w:val="006B1B38"/>
    <w:rsid w:val="006B255B"/>
    <w:rsid w:val="006B42B2"/>
    <w:rsid w:val="006B4773"/>
    <w:rsid w:val="006B4CCA"/>
    <w:rsid w:val="006B55B6"/>
    <w:rsid w:val="006B630A"/>
    <w:rsid w:val="006B7BFE"/>
    <w:rsid w:val="006B7C24"/>
    <w:rsid w:val="006C065C"/>
    <w:rsid w:val="006C0F91"/>
    <w:rsid w:val="006C1011"/>
    <w:rsid w:val="006C1577"/>
    <w:rsid w:val="006C1A37"/>
    <w:rsid w:val="006C1FB2"/>
    <w:rsid w:val="006C22D5"/>
    <w:rsid w:val="006C362D"/>
    <w:rsid w:val="006C398F"/>
    <w:rsid w:val="006C3E5D"/>
    <w:rsid w:val="006C4401"/>
    <w:rsid w:val="006C48E1"/>
    <w:rsid w:val="006C5ACD"/>
    <w:rsid w:val="006C5BB1"/>
    <w:rsid w:val="006C6300"/>
    <w:rsid w:val="006D1031"/>
    <w:rsid w:val="006D1036"/>
    <w:rsid w:val="006D1544"/>
    <w:rsid w:val="006D186D"/>
    <w:rsid w:val="006D36B7"/>
    <w:rsid w:val="006D3A49"/>
    <w:rsid w:val="006D51D1"/>
    <w:rsid w:val="006D5948"/>
    <w:rsid w:val="006D686D"/>
    <w:rsid w:val="006D75D6"/>
    <w:rsid w:val="006D7F8F"/>
    <w:rsid w:val="006E16F1"/>
    <w:rsid w:val="006E1E6F"/>
    <w:rsid w:val="006E224A"/>
    <w:rsid w:val="006E269D"/>
    <w:rsid w:val="006E359B"/>
    <w:rsid w:val="006E3797"/>
    <w:rsid w:val="006E3C07"/>
    <w:rsid w:val="006E4C79"/>
    <w:rsid w:val="006E75BF"/>
    <w:rsid w:val="006F0296"/>
    <w:rsid w:val="006F09B5"/>
    <w:rsid w:val="006F0C88"/>
    <w:rsid w:val="006F1349"/>
    <w:rsid w:val="006F1A60"/>
    <w:rsid w:val="006F1E6F"/>
    <w:rsid w:val="006F201F"/>
    <w:rsid w:val="006F2124"/>
    <w:rsid w:val="006F2A71"/>
    <w:rsid w:val="006F2C03"/>
    <w:rsid w:val="006F4264"/>
    <w:rsid w:val="006F48B3"/>
    <w:rsid w:val="006F48B8"/>
    <w:rsid w:val="006F4ACE"/>
    <w:rsid w:val="006F4D2F"/>
    <w:rsid w:val="006F4D94"/>
    <w:rsid w:val="006F51EA"/>
    <w:rsid w:val="006F553C"/>
    <w:rsid w:val="006F5924"/>
    <w:rsid w:val="006F6258"/>
    <w:rsid w:val="006F65E1"/>
    <w:rsid w:val="006F7AC8"/>
    <w:rsid w:val="006F7CFD"/>
    <w:rsid w:val="006F7F8E"/>
    <w:rsid w:val="00700690"/>
    <w:rsid w:val="007007EB"/>
    <w:rsid w:val="00700D60"/>
    <w:rsid w:val="007011D8"/>
    <w:rsid w:val="00701552"/>
    <w:rsid w:val="00701B96"/>
    <w:rsid w:val="00702F3B"/>
    <w:rsid w:val="00703A5D"/>
    <w:rsid w:val="00703D52"/>
    <w:rsid w:val="00704FDE"/>
    <w:rsid w:val="00705448"/>
    <w:rsid w:val="0070556B"/>
    <w:rsid w:val="00706E18"/>
    <w:rsid w:val="007070B9"/>
    <w:rsid w:val="007102C3"/>
    <w:rsid w:val="007106B9"/>
    <w:rsid w:val="00711512"/>
    <w:rsid w:val="007115FB"/>
    <w:rsid w:val="007116BE"/>
    <w:rsid w:val="0071200E"/>
    <w:rsid w:val="007122EC"/>
    <w:rsid w:val="00713CD3"/>
    <w:rsid w:val="00714504"/>
    <w:rsid w:val="00714C61"/>
    <w:rsid w:val="00714D37"/>
    <w:rsid w:val="00715978"/>
    <w:rsid w:val="007165A8"/>
    <w:rsid w:val="007173F3"/>
    <w:rsid w:val="0071742A"/>
    <w:rsid w:val="007206A9"/>
    <w:rsid w:val="00720E16"/>
    <w:rsid w:val="007213D5"/>
    <w:rsid w:val="00721510"/>
    <w:rsid w:val="007226E6"/>
    <w:rsid w:val="00723FA0"/>
    <w:rsid w:val="00724C2D"/>
    <w:rsid w:val="00725C2A"/>
    <w:rsid w:val="00730A73"/>
    <w:rsid w:val="00730E8F"/>
    <w:rsid w:val="00730EF2"/>
    <w:rsid w:val="00731477"/>
    <w:rsid w:val="00731866"/>
    <w:rsid w:val="00731D48"/>
    <w:rsid w:val="00733D9F"/>
    <w:rsid w:val="00733F2C"/>
    <w:rsid w:val="00734484"/>
    <w:rsid w:val="00734DBD"/>
    <w:rsid w:val="00734DF0"/>
    <w:rsid w:val="007350E1"/>
    <w:rsid w:val="0073524D"/>
    <w:rsid w:val="0073585A"/>
    <w:rsid w:val="007358C5"/>
    <w:rsid w:val="00736AC6"/>
    <w:rsid w:val="00740F21"/>
    <w:rsid w:val="007410E0"/>
    <w:rsid w:val="00742076"/>
    <w:rsid w:val="00744413"/>
    <w:rsid w:val="007450D1"/>
    <w:rsid w:val="00745136"/>
    <w:rsid w:val="00745A15"/>
    <w:rsid w:val="00745DD2"/>
    <w:rsid w:val="00746193"/>
    <w:rsid w:val="00747723"/>
    <w:rsid w:val="00750724"/>
    <w:rsid w:val="00750B33"/>
    <w:rsid w:val="00751354"/>
    <w:rsid w:val="0075433E"/>
    <w:rsid w:val="0075471D"/>
    <w:rsid w:val="00756909"/>
    <w:rsid w:val="00756A7B"/>
    <w:rsid w:val="0076020B"/>
    <w:rsid w:val="00760D10"/>
    <w:rsid w:val="007610F6"/>
    <w:rsid w:val="00761495"/>
    <w:rsid w:val="00762108"/>
    <w:rsid w:val="0076252C"/>
    <w:rsid w:val="0076353C"/>
    <w:rsid w:val="00763ECA"/>
    <w:rsid w:val="00764834"/>
    <w:rsid w:val="00764DE5"/>
    <w:rsid w:val="00766186"/>
    <w:rsid w:val="00766816"/>
    <w:rsid w:val="00766C3A"/>
    <w:rsid w:val="007679BC"/>
    <w:rsid w:val="007708FA"/>
    <w:rsid w:val="00770C57"/>
    <w:rsid w:val="00770E38"/>
    <w:rsid w:val="00772424"/>
    <w:rsid w:val="00774C3A"/>
    <w:rsid w:val="007751DE"/>
    <w:rsid w:val="007752FA"/>
    <w:rsid w:val="00775A06"/>
    <w:rsid w:val="00776AF1"/>
    <w:rsid w:val="00777AE5"/>
    <w:rsid w:val="00777B85"/>
    <w:rsid w:val="0078133D"/>
    <w:rsid w:val="00781755"/>
    <w:rsid w:val="00781E34"/>
    <w:rsid w:val="0078281D"/>
    <w:rsid w:val="00782E06"/>
    <w:rsid w:val="0078348C"/>
    <w:rsid w:val="0078481B"/>
    <w:rsid w:val="00785785"/>
    <w:rsid w:val="00785AE8"/>
    <w:rsid w:val="00787358"/>
    <w:rsid w:val="007906E4"/>
    <w:rsid w:val="007911C3"/>
    <w:rsid w:val="00791B72"/>
    <w:rsid w:val="00791DED"/>
    <w:rsid w:val="00792AA8"/>
    <w:rsid w:val="00793831"/>
    <w:rsid w:val="00793AAE"/>
    <w:rsid w:val="00794972"/>
    <w:rsid w:val="00794ED2"/>
    <w:rsid w:val="007955AF"/>
    <w:rsid w:val="00795C5A"/>
    <w:rsid w:val="00796316"/>
    <w:rsid w:val="00796A86"/>
    <w:rsid w:val="00796BB1"/>
    <w:rsid w:val="00796EE7"/>
    <w:rsid w:val="00797022"/>
    <w:rsid w:val="007973F4"/>
    <w:rsid w:val="00797A43"/>
    <w:rsid w:val="007A0105"/>
    <w:rsid w:val="007A13D9"/>
    <w:rsid w:val="007A14A9"/>
    <w:rsid w:val="007A193D"/>
    <w:rsid w:val="007A2AFC"/>
    <w:rsid w:val="007A3ABE"/>
    <w:rsid w:val="007A4CB0"/>
    <w:rsid w:val="007A4E5B"/>
    <w:rsid w:val="007A4F21"/>
    <w:rsid w:val="007A5ABC"/>
    <w:rsid w:val="007A5B52"/>
    <w:rsid w:val="007A60F8"/>
    <w:rsid w:val="007A62C3"/>
    <w:rsid w:val="007B07C4"/>
    <w:rsid w:val="007B2FD4"/>
    <w:rsid w:val="007B332C"/>
    <w:rsid w:val="007B341B"/>
    <w:rsid w:val="007B3C86"/>
    <w:rsid w:val="007B4102"/>
    <w:rsid w:val="007B4296"/>
    <w:rsid w:val="007B651A"/>
    <w:rsid w:val="007B6648"/>
    <w:rsid w:val="007B6669"/>
    <w:rsid w:val="007C167E"/>
    <w:rsid w:val="007C2816"/>
    <w:rsid w:val="007C311B"/>
    <w:rsid w:val="007C33E7"/>
    <w:rsid w:val="007C462E"/>
    <w:rsid w:val="007C466E"/>
    <w:rsid w:val="007C506B"/>
    <w:rsid w:val="007C560F"/>
    <w:rsid w:val="007C646F"/>
    <w:rsid w:val="007C6C90"/>
    <w:rsid w:val="007C6FD5"/>
    <w:rsid w:val="007C7B86"/>
    <w:rsid w:val="007C7BCE"/>
    <w:rsid w:val="007C7EF7"/>
    <w:rsid w:val="007D00DF"/>
    <w:rsid w:val="007D0986"/>
    <w:rsid w:val="007D0D32"/>
    <w:rsid w:val="007D1D43"/>
    <w:rsid w:val="007D3238"/>
    <w:rsid w:val="007D3AE2"/>
    <w:rsid w:val="007D4DFE"/>
    <w:rsid w:val="007D5125"/>
    <w:rsid w:val="007D5177"/>
    <w:rsid w:val="007D59A7"/>
    <w:rsid w:val="007D5BAE"/>
    <w:rsid w:val="007D698B"/>
    <w:rsid w:val="007D6C9D"/>
    <w:rsid w:val="007D7808"/>
    <w:rsid w:val="007D7BB6"/>
    <w:rsid w:val="007E0365"/>
    <w:rsid w:val="007E0FB6"/>
    <w:rsid w:val="007E1283"/>
    <w:rsid w:val="007E1469"/>
    <w:rsid w:val="007E1E16"/>
    <w:rsid w:val="007E243E"/>
    <w:rsid w:val="007E28A1"/>
    <w:rsid w:val="007E2EC7"/>
    <w:rsid w:val="007E3841"/>
    <w:rsid w:val="007E41C7"/>
    <w:rsid w:val="007E41FC"/>
    <w:rsid w:val="007E4AFA"/>
    <w:rsid w:val="007E4E7F"/>
    <w:rsid w:val="007E5D35"/>
    <w:rsid w:val="007E7DFE"/>
    <w:rsid w:val="007F0AC0"/>
    <w:rsid w:val="007F0D4D"/>
    <w:rsid w:val="007F195A"/>
    <w:rsid w:val="007F1AA8"/>
    <w:rsid w:val="007F1B08"/>
    <w:rsid w:val="007F1F02"/>
    <w:rsid w:val="007F26AC"/>
    <w:rsid w:val="007F2B4E"/>
    <w:rsid w:val="007F365C"/>
    <w:rsid w:val="007F3B9C"/>
    <w:rsid w:val="007F52A6"/>
    <w:rsid w:val="007F554C"/>
    <w:rsid w:val="007F5789"/>
    <w:rsid w:val="007F5BD4"/>
    <w:rsid w:val="007F5BDF"/>
    <w:rsid w:val="007F5F4C"/>
    <w:rsid w:val="007F68DA"/>
    <w:rsid w:val="007F6F58"/>
    <w:rsid w:val="008004E7"/>
    <w:rsid w:val="00800E56"/>
    <w:rsid w:val="00801663"/>
    <w:rsid w:val="00801786"/>
    <w:rsid w:val="008025D9"/>
    <w:rsid w:val="0080276C"/>
    <w:rsid w:val="00802983"/>
    <w:rsid w:val="00802D65"/>
    <w:rsid w:val="00803359"/>
    <w:rsid w:val="00803BE4"/>
    <w:rsid w:val="00803D75"/>
    <w:rsid w:val="00804725"/>
    <w:rsid w:val="008048DD"/>
    <w:rsid w:val="00804C09"/>
    <w:rsid w:val="008057E8"/>
    <w:rsid w:val="008060C8"/>
    <w:rsid w:val="00806C03"/>
    <w:rsid w:val="00810CC5"/>
    <w:rsid w:val="00810F5C"/>
    <w:rsid w:val="008116EB"/>
    <w:rsid w:val="008118D8"/>
    <w:rsid w:val="00812333"/>
    <w:rsid w:val="00812455"/>
    <w:rsid w:val="00812723"/>
    <w:rsid w:val="00813620"/>
    <w:rsid w:val="0081394A"/>
    <w:rsid w:val="00813B02"/>
    <w:rsid w:val="0081488C"/>
    <w:rsid w:val="00814A6A"/>
    <w:rsid w:val="00814ED4"/>
    <w:rsid w:val="008152E3"/>
    <w:rsid w:val="00815397"/>
    <w:rsid w:val="0081557C"/>
    <w:rsid w:val="008159B1"/>
    <w:rsid w:val="00815C4D"/>
    <w:rsid w:val="00816CEC"/>
    <w:rsid w:val="00820282"/>
    <w:rsid w:val="00820316"/>
    <w:rsid w:val="00820651"/>
    <w:rsid w:val="0082117F"/>
    <w:rsid w:val="00822AD1"/>
    <w:rsid w:val="008239EA"/>
    <w:rsid w:val="00824DBF"/>
    <w:rsid w:val="00825109"/>
    <w:rsid w:val="0082619C"/>
    <w:rsid w:val="00826959"/>
    <w:rsid w:val="0082698A"/>
    <w:rsid w:val="00826FFE"/>
    <w:rsid w:val="008303D7"/>
    <w:rsid w:val="0083082E"/>
    <w:rsid w:val="00830E68"/>
    <w:rsid w:val="00831126"/>
    <w:rsid w:val="00831392"/>
    <w:rsid w:val="008314C5"/>
    <w:rsid w:val="00831A0D"/>
    <w:rsid w:val="0083440D"/>
    <w:rsid w:val="0083561E"/>
    <w:rsid w:val="008364F3"/>
    <w:rsid w:val="00836AD2"/>
    <w:rsid w:val="008375CC"/>
    <w:rsid w:val="00840D31"/>
    <w:rsid w:val="00841268"/>
    <w:rsid w:val="008413ED"/>
    <w:rsid w:val="008415CC"/>
    <w:rsid w:val="00842862"/>
    <w:rsid w:val="00843C44"/>
    <w:rsid w:val="00843D57"/>
    <w:rsid w:val="00844A64"/>
    <w:rsid w:val="00845199"/>
    <w:rsid w:val="00846773"/>
    <w:rsid w:val="00846A8E"/>
    <w:rsid w:val="00847DFE"/>
    <w:rsid w:val="008503B2"/>
    <w:rsid w:val="00851111"/>
    <w:rsid w:val="008525CF"/>
    <w:rsid w:val="008527BD"/>
    <w:rsid w:val="00853ABB"/>
    <w:rsid w:val="008542CC"/>
    <w:rsid w:val="00854AAF"/>
    <w:rsid w:val="008570A5"/>
    <w:rsid w:val="00857489"/>
    <w:rsid w:val="00857DE1"/>
    <w:rsid w:val="0086010B"/>
    <w:rsid w:val="00860973"/>
    <w:rsid w:val="00860B77"/>
    <w:rsid w:val="00860DB7"/>
    <w:rsid w:val="0086183E"/>
    <w:rsid w:val="00861A3C"/>
    <w:rsid w:val="00861E4E"/>
    <w:rsid w:val="0086287A"/>
    <w:rsid w:val="00863C1C"/>
    <w:rsid w:val="008644AC"/>
    <w:rsid w:val="008648B5"/>
    <w:rsid w:val="00864B8D"/>
    <w:rsid w:val="00865A78"/>
    <w:rsid w:val="00865FC2"/>
    <w:rsid w:val="00866388"/>
    <w:rsid w:val="0086641A"/>
    <w:rsid w:val="008669BC"/>
    <w:rsid w:val="00867AEF"/>
    <w:rsid w:val="00867E06"/>
    <w:rsid w:val="00867F68"/>
    <w:rsid w:val="00870278"/>
    <w:rsid w:val="008707A9"/>
    <w:rsid w:val="008716D7"/>
    <w:rsid w:val="00871795"/>
    <w:rsid w:val="00871FBB"/>
    <w:rsid w:val="00872B13"/>
    <w:rsid w:val="00873122"/>
    <w:rsid w:val="008732D2"/>
    <w:rsid w:val="008732E9"/>
    <w:rsid w:val="008737D3"/>
    <w:rsid w:val="00873E0E"/>
    <w:rsid w:val="00874DC3"/>
    <w:rsid w:val="008762AF"/>
    <w:rsid w:val="00877551"/>
    <w:rsid w:val="00877CBF"/>
    <w:rsid w:val="00880A8B"/>
    <w:rsid w:val="00881936"/>
    <w:rsid w:val="00881D5D"/>
    <w:rsid w:val="00881EA4"/>
    <w:rsid w:val="0088211B"/>
    <w:rsid w:val="00882BDD"/>
    <w:rsid w:val="00882D53"/>
    <w:rsid w:val="00883437"/>
    <w:rsid w:val="008834C5"/>
    <w:rsid w:val="00883B58"/>
    <w:rsid w:val="00883C24"/>
    <w:rsid w:val="008853F8"/>
    <w:rsid w:val="00885D7A"/>
    <w:rsid w:val="008865C3"/>
    <w:rsid w:val="0088718C"/>
    <w:rsid w:val="008913BD"/>
    <w:rsid w:val="008915BA"/>
    <w:rsid w:val="00892E98"/>
    <w:rsid w:val="00893326"/>
    <w:rsid w:val="008953BD"/>
    <w:rsid w:val="0089589A"/>
    <w:rsid w:val="00895F7F"/>
    <w:rsid w:val="0089633C"/>
    <w:rsid w:val="008967E9"/>
    <w:rsid w:val="00896E45"/>
    <w:rsid w:val="008A1E2A"/>
    <w:rsid w:val="008A2D28"/>
    <w:rsid w:val="008A2D47"/>
    <w:rsid w:val="008A3499"/>
    <w:rsid w:val="008A42C3"/>
    <w:rsid w:val="008A4628"/>
    <w:rsid w:val="008A485A"/>
    <w:rsid w:val="008A5359"/>
    <w:rsid w:val="008A5B73"/>
    <w:rsid w:val="008A71BC"/>
    <w:rsid w:val="008B04C8"/>
    <w:rsid w:val="008B09E3"/>
    <w:rsid w:val="008B0F12"/>
    <w:rsid w:val="008B1673"/>
    <w:rsid w:val="008B19D7"/>
    <w:rsid w:val="008B2641"/>
    <w:rsid w:val="008B2718"/>
    <w:rsid w:val="008B2E4D"/>
    <w:rsid w:val="008B317B"/>
    <w:rsid w:val="008B47CB"/>
    <w:rsid w:val="008B489A"/>
    <w:rsid w:val="008B5754"/>
    <w:rsid w:val="008B607A"/>
    <w:rsid w:val="008B68D2"/>
    <w:rsid w:val="008B6A47"/>
    <w:rsid w:val="008B6A6C"/>
    <w:rsid w:val="008B7053"/>
    <w:rsid w:val="008B7136"/>
    <w:rsid w:val="008C15BB"/>
    <w:rsid w:val="008C1A0D"/>
    <w:rsid w:val="008C2593"/>
    <w:rsid w:val="008C28E5"/>
    <w:rsid w:val="008C2CCF"/>
    <w:rsid w:val="008C3B99"/>
    <w:rsid w:val="008C3E89"/>
    <w:rsid w:val="008C494C"/>
    <w:rsid w:val="008C4E5F"/>
    <w:rsid w:val="008C6884"/>
    <w:rsid w:val="008C6886"/>
    <w:rsid w:val="008C6C82"/>
    <w:rsid w:val="008D01FB"/>
    <w:rsid w:val="008D15F7"/>
    <w:rsid w:val="008D1FDE"/>
    <w:rsid w:val="008D272B"/>
    <w:rsid w:val="008D351D"/>
    <w:rsid w:val="008D51B1"/>
    <w:rsid w:val="008D6405"/>
    <w:rsid w:val="008D674B"/>
    <w:rsid w:val="008E06A7"/>
    <w:rsid w:val="008E1016"/>
    <w:rsid w:val="008E1BBE"/>
    <w:rsid w:val="008E1C45"/>
    <w:rsid w:val="008E242E"/>
    <w:rsid w:val="008E366D"/>
    <w:rsid w:val="008E4301"/>
    <w:rsid w:val="008E476E"/>
    <w:rsid w:val="008E647B"/>
    <w:rsid w:val="008E6B02"/>
    <w:rsid w:val="008E7B61"/>
    <w:rsid w:val="008F0143"/>
    <w:rsid w:val="008F15DC"/>
    <w:rsid w:val="008F1AD1"/>
    <w:rsid w:val="008F1D4F"/>
    <w:rsid w:val="008F2251"/>
    <w:rsid w:val="008F2F5C"/>
    <w:rsid w:val="008F37C9"/>
    <w:rsid w:val="008F3AE2"/>
    <w:rsid w:val="008F439E"/>
    <w:rsid w:val="008F4BFB"/>
    <w:rsid w:val="008F52BE"/>
    <w:rsid w:val="008F5708"/>
    <w:rsid w:val="008F57D5"/>
    <w:rsid w:val="008F6221"/>
    <w:rsid w:val="008F6A50"/>
    <w:rsid w:val="008F6D51"/>
    <w:rsid w:val="008F6DBC"/>
    <w:rsid w:val="008F722B"/>
    <w:rsid w:val="008F777B"/>
    <w:rsid w:val="008F7CCE"/>
    <w:rsid w:val="009020BA"/>
    <w:rsid w:val="00904A3C"/>
    <w:rsid w:val="00904BA0"/>
    <w:rsid w:val="00905434"/>
    <w:rsid w:val="009064E2"/>
    <w:rsid w:val="00906AED"/>
    <w:rsid w:val="00906BD9"/>
    <w:rsid w:val="00906CD8"/>
    <w:rsid w:val="009072FC"/>
    <w:rsid w:val="00907493"/>
    <w:rsid w:val="009077C7"/>
    <w:rsid w:val="00907D66"/>
    <w:rsid w:val="00907E18"/>
    <w:rsid w:val="009109BB"/>
    <w:rsid w:val="00910BED"/>
    <w:rsid w:val="00910C09"/>
    <w:rsid w:val="00911F24"/>
    <w:rsid w:val="0091220E"/>
    <w:rsid w:val="00912711"/>
    <w:rsid w:val="00913162"/>
    <w:rsid w:val="0091465A"/>
    <w:rsid w:val="009157F0"/>
    <w:rsid w:val="00915A12"/>
    <w:rsid w:val="00916EA1"/>
    <w:rsid w:val="0091700E"/>
    <w:rsid w:val="00920061"/>
    <w:rsid w:val="00920216"/>
    <w:rsid w:val="00920463"/>
    <w:rsid w:val="00920A93"/>
    <w:rsid w:val="00921A12"/>
    <w:rsid w:val="00922D02"/>
    <w:rsid w:val="00922F98"/>
    <w:rsid w:val="009231E5"/>
    <w:rsid w:val="009238C7"/>
    <w:rsid w:val="0092394F"/>
    <w:rsid w:val="00923B15"/>
    <w:rsid w:val="00923C6F"/>
    <w:rsid w:val="00923D68"/>
    <w:rsid w:val="0092432E"/>
    <w:rsid w:val="009245CA"/>
    <w:rsid w:val="009248BD"/>
    <w:rsid w:val="00924CDE"/>
    <w:rsid w:val="00926633"/>
    <w:rsid w:val="009269DA"/>
    <w:rsid w:val="00926E4D"/>
    <w:rsid w:val="00927F3E"/>
    <w:rsid w:val="009307D4"/>
    <w:rsid w:val="00930C22"/>
    <w:rsid w:val="00931001"/>
    <w:rsid w:val="009314A3"/>
    <w:rsid w:val="00932720"/>
    <w:rsid w:val="00933477"/>
    <w:rsid w:val="0093352D"/>
    <w:rsid w:val="0093372C"/>
    <w:rsid w:val="00934A4C"/>
    <w:rsid w:val="00934ADE"/>
    <w:rsid w:val="009352D8"/>
    <w:rsid w:val="009364B3"/>
    <w:rsid w:val="00936CE4"/>
    <w:rsid w:val="00936E15"/>
    <w:rsid w:val="009376FF"/>
    <w:rsid w:val="00940185"/>
    <w:rsid w:val="009402EE"/>
    <w:rsid w:val="00940520"/>
    <w:rsid w:val="009405A0"/>
    <w:rsid w:val="00940BCD"/>
    <w:rsid w:val="00941279"/>
    <w:rsid w:val="009413D9"/>
    <w:rsid w:val="00944230"/>
    <w:rsid w:val="00944A48"/>
    <w:rsid w:val="00944AF5"/>
    <w:rsid w:val="009457F4"/>
    <w:rsid w:val="00945F53"/>
    <w:rsid w:val="009462D5"/>
    <w:rsid w:val="00946A7D"/>
    <w:rsid w:val="0095194D"/>
    <w:rsid w:val="00953EB6"/>
    <w:rsid w:val="0095456C"/>
    <w:rsid w:val="009546BC"/>
    <w:rsid w:val="009547B3"/>
    <w:rsid w:val="00954F45"/>
    <w:rsid w:val="009565B5"/>
    <w:rsid w:val="009566E8"/>
    <w:rsid w:val="00956905"/>
    <w:rsid w:val="009571E9"/>
    <w:rsid w:val="00957429"/>
    <w:rsid w:val="00957A32"/>
    <w:rsid w:val="00957C61"/>
    <w:rsid w:val="00957D79"/>
    <w:rsid w:val="00960BC5"/>
    <w:rsid w:val="009614C6"/>
    <w:rsid w:val="009617F0"/>
    <w:rsid w:val="009623C7"/>
    <w:rsid w:val="00962BFB"/>
    <w:rsid w:val="00962E1C"/>
    <w:rsid w:val="00962F37"/>
    <w:rsid w:val="0096349D"/>
    <w:rsid w:val="009636B2"/>
    <w:rsid w:val="00964954"/>
    <w:rsid w:val="00965042"/>
    <w:rsid w:val="00965385"/>
    <w:rsid w:val="00966237"/>
    <w:rsid w:val="009667DE"/>
    <w:rsid w:val="00966DEC"/>
    <w:rsid w:val="00972441"/>
    <w:rsid w:val="009732C7"/>
    <w:rsid w:val="0097633C"/>
    <w:rsid w:val="0097673B"/>
    <w:rsid w:val="009776AE"/>
    <w:rsid w:val="00977744"/>
    <w:rsid w:val="00977CBF"/>
    <w:rsid w:val="00977D73"/>
    <w:rsid w:val="00977DFE"/>
    <w:rsid w:val="00980141"/>
    <w:rsid w:val="00980538"/>
    <w:rsid w:val="00980BEB"/>
    <w:rsid w:val="0098125E"/>
    <w:rsid w:val="0098253A"/>
    <w:rsid w:val="009835B9"/>
    <w:rsid w:val="00983D57"/>
    <w:rsid w:val="00983FEB"/>
    <w:rsid w:val="0098584A"/>
    <w:rsid w:val="00985D5A"/>
    <w:rsid w:val="0098655B"/>
    <w:rsid w:val="00986BF1"/>
    <w:rsid w:val="00987C7D"/>
    <w:rsid w:val="00990380"/>
    <w:rsid w:val="0099102F"/>
    <w:rsid w:val="009912D2"/>
    <w:rsid w:val="00991CA9"/>
    <w:rsid w:val="009921DB"/>
    <w:rsid w:val="009921E2"/>
    <w:rsid w:val="00992CA9"/>
    <w:rsid w:val="00992E14"/>
    <w:rsid w:val="00993E00"/>
    <w:rsid w:val="009940EF"/>
    <w:rsid w:val="00994A8D"/>
    <w:rsid w:val="00994D06"/>
    <w:rsid w:val="00994E17"/>
    <w:rsid w:val="00995F01"/>
    <w:rsid w:val="009970CB"/>
    <w:rsid w:val="00997987"/>
    <w:rsid w:val="00997CF0"/>
    <w:rsid w:val="009A0407"/>
    <w:rsid w:val="009A0BBC"/>
    <w:rsid w:val="009A0D41"/>
    <w:rsid w:val="009A1A87"/>
    <w:rsid w:val="009A1E30"/>
    <w:rsid w:val="009A2FA1"/>
    <w:rsid w:val="009A3AD5"/>
    <w:rsid w:val="009A49FE"/>
    <w:rsid w:val="009A4C76"/>
    <w:rsid w:val="009A55DA"/>
    <w:rsid w:val="009A5AFD"/>
    <w:rsid w:val="009A6EFD"/>
    <w:rsid w:val="009A7B6C"/>
    <w:rsid w:val="009A7E43"/>
    <w:rsid w:val="009B0346"/>
    <w:rsid w:val="009B1F55"/>
    <w:rsid w:val="009B2203"/>
    <w:rsid w:val="009B2C6C"/>
    <w:rsid w:val="009B39DC"/>
    <w:rsid w:val="009B46E2"/>
    <w:rsid w:val="009B4ABA"/>
    <w:rsid w:val="009B4ED0"/>
    <w:rsid w:val="009B529B"/>
    <w:rsid w:val="009B61E7"/>
    <w:rsid w:val="009B6E9E"/>
    <w:rsid w:val="009B7DEE"/>
    <w:rsid w:val="009C0087"/>
    <w:rsid w:val="009C0259"/>
    <w:rsid w:val="009C0F94"/>
    <w:rsid w:val="009C136C"/>
    <w:rsid w:val="009C2102"/>
    <w:rsid w:val="009C229B"/>
    <w:rsid w:val="009C2A96"/>
    <w:rsid w:val="009C35E2"/>
    <w:rsid w:val="009C36B5"/>
    <w:rsid w:val="009C3BB3"/>
    <w:rsid w:val="009C42DA"/>
    <w:rsid w:val="009C4C42"/>
    <w:rsid w:val="009C5C20"/>
    <w:rsid w:val="009C6154"/>
    <w:rsid w:val="009C67E3"/>
    <w:rsid w:val="009C6E72"/>
    <w:rsid w:val="009C6F15"/>
    <w:rsid w:val="009C72E1"/>
    <w:rsid w:val="009C7D3F"/>
    <w:rsid w:val="009D0007"/>
    <w:rsid w:val="009D0953"/>
    <w:rsid w:val="009D249F"/>
    <w:rsid w:val="009D2F77"/>
    <w:rsid w:val="009D3C3F"/>
    <w:rsid w:val="009D4D67"/>
    <w:rsid w:val="009D4D68"/>
    <w:rsid w:val="009D58A4"/>
    <w:rsid w:val="009D635B"/>
    <w:rsid w:val="009D63E0"/>
    <w:rsid w:val="009D6556"/>
    <w:rsid w:val="009D66DC"/>
    <w:rsid w:val="009D702B"/>
    <w:rsid w:val="009D71C1"/>
    <w:rsid w:val="009D7635"/>
    <w:rsid w:val="009D7966"/>
    <w:rsid w:val="009D7F6F"/>
    <w:rsid w:val="009E0393"/>
    <w:rsid w:val="009E05BE"/>
    <w:rsid w:val="009E0670"/>
    <w:rsid w:val="009E07D3"/>
    <w:rsid w:val="009E131E"/>
    <w:rsid w:val="009E1661"/>
    <w:rsid w:val="009E1C74"/>
    <w:rsid w:val="009E2E36"/>
    <w:rsid w:val="009E3ACC"/>
    <w:rsid w:val="009E5DA3"/>
    <w:rsid w:val="009E62C0"/>
    <w:rsid w:val="009F06F2"/>
    <w:rsid w:val="009F43E5"/>
    <w:rsid w:val="009F4A1C"/>
    <w:rsid w:val="009F52FB"/>
    <w:rsid w:val="009F635E"/>
    <w:rsid w:val="00A0099B"/>
    <w:rsid w:val="00A01168"/>
    <w:rsid w:val="00A02C5D"/>
    <w:rsid w:val="00A039BF"/>
    <w:rsid w:val="00A051D0"/>
    <w:rsid w:val="00A05FE2"/>
    <w:rsid w:val="00A06174"/>
    <w:rsid w:val="00A0617A"/>
    <w:rsid w:val="00A109C8"/>
    <w:rsid w:val="00A116EF"/>
    <w:rsid w:val="00A13368"/>
    <w:rsid w:val="00A140D3"/>
    <w:rsid w:val="00A1446B"/>
    <w:rsid w:val="00A167F2"/>
    <w:rsid w:val="00A17137"/>
    <w:rsid w:val="00A17541"/>
    <w:rsid w:val="00A17EFE"/>
    <w:rsid w:val="00A20073"/>
    <w:rsid w:val="00A20BE2"/>
    <w:rsid w:val="00A20C78"/>
    <w:rsid w:val="00A22C66"/>
    <w:rsid w:val="00A2312E"/>
    <w:rsid w:val="00A24323"/>
    <w:rsid w:val="00A24E32"/>
    <w:rsid w:val="00A2512C"/>
    <w:rsid w:val="00A2515B"/>
    <w:rsid w:val="00A2588E"/>
    <w:rsid w:val="00A25C40"/>
    <w:rsid w:val="00A268D7"/>
    <w:rsid w:val="00A26DC3"/>
    <w:rsid w:val="00A26EDF"/>
    <w:rsid w:val="00A2757D"/>
    <w:rsid w:val="00A30206"/>
    <w:rsid w:val="00A310D9"/>
    <w:rsid w:val="00A3242D"/>
    <w:rsid w:val="00A33CC5"/>
    <w:rsid w:val="00A3466B"/>
    <w:rsid w:val="00A34789"/>
    <w:rsid w:val="00A349C3"/>
    <w:rsid w:val="00A35F97"/>
    <w:rsid w:val="00A362CC"/>
    <w:rsid w:val="00A3630E"/>
    <w:rsid w:val="00A36C4D"/>
    <w:rsid w:val="00A36D2E"/>
    <w:rsid w:val="00A373CB"/>
    <w:rsid w:val="00A37BB8"/>
    <w:rsid w:val="00A37CF0"/>
    <w:rsid w:val="00A37D74"/>
    <w:rsid w:val="00A400DF"/>
    <w:rsid w:val="00A40245"/>
    <w:rsid w:val="00A41FF8"/>
    <w:rsid w:val="00A42555"/>
    <w:rsid w:val="00A42D87"/>
    <w:rsid w:val="00A42F6D"/>
    <w:rsid w:val="00A43CD3"/>
    <w:rsid w:val="00A44BD3"/>
    <w:rsid w:val="00A4521D"/>
    <w:rsid w:val="00A46062"/>
    <w:rsid w:val="00A46D6F"/>
    <w:rsid w:val="00A47773"/>
    <w:rsid w:val="00A5051D"/>
    <w:rsid w:val="00A51F0A"/>
    <w:rsid w:val="00A53484"/>
    <w:rsid w:val="00A54782"/>
    <w:rsid w:val="00A54EF2"/>
    <w:rsid w:val="00A55D48"/>
    <w:rsid w:val="00A573F9"/>
    <w:rsid w:val="00A57438"/>
    <w:rsid w:val="00A5762B"/>
    <w:rsid w:val="00A57BEB"/>
    <w:rsid w:val="00A61673"/>
    <w:rsid w:val="00A6315E"/>
    <w:rsid w:val="00A63D74"/>
    <w:rsid w:val="00A6479A"/>
    <w:rsid w:val="00A64926"/>
    <w:rsid w:val="00A665CF"/>
    <w:rsid w:val="00A66A2B"/>
    <w:rsid w:val="00A67CA7"/>
    <w:rsid w:val="00A703F2"/>
    <w:rsid w:val="00A71C67"/>
    <w:rsid w:val="00A72084"/>
    <w:rsid w:val="00A72699"/>
    <w:rsid w:val="00A72824"/>
    <w:rsid w:val="00A72F13"/>
    <w:rsid w:val="00A730FD"/>
    <w:rsid w:val="00A7376B"/>
    <w:rsid w:val="00A73989"/>
    <w:rsid w:val="00A7409E"/>
    <w:rsid w:val="00A762EF"/>
    <w:rsid w:val="00A7752F"/>
    <w:rsid w:val="00A77B89"/>
    <w:rsid w:val="00A8041F"/>
    <w:rsid w:val="00A80A1E"/>
    <w:rsid w:val="00A80C97"/>
    <w:rsid w:val="00A81B7A"/>
    <w:rsid w:val="00A82654"/>
    <w:rsid w:val="00A83707"/>
    <w:rsid w:val="00A8424E"/>
    <w:rsid w:val="00A84E73"/>
    <w:rsid w:val="00A851F7"/>
    <w:rsid w:val="00A85C2B"/>
    <w:rsid w:val="00A85C35"/>
    <w:rsid w:val="00A85C8F"/>
    <w:rsid w:val="00A91B69"/>
    <w:rsid w:val="00A91C67"/>
    <w:rsid w:val="00A92061"/>
    <w:rsid w:val="00A92218"/>
    <w:rsid w:val="00A92E9F"/>
    <w:rsid w:val="00A94249"/>
    <w:rsid w:val="00A94BC9"/>
    <w:rsid w:val="00A94C8D"/>
    <w:rsid w:val="00A957D1"/>
    <w:rsid w:val="00A959BC"/>
    <w:rsid w:val="00A976A7"/>
    <w:rsid w:val="00A97E6B"/>
    <w:rsid w:val="00AA02F4"/>
    <w:rsid w:val="00AA0691"/>
    <w:rsid w:val="00AA0ABE"/>
    <w:rsid w:val="00AA1385"/>
    <w:rsid w:val="00AA1974"/>
    <w:rsid w:val="00AA220D"/>
    <w:rsid w:val="00AA234C"/>
    <w:rsid w:val="00AA2562"/>
    <w:rsid w:val="00AA29BF"/>
    <w:rsid w:val="00AA3245"/>
    <w:rsid w:val="00AA3345"/>
    <w:rsid w:val="00AA3C60"/>
    <w:rsid w:val="00AA5416"/>
    <w:rsid w:val="00AA5D3E"/>
    <w:rsid w:val="00AA6EC3"/>
    <w:rsid w:val="00AA70DF"/>
    <w:rsid w:val="00AA7762"/>
    <w:rsid w:val="00AA7AE0"/>
    <w:rsid w:val="00AB1E48"/>
    <w:rsid w:val="00AB21E6"/>
    <w:rsid w:val="00AB2448"/>
    <w:rsid w:val="00AB267D"/>
    <w:rsid w:val="00AB2FF4"/>
    <w:rsid w:val="00AB394F"/>
    <w:rsid w:val="00AB3A5A"/>
    <w:rsid w:val="00AB3AAE"/>
    <w:rsid w:val="00AB41A8"/>
    <w:rsid w:val="00AB4217"/>
    <w:rsid w:val="00AB4876"/>
    <w:rsid w:val="00AB4FF3"/>
    <w:rsid w:val="00AB5473"/>
    <w:rsid w:val="00AB59A6"/>
    <w:rsid w:val="00AB5D63"/>
    <w:rsid w:val="00AB5F9C"/>
    <w:rsid w:val="00AB60BF"/>
    <w:rsid w:val="00AB6795"/>
    <w:rsid w:val="00AB6D00"/>
    <w:rsid w:val="00AB70D9"/>
    <w:rsid w:val="00AC0919"/>
    <w:rsid w:val="00AC0C25"/>
    <w:rsid w:val="00AC1653"/>
    <w:rsid w:val="00AC1AD6"/>
    <w:rsid w:val="00AC2F20"/>
    <w:rsid w:val="00AC44D4"/>
    <w:rsid w:val="00AC51F5"/>
    <w:rsid w:val="00AC5797"/>
    <w:rsid w:val="00AC5F04"/>
    <w:rsid w:val="00AC6972"/>
    <w:rsid w:val="00AC6A30"/>
    <w:rsid w:val="00AD02A0"/>
    <w:rsid w:val="00AD0524"/>
    <w:rsid w:val="00AD1505"/>
    <w:rsid w:val="00AD1561"/>
    <w:rsid w:val="00AD3AA4"/>
    <w:rsid w:val="00AD4516"/>
    <w:rsid w:val="00AD4619"/>
    <w:rsid w:val="00AD4900"/>
    <w:rsid w:val="00AD51FD"/>
    <w:rsid w:val="00AD64DF"/>
    <w:rsid w:val="00AE00D5"/>
    <w:rsid w:val="00AE01DF"/>
    <w:rsid w:val="00AE0791"/>
    <w:rsid w:val="00AE0DE6"/>
    <w:rsid w:val="00AE1025"/>
    <w:rsid w:val="00AE108D"/>
    <w:rsid w:val="00AE1AD6"/>
    <w:rsid w:val="00AE2042"/>
    <w:rsid w:val="00AE24D5"/>
    <w:rsid w:val="00AE26F5"/>
    <w:rsid w:val="00AE342C"/>
    <w:rsid w:val="00AE3D13"/>
    <w:rsid w:val="00AE3D57"/>
    <w:rsid w:val="00AE3F03"/>
    <w:rsid w:val="00AE48FD"/>
    <w:rsid w:val="00AE4C25"/>
    <w:rsid w:val="00AE5EC2"/>
    <w:rsid w:val="00AE61F5"/>
    <w:rsid w:val="00AE64F0"/>
    <w:rsid w:val="00AF0DC5"/>
    <w:rsid w:val="00AF10B2"/>
    <w:rsid w:val="00AF1EF0"/>
    <w:rsid w:val="00AF226B"/>
    <w:rsid w:val="00AF23C8"/>
    <w:rsid w:val="00AF26D4"/>
    <w:rsid w:val="00AF2AE2"/>
    <w:rsid w:val="00AF5497"/>
    <w:rsid w:val="00AF6946"/>
    <w:rsid w:val="00AF6BEA"/>
    <w:rsid w:val="00AF6FB2"/>
    <w:rsid w:val="00AF726A"/>
    <w:rsid w:val="00AF7524"/>
    <w:rsid w:val="00AF7677"/>
    <w:rsid w:val="00B00C66"/>
    <w:rsid w:val="00B0131C"/>
    <w:rsid w:val="00B025F4"/>
    <w:rsid w:val="00B02D9C"/>
    <w:rsid w:val="00B0377E"/>
    <w:rsid w:val="00B04DC1"/>
    <w:rsid w:val="00B0510C"/>
    <w:rsid w:val="00B05D6B"/>
    <w:rsid w:val="00B05D84"/>
    <w:rsid w:val="00B05E25"/>
    <w:rsid w:val="00B06B99"/>
    <w:rsid w:val="00B07BA9"/>
    <w:rsid w:val="00B10055"/>
    <w:rsid w:val="00B100E9"/>
    <w:rsid w:val="00B10D0E"/>
    <w:rsid w:val="00B11038"/>
    <w:rsid w:val="00B1141E"/>
    <w:rsid w:val="00B1162B"/>
    <w:rsid w:val="00B1190C"/>
    <w:rsid w:val="00B11E9B"/>
    <w:rsid w:val="00B1258C"/>
    <w:rsid w:val="00B1278B"/>
    <w:rsid w:val="00B14467"/>
    <w:rsid w:val="00B14F75"/>
    <w:rsid w:val="00B16365"/>
    <w:rsid w:val="00B16877"/>
    <w:rsid w:val="00B17295"/>
    <w:rsid w:val="00B20031"/>
    <w:rsid w:val="00B20DC3"/>
    <w:rsid w:val="00B20FA8"/>
    <w:rsid w:val="00B215F5"/>
    <w:rsid w:val="00B2340D"/>
    <w:rsid w:val="00B24225"/>
    <w:rsid w:val="00B24C66"/>
    <w:rsid w:val="00B24E8E"/>
    <w:rsid w:val="00B25C8D"/>
    <w:rsid w:val="00B26B62"/>
    <w:rsid w:val="00B2716B"/>
    <w:rsid w:val="00B27474"/>
    <w:rsid w:val="00B27A54"/>
    <w:rsid w:val="00B27BFB"/>
    <w:rsid w:val="00B30783"/>
    <w:rsid w:val="00B30B08"/>
    <w:rsid w:val="00B3228C"/>
    <w:rsid w:val="00B32CD3"/>
    <w:rsid w:val="00B333E2"/>
    <w:rsid w:val="00B334B5"/>
    <w:rsid w:val="00B3427A"/>
    <w:rsid w:val="00B34F09"/>
    <w:rsid w:val="00B35FD8"/>
    <w:rsid w:val="00B361A8"/>
    <w:rsid w:val="00B373EA"/>
    <w:rsid w:val="00B37897"/>
    <w:rsid w:val="00B40938"/>
    <w:rsid w:val="00B40AB3"/>
    <w:rsid w:val="00B41F0F"/>
    <w:rsid w:val="00B42560"/>
    <w:rsid w:val="00B42702"/>
    <w:rsid w:val="00B455AA"/>
    <w:rsid w:val="00B45778"/>
    <w:rsid w:val="00B457A1"/>
    <w:rsid w:val="00B4630F"/>
    <w:rsid w:val="00B464B1"/>
    <w:rsid w:val="00B47A4A"/>
    <w:rsid w:val="00B47B99"/>
    <w:rsid w:val="00B47E5C"/>
    <w:rsid w:val="00B506F2"/>
    <w:rsid w:val="00B510E3"/>
    <w:rsid w:val="00B521AC"/>
    <w:rsid w:val="00B521AE"/>
    <w:rsid w:val="00B52702"/>
    <w:rsid w:val="00B53226"/>
    <w:rsid w:val="00B53E4D"/>
    <w:rsid w:val="00B5498D"/>
    <w:rsid w:val="00B5501D"/>
    <w:rsid w:val="00B553D0"/>
    <w:rsid w:val="00B57190"/>
    <w:rsid w:val="00B57436"/>
    <w:rsid w:val="00B600DB"/>
    <w:rsid w:val="00B6151E"/>
    <w:rsid w:val="00B61579"/>
    <w:rsid w:val="00B61A17"/>
    <w:rsid w:val="00B6208B"/>
    <w:rsid w:val="00B63D00"/>
    <w:rsid w:val="00B6412E"/>
    <w:rsid w:val="00B64962"/>
    <w:rsid w:val="00B64AC0"/>
    <w:rsid w:val="00B64F94"/>
    <w:rsid w:val="00B6544D"/>
    <w:rsid w:val="00B6561F"/>
    <w:rsid w:val="00B65BB7"/>
    <w:rsid w:val="00B663C7"/>
    <w:rsid w:val="00B66B82"/>
    <w:rsid w:val="00B676EC"/>
    <w:rsid w:val="00B7016C"/>
    <w:rsid w:val="00B7034F"/>
    <w:rsid w:val="00B7039B"/>
    <w:rsid w:val="00B70D12"/>
    <w:rsid w:val="00B71F08"/>
    <w:rsid w:val="00B73E77"/>
    <w:rsid w:val="00B74D1E"/>
    <w:rsid w:val="00B750A2"/>
    <w:rsid w:val="00B75FEE"/>
    <w:rsid w:val="00B76248"/>
    <w:rsid w:val="00B76A18"/>
    <w:rsid w:val="00B76EE8"/>
    <w:rsid w:val="00B80CE8"/>
    <w:rsid w:val="00B8104A"/>
    <w:rsid w:val="00B81A67"/>
    <w:rsid w:val="00B8283A"/>
    <w:rsid w:val="00B83105"/>
    <w:rsid w:val="00B844FE"/>
    <w:rsid w:val="00B84C6C"/>
    <w:rsid w:val="00B853EF"/>
    <w:rsid w:val="00B85C15"/>
    <w:rsid w:val="00B8790B"/>
    <w:rsid w:val="00B87ACD"/>
    <w:rsid w:val="00B87C71"/>
    <w:rsid w:val="00B87DB6"/>
    <w:rsid w:val="00B905A1"/>
    <w:rsid w:val="00B9087F"/>
    <w:rsid w:val="00B90FD1"/>
    <w:rsid w:val="00B92193"/>
    <w:rsid w:val="00B92687"/>
    <w:rsid w:val="00B941A2"/>
    <w:rsid w:val="00B94248"/>
    <w:rsid w:val="00B942A1"/>
    <w:rsid w:val="00B94B4F"/>
    <w:rsid w:val="00B97421"/>
    <w:rsid w:val="00B976F6"/>
    <w:rsid w:val="00BA3431"/>
    <w:rsid w:val="00BA3A80"/>
    <w:rsid w:val="00BA5F41"/>
    <w:rsid w:val="00BA7385"/>
    <w:rsid w:val="00BA7611"/>
    <w:rsid w:val="00BB00EC"/>
    <w:rsid w:val="00BB0CFE"/>
    <w:rsid w:val="00BB0DA2"/>
    <w:rsid w:val="00BB0F99"/>
    <w:rsid w:val="00BB187C"/>
    <w:rsid w:val="00BB223E"/>
    <w:rsid w:val="00BB296B"/>
    <w:rsid w:val="00BB2A9C"/>
    <w:rsid w:val="00BB3622"/>
    <w:rsid w:val="00BB37A6"/>
    <w:rsid w:val="00BB4165"/>
    <w:rsid w:val="00BB5E74"/>
    <w:rsid w:val="00BB682C"/>
    <w:rsid w:val="00BB7CA9"/>
    <w:rsid w:val="00BB7D5D"/>
    <w:rsid w:val="00BB7F8F"/>
    <w:rsid w:val="00BC1DA8"/>
    <w:rsid w:val="00BC236B"/>
    <w:rsid w:val="00BC2BB4"/>
    <w:rsid w:val="00BC2D13"/>
    <w:rsid w:val="00BC2DBB"/>
    <w:rsid w:val="00BC2ECB"/>
    <w:rsid w:val="00BC41E4"/>
    <w:rsid w:val="00BC439C"/>
    <w:rsid w:val="00BC6018"/>
    <w:rsid w:val="00BC6174"/>
    <w:rsid w:val="00BC65D9"/>
    <w:rsid w:val="00BC6B31"/>
    <w:rsid w:val="00BC701F"/>
    <w:rsid w:val="00BC7874"/>
    <w:rsid w:val="00BC7C52"/>
    <w:rsid w:val="00BC7EB4"/>
    <w:rsid w:val="00BD0CF6"/>
    <w:rsid w:val="00BD1471"/>
    <w:rsid w:val="00BD14C5"/>
    <w:rsid w:val="00BD196A"/>
    <w:rsid w:val="00BD2081"/>
    <w:rsid w:val="00BD2311"/>
    <w:rsid w:val="00BD2AE0"/>
    <w:rsid w:val="00BD39E3"/>
    <w:rsid w:val="00BD440B"/>
    <w:rsid w:val="00BD494F"/>
    <w:rsid w:val="00BD6257"/>
    <w:rsid w:val="00BD625F"/>
    <w:rsid w:val="00BD6262"/>
    <w:rsid w:val="00BD7EED"/>
    <w:rsid w:val="00BE0E74"/>
    <w:rsid w:val="00BE0F8F"/>
    <w:rsid w:val="00BE18F2"/>
    <w:rsid w:val="00BE1942"/>
    <w:rsid w:val="00BE1FD8"/>
    <w:rsid w:val="00BE2781"/>
    <w:rsid w:val="00BE3896"/>
    <w:rsid w:val="00BE3FE8"/>
    <w:rsid w:val="00BE4C48"/>
    <w:rsid w:val="00BE5722"/>
    <w:rsid w:val="00BE61C1"/>
    <w:rsid w:val="00BE64AF"/>
    <w:rsid w:val="00BE6717"/>
    <w:rsid w:val="00BE7701"/>
    <w:rsid w:val="00BE7F28"/>
    <w:rsid w:val="00BF0381"/>
    <w:rsid w:val="00BF08AC"/>
    <w:rsid w:val="00BF154E"/>
    <w:rsid w:val="00BF22A2"/>
    <w:rsid w:val="00BF3237"/>
    <w:rsid w:val="00BF3602"/>
    <w:rsid w:val="00BF3E2E"/>
    <w:rsid w:val="00BF446E"/>
    <w:rsid w:val="00BF5EF6"/>
    <w:rsid w:val="00BF5FDE"/>
    <w:rsid w:val="00BF624B"/>
    <w:rsid w:val="00BF648B"/>
    <w:rsid w:val="00BF6E7B"/>
    <w:rsid w:val="00BF6F02"/>
    <w:rsid w:val="00BF7946"/>
    <w:rsid w:val="00BF7B9D"/>
    <w:rsid w:val="00C00F27"/>
    <w:rsid w:val="00C01021"/>
    <w:rsid w:val="00C0141F"/>
    <w:rsid w:val="00C021FC"/>
    <w:rsid w:val="00C03BA3"/>
    <w:rsid w:val="00C048AF"/>
    <w:rsid w:val="00C049B0"/>
    <w:rsid w:val="00C05157"/>
    <w:rsid w:val="00C05522"/>
    <w:rsid w:val="00C057CD"/>
    <w:rsid w:val="00C0591C"/>
    <w:rsid w:val="00C05B70"/>
    <w:rsid w:val="00C0620D"/>
    <w:rsid w:val="00C0670E"/>
    <w:rsid w:val="00C077E0"/>
    <w:rsid w:val="00C07994"/>
    <w:rsid w:val="00C07C37"/>
    <w:rsid w:val="00C07DE6"/>
    <w:rsid w:val="00C10AA7"/>
    <w:rsid w:val="00C119C8"/>
    <w:rsid w:val="00C11AAD"/>
    <w:rsid w:val="00C11FA9"/>
    <w:rsid w:val="00C154B5"/>
    <w:rsid w:val="00C16AD9"/>
    <w:rsid w:val="00C17872"/>
    <w:rsid w:val="00C205E9"/>
    <w:rsid w:val="00C212FC"/>
    <w:rsid w:val="00C22EA2"/>
    <w:rsid w:val="00C23B32"/>
    <w:rsid w:val="00C23F48"/>
    <w:rsid w:val="00C24C22"/>
    <w:rsid w:val="00C262BD"/>
    <w:rsid w:val="00C30691"/>
    <w:rsid w:val="00C30AC3"/>
    <w:rsid w:val="00C30E04"/>
    <w:rsid w:val="00C310C2"/>
    <w:rsid w:val="00C3266D"/>
    <w:rsid w:val="00C33A7D"/>
    <w:rsid w:val="00C36525"/>
    <w:rsid w:val="00C37083"/>
    <w:rsid w:val="00C37DBE"/>
    <w:rsid w:val="00C40E8D"/>
    <w:rsid w:val="00C40EB3"/>
    <w:rsid w:val="00C41BD9"/>
    <w:rsid w:val="00C43085"/>
    <w:rsid w:val="00C434FD"/>
    <w:rsid w:val="00C4350E"/>
    <w:rsid w:val="00C4356D"/>
    <w:rsid w:val="00C44BD2"/>
    <w:rsid w:val="00C44CDC"/>
    <w:rsid w:val="00C4595B"/>
    <w:rsid w:val="00C46068"/>
    <w:rsid w:val="00C47AC7"/>
    <w:rsid w:val="00C47CBF"/>
    <w:rsid w:val="00C5021B"/>
    <w:rsid w:val="00C5192E"/>
    <w:rsid w:val="00C519E2"/>
    <w:rsid w:val="00C52DE6"/>
    <w:rsid w:val="00C544C4"/>
    <w:rsid w:val="00C552A7"/>
    <w:rsid w:val="00C5560E"/>
    <w:rsid w:val="00C56A9E"/>
    <w:rsid w:val="00C56C4C"/>
    <w:rsid w:val="00C57F0B"/>
    <w:rsid w:val="00C6016B"/>
    <w:rsid w:val="00C603AF"/>
    <w:rsid w:val="00C60C32"/>
    <w:rsid w:val="00C61CC4"/>
    <w:rsid w:val="00C61FDC"/>
    <w:rsid w:val="00C62FED"/>
    <w:rsid w:val="00C634A7"/>
    <w:rsid w:val="00C638D7"/>
    <w:rsid w:val="00C638DF"/>
    <w:rsid w:val="00C64720"/>
    <w:rsid w:val="00C6517F"/>
    <w:rsid w:val="00C67BA6"/>
    <w:rsid w:val="00C67DC2"/>
    <w:rsid w:val="00C70C44"/>
    <w:rsid w:val="00C70DA3"/>
    <w:rsid w:val="00C71920"/>
    <w:rsid w:val="00C71C55"/>
    <w:rsid w:val="00C72864"/>
    <w:rsid w:val="00C72A63"/>
    <w:rsid w:val="00C731A5"/>
    <w:rsid w:val="00C73ECB"/>
    <w:rsid w:val="00C74834"/>
    <w:rsid w:val="00C74CD8"/>
    <w:rsid w:val="00C753AF"/>
    <w:rsid w:val="00C75658"/>
    <w:rsid w:val="00C766E5"/>
    <w:rsid w:val="00C77A70"/>
    <w:rsid w:val="00C77F98"/>
    <w:rsid w:val="00C80AE4"/>
    <w:rsid w:val="00C8287D"/>
    <w:rsid w:val="00C82D67"/>
    <w:rsid w:val="00C82EE6"/>
    <w:rsid w:val="00C83670"/>
    <w:rsid w:val="00C845CB"/>
    <w:rsid w:val="00C84DEF"/>
    <w:rsid w:val="00C851AF"/>
    <w:rsid w:val="00C851F3"/>
    <w:rsid w:val="00C854E4"/>
    <w:rsid w:val="00C857F1"/>
    <w:rsid w:val="00C8607D"/>
    <w:rsid w:val="00C871C4"/>
    <w:rsid w:val="00C87C93"/>
    <w:rsid w:val="00C923E4"/>
    <w:rsid w:val="00C923EC"/>
    <w:rsid w:val="00C924CE"/>
    <w:rsid w:val="00C92608"/>
    <w:rsid w:val="00C926F5"/>
    <w:rsid w:val="00C93559"/>
    <w:rsid w:val="00C93ADE"/>
    <w:rsid w:val="00C93E80"/>
    <w:rsid w:val="00C948D1"/>
    <w:rsid w:val="00C95A5F"/>
    <w:rsid w:val="00C95F77"/>
    <w:rsid w:val="00C97301"/>
    <w:rsid w:val="00C979C5"/>
    <w:rsid w:val="00CA0358"/>
    <w:rsid w:val="00CA0461"/>
    <w:rsid w:val="00CA0F84"/>
    <w:rsid w:val="00CA10D4"/>
    <w:rsid w:val="00CA1130"/>
    <w:rsid w:val="00CA2CF4"/>
    <w:rsid w:val="00CA40B3"/>
    <w:rsid w:val="00CA415F"/>
    <w:rsid w:val="00CA46C1"/>
    <w:rsid w:val="00CA529D"/>
    <w:rsid w:val="00CA5353"/>
    <w:rsid w:val="00CA5EA7"/>
    <w:rsid w:val="00CA7971"/>
    <w:rsid w:val="00CB026C"/>
    <w:rsid w:val="00CB1161"/>
    <w:rsid w:val="00CB125D"/>
    <w:rsid w:val="00CB1DF5"/>
    <w:rsid w:val="00CB20D7"/>
    <w:rsid w:val="00CB2C14"/>
    <w:rsid w:val="00CB3917"/>
    <w:rsid w:val="00CB3F45"/>
    <w:rsid w:val="00CB4305"/>
    <w:rsid w:val="00CB4CB0"/>
    <w:rsid w:val="00CB4E03"/>
    <w:rsid w:val="00CB548B"/>
    <w:rsid w:val="00CB5A49"/>
    <w:rsid w:val="00CB5C15"/>
    <w:rsid w:val="00CB6145"/>
    <w:rsid w:val="00CB66CB"/>
    <w:rsid w:val="00CB678B"/>
    <w:rsid w:val="00CB6A3A"/>
    <w:rsid w:val="00CC0D43"/>
    <w:rsid w:val="00CC1228"/>
    <w:rsid w:val="00CC168E"/>
    <w:rsid w:val="00CC1A21"/>
    <w:rsid w:val="00CC2CC7"/>
    <w:rsid w:val="00CC3654"/>
    <w:rsid w:val="00CC66DE"/>
    <w:rsid w:val="00CC78FE"/>
    <w:rsid w:val="00CC7C0C"/>
    <w:rsid w:val="00CD030F"/>
    <w:rsid w:val="00CD13EA"/>
    <w:rsid w:val="00CD17FE"/>
    <w:rsid w:val="00CD2163"/>
    <w:rsid w:val="00CD3042"/>
    <w:rsid w:val="00CD3351"/>
    <w:rsid w:val="00CD4029"/>
    <w:rsid w:val="00CD4F84"/>
    <w:rsid w:val="00CD5694"/>
    <w:rsid w:val="00CD58F6"/>
    <w:rsid w:val="00CD6CD6"/>
    <w:rsid w:val="00CD7186"/>
    <w:rsid w:val="00CD75E3"/>
    <w:rsid w:val="00CD7C05"/>
    <w:rsid w:val="00CE046B"/>
    <w:rsid w:val="00CE1CC9"/>
    <w:rsid w:val="00CE1FF7"/>
    <w:rsid w:val="00CE2627"/>
    <w:rsid w:val="00CE2B90"/>
    <w:rsid w:val="00CE2EB2"/>
    <w:rsid w:val="00CE3D7F"/>
    <w:rsid w:val="00CE471E"/>
    <w:rsid w:val="00CE501C"/>
    <w:rsid w:val="00CE525D"/>
    <w:rsid w:val="00CE5C5A"/>
    <w:rsid w:val="00CE5C99"/>
    <w:rsid w:val="00CF07A2"/>
    <w:rsid w:val="00CF180B"/>
    <w:rsid w:val="00CF23EE"/>
    <w:rsid w:val="00CF2EAD"/>
    <w:rsid w:val="00CF41D3"/>
    <w:rsid w:val="00CF6F13"/>
    <w:rsid w:val="00D004F7"/>
    <w:rsid w:val="00D0160F"/>
    <w:rsid w:val="00D0270F"/>
    <w:rsid w:val="00D033E0"/>
    <w:rsid w:val="00D03FB3"/>
    <w:rsid w:val="00D0473D"/>
    <w:rsid w:val="00D04EEC"/>
    <w:rsid w:val="00D0540F"/>
    <w:rsid w:val="00D05564"/>
    <w:rsid w:val="00D05718"/>
    <w:rsid w:val="00D07E5D"/>
    <w:rsid w:val="00D10154"/>
    <w:rsid w:val="00D11357"/>
    <w:rsid w:val="00D116B6"/>
    <w:rsid w:val="00D12134"/>
    <w:rsid w:val="00D12192"/>
    <w:rsid w:val="00D12387"/>
    <w:rsid w:val="00D123E4"/>
    <w:rsid w:val="00D126F7"/>
    <w:rsid w:val="00D129F5"/>
    <w:rsid w:val="00D12ED9"/>
    <w:rsid w:val="00D13D10"/>
    <w:rsid w:val="00D141DD"/>
    <w:rsid w:val="00D1494A"/>
    <w:rsid w:val="00D168EC"/>
    <w:rsid w:val="00D20F9E"/>
    <w:rsid w:val="00D21116"/>
    <w:rsid w:val="00D21258"/>
    <w:rsid w:val="00D21887"/>
    <w:rsid w:val="00D22189"/>
    <w:rsid w:val="00D22E63"/>
    <w:rsid w:val="00D243D4"/>
    <w:rsid w:val="00D24584"/>
    <w:rsid w:val="00D24A33"/>
    <w:rsid w:val="00D25DE1"/>
    <w:rsid w:val="00D266DE"/>
    <w:rsid w:val="00D270C4"/>
    <w:rsid w:val="00D277FF"/>
    <w:rsid w:val="00D27E8E"/>
    <w:rsid w:val="00D31689"/>
    <w:rsid w:val="00D322A0"/>
    <w:rsid w:val="00D325D3"/>
    <w:rsid w:val="00D328D2"/>
    <w:rsid w:val="00D34BFD"/>
    <w:rsid w:val="00D34F78"/>
    <w:rsid w:val="00D355E8"/>
    <w:rsid w:val="00D36322"/>
    <w:rsid w:val="00D36826"/>
    <w:rsid w:val="00D36827"/>
    <w:rsid w:val="00D40159"/>
    <w:rsid w:val="00D429EB"/>
    <w:rsid w:val="00D431C6"/>
    <w:rsid w:val="00D43306"/>
    <w:rsid w:val="00D43384"/>
    <w:rsid w:val="00D43DD6"/>
    <w:rsid w:val="00D450F8"/>
    <w:rsid w:val="00D454EC"/>
    <w:rsid w:val="00D4581E"/>
    <w:rsid w:val="00D45C0A"/>
    <w:rsid w:val="00D46071"/>
    <w:rsid w:val="00D4729C"/>
    <w:rsid w:val="00D50290"/>
    <w:rsid w:val="00D5163E"/>
    <w:rsid w:val="00D51C2C"/>
    <w:rsid w:val="00D51CC7"/>
    <w:rsid w:val="00D51D1C"/>
    <w:rsid w:val="00D52362"/>
    <w:rsid w:val="00D52BE1"/>
    <w:rsid w:val="00D52F5C"/>
    <w:rsid w:val="00D54030"/>
    <w:rsid w:val="00D5412C"/>
    <w:rsid w:val="00D559B0"/>
    <w:rsid w:val="00D55A36"/>
    <w:rsid w:val="00D564B4"/>
    <w:rsid w:val="00D5660C"/>
    <w:rsid w:val="00D5689A"/>
    <w:rsid w:val="00D5693B"/>
    <w:rsid w:val="00D57072"/>
    <w:rsid w:val="00D578F3"/>
    <w:rsid w:val="00D60E9F"/>
    <w:rsid w:val="00D61249"/>
    <w:rsid w:val="00D61AE5"/>
    <w:rsid w:val="00D61B56"/>
    <w:rsid w:val="00D64636"/>
    <w:rsid w:val="00D65793"/>
    <w:rsid w:val="00D66017"/>
    <w:rsid w:val="00D668E4"/>
    <w:rsid w:val="00D66F68"/>
    <w:rsid w:val="00D67466"/>
    <w:rsid w:val="00D7047B"/>
    <w:rsid w:val="00D70735"/>
    <w:rsid w:val="00D70C4A"/>
    <w:rsid w:val="00D716ED"/>
    <w:rsid w:val="00D720B0"/>
    <w:rsid w:val="00D725E1"/>
    <w:rsid w:val="00D729A9"/>
    <w:rsid w:val="00D7321F"/>
    <w:rsid w:val="00D73D43"/>
    <w:rsid w:val="00D741F4"/>
    <w:rsid w:val="00D74DC1"/>
    <w:rsid w:val="00D74FEC"/>
    <w:rsid w:val="00D75505"/>
    <w:rsid w:val="00D75549"/>
    <w:rsid w:val="00D75861"/>
    <w:rsid w:val="00D76646"/>
    <w:rsid w:val="00D76695"/>
    <w:rsid w:val="00D76DC1"/>
    <w:rsid w:val="00D773A5"/>
    <w:rsid w:val="00D776A3"/>
    <w:rsid w:val="00D77781"/>
    <w:rsid w:val="00D77DAB"/>
    <w:rsid w:val="00D80898"/>
    <w:rsid w:val="00D80998"/>
    <w:rsid w:val="00D810E7"/>
    <w:rsid w:val="00D81457"/>
    <w:rsid w:val="00D819F9"/>
    <w:rsid w:val="00D8228F"/>
    <w:rsid w:val="00D8232A"/>
    <w:rsid w:val="00D82EC6"/>
    <w:rsid w:val="00D83682"/>
    <w:rsid w:val="00D83CB1"/>
    <w:rsid w:val="00D83FDA"/>
    <w:rsid w:val="00D841A6"/>
    <w:rsid w:val="00D842B1"/>
    <w:rsid w:val="00D843FC"/>
    <w:rsid w:val="00D862DA"/>
    <w:rsid w:val="00D8640C"/>
    <w:rsid w:val="00D86446"/>
    <w:rsid w:val="00D86456"/>
    <w:rsid w:val="00D870BD"/>
    <w:rsid w:val="00D87A8D"/>
    <w:rsid w:val="00D90108"/>
    <w:rsid w:val="00D90ED8"/>
    <w:rsid w:val="00D914BD"/>
    <w:rsid w:val="00D918A5"/>
    <w:rsid w:val="00D92762"/>
    <w:rsid w:val="00D92B40"/>
    <w:rsid w:val="00D92FBF"/>
    <w:rsid w:val="00D936C9"/>
    <w:rsid w:val="00D94DA9"/>
    <w:rsid w:val="00D94DCA"/>
    <w:rsid w:val="00D95B61"/>
    <w:rsid w:val="00D97918"/>
    <w:rsid w:val="00DA01B9"/>
    <w:rsid w:val="00DA0A11"/>
    <w:rsid w:val="00DA13B9"/>
    <w:rsid w:val="00DA1B2F"/>
    <w:rsid w:val="00DA3CE8"/>
    <w:rsid w:val="00DA3D7B"/>
    <w:rsid w:val="00DA441E"/>
    <w:rsid w:val="00DA4B95"/>
    <w:rsid w:val="00DA4E7D"/>
    <w:rsid w:val="00DA5683"/>
    <w:rsid w:val="00DA6721"/>
    <w:rsid w:val="00DA6C87"/>
    <w:rsid w:val="00DA6F4D"/>
    <w:rsid w:val="00DA7189"/>
    <w:rsid w:val="00DA7370"/>
    <w:rsid w:val="00DA7F91"/>
    <w:rsid w:val="00DB0CDF"/>
    <w:rsid w:val="00DB1190"/>
    <w:rsid w:val="00DB2B37"/>
    <w:rsid w:val="00DB2B86"/>
    <w:rsid w:val="00DB37B9"/>
    <w:rsid w:val="00DB4594"/>
    <w:rsid w:val="00DB4AA3"/>
    <w:rsid w:val="00DB6712"/>
    <w:rsid w:val="00DB68FF"/>
    <w:rsid w:val="00DB6EC3"/>
    <w:rsid w:val="00DB710F"/>
    <w:rsid w:val="00DB7230"/>
    <w:rsid w:val="00DC02BC"/>
    <w:rsid w:val="00DC0B6D"/>
    <w:rsid w:val="00DC10BA"/>
    <w:rsid w:val="00DC1AC1"/>
    <w:rsid w:val="00DC2F32"/>
    <w:rsid w:val="00DC32BA"/>
    <w:rsid w:val="00DC34EC"/>
    <w:rsid w:val="00DC44DA"/>
    <w:rsid w:val="00DC462A"/>
    <w:rsid w:val="00DC5FD8"/>
    <w:rsid w:val="00DC63AC"/>
    <w:rsid w:val="00DC7707"/>
    <w:rsid w:val="00DC78A2"/>
    <w:rsid w:val="00DC7D51"/>
    <w:rsid w:val="00DD0C84"/>
    <w:rsid w:val="00DD1D62"/>
    <w:rsid w:val="00DD1E4A"/>
    <w:rsid w:val="00DD295C"/>
    <w:rsid w:val="00DD316A"/>
    <w:rsid w:val="00DD34D3"/>
    <w:rsid w:val="00DD3BA7"/>
    <w:rsid w:val="00DD4A70"/>
    <w:rsid w:val="00DD4DC2"/>
    <w:rsid w:val="00DD5C9F"/>
    <w:rsid w:val="00DD6276"/>
    <w:rsid w:val="00DD6518"/>
    <w:rsid w:val="00DD6537"/>
    <w:rsid w:val="00DD6667"/>
    <w:rsid w:val="00DD686F"/>
    <w:rsid w:val="00DD6DC7"/>
    <w:rsid w:val="00DD74A2"/>
    <w:rsid w:val="00DD7FC0"/>
    <w:rsid w:val="00DE0982"/>
    <w:rsid w:val="00DE281A"/>
    <w:rsid w:val="00DE319F"/>
    <w:rsid w:val="00DE383B"/>
    <w:rsid w:val="00DE4934"/>
    <w:rsid w:val="00DE49BE"/>
    <w:rsid w:val="00DE4B73"/>
    <w:rsid w:val="00DE51D9"/>
    <w:rsid w:val="00DE5EC9"/>
    <w:rsid w:val="00DE6576"/>
    <w:rsid w:val="00DF14EC"/>
    <w:rsid w:val="00DF25B7"/>
    <w:rsid w:val="00DF2644"/>
    <w:rsid w:val="00DF4614"/>
    <w:rsid w:val="00DF47C6"/>
    <w:rsid w:val="00DF4F43"/>
    <w:rsid w:val="00DF5295"/>
    <w:rsid w:val="00DF5A44"/>
    <w:rsid w:val="00DF6073"/>
    <w:rsid w:val="00DF61C0"/>
    <w:rsid w:val="00DF67EF"/>
    <w:rsid w:val="00DF69AF"/>
    <w:rsid w:val="00DF6C08"/>
    <w:rsid w:val="00DF6D10"/>
    <w:rsid w:val="00DF762C"/>
    <w:rsid w:val="00DF78FC"/>
    <w:rsid w:val="00DF7B25"/>
    <w:rsid w:val="00E0080A"/>
    <w:rsid w:val="00E008B7"/>
    <w:rsid w:val="00E00B67"/>
    <w:rsid w:val="00E00C44"/>
    <w:rsid w:val="00E03E2D"/>
    <w:rsid w:val="00E042E8"/>
    <w:rsid w:val="00E04840"/>
    <w:rsid w:val="00E05DAB"/>
    <w:rsid w:val="00E075D5"/>
    <w:rsid w:val="00E077CB"/>
    <w:rsid w:val="00E07FBB"/>
    <w:rsid w:val="00E11C75"/>
    <w:rsid w:val="00E135A1"/>
    <w:rsid w:val="00E13DA7"/>
    <w:rsid w:val="00E1465B"/>
    <w:rsid w:val="00E1496E"/>
    <w:rsid w:val="00E16EF1"/>
    <w:rsid w:val="00E177A0"/>
    <w:rsid w:val="00E17F63"/>
    <w:rsid w:val="00E20416"/>
    <w:rsid w:val="00E20610"/>
    <w:rsid w:val="00E20EA3"/>
    <w:rsid w:val="00E211EB"/>
    <w:rsid w:val="00E22397"/>
    <w:rsid w:val="00E2269F"/>
    <w:rsid w:val="00E229DF"/>
    <w:rsid w:val="00E2411D"/>
    <w:rsid w:val="00E25A89"/>
    <w:rsid w:val="00E26AA7"/>
    <w:rsid w:val="00E27244"/>
    <w:rsid w:val="00E3002C"/>
    <w:rsid w:val="00E30E33"/>
    <w:rsid w:val="00E32E98"/>
    <w:rsid w:val="00E35143"/>
    <w:rsid w:val="00E3517E"/>
    <w:rsid w:val="00E354FF"/>
    <w:rsid w:val="00E368C3"/>
    <w:rsid w:val="00E36A36"/>
    <w:rsid w:val="00E3719F"/>
    <w:rsid w:val="00E3764A"/>
    <w:rsid w:val="00E376F8"/>
    <w:rsid w:val="00E37E50"/>
    <w:rsid w:val="00E40443"/>
    <w:rsid w:val="00E40E52"/>
    <w:rsid w:val="00E418F5"/>
    <w:rsid w:val="00E41DE7"/>
    <w:rsid w:val="00E4206A"/>
    <w:rsid w:val="00E4210C"/>
    <w:rsid w:val="00E43C06"/>
    <w:rsid w:val="00E449B1"/>
    <w:rsid w:val="00E44B8C"/>
    <w:rsid w:val="00E44C70"/>
    <w:rsid w:val="00E45978"/>
    <w:rsid w:val="00E46E5C"/>
    <w:rsid w:val="00E46F7D"/>
    <w:rsid w:val="00E47B31"/>
    <w:rsid w:val="00E5014F"/>
    <w:rsid w:val="00E501F7"/>
    <w:rsid w:val="00E504C3"/>
    <w:rsid w:val="00E50697"/>
    <w:rsid w:val="00E5082D"/>
    <w:rsid w:val="00E52962"/>
    <w:rsid w:val="00E52C97"/>
    <w:rsid w:val="00E53713"/>
    <w:rsid w:val="00E539F7"/>
    <w:rsid w:val="00E53FB4"/>
    <w:rsid w:val="00E5442C"/>
    <w:rsid w:val="00E551B4"/>
    <w:rsid w:val="00E55D31"/>
    <w:rsid w:val="00E561DB"/>
    <w:rsid w:val="00E56F47"/>
    <w:rsid w:val="00E56FD1"/>
    <w:rsid w:val="00E574A9"/>
    <w:rsid w:val="00E578BB"/>
    <w:rsid w:val="00E600D5"/>
    <w:rsid w:val="00E61355"/>
    <w:rsid w:val="00E613BC"/>
    <w:rsid w:val="00E61F1E"/>
    <w:rsid w:val="00E62E19"/>
    <w:rsid w:val="00E6586D"/>
    <w:rsid w:val="00E66861"/>
    <w:rsid w:val="00E66E21"/>
    <w:rsid w:val="00E67063"/>
    <w:rsid w:val="00E67502"/>
    <w:rsid w:val="00E6774E"/>
    <w:rsid w:val="00E7036F"/>
    <w:rsid w:val="00E70648"/>
    <w:rsid w:val="00E70D6E"/>
    <w:rsid w:val="00E70F38"/>
    <w:rsid w:val="00E710FC"/>
    <w:rsid w:val="00E71915"/>
    <w:rsid w:val="00E71985"/>
    <w:rsid w:val="00E720F2"/>
    <w:rsid w:val="00E72A06"/>
    <w:rsid w:val="00E73893"/>
    <w:rsid w:val="00E73BCA"/>
    <w:rsid w:val="00E73D0C"/>
    <w:rsid w:val="00E73DF2"/>
    <w:rsid w:val="00E73F8F"/>
    <w:rsid w:val="00E7439C"/>
    <w:rsid w:val="00E74BE8"/>
    <w:rsid w:val="00E74D71"/>
    <w:rsid w:val="00E756C0"/>
    <w:rsid w:val="00E779A1"/>
    <w:rsid w:val="00E80873"/>
    <w:rsid w:val="00E80916"/>
    <w:rsid w:val="00E819C1"/>
    <w:rsid w:val="00E81F19"/>
    <w:rsid w:val="00E83CAC"/>
    <w:rsid w:val="00E840DF"/>
    <w:rsid w:val="00E84277"/>
    <w:rsid w:val="00E8452A"/>
    <w:rsid w:val="00E8491E"/>
    <w:rsid w:val="00E84E21"/>
    <w:rsid w:val="00E8560F"/>
    <w:rsid w:val="00E85F07"/>
    <w:rsid w:val="00E86451"/>
    <w:rsid w:val="00E873FB"/>
    <w:rsid w:val="00E8780A"/>
    <w:rsid w:val="00E87E34"/>
    <w:rsid w:val="00E916B4"/>
    <w:rsid w:val="00E9254A"/>
    <w:rsid w:val="00E928BB"/>
    <w:rsid w:val="00E92C83"/>
    <w:rsid w:val="00E94E13"/>
    <w:rsid w:val="00E9505A"/>
    <w:rsid w:val="00E9529C"/>
    <w:rsid w:val="00E952D2"/>
    <w:rsid w:val="00E953D9"/>
    <w:rsid w:val="00E957FC"/>
    <w:rsid w:val="00E96316"/>
    <w:rsid w:val="00E97419"/>
    <w:rsid w:val="00E97437"/>
    <w:rsid w:val="00EA0289"/>
    <w:rsid w:val="00EA08E5"/>
    <w:rsid w:val="00EA164C"/>
    <w:rsid w:val="00EA1ABC"/>
    <w:rsid w:val="00EA1D3E"/>
    <w:rsid w:val="00EA26FB"/>
    <w:rsid w:val="00EA3873"/>
    <w:rsid w:val="00EA406B"/>
    <w:rsid w:val="00EA48C2"/>
    <w:rsid w:val="00EA4B52"/>
    <w:rsid w:val="00EA509C"/>
    <w:rsid w:val="00EA67DD"/>
    <w:rsid w:val="00EB0233"/>
    <w:rsid w:val="00EB0587"/>
    <w:rsid w:val="00EB079C"/>
    <w:rsid w:val="00EB0D34"/>
    <w:rsid w:val="00EB11D1"/>
    <w:rsid w:val="00EB181B"/>
    <w:rsid w:val="00EB1CA4"/>
    <w:rsid w:val="00EB2D69"/>
    <w:rsid w:val="00EB2DEA"/>
    <w:rsid w:val="00EB38C9"/>
    <w:rsid w:val="00EB677D"/>
    <w:rsid w:val="00EB6945"/>
    <w:rsid w:val="00EB76FA"/>
    <w:rsid w:val="00EB7A24"/>
    <w:rsid w:val="00EB7D8F"/>
    <w:rsid w:val="00EB7F1A"/>
    <w:rsid w:val="00EC03CF"/>
    <w:rsid w:val="00EC090C"/>
    <w:rsid w:val="00EC0B18"/>
    <w:rsid w:val="00EC1626"/>
    <w:rsid w:val="00EC1CA9"/>
    <w:rsid w:val="00EC2050"/>
    <w:rsid w:val="00EC2245"/>
    <w:rsid w:val="00EC23D3"/>
    <w:rsid w:val="00EC259E"/>
    <w:rsid w:val="00EC27DC"/>
    <w:rsid w:val="00EC341C"/>
    <w:rsid w:val="00EC46BE"/>
    <w:rsid w:val="00EC4D3D"/>
    <w:rsid w:val="00EC4D79"/>
    <w:rsid w:val="00EC5A2C"/>
    <w:rsid w:val="00EC5EF7"/>
    <w:rsid w:val="00EC72CE"/>
    <w:rsid w:val="00EC73B1"/>
    <w:rsid w:val="00EC75CC"/>
    <w:rsid w:val="00ED0044"/>
    <w:rsid w:val="00ED07F4"/>
    <w:rsid w:val="00ED1657"/>
    <w:rsid w:val="00ED1BB2"/>
    <w:rsid w:val="00ED2821"/>
    <w:rsid w:val="00ED2CB6"/>
    <w:rsid w:val="00ED348C"/>
    <w:rsid w:val="00ED3908"/>
    <w:rsid w:val="00ED3FA9"/>
    <w:rsid w:val="00ED5637"/>
    <w:rsid w:val="00ED6618"/>
    <w:rsid w:val="00ED6E25"/>
    <w:rsid w:val="00ED6F02"/>
    <w:rsid w:val="00ED6F65"/>
    <w:rsid w:val="00ED7705"/>
    <w:rsid w:val="00ED7C46"/>
    <w:rsid w:val="00ED7F30"/>
    <w:rsid w:val="00EE01AB"/>
    <w:rsid w:val="00EE0259"/>
    <w:rsid w:val="00EE0741"/>
    <w:rsid w:val="00EE09C2"/>
    <w:rsid w:val="00EE103D"/>
    <w:rsid w:val="00EE1927"/>
    <w:rsid w:val="00EE32DC"/>
    <w:rsid w:val="00EE486B"/>
    <w:rsid w:val="00EE4DFD"/>
    <w:rsid w:val="00EE528B"/>
    <w:rsid w:val="00EE5762"/>
    <w:rsid w:val="00EE63F5"/>
    <w:rsid w:val="00EE71C9"/>
    <w:rsid w:val="00EE77D7"/>
    <w:rsid w:val="00EF0081"/>
    <w:rsid w:val="00EF1F4B"/>
    <w:rsid w:val="00EF243E"/>
    <w:rsid w:val="00EF29FD"/>
    <w:rsid w:val="00EF352D"/>
    <w:rsid w:val="00EF44EA"/>
    <w:rsid w:val="00EF4AEE"/>
    <w:rsid w:val="00EF4B04"/>
    <w:rsid w:val="00EF5480"/>
    <w:rsid w:val="00EF5593"/>
    <w:rsid w:val="00EF60D3"/>
    <w:rsid w:val="00EF61AB"/>
    <w:rsid w:val="00EF6C32"/>
    <w:rsid w:val="00EF6E41"/>
    <w:rsid w:val="00EF71E4"/>
    <w:rsid w:val="00F00A17"/>
    <w:rsid w:val="00F00A61"/>
    <w:rsid w:val="00F02E99"/>
    <w:rsid w:val="00F03BF4"/>
    <w:rsid w:val="00F03F3B"/>
    <w:rsid w:val="00F04054"/>
    <w:rsid w:val="00F04DE7"/>
    <w:rsid w:val="00F05E64"/>
    <w:rsid w:val="00F06033"/>
    <w:rsid w:val="00F07468"/>
    <w:rsid w:val="00F10D7F"/>
    <w:rsid w:val="00F11602"/>
    <w:rsid w:val="00F11DDC"/>
    <w:rsid w:val="00F12045"/>
    <w:rsid w:val="00F12BDA"/>
    <w:rsid w:val="00F1302B"/>
    <w:rsid w:val="00F137FA"/>
    <w:rsid w:val="00F13F76"/>
    <w:rsid w:val="00F153C1"/>
    <w:rsid w:val="00F15CBF"/>
    <w:rsid w:val="00F15EDF"/>
    <w:rsid w:val="00F163CD"/>
    <w:rsid w:val="00F16DD9"/>
    <w:rsid w:val="00F16F62"/>
    <w:rsid w:val="00F174EA"/>
    <w:rsid w:val="00F208D6"/>
    <w:rsid w:val="00F2134D"/>
    <w:rsid w:val="00F21551"/>
    <w:rsid w:val="00F2176B"/>
    <w:rsid w:val="00F217E8"/>
    <w:rsid w:val="00F227C4"/>
    <w:rsid w:val="00F22D82"/>
    <w:rsid w:val="00F22DE1"/>
    <w:rsid w:val="00F22FE8"/>
    <w:rsid w:val="00F2345A"/>
    <w:rsid w:val="00F23A8E"/>
    <w:rsid w:val="00F26654"/>
    <w:rsid w:val="00F26D40"/>
    <w:rsid w:val="00F2765C"/>
    <w:rsid w:val="00F27EDD"/>
    <w:rsid w:val="00F305BC"/>
    <w:rsid w:val="00F31F7E"/>
    <w:rsid w:val="00F322E2"/>
    <w:rsid w:val="00F336B1"/>
    <w:rsid w:val="00F340B6"/>
    <w:rsid w:val="00F35352"/>
    <w:rsid w:val="00F3572B"/>
    <w:rsid w:val="00F361B7"/>
    <w:rsid w:val="00F36500"/>
    <w:rsid w:val="00F40A36"/>
    <w:rsid w:val="00F40BAE"/>
    <w:rsid w:val="00F419FF"/>
    <w:rsid w:val="00F41A3E"/>
    <w:rsid w:val="00F42236"/>
    <w:rsid w:val="00F422F1"/>
    <w:rsid w:val="00F4436C"/>
    <w:rsid w:val="00F455AB"/>
    <w:rsid w:val="00F46214"/>
    <w:rsid w:val="00F50CF3"/>
    <w:rsid w:val="00F51240"/>
    <w:rsid w:val="00F515DD"/>
    <w:rsid w:val="00F526A2"/>
    <w:rsid w:val="00F528C6"/>
    <w:rsid w:val="00F52F93"/>
    <w:rsid w:val="00F531ED"/>
    <w:rsid w:val="00F53380"/>
    <w:rsid w:val="00F54608"/>
    <w:rsid w:val="00F54994"/>
    <w:rsid w:val="00F552F2"/>
    <w:rsid w:val="00F55480"/>
    <w:rsid w:val="00F555EF"/>
    <w:rsid w:val="00F55E52"/>
    <w:rsid w:val="00F5622C"/>
    <w:rsid w:val="00F56577"/>
    <w:rsid w:val="00F56579"/>
    <w:rsid w:val="00F569C4"/>
    <w:rsid w:val="00F57EF0"/>
    <w:rsid w:val="00F610DC"/>
    <w:rsid w:val="00F627E2"/>
    <w:rsid w:val="00F63119"/>
    <w:rsid w:val="00F63A2A"/>
    <w:rsid w:val="00F654CC"/>
    <w:rsid w:val="00F66579"/>
    <w:rsid w:val="00F66C8A"/>
    <w:rsid w:val="00F66DFC"/>
    <w:rsid w:val="00F677CD"/>
    <w:rsid w:val="00F7070D"/>
    <w:rsid w:val="00F7095E"/>
    <w:rsid w:val="00F70FD9"/>
    <w:rsid w:val="00F71520"/>
    <w:rsid w:val="00F71A57"/>
    <w:rsid w:val="00F722AD"/>
    <w:rsid w:val="00F72E0B"/>
    <w:rsid w:val="00F74B4E"/>
    <w:rsid w:val="00F74FA5"/>
    <w:rsid w:val="00F7590F"/>
    <w:rsid w:val="00F75FE2"/>
    <w:rsid w:val="00F769B5"/>
    <w:rsid w:val="00F76C63"/>
    <w:rsid w:val="00F772CC"/>
    <w:rsid w:val="00F77AA5"/>
    <w:rsid w:val="00F809C7"/>
    <w:rsid w:val="00F82483"/>
    <w:rsid w:val="00F82720"/>
    <w:rsid w:val="00F83E8C"/>
    <w:rsid w:val="00F84940"/>
    <w:rsid w:val="00F8569E"/>
    <w:rsid w:val="00F85777"/>
    <w:rsid w:val="00F85A14"/>
    <w:rsid w:val="00F85B99"/>
    <w:rsid w:val="00F867B6"/>
    <w:rsid w:val="00F90601"/>
    <w:rsid w:val="00F90C20"/>
    <w:rsid w:val="00F90EB0"/>
    <w:rsid w:val="00F911D9"/>
    <w:rsid w:val="00F913C6"/>
    <w:rsid w:val="00F91573"/>
    <w:rsid w:val="00F93175"/>
    <w:rsid w:val="00F93454"/>
    <w:rsid w:val="00F943CE"/>
    <w:rsid w:val="00F947B8"/>
    <w:rsid w:val="00F94864"/>
    <w:rsid w:val="00F94D63"/>
    <w:rsid w:val="00F94E2C"/>
    <w:rsid w:val="00F94F81"/>
    <w:rsid w:val="00F95BDD"/>
    <w:rsid w:val="00F96569"/>
    <w:rsid w:val="00F97C74"/>
    <w:rsid w:val="00FA02EE"/>
    <w:rsid w:val="00FA111F"/>
    <w:rsid w:val="00FA1714"/>
    <w:rsid w:val="00FA1CA6"/>
    <w:rsid w:val="00FA2126"/>
    <w:rsid w:val="00FA33A6"/>
    <w:rsid w:val="00FA385C"/>
    <w:rsid w:val="00FA39FB"/>
    <w:rsid w:val="00FA4F22"/>
    <w:rsid w:val="00FA5556"/>
    <w:rsid w:val="00FA59DE"/>
    <w:rsid w:val="00FA5BE3"/>
    <w:rsid w:val="00FA7B80"/>
    <w:rsid w:val="00FB05BD"/>
    <w:rsid w:val="00FB0B18"/>
    <w:rsid w:val="00FB133F"/>
    <w:rsid w:val="00FB18EA"/>
    <w:rsid w:val="00FB1D90"/>
    <w:rsid w:val="00FB2270"/>
    <w:rsid w:val="00FB2ACA"/>
    <w:rsid w:val="00FB4374"/>
    <w:rsid w:val="00FB560B"/>
    <w:rsid w:val="00FB5DF6"/>
    <w:rsid w:val="00FB64A5"/>
    <w:rsid w:val="00FB673E"/>
    <w:rsid w:val="00FB68FB"/>
    <w:rsid w:val="00FB753B"/>
    <w:rsid w:val="00FB798D"/>
    <w:rsid w:val="00FB7E20"/>
    <w:rsid w:val="00FB7E75"/>
    <w:rsid w:val="00FC038C"/>
    <w:rsid w:val="00FC0E60"/>
    <w:rsid w:val="00FC2688"/>
    <w:rsid w:val="00FC3605"/>
    <w:rsid w:val="00FC3D57"/>
    <w:rsid w:val="00FC3EB4"/>
    <w:rsid w:val="00FC4AB1"/>
    <w:rsid w:val="00FC4BF4"/>
    <w:rsid w:val="00FC51B8"/>
    <w:rsid w:val="00FC5C14"/>
    <w:rsid w:val="00FC5FD1"/>
    <w:rsid w:val="00FC6209"/>
    <w:rsid w:val="00FC6C2D"/>
    <w:rsid w:val="00FC7DF4"/>
    <w:rsid w:val="00FD066C"/>
    <w:rsid w:val="00FD0944"/>
    <w:rsid w:val="00FD0970"/>
    <w:rsid w:val="00FD16AB"/>
    <w:rsid w:val="00FD17AB"/>
    <w:rsid w:val="00FD2B7B"/>
    <w:rsid w:val="00FD2E3A"/>
    <w:rsid w:val="00FD2FD6"/>
    <w:rsid w:val="00FD38DC"/>
    <w:rsid w:val="00FD52E7"/>
    <w:rsid w:val="00FD6457"/>
    <w:rsid w:val="00FD755E"/>
    <w:rsid w:val="00FD7577"/>
    <w:rsid w:val="00FD794D"/>
    <w:rsid w:val="00FD7CD3"/>
    <w:rsid w:val="00FD7E85"/>
    <w:rsid w:val="00FE0B3D"/>
    <w:rsid w:val="00FE143D"/>
    <w:rsid w:val="00FE1530"/>
    <w:rsid w:val="00FE1BE0"/>
    <w:rsid w:val="00FE3664"/>
    <w:rsid w:val="00FE410C"/>
    <w:rsid w:val="00FE4278"/>
    <w:rsid w:val="00FE44C5"/>
    <w:rsid w:val="00FE4D25"/>
    <w:rsid w:val="00FE6C24"/>
    <w:rsid w:val="00FE7C0B"/>
    <w:rsid w:val="00FF1021"/>
    <w:rsid w:val="00FF129B"/>
    <w:rsid w:val="00FF141F"/>
    <w:rsid w:val="00FF1B53"/>
    <w:rsid w:val="00FF257C"/>
    <w:rsid w:val="00FF271C"/>
    <w:rsid w:val="00FF2D61"/>
    <w:rsid w:val="00FF3086"/>
    <w:rsid w:val="00FF3972"/>
    <w:rsid w:val="00FF4033"/>
    <w:rsid w:val="00FF406D"/>
    <w:rsid w:val="00FF5CE3"/>
    <w:rsid w:val="00FF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6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8E366D"/>
  </w:style>
  <w:style w:type="character" w:styleId="CommentReference">
    <w:name w:val="annotation reference"/>
    <w:basedOn w:val="DefaultParagraphFont"/>
    <w:uiPriority w:val="99"/>
    <w:semiHidden/>
    <w:unhideWhenUsed/>
    <w:locked/>
    <w:rsid w:val="00216403"/>
    <w:rPr>
      <w:sz w:val="16"/>
      <w:szCs w:val="16"/>
    </w:rPr>
  </w:style>
  <w:style w:type="paragraph" w:styleId="CommentText">
    <w:name w:val="annotation text"/>
    <w:basedOn w:val="Normal"/>
    <w:link w:val="CommentTextChar"/>
    <w:uiPriority w:val="99"/>
    <w:unhideWhenUsed/>
    <w:locked/>
    <w:rsid w:val="00216403"/>
    <w:pPr>
      <w:spacing w:line="240" w:lineRule="auto"/>
    </w:pPr>
    <w:rPr>
      <w:sz w:val="20"/>
      <w:szCs w:val="20"/>
    </w:rPr>
  </w:style>
  <w:style w:type="character" w:customStyle="1" w:styleId="CommentTextChar">
    <w:name w:val="Comment Text Char"/>
    <w:basedOn w:val="DefaultParagraphFont"/>
    <w:link w:val="CommentText"/>
    <w:uiPriority w:val="99"/>
    <w:rsid w:val="00216403"/>
    <w:rPr>
      <w:sz w:val="20"/>
      <w:szCs w:val="20"/>
    </w:rPr>
  </w:style>
  <w:style w:type="paragraph" w:styleId="CommentSubject">
    <w:name w:val="annotation subject"/>
    <w:basedOn w:val="CommentText"/>
    <w:next w:val="CommentText"/>
    <w:link w:val="CommentSubjectChar"/>
    <w:uiPriority w:val="99"/>
    <w:semiHidden/>
    <w:unhideWhenUsed/>
    <w:locked/>
    <w:rsid w:val="00216403"/>
    <w:rPr>
      <w:b/>
      <w:bCs/>
    </w:rPr>
  </w:style>
  <w:style w:type="character" w:customStyle="1" w:styleId="CommentSubjectChar">
    <w:name w:val="Comment Subject Char"/>
    <w:basedOn w:val="CommentTextChar"/>
    <w:link w:val="CommentSubject"/>
    <w:uiPriority w:val="99"/>
    <w:semiHidden/>
    <w:rsid w:val="00216403"/>
    <w:rPr>
      <w:b/>
      <w:bCs/>
      <w:sz w:val="20"/>
      <w:szCs w:val="20"/>
    </w:rPr>
  </w:style>
  <w:style w:type="character" w:customStyle="1" w:styleId="FootnoteTextChar">
    <w:name w:val="Footnote Text Char"/>
    <w:basedOn w:val="DefaultParagraphFont"/>
    <w:link w:val="FootnoteText"/>
    <w:uiPriority w:val="53"/>
    <w:rsid w:val="004C0687"/>
  </w:style>
  <w:style w:type="paragraph" w:customStyle="1" w:styleId="Body">
    <w:name w:val="Body"/>
    <w:basedOn w:val="Normal"/>
    <w:qFormat/>
    <w:rsid w:val="001F479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F479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F479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F479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F479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F4795"/>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9F1BE439-4B6B-4F9D-972D-853D7EE8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59</Pages>
  <Words>16936</Words>
  <Characters>96538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2025-03-03T04:53:00Z</dcterms:created>
  <dcterms:modified xsi:type="dcterms:W3CDTF">2025-03-03T05:08:00Z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